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2244"/>
        <w:gridCol w:w="2943"/>
      </w:tblGrid>
      <w:tr w:rsidR="008F77F6" w:rsidRPr="00DE2BC0" w14:paraId="2322DF25" w14:textId="77777777" w:rsidTr="00D019AA">
        <w:trPr>
          <w:trHeight w:val="1105"/>
        </w:trPr>
        <w:tc>
          <w:tcPr>
            <w:tcW w:w="609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CDEF9CA" w14:textId="6FBC6BD7" w:rsidR="008F77F6" w:rsidRPr="00BF1C46" w:rsidRDefault="00AC4340" w:rsidP="0050373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</w:t>
            </w:r>
            <w:r w:rsidR="007D71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</w:t>
            </w:r>
            <w:r w:rsidR="003E0DB4" w:rsidRPr="003E0DB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tanovisk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</w:t>
            </w:r>
            <w:r w:rsidR="003E0DB4" w:rsidRPr="003E0DB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Rady</w:t>
            </w:r>
            <w:r w:rsidR="00503736" w:rsidRPr="003E0DB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k návrhu programu „Akademie budoucnosti“</w:t>
            </w:r>
          </w:p>
        </w:tc>
        <w:tc>
          <w:tcPr>
            <w:tcW w:w="294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121A77B" w14:textId="5DDCFB4A" w:rsidR="008F77F6" w:rsidRPr="009870E8" w:rsidRDefault="00AF41C8" w:rsidP="00AF41C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13F9D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503736" w:rsidRPr="00D13F9D">
              <w:rPr>
                <w:rFonts w:ascii="Arial" w:hAnsi="Arial" w:cs="Arial"/>
                <w:b/>
                <w:color w:val="0070C0"/>
                <w:sz w:val="28"/>
                <w:szCs w:val="28"/>
              </w:rPr>
              <w:t>09</w:t>
            </w:r>
            <w:r w:rsidR="00783AA1" w:rsidRPr="00D13F9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D13F9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13F9D" w:rsidRPr="00D13F9D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52797610" w14:textId="77777777" w:rsidTr="00D019AA">
        <w:tc>
          <w:tcPr>
            <w:tcW w:w="385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BD75088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E392CD3" w14:textId="2B521EF2" w:rsidR="008F77F6" w:rsidRPr="00811A10" w:rsidRDefault="00D13F9D" w:rsidP="002365D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Krištoufek, prof. Vácha</w:t>
            </w:r>
            <w:r w:rsidR="00B70F0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14:paraId="06AB8653" w14:textId="77777777" w:rsidTr="00D019AA">
        <w:tc>
          <w:tcPr>
            <w:tcW w:w="385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B334BB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D643101" w14:textId="77777777" w:rsidR="004909B9" w:rsidRDefault="00E21EF3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4909B9">
              <w:rPr>
                <w:rFonts w:ascii="Arial" w:hAnsi="Arial" w:cs="Arial"/>
                <w:i/>
                <w:sz w:val="22"/>
                <w:szCs w:val="22"/>
              </w:rPr>
              <w:t xml:space="preserve"> koordinace výzkumu, vývoje a inovací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</w:p>
          <w:p w14:paraId="2DFAB982" w14:textId="4898EA60" w:rsidR="008F77F6" w:rsidRPr="00115DD5" w:rsidRDefault="004909B9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27</w:t>
            </w:r>
            <w:r w:rsidR="00AF41C8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01</w:t>
            </w:r>
            <w:r w:rsidR="00AF41C8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F41C8">
              <w:rPr>
                <w:rFonts w:ascii="Arial" w:hAnsi="Arial" w:cs="Arial"/>
                <w:i/>
                <w:sz w:val="22"/>
                <w:szCs w:val="22"/>
              </w:rPr>
              <w:t>2024</w:t>
            </w:r>
          </w:p>
        </w:tc>
      </w:tr>
      <w:tr w:rsidR="008F77F6" w:rsidRPr="00DE2BC0" w14:paraId="6E7F8BDE" w14:textId="77777777" w:rsidTr="00D019AA">
        <w:trPr>
          <w:trHeight w:val="3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4CC64F" w14:textId="77777777" w:rsidR="008F77F6" w:rsidRPr="005A6385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A638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4B8E27C" w14:textId="7B5E7BA3" w:rsidR="00503736" w:rsidRPr="005A6385" w:rsidRDefault="00503736" w:rsidP="00503736">
            <w:pPr>
              <w:spacing w:before="240"/>
              <w:jc w:val="both"/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</w:pP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Radě pro výzkum, vývoj a inovace</w:t>
            </w:r>
            <w:r w:rsidR="009F3923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(dále jen „Rada“) 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se předkládá </w:t>
            </w:r>
            <w:r w:rsidR="00AC4340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návrh 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S</w:t>
            </w:r>
            <w:r w:rsidR="003E0DB4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tanovisk</w:t>
            </w:r>
            <w:r w:rsidR="00AC4340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a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Rady</w:t>
            </w:r>
            <w:r w:rsidR="003E0DB4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(viz příloha č. </w:t>
            </w:r>
            <w:r w:rsidR="003B41F7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4</w:t>
            </w:r>
            <w:r w:rsidR="003E0DB4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) </w:t>
            </w:r>
            <w:r w:rsidR="00875897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k 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návrh</w:t>
            </w:r>
            <w:r w:rsidR="00AC4340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u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programu Akademie budoucnosti (viz příloha č. 1), o jehož zařazení na program Rady požádala prof. RNDr. Eva Zažímalová, CSc., dr. h. c., předsedkyně Akademie věd ČR, svým dopisem (viz příloha č</w:t>
            </w:r>
            <w:r w:rsidR="004718A3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. 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2) ze dne 3. ledna 2025 (čj. AVCR 795/2025 SČAR).</w:t>
            </w:r>
          </w:p>
          <w:p w14:paraId="0C92B300" w14:textId="47FD11F0" w:rsidR="002B2D76" w:rsidRPr="005A6385" w:rsidRDefault="00503736" w:rsidP="002B2D76">
            <w:pPr>
              <w:spacing w:before="240"/>
              <w:jc w:val="both"/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</w:pP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Předložený materiál je</w:t>
            </w:r>
            <w:r w:rsidR="00C71ACD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jedním z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nástroj</w:t>
            </w:r>
            <w:r w:rsidR="00C71ACD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ů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implementace </w:t>
            </w:r>
            <w:bookmarkStart w:id="0" w:name="_Hlk188885513"/>
            <w:r w:rsidRPr="005A6385">
              <w:rPr>
                <w:rFonts w:ascii="Arial" w:hAnsi="Arial" w:cs="Arial"/>
                <w:sz w:val="22"/>
                <w:szCs w:val="22"/>
              </w:rPr>
              <w:t>Koncepce institucionální podpory excelence na vybraných univerzitách a v rámci Akademie věd České republiky</w:t>
            </w:r>
            <w:r w:rsidRPr="005A6385">
              <w:rPr>
                <w:rFonts w:ascii="Arial" w:hAnsi="Arial" w:cs="Arial"/>
              </w:rPr>
              <w:t xml:space="preserve"> </w:t>
            </w:r>
            <w:bookmarkEnd w:id="0"/>
            <w:r w:rsidRPr="005A6385">
              <w:rPr>
                <w:rFonts w:ascii="Arial" w:hAnsi="Arial" w:cs="Arial"/>
                <w:sz w:val="22"/>
                <w:szCs w:val="22"/>
              </w:rPr>
              <w:t>(dále jen „Koncepce“)</w:t>
            </w:r>
            <w:r w:rsidR="004718A3" w:rsidRPr="005A63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71ACD" w:rsidRPr="005A6385">
              <w:rPr>
                <w:rFonts w:ascii="Arial" w:hAnsi="Arial" w:cs="Arial"/>
                <w:sz w:val="22"/>
                <w:szCs w:val="22"/>
              </w:rPr>
              <w:t>kterou</w:t>
            </w:r>
            <w:r w:rsidRPr="005A6385">
              <w:rPr>
                <w:rFonts w:ascii="Arial" w:hAnsi="Arial" w:cs="Arial"/>
                <w:sz w:val="22"/>
                <w:szCs w:val="22"/>
              </w:rPr>
              <w:t xml:space="preserve"> projednala Rada na svém 395. zasedání 24. listopadu 2023 v rámci bodu A3. Po vypořádání připomínek členek a členů Rady byl materiál předložen pro informaci na jednání vlády </w:t>
            </w:r>
            <w:r w:rsidR="009F3923" w:rsidRPr="005A6385">
              <w:rPr>
                <w:rFonts w:ascii="Arial" w:hAnsi="Arial" w:cs="Arial"/>
                <w:sz w:val="22"/>
                <w:szCs w:val="22"/>
              </w:rPr>
              <w:t xml:space="preserve">ČR </w:t>
            </w:r>
            <w:r w:rsidRPr="005A6385">
              <w:rPr>
                <w:rFonts w:ascii="Arial" w:hAnsi="Arial" w:cs="Arial"/>
                <w:sz w:val="22"/>
                <w:szCs w:val="22"/>
              </w:rPr>
              <w:t xml:space="preserve">dne 24. ledna 2024. Koncepce byla předložena 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v návaznosti na</w:t>
            </w:r>
            <w:r w:rsidR="004718A3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usnesení vlády ČR č. 377 ze dne 11. května 2022 o plánu nelegislativních úkolů vlády. Zpracovat tuto koncepci bylo uloženo Ministerstvu školství, mládeže a tělovýchovy (dále jen „MŠMT“) ve spolupráci s Úřadem ministryně pro vědu, výzkum a inovace (dále jen „MVVI“).</w:t>
            </w:r>
          </w:p>
          <w:p w14:paraId="00DA837F" w14:textId="72BA26FB" w:rsidR="00351F13" w:rsidRPr="005A6385" w:rsidRDefault="00503736" w:rsidP="00351F13">
            <w:pPr>
              <w:spacing w:before="24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V návaznosti na Koncepci předložilo MŠMT Radě </w:t>
            </w:r>
            <w:r w:rsidRPr="005A6385">
              <w:rPr>
                <w:rFonts w:ascii="Arial" w:eastAsia="Calibri" w:hAnsi="Arial" w:cs="Arial"/>
                <w:sz w:val="22"/>
                <w:szCs w:val="22"/>
              </w:rPr>
              <w:t xml:space="preserve">návrh </w:t>
            </w:r>
            <w:r w:rsidR="009F3923" w:rsidRPr="005A6385"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Pr="005A6385">
              <w:rPr>
                <w:rFonts w:ascii="Arial" w:eastAsia="Calibri" w:hAnsi="Arial" w:cs="Arial"/>
                <w:sz w:val="22"/>
                <w:szCs w:val="22"/>
              </w:rPr>
              <w:t xml:space="preserve">rogramu na podporu vytvoření a kultivace systémových podmínek pro rozvoj excelence </w:t>
            </w:r>
            <w:r w:rsidR="009F3923" w:rsidRPr="005A6385">
              <w:rPr>
                <w:rFonts w:ascii="Arial" w:eastAsia="Calibri" w:hAnsi="Arial" w:cs="Arial"/>
                <w:sz w:val="22"/>
                <w:szCs w:val="22"/>
              </w:rPr>
              <w:t>(dále jen „program Excelence“) pro</w:t>
            </w:r>
            <w:r w:rsidRPr="005A6385">
              <w:rPr>
                <w:rFonts w:ascii="Arial" w:eastAsia="Calibri" w:hAnsi="Arial" w:cs="Arial"/>
                <w:sz w:val="22"/>
                <w:szCs w:val="22"/>
              </w:rPr>
              <w:t xml:space="preserve"> vysok</w:t>
            </w:r>
            <w:r w:rsidR="009F3923" w:rsidRPr="005A6385">
              <w:rPr>
                <w:rFonts w:ascii="Arial" w:eastAsia="Calibri" w:hAnsi="Arial" w:cs="Arial"/>
                <w:sz w:val="22"/>
                <w:szCs w:val="22"/>
              </w:rPr>
              <w:t>é</w:t>
            </w:r>
            <w:r w:rsidRPr="005A6385">
              <w:rPr>
                <w:rFonts w:ascii="Arial" w:eastAsia="Calibri" w:hAnsi="Arial" w:cs="Arial"/>
                <w:sz w:val="22"/>
                <w:szCs w:val="22"/>
              </w:rPr>
              <w:t xml:space="preserve"> škol</w:t>
            </w:r>
            <w:r w:rsidR="009F3923" w:rsidRPr="005A6385">
              <w:rPr>
                <w:rFonts w:ascii="Arial" w:eastAsia="Calibri" w:hAnsi="Arial" w:cs="Arial"/>
                <w:sz w:val="22"/>
                <w:szCs w:val="22"/>
              </w:rPr>
              <w:t>y</w:t>
            </w:r>
            <w:r w:rsidRPr="005A6385">
              <w:rPr>
                <w:rFonts w:ascii="Arial" w:eastAsia="Calibri" w:hAnsi="Arial" w:cs="Arial"/>
                <w:sz w:val="22"/>
                <w:szCs w:val="22"/>
              </w:rPr>
              <w:t>. Rada materiál projednala na svém 406. zasedání 22. listopadu 2024 v rámci bodu A1, přijala k němu stanovisko a schválila usnesení.</w:t>
            </w:r>
            <w:r w:rsidR="00C71ACD" w:rsidRPr="005A638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F36B0" w:rsidRPr="005A63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Materiál je </w:t>
            </w:r>
            <w:r w:rsidR="00FD41A4" w:rsidRPr="005A63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stále </w:t>
            </w:r>
            <w:r w:rsidR="004F36B0" w:rsidRPr="005A63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v mezirezortním připomínkovém řízení. MŠMT při jednání o rozpočtu </w:t>
            </w:r>
            <w:r w:rsidR="00FD41A4" w:rsidRPr="005A63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3. </w:t>
            </w:r>
            <w:r w:rsidR="00E7441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února</w:t>
            </w:r>
            <w:r w:rsidR="00FD41A4" w:rsidRPr="005A63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. 2025 </w:t>
            </w:r>
            <w:r w:rsidR="004F36B0" w:rsidRPr="005A63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avizovalo, že předpokládá předložení materiálu vládě </w:t>
            </w:r>
            <w:r w:rsidR="00FD41A4" w:rsidRPr="005A63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ke schválení </w:t>
            </w:r>
            <w:r w:rsidR="004F36B0" w:rsidRPr="005A63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 konci února 2025.</w:t>
            </w:r>
          </w:p>
          <w:p w14:paraId="5D395DDD" w14:textId="588D2E8B" w:rsidR="00351F13" w:rsidRPr="005A6385" w:rsidRDefault="00503736" w:rsidP="00351F13">
            <w:pPr>
              <w:spacing w:before="240"/>
              <w:jc w:val="both"/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</w:pP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Předložený návrh programu Akademie budoucnosti</w:t>
            </w:r>
            <w:r w:rsidR="004F36B0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je dle Koncep</w:t>
            </w:r>
            <w:r w:rsidR="00FD41A4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c</w:t>
            </w:r>
            <w:r w:rsidR="004F36B0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e předkládán </w:t>
            </w:r>
            <w:r w:rsidR="003E0DB4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Radě</w:t>
            </w:r>
            <w:r w:rsidR="004F36B0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k</w:t>
            </w:r>
            <w:r w:rsidR="00E97237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="004F36B0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projednání</w:t>
            </w:r>
            <w:r w:rsidR="00E97237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a schválení</w:t>
            </w:r>
            <w:r w:rsidR="004F36B0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.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4F36B0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N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ení určen pro 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mezirezortní připomínkové řízení</w:t>
            </w:r>
            <w:r w:rsidR="007D71F1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a nebude předkládán vládě ČR</w:t>
            </w:r>
            <w:r w:rsidR="00351F13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ke</w:t>
            </w:r>
            <w:r w:rsidR="004718A3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="00351F13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schválení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.</w:t>
            </w:r>
            <w:r w:rsidR="00D53543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59DA2EC" w14:textId="6A76544E" w:rsidR="00503736" w:rsidRPr="005A6385" w:rsidRDefault="00351F13" w:rsidP="00351F13">
            <w:pPr>
              <w:spacing w:before="240"/>
              <w:jc w:val="both"/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</w:pP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Předložený návrh programu </w:t>
            </w:r>
            <w:r w:rsidR="00503736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Akademie budoucnosti bude 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jako nástroj excelence </w:t>
            </w:r>
            <w:r w:rsidR="00503736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zařazen do</w:t>
            </w:r>
            <w:r w:rsidR="001E3E5C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="00503736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systému institucionální podpory nákladů na činnost, který je v </w:t>
            </w:r>
            <w:r w:rsidR="007D71F1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A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kademii věd</w:t>
            </w:r>
            <w:r w:rsidR="007D71F1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503736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ČR dlouhodobě zaveden a funguje formou správního řízení. Nebude tedy zařazen do institucionální podpory na podporu dlouhodobého koncepčního rozvoje výzkumných organizací (DKRVO).</w:t>
            </w:r>
          </w:p>
          <w:p w14:paraId="18EF33EF" w14:textId="3C58AEB3" w:rsidR="00351F13" w:rsidRPr="005A6385" w:rsidRDefault="00503736" w:rsidP="00351F13">
            <w:pPr>
              <w:spacing w:before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63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V souvislosti s finančními aspekty realizace programu Akademie budoucnosti je </w:t>
            </w:r>
            <w:r w:rsidR="00D13F9D" w:rsidRPr="005A63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zapotřebí reflektovat</w:t>
            </w:r>
            <w:r w:rsidRPr="005A63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bod 5 usnesení 406/A1 ze dne 22. listopadu 2024, kterým Rada uložila </w:t>
            </w:r>
            <w:r w:rsidRPr="005A6385">
              <w:rPr>
                <w:rFonts w:ascii="Arial" w:hAnsi="Arial" w:cs="Arial"/>
                <w:i/>
                <w:sz w:val="22"/>
                <w:szCs w:val="22"/>
                <w:shd w:val="clear" w:color="auto" w:fill="FFFFFF"/>
              </w:rPr>
              <w:t>„</w:t>
            </w:r>
            <w:r w:rsidRPr="005A6385">
              <w:rPr>
                <w:rFonts w:ascii="Arial" w:hAnsi="Arial" w:cs="Arial"/>
                <w:i/>
                <w:sz w:val="22"/>
                <w:szCs w:val="22"/>
              </w:rPr>
              <w:t>předsednictvu Rady proporčně zohlednit připravovaný program Akademie budoucnosti dle Koncepce institucionální podpory excelence na vybraných univerzitách a v rámci Akademie věd České republiky při přípravě rozpočtu na výzkum, vývoj a inovace na rok 2026 a</w:t>
            </w:r>
            <w:r w:rsidR="001E3E5C" w:rsidRPr="005A6385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5A6385">
              <w:rPr>
                <w:rFonts w:ascii="Arial" w:hAnsi="Arial" w:cs="Arial"/>
                <w:i/>
                <w:sz w:val="22"/>
                <w:szCs w:val="22"/>
              </w:rPr>
              <w:t>střednědobém výhledu na roky 2027 a 2028, a to s</w:t>
            </w:r>
            <w:r w:rsidRPr="005A6385">
              <w:rPr>
                <w:rFonts w:ascii="Arial" w:hAnsi="Arial" w:cs="Arial"/>
                <w:i/>
              </w:rPr>
              <w:t> </w:t>
            </w:r>
            <w:r w:rsidRPr="005A6385">
              <w:rPr>
                <w:rFonts w:ascii="Arial" w:hAnsi="Arial" w:cs="Arial"/>
                <w:i/>
                <w:sz w:val="22"/>
                <w:szCs w:val="22"/>
              </w:rPr>
              <w:t>ohledem na schválení Programu na</w:t>
            </w:r>
            <w:r w:rsidR="001E3E5C" w:rsidRPr="005A6385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5A6385">
              <w:rPr>
                <w:rFonts w:ascii="Arial" w:hAnsi="Arial" w:cs="Arial"/>
                <w:i/>
                <w:sz w:val="22"/>
                <w:szCs w:val="22"/>
              </w:rPr>
              <w:t>podporu vytvoření a kultivace systémových podmínek pro rozvoj excelence vládou ČR“</w:t>
            </w:r>
            <w:r w:rsidRPr="005A638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92E6CEF" w14:textId="7CAC432A" w:rsidR="00350164" w:rsidRPr="005A6385" w:rsidRDefault="00350164" w:rsidP="00351F13">
            <w:pPr>
              <w:spacing w:before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6385">
              <w:rPr>
                <w:rFonts w:ascii="Arial" w:hAnsi="Arial" w:cs="Arial"/>
                <w:sz w:val="22"/>
                <w:szCs w:val="22"/>
              </w:rPr>
              <w:t xml:space="preserve">Akademie věd ČR zaslala dopisem (viz příloha č. 3) 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prof. RNDr. Evy Zažímalov</w:t>
            </w:r>
            <w:r w:rsidR="00D13F9D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é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, CSc., dr.</w:t>
            </w:r>
            <w:r w:rsidR="008C3BA6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h. c., předsedkyně Akademie věd ČR, ze dne 21. ledna 2025 (čj. AVCR 1412/2025 </w:t>
            </w:r>
            <w:r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lastRenderedPageBreak/>
              <w:t>SČAR) návrh výdajů na výzkum, experimentální vývoj a inovace rozpočtové kapitoly 361</w:t>
            </w:r>
            <w:r w:rsidR="00C31A3B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– Akademie věd České republiky na rok 2026 se střednědobým a s dlouhodobým výhledem do roku 2032.</w:t>
            </w:r>
            <w:r w:rsidR="004D0C78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V tomto dopise je požadováno navýšení alokace na program Akademie budoucnosti na nejméně 100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="004D0C78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000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4D0C78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tis. Kč v roce 2026 a na 200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="004D0C78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000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4D0C78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tis. Kč v roce 2027 a 2028.</w:t>
            </w:r>
            <w:r w:rsidR="00914C8A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Ve výchozím návrhu Rady (Výchozí návrh výdajů státního rozpočtu České republiky na výzkum, experimentální vývoj a inovace na rok 2026 a střednědobého výhledu) jsou na program Akademie budoucnosti alokovány částky 50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="00914C8A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000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914C8A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tis. Kč v roce 2026 a 100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 </w:t>
            </w:r>
            <w:r w:rsidR="00914C8A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000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914C8A" w:rsidRPr="005A638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tis. Kč v roce 2027 a 2028.</w:t>
            </w:r>
          </w:p>
          <w:p w14:paraId="0560D2B1" w14:textId="1FE00214" w:rsidR="0073433F" w:rsidRPr="005A6385" w:rsidRDefault="00503736" w:rsidP="009C79D6">
            <w:pPr>
              <w:spacing w:before="240" w:line="25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A6385">
              <w:rPr>
                <w:rFonts w:ascii="Arial" w:hAnsi="Arial" w:cs="Arial"/>
                <w:bCs/>
                <w:sz w:val="22"/>
                <w:szCs w:val="22"/>
              </w:rPr>
              <w:t xml:space="preserve">Materiál byl zaslán k vyjádření KHV, která </w:t>
            </w:r>
            <w:r w:rsidR="005A6385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5A6385" w:rsidRPr="005A6385">
              <w:rPr>
                <w:rFonts w:ascii="Arial" w:hAnsi="Arial" w:cs="Arial"/>
                <w:bCs/>
                <w:sz w:val="22"/>
                <w:szCs w:val="22"/>
              </w:rPr>
              <w:t xml:space="preserve">ateriál projednala </w:t>
            </w:r>
            <w:r w:rsidRPr="005A6385">
              <w:rPr>
                <w:rFonts w:ascii="Arial" w:hAnsi="Arial" w:cs="Arial"/>
                <w:bCs/>
                <w:sz w:val="22"/>
                <w:szCs w:val="22"/>
              </w:rPr>
              <w:t xml:space="preserve">na svém jednání dne </w:t>
            </w:r>
            <w:r w:rsidR="003E0DB4" w:rsidRPr="005A6385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Pr="005A6385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7D71F1">
              <w:rPr>
                <w:rFonts w:ascii="Arial" w:hAnsi="Arial" w:cs="Arial"/>
                <w:bCs/>
                <w:sz w:val="22"/>
                <w:szCs w:val="22"/>
              </w:rPr>
              <w:t>února</w:t>
            </w:r>
            <w:r w:rsidRPr="005A6385">
              <w:rPr>
                <w:rFonts w:ascii="Arial" w:hAnsi="Arial" w:cs="Arial"/>
                <w:bCs/>
                <w:sz w:val="22"/>
                <w:szCs w:val="22"/>
              </w:rPr>
              <w:t xml:space="preserve"> 2025</w:t>
            </w:r>
            <w:r w:rsidR="005A6385" w:rsidRPr="005A6385">
              <w:rPr>
                <w:rFonts w:ascii="Arial" w:hAnsi="Arial" w:cs="Arial"/>
                <w:bCs/>
                <w:sz w:val="22"/>
                <w:szCs w:val="22"/>
              </w:rPr>
              <w:t>. Vyjádření je</w:t>
            </w:r>
            <w:r w:rsidRPr="005A6385">
              <w:rPr>
                <w:rFonts w:ascii="Arial" w:hAnsi="Arial" w:cs="Arial"/>
                <w:bCs/>
                <w:sz w:val="22"/>
                <w:szCs w:val="22"/>
              </w:rPr>
              <w:t xml:space="preserve"> součástí přílohy</w:t>
            </w:r>
            <w:r w:rsidR="004C5A3E" w:rsidRPr="005A6385">
              <w:rPr>
                <w:rFonts w:ascii="Arial" w:hAnsi="Arial" w:cs="Arial"/>
                <w:bCs/>
                <w:sz w:val="22"/>
                <w:szCs w:val="22"/>
              </w:rPr>
              <w:t xml:space="preserve"> č. </w:t>
            </w:r>
            <w:r w:rsidR="00914C8A" w:rsidRPr="005A6385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284E33">
              <w:rPr>
                <w:rFonts w:ascii="Arial" w:hAnsi="Arial" w:cs="Arial"/>
                <w:bCs/>
                <w:sz w:val="22"/>
                <w:szCs w:val="22"/>
              </w:rPr>
              <w:t xml:space="preserve"> nebo samostatně obsaženo v příloze č. 5</w:t>
            </w:r>
          </w:p>
        </w:tc>
      </w:tr>
      <w:tr w:rsidR="008F77F6" w:rsidRPr="00DE2BC0" w14:paraId="72DADC20" w14:textId="77777777" w:rsidTr="00D019AA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25AD00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18104D37" w14:textId="5425AA0F" w:rsidR="002C78F4" w:rsidRDefault="002B2D76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programu Akademie budoucnosti</w:t>
            </w:r>
          </w:p>
          <w:p w14:paraId="61E308A0" w14:textId="77777777" w:rsidR="002B2D76" w:rsidRDefault="002B2D76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Průvodní dopis předsedkyně Akademie věd ČR, prof. Evy Zažímalové</w:t>
            </w:r>
          </w:p>
          <w:p w14:paraId="1496BD1E" w14:textId="46E1A982" w:rsidR="008C3BA6" w:rsidRPr="003B41F7" w:rsidRDefault="009C79D6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 předsedkyně Akademie věd ČR, prof. Evy Zažímalové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k n</w:t>
            </w:r>
            <w:r w:rsidR="008C3BA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ávrh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u</w:t>
            </w:r>
            <w:r w:rsidR="008C3BA6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výdajů na rok 2026 se střednědobým a s dlouhodobým výhledem do roku 2032</w:t>
            </w:r>
          </w:p>
          <w:p w14:paraId="484C8666" w14:textId="7799A66E" w:rsidR="003B41F7" w:rsidRPr="00AC4340" w:rsidRDefault="003B41F7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Návrh </w:t>
            </w:r>
            <w:r w:rsidR="007D71F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S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tanoviska Rady</w:t>
            </w:r>
          </w:p>
          <w:p w14:paraId="766A9B75" w14:textId="6E29683A" w:rsidR="003E0DB4" w:rsidRPr="00CA6D13" w:rsidRDefault="00AC4340" w:rsidP="00CA6D1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Vyjádření KHV</w:t>
            </w:r>
          </w:p>
        </w:tc>
      </w:tr>
    </w:tbl>
    <w:p w14:paraId="637315CE" w14:textId="6028CA7D" w:rsidR="00B159F0" w:rsidRDefault="00875897" w:rsidP="008F77F6">
      <w:r>
        <w:t xml:space="preserve"> </w:t>
      </w:r>
    </w:p>
    <w:sectPr w:rsidR="00B159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F6968" w14:textId="77777777" w:rsidR="008D66DE" w:rsidRDefault="008D66DE" w:rsidP="008F77F6">
      <w:r>
        <w:separator/>
      </w:r>
    </w:p>
  </w:endnote>
  <w:endnote w:type="continuationSeparator" w:id="0">
    <w:p w14:paraId="69DDA782" w14:textId="77777777" w:rsidR="008D66DE" w:rsidRDefault="008D66D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CF85E" w14:textId="77777777" w:rsidR="008D66DE" w:rsidRDefault="008D66DE" w:rsidP="008F77F6">
      <w:r>
        <w:separator/>
      </w:r>
    </w:p>
  </w:footnote>
  <w:footnote w:type="continuationSeparator" w:id="0">
    <w:p w14:paraId="503D052D" w14:textId="77777777" w:rsidR="008D66DE" w:rsidRDefault="008D66D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8993D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C4A4118" wp14:editId="17AFF63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9CC"/>
    <w:multiLevelType w:val="hybridMultilevel"/>
    <w:tmpl w:val="BBC03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32946690">
    <w:abstractNumId w:val="0"/>
  </w:num>
  <w:num w:numId="2" w16cid:durableId="340667962">
    <w:abstractNumId w:val="4"/>
  </w:num>
  <w:num w:numId="3" w16cid:durableId="2089882860">
    <w:abstractNumId w:val="14"/>
  </w:num>
  <w:num w:numId="4" w16cid:durableId="9334713">
    <w:abstractNumId w:val="15"/>
  </w:num>
  <w:num w:numId="5" w16cid:durableId="2027949562">
    <w:abstractNumId w:val="16"/>
  </w:num>
  <w:num w:numId="6" w16cid:durableId="687953611">
    <w:abstractNumId w:val="6"/>
  </w:num>
  <w:num w:numId="7" w16cid:durableId="437215942">
    <w:abstractNumId w:val="13"/>
  </w:num>
  <w:num w:numId="8" w16cid:durableId="2118324797">
    <w:abstractNumId w:val="9"/>
  </w:num>
  <w:num w:numId="9" w16cid:durableId="604458594">
    <w:abstractNumId w:val="2"/>
  </w:num>
  <w:num w:numId="10" w16cid:durableId="1841306981">
    <w:abstractNumId w:val="11"/>
  </w:num>
  <w:num w:numId="11" w16cid:durableId="694380963">
    <w:abstractNumId w:val="12"/>
  </w:num>
  <w:num w:numId="12" w16cid:durableId="1970546369">
    <w:abstractNumId w:val="3"/>
  </w:num>
  <w:num w:numId="13" w16cid:durableId="170266405">
    <w:abstractNumId w:val="18"/>
  </w:num>
  <w:num w:numId="14" w16cid:durableId="1648321508">
    <w:abstractNumId w:val="1"/>
  </w:num>
  <w:num w:numId="15" w16cid:durableId="2056851659">
    <w:abstractNumId w:val="5"/>
  </w:num>
  <w:num w:numId="16" w16cid:durableId="547569277">
    <w:abstractNumId w:val="8"/>
  </w:num>
  <w:num w:numId="17" w16cid:durableId="732002143">
    <w:abstractNumId w:val="10"/>
  </w:num>
  <w:num w:numId="18" w16cid:durableId="496190680">
    <w:abstractNumId w:val="17"/>
  </w:num>
  <w:num w:numId="19" w16cid:durableId="8858703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7B24"/>
    <w:rsid w:val="0001394B"/>
    <w:rsid w:val="00014803"/>
    <w:rsid w:val="0001738C"/>
    <w:rsid w:val="00055F16"/>
    <w:rsid w:val="00064E8B"/>
    <w:rsid w:val="00065AF1"/>
    <w:rsid w:val="00086584"/>
    <w:rsid w:val="00095B2C"/>
    <w:rsid w:val="000A463E"/>
    <w:rsid w:val="000A7002"/>
    <w:rsid w:val="000B374F"/>
    <w:rsid w:val="000C4A33"/>
    <w:rsid w:val="000D0C8C"/>
    <w:rsid w:val="000D21BE"/>
    <w:rsid w:val="000D6C28"/>
    <w:rsid w:val="000E553E"/>
    <w:rsid w:val="000F40F2"/>
    <w:rsid w:val="000F499B"/>
    <w:rsid w:val="00102FC4"/>
    <w:rsid w:val="00115DD5"/>
    <w:rsid w:val="0012138F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D5BE3"/>
    <w:rsid w:val="001E3E5C"/>
    <w:rsid w:val="001F03C7"/>
    <w:rsid w:val="00200114"/>
    <w:rsid w:val="00206A41"/>
    <w:rsid w:val="002234A7"/>
    <w:rsid w:val="002365D0"/>
    <w:rsid w:val="00237006"/>
    <w:rsid w:val="002405C0"/>
    <w:rsid w:val="00242103"/>
    <w:rsid w:val="00253647"/>
    <w:rsid w:val="0025699D"/>
    <w:rsid w:val="00257A8A"/>
    <w:rsid w:val="0026386E"/>
    <w:rsid w:val="002778BB"/>
    <w:rsid w:val="00284E33"/>
    <w:rsid w:val="00291599"/>
    <w:rsid w:val="002917C8"/>
    <w:rsid w:val="002A18DA"/>
    <w:rsid w:val="002A6EF1"/>
    <w:rsid w:val="002A7323"/>
    <w:rsid w:val="002B2D76"/>
    <w:rsid w:val="002C78F4"/>
    <w:rsid w:val="002C7FA8"/>
    <w:rsid w:val="002D514A"/>
    <w:rsid w:val="002F01DD"/>
    <w:rsid w:val="002F065C"/>
    <w:rsid w:val="002F1937"/>
    <w:rsid w:val="002F5B79"/>
    <w:rsid w:val="0031020D"/>
    <w:rsid w:val="003119BB"/>
    <w:rsid w:val="00316707"/>
    <w:rsid w:val="0032078A"/>
    <w:rsid w:val="00322074"/>
    <w:rsid w:val="00325A0D"/>
    <w:rsid w:val="00332ADC"/>
    <w:rsid w:val="00343AF5"/>
    <w:rsid w:val="00350164"/>
    <w:rsid w:val="00351F13"/>
    <w:rsid w:val="00353C02"/>
    <w:rsid w:val="00360293"/>
    <w:rsid w:val="00375749"/>
    <w:rsid w:val="00387B05"/>
    <w:rsid w:val="003916A7"/>
    <w:rsid w:val="00393625"/>
    <w:rsid w:val="003A2896"/>
    <w:rsid w:val="003B41F7"/>
    <w:rsid w:val="003C6FA0"/>
    <w:rsid w:val="003D2395"/>
    <w:rsid w:val="003D4229"/>
    <w:rsid w:val="003E0DB4"/>
    <w:rsid w:val="003E5A9B"/>
    <w:rsid w:val="003F0A5D"/>
    <w:rsid w:val="003F17E1"/>
    <w:rsid w:val="003F5410"/>
    <w:rsid w:val="00445353"/>
    <w:rsid w:val="00460F48"/>
    <w:rsid w:val="004718A3"/>
    <w:rsid w:val="004909B9"/>
    <w:rsid w:val="00492E38"/>
    <w:rsid w:val="00494A1F"/>
    <w:rsid w:val="004A1675"/>
    <w:rsid w:val="004A1EB6"/>
    <w:rsid w:val="004A44C9"/>
    <w:rsid w:val="004B1968"/>
    <w:rsid w:val="004C5843"/>
    <w:rsid w:val="004C5A3E"/>
    <w:rsid w:val="004C72C7"/>
    <w:rsid w:val="004D0C78"/>
    <w:rsid w:val="004D1F1A"/>
    <w:rsid w:val="004F36B0"/>
    <w:rsid w:val="00503736"/>
    <w:rsid w:val="00515199"/>
    <w:rsid w:val="005333AC"/>
    <w:rsid w:val="00543506"/>
    <w:rsid w:val="00553297"/>
    <w:rsid w:val="0055531F"/>
    <w:rsid w:val="0058471A"/>
    <w:rsid w:val="005926F9"/>
    <w:rsid w:val="005A36C1"/>
    <w:rsid w:val="005A6385"/>
    <w:rsid w:val="005B1B4D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47D95"/>
    <w:rsid w:val="00655313"/>
    <w:rsid w:val="00660AAF"/>
    <w:rsid w:val="0066505A"/>
    <w:rsid w:val="00670A2D"/>
    <w:rsid w:val="00671A6D"/>
    <w:rsid w:val="00674CA8"/>
    <w:rsid w:val="00681D93"/>
    <w:rsid w:val="00685329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031B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D71F1"/>
    <w:rsid w:val="007E1E31"/>
    <w:rsid w:val="007E2E55"/>
    <w:rsid w:val="007E2E6C"/>
    <w:rsid w:val="007E771E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5897"/>
    <w:rsid w:val="008762B1"/>
    <w:rsid w:val="00890541"/>
    <w:rsid w:val="008B3D60"/>
    <w:rsid w:val="008B4084"/>
    <w:rsid w:val="008C3BA6"/>
    <w:rsid w:val="008D44BC"/>
    <w:rsid w:val="008D475C"/>
    <w:rsid w:val="008D66DE"/>
    <w:rsid w:val="008F1999"/>
    <w:rsid w:val="008F35D6"/>
    <w:rsid w:val="008F6AB6"/>
    <w:rsid w:val="008F77F6"/>
    <w:rsid w:val="00911F8C"/>
    <w:rsid w:val="00914C8A"/>
    <w:rsid w:val="00925EA0"/>
    <w:rsid w:val="00926DD1"/>
    <w:rsid w:val="009271CD"/>
    <w:rsid w:val="00932DF2"/>
    <w:rsid w:val="00940EF6"/>
    <w:rsid w:val="009434A3"/>
    <w:rsid w:val="009434DB"/>
    <w:rsid w:val="009704D2"/>
    <w:rsid w:val="0097779B"/>
    <w:rsid w:val="009830E4"/>
    <w:rsid w:val="009870E8"/>
    <w:rsid w:val="009926F2"/>
    <w:rsid w:val="00995A08"/>
    <w:rsid w:val="009A047F"/>
    <w:rsid w:val="009B577B"/>
    <w:rsid w:val="009C0869"/>
    <w:rsid w:val="009C79D6"/>
    <w:rsid w:val="009D380F"/>
    <w:rsid w:val="009D6D4B"/>
    <w:rsid w:val="009E1C79"/>
    <w:rsid w:val="009F3923"/>
    <w:rsid w:val="009F753F"/>
    <w:rsid w:val="00A11B06"/>
    <w:rsid w:val="00A12977"/>
    <w:rsid w:val="00A202C2"/>
    <w:rsid w:val="00A220CF"/>
    <w:rsid w:val="00A22F09"/>
    <w:rsid w:val="00A3416C"/>
    <w:rsid w:val="00A51417"/>
    <w:rsid w:val="00A64E61"/>
    <w:rsid w:val="00A66952"/>
    <w:rsid w:val="00A72F76"/>
    <w:rsid w:val="00A754EB"/>
    <w:rsid w:val="00A805E4"/>
    <w:rsid w:val="00A83449"/>
    <w:rsid w:val="00AA1B8F"/>
    <w:rsid w:val="00AA51BE"/>
    <w:rsid w:val="00AA7217"/>
    <w:rsid w:val="00AB734E"/>
    <w:rsid w:val="00AC4340"/>
    <w:rsid w:val="00AD7E5C"/>
    <w:rsid w:val="00AE7D40"/>
    <w:rsid w:val="00AF41C8"/>
    <w:rsid w:val="00B159F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066B"/>
    <w:rsid w:val="00BC6486"/>
    <w:rsid w:val="00BC66E7"/>
    <w:rsid w:val="00BF1C46"/>
    <w:rsid w:val="00C04580"/>
    <w:rsid w:val="00C20639"/>
    <w:rsid w:val="00C31A3B"/>
    <w:rsid w:val="00C341FB"/>
    <w:rsid w:val="00C71ACD"/>
    <w:rsid w:val="00C720F5"/>
    <w:rsid w:val="00C760D4"/>
    <w:rsid w:val="00C92F11"/>
    <w:rsid w:val="00CA6D13"/>
    <w:rsid w:val="00CC0408"/>
    <w:rsid w:val="00CC463E"/>
    <w:rsid w:val="00CE050D"/>
    <w:rsid w:val="00CE7925"/>
    <w:rsid w:val="00CF023B"/>
    <w:rsid w:val="00D019AA"/>
    <w:rsid w:val="00D01FEB"/>
    <w:rsid w:val="00D109B0"/>
    <w:rsid w:val="00D13F9D"/>
    <w:rsid w:val="00D27C56"/>
    <w:rsid w:val="00D32B4C"/>
    <w:rsid w:val="00D4395B"/>
    <w:rsid w:val="00D53543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7441A"/>
    <w:rsid w:val="00E825CF"/>
    <w:rsid w:val="00E877A2"/>
    <w:rsid w:val="00E97237"/>
    <w:rsid w:val="00EA095A"/>
    <w:rsid w:val="00EA5578"/>
    <w:rsid w:val="00EB41B7"/>
    <w:rsid w:val="00EC17F8"/>
    <w:rsid w:val="00EC70A1"/>
    <w:rsid w:val="00ED03A3"/>
    <w:rsid w:val="00F00723"/>
    <w:rsid w:val="00F01F87"/>
    <w:rsid w:val="00F165C8"/>
    <w:rsid w:val="00F16A3D"/>
    <w:rsid w:val="00F226A3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B3D3E"/>
    <w:rsid w:val="00FC0439"/>
    <w:rsid w:val="00FD41A4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6881C"/>
  <w15:docId w15:val="{7D5AD3BE-0AE9-43B5-A4F0-1A18D548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15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36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36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Lysý</dc:creator>
  <cp:lastModifiedBy>Kapucián Aleš</cp:lastModifiedBy>
  <cp:revision>7</cp:revision>
  <cp:lastPrinted>2025-01-28T06:45:00Z</cp:lastPrinted>
  <dcterms:created xsi:type="dcterms:W3CDTF">2025-02-12T10:19:00Z</dcterms:created>
  <dcterms:modified xsi:type="dcterms:W3CDTF">2025-03-05T12:16:00Z</dcterms:modified>
</cp:coreProperties>
</file>