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66678" w14:textId="192CCE17" w:rsidR="00C17297" w:rsidRPr="00E55564" w:rsidRDefault="00C17297" w:rsidP="008830DA">
      <w:pPr>
        <w:tabs>
          <w:tab w:val="left" w:pos="5860"/>
          <w:tab w:val="right" w:pos="9360"/>
        </w:tabs>
        <w:spacing w:after="120" w:line="240" w:lineRule="auto"/>
        <w:jc w:val="right"/>
        <w:outlineLvl w:val="0"/>
        <w:rPr>
          <w:rFonts w:eastAsia="Times New Roman" w:cs="Times New Roman"/>
          <w:b/>
          <w:sz w:val="24"/>
          <w:szCs w:val="24"/>
          <w:lang w:val="cs-CZ"/>
        </w:rPr>
      </w:pPr>
      <w:r w:rsidRPr="00E55564">
        <w:rPr>
          <w:rFonts w:eastAsia="Times New Roman" w:cs="Times New Roman"/>
          <w:b/>
          <w:sz w:val="24"/>
          <w:szCs w:val="24"/>
          <w:lang w:val="cs-CZ"/>
        </w:rPr>
        <w:t>III.</w:t>
      </w:r>
    </w:p>
    <w:p w14:paraId="7BA1468A" w14:textId="77777777" w:rsidR="00E55564" w:rsidRDefault="00D93816" w:rsidP="00E55564">
      <w:pPr>
        <w:spacing w:after="0" w:line="240" w:lineRule="auto"/>
        <w:jc w:val="center"/>
        <w:outlineLvl w:val="0"/>
        <w:rPr>
          <w:rFonts w:eastAsia="Times New Roman" w:cs="Times New Roman"/>
          <w:b/>
          <w:sz w:val="28"/>
          <w:szCs w:val="28"/>
          <w:lang w:val="cs-CZ"/>
        </w:rPr>
      </w:pPr>
      <w:r w:rsidRPr="00E55564">
        <w:rPr>
          <w:rFonts w:eastAsia="Times New Roman" w:cs="Times New Roman"/>
          <w:b/>
          <w:sz w:val="28"/>
          <w:szCs w:val="28"/>
          <w:lang w:val="cs-CZ"/>
        </w:rPr>
        <w:t xml:space="preserve">Návrh </w:t>
      </w:r>
      <w:r w:rsidR="00894AFB" w:rsidRPr="00E55564">
        <w:rPr>
          <w:rFonts w:eastAsia="Times New Roman" w:cs="Times New Roman"/>
          <w:b/>
          <w:sz w:val="28"/>
          <w:szCs w:val="28"/>
          <w:lang w:val="cs-CZ"/>
        </w:rPr>
        <w:t>projekt</w:t>
      </w:r>
      <w:r w:rsidR="003768DB" w:rsidRPr="00E55564">
        <w:rPr>
          <w:rFonts w:eastAsia="Times New Roman" w:cs="Times New Roman"/>
          <w:b/>
          <w:sz w:val="28"/>
          <w:szCs w:val="28"/>
          <w:lang w:val="cs-CZ"/>
        </w:rPr>
        <w:t xml:space="preserve">u velké infrastruktury </w:t>
      </w:r>
      <w:r w:rsidR="00E55564">
        <w:rPr>
          <w:rFonts w:eastAsia="Times New Roman" w:cs="Times New Roman"/>
          <w:b/>
          <w:sz w:val="28"/>
          <w:szCs w:val="28"/>
          <w:lang w:val="cs-CZ"/>
        </w:rPr>
        <w:t>pro výzkum,</w:t>
      </w:r>
    </w:p>
    <w:p w14:paraId="3025C2EA" w14:textId="751C136A" w:rsidR="00DF3E25" w:rsidRPr="00E55564" w:rsidRDefault="008E1BFA" w:rsidP="00E55564">
      <w:pPr>
        <w:spacing w:after="0" w:line="240" w:lineRule="auto"/>
        <w:jc w:val="center"/>
        <w:outlineLvl w:val="0"/>
        <w:rPr>
          <w:rFonts w:eastAsia="Times New Roman" w:cs="Times New Roman"/>
          <w:b/>
          <w:sz w:val="28"/>
          <w:szCs w:val="28"/>
          <w:lang w:val="cs-CZ"/>
        </w:rPr>
      </w:pPr>
      <w:r w:rsidRPr="00E55564">
        <w:rPr>
          <w:rFonts w:eastAsia="Times New Roman" w:cs="Times New Roman"/>
          <w:b/>
          <w:sz w:val="28"/>
          <w:szCs w:val="28"/>
          <w:lang w:val="cs-CZ"/>
        </w:rPr>
        <w:t>experimentální vývoj a inovace</w:t>
      </w:r>
      <w:r w:rsidR="00894AFB" w:rsidRPr="00E55564">
        <w:rPr>
          <w:rFonts w:eastAsia="Times New Roman" w:cs="Times New Roman"/>
          <w:b/>
          <w:sz w:val="28"/>
          <w:szCs w:val="28"/>
          <w:lang w:val="cs-CZ"/>
        </w:rPr>
        <w:t xml:space="preserve"> JHR</w:t>
      </w:r>
    </w:p>
    <w:p w14:paraId="5834D763" w14:textId="77777777" w:rsidR="00894AFB" w:rsidRDefault="00894AFB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</w:p>
    <w:p w14:paraId="756DA325" w14:textId="77777777" w:rsidR="006915B2" w:rsidRDefault="006915B2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</w:p>
    <w:p w14:paraId="0A18A7AC" w14:textId="77777777" w:rsidR="006915B2" w:rsidRDefault="006915B2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</w:p>
    <w:p w14:paraId="6EE5343E" w14:textId="77777777" w:rsidR="006915B2" w:rsidRPr="00894AFB" w:rsidRDefault="006915B2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</w:p>
    <w:p w14:paraId="1910C5AD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sz w:val="24"/>
          <w:szCs w:val="24"/>
          <w:lang w:val="cs-CZ"/>
        </w:rPr>
      </w:pPr>
      <w:r w:rsidRPr="00894AFB">
        <w:rPr>
          <w:rFonts w:eastAsia="Times New Roman" w:cs="Times New Roman"/>
          <w:b/>
          <w:sz w:val="24"/>
          <w:szCs w:val="24"/>
          <w:lang w:val="cs-CZ"/>
        </w:rPr>
        <w:t>Název výzkumné infrastruktury</w:t>
      </w:r>
      <w:r w:rsidRPr="00894AFB">
        <w:rPr>
          <w:rFonts w:eastAsia="Times New Roman" w:cs="Times New Roman"/>
          <w:sz w:val="24"/>
          <w:szCs w:val="24"/>
          <w:lang w:val="cs-CZ"/>
        </w:rPr>
        <w:t>:</w:t>
      </w:r>
    </w:p>
    <w:p w14:paraId="4FF225F9" w14:textId="0B40E6D7" w:rsidR="00DF3E25" w:rsidRPr="00894AFB" w:rsidRDefault="00894AFB" w:rsidP="00E55564">
      <w:pPr>
        <w:spacing w:after="0" w:line="240" w:lineRule="auto"/>
        <w:ind w:firstLine="426"/>
        <w:rPr>
          <w:b/>
          <w:sz w:val="24"/>
          <w:szCs w:val="24"/>
          <w:lang w:val="cs-CZ"/>
        </w:rPr>
      </w:pPr>
      <w:proofErr w:type="spellStart"/>
      <w:r w:rsidRPr="00894AFB">
        <w:rPr>
          <w:rFonts w:eastAsia="Times New Roman" w:cs="Times New Roman"/>
          <w:sz w:val="24"/>
          <w:szCs w:val="24"/>
          <w:lang w:val="cs-CZ"/>
        </w:rPr>
        <w:t>Jules</w:t>
      </w:r>
      <w:proofErr w:type="spellEnd"/>
      <w:r w:rsidRPr="00894AFB">
        <w:rPr>
          <w:rFonts w:eastAsia="Times New Roman" w:cs="Times New Roman"/>
          <w:sz w:val="24"/>
          <w:szCs w:val="24"/>
          <w:lang w:val="cs-CZ"/>
        </w:rPr>
        <w:t xml:space="preserve"> </w:t>
      </w:r>
      <w:proofErr w:type="spellStart"/>
      <w:r w:rsidRPr="00894AFB">
        <w:rPr>
          <w:rFonts w:eastAsia="Times New Roman" w:cs="Times New Roman"/>
          <w:sz w:val="24"/>
          <w:szCs w:val="24"/>
          <w:lang w:val="cs-CZ"/>
        </w:rPr>
        <w:t>Horowitz</w:t>
      </w:r>
      <w:proofErr w:type="spellEnd"/>
      <w:r w:rsidRPr="00894AFB">
        <w:rPr>
          <w:rFonts w:eastAsia="Times New Roman" w:cs="Times New Roman"/>
          <w:sz w:val="24"/>
          <w:szCs w:val="24"/>
          <w:lang w:val="cs-CZ"/>
        </w:rPr>
        <w:t xml:space="preserve"> </w:t>
      </w:r>
      <w:proofErr w:type="spellStart"/>
      <w:r w:rsidRPr="00894AFB">
        <w:rPr>
          <w:rFonts w:eastAsia="Times New Roman" w:cs="Times New Roman"/>
          <w:sz w:val="24"/>
          <w:szCs w:val="24"/>
          <w:lang w:val="cs-CZ"/>
        </w:rPr>
        <w:t>Reactor</w:t>
      </w:r>
      <w:proofErr w:type="spellEnd"/>
      <w:r w:rsidR="00AF17FF">
        <w:rPr>
          <w:rFonts w:eastAsia="Times New Roman" w:cs="Times New Roman"/>
          <w:sz w:val="24"/>
          <w:szCs w:val="24"/>
          <w:lang w:val="cs-CZ"/>
        </w:rPr>
        <w:t xml:space="preserve"> – </w:t>
      </w:r>
      <w:r w:rsidRPr="00894AFB">
        <w:rPr>
          <w:rFonts w:eastAsia="Times New Roman" w:cs="Times New Roman"/>
          <w:sz w:val="24"/>
          <w:szCs w:val="24"/>
          <w:lang w:val="cs-CZ"/>
        </w:rPr>
        <w:t>výzkumný</w:t>
      </w:r>
      <w:r w:rsidR="00AF17FF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894AFB">
        <w:rPr>
          <w:rFonts w:eastAsia="Times New Roman" w:cs="Times New Roman"/>
          <w:sz w:val="24"/>
          <w:szCs w:val="24"/>
          <w:lang w:val="cs-CZ"/>
        </w:rPr>
        <w:t>reaktor pro budoucí český výzkum a vývoj</w:t>
      </w:r>
    </w:p>
    <w:p w14:paraId="42290489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</w:p>
    <w:p w14:paraId="33E4121F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sz w:val="24"/>
          <w:szCs w:val="24"/>
          <w:lang w:val="cs-CZ"/>
        </w:rPr>
      </w:pPr>
      <w:r w:rsidRPr="00894AFB">
        <w:rPr>
          <w:rFonts w:eastAsia="Times New Roman" w:cs="Times New Roman"/>
          <w:b/>
          <w:sz w:val="24"/>
          <w:szCs w:val="24"/>
          <w:lang w:val="cs-CZ"/>
        </w:rPr>
        <w:t>Akronym výzkumné infrastruktury</w:t>
      </w:r>
      <w:r w:rsidRPr="00894AFB">
        <w:rPr>
          <w:rFonts w:eastAsia="Times New Roman" w:cs="Times New Roman"/>
          <w:sz w:val="24"/>
          <w:szCs w:val="24"/>
          <w:lang w:val="cs-CZ"/>
        </w:rPr>
        <w:t>:</w:t>
      </w:r>
    </w:p>
    <w:p w14:paraId="50E0C3F0" w14:textId="4F980940" w:rsidR="00894AFB" w:rsidRPr="00894AFB" w:rsidRDefault="00894AFB" w:rsidP="00894AFB">
      <w:pPr>
        <w:spacing w:after="0" w:line="240" w:lineRule="auto"/>
        <w:ind w:right="1735" w:firstLine="426"/>
        <w:rPr>
          <w:rFonts w:eastAsia="Times New Roman" w:cs="Times New Roman"/>
          <w:sz w:val="24"/>
          <w:szCs w:val="24"/>
          <w:lang w:val="cs-CZ"/>
        </w:rPr>
      </w:pPr>
      <w:r w:rsidRPr="00894AFB">
        <w:rPr>
          <w:rFonts w:eastAsia="Times New Roman" w:cs="Times New Roman"/>
          <w:sz w:val="24"/>
          <w:szCs w:val="24"/>
          <w:lang w:val="cs-CZ"/>
        </w:rPr>
        <w:t>JHR</w:t>
      </w:r>
    </w:p>
    <w:p w14:paraId="16A7BBDD" w14:textId="77777777" w:rsidR="00894AFB" w:rsidRPr="00894AFB" w:rsidRDefault="00894AFB" w:rsidP="00894AFB">
      <w:pPr>
        <w:spacing w:after="0" w:line="240" w:lineRule="auto"/>
        <w:ind w:right="1735"/>
        <w:rPr>
          <w:b/>
          <w:sz w:val="24"/>
          <w:szCs w:val="24"/>
          <w:lang w:val="cs-CZ"/>
        </w:rPr>
      </w:pPr>
    </w:p>
    <w:p w14:paraId="1A17CF53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b/>
          <w:sz w:val="24"/>
          <w:szCs w:val="24"/>
          <w:lang w:val="cs-CZ"/>
        </w:rPr>
      </w:pPr>
      <w:r w:rsidRPr="00894AFB">
        <w:rPr>
          <w:rFonts w:eastAsia="Times New Roman" w:cs="Times New Roman"/>
          <w:b/>
          <w:sz w:val="24"/>
          <w:szCs w:val="24"/>
          <w:lang w:val="cs-CZ"/>
        </w:rPr>
        <w:t>Výzkumné oblasti:</w:t>
      </w:r>
    </w:p>
    <w:p w14:paraId="61BC8C18" w14:textId="48650F35" w:rsidR="00894AFB" w:rsidRPr="00894AFB" w:rsidRDefault="00894AFB" w:rsidP="00894AFB">
      <w:pPr>
        <w:spacing w:after="0" w:line="240" w:lineRule="auto"/>
        <w:ind w:right="1735" w:firstLine="426"/>
        <w:rPr>
          <w:rFonts w:eastAsia="Times New Roman" w:cs="Times New Roman"/>
          <w:sz w:val="24"/>
          <w:szCs w:val="24"/>
          <w:lang w:val="cs-CZ"/>
        </w:rPr>
      </w:pPr>
      <w:r w:rsidRPr="00894AFB">
        <w:rPr>
          <w:rFonts w:eastAsia="Times New Roman" w:cs="Times New Roman"/>
          <w:sz w:val="24"/>
          <w:szCs w:val="24"/>
          <w:lang w:val="cs-CZ"/>
        </w:rPr>
        <w:t>energ</w:t>
      </w:r>
      <w:r w:rsidR="006230BA">
        <w:rPr>
          <w:rFonts w:eastAsia="Times New Roman" w:cs="Times New Roman"/>
          <w:sz w:val="24"/>
          <w:szCs w:val="24"/>
          <w:lang w:val="cs-CZ"/>
        </w:rPr>
        <w:t>etika, fyzika</w:t>
      </w:r>
    </w:p>
    <w:p w14:paraId="325E94BF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sz w:val="24"/>
          <w:szCs w:val="24"/>
          <w:lang w:val="cs-CZ"/>
        </w:rPr>
      </w:pPr>
    </w:p>
    <w:p w14:paraId="2719C74E" w14:textId="77777777" w:rsidR="00894AFB" w:rsidRPr="00894AFB" w:rsidRDefault="00894AFB" w:rsidP="00894AFB">
      <w:pPr>
        <w:spacing w:after="0" w:line="240" w:lineRule="auto"/>
        <w:outlineLvl w:val="0"/>
        <w:rPr>
          <w:b/>
          <w:sz w:val="24"/>
          <w:szCs w:val="24"/>
          <w:lang w:val="cs-CZ"/>
        </w:rPr>
      </w:pPr>
      <w:r w:rsidRPr="00894AFB">
        <w:rPr>
          <w:b/>
          <w:sz w:val="24"/>
          <w:szCs w:val="24"/>
          <w:lang w:val="cs-CZ"/>
        </w:rPr>
        <w:t>Hostitelská instituce:</w:t>
      </w:r>
    </w:p>
    <w:p w14:paraId="717D1F1A" w14:textId="50DBA38B" w:rsidR="00894AFB" w:rsidRPr="00894AFB" w:rsidRDefault="00894AFB" w:rsidP="00894AFB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val="cs-CZ"/>
        </w:rPr>
      </w:pPr>
      <w:r w:rsidRPr="00894AFB">
        <w:rPr>
          <w:rFonts w:eastAsia="Arial" w:cs="Arial"/>
          <w:spacing w:val="3"/>
          <w:sz w:val="24"/>
          <w:szCs w:val="24"/>
          <w:lang w:val="cs-CZ"/>
        </w:rPr>
        <w:t>Centrum výzkumu Řež, s.r.o.</w:t>
      </w:r>
      <w:r>
        <w:rPr>
          <w:rFonts w:eastAsia="Arial" w:cs="Arial"/>
          <w:spacing w:val="3"/>
          <w:sz w:val="24"/>
          <w:szCs w:val="24"/>
          <w:lang w:val="cs-CZ"/>
        </w:rPr>
        <w:t xml:space="preserve">, </w:t>
      </w:r>
      <w:r w:rsidRPr="00894AFB">
        <w:rPr>
          <w:rFonts w:eastAsia="Arial" w:cs="Arial"/>
          <w:spacing w:val="3"/>
          <w:sz w:val="24"/>
          <w:szCs w:val="24"/>
          <w:lang w:val="cs-CZ"/>
        </w:rPr>
        <w:t>Hlavní 130</w:t>
      </w:r>
      <w:r>
        <w:rPr>
          <w:rFonts w:eastAsia="Arial" w:cs="Arial"/>
          <w:spacing w:val="3"/>
          <w:sz w:val="24"/>
          <w:szCs w:val="24"/>
          <w:lang w:val="cs-CZ"/>
        </w:rPr>
        <w:t xml:space="preserve">, </w:t>
      </w:r>
      <w:r w:rsidRPr="00894AFB">
        <w:rPr>
          <w:rFonts w:eastAsia="Arial" w:cs="Arial"/>
          <w:spacing w:val="3"/>
          <w:sz w:val="24"/>
          <w:szCs w:val="24"/>
          <w:lang w:val="cs-CZ"/>
        </w:rPr>
        <w:t>250 68 Husinec-Řež</w:t>
      </w:r>
    </w:p>
    <w:p w14:paraId="681F1FBB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sz w:val="24"/>
          <w:szCs w:val="24"/>
          <w:lang w:val="cs-CZ"/>
        </w:rPr>
      </w:pPr>
    </w:p>
    <w:p w14:paraId="0D3A0D78" w14:textId="77777777" w:rsidR="00894AFB" w:rsidRPr="00894AFB" w:rsidRDefault="00894AFB" w:rsidP="00894AFB">
      <w:pPr>
        <w:spacing w:after="0" w:line="240" w:lineRule="auto"/>
        <w:ind w:right="1735"/>
        <w:rPr>
          <w:rFonts w:eastAsia="Arial" w:cs="Arial"/>
          <w:sz w:val="24"/>
          <w:szCs w:val="24"/>
          <w:lang w:val="cs-CZ"/>
        </w:rPr>
      </w:pPr>
      <w:r w:rsidRPr="00894AFB">
        <w:rPr>
          <w:rFonts w:eastAsia="Arial" w:cs="Arial"/>
          <w:b/>
          <w:bCs/>
          <w:spacing w:val="3"/>
          <w:sz w:val="24"/>
          <w:szCs w:val="24"/>
          <w:lang w:val="cs-CZ"/>
        </w:rPr>
        <w:t>Statutární orgán</w:t>
      </w:r>
      <w:r w:rsidRPr="00894AFB">
        <w:rPr>
          <w:rFonts w:eastAsia="Arial" w:cs="Arial"/>
          <w:sz w:val="24"/>
          <w:szCs w:val="24"/>
          <w:lang w:val="cs-CZ"/>
        </w:rPr>
        <w:t>:</w:t>
      </w:r>
    </w:p>
    <w:p w14:paraId="75B53CB0" w14:textId="6E8428BB" w:rsidR="00894AFB" w:rsidRPr="00894AFB" w:rsidRDefault="00894AFB" w:rsidP="00894AFB">
      <w:pPr>
        <w:spacing w:after="0" w:line="240" w:lineRule="auto"/>
        <w:ind w:right="1735" w:firstLine="426"/>
        <w:rPr>
          <w:rFonts w:eastAsia="Arial" w:cs="Arial"/>
          <w:sz w:val="24"/>
          <w:szCs w:val="24"/>
          <w:lang w:val="cs-CZ"/>
        </w:rPr>
      </w:pPr>
      <w:r w:rsidRPr="00894AFB">
        <w:rPr>
          <w:rFonts w:eastAsia="Arial" w:cs="Arial"/>
          <w:sz w:val="24"/>
          <w:szCs w:val="24"/>
          <w:lang w:val="cs-CZ"/>
        </w:rPr>
        <w:t>Jednatelé Centra výzkumu Řež s.r.o.:</w:t>
      </w:r>
    </w:p>
    <w:p w14:paraId="4DC7EC5C" w14:textId="77777777" w:rsidR="00894AFB" w:rsidRPr="00894AFB" w:rsidRDefault="00894AFB" w:rsidP="00894AFB">
      <w:pPr>
        <w:spacing w:after="0" w:line="240" w:lineRule="auto"/>
        <w:ind w:right="1735" w:firstLine="709"/>
        <w:rPr>
          <w:rFonts w:eastAsia="Arial" w:cs="Arial"/>
          <w:spacing w:val="3"/>
          <w:sz w:val="24"/>
          <w:szCs w:val="24"/>
          <w:lang w:val="cs-CZ"/>
        </w:rPr>
      </w:pPr>
      <w:r w:rsidRPr="00894AFB">
        <w:rPr>
          <w:rFonts w:eastAsia="Arial" w:cs="Arial"/>
          <w:spacing w:val="3"/>
          <w:sz w:val="24"/>
          <w:szCs w:val="24"/>
          <w:lang w:val="cs-CZ"/>
        </w:rPr>
        <w:t xml:space="preserve">Jméno: Ing. Martin </w:t>
      </w:r>
      <w:proofErr w:type="spellStart"/>
      <w:r w:rsidRPr="00894AFB">
        <w:rPr>
          <w:rFonts w:eastAsia="Arial" w:cs="Arial"/>
          <w:spacing w:val="3"/>
          <w:sz w:val="24"/>
          <w:szCs w:val="24"/>
          <w:lang w:val="cs-CZ"/>
        </w:rPr>
        <w:t>Ruščák</w:t>
      </w:r>
      <w:proofErr w:type="spellEnd"/>
      <w:r w:rsidRPr="00894AFB">
        <w:rPr>
          <w:rFonts w:eastAsia="Arial" w:cs="Arial"/>
          <w:spacing w:val="3"/>
          <w:sz w:val="24"/>
          <w:szCs w:val="24"/>
          <w:lang w:val="cs-CZ"/>
        </w:rPr>
        <w:t>, CSc., MBA</w:t>
      </w:r>
    </w:p>
    <w:p w14:paraId="09C3578C" w14:textId="05B14B50" w:rsidR="00894AFB" w:rsidRPr="00894AFB" w:rsidRDefault="00894AFB" w:rsidP="00894AFB">
      <w:pPr>
        <w:spacing w:after="0" w:line="240" w:lineRule="auto"/>
        <w:ind w:right="1735" w:firstLine="709"/>
        <w:rPr>
          <w:sz w:val="24"/>
          <w:szCs w:val="24"/>
          <w:lang w:val="cs-CZ"/>
        </w:rPr>
      </w:pPr>
      <w:r w:rsidRPr="00894AFB">
        <w:rPr>
          <w:sz w:val="24"/>
          <w:szCs w:val="24"/>
          <w:lang w:val="cs-CZ"/>
        </w:rPr>
        <w:t>Pozice: ředitel</w:t>
      </w:r>
    </w:p>
    <w:p w14:paraId="26024C56" w14:textId="77777777" w:rsidR="00894AFB" w:rsidRPr="00894AFB" w:rsidRDefault="00894AFB" w:rsidP="00894AFB">
      <w:pPr>
        <w:spacing w:after="0" w:line="240" w:lineRule="auto"/>
        <w:ind w:right="1735"/>
        <w:rPr>
          <w:sz w:val="24"/>
          <w:szCs w:val="24"/>
          <w:lang w:val="cs-CZ"/>
        </w:rPr>
      </w:pPr>
    </w:p>
    <w:p w14:paraId="413734BE" w14:textId="77777777" w:rsidR="00894AFB" w:rsidRPr="00894AFB" w:rsidRDefault="00894AFB" w:rsidP="00894AFB">
      <w:pPr>
        <w:spacing w:after="0" w:line="240" w:lineRule="auto"/>
        <w:ind w:right="1735" w:firstLine="709"/>
        <w:rPr>
          <w:noProof/>
          <w:sz w:val="24"/>
          <w:szCs w:val="24"/>
          <w:lang w:val="cs-CZ"/>
        </w:rPr>
      </w:pPr>
      <w:r w:rsidRPr="00894AFB">
        <w:rPr>
          <w:noProof/>
          <w:sz w:val="24"/>
          <w:szCs w:val="24"/>
          <w:lang w:val="cs-CZ"/>
        </w:rPr>
        <w:t>Jméno: Ing. Jiří Richter</w:t>
      </w:r>
    </w:p>
    <w:p w14:paraId="7DEF2B05" w14:textId="6F228EEC" w:rsidR="00894AFB" w:rsidRPr="00894AFB" w:rsidRDefault="00894AFB" w:rsidP="00894AFB">
      <w:pPr>
        <w:spacing w:after="0" w:line="240" w:lineRule="auto"/>
        <w:ind w:right="1735" w:firstLine="709"/>
        <w:rPr>
          <w:noProof/>
          <w:sz w:val="24"/>
          <w:szCs w:val="24"/>
          <w:lang w:val="cs-CZ"/>
        </w:rPr>
      </w:pPr>
      <w:r w:rsidRPr="00894AFB">
        <w:rPr>
          <w:noProof/>
          <w:sz w:val="24"/>
          <w:szCs w:val="24"/>
          <w:lang w:val="cs-CZ"/>
        </w:rPr>
        <w:t>Pozice: ředitel projektu SUSEN</w:t>
      </w:r>
    </w:p>
    <w:p w14:paraId="5B526264" w14:textId="77777777" w:rsidR="00894AFB" w:rsidRPr="00894AFB" w:rsidRDefault="00894AFB" w:rsidP="00894AFB">
      <w:pPr>
        <w:spacing w:after="0" w:line="240" w:lineRule="auto"/>
        <w:ind w:right="1735"/>
        <w:rPr>
          <w:noProof/>
          <w:sz w:val="24"/>
          <w:szCs w:val="24"/>
          <w:lang w:val="cs-CZ"/>
        </w:rPr>
      </w:pPr>
    </w:p>
    <w:p w14:paraId="02956EAC" w14:textId="77777777" w:rsidR="00894AFB" w:rsidRPr="00894AFB" w:rsidRDefault="00894AFB" w:rsidP="00894AFB">
      <w:pPr>
        <w:spacing w:after="0" w:line="240" w:lineRule="auto"/>
        <w:ind w:right="1735" w:firstLine="709"/>
        <w:rPr>
          <w:noProof/>
          <w:sz w:val="24"/>
          <w:szCs w:val="24"/>
          <w:lang w:val="cs-CZ"/>
        </w:rPr>
      </w:pPr>
      <w:r w:rsidRPr="00894AFB">
        <w:rPr>
          <w:noProof/>
          <w:sz w:val="24"/>
          <w:szCs w:val="24"/>
          <w:lang w:val="cs-CZ"/>
        </w:rPr>
        <w:t>Jméno: Ing. Jan Rábl</w:t>
      </w:r>
    </w:p>
    <w:p w14:paraId="39C375E1" w14:textId="2DC9618F" w:rsidR="00894AFB" w:rsidRPr="00894AFB" w:rsidRDefault="00894AFB" w:rsidP="00894AFB">
      <w:pPr>
        <w:spacing w:after="0" w:line="240" w:lineRule="auto"/>
        <w:ind w:right="1735" w:firstLine="709"/>
        <w:rPr>
          <w:noProof/>
          <w:sz w:val="24"/>
          <w:szCs w:val="24"/>
          <w:lang w:val="cs-CZ"/>
        </w:rPr>
      </w:pPr>
      <w:r w:rsidRPr="00894AFB">
        <w:rPr>
          <w:noProof/>
          <w:sz w:val="24"/>
          <w:szCs w:val="24"/>
          <w:lang w:val="cs-CZ"/>
        </w:rPr>
        <w:t>Pozice: finanční ředitel</w:t>
      </w:r>
    </w:p>
    <w:p w14:paraId="0D11295F" w14:textId="77777777" w:rsidR="00894AFB" w:rsidRPr="00894AFB" w:rsidRDefault="00894AFB" w:rsidP="00894AFB">
      <w:pPr>
        <w:spacing w:after="0" w:line="240" w:lineRule="auto"/>
        <w:ind w:right="1735"/>
        <w:rPr>
          <w:rFonts w:eastAsia="Times New Roman" w:cs="Times New Roman"/>
          <w:sz w:val="24"/>
          <w:szCs w:val="24"/>
          <w:lang w:val="cs-CZ"/>
        </w:rPr>
      </w:pPr>
    </w:p>
    <w:p w14:paraId="501A1741" w14:textId="77777777" w:rsidR="00894AFB" w:rsidRPr="00894AFB" w:rsidRDefault="00894AFB" w:rsidP="00894AFB">
      <w:pPr>
        <w:spacing w:after="0" w:line="240" w:lineRule="auto"/>
        <w:ind w:right="6"/>
        <w:rPr>
          <w:rFonts w:eastAsia="Arial" w:cs="Arial"/>
          <w:sz w:val="24"/>
          <w:szCs w:val="24"/>
          <w:lang w:val="cs-CZ"/>
        </w:rPr>
      </w:pPr>
      <w:r w:rsidRPr="00894AFB">
        <w:rPr>
          <w:rFonts w:eastAsia="Arial" w:cs="Arial"/>
          <w:b/>
          <w:bCs/>
          <w:spacing w:val="3"/>
          <w:sz w:val="24"/>
          <w:szCs w:val="24"/>
          <w:lang w:val="cs-CZ"/>
        </w:rPr>
        <w:t>Hlavní řešitel</w:t>
      </w:r>
      <w:r w:rsidRPr="00894AFB">
        <w:rPr>
          <w:rFonts w:eastAsia="Arial" w:cs="Arial"/>
          <w:sz w:val="24"/>
          <w:szCs w:val="24"/>
          <w:lang w:val="cs-CZ"/>
        </w:rPr>
        <w:t>:</w:t>
      </w:r>
    </w:p>
    <w:p w14:paraId="13FAFF1E" w14:textId="77777777" w:rsidR="00894AFB" w:rsidRPr="00894AFB" w:rsidRDefault="00894AFB" w:rsidP="00894AFB">
      <w:pPr>
        <w:spacing w:after="0" w:line="240" w:lineRule="auto"/>
        <w:ind w:right="6" w:firstLine="426"/>
        <w:rPr>
          <w:rFonts w:eastAsia="Arial" w:cs="Arial"/>
          <w:spacing w:val="3"/>
          <w:sz w:val="24"/>
          <w:szCs w:val="24"/>
          <w:lang w:val="cs-CZ"/>
        </w:rPr>
      </w:pPr>
      <w:r w:rsidRPr="00894AFB">
        <w:rPr>
          <w:rFonts w:eastAsia="Arial" w:cs="Arial"/>
          <w:spacing w:val="3"/>
          <w:sz w:val="24"/>
          <w:szCs w:val="24"/>
          <w:lang w:val="cs-CZ"/>
        </w:rPr>
        <w:t>Jméno: Ing. Jiří Záborský, Ph.D.</w:t>
      </w:r>
    </w:p>
    <w:p w14:paraId="1F19E7F5" w14:textId="77777777" w:rsidR="00894AFB" w:rsidRPr="00894AFB" w:rsidRDefault="00894AFB" w:rsidP="00894AFB">
      <w:pPr>
        <w:spacing w:after="0" w:line="240" w:lineRule="auto"/>
        <w:ind w:right="4" w:firstLine="426"/>
        <w:rPr>
          <w:rFonts w:eastAsia="Arial" w:cs="Arial"/>
          <w:spacing w:val="3"/>
          <w:sz w:val="24"/>
          <w:szCs w:val="24"/>
          <w:lang w:val="cs-CZ"/>
        </w:rPr>
      </w:pPr>
      <w:r w:rsidRPr="00894AFB">
        <w:rPr>
          <w:rFonts w:eastAsia="Arial" w:cs="Arial"/>
          <w:spacing w:val="3"/>
          <w:sz w:val="24"/>
          <w:szCs w:val="24"/>
          <w:lang w:val="cs-CZ"/>
        </w:rPr>
        <w:t>Pozice: Ředitel sekce konstrukce a vývoj</w:t>
      </w:r>
    </w:p>
    <w:p w14:paraId="666CCC38" w14:textId="77777777" w:rsidR="00894AFB" w:rsidRPr="00894AFB" w:rsidRDefault="00894AFB" w:rsidP="00894AFB">
      <w:pPr>
        <w:spacing w:after="0" w:line="240" w:lineRule="auto"/>
        <w:ind w:right="1735"/>
        <w:rPr>
          <w:b/>
          <w:sz w:val="24"/>
          <w:szCs w:val="24"/>
          <w:lang w:val="cs-CZ"/>
        </w:rPr>
      </w:pPr>
    </w:p>
    <w:p w14:paraId="0ACD041B" w14:textId="77777777" w:rsidR="00D6359A" w:rsidRPr="00894AFB" w:rsidRDefault="00D6359A">
      <w:pPr>
        <w:spacing w:after="160" w:line="259" w:lineRule="auto"/>
        <w:rPr>
          <w:b/>
          <w:sz w:val="24"/>
          <w:szCs w:val="24"/>
          <w:lang w:val="cs-CZ"/>
        </w:rPr>
      </w:pPr>
      <w:r w:rsidRPr="00894AFB">
        <w:rPr>
          <w:b/>
          <w:sz w:val="24"/>
          <w:szCs w:val="24"/>
          <w:lang w:val="cs-CZ"/>
        </w:rPr>
        <w:br w:type="page"/>
      </w:r>
    </w:p>
    <w:p w14:paraId="762338FA" w14:textId="4AFB96DD" w:rsidR="00945708" w:rsidRPr="00E55564" w:rsidRDefault="00E402D6" w:rsidP="00E55564">
      <w:pPr>
        <w:spacing w:after="240" w:line="240" w:lineRule="auto"/>
        <w:rPr>
          <w:b/>
          <w:sz w:val="28"/>
          <w:szCs w:val="28"/>
          <w:lang w:val="cs-CZ"/>
        </w:rPr>
      </w:pPr>
      <w:r w:rsidRPr="00E55564">
        <w:rPr>
          <w:b/>
          <w:sz w:val="28"/>
          <w:szCs w:val="28"/>
          <w:lang w:val="cs-CZ"/>
        </w:rPr>
        <w:lastRenderedPageBreak/>
        <w:t>I</w:t>
      </w:r>
      <w:r w:rsidR="00945708" w:rsidRPr="00E55564">
        <w:rPr>
          <w:b/>
          <w:sz w:val="28"/>
          <w:szCs w:val="28"/>
          <w:lang w:val="cs-CZ"/>
        </w:rPr>
        <w:t xml:space="preserve">. </w:t>
      </w:r>
      <w:r w:rsidR="001053EA" w:rsidRPr="00E55564">
        <w:rPr>
          <w:b/>
          <w:sz w:val="28"/>
          <w:szCs w:val="28"/>
          <w:lang w:val="cs-CZ"/>
        </w:rPr>
        <w:t>P</w:t>
      </w:r>
      <w:r w:rsidR="00E55564">
        <w:rPr>
          <w:b/>
          <w:sz w:val="28"/>
          <w:szCs w:val="28"/>
          <w:lang w:val="cs-CZ"/>
        </w:rPr>
        <w:t>opis výzkumné infrastruktury</w:t>
      </w:r>
    </w:p>
    <w:p w14:paraId="18E563BF" w14:textId="77777777" w:rsidR="00F707B1" w:rsidRPr="00E55564" w:rsidRDefault="00FD35C2" w:rsidP="00BC05EA">
      <w:pPr>
        <w:spacing w:after="60" w:line="240" w:lineRule="auto"/>
        <w:ind w:firstLine="425"/>
        <w:jc w:val="both"/>
        <w:rPr>
          <w:sz w:val="24"/>
          <w:szCs w:val="24"/>
          <w:lang w:val="cs-CZ" w:eastAsia="cs-CZ"/>
        </w:rPr>
      </w:pPr>
      <w:r w:rsidRPr="00E55564">
        <w:rPr>
          <w:sz w:val="24"/>
          <w:szCs w:val="24"/>
          <w:lang w:val="cs-CZ" w:eastAsia="cs-CZ"/>
        </w:rPr>
        <w:t>Světová</w:t>
      </w:r>
      <w:r w:rsidR="00F707B1" w:rsidRPr="00E55564">
        <w:rPr>
          <w:sz w:val="24"/>
          <w:szCs w:val="24"/>
          <w:lang w:val="cs-CZ" w:eastAsia="cs-CZ"/>
        </w:rPr>
        <w:t xml:space="preserve"> energetická koncepce v sobě obsahuje dva základní směry přístupu k vývoji v této oblasti:</w:t>
      </w:r>
    </w:p>
    <w:p w14:paraId="380C3A17" w14:textId="3B84AF30" w:rsidR="00F707B1" w:rsidRPr="00441E84" w:rsidRDefault="00F707B1" w:rsidP="00441E84">
      <w:pPr>
        <w:pStyle w:val="Odstavecseseznamem"/>
        <w:numPr>
          <w:ilvl w:val="0"/>
          <w:numId w:val="24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441E84">
        <w:rPr>
          <w:sz w:val="24"/>
          <w:szCs w:val="24"/>
          <w:lang w:val="cs-CZ" w:eastAsia="cs-CZ"/>
        </w:rPr>
        <w:t xml:space="preserve">Především se jedná o </w:t>
      </w:r>
      <w:r w:rsidR="00D52684" w:rsidRPr="00441E84">
        <w:rPr>
          <w:sz w:val="24"/>
          <w:szCs w:val="24"/>
          <w:lang w:val="cs-CZ" w:eastAsia="cs-CZ"/>
        </w:rPr>
        <w:t>zabezpečení prodlužování</w:t>
      </w:r>
      <w:r w:rsidRPr="00441E84">
        <w:rPr>
          <w:sz w:val="24"/>
          <w:szCs w:val="24"/>
          <w:lang w:val="cs-CZ" w:eastAsia="cs-CZ"/>
        </w:rPr>
        <w:t xml:space="preserve"> životnosti </w:t>
      </w:r>
      <w:r w:rsidR="00D52684" w:rsidRPr="00441E84">
        <w:rPr>
          <w:sz w:val="24"/>
          <w:szCs w:val="24"/>
          <w:lang w:val="cs-CZ" w:eastAsia="cs-CZ"/>
        </w:rPr>
        <w:t>stávajících</w:t>
      </w:r>
      <w:r w:rsidRPr="00441E84">
        <w:rPr>
          <w:sz w:val="24"/>
          <w:szCs w:val="24"/>
          <w:lang w:val="cs-CZ" w:eastAsia="cs-CZ"/>
        </w:rPr>
        <w:t xml:space="preserve"> energetických </w:t>
      </w:r>
      <w:r w:rsidR="00D52684" w:rsidRPr="00441E84">
        <w:rPr>
          <w:sz w:val="24"/>
          <w:szCs w:val="24"/>
          <w:lang w:val="cs-CZ" w:eastAsia="cs-CZ"/>
        </w:rPr>
        <w:t>reaktorů. V oblasti</w:t>
      </w:r>
      <w:r w:rsidR="00FD35C2" w:rsidRPr="00441E84">
        <w:rPr>
          <w:sz w:val="24"/>
          <w:szCs w:val="24"/>
          <w:lang w:val="cs-CZ" w:eastAsia="cs-CZ"/>
        </w:rPr>
        <w:t xml:space="preserve"> jaderné energetiky se</w:t>
      </w:r>
      <w:r w:rsidRPr="00441E84">
        <w:rPr>
          <w:sz w:val="24"/>
          <w:szCs w:val="24"/>
          <w:lang w:val="cs-CZ" w:eastAsia="cs-CZ"/>
        </w:rPr>
        <w:t xml:space="preserve"> totiž</w:t>
      </w:r>
      <w:r w:rsidR="00FD35C2" w:rsidRPr="00441E84">
        <w:rPr>
          <w:sz w:val="24"/>
          <w:szCs w:val="24"/>
          <w:lang w:val="cs-CZ" w:eastAsia="cs-CZ"/>
        </w:rPr>
        <w:t xml:space="preserve"> ukázalo, že není možné vystavět nové reaktory takovým tempem a v takových počtech, které </w:t>
      </w:r>
      <w:r w:rsidRPr="00441E84">
        <w:rPr>
          <w:sz w:val="24"/>
          <w:szCs w:val="24"/>
          <w:lang w:val="cs-CZ" w:eastAsia="cs-CZ"/>
        </w:rPr>
        <w:t>jsou uváděny</w:t>
      </w:r>
      <w:r w:rsidR="00FD35C2" w:rsidRPr="00441E84">
        <w:rPr>
          <w:sz w:val="24"/>
          <w:szCs w:val="24"/>
          <w:lang w:val="cs-CZ" w:eastAsia="cs-CZ"/>
        </w:rPr>
        <w:t xml:space="preserve"> jako nutné pro pokrytí energetických potřeb společnosti </w:t>
      </w:r>
      <w:r w:rsidRPr="00441E84">
        <w:rPr>
          <w:sz w:val="24"/>
          <w:szCs w:val="24"/>
          <w:lang w:val="cs-CZ" w:eastAsia="cs-CZ"/>
        </w:rPr>
        <w:t>v nedávných studiích</w:t>
      </w:r>
      <w:r w:rsidR="00FD35C2" w:rsidRPr="00441E84">
        <w:rPr>
          <w:sz w:val="24"/>
          <w:szCs w:val="24"/>
          <w:lang w:val="cs-CZ" w:eastAsia="cs-CZ"/>
        </w:rPr>
        <w:t>. Jedinou možností jak tento deficit vyrovnat a ekonomicky výhodně zajistit budoucí energetické potřeby je zabezpečit prodloužení životnosti stávajících jaderných elektráren na 60+, 80+, případně 100 let</w:t>
      </w:r>
      <w:r w:rsidR="00441E84">
        <w:rPr>
          <w:sz w:val="24"/>
          <w:szCs w:val="24"/>
          <w:lang w:val="cs-CZ" w:eastAsia="cs-CZ"/>
        </w:rPr>
        <w:t>.</w:t>
      </w:r>
    </w:p>
    <w:p w14:paraId="6182322C" w14:textId="0E935F3B" w:rsidR="00D52684" w:rsidRPr="00441E84" w:rsidRDefault="00F707B1" w:rsidP="00441E84">
      <w:pPr>
        <w:pStyle w:val="Odstavecseseznamem"/>
        <w:numPr>
          <w:ilvl w:val="0"/>
          <w:numId w:val="24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441E84">
        <w:rPr>
          <w:sz w:val="24"/>
          <w:szCs w:val="24"/>
          <w:lang w:val="cs-CZ" w:eastAsia="cs-CZ"/>
        </w:rPr>
        <w:t>Výzkum</w:t>
      </w:r>
      <w:r w:rsidR="00D52684" w:rsidRPr="00441E84">
        <w:rPr>
          <w:sz w:val="24"/>
          <w:szCs w:val="24"/>
          <w:lang w:val="cs-CZ" w:eastAsia="cs-CZ"/>
        </w:rPr>
        <w:t xml:space="preserve"> </w:t>
      </w:r>
      <w:r w:rsidRPr="00441E84">
        <w:rPr>
          <w:sz w:val="24"/>
          <w:szCs w:val="24"/>
          <w:lang w:val="cs-CZ" w:eastAsia="cs-CZ"/>
        </w:rPr>
        <w:t>a vývoj nových</w:t>
      </w:r>
      <w:r w:rsidR="00D52684" w:rsidRPr="00441E84">
        <w:rPr>
          <w:sz w:val="24"/>
          <w:szCs w:val="24"/>
          <w:lang w:val="cs-CZ" w:eastAsia="cs-CZ"/>
        </w:rPr>
        <w:t>,</w:t>
      </w:r>
      <w:r w:rsidRPr="00441E84">
        <w:rPr>
          <w:sz w:val="24"/>
          <w:szCs w:val="24"/>
          <w:lang w:val="cs-CZ" w:eastAsia="cs-CZ"/>
        </w:rPr>
        <w:t xml:space="preserve"> efektivnějších a bezpečnějších konceptů tzv. </w:t>
      </w:r>
      <w:r w:rsidR="00D52684" w:rsidRPr="00441E84">
        <w:rPr>
          <w:sz w:val="24"/>
          <w:szCs w:val="24"/>
          <w:lang w:val="cs-CZ" w:eastAsia="cs-CZ"/>
        </w:rPr>
        <w:t>č</w:t>
      </w:r>
      <w:r w:rsidRPr="00441E84">
        <w:rPr>
          <w:sz w:val="24"/>
          <w:szCs w:val="24"/>
          <w:lang w:val="cs-CZ" w:eastAsia="cs-CZ"/>
        </w:rPr>
        <w:t xml:space="preserve">tvrté generace </w:t>
      </w:r>
      <w:r w:rsidR="00D52684" w:rsidRPr="00441E84">
        <w:rPr>
          <w:sz w:val="24"/>
          <w:szCs w:val="24"/>
          <w:lang w:val="cs-CZ" w:eastAsia="cs-CZ"/>
        </w:rPr>
        <w:t xml:space="preserve">jaderných </w:t>
      </w:r>
      <w:r w:rsidRPr="00441E84">
        <w:rPr>
          <w:sz w:val="24"/>
          <w:szCs w:val="24"/>
          <w:lang w:val="cs-CZ" w:eastAsia="cs-CZ"/>
        </w:rPr>
        <w:t>reaktorů</w:t>
      </w:r>
      <w:r w:rsidR="00D52684" w:rsidRPr="00441E84">
        <w:rPr>
          <w:sz w:val="24"/>
          <w:szCs w:val="24"/>
          <w:lang w:val="cs-CZ" w:eastAsia="cs-CZ"/>
        </w:rPr>
        <w:t xml:space="preserve"> (GEN IV.). Mezi koncepty, které jsou v EU uvažovány</w:t>
      </w:r>
      <w:r w:rsidR="00441E84">
        <w:rPr>
          <w:sz w:val="24"/>
          <w:szCs w:val="24"/>
          <w:lang w:val="cs-CZ" w:eastAsia="cs-CZ"/>
        </w:rPr>
        <w:t>,</w:t>
      </w:r>
      <w:r w:rsidR="00D52684" w:rsidRPr="00441E84">
        <w:rPr>
          <w:sz w:val="24"/>
          <w:szCs w:val="24"/>
          <w:lang w:val="cs-CZ" w:eastAsia="cs-CZ"/>
        </w:rPr>
        <w:t xml:space="preserve"> patří sodíkem chlazený reaktor, heliem chlazený reaktor a olovem chlazený reaktor.</w:t>
      </w:r>
    </w:p>
    <w:p w14:paraId="3B05EF3D" w14:textId="1784FABA" w:rsidR="00FD35C2" w:rsidRPr="00E55564" w:rsidRDefault="00D52684" w:rsidP="00441E8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 w:eastAsia="cs-CZ"/>
        </w:rPr>
        <w:t xml:space="preserve">Oba přístupy vyžadují velké množství výzkumu. </w:t>
      </w:r>
      <w:r w:rsidR="002D2722" w:rsidRPr="00E55564">
        <w:rPr>
          <w:sz w:val="24"/>
          <w:szCs w:val="24"/>
          <w:lang w:val="cs-CZ" w:eastAsia="cs-CZ"/>
        </w:rPr>
        <w:t>Potřebný</w:t>
      </w:r>
      <w:r w:rsidRPr="00E55564">
        <w:rPr>
          <w:sz w:val="24"/>
          <w:szCs w:val="24"/>
          <w:lang w:val="cs-CZ" w:eastAsia="cs-CZ"/>
        </w:rPr>
        <w:t xml:space="preserve"> </w:t>
      </w:r>
      <w:r w:rsidR="002D2722" w:rsidRPr="00E55564">
        <w:rPr>
          <w:sz w:val="24"/>
          <w:szCs w:val="24"/>
          <w:lang w:val="cs-CZ" w:eastAsia="cs-CZ"/>
        </w:rPr>
        <w:t>výzkum</w:t>
      </w:r>
      <w:r w:rsidRPr="00E55564">
        <w:rPr>
          <w:sz w:val="24"/>
          <w:szCs w:val="24"/>
          <w:lang w:val="cs-CZ" w:eastAsia="cs-CZ"/>
        </w:rPr>
        <w:t xml:space="preserve"> probíhá na různých druzích výzkumné infrastruktury (smyčky, autoklávy, atd.). Klíčovým typem výzkumné infrastruktury, díky které </w:t>
      </w:r>
      <w:r w:rsidR="00FD35C2" w:rsidRPr="00E55564">
        <w:rPr>
          <w:sz w:val="24"/>
          <w:szCs w:val="24"/>
          <w:lang w:val="cs-CZ"/>
        </w:rPr>
        <w:t xml:space="preserve">výzkum probíhá, </w:t>
      </w:r>
      <w:r w:rsidRPr="00E55564">
        <w:rPr>
          <w:sz w:val="24"/>
          <w:szCs w:val="24"/>
          <w:lang w:val="cs-CZ"/>
        </w:rPr>
        <w:t xml:space="preserve">jsou výzkumné reaktory. Jsou a zůstanou </w:t>
      </w:r>
      <w:r w:rsidR="00FD35C2" w:rsidRPr="00E55564">
        <w:rPr>
          <w:sz w:val="24"/>
          <w:szCs w:val="24"/>
          <w:lang w:val="cs-CZ"/>
        </w:rPr>
        <w:t xml:space="preserve">podstatným faktorem pro </w:t>
      </w:r>
      <w:r w:rsidRPr="00E55564">
        <w:rPr>
          <w:sz w:val="24"/>
          <w:szCs w:val="24"/>
          <w:lang w:val="cs-CZ"/>
        </w:rPr>
        <w:t xml:space="preserve">bezpečný provoz i </w:t>
      </w:r>
      <w:r w:rsidR="00441E84">
        <w:rPr>
          <w:sz w:val="24"/>
          <w:szCs w:val="24"/>
          <w:lang w:val="cs-CZ"/>
        </w:rPr>
        <w:t>modernizaci jaderné energetiky.</w:t>
      </w:r>
    </w:p>
    <w:p w14:paraId="50C6D32D" w14:textId="1386F7D0" w:rsidR="00C521F4" w:rsidRPr="00E55564" w:rsidRDefault="003C76A1" w:rsidP="00441E8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rFonts w:eastAsia="Times New Roman" w:cs="Times New Roman"/>
          <w:sz w:val="24"/>
          <w:szCs w:val="24"/>
          <w:lang w:val="cs-CZ"/>
        </w:rPr>
        <w:t xml:space="preserve">Výzkumná infrastruktura </w:t>
      </w:r>
      <w:proofErr w:type="spellStart"/>
      <w:r w:rsidR="00C521F4" w:rsidRPr="00E55564">
        <w:rPr>
          <w:rFonts w:eastAsia="Times New Roman" w:cs="Times New Roman"/>
          <w:sz w:val="24"/>
          <w:szCs w:val="24"/>
          <w:lang w:val="cs-CZ"/>
        </w:rPr>
        <w:t>Jules</w:t>
      </w:r>
      <w:proofErr w:type="spellEnd"/>
      <w:r w:rsidR="00C521F4" w:rsidRPr="00E55564">
        <w:rPr>
          <w:rFonts w:eastAsia="Times New Roman" w:cs="Times New Roman"/>
          <w:sz w:val="24"/>
          <w:szCs w:val="24"/>
          <w:lang w:val="cs-CZ"/>
        </w:rPr>
        <w:t xml:space="preserve"> </w:t>
      </w:r>
      <w:proofErr w:type="spellStart"/>
      <w:r w:rsidR="00C521F4" w:rsidRPr="00E55564">
        <w:rPr>
          <w:rFonts w:eastAsia="Times New Roman" w:cs="Times New Roman"/>
          <w:sz w:val="24"/>
          <w:szCs w:val="24"/>
          <w:lang w:val="cs-CZ"/>
        </w:rPr>
        <w:t>Horowitz</w:t>
      </w:r>
      <w:proofErr w:type="spellEnd"/>
      <w:r w:rsidR="007F634E" w:rsidRPr="00E55564">
        <w:rPr>
          <w:rFonts w:eastAsia="Times New Roman" w:cs="Times New Roman"/>
          <w:sz w:val="24"/>
          <w:szCs w:val="24"/>
          <w:lang w:val="cs-CZ"/>
        </w:rPr>
        <w:t xml:space="preserve"> </w:t>
      </w:r>
      <w:proofErr w:type="spellStart"/>
      <w:r w:rsidR="00441E84">
        <w:rPr>
          <w:rFonts w:eastAsia="Times New Roman" w:cs="Times New Roman"/>
          <w:sz w:val="24"/>
          <w:szCs w:val="24"/>
          <w:lang w:val="cs-CZ"/>
        </w:rPr>
        <w:t>Reactor</w:t>
      </w:r>
      <w:proofErr w:type="spellEnd"/>
      <w:r w:rsidR="00441E84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7F634E" w:rsidRPr="00E55564">
        <w:rPr>
          <w:rFonts w:eastAsia="Times New Roman" w:cs="Times New Roman"/>
          <w:sz w:val="24"/>
          <w:szCs w:val="24"/>
          <w:lang w:val="cs-CZ"/>
        </w:rPr>
        <w:t>(JHR)</w:t>
      </w:r>
      <w:r w:rsidR="00A264A7" w:rsidRPr="00E55564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E55564">
        <w:rPr>
          <w:rFonts w:eastAsia="Times New Roman" w:cs="Times New Roman"/>
          <w:sz w:val="24"/>
          <w:szCs w:val="24"/>
          <w:lang w:val="cs-CZ"/>
        </w:rPr>
        <w:t xml:space="preserve">spočívá ve vybudování </w:t>
      </w:r>
      <w:r w:rsidR="00FD35C2" w:rsidRPr="00E55564">
        <w:rPr>
          <w:rFonts w:eastAsia="Times New Roman" w:cs="Times New Roman"/>
          <w:sz w:val="24"/>
          <w:szCs w:val="24"/>
          <w:lang w:val="cs-CZ"/>
        </w:rPr>
        <w:t xml:space="preserve">takového </w:t>
      </w:r>
      <w:r w:rsidR="00C521F4" w:rsidRPr="00E55564">
        <w:rPr>
          <w:sz w:val="24"/>
          <w:szCs w:val="24"/>
          <w:lang w:val="cs-CZ"/>
        </w:rPr>
        <w:t>výzkumn</w:t>
      </w:r>
      <w:r w:rsidRPr="00E55564">
        <w:rPr>
          <w:sz w:val="24"/>
          <w:szCs w:val="24"/>
          <w:lang w:val="cs-CZ"/>
        </w:rPr>
        <w:t>ého</w:t>
      </w:r>
      <w:r w:rsidR="00C521F4" w:rsidRPr="00E55564">
        <w:rPr>
          <w:sz w:val="24"/>
          <w:szCs w:val="24"/>
          <w:lang w:val="cs-CZ"/>
        </w:rPr>
        <w:t xml:space="preserve"> reaktor</w:t>
      </w:r>
      <w:r w:rsidRPr="00E55564">
        <w:rPr>
          <w:sz w:val="24"/>
          <w:szCs w:val="24"/>
          <w:lang w:val="cs-CZ"/>
        </w:rPr>
        <w:t>u</w:t>
      </w:r>
      <w:r w:rsidR="00FD35C2" w:rsidRPr="00E55564">
        <w:rPr>
          <w:sz w:val="24"/>
          <w:szCs w:val="24"/>
          <w:lang w:val="cs-CZ"/>
        </w:rPr>
        <w:t xml:space="preserve">. </w:t>
      </w:r>
      <w:r w:rsidR="002D2722" w:rsidRPr="00E55564">
        <w:rPr>
          <w:sz w:val="24"/>
          <w:szCs w:val="24"/>
          <w:lang w:val="cs-CZ"/>
        </w:rPr>
        <w:t>JHR, v</w:t>
      </w:r>
      <w:r w:rsidR="00FD35C2" w:rsidRPr="00E55564">
        <w:rPr>
          <w:sz w:val="24"/>
          <w:szCs w:val="24"/>
          <w:lang w:val="cs-CZ"/>
        </w:rPr>
        <w:t>ýzkumný reaktor</w:t>
      </w:r>
      <w:r w:rsidR="00C521F4" w:rsidRPr="00E55564">
        <w:rPr>
          <w:sz w:val="24"/>
          <w:szCs w:val="24"/>
          <w:lang w:val="cs-CZ"/>
        </w:rPr>
        <w:t xml:space="preserve"> </w:t>
      </w:r>
      <w:r w:rsidR="00565D44" w:rsidRPr="00E55564">
        <w:rPr>
          <w:sz w:val="24"/>
          <w:szCs w:val="24"/>
          <w:lang w:val="cs-CZ"/>
        </w:rPr>
        <w:t>o výkonu 100 MW</w:t>
      </w:r>
      <w:r w:rsidR="002D2722" w:rsidRPr="00E55564">
        <w:rPr>
          <w:sz w:val="24"/>
          <w:szCs w:val="24"/>
          <w:lang w:val="cs-CZ"/>
        </w:rPr>
        <w:t xml:space="preserve">, je nyní ve výstavbě ve francouzském </w:t>
      </w:r>
      <w:proofErr w:type="spellStart"/>
      <w:r w:rsidR="002D2722" w:rsidRPr="00E55564">
        <w:rPr>
          <w:sz w:val="24"/>
          <w:szCs w:val="24"/>
          <w:lang w:val="cs-CZ"/>
        </w:rPr>
        <w:t>Cadarache</w:t>
      </w:r>
      <w:proofErr w:type="spellEnd"/>
      <w:r w:rsidR="002D2722" w:rsidRPr="00E55564">
        <w:rPr>
          <w:sz w:val="24"/>
          <w:szCs w:val="24"/>
          <w:lang w:val="cs-CZ"/>
        </w:rPr>
        <w:t xml:space="preserve">. Začátek výzkumu na reaktoru (první </w:t>
      </w:r>
      <w:proofErr w:type="spellStart"/>
      <w:r w:rsidR="002D2722" w:rsidRPr="00E55564">
        <w:rPr>
          <w:sz w:val="24"/>
          <w:szCs w:val="24"/>
          <w:lang w:val="cs-CZ"/>
        </w:rPr>
        <w:t>kritikalita</w:t>
      </w:r>
      <w:proofErr w:type="spellEnd"/>
      <w:r w:rsidR="002D2722" w:rsidRPr="00E55564">
        <w:rPr>
          <w:sz w:val="24"/>
          <w:szCs w:val="24"/>
          <w:lang w:val="cs-CZ"/>
        </w:rPr>
        <w:t xml:space="preserve"> reaktoru) je očekáván v roce 2020. </w:t>
      </w:r>
      <w:r w:rsidR="001A5DE2" w:rsidRPr="00E55564">
        <w:rPr>
          <w:sz w:val="24"/>
          <w:szCs w:val="24"/>
          <w:lang w:val="cs-CZ"/>
        </w:rPr>
        <w:t>Budoucí v</w:t>
      </w:r>
      <w:r w:rsidR="00A264A7" w:rsidRPr="00E55564">
        <w:rPr>
          <w:sz w:val="24"/>
          <w:szCs w:val="24"/>
          <w:lang w:val="cs-CZ"/>
        </w:rPr>
        <w:t xml:space="preserve">ýzkumná témata jsou </w:t>
      </w:r>
      <w:r w:rsidR="00B9479F" w:rsidRPr="00E55564">
        <w:rPr>
          <w:sz w:val="24"/>
          <w:szCs w:val="24"/>
          <w:lang w:val="cs-CZ"/>
        </w:rPr>
        <w:t xml:space="preserve">již nyní </w:t>
      </w:r>
      <w:r w:rsidR="00A264A7" w:rsidRPr="00E55564">
        <w:rPr>
          <w:sz w:val="24"/>
          <w:szCs w:val="24"/>
          <w:lang w:val="cs-CZ"/>
        </w:rPr>
        <w:t>určována</w:t>
      </w:r>
      <w:r w:rsidR="00C521F4" w:rsidRPr="00E55564">
        <w:rPr>
          <w:sz w:val="24"/>
          <w:szCs w:val="24"/>
          <w:lang w:val="cs-CZ"/>
        </w:rPr>
        <w:t xml:space="preserve"> jak potřebami pro bezpečný a</w:t>
      </w:r>
      <w:r w:rsidR="005D2615">
        <w:rPr>
          <w:sz w:val="24"/>
          <w:szCs w:val="24"/>
          <w:lang w:val="cs-CZ"/>
        </w:rPr>
        <w:t> </w:t>
      </w:r>
      <w:r w:rsidR="00C521F4" w:rsidRPr="00E55564">
        <w:rPr>
          <w:sz w:val="24"/>
          <w:szCs w:val="24"/>
          <w:lang w:val="cs-CZ"/>
        </w:rPr>
        <w:t xml:space="preserve">spolehlivý provoz stávající generace </w:t>
      </w:r>
      <w:r w:rsidR="00A264A7" w:rsidRPr="00E55564">
        <w:rPr>
          <w:sz w:val="24"/>
          <w:szCs w:val="24"/>
          <w:lang w:val="cs-CZ"/>
        </w:rPr>
        <w:t xml:space="preserve">energetických jaderných </w:t>
      </w:r>
      <w:r w:rsidR="00C521F4" w:rsidRPr="00E55564">
        <w:rPr>
          <w:sz w:val="24"/>
          <w:szCs w:val="24"/>
          <w:lang w:val="cs-CZ"/>
        </w:rPr>
        <w:t>reaktorů, tak pro výzkum a vývoj ve prospěch budou</w:t>
      </w:r>
      <w:r w:rsidR="00441E84">
        <w:rPr>
          <w:sz w:val="24"/>
          <w:szCs w:val="24"/>
          <w:lang w:val="cs-CZ"/>
        </w:rPr>
        <w:t>cí generace jaderných reaktorů.</w:t>
      </w:r>
    </w:p>
    <w:p w14:paraId="7F2E9FE2" w14:textId="3D3D0048" w:rsidR="007F634E" w:rsidRPr="00E55564" w:rsidRDefault="00C521F4" w:rsidP="005D261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/>
        </w:rPr>
        <w:t xml:space="preserve">Většina výzkumných reaktorů, které jsou v současné době v Evropské unii </w:t>
      </w:r>
      <w:r w:rsidR="005D2615">
        <w:rPr>
          <w:sz w:val="24"/>
          <w:szCs w:val="24"/>
          <w:lang w:val="cs-CZ"/>
        </w:rPr>
        <w:t xml:space="preserve">(EU) </w:t>
      </w:r>
      <w:r w:rsidRPr="00E55564">
        <w:rPr>
          <w:sz w:val="24"/>
          <w:szCs w:val="24"/>
          <w:lang w:val="cs-CZ"/>
        </w:rPr>
        <w:t>v provozu, bude po roce 2020 p</w:t>
      </w:r>
      <w:r w:rsidR="00F707B1" w:rsidRPr="00E55564">
        <w:rPr>
          <w:sz w:val="24"/>
          <w:szCs w:val="24"/>
          <w:lang w:val="cs-CZ"/>
        </w:rPr>
        <w:t>ostupně</w:t>
      </w:r>
      <w:r w:rsidRPr="00E55564">
        <w:rPr>
          <w:sz w:val="24"/>
          <w:szCs w:val="24"/>
          <w:lang w:val="cs-CZ"/>
        </w:rPr>
        <w:t xml:space="preserve"> </w:t>
      </w:r>
      <w:r w:rsidR="005D2615">
        <w:rPr>
          <w:sz w:val="24"/>
          <w:szCs w:val="24"/>
          <w:lang w:val="cs-CZ"/>
        </w:rPr>
        <w:t xml:space="preserve">z provozu </w:t>
      </w:r>
      <w:r w:rsidRPr="00E55564">
        <w:rPr>
          <w:sz w:val="24"/>
          <w:szCs w:val="24"/>
          <w:lang w:val="cs-CZ"/>
        </w:rPr>
        <w:t xml:space="preserve">vyřazována z důvodu </w:t>
      </w:r>
      <w:r w:rsidR="007F634E" w:rsidRPr="00E55564">
        <w:rPr>
          <w:sz w:val="24"/>
          <w:szCs w:val="24"/>
          <w:lang w:val="cs-CZ"/>
        </w:rPr>
        <w:t xml:space="preserve">jejich </w:t>
      </w:r>
      <w:r w:rsidRPr="00E55564">
        <w:rPr>
          <w:sz w:val="24"/>
          <w:szCs w:val="24"/>
          <w:lang w:val="cs-CZ"/>
        </w:rPr>
        <w:t>stárnutí</w:t>
      </w:r>
      <w:r w:rsidR="005D2615">
        <w:rPr>
          <w:sz w:val="24"/>
          <w:szCs w:val="24"/>
          <w:lang w:val="cs-CZ"/>
        </w:rPr>
        <w:t xml:space="preserve"> (např. výzkumné reaktory v Řeži budou odstavovány kolem roku 2027)</w:t>
      </w:r>
      <w:r w:rsidRPr="00E55564">
        <w:rPr>
          <w:sz w:val="24"/>
          <w:szCs w:val="24"/>
          <w:lang w:val="cs-CZ"/>
        </w:rPr>
        <w:t>.</w:t>
      </w:r>
      <w:r w:rsidR="00F707B1" w:rsidRPr="00E55564">
        <w:rPr>
          <w:sz w:val="24"/>
          <w:szCs w:val="24"/>
          <w:lang w:val="cs-CZ"/>
        </w:rPr>
        <w:t xml:space="preserve"> </w:t>
      </w:r>
      <w:r w:rsidR="00F471A0" w:rsidRPr="00E55564">
        <w:rPr>
          <w:sz w:val="24"/>
          <w:szCs w:val="24"/>
          <w:lang w:val="cs-CZ"/>
        </w:rPr>
        <w:t>JHR převezme výzkumné úkoly</w:t>
      </w:r>
      <w:r w:rsidR="007F634E" w:rsidRPr="00E55564">
        <w:rPr>
          <w:sz w:val="24"/>
          <w:szCs w:val="24"/>
          <w:lang w:val="cs-CZ"/>
        </w:rPr>
        <w:t>, které jsou na nich nyní řešeny. Pro udržitelný a be</w:t>
      </w:r>
      <w:r w:rsidR="00F471A0" w:rsidRPr="00E55564">
        <w:rPr>
          <w:sz w:val="24"/>
          <w:szCs w:val="24"/>
          <w:lang w:val="cs-CZ"/>
        </w:rPr>
        <w:t>zpečný provoz jaderných elektráren</w:t>
      </w:r>
      <w:r w:rsidR="007F634E" w:rsidRPr="00E55564">
        <w:rPr>
          <w:sz w:val="24"/>
          <w:szCs w:val="24"/>
          <w:lang w:val="cs-CZ"/>
        </w:rPr>
        <w:t xml:space="preserve"> je takový přechod naprosto nutný. Bezpečnost a dostatek dodávek elektrické energie z jaderných zdrojů v</w:t>
      </w:r>
      <w:r w:rsidR="004226CB" w:rsidRPr="00E55564">
        <w:rPr>
          <w:sz w:val="24"/>
          <w:szCs w:val="24"/>
          <w:lang w:val="cs-CZ"/>
        </w:rPr>
        <w:t> Č</w:t>
      </w:r>
      <w:r w:rsidR="005D2615">
        <w:rPr>
          <w:sz w:val="24"/>
          <w:szCs w:val="24"/>
          <w:lang w:val="cs-CZ"/>
        </w:rPr>
        <w:t>R</w:t>
      </w:r>
      <w:r w:rsidR="004226CB" w:rsidRPr="00E55564">
        <w:rPr>
          <w:sz w:val="24"/>
          <w:szCs w:val="24"/>
          <w:lang w:val="cs-CZ"/>
        </w:rPr>
        <w:t xml:space="preserve"> i celé </w:t>
      </w:r>
      <w:r w:rsidR="007F634E" w:rsidRPr="00E55564">
        <w:rPr>
          <w:sz w:val="24"/>
          <w:szCs w:val="24"/>
          <w:lang w:val="cs-CZ"/>
        </w:rPr>
        <w:t>E</w:t>
      </w:r>
      <w:r w:rsidR="005D2615">
        <w:rPr>
          <w:sz w:val="24"/>
          <w:szCs w:val="24"/>
          <w:lang w:val="cs-CZ"/>
        </w:rPr>
        <w:t>U</w:t>
      </w:r>
      <w:r w:rsidR="007F634E" w:rsidRPr="00E55564">
        <w:rPr>
          <w:sz w:val="24"/>
          <w:szCs w:val="24"/>
          <w:lang w:val="cs-CZ"/>
        </w:rPr>
        <w:t xml:space="preserve"> bude záviset také na postupném přechodu na JHR</w:t>
      </w:r>
      <w:r w:rsidR="00F471A0" w:rsidRPr="00E55564">
        <w:rPr>
          <w:sz w:val="24"/>
          <w:szCs w:val="24"/>
          <w:lang w:val="cs-CZ"/>
        </w:rPr>
        <w:t>,</w:t>
      </w:r>
      <w:r w:rsidR="007F634E" w:rsidRPr="00E55564">
        <w:rPr>
          <w:sz w:val="24"/>
          <w:szCs w:val="24"/>
          <w:lang w:val="cs-CZ"/>
        </w:rPr>
        <w:t xml:space="preserve"> a to s využitím všech </w:t>
      </w:r>
      <w:r w:rsidR="00F471A0" w:rsidRPr="00E55564">
        <w:rPr>
          <w:sz w:val="24"/>
          <w:szCs w:val="24"/>
          <w:lang w:val="cs-CZ"/>
        </w:rPr>
        <w:t xml:space="preserve">vzájemně se doplňujících </w:t>
      </w:r>
      <w:r w:rsidR="007F634E" w:rsidRPr="00E55564">
        <w:rPr>
          <w:sz w:val="24"/>
          <w:szCs w:val="24"/>
          <w:lang w:val="cs-CZ"/>
        </w:rPr>
        <w:t xml:space="preserve">existujících evropských </w:t>
      </w:r>
      <w:r w:rsidR="00F471A0" w:rsidRPr="00E55564">
        <w:rPr>
          <w:sz w:val="24"/>
          <w:szCs w:val="24"/>
          <w:lang w:val="cs-CZ"/>
        </w:rPr>
        <w:t>výzkumných reaktorů</w:t>
      </w:r>
      <w:r w:rsidR="007F634E" w:rsidRPr="00E55564">
        <w:rPr>
          <w:sz w:val="24"/>
          <w:szCs w:val="24"/>
          <w:lang w:val="cs-CZ"/>
        </w:rPr>
        <w:t>.</w:t>
      </w:r>
    </w:p>
    <w:p w14:paraId="550EA1BE" w14:textId="68052EE1" w:rsidR="00C04135" w:rsidRPr="00E55564" w:rsidRDefault="00C04135" w:rsidP="005D261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/>
        </w:rPr>
        <w:t xml:space="preserve">To znamená, že po roce 2030 bude JHR </w:t>
      </w:r>
      <w:r w:rsidR="006230BA">
        <w:rPr>
          <w:sz w:val="24"/>
          <w:szCs w:val="24"/>
          <w:lang w:val="cs-CZ"/>
        </w:rPr>
        <w:t xml:space="preserve">zcela </w:t>
      </w:r>
      <w:r w:rsidRPr="00E55564">
        <w:rPr>
          <w:sz w:val="24"/>
          <w:szCs w:val="24"/>
          <w:lang w:val="cs-CZ"/>
        </w:rPr>
        <w:t>uniká</w:t>
      </w:r>
      <w:r w:rsidR="005D2615">
        <w:rPr>
          <w:sz w:val="24"/>
          <w:szCs w:val="24"/>
          <w:lang w:val="cs-CZ"/>
        </w:rPr>
        <w:t>tním zařízením v celé EU.</w:t>
      </w:r>
    </w:p>
    <w:p w14:paraId="4F79C5AC" w14:textId="46E79128" w:rsidR="00F471A0" w:rsidRPr="00E55564" w:rsidRDefault="00F471A0" w:rsidP="005D261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/>
        </w:rPr>
        <w:t>JHR umožní výzk</w:t>
      </w:r>
      <w:r w:rsidR="00755F57" w:rsidRPr="00E55564">
        <w:rPr>
          <w:sz w:val="24"/>
          <w:szCs w:val="24"/>
          <w:lang w:val="cs-CZ"/>
        </w:rPr>
        <w:t xml:space="preserve">um materiálů za podmínek, které se blíží těm </w:t>
      </w:r>
      <w:r w:rsidRPr="00E55564">
        <w:rPr>
          <w:sz w:val="24"/>
          <w:szCs w:val="24"/>
          <w:lang w:val="cs-CZ"/>
        </w:rPr>
        <w:t>v energetických reaktorech,</w:t>
      </w:r>
      <w:r w:rsidR="00C26DD6" w:rsidRPr="00E55564">
        <w:rPr>
          <w:sz w:val="24"/>
          <w:szCs w:val="24"/>
          <w:lang w:val="cs-CZ"/>
        </w:rPr>
        <w:t xml:space="preserve"> </w:t>
      </w:r>
      <w:r w:rsidR="00C04135" w:rsidRPr="00E55564">
        <w:rPr>
          <w:sz w:val="24"/>
          <w:szCs w:val="24"/>
          <w:lang w:val="cs-CZ"/>
        </w:rPr>
        <w:t>umožní urychlení</w:t>
      </w:r>
      <w:r w:rsidRPr="00E55564">
        <w:rPr>
          <w:sz w:val="24"/>
          <w:szCs w:val="24"/>
          <w:lang w:val="cs-CZ"/>
        </w:rPr>
        <w:t xml:space="preserve"> modelování degradace materiálů za operačních podmínek a hodnocení </w:t>
      </w:r>
      <w:r w:rsidR="00B42384" w:rsidRPr="00E55564">
        <w:rPr>
          <w:sz w:val="24"/>
          <w:szCs w:val="24"/>
          <w:lang w:val="cs-CZ"/>
        </w:rPr>
        <w:t>vlastností konce životního cyklu</w:t>
      </w:r>
      <w:r w:rsidR="00C26DD6" w:rsidRPr="00E55564">
        <w:rPr>
          <w:sz w:val="24"/>
          <w:szCs w:val="24"/>
          <w:lang w:val="cs-CZ"/>
        </w:rPr>
        <w:t xml:space="preserve"> </w:t>
      </w:r>
      <w:r w:rsidR="00B42384" w:rsidRPr="00E55564">
        <w:rPr>
          <w:sz w:val="24"/>
          <w:szCs w:val="24"/>
          <w:lang w:val="cs-CZ"/>
        </w:rPr>
        <w:t>celých zařízení i komponent. Zařízení JHR vztahující se k testování paliva umožní zvýšit bezpečnost využití paliva včetně modelování chování paliva a</w:t>
      </w:r>
      <w:r w:rsidR="005D2615">
        <w:rPr>
          <w:sz w:val="24"/>
          <w:szCs w:val="24"/>
          <w:lang w:val="cs-CZ"/>
        </w:rPr>
        <w:t> </w:t>
      </w:r>
      <w:r w:rsidR="00B42384" w:rsidRPr="00E55564">
        <w:rPr>
          <w:sz w:val="24"/>
          <w:szCs w:val="24"/>
          <w:lang w:val="cs-CZ"/>
        </w:rPr>
        <w:t>materiálů za normálních a havarijních podmínek.</w:t>
      </w:r>
      <w:r w:rsidR="002D2722" w:rsidRPr="00E55564">
        <w:rPr>
          <w:sz w:val="24"/>
          <w:szCs w:val="24"/>
          <w:lang w:val="cs-CZ"/>
        </w:rPr>
        <w:t xml:space="preserve"> Dále JHR umožní výzkum materiálů pro GEN IV. reaktory</w:t>
      </w:r>
      <w:r w:rsidR="004226CB" w:rsidRPr="00E55564">
        <w:rPr>
          <w:sz w:val="24"/>
          <w:szCs w:val="24"/>
          <w:lang w:val="cs-CZ"/>
        </w:rPr>
        <w:t xml:space="preserve"> i částečně pro fúzní reaktory</w:t>
      </w:r>
      <w:r w:rsidR="002D2722" w:rsidRPr="00E55564">
        <w:rPr>
          <w:sz w:val="24"/>
          <w:szCs w:val="24"/>
          <w:lang w:val="cs-CZ"/>
        </w:rPr>
        <w:t>.</w:t>
      </w:r>
    </w:p>
    <w:p w14:paraId="7D555EA8" w14:textId="19BEC8A3" w:rsidR="00C04135" w:rsidRPr="00E55564" w:rsidRDefault="00C04135" w:rsidP="005D261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/>
        </w:rPr>
        <w:t xml:space="preserve">Společenský dopad </w:t>
      </w:r>
      <w:r w:rsidR="002D724D" w:rsidRPr="00E55564">
        <w:rPr>
          <w:sz w:val="24"/>
          <w:szCs w:val="24"/>
          <w:lang w:val="cs-CZ"/>
        </w:rPr>
        <w:t xml:space="preserve">výzkumného reaktoru JHR </w:t>
      </w:r>
      <w:r w:rsidRPr="00E55564">
        <w:rPr>
          <w:sz w:val="24"/>
          <w:szCs w:val="24"/>
          <w:lang w:val="cs-CZ"/>
        </w:rPr>
        <w:t xml:space="preserve">není pouze v nezastupitelnosti výzkumu v něm prováděném pro bezpečnost provozu energetických reaktorů a tím zabezpečení </w:t>
      </w:r>
      <w:r w:rsidR="002D724D" w:rsidRPr="00E55564">
        <w:rPr>
          <w:sz w:val="24"/>
          <w:szCs w:val="24"/>
          <w:lang w:val="cs-CZ"/>
        </w:rPr>
        <w:t>dostatečné</w:t>
      </w:r>
      <w:r w:rsidRPr="00E55564">
        <w:rPr>
          <w:sz w:val="24"/>
          <w:szCs w:val="24"/>
          <w:lang w:val="cs-CZ"/>
        </w:rPr>
        <w:t xml:space="preserve"> produkce elektrické energie v Č</w:t>
      </w:r>
      <w:r w:rsidR="005D2615">
        <w:rPr>
          <w:sz w:val="24"/>
          <w:szCs w:val="24"/>
          <w:lang w:val="cs-CZ"/>
        </w:rPr>
        <w:t>R</w:t>
      </w:r>
      <w:r w:rsidRPr="00E55564">
        <w:rPr>
          <w:sz w:val="24"/>
          <w:szCs w:val="24"/>
          <w:lang w:val="cs-CZ"/>
        </w:rPr>
        <w:t xml:space="preserve"> a v EU vůbec, ale také v jeho příspěvku k výzkumu a vývoji i produkci nových radionuklidů pro medicínské aplikace</w:t>
      </w:r>
      <w:r w:rsidR="002D724D" w:rsidRPr="00E55564">
        <w:rPr>
          <w:sz w:val="24"/>
          <w:szCs w:val="24"/>
          <w:lang w:val="cs-CZ"/>
        </w:rPr>
        <w:t xml:space="preserve"> (r</w:t>
      </w:r>
      <w:r w:rsidRPr="00E55564">
        <w:rPr>
          <w:sz w:val="24"/>
          <w:szCs w:val="24"/>
          <w:lang w:val="cs-CZ"/>
        </w:rPr>
        <w:t xml:space="preserve">adiodiagnostika </w:t>
      </w:r>
      <w:r w:rsidRPr="00E55564">
        <w:rPr>
          <w:sz w:val="24"/>
          <w:szCs w:val="24"/>
          <w:lang w:val="cs-CZ"/>
        </w:rPr>
        <w:lastRenderedPageBreak/>
        <w:t>a</w:t>
      </w:r>
      <w:r w:rsidR="005D2615">
        <w:rPr>
          <w:sz w:val="24"/>
          <w:szCs w:val="24"/>
          <w:lang w:val="cs-CZ"/>
        </w:rPr>
        <w:t> </w:t>
      </w:r>
      <w:r w:rsidRPr="00E55564">
        <w:rPr>
          <w:sz w:val="24"/>
          <w:szCs w:val="24"/>
          <w:lang w:val="cs-CZ"/>
        </w:rPr>
        <w:t xml:space="preserve">radioterapeutika). </w:t>
      </w:r>
      <w:r w:rsidR="002D2722" w:rsidRPr="00E55564">
        <w:rPr>
          <w:sz w:val="24"/>
          <w:szCs w:val="24"/>
          <w:lang w:val="cs-CZ"/>
        </w:rPr>
        <w:t>Dostatek radionuklidů pro medicínu v celé EU bude do značné míry záviset na jejich produkci na JHR.</w:t>
      </w:r>
    </w:p>
    <w:p w14:paraId="308833B8" w14:textId="231FBF6C" w:rsidR="001A5DE2" w:rsidRPr="00E55564" w:rsidRDefault="00441E84" w:rsidP="00441E84">
      <w:pPr>
        <w:spacing w:after="120" w:line="240" w:lineRule="auto"/>
        <w:ind w:firstLine="426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>Česká republika (ČR) se podílela</w:t>
      </w:r>
      <w:r w:rsidR="007A20C5" w:rsidRPr="00E55564">
        <w:rPr>
          <w:sz w:val="24"/>
          <w:szCs w:val="24"/>
          <w:lang w:val="cs-CZ" w:eastAsia="cs-CZ"/>
        </w:rPr>
        <w:t xml:space="preserve"> na přípravné fázi</w:t>
      </w:r>
      <w:r>
        <w:rPr>
          <w:sz w:val="24"/>
          <w:szCs w:val="24"/>
          <w:lang w:val="cs-CZ" w:eastAsia="cs-CZ"/>
        </w:rPr>
        <w:t xml:space="preserve"> </w:t>
      </w:r>
      <w:r w:rsidR="006230BA">
        <w:rPr>
          <w:sz w:val="24"/>
          <w:szCs w:val="24"/>
          <w:lang w:val="cs-CZ" w:eastAsia="cs-CZ"/>
        </w:rPr>
        <w:t xml:space="preserve">JHR </w:t>
      </w:r>
      <w:r w:rsidRPr="00E55564">
        <w:rPr>
          <w:sz w:val="24"/>
          <w:szCs w:val="24"/>
          <w:lang w:val="cs-CZ" w:eastAsia="cs-CZ"/>
        </w:rPr>
        <w:t xml:space="preserve">již od </w:t>
      </w:r>
      <w:r>
        <w:rPr>
          <w:sz w:val="24"/>
          <w:szCs w:val="24"/>
          <w:lang w:val="cs-CZ" w:eastAsia="cs-CZ"/>
        </w:rPr>
        <w:t xml:space="preserve">jejího </w:t>
      </w:r>
      <w:r w:rsidRPr="00E55564">
        <w:rPr>
          <w:sz w:val="24"/>
          <w:szCs w:val="24"/>
          <w:lang w:val="cs-CZ" w:eastAsia="cs-CZ"/>
        </w:rPr>
        <w:t xml:space="preserve">zrodu </w:t>
      </w:r>
      <w:r>
        <w:rPr>
          <w:sz w:val="24"/>
          <w:szCs w:val="24"/>
          <w:lang w:val="cs-CZ" w:eastAsia="cs-CZ"/>
        </w:rPr>
        <w:t>a nyní se dále podílí</w:t>
      </w:r>
      <w:r w:rsidR="007A20C5" w:rsidRPr="00E55564">
        <w:rPr>
          <w:sz w:val="24"/>
          <w:szCs w:val="24"/>
          <w:lang w:val="cs-CZ" w:eastAsia="cs-CZ"/>
        </w:rPr>
        <w:t xml:space="preserve"> i </w:t>
      </w:r>
      <w:r>
        <w:rPr>
          <w:sz w:val="24"/>
          <w:szCs w:val="24"/>
          <w:lang w:val="cs-CZ" w:eastAsia="cs-CZ"/>
        </w:rPr>
        <w:t xml:space="preserve">na </w:t>
      </w:r>
      <w:r w:rsidR="007A20C5" w:rsidRPr="00E55564">
        <w:rPr>
          <w:sz w:val="24"/>
          <w:szCs w:val="24"/>
          <w:lang w:val="cs-CZ" w:eastAsia="cs-CZ"/>
        </w:rPr>
        <w:t xml:space="preserve">stavbě </w:t>
      </w:r>
      <w:r>
        <w:rPr>
          <w:sz w:val="24"/>
          <w:szCs w:val="24"/>
          <w:lang w:val="cs-CZ" w:eastAsia="cs-CZ"/>
        </w:rPr>
        <w:t xml:space="preserve">JHR. Zástupce ČR, Ústav jaderného výzkumu Řež, a.s. (ÚJV), </w:t>
      </w:r>
      <w:r w:rsidR="007A20C5" w:rsidRPr="00E55564">
        <w:rPr>
          <w:sz w:val="24"/>
          <w:szCs w:val="24"/>
          <w:lang w:val="cs-CZ" w:eastAsia="cs-CZ"/>
        </w:rPr>
        <w:t>podepsal zakládající konsorciální smlouvu v roce 2007. Roku 2008 udělilo MŠMT na dobu 45 měsíců přípravné f</w:t>
      </w:r>
      <w:r w:rsidR="006230BA">
        <w:rPr>
          <w:sz w:val="24"/>
          <w:szCs w:val="24"/>
          <w:lang w:val="cs-CZ" w:eastAsia="cs-CZ"/>
        </w:rPr>
        <w:t>ázi projektu financované ze 7. rámcového programu EU</w:t>
      </w:r>
      <w:r w:rsidR="007A20C5" w:rsidRPr="00E55564">
        <w:rPr>
          <w:sz w:val="24"/>
          <w:szCs w:val="24"/>
          <w:lang w:val="cs-CZ" w:eastAsia="cs-CZ"/>
        </w:rPr>
        <w:t xml:space="preserve"> pro výzkum, technologický rozvo</w:t>
      </w:r>
      <w:r>
        <w:rPr>
          <w:sz w:val="24"/>
          <w:szCs w:val="24"/>
          <w:lang w:val="cs-CZ" w:eastAsia="cs-CZ"/>
        </w:rPr>
        <w:t>j a </w:t>
      </w:r>
      <w:r w:rsidR="00627026" w:rsidRPr="00E55564">
        <w:rPr>
          <w:sz w:val="24"/>
          <w:szCs w:val="24"/>
          <w:lang w:val="cs-CZ" w:eastAsia="cs-CZ"/>
        </w:rPr>
        <w:t xml:space="preserve">demonstrace </w:t>
      </w:r>
      <w:r w:rsidR="007A20C5" w:rsidRPr="00E55564">
        <w:rPr>
          <w:sz w:val="24"/>
          <w:szCs w:val="24"/>
          <w:lang w:val="cs-CZ" w:eastAsia="cs-CZ"/>
        </w:rPr>
        <w:t xml:space="preserve">podporu. Projekt JHR je součástí jak ESFRI </w:t>
      </w:r>
      <w:proofErr w:type="spellStart"/>
      <w:r w:rsidR="007A20C5" w:rsidRPr="00E55564">
        <w:rPr>
          <w:sz w:val="24"/>
          <w:szCs w:val="24"/>
          <w:lang w:val="cs-CZ" w:eastAsia="cs-CZ"/>
        </w:rPr>
        <w:t>Roadmap</w:t>
      </w:r>
      <w:proofErr w:type="spellEnd"/>
      <w:r w:rsidR="007A20C5" w:rsidRPr="00E55564">
        <w:rPr>
          <w:sz w:val="24"/>
          <w:szCs w:val="24"/>
          <w:lang w:val="cs-CZ" w:eastAsia="cs-CZ"/>
        </w:rPr>
        <w:t>, tak i Cestovní mapy ČR velkých infrastruktur pro výzkum</w:t>
      </w:r>
      <w:r w:rsidR="006230BA">
        <w:rPr>
          <w:sz w:val="24"/>
          <w:szCs w:val="24"/>
          <w:lang w:val="cs-CZ" w:eastAsia="cs-CZ"/>
        </w:rPr>
        <w:t>,</w:t>
      </w:r>
      <w:r w:rsidR="007A20C5" w:rsidRPr="00E55564">
        <w:rPr>
          <w:sz w:val="24"/>
          <w:szCs w:val="24"/>
          <w:lang w:val="cs-CZ" w:eastAsia="cs-CZ"/>
        </w:rPr>
        <w:t xml:space="preserve"> experimentální vývoj a inovace. Díky tomu a díky dobré pověsti výzkumných pracovníků a konstruktérů ÚJV a později Centra výzkumu Řež s.r.o. (CVŘ) získala </w:t>
      </w:r>
      <w:r w:rsidR="006230BA">
        <w:rPr>
          <w:sz w:val="24"/>
          <w:szCs w:val="24"/>
          <w:lang w:val="cs-CZ" w:eastAsia="cs-CZ"/>
        </w:rPr>
        <w:t>ČR</w:t>
      </w:r>
      <w:r w:rsidR="007A20C5" w:rsidRPr="00E55564">
        <w:rPr>
          <w:sz w:val="24"/>
          <w:szCs w:val="24"/>
          <w:lang w:val="cs-CZ" w:eastAsia="cs-CZ"/>
        </w:rPr>
        <w:t xml:space="preserve"> možnost dodat do stavební fáze </w:t>
      </w:r>
      <w:r>
        <w:rPr>
          <w:sz w:val="24"/>
          <w:szCs w:val="24"/>
          <w:lang w:val="cs-CZ" w:eastAsia="cs-CZ"/>
        </w:rPr>
        <w:t>JHR</w:t>
      </w:r>
      <w:r w:rsidR="007A20C5" w:rsidRPr="00E55564">
        <w:rPr>
          <w:sz w:val="24"/>
          <w:szCs w:val="24"/>
          <w:lang w:val="cs-CZ" w:eastAsia="cs-CZ"/>
        </w:rPr>
        <w:t xml:space="preserve"> jeho důležitou součást, a to </w:t>
      </w:r>
      <w:r>
        <w:rPr>
          <w:sz w:val="24"/>
          <w:szCs w:val="24"/>
          <w:lang w:val="cs-CZ" w:eastAsia="cs-CZ"/>
        </w:rPr>
        <w:t xml:space="preserve">tzv. </w:t>
      </w:r>
      <w:r w:rsidR="007A20C5" w:rsidRPr="00E55564">
        <w:rPr>
          <w:sz w:val="24"/>
          <w:szCs w:val="24"/>
          <w:lang w:val="cs-CZ" w:eastAsia="cs-CZ"/>
        </w:rPr>
        <w:t xml:space="preserve">horké komory. </w:t>
      </w:r>
      <w:r w:rsidR="002D2722" w:rsidRPr="00E55564">
        <w:rPr>
          <w:sz w:val="24"/>
          <w:szCs w:val="24"/>
          <w:lang w:val="cs-CZ"/>
        </w:rPr>
        <w:t>Výměnou za dodávku horkých komor získala ČR přístup k výzkumné měřící kapacitě 2</w:t>
      </w:r>
      <w:r>
        <w:rPr>
          <w:sz w:val="24"/>
          <w:szCs w:val="24"/>
          <w:lang w:val="cs-CZ"/>
        </w:rPr>
        <w:t xml:space="preserve"> </w:t>
      </w:r>
      <w:r w:rsidR="006230BA">
        <w:rPr>
          <w:sz w:val="24"/>
          <w:szCs w:val="24"/>
          <w:lang w:val="cs-CZ"/>
        </w:rPr>
        <w:t>% JHR, později navýšené</w:t>
      </w:r>
      <w:r w:rsidR="002D2722" w:rsidRPr="00E55564">
        <w:rPr>
          <w:sz w:val="24"/>
          <w:szCs w:val="24"/>
          <w:lang w:val="cs-CZ"/>
        </w:rPr>
        <w:t xml:space="preserve"> na 3 %.</w:t>
      </w:r>
    </w:p>
    <w:p w14:paraId="6A599036" w14:textId="7AE98FBA" w:rsidR="00F707B1" w:rsidRPr="00E55564" w:rsidRDefault="00273CB6" w:rsidP="00441E8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 w:eastAsia="cs-CZ"/>
        </w:rPr>
        <w:t xml:space="preserve">Cílem předkládaného </w:t>
      </w:r>
      <w:r w:rsidR="00441E84">
        <w:rPr>
          <w:sz w:val="24"/>
          <w:szCs w:val="24"/>
          <w:lang w:val="cs-CZ" w:eastAsia="cs-CZ"/>
        </w:rPr>
        <w:t>návrhu výzkumné infrastruktury</w:t>
      </w:r>
      <w:r w:rsidRPr="00E55564">
        <w:rPr>
          <w:sz w:val="24"/>
          <w:szCs w:val="24"/>
          <w:lang w:val="cs-CZ" w:eastAsia="cs-CZ"/>
        </w:rPr>
        <w:t xml:space="preserve"> je </w:t>
      </w:r>
      <w:r w:rsidR="00A375F1" w:rsidRPr="00E55564">
        <w:rPr>
          <w:sz w:val="24"/>
          <w:szCs w:val="24"/>
          <w:lang w:val="cs-CZ" w:eastAsia="cs-CZ"/>
        </w:rPr>
        <w:t xml:space="preserve">jednak </w:t>
      </w:r>
      <w:r w:rsidRPr="00E55564">
        <w:rPr>
          <w:sz w:val="24"/>
          <w:szCs w:val="24"/>
          <w:lang w:val="cs-CZ" w:eastAsia="cs-CZ"/>
        </w:rPr>
        <w:t>dokončení příspěvku</w:t>
      </w:r>
      <w:r w:rsidR="005D5D5E" w:rsidRPr="00E55564">
        <w:rPr>
          <w:sz w:val="24"/>
          <w:szCs w:val="24"/>
          <w:lang w:val="cs-CZ" w:eastAsia="cs-CZ"/>
        </w:rPr>
        <w:t xml:space="preserve"> ČR </w:t>
      </w:r>
      <w:r w:rsidR="001A5DE2" w:rsidRPr="00E55564">
        <w:rPr>
          <w:sz w:val="24"/>
          <w:szCs w:val="24"/>
          <w:lang w:val="cs-CZ" w:eastAsia="cs-CZ"/>
        </w:rPr>
        <w:t>ke stav</w:t>
      </w:r>
      <w:r w:rsidR="00A375F1" w:rsidRPr="00E55564">
        <w:rPr>
          <w:sz w:val="24"/>
          <w:szCs w:val="24"/>
          <w:lang w:val="cs-CZ" w:eastAsia="cs-CZ"/>
        </w:rPr>
        <w:t>ební fázi</w:t>
      </w:r>
      <w:r w:rsidR="001A5DE2" w:rsidRPr="00E55564">
        <w:rPr>
          <w:sz w:val="24"/>
          <w:szCs w:val="24"/>
          <w:lang w:val="cs-CZ" w:eastAsia="cs-CZ"/>
        </w:rPr>
        <w:t xml:space="preserve"> JHR</w:t>
      </w:r>
      <w:r w:rsidRPr="00E55564">
        <w:rPr>
          <w:sz w:val="24"/>
          <w:szCs w:val="24"/>
          <w:lang w:val="cs-CZ" w:eastAsia="cs-CZ"/>
        </w:rPr>
        <w:t>, tedy dokončení</w:t>
      </w:r>
      <w:r w:rsidR="00441E84">
        <w:rPr>
          <w:sz w:val="24"/>
          <w:szCs w:val="24"/>
          <w:lang w:val="cs-CZ" w:eastAsia="cs-CZ"/>
        </w:rPr>
        <w:t xml:space="preserve"> </w:t>
      </w:r>
      <w:r w:rsidR="001A5DE2" w:rsidRPr="00E55564">
        <w:rPr>
          <w:sz w:val="24"/>
          <w:szCs w:val="24"/>
          <w:lang w:val="cs-CZ" w:eastAsia="cs-CZ"/>
        </w:rPr>
        <w:t>dodávky</w:t>
      </w:r>
      <w:r w:rsidR="005D5D5E" w:rsidRPr="00E55564">
        <w:rPr>
          <w:sz w:val="24"/>
          <w:szCs w:val="24"/>
          <w:lang w:val="cs-CZ" w:eastAsia="cs-CZ"/>
        </w:rPr>
        <w:t xml:space="preserve"> k</w:t>
      </w:r>
      <w:r w:rsidR="005D5D5E" w:rsidRPr="00E55564">
        <w:rPr>
          <w:sz w:val="24"/>
          <w:szCs w:val="24"/>
          <w:lang w:val="cs-CZ"/>
        </w:rPr>
        <w:t>omplexu horkých komor, a to čtyř velkých a tří navazujících malých komor</w:t>
      </w:r>
      <w:r w:rsidR="00A375F1" w:rsidRPr="00E55564">
        <w:rPr>
          <w:sz w:val="24"/>
          <w:szCs w:val="24"/>
          <w:lang w:val="cs-CZ"/>
        </w:rPr>
        <w:t>,</w:t>
      </w:r>
      <w:r w:rsidR="00F707B1" w:rsidRPr="00E55564">
        <w:rPr>
          <w:sz w:val="24"/>
          <w:szCs w:val="24"/>
          <w:lang w:val="cs-CZ"/>
        </w:rPr>
        <w:t xml:space="preserve"> </w:t>
      </w:r>
      <w:r w:rsidR="00A375F1" w:rsidRPr="00E55564">
        <w:rPr>
          <w:sz w:val="24"/>
          <w:szCs w:val="24"/>
          <w:lang w:val="cs-CZ"/>
        </w:rPr>
        <w:t>a také u</w:t>
      </w:r>
      <w:r w:rsidRPr="00E55564">
        <w:rPr>
          <w:sz w:val="24"/>
          <w:szCs w:val="24"/>
          <w:lang w:val="cs-CZ"/>
        </w:rPr>
        <w:t>skutečnění přípravných experimentů</w:t>
      </w:r>
      <w:r w:rsidR="00F707B1" w:rsidRPr="00E55564">
        <w:rPr>
          <w:sz w:val="24"/>
          <w:szCs w:val="24"/>
          <w:lang w:val="cs-CZ"/>
        </w:rPr>
        <w:t xml:space="preserve"> pro měření na JHR</w:t>
      </w:r>
      <w:r w:rsidRPr="00E55564">
        <w:rPr>
          <w:sz w:val="24"/>
          <w:szCs w:val="24"/>
          <w:lang w:val="cs-CZ"/>
        </w:rPr>
        <w:t>, školení českých výzkumných pracovníků pro práci na JHR</w:t>
      </w:r>
      <w:r w:rsidR="00A375F1" w:rsidRPr="00E55564">
        <w:rPr>
          <w:sz w:val="24"/>
          <w:szCs w:val="24"/>
          <w:lang w:val="cs-CZ"/>
        </w:rPr>
        <w:t>, a konečně</w:t>
      </w:r>
      <w:r w:rsidR="00F707B1" w:rsidRPr="00E55564">
        <w:rPr>
          <w:sz w:val="24"/>
          <w:szCs w:val="24"/>
          <w:lang w:val="cs-CZ"/>
        </w:rPr>
        <w:t xml:space="preserve"> </w:t>
      </w:r>
      <w:r w:rsidR="00A375F1" w:rsidRPr="00E55564">
        <w:rPr>
          <w:sz w:val="24"/>
          <w:szCs w:val="24"/>
          <w:lang w:val="cs-CZ"/>
        </w:rPr>
        <w:t>pokrytí nákladů</w:t>
      </w:r>
      <w:r w:rsidR="00F707B1" w:rsidRPr="00E55564">
        <w:rPr>
          <w:sz w:val="24"/>
          <w:szCs w:val="24"/>
          <w:lang w:val="cs-CZ"/>
        </w:rPr>
        <w:t xml:space="preserve"> na přístup českých subjektů k měřící kapacitě reaktoru</w:t>
      </w:r>
      <w:r w:rsidRPr="00E55564">
        <w:rPr>
          <w:sz w:val="24"/>
          <w:szCs w:val="24"/>
          <w:lang w:val="cs-CZ"/>
        </w:rPr>
        <w:t xml:space="preserve"> v počátku operační fáze.</w:t>
      </w:r>
    </w:p>
    <w:p w14:paraId="2BB511EF" w14:textId="413A8FFD" w:rsidR="005D5D5E" w:rsidRPr="00E55564" w:rsidRDefault="000C4910" w:rsidP="00111528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E55564">
        <w:rPr>
          <w:sz w:val="24"/>
          <w:szCs w:val="24"/>
          <w:lang w:val="cs-CZ"/>
        </w:rPr>
        <w:t>V</w:t>
      </w:r>
      <w:r w:rsidR="00111528">
        <w:rPr>
          <w:sz w:val="24"/>
          <w:szCs w:val="24"/>
          <w:lang w:val="cs-CZ"/>
        </w:rPr>
        <w:t xml:space="preserve"> horkých </w:t>
      </w:r>
      <w:r w:rsidRPr="00E55564">
        <w:rPr>
          <w:sz w:val="24"/>
          <w:szCs w:val="24"/>
          <w:lang w:val="cs-CZ"/>
        </w:rPr>
        <w:t>komorách se připravují vzorky určené k ozařování a dále jsou v nich po ozáření vzorky hodnoceny n</w:t>
      </w:r>
      <w:r w:rsidR="00111528">
        <w:rPr>
          <w:sz w:val="24"/>
          <w:szCs w:val="24"/>
          <w:lang w:val="cs-CZ"/>
        </w:rPr>
        <w:t xml:space="preserve">ebo posílány k dalšímu měření. </w:t>
      </w:r>
      <w:r w:rsidR="005D5D5E" w:rsidRPr="00E55564">
        <w:rPr>
          <w:sz w:val="24"/>
          <w:szCs w:val="24"/>
          <w:lang w:val="cs-CZ"/>
        </w:rPr>
        <w:t xml:space="preserve">V komorách se bude pracovat také s celými ozařovacími sondami, a proto jsou </w:t>
      </w:r>
      <w:r w:rsidR="00627026" w:rsidRPr="00E55564">
        <w:rPr>
          <w:sz w:val="24"/>
          <w:szCs w:val="24"/>
          <w:lang w:val="cs-CZ"/>
        </w:rPr>
        <w:t xml:space="preserve">komory </w:t>
      </w:r>
      <w:r w:rsidR="005D5D5E" w:rsidRPr="00E55564">
        <w:rPr>
          <w:sz w:val="24"/>
          <w:szCs w:val="24"/>
          <w:lang w:val="cs-CZ"/>
        </w:rPr>
        <w:t xml:space="preserve">vysoké 10 metrů. </w:t>
      </w:r>
      <w:r w:rsidR="00B9479F" w:rsidRPr="00E55564">
        <w:rPr>
          <w:sz w:val="24"/>
          <w:szCs w:val="24"/>
          <w:lang w:val="cs-CZ"/>
        </w:rPr>
        <w:t>Dodávka horkých komor je tzv. in</w:t>
      </w:r>
      <w:r w:rsidR="00111528">
        <w:rPr>
          <w:sz w:val="24"/>
          <w:szCs w:val="24"/>
          <w:lang w:val="cs-CZ"/>
        </w:rPr>
        <w:t>-</w:t>
      </w:r>
      <w:proofErr w:type="spellStart"/>
      <w:r w:rsidR="00B9479F" w:rsidRPr="00E55564">
        <w:rPr>
          <w:sz w:val="24"/>
          <w:szCs w:val="24"/>
          <w:lang w:val="cs-CZ"/>
        </w:rPr>
        <w:t>kind</w:t>
      </w:r>
      <w:proofErr w:type="spellEnd"/>
      <w:r w:rsidR="00B9479F" w:rsidRPr="00E55564">
        <w:rPr>
          <w:sz w:val="24"/>
          <w:szCs w:val="24"/>
          <w:lang w:val="cs-CZ"/>
        </w:rPr>
        <w:t xml:space="preserve"> dodávka, což znamená, že součásti komor jsou stavěny v ČR, a poté montovány v </w:t>
      </w:r>
      <w:proofErr w:type="spellStart"/>
      <w:r w:rsidR="00B9479F" w:rsidRPr="00E55564">
        <w:rPr>
          <w:sz w:val="24"/>
          <w:szCs w:val="24"/>
          <w:lang w:val="cs-CZ"/>
        </w:rPr>
        <w:t>Cadarache</w:t>
      </w:r>
      <w:proofErr w:type="spellEnd"/>
      <w:r w:rsidR="00B9479F" w:rsidRPr="00E55564">
        <w:rPr>
          <w:sz w:val="24"/>
          <w:szCs w:val="24"/>
          <w:lang w:val="cs-CZ"/>
        </w:rPr>
        <w:t xml:space="preserve"> do vlastní stavby JHR. Tento aspekt znamená také to, že české firmy </w:t>
      </w:r>
      <w:r w:rsidRPr="00E55564">
        <w:rPr>
          <w:sz w:val="24"/>
          <w:szCs w:val="24"/>
          <w:lang w:val="cs-CZ"/>
        </w:rPr>
        <w:t xml:space="preserve">vstupují do výzev veřejných zakázek vypisovaných CVŘ, </w:t>
      </w:r>
      <w:r w:rsidR="00B9479F" w:rsidRPr="00E55564">
        <w:rPr>
          <w:sz w:val="24"/>
          <w:szCs w:val="24"/>
          <w:lang w:val="cs-CZ"/>
        </w:rPr>
        <w:t xml:space="preserve">jsou konfrontovány s požadavky na kvalitu francouzských jaderných staveb, která je tradičně vysoká. Vytváří se tak pro ně šance </w:t>
      </w:r>
      <w:r w:rsidR="006230BA">
        <w:rPr>
          <w:sz w:val="24"/>
          <w:szCs w:val="24"/>
          <w:lang w:val="cs-CZ"/>
        </w:rPr>
        <w:t>na ještě větší integraci do evropského</w:t>
      </w:r>
      <w:r w:rsidR="00B9479F" w:rsidRPr="00E55564">
        <w:rPr>
          <w:sz w:val="24"/>
          <w:szCs w:val="24"/>
          <w:lang w:val="cs-CZ"/>
        </w:rPr>
        <w:t xml:space="preserve"> trh</w:t>
      </w:r>
      <w:r w:rsidR="006230BA">
        <w:rPr>
          <w:sz w:val="24"/>
          <w:szCs w:val="24"/>
          <w:lang w:val="cs-CZ"/>
        </w:rPr>
        <w:t>u</w:t>
      </w:r>
      <w:r w:rsidR="00B9479F" w:rsidRPr="00E55564">
        <w:rPr>
          <w:sz w:val="24"/>
          <w:szCs w:val="24"/>
          <w:lang w:val="cs-CZ"/>
        </w:rPr>
        <w:t>.</w:t>
      </w:r>
    </w:p>
    <w:p w14:paraId="5ECDD436" w14:textId="3AC88336" w:rsidR="00C521F4" w:rsidRPr="00E55564" w:rsidRDefault="007A20C5" w:rsidP="00111528">
      <w:pPr>
        <w:spacing w:after="120" w:line="240" w:lineRule="auto"/>
        <w:ind w:firstLine="426"/>
        <w:jc w:val="both"/>
        <w:rPr>
          <w:sz w:val="24"/>
          <w:szCs w:val="24"/>
          <w:lang w:val="cs-CZ" w:eastAsia="cs-CZ"/>
        </w:rPr>
      </w:pPr>
      <w:r w:rsidRPr="00E55564">
        <w:rPr>
          <w:sz w:val="24"/>
          <w:szCs w:val="24"/>
          <w:lang w:val="cs-CZ" w:eastAsia="cs-CZ"/>
        </w:rPr>
        <w:t>Od roku 2011 byl projekt vývoje a prototypové dodávky horkých komor pro JHR financován jako účelová podpora v rámci aktivity podpory velkých infrastruktur pro výzkum, experimentální vývoj a inovace</w:t>
      </w:r>
      <w:r w:rsidR="000C4910" w:rsidRPr="00E55564">
        <w:rPr>
          <w:sz w:val="24"/>
          <w:szCs w:val="24"/>
          <w:lang w:val="cs-CZ" w:eastAsia="cs-CZ"/>
        </w:rPr>
        <w:t xml:space="preserve"> MŠMT</w:t>
      </w:r>
      <w:r w:rsidRPr="00E55564">
        <w:rPr>
          <w:sz w:val="24"/>
          <w:szCs w:val="24"/>
          <w:lang w:val="cs-CZ" w:eastAsia="cs-CZ"/>
        </w:rPr>
        <w:t xml:space="preserve"> (</w:t>
      </w:r>
      <w:r w:rsidRPr="00E55564">
        <w:rPr>
          <w:sz w:val="24"/>
          <w:szCs w:val="24"/>
          <w:lang w:val="cs-CZ"/>
        </w:rPr>
        <w:t>usnesení vlády</w:t>
      </w:r>
      <w:r w:rsidRPr="00E55564">
        <w:rPr>
          <w:rFonts w:eastAsia="Calibri"/>
          <w:sz w:val="24"/>
          <w:szCs w:val="24"/>
          <w:lang w:val="cs-CZ" w:eastAsia="cs-CZ"/>
        </w:rPr>
        <w:t xml:space="preserve"> </w:t>
      </w:r>
      <w:r w:rsidR="00111528">
        <w:rPr>
          <w:rFonts w:eastAsia="Calibri"/>
          <w:sz w:val="24"/>
          <w:szCs w:val="24"/>
          <w:lang w:val="cs-CZ" w:eastAsia="cs-CZ"/>
        </w:rPr>
        <w:t xml:space="preserve">ČR </w:t>
      </w:r>
      <w:r w:rsidRPr="00E55564">
        <w:rPr>
          <w:rFonts w:eastAsia="Calibri"/>
          <w:sz w:val="24"/>
          <w:szCs w:val="24"/>
          <w:lang w:val="cs-CZ" w:eastAsia="cs-CZ"/>
        </w:rPr>
        <w:t xml:space="preserve">ze dne 22. února 2010 č. 143). </w:t>
      </w:r>
      <w:r w:rsidRPr="00E55564">
        <w:rPr>
          <w:sz w:val="24"/>
          <w:szCs w:val="24"/>
          <w:lang w:val="cs-CZ"/>
        </w:rPr>
        <w:t>Zároveň bylo vyje</w:t>
      </w:r>
      <w:r w:rsidR="005D5D5E" w:rsidRPr="00E55564">
        <w:rPr>
          <w:sz w:val="24"/>
          <w:szCs w:val="24"/>
          <w:lang w:val="cs-CZ"/>
        </w:rPr>
        <w:t>dnáváním dosaženo roku 2012</w:t>
      </w:r>
      <w:r w:rsidRPr="00E55564">
        <w:rPr>
          <w:sz w:val="24"/>
          <w:szCs w:val="24"/>
          <w:lang w:val="cs-CZ"/>
        </w:rPr>
        <w:t xml:space="preserve"> navýšení využitelné kapacity reaktoru pro ČR za dodávku horkých komor z původních 2</w:t>
      </w:r>
      <w:r w:rsidR="00111528">
        <w:rPr>
          <w:sz w:val="24"/>
          <w:szCs w:val="24"/>
          <w:lang w:val="cs-CZ"/>
        </w:rPr>
        <w:t xml:space="preserve"> </w:t>
      </w:r>
      <w:r w:rsidRPr="00E55564">
        <w:rPr>
          <w:sz w:val="24"/>
          <w:szCs w:val="24"/>
          <w:lang w:val="cs-CZ"/>
        </w:rPr>
        <w:t>% na 3</w:t>
      </w:r>
      <w:r w:rsidR="00111528">
        <w:rPr>
          <w:sz w:val="24"/>
          <w:szCs w:val="24"/>
          <w:lang w:val="cs-CZ"/>
        </w:rPr>
        <w:t xml:space="preserve"> </w:t>
      </w:r>
      <w:r w:rsidRPr="00E55564">
        <w:rPr>
          <w:sz w:val="24"/>
          <w:szCs w:val="24"/>
          <w:lang w:val="cs-CZ"/>
        </w:rPr>
        <w:t xml:space="preserve">%. </w:t>
      </w:r>
      <w:r w:rsidR="000C4910" w:rsidRPr="00E55564">
        <w:rPr>
          <w:sz w:val="24"/>
          <w:szCs w:val="24"/>
          <w:lang w:val="cs-CZ" w:eastAsia="cs-CZ"/>
        </w:rPr>
        <w:t>Původní</w:t>
      </w:r>
      <w:r w:rsidRPr="00E55564">
        <w:rPr>
          <w:sz w:val="24"/>
          <w:szCs w:val="24"/>
          <w:lang w:val="cs-CZ" w:eastAsia="cs-CZ"/>
        </w:rPr>
        <w:t xml:space="preserve"> projekt </w:t>
      </w:r>
      <w:r w:rsidR="005277AA">
        <w:rPr>
          <w:sz w:val="24"/>
          <w:szCs w:val="24"/>
          <w:lang w:val="cs-CZ" w:eastAsia="cs-CZ"/>
        </w:rPr>
        <w:t xml:space="preserve">velké infrastruktury </w:t>
      </w:r>
      <w:r w:rsidRPr="00E55564">
        <w:rPr>
          <w:sz w:val="24"/>
          <w:szCs w:val="24"/>
          <w:lang w:val="cs-CZ" w:eastAsia="cs-CZ"/>
        </w:rPr>
        <w:t xml:space="preserve">byl usnesením vlády </w:t>
      </w:r>
      <w:r w:rsidR="00111528">
        <w:rPr>
          <w:sz w:val="24"/>
          <w:szCs w:val="24"/>
          <w:lang w:val="cs-CZ" w:eastAsia="cs-CZ"/>
        </w:rPr>
        <w:t>ČR ze dne 4. září </w:t>
      </w:r>
      <w:r w:rsidRPr="00E55564">
        <w:rPr>
          <w:sz w:val="24"/>
          <w:szCs w:val="24"/>
          <w:lang w:val="cs-CZ" w:eastAsia="cs-CZ"/>
        </w:rPr>
        <w:t>2013 č. 675 prodloužen do konce roku 2016.</w:t>
      </w:r>
      <w:r w:rsidR="005277AA">
        <w:rPr>
          <w:sz w:val="24"/>
          <w:szCs w:val="24"/>
          <w:lang w:val="cs-CZ" w:eastAsia="cs-CZ"/>
        </w:rPr>
        <w:t xml:space="preserve"> Roku 2014 však francouzští koordinátoři posunuli termín spuštění reaktoru až na rok 2020, od kdy je plánována </w:t>
      </w:r>
      <w:r w:rsidR="005277AA" w:rsidRPr="005277AA">
        <w:rPr>
          <w:sz w:val="24"/>
          <w:szCs w:val="24"/>
          <w:lang w:val="cs-CZ" w:eastAsia="cs-CZ"/>
        </w:rPr>
        <w:t>p</w:t>
      </w:r>
      <w:r w:rsidRPr="005277AA">
        <w:rPr>
          <w:sz w:val="24"/>
          <w:szCs w:val="24"/>
          <w:lang w:val="cs-CZ" w:eastAsia="cs-CZ"/>
        </w:rPr>
        <w:t xml:space="preserve">rovozní fáze JHR na minimálně 50 let. Poté se </w:t>
      </w:r>
      <w:bookmarkStart w:id="0" w:name="_GoBack"/>
      <w:bookmarkEnd w:id="0"/>
      <w:r w:rsidRPr="005277AA">
        <w:rPr>
          <w:sz w:val="24"/>
          <w:szCs w:val="24"/>
          <w:lang w:val="cs-CZ" w:eastAsia="cs-CZ"/>
        </w:rPr>
        <w:t>22 let počítá</w:t>
      </w:r>
      <w:r w:rsidRPr="00E55564">
        <w:rPr>
          <w:sz w:val="24"/>
          <w:szCs w:val="24"/>
          <w:lang w:val="cs-CZ" w:eastAsia="cs-CZ"/>
        </w:rPr>
        <w:t xml:space="preserve"> s postupnou demontáží JHR, přičemž demontáž bude prováděna s využitím horkých komor. Spolehlivost a bezpečnost horkých komor mus</w:t>
      </w:r>
      <w:r w:rsidR="00111528">
        <w:rPr>
          <w:sz w:val="24"/>
          <w:szCs w:val="24"/>
          <w:lang w:val="cs-CZ" w:eastAsia="cs-CZ"/>
        </w:rPr>
        <w:t>í být zajištěna po dobu 72 let.</w:t>
      </w:r>
    </w:p>
    <w:p w14:paraId="1EB65A25" w14:textId="49546BD1" w:rsidR="005D5D5E" w:rsidRPr="00E55564" w:rsidRDefault="00B9479F" w:rsidP="00836EC9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  <w:r w:rsidRPr="00E55564">
        <w:rPr>
          <w:sz w:val="24"/>
          <w:szCs w:val="24"/>
          <w:lang w:val="cs-CZ" w:eastAsia="cs-CZ"/>
        </w:rPr>
        <w:t xml:space="preserve">JHR je již od počátku </w:t>
      </w:r>
      <w:r w:rsidR="00836EC9">
        <w:rPr>
          <w:sz w:val="24"/>
          <w:szCs w:val="24"/>
          <w:lang w:val="cs-CZ" w:eastAsia="cs-CZ"/>
        </w:rPr>
        <w:t xml:space="preserve">svým charakterem </w:t>
      </w:r>
      <w:r w:rsidRPr="00E55564">
        <w:rPr>
          <w:sz w:val="24"/>
          <w:szCs w:val="24"/>
          <w:lang w:val="cs-CZ" w:eastAsia="cs-CZ"/>
        </w:rPr>
        <w:t xml:space="preserve">mezinárodní. Členy konsorcia jsou </w:t>
      </w:r>
      <w:r w:rsidRPr="00E55564">
        <w:rPr>
          <w:noProof/>
          <w:sz w:val="24"/>
          <w:szCs w:val="24"/>
          <w:lang w:val="cs-CZ"/>
        </w:rPr>
        <w:t>CIEMAT (Španělsko); SCK (Belgie); ÚJV Řež (ČR); VTT (Finsko); CEA (Francie); IAEC (Israel); DAE (</w:t>
      </w:r>
      <w:r w:rsidR="00836EC9">
        <w:rPr>
          <w:noProof/>
          <w:sz w:val="24"/>
          <w:szCs w:val="24"/>
          <w:lang w:val="cs-CZ"/>
        </w:rPr>
        <w:t>Indie); JAEA (Japonsko); NNL (Velká Británie), „Electricité de France“</w:t>
      </w:r>
      <w:r w:rsidRPr="00E55564">
        <w:rPr>
          <w:noProof/>
          <w:sz w:val="24"/>
          <w:szCs w:val="24"/>
          <w:lang w:val="cs-CZ"/>
        </w:rPr>
        <w:t xml:space="preserve"> (EDF</w:t>
      </w:r>
      <w:r w:rsidR="001A5DE2" w:rsidRPr="00E55564">
        <w:rPr>
          <w:noProof/>
          <w:sz w:val="24"/>
          <w:szCs w:val="24"/>
          <w:lang w:val="cs-CZ"/>
        </w:rPr>
        <w:t xml:space="preserve"> </w:t>
      </w:r>
      <w:r w:rsidR="00836EC9">
        <w:rPr>
          <w:noProof/>
          <w:sz w:val="24"/>
          <w:szCs w:val="24"/>
          <w:lang w:val="cs-CZ"/>
        </w:rPr>
        <w:t>–</w:t>
      </w:r>
      <w:r w:rsidR="001A5DE2" w:rsidRPr="00E55564">
        <w:rPr>
          <w:noProof/>
          <w:sz w:val="24"/>
          <w:szCs w:val="24"/>
          <w:lang w:val="cs-CZ"/>
        </w:rPr>
        <w:t xml:space="preserve"> F</w:t>
      </w:r>
      <w:r w:rsidRPr="00E55564">
        <w:rPr>
          <w:noProof/>
          <w:sz w:val="24"/>
          <w:szCs w:val="24"/>
          <w:lang w:val="cs-CZ"/>
        </w:rPr>
        <w:t>rancie); AREVA; VATTENFALL a Evropská komise</w:t>
      </w:r>
      <w:r w:rsidR="0064637D" w:rsidRPr="00E55564">
        <w:rPr>
          <w:noProof/>
          <w:sz w:val="24"/>
          <w:szCs w:val="24"/>
          <w:lang w:val="cs-CZ"/>
        </w:rPr>
        <w:t xml:space="preserve"> (JRC)</w:t>
      </w:r>
      <w:r w:rsidRPr="00E55564">
        <w:rPr>
          <w:noProof/>
          <w:sz w:val="24"/>
          <w:szCs w:val="24"/>
          <w:lang w:val="cs-CZ"/>
        </w:rPr>
        <w:t xml:space="preserve">. </w:t>
      </w:r>
      <w:r w:rsidR="0064637D" w:rsidRPr="00E55564">
        <w:rPr>
          <w:noProof/>
          <w:sz w:val="24"/>
          <w:szCs w:val="24"/>
          <w:lang w:val="cs-CZ"/>
        </w:rPr>
        <w:t>Agentura IAEA považuje JHR za budoucí nástroj pro udržení bezpečného chodu jaderných elektráren.</w:t>
      </w:r>
    </w:p>
    <w:p w14:paraId="0A60F083" w14:textId="758F1F46" w:rsidR="00627026" w:rsidRDefault="00627026" w:rsidP="00836EC9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  <w:r w:rsidRPr="00E55564">
        <w:rPr>
          <w:noProof/>
          <w:sz w:val="24"/>
          <w:szCs w:val="24"/>
          <w:lang w:val="cs-CZ"/>
        </w:rPr>
        <w:t>CEA jakožto operátor reaktoru je zodpovědná za jeho bezpečný chod. Č</w:t>
      </w:r>
      <w:r w:rsidR="00D45A7D" w:rsidRPr="00E55564">
        <w:rPr>
          <w:noProof/>
          <w:sz w:val="24"/>
          <w:szCs w:val="24"/>
          <w:lang w:val="cs-CZ"/>
        </w:rPr>
        <w:t>le</w:t>
      </w:r>
      <w:r w:rsidRPr="00E55564">
        <w:rPr>
          <w:noProof/>
          <w:sz w:val="24"/>
          <w:szCs w:val="24"/>
          <w:lang w:val="cs-CZ"/>
        </w:rPr>
        <w:t>nové konsorcia jsou vlastníky přístupových práv</w:t>
      </w:r>
      <w:r w:rsidR="00D45A7D" w:rsidRPr="00E55564">
        <w:rPr>
          <w:noProof/>
          <w:sz w:val="24"/>
          <w:szCs w:val="24"/>
          <w:lang w:val="cs-CZ"/>
        </w:rPr>
        <w:t xml:space="preserve"> k měřící kapacitě reaktoru</w:t>
      </w:r>
      <w:r w:rsidRPr="00E55564">
        <w:rPr>
          <w:noProof/>
          <w:sz w:val="24"/>
          <w:szCs w:val="24"/>
          <w:lang w:val="cs-CZ"/>
        </w:rPr>
        <w:t xml:space="preserve"> a hlasovacích práv</w:t>
      </w:r>
      <w:r w:rsidR="00D45A7D" w:rsidRPr="00E55564">
        <w:rPr>
          <w:noProof/>
          <w:sz w:val="24"/>
          <w:szCs w:val="24"/>
          <w:lang w:val="cs-CZ"/>
        </w:rPr>
        <w:t xml:space="preserve"> k celkovému řízení výzkumné infrastruktury</w:t>
      </w:r>
      <w:r w:rsidR="00F01288" w:rsidRPr="00E55564">
        <w:rPr>
          <w:noProof/>
          <w:sz w:val="24"/>
          <w:szCs w:val="24"/>
          <w:lang w:val="cs-CZ"/>
        </w:rPr>
        <w:t xml:space="preserve"> na základě jejich příspěvku ke stavbě reaktoru. Každý člen </w:t>
      </w:r>
      <w:r w:rsidR="00F01288" w:rsidRPr="00E55564">
        <w:rPr>
          <w:noProof/>
          <w:sz w:val="24"/>
          <w:szCs w:val="24"/>
          <w:lang w:val="cs-CZ"/>
        </w:rPr>
        <w:lastRenderedPageBreak/>
        <w:t>konsorcia má právo svou kapacitu využít pro svůj národní program nebo je vložit do mezin</w:t>
      </w:r>
      <w:r w:rsidR="007D2C8E" w:rsidRPr="00E55564">
        <w:rPr>
          <w:noProof/>
          <w:sz w:val="24"/>
          <w:szCs w:val="24"/>
          <w:lang w:val="cs-CZ"/>
        </w:rPr>
        <w:t>árodního (rozumějme zahrnující</w:t>
      </w:r>
      <w:r w:rsidR="00836EC9">
        <w:rPr>
          <w:noProof/>
          <w:sz w:val="24"/>
          <w:szCs w:val="24"/>
          <w:lang w:val="cs-CZ"/>
        </w:rPr>
        <w:t>ho nečleny konsorcia z</w:t>
      </w:r>
      <w:r w:rsidR="00F01288" w:rsidRPr="00E55564">
        <w:rPr>
          <w:noProof/>
          <w:sz w:val="24"/>
          <w:szCs w:val="24"/>
          <w:lang w:val="cs-CZ"/>
        </w:rPr>
        <w:t> třetích zemí) programu.</w:t>
      </w:r>
    </w:p>
    <w:p w14:paraId="4D4508BF" w14:textId="77777777" w:rsidR="001F2990" w:rsidRDefault="001F2990" w:rsidP="00836EC9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</w:p>
    <w:p w14:paraId="6C6D566F" w14:textId="77777777" w:rsidR="001F2990" w:rsidRPr="00E55564" w:rsidRDefault="001F2990" w:rsidP="00836EC9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</w:p>
    <w:p w14:paraId="1DE60964" w14:textId="6CFB9929" w:rsidR="00924E13" w:rsidRPr="001F2990" w:rsidRDefault="00E402D6" w:rsidP="001F2990">
      <w:pPr>
        <w:spacing w:after="240" w:line="240" w:lineRule="auto"/>
        <w:rPr>
          <w:b/>
          <w:sz w:val="28"/>
          <w:szCs w:val="28"/>
          <w:lang w:val="cs-CZ"/>
        </w:rPr>
      </w:pPr>
      <w:r w:rsidRPr="001F2990">
        <w:rPr>
          <w:b/>
          <w:sz w:val="28"/>
          <w:szCs w:val="28"/>
          <w:lang w:val="cs-CZ"/>
        </w:rPr>
        <w:t>II</w:t>
      </w:r>
      <w:r w:rsidR="00924E13" w:rsidRPr="001F2990">
        <w:rPr>
          <w:b/>
          <w:sz w:val="28"/>
          <w:szCs w:val="28"/>
          <w:lang w:val="cs-CZ"/>
        </w:rPr>
        <w:t xml:space="preserve">. </w:t>
      </w:r>
      <w:r w:rsidR="00443A9C" w:rsidRPr="001F2990">
        <w:rPr>
          <w:b/>
          <w:sz w:val="28"/>
          <w:szCs w:val="28"/>
          <w:lang w:val="cs-CZ"/>
        </w:rPr>
        <w:t>V</w:t>
      </w:r>
      <w:r w:rsidR="001F2990" w:rsidRPr="001F2990">
        <w:rPr>
          <w:b/>
          <w:sz w:val="28"/>
          <w:szCs w:val="28"/>
          <w:lang w:val="cs-CZ"/>
        </w:rPr>
        <w:t>ýznam výzkumné infrastruktury</w:t>
      </w:r>
    </w:p>
    <w:p w14:paraId="18BACEE0" w14:textId="74D035C9" w:rsidR="0006344E" w:rsidRPr="001F2990" w:rsidRDefault="008950B7" w:rsidP="001F2990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sz w:val="24"/>
          <w:szCs w:val="24"/>
          <w:lang w:val="cs-CZ"/>
        </w:rPr>
        <w:t xml:space="preserve">Jak již bylo řečeno výše, JHR převezme postupně výzkumné úkoly prováděné na stávajících reaktorech. </w:t>
      </w:r>
      <w:r w:rsidR="00DD19E5" w:rsidRPr="001F2990">
        <w:rPr>
          <w:sz w:val="24"/>
          <w:szCs w:val="24"/>
          <w:lang w:val="cs-CZ"/>
        </w:rPr>
        <w:t>Do roku 2020 bude</w:t>
      </w:r>
      <w:r w:rsidRPr="001F2990">
        <w:rPr>
          <w:sz w:val="24"/>
          <w:szCs w:val="24"/>
          <w:lang w:val="cs-CZ"/>
        </w:rPr>
        <w:t xml:space="preserve"> odstavován </w:t>
      </w:r>
      <w:r w:rsidR="00DD19E5" w:rsidRPr="001F2990">
        <w:rPr>
          <w:sz w:val="24"/>
          <w:szCs w:val="24"/>
          <w:lang w:val="cs-CZ"/>
        </w:rPr>
        <w:t xml:space="preserve">francouzský </w:t>
      </w:r>
      <w:r w:rsidRPr="001F2990">
        <w:rPr>
          <w:sz w:val="24"/>
          <w:szCs w:val="24"/>
          <w:lang w:val="cs-CZ"/>
        </w:rPr>
        <w:t xml:space="preserve">výzkumný </w:t>
      </w:r>
      <w:r w:rsidR="00DD19E5" w:rsidRPr="001F2990">
        <w:rPr>
          <w:sz w:val="24"/>
          <w:szCs w:val="24"/>
          <w:lang w:val="cs-CZ"/>
        </w:rPr>
        <w:t>reaktor OSIRIS, po roce 2020 se plánuje ods</w:t>
      </w:r>
      <w:r w:rsidR="001F2990">
        <w:rPr>
          <w:sz w:val="24"/>
          <w:szCs w:val="24"/>
          <w:lang w:val="cs-CZ"/>
        </w:rPr>
        <w:t>tavení belgického reaktoru BR-</w:t>
      </w:r>
      <w:r w:rsidR="00DD19E5" w:rsidRPr="001F2990">
        <w:rPr>
          <w:sz w:val="24"/>
          <w:szCs w:val="24"/>
          <w:lang w:val="cs-CZ"/>
        </w:rPr>
        <w:t xml:space="preserve">2. Také v zámoří bude odstavován kanadský reaktor NRU. </w:t>
      </w:r>
      <w:r w:rsidRPr="001F2990">
        <w:rPr>
          <w:sz w:val="24"/>
          <w:szCs w:val="24"/>
          <w:lang w:val="cs-CZ"/>
        </w:rPr>
        <w:t xml:space="preserve">Po roce 2027 JHR pravděpodobně převezme i práce </w:t>
      </w:r>
      <w:r w:rsidR="001F2990">
        <w:rPr>
          <w:sz w:val="24"/>
          <w:szCs w:val="24"/>
          <w:lang w:val="cs-CZ"/>
        </w:rPr>
        <w:t>dělané na českém reaktoru LVR-</w:t>
      </w:r>
      <w:r w:rsidRPr="001F2990">
        <w:rPr>
          <w:sz w:val="24"/>
          <w:szCs w:val="24"/>
          <w:lang w:val="cs-CZ"/>
        </w:rPr>
        <w:t>15 v Řeži.</w:t>
      </w:r>
      <w:r w:rsidR="00DD19E5" w:rsidRPr="001F2990">
        <w:rPr>
          <w:sz w:val="24"/>
          <w:szCs w:val="24"/>
          <w:lang w:val="cs-CZ"/>
        </w:rPr>
        <w:t xml:space="preserve"> Význam výzkumného reaktoru JHR tedy po roce 2020 stá</w:t>
      </w:r>
      <w:r w:rsidR="006552C2" w:rsidRPr="001F2990">
        <w:rPr>
          <w:sz w:val="24"/>
          <w:szCs w:val="24"/>
          <w:lang w:val="cs-CZ"/>
        </w:rPr>
        <w:t xml:space="preserve">le poroste. </w:t>
      </w:r>
      <w:r w:rsidR="009C6B79" w:rsidRPr="001F2990">
        <w:rPr>
          <w:sz w:val="24"/>
          <w:szCs w:val="24"/>
          <w:lang w:val="cs-CZ"/>
        </w:rPr>
        <w:t>Všichni evropští výzkumní pracovníci na něm budou závi</w:t>
      </w:r>
      <w:r w:rsidR="001F2990">
        <w:rPr>
          <w:sz w:val="24"/>
          <w:szCs w:val="24"/>
          <w:lang w:val="cs-CZ"/>
        </w:rPr>
        <w:t>slí</w:t>
      </w:r>
      <w:r w:rsidR="009C6B79" w:rsidRPr="001F2990">
        <w:rPr>
          <w:sz w:val="24"/>
          <w:szCs w:val="24"/>
          <w:lang w:val="cs-CZ"/>
        </w:rPr>
        <w:t xml:space="preserve">. </w:t>
      </w:r>
      <w:r w:rsidR="009C6B79" w:rsidRPr="006230BA">
        <w:rPr>
          <w:sz w:val="24"/>
          <w:szCs w:val="24"/>
          <w:lang w:val="cs-CZ"/>
        </w:rPr>
        <w:t>Po skončení výstavby JHR nebudou přibíráni další členové do konsorcia.</w:t>
      </w:r>
      <w:r w:rsidR="009C6B79" w:rsidRPr="001F2990">
        <w:rPr>
          <w:sz w:val="24"/>
          <w:szCs w:val="24"/>
          <w:lang w:val="cs-CZ"/>
        </w:rPr>
        <w:t xml:space="preserve"> </w:t>
      </w:r>
      <w:r w:rsidR="006552C2" w:rsidRPr="001F2990">
        <w:rPr>
          <w:sz w:val="24"/>
          <w:szCs w:val="24"/>
          <w:lang w:val="cs-CZ"/>
        </w:rPr>
        <w:t>Práce na této mezi</w:t>
      </w:r>
      <w:r w:rsidR="001F2990">
        <w:rPr>
          <w:sz w:val="24"/>
          <w:szCs w:val="24"/>
          <w:lang w:val="cs-CZ"/>
        </w:rPr>
        <w:t>národní výzkumné infrastruktuře,</w:t>
      </w:r>
      <w:r w:rsidR="006552C2" w:rsidRPr="001F2990">
        <w:rPr>
          <w:sz w:val="24"/>
          <w:szCs w:val="24"/>
          <w:lang w:val="cs-CZ"/>
        </w:rPr>
        <w:t xml:space="preserve"> budou mít dopad</w:t>
      </w:r>
      <w:r w:rsidR="00DD19E5" w:rsidRPr="001F2990">
        <w:rPr>
          <w:sz w:val="24"/>
          <w:szCs w:val="24"/>
          <w:lang w:val="cs-CZ"/>
        </w:rPr>
        <w:t xml:space="preserve"> nejen </w:t>
      </w:r>
      <w:r w:rsidR="006552C2" w:rsidRPr="001F2990">
        <w:rPr>
          <w:sz w:val="24"/>
          <w:szCs w:val="24"/>
          <w:lang w:val="cs-CZ"/>
        </w:rPr>
        <w:t xml:space="preserve">na </w:t>
      </w:r>
      <w:r w:rsidR="00DD19E5" w:rsidRPr="001F2990">
        <w:rPr>
          <w:sz w:val="24"/>
          <w:szCs w:val="24"/>
          <w:lang w:val="cs-CZ"/>
        </w:rPr>
        <w:t xml:space="preserve">konkurenceschopnost evropské jaderné energetiky, ale také </w:t>
      </w:r>
      <w:r w:rsidR="006552C2" w:rsidRPr="001F2990">
        <w:rPr>
          <w:sz w:val="24"/>
          <w:szCs w:val="24"/>
          <w:lang w:val="cs-CZ"/>
        </w:rPr>
        <w:t xml:space="preserve">na </w:t>
      </w:r>
      <w:r w:rsidR="00DD19E5" w:rsidRPr="001F2990">
        <w:rPr>
          <w:sz w:val="24"/>
          <w:szCs w:val="24"/>
          <w:lang w:val="cs-CZ"/>
        </w:rPr>
        <w:t>konsolidac</w:t>
      </w:r>
      <w:r w:rsidR="006552C2" w:rsidRPr="001F2990">
        <w:rPr>
          <w:sz w:val="24"/>
          <w:szCs w:val="24"/>
          <w:lang w:val="cs-CZ"/>
        </w:rPr>
        <w:t>i</w:t>
      </w:r>
      <w:r w:rsidR="00DD19E5" w:rsidRPr="001F2990">
        <w:rPr>
          <w:sz w:val="24"/>
          <w:szCs w:val="24"/>
          <w:lang w:val="cs-CZ"/>
        </w:rPr>
        <w:t xml:space="preserve"> a shromáždění znalostí uvnitř evropské výzkumné komunity v tématech na reaktoru zkoumaných.</w:t>
      </w:r>
    </w:p>
    <w:p w14:paraId="561324F6" w14:textId="77777777" w:rsidR="00DD19E5" w:rsidRPr="001F2990" w:rsidRDefault="00DD19E5" w:rsidP="001F2990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Význam výzkumné infrastruktury se v různých fázích projevuje různým způsobem.</w:t>
      </w:r>
    </w:p>
    <w:p w14:paraId="2E7BF6F6" w14:textId="64BE10DC" w:rsidR="00F0515D" w:rsidRPr="001F2990" w:rsidRDefault="00010837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 xml:space="preserve">Jak ve fázi přípravy, tak ve fázi </w:t>
      </w:r>
      <w:r w:rsidR="006552C2" w:rsidRPr="001F2990">
        <w:rPr>
          <w:rFonts w:eastAsia="Times New Roman" w:cs="Times New Roman"/>
          <w:sz w:val="24"/>
          <w:szCs w:val="24"/>
          <w:lang w:val="cs-CZ"/>
        </w:rPr>
        <w:t>vý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stavby jsou čeští výzkumní pracovníci přítomni v pracovních skupinách </w:t>
      </w:r>
      <w:r w:rsidR="001F2990">
        <w:rPr>
          <w:rFonts w:eastAsia="Times New Roman" w:cs="Times New Roman"/>
          <w:sz w:val="24"/>
          <w:szCs w:val="24"/>
          <w:lang w:val="cs-CZ"/>
        </w:rPr>
        <w:t>pro tvorbu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výzkumných témat pro budoucí výzkum JHR. V roce 2014 předsedal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mladý </w:t>
      </w:r>
      <w:r w:rsidRPr="001F2990">
        <w:rPr>
          <w:rFonts w:eastAsia="Times New Roman" w:cs="Times New Roman"/>
          <w:sz w:val="24"/>
          <w:szCs w:val="24"/>
          <w:lang w:val="cs-CZ"/>
        </w:rPr>
        <w:t>český výzkumný pracovník pracovní skupině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 JHR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na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přípravu priorit </w:t>
      </w:r>
      <w:r w:rsidRPr="001F2990">
        <w:rPr>
          <w:rFonts w:eastAsia="Times New Roman" w:cs="Times New Roman"/>
          <w:sz w:val="24"/>
          <w:szCs w:val="24"/>
          <w:lang w:val="cs-CZ"/>
        </w:rPr>
        <w:t>výzkum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u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paliva a jiný byl členem pracovní skupiny pro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přípravu priorit </w:t>
      </w:r>
      <w:r w:rsidRPr="001F2990">
        <w:rPr>
          <w:rFonts w:eastAsia="Times New Roman" w:cs="Times New Roman"/>
          <w:sz w:val="24"/>
          <w:szCs w:val="24"/>
          <w:lang w:val="cs-CZ"/>
        </w:rPr>
        <w:t>výzkum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u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materiálů. Takováto účast uvádí mladé výzkumné pracovníky do mezinárodní komunity s</w:t>
      </w:r>
      <w:r w:rsidR="00565D44" w:rsidRPr="001F2990">
        <w:rPr>
          <w:rFonts w:eastAsia="Times New Roman" w:cs="Times New Roman"/>
          <w:sz w:val="24"/>
          <w:szCs w:val="24"/>
          <w:lang w:val="cs-CZ"/>
        </w:rPr>
        <w:t>e</w:t>
      </w:r>
      <w:r w:rsidRPr="001F2990">
        <w:rPr>
          <w:rFonts w:eastAsia="Times New Roman" w:cs="Times New Roman"/>
          <w:sz w:val="24"/>
          <w:szCs w:val="24"/>
          <w:lang w:val="cs-CZ"/>
        </w:rPr>
        <w:t> všemi benefity, jaké taková přítomnost obnáší. Příkladem dopadů je pozvánka do konsorcií v programu EURATOM.</w:t>
      </w:r>
    </w:p>
    <w:p w14:paraId="7C7AEFBA" w14:textId="4CC04909" w:rsidR="00DD19E5" w:rsidRPr="001F2990" w:rsidRDefault="00AB1001" w:rsidP="00F0515D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Ve fázi výstavby má účast ČR v </w:t>
      </w:r>
      <w:r w:rsidR="00F0515D">
        <w:rPr>
          <w:rFonts w:eastAsia="Times New Roman" w:cs="Times New Roman"/>
          <w:sz w:val="24"/>
          <w:szCs w:val="24"/>
          <w:lang w:val="cs-CZ"/>
        </w:rPr>
        <w:t>J</w:t>
      </w:r>
      <w:r w:rsidRPr="001F2990">
        <w:rPr>
          <w:rFonts w:eastAsia="Times New Roman" w:cs="Times New Roman"/>
          <w:sz w:val="24"/>
          <w:szCs w:val="24"/>
          <w:lang w:val="cs-CZ"/>
        </w:rPr>
        <w:t>HR význam pro český průmysl, který může vstoupit do soutěží o veřejné zakázky na jednotlivé součásti ho</w:t>
      </w:r>
      <w:r w:rsidR="00F0515D">
        <w:rPr>
          <w:rFonts w:eastAsia="Times New Roman" w:cs="Times New Roman"/>
          <w:sz w:val="24"/>
          <w:szCs w:val="24"/>
          <w:lang w:val="cs-CZ"/>
        </w:rPr>
        <w:t>rkých komor, čímž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F0515D">
        <w:rPr>
          <w:rFonts w:eastAsia="Times New Roman" w:cs="Times New Roman"/>
          <w:sz w:val="24"/>
          <w:szCs w:val="24"/>
          <w:lang w:val="cs-CZ"/>
        </w:rPr>
        <w:t>JHR p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řispívá ke </w:t>
      </w:r>
      <w:r w:rsidR="006230BA">
        <w:rPr>
          <w:rFonts w:eastAsia="Times New Roman" w:cs="Times New Roman"/>
          <w:sz w:val="24"/>
          <w:szCs w:val="24"/>
          <w:lang w:val="cs-CZ"/>
        </w:rPr>
        <w:t xml:space="preserve">zvýšení </w:t>
      </w:r>
      <w:r w:rsidRPr="001F2990">
        <w:rPr>
          <w:rFonts w:eastAsia="Times New Roman" w:cs="Times New Roman"/>
          <w:sz w:val="24"/>
          <w:szCs w:val="24"/>
          <w:lang w:val="cs-CZ"/>
        </w:rPr>
        <w:t>konkurenceschopnosti českých firem.</w:t>
      </w:r>
      <w:r w:rsidR="00824CE7"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DD19E5" w:rsidRPr="001F2990">
        <w:rPr>
          <w:sz w:val="24"/>
          <w:szCs w:val="24"/>
          <w:lang w:val="cs-CZ"/>
        </w:rPr>
        <w:t>V období 2009-2014 bylo z ce</w:t>
      </w:r>
      <w:r w:rsidR="00F0515D">
        <w:rPr>
          <w:sz w:val="24"/>
          <w:szCs w:val="24"/>
          <w:lang w:val="cs-CZ"/>
        </w:rPr>
        <w:t>lkových nákladů na subdodávky (</w:t>
      </w:r>
      <w:r w:rsidR="00DD19E5" w:rsidRPr="001F2990">
        <w:rPr>
          <w:sz w:val="24"/>
          <w:szCs w:val="24"/>
          <w:lang w:val="cs-CZ"/>
        </w:rPr>
        <w:t>materiál a služby) zaplaceno dodavatelům 402 mil</w:t>
      </w:r>
      <w:r w:rsidR="006230BA">
        <w:rPr>
          <w:sz w:val="24"/>
          <w:szCs w:val="24"/>
          <w:lang w:val="cs-CZ"/>
        </w:rPr>
        <w:t>.</w:t>
      </w:r>
      <w:r w:rsidR="00DD19E5" w:rsidRPr="001F2990">
        <w:rPr>
          <w:sz w:val="24"/>
          <w:szCs w:val="24"/>
          <w:lang w:val="cs-CZ"/>
        </w:rPr>
        <w:t xml:space="preserve"> Kč, z toh</w:t>
      </w:r>
      <w:r w:rsidR="00F0515D">
        <w:rPr>
          <w:sz w:val="24"/>
          <w:szCs w:val="24"/>
          <w:lang w:val="cs-CZ"/>
        </w:rPr>
        <w:t>o českým subjektům 359 mil</w:t>
      </w:r>
      <w:r w:rsidR="006230BA">
        <w:rPr>
          <w:sz w:val="24"/>
          <w:szCs w:val="24"/>
          <w:lang w:val="cs-CZ"/>
        </w:rPr>
        <w:t>.</w:t>
      </w:r>
      <w:r w:rsidR="00F0515D">
        <w:rPr>
          <w:sz w:val="24"/>
          <w:szCs w:val="24"/>
          <w:lang w:val="cs-CZ"/>
        </w:rPr>
        <w:t xml:space="preserve"> Kč (</w:t>
      </w:r>
      <w:r w:rsidR="00DD19E5" w:rsidRPr="001F2990">
        <w:rPr>
          <w:sz w:val="24"/>
          <w:szCs w:val="24"/>
          <w:lang w:val="cs-CZ"/>
        </w:rPr>
        <w:t>cca 89</w:t>
      </w:r>
      <w:r w:rsidR="00F0515D">
        <w:rPr>
          <w:sz w:val="24"/>
          <w:szCs w:val="24"/>
          <w:lang w:val="cs-CZ"/>
        </w:rPr>
        <w:t xml:space="preserve"> %), zbývající část 43 mil</w:t>
      </w:r>
      <w:r w:rsidR="006230BA">
        <w:rPr>
          <w:sz w:val="24"/>
          <w:szCs w:val="24"/>
          <w:lang w:val="cs-CZ"/>
        </w:rPr>
        <w:t>.</w:t>
      </w:r>
      <w:r w:rsidR="00F0515D">
        <w:rPr>
          <w:sz w:val="24"/>
          <w:szCs w:val="24"/>
          <w:lang w:val="cs-CZ"/>
        </w:rPr>
        <w:t xml:space="preserve"> Kč (</w:t>
      </w:r>
      <w:r w:rsidR="00DD19E5" w:rsidRPr="001F2990">
        <w:rPr>
          <w:sz w:val="24"/>
          <w:szCs w:val="24"/>
          <w:lang w:val="cs-CZ"/>
        </w:rPr>
        <w:t>cca 11</w:t>
      </w:r>
      <w:r w:rsidR="00F0515D">
        <w:rPr>
          <w:sz w:val="24"/>
          <w:szCs w:val="24"/>
          <w:lang w:val="cs-CZ"/>
        </w:rPr>
        <w:t xml:space="preserve"> %</w:t>
      </w:r>
      <w:r w:rsidR="00DD19E5" w:rsidRPr="001F2990">
        <w:rPr>
          <w:sz w:val="24"/>
          <w:szCs w:val="24"/>
          <w:lang w:val="cs-CZ"/>
        </w:rPr>
        <w:t>)</w:t>
      </w:r>
      <w:r w:rsidR="00F0515D">
        <w:rPr>
          <w:sz w:val="24"/>
          <w:szCs w:val="24"/>
          <w:lang w:val="cs-CZ"/>
        </w:rPr>
        <w:t xml:space="preserve"> </w:t>
      </w:r>
      <w:r w:rsidR="00DD19E5" w:rsidRPr="001F2990">
        <w:rPr>
          <w:sz w:val="24"/>
          <w:szCs w:val="24"/>
          <w:lang w:val="cs-CZ"/>
        </w:rPr>
        <w:t>byla uhrazena zahraničním dodavatelům, zejména z Francie.</w:t>
      </w:r>
    </w:p>
    <w:p w14:paraId="6321ED7D" w14:textId="7C25DC03" w:rsidR="00F650F9" w:rsidRPr="001F2990" w:rsidRDefault="00010837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Ve fá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zi provozní bude mít účast ČR v</w:t>
      </w:r>
      <w:r w:rsidR="00F0515D">
        <w:rPr>
          <w:rFonts w:eastAsia="Times New Roman" w:cs="Times New Roman"/>
          <w:sz w:val="24"/>
          <w:szCs w:val="24"/>
          <w:lang w:val="cs-CZ"/>
        </w:rPr>
        <w:t xml:space="preserve"> této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výzkumné infrastruktuře dopady na excelenc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i </w:t>
      </w:r>
      <w:r w:rsidR="00F0515D" w:rsidRPr="001F2990">
        <w:rPr>
          <w:rFonts w:eastAsia="Times New Roman" w:cs="Times New Roman"/>
          <w:sz w:val="24"/>
          <w:szCs w:val="24"/>
          <w:lang w:val="cs-CZ"/>
        </w:rPr>
        <w:t xml:space="preserve">prováděného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výzkumu na reaktoru, což ovlivní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úroveň znalostí a kvality v</w:t>
      </w:r>
      <w:r w:rsidR="00F0515D">
        <w:rPr>
          <w:rFonts w:eastAsia="Times New Roman" w:cs="Times New Roman"/>
          <w:sz w:val="24"/>
          <w:szCs w:val="24"/>
          <w:lang w:val="cs-CZ"/>
        </w:rPr>
        <w:t>ýzkumu prováděného v ČR obecně.</w:t>
      </w:r>
    </w:p>
    <w:p w14:paraId="5C8B64ED" w14:textId="07BEC1DA" w:rsidR="0064637D" w:rsidRPr="001F2990" w:rsidRDefault="0064637D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 xml:space="preserve">České jaderné elektrárny budou mít přístup k výsledkům výzkumu využitelného pro efektivní a bezpečný chod </w:t>
      </w:r>
      <w:r w:rsidR="00DD19E5" w:rsidRPr="001F2990">
        <w:rPr>
          <w:rFonts w:eastAsia="Times New Roman" w:cs="Times New Roman"/>
          <w:sz w:val="24"/>
          <w:szCs w:val="24"/>
          <w:lang w:val="cs-CZ"/>
        </w:rPr>
        <w:t>svých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zařízení. Výzkumné organizace, které se výzkumu v rámci přístupu k infrastruktuře zúčastní, budou mít možnost vstoupit do mezinárodní komunity jak výzkumných organizací, tak vlastníků elektráren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 xml:space="preserve">, </w:t>
      </w:r>
      <w:r w:rsidRPr="001F2990">
        <w:rPr>
          <w:rFonts w:eastAsia="Times New Roman" w:cs="Times New Roman"/>
          <w:sz w:val="24"/>
          <w:szCs w:val="24"/>
          <w:lang w:val="cs-CZ"/>
        </w:rPr>
        <w:t>a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 xml:space="preserve"> pokud se osvědčí jako spolehlivý a kvalitní partner,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6230BA">
        <w:rPr>
          <w:rFonts w:eastAsia="Times New Roman" w:cs="Times New Roman"/>
          <w:sz w:val="24"/>
          <w:szCs w:val="24"/>
          <w:lang w:val="cs-CZ"/>
        </w:rPr>
        <w:t xml:space="preserve">budou </w:t>
      </w:r>
      <w:r w:rsidRPr="001F2990">
        <w:rPr>
          <w:rFonts w:eastAsia="Times New Roman" w:cs="Times New Roman"/>
          <w:sz w:val="24"/>
          <w:szCs w:val="24"/>
          <w:lang w:val="cs-CZ"/>
        </w:rPr>
        <w:t>získ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 xml:space="preserve">ávat zakázky na smluvní výzkum </w:t>
      </w:r>
      <w:r w:rsidRPr="001F2990">
        <w:rPr>
          <w:rFonts w:eastAsia="Times New Roman" w:cs="Times New Roman"/>
          <w:sz w:val="24"/>
          <w:szCs w:val="24"/>
          <w:lang w:val="cs-CZ"/>
        </w:rPr>
        <w:t>od mezinárodního energetického průmyslu.</w:t>
      </w:r>
    </w:p>
    <w:p w14:paraId="5A1D9B9B" w14:textId="21258CA6" w:rsidR="0064637D" w:rsidRPr="001F2990" w:rsidRDefault="00010837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 xml:space="preserve">Příjemce podpory </w:t>
      </w:r>
      <w:r w:rsidR="00F0515D">
        <w:rPr>
          <w:rFonts w:eastAsia="Times New Roman" w:cs="Times New Roman"/>
          <w:sz w:val="24"/>
          <w:szCs w:val="24"/>
          <w:lang w:val="cs-CZ"/>
        </w:rPr>
        <w:t>CVŘ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 je výzkumnou organizací, která provádí dodávku horkých komor na základě pověření ÚJV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 xml:space="preserve"> a 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bude následně správcem kapacity, která ČR připadne. To znamená, že bude umožňovat 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>přístup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 k měřící kapacitě reaktoru JHR 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>výzkumným organizacím</w:t>
      </w:r>
      <w:r w:rsidR="006230BA">
        <w:rPr>
          <w:rFonts w:eastAsia="Times New Roman" w:cs="Times New Roman"/>
          <w:sz w:val="24"/>
          <w:szCs w:val="24"/>
          <w:lang w:val="cs-CZ"/>
        </w:rPr>
        <w:t>,</w:t>
      </w:r>
      <w:r w:rsidR="00F650F9"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F0515D">
        <w:rPr>
          <w:rFonts w:eastAsia="Times New Roman" w:cs="Times New Roman"/>
          <w:sz w:val="24"/>
          <w:szCs w:val="24"/>
          <w:lang w:val="cs-CZ"/>
        </w:rPr>
        <w:t>včetně vysokých škol</w:t>
      </w:r>
      <w:r w:rsidR="006230BA">
        <w:rPr>
          <w:rFonts w:eastAsia="Times New Roman" w:cs="Times New Roman"/>
          <w:sz w:val="24"/>
          <w:szCs w:val="24"/>
          <w:lang w:val="cs-CZ"/>
        </w:rPr>
        <w:t>,</w:t>
      </w:r>
      <w:r w:rsidR="00F0515D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na základě volné soutěž</w:t>
      </w:r>
      <w:r w:rsidR="00F0515D">
        <w:rPr>
          <w:rFonts w:eastAsia="Times New Roman" w:cs="Times New Roman"/>
          <w:sz w:val="24"/>
          <w:szCs w:val="24"/>
          <w:lang w:val="cs-CZ"/>
        </w:rPr>
        <w:t>e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0309B8" w:rsidRPr="001F2990">
        <w:rPr>
          <w:rFonts w:eastAsia="Times New Roman" w:cs="Times New Roman"/>
          <w:sz w:val="24"/>
          <w:szCs w:val="24"/>
          <w:lang w:val="cs-CZ"/>
        </w:rPr>
        <w:t>nejlepším navržený</w:t>
      </w:r>
      <w:r w:rsidR="00F0515D">
        <w:rPr>
          <w:rFonts w:eastAsia="Times New Roman" w:cs="Times New Roman"/>
          <w:sz w:val="24"/>
          <w:szCs w:val="24"/>
          <w:lang w:val="cs-CZ"/>
        </w:rPr>
        <w:t>m</w:t>
      </w:r>
      <w:r w:rsidR="000309B8" w:rsidRPr="001F2990">
        <w:rPr>
          <w:rFonts w:eastAsia="Times New Roman" w:cs="Times New Roman"/>
          <w:sz w:val="24"/>
          <w:szCs w:val="24"/>
          <w:lang w:val="cs-CZ"/>
        </w:rPr>
        <w:t xml:space="preserve"> projektům od českých uchazečů – tzv. </w:t>
      </w:r>
      <w:proofErr w:type="spellStart"/>
      <w:r w:rsidR="000309B8" w:rsidRPr="001F2990">
        <w:rPr>
          <w:rFonts w:eastAsia="Times New Roman" w:cs="Times New Roman"/>
          <w:sz w:val="24"/>
          <w:szCs w:val="24"/>
          <w:lang w:val="cs-CZ"/>
        </w:rPr>
        <w:t>national</w:t>
      </w:r>
      <w:proofErr w:type="spellEnd"/>
      <w:r w:rsidR="000309B8"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proofErr w:type="spellStart"/>
      <w:r w:rsidR="000309B8" w:rsidRPr="001F2990">
        <w:rPr>
          <w:rFonts w:eastAsia="Times New Roman" w:cs="Times New Roman"/>
          <w:sz w:val="24"/>
          <w:szCs w:val="24"/>
          <w:lang w:val="cs-CZ"/>
        </w:rPr>
        <w:t>programme</w:t>
      </w:r>
      <w:proofErr w:type="spellEnd"/>
      <w:r w:rsidR="000309B8" w:rsidRPr="001F2990">
        <w:rPr>
          <w:rFonts w:eastAsia="Times New Roman" w:cs="Times New Roman"/>
          <w:sz w:val="24"/>
          <w:szCs w:val="24"/>
          <w:lang w:val="cs-CZ"/>
        </w:rPr>
        <w:t xml:space="preserve"> JHR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s hodnocením</w:t>
      </w:r>
      <w:r w:rsidR="00F0515D">
        <w:rPr>
          <w:rFonts w:eastAsia="Times New Roman" w:cs="Times New Roman"/>
          <w:sz w:val="24"/>
          <w:szCs w:val="24"/>
          <w:lang w:val="cs-CZ"/>
        </w:rPr>
        <w:t xml:space="preserve"> panelem expertů (peer </w:t>
      </w:r>
      <w:proofErr w:type="spellStart"/>
      <w:r w:rsidR="00F0515D">
        <w:rPr>
          <w:rFonts w:eastAsia="Times New Roman" w:cs="Times New Roman"/>
          <w:sz w:val="24"/>
          <w:szCs w:val="24"/>
          <w:lang w:val="cs-CZ"/>
        </w:rPr>
        <w:t>review</w:t>
      </w:r>
      <w:proofErr w:type="spellEnd"/>
      <w:r w:rsidR="00F0515D">
        <w:rPr>
          <w:rFonts w:eastAsia="Times New Roman" w:cs="Times New Roman"/>
          <w:sz w:val="24"/>
          <w:szCs w:val="24"/>
          <w:lang w:val="cs-CZ"/>
        </w:rPr>
        <w:t>).</w:t>
      </w:r>
    </w:p>
    <w:p w14:paraId="14DECE74" w14:textId="74024295" w:rsidR="00010837" w:rsidRPr="001F2990" w:rsidRDefault="00010837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lastRenderedPageBreak/>
        <w:t xml:space="preserve">Vzhledem k tomu, že kromě výzkumu bude v rámci provozu JHR probíhat také školení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>studentů a doktorandů</w:t>
      </w:r>
      <w:r w:rsidR="00BF43EA" w:rsidRPr="001F2990">
        <w:rPr>
          <w:rFonts w:eastAsia="Times New Roman" w:cs="Times New Roman"/>
          <w:sz w:val="24"/>
          <w:szCs w:val="24"/>
          <w:lang w:val="cs-CZ"/>
        </w:rPr>
        <w:t>, bud</w:t>
      </w:r>
      <w:r w:rsidRPr="001F2990">
        <w:rPr>
          <w:rFonts w:eastAsia="Times New Roman" w:cs="Times New Roman"/>
          <w:sz w:val="24"/>
          <w:szCs w:val="24"/>
          <w:lang w:val="cs-CZ"/>
        </w:rPr>
        <w:t>e</w:t>
      </w:r>
      <w:r w:rsidR="00BF43EA" w:rsidRPr="001F2990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mít JHR vliv </w:t>
      </w:r>
      <w:r w:rsidRPr="001F2990">
        <w:rPr>
          <w:rFonts w:eastAsia="Times New Roman" w:cs="Times New Roman"/>
          <w:sz w:val="24"/>
          <w:szCs w:val="24"/>
          <w:lang w:val="cs-CZ"/>
        </w:rPr>
        <w:t xml:space="preserve">na srovnatelnost 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úrovně </w:t>
      </w:r>
      <w:r w:rsidRPr="001F2990">
        <w:rPr>
          <w:rFonts w:eastAsia="Times New Roman" w:cs="Times New Roman"/>
          <w:sz w:val="24"/>
          <w:szCs w:val="24"/>
          <w:lang w:val="cs-CZ"/>
        </w:rPr>
        <w:t>českého vysokoškolského vzdělávání</w:t>
      </w:r>
      <w:r w:rsidR="0064637D" w:rsidRPr="001F2990">
        <w:rPr>
          <w:rFonts w:eastAsia="Times New Roman" w:cs="Times New Roman"/>
          <w:sz w:val="24"/>
          <w:szCs w:val="24"/>
          <w:lang w:val="cs-CZ"/>
        </w:rPr>
        <w:t xml:space="preserve"> v jaderné energetice</w:t>
      </w:r>
      <w:r w:rsidR="00F0515D">
        <w:rPr>
          <w:rFonts w:eastAsia="Times New Roman" w:cs="Times New Roman"/>
          <w:sz w:val="24"/>
          <w:szCs w:val="24"/>
          <w:lang w:val="cs-CZ"/>
        </w:rPr>
        <w:t xml:space="preserve"> s celosvětovou úrovní.</w:t>
      </w:r>
    </w:p>
    <w:p w14:paraId="60DE3D0D" w14:textId="4010693C" w:rsidR="009C6B79" w:rsidRPr="001F2990" w:rsidRDefault="00DD19E5" w:rsidP="00F0515D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K českému národnímu programu bude umožněn přístup na základě předkládání návrhů kteroukoli výzkumnou organizací</w:t>
      </w:r>
      <w:r w:rsidR="006552C2" w:rsidRPr="001F2990">
        <w:rPr>
          <w:rFonts w:eastAsia="Times New Roman" w:cs="Times New Roman"/>
          <w:sz w:val="24"/>
          <w:szCs w:val="24"/>
          <w:lang w:val="cs-CZ"/>
        </w:rPr>
        <w:t xml:space="preserve"> z Č</w:t>
      </w:r>
      <w:r w:rsidR="00F0515D">
        <w:rPr>
          <w:rFonts w:eastAsia="Times New Roman" w:cs="Times New Roman"/>
          <w:sz w:val="24"/>
          <w:szCs w:val="24"/>
          <w:lang w:val="cs-CZ"/>
        </w:rPr>
        <w:t>R</w:t>
      </w:r>
      <w:r w:rsidR="006552C2" w:rsidRPr="001F2990">
        <w:rPr>
          <w:rFonts w:eastAsia="Times New Roman" w:cs="Times New Roman"/>
          <w:sz w:val="24"/>
          <w:szCs w:val="24"/>
          <w:lang w:val="cs-CZ"/>
        </w:rPr>
        <w:t xml:space="preserve"> do veřejně otevřené výzvy (na webu CVŘ, ERA portálu apod.)</w:t>
      </w:r>
      <w:r w:rsidR="00F0515D">
        <w:rPr>
          <w:rFonts w:eastAsia="Times New Roman" w:cs="Times New Roman"/>
          <w:sz w:val="24"/>
          <w:szCs w:val="24"/>
          <w:lang w:val="cs-CZ"/>
        </w:rPr>
        <w:t>.</w:t>
      </w:r>
    </w:p>
    <w:p w14:paraId="7F32FE32" w14:textId="564FFFDF" w:rsidR="003E760C" w:rsidRPr="001F2990" w:rsidRDefault="006552C2" w:rsidP="00BC05EA">
      <w:pPr>
        <w:spacing w:after="60" w:line="240" w:lineRule="auto"/>
        <w:ind w:firstLine="425"/>
        <w:jc w:val="both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Dle zkušenosti CVŘ ze spolupráce na stávajících projektech výzkumu a vývoje budou u</w:t>
      </w:r>
      <w:r w:rsidR="003E760C" w:rsidRPr="001F2990">
        <w:rPr>
          <w:rFonts w:eastAsia="Times New Roman" w:cs="Times New Roman"/>
          <w:sz w:val="24"/>
          <w:szCs w:val="24"/>
          <w:lang w:val="cs-CZ"/>
        </w:rPr>
        <w:t>živatelé českého národního programu v JHR zejména:</w:t>
      </w:r>
    </w:p>
    <w:p w14:paraId="035CF57D" w14:textId="77777777" w:rsidR="003E760C" w:rsidRPr="00F0515D" w:rsidRDefault="003E760C" w:rsidP="00BC05EA">
      <w:pPr>
        <w:pStyle w:val="Odstavecseseznamem"/>
        <w:numPr>
          <w:ilvl w:val="0"/>
          <w:numId w:val="28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>ČVUT v Praze (Fakulta jaderná a fyzikálně inženýrská, Fakulta strojní, Fakulta stavební)</w:t>
      </w:r>
    </w:p>
    <w:p w14:paraId="20426553" w14:textId="77777777" w:rsidR="003E760C" w:rsidRPr="00F0515D" w:rsidRDefault="003E760C" w:rsidP="00BC05EA">
      <w:pPr>
        <w:pStyle w:val="Odstavecseseznamem"/>
        <w:numPr>
          <w:ilvl w:val="0"/>
          <w:numId w:val="28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>VUT v Brně</w:t>
      </w:r>
    </w:p>
    <w:p w14:paraId="2E35DB5F" w14:textId="77777777" w:rsidR="003E760C" w:rsidRPr="00F0515D" w:rsidRDefault="003E760C" w:rsidP="00BC05EA">
      <w:pPr>
        <w:pStyle w:val="Odstavecseseznamem"/>
        <w:numPr>
          <w:ilvl w:val="0"/>
          <w:numId w:val="28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>VŠB – TUO v Ostravě</w:t>
      </w:r>
    </w:p>
    <w:p w14:paraId="632DAA85" w14:textId="77777777" w:rsidR="003E760C" w:rsidRPr="00F0515D" w:rsidRDefault="003E760C" w:rsidP="00BC05EA">
      <w:pPr>
        <w:pStyle w:val="Odstavecseseznamem"/>
        <w:numPr>
          <w:ilvl w:val="0"/>
          <w:numId w:val="28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>ZČU v</w:t>
      </w:r>
      <w:r w:rsidR="008507EA" w:rsidRPr="00F0515D">
        <w:rPr>
          <w:rFonts w:eastAsia="Times New Roman" w:cs="Times New Roman"/>
          <w:sz w:val="24"/>
          <w:szCs w:val="24"/>
          <w:lang w:val="cs-CZ"/>
        </w:rPr>
        <w:t> </w:t>
      </w:r>
      <w:r w:rsidRPr="00F0515D">
        <w:rPr>
          <w:rFonts w:eastAsia="Times New Roman" w:cs="Times New Roman"/>
          <w:sz w:val="24"/>
          <w:szCs w:val="24"/>
          <w:lang w:val="cs-CZ"/>
        </w:rPr>
        <w:t>Plzni</w:t>
      </w:r>
    </w:p>
    <w:p w14:paraId="69F39671" w14:textId="77777777" w:rsidR="008507EA" w:rsidRPr="00F0515D" w:rsidRDefault="008507EA" w:rsidP="00BC05EA">
      <w:pPr>
        <w:pStyle w:val="Odstavecseseznamem"/>
        <w:numPr>
          <w:ilvl w:val="0"/>
          <w:numId w:val="28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 xml:space="preserve">Fyzikální ústav AV ČR, </w:t>
      </w:r>
      <w:proofErr w:type="spellStart"/>
      <w:proofErr w:type="gramStart"/>
      <w:r w:rsidRPr="00F0515D">
        <w:rPr>
          <w:rFonts w:eastAsia="Times New Roman" w:cs="Times New Roman"/>
          <w:sz w:val="24"/>
          <w:szCs w:val="24"/>
          <w:lang w:val="cs-CZ"/>
        </w:rPr>
        <w:t>v.v.</w:t>
      </w:r>
      <w:proofErr w:type="gramEnd"/>
      <w:r w:rsidRPr="00F0515D">
        <w:rPr>
          <w:rFonts w:eastAsia="Times New Roman" w:cs="Times New Roman"/>
          <w:sz w:val="24"/>
          <w:szCs w:val="24"/>
          <w:lang w:val="cs-CZ"/>
        </w:rPr>
        <w:t>i</w:t>
      </w:r>
      <w:proofErr w:type="spellEnd"/>
      <w:r w:rsidRPr="00F0515D">
        <w:rPr>
          <w:rFonts w:eastAsia="Times New Roman" w:cs="Times New Roman"/>
          <w:sz w:val="24"/>
          <w:szCs w:val="24"/>
          <w:lang w:val="cs-CZ"/>
        </w:rPr>
        <w:t>.</w:t>
      </w:r>
    </w:p>
    <w:p w14:paraId="40DF5CFE" w14:textId="77777777" w:rsidR="008507EA" w:rsidRPr="00F0515D" w:rsidRDefault="008507EA" w:rsidP="00F0515D">
      <w:pPr>
        <w:pStyle w:val="Odstavecseseznamem"/>
        <w:numPr>
          <w:ilvl w:val="0"/>
          <w:numId w:val="28"/>
        </w:numPr>
        <w:spacing w:after="120" w:line="240" w:lineRule="auto"/>
        <w:ind w:left="851" w:hanging="284"/>
        <w:rPr>
          <w:rFonts w:eastAsia="Times New Roman" w:cs="Times New Roman"/>
          <w:sz w:val="24"/>
          <w:szCs w:val="24"/>
          <w:lang w:val="cs-CZ"/>
        </w:rPr>
      </w:pPr>
      <w:r w:rsidRPr="00F0515D">
        <w:rPr>
          <w:rFonts w:eastAsia="Times New Roman" w:cs="Times New Roman"/>
          <w:sz w:val="24"/>
          <w:szCs w:val="24"/>
          <w:lang w:val="cs-CZ"/>
        </w:rPr>
        <w:t xml:space="preserve">Ústav jaderné fyziky AV ČR, </w:t>
      </w:r>
      <w:proofErr w:type="spellStart"/>
      <w:proofErr w:type="gramStart"/>
      <w:r w:rsidRPr="00F0515D">
        <w:rPr>
          <w:rFonts w:eastAsia="Times New Roman" w:cs="Times New Roman"/>
          <w:sz w:val="24"/>
          <w:szCs w:val="24"/>
          <w:lang w:val="cs-CZ"/>
        </w:rPr>
        <w:t>v.v.</w:t>
      </w:r>
      <w:proofErr w:type="gramEnd"/>
      <w:r w:rsidRPr="00F0515D">
        <w:rPr>
          <w:rFonts w:eastAsia="Times New Roman" w:cs="Times New Roman"/>
          <w:sz w:val="24"/>
          <w:szCs w:val="24"/>
          <w:lang w:val="cs-CZ"/>
        </w:rPr>
        <w:t>i</w:t>
      </w:r>
      <w:proofErr w:type="spellEnd"/>
      <w:r w:rsidRPr="00F0515D">
        <w:rPr>
          <w:rFonts w:eastAsia="Times New Roman" w:cs="Times New Roman"/>
          <w:sz w:val="24"/>
          <w:szCs w:val="24"/>
          <w:lang w:val="cs-CZ"/>
        </w:rPr>
        <w:t>.</w:t>
      </w:r>
    </w:p>
    <w:p w14:paraId="07B98FA4" w14:textId="77777777" w:rsidR="003E760C" w:rsidRPr="001F2990" w:rsidRDefault="003E760C" w:rsidP="00BC05EA">
      <w:pPr>
        <w:spacing w:after="60" w:line="240" w:lineRule="auto"/>
        <w:ind w:firstLine="425"/>
        <w:rPr>
          <w:rFonts w:eastAsia="Times New Roman" w:cs="Times New Roman"/>
          <w:sz w:val="24"/>
          <w:szCs w:val="24"/>
          <w:lang w:val="cs-CZ"/>
        </w:rPr>
      </w:pPr>
      <w:r w:rsidRPr="001F2990">
        <w:rPr>
          <w:rFonts w:eastAsia="Times New Roman" w:cs="Times New Roman"/>
          <w:sz w:val="24"/>
          <w:szCs w:val="24"/>
          <w:lang w:val="cs-CZ"/>
        </w:rPr>
        <w:t>Z průmyslových podniků budou mít zájem o využití výsledků měření na JHR zejména:</w:t>
      </w:r>
    </w:p>
    <w:p w14:paraId="74C829DE" w14:textId="77777777" w:rsidR="003E760C" w:rsidRPr="006B300D" w:rsidRDefault="003E760C" w:rsidP="00BC05EA">
      <w:pPr>
        <w:pStyle w:val="Odstavecseseznamem"/>
        <w:numPr>
          <w:ilvl w:val="0"/>
          <w:numId w:val="29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6B300D">
        <w:rPr>
          <w:rFonts w:eastAsia="Times New Roman" w:cs="Times New Roman"/>
          <w:sz w:val="24"/>
          <w:szCs w:val="24"/>
          <w:lang w:val="cs-CZ"/>
        </w:rPr>
        <w:t xml:space="preserve">Škoda </w:t>
      </w:r>
      <w:proofErr w:type="spellStart"/>
      <w:r w:rsidRPr="006B300D">
        <w:rPr>
          <w:rFonts w:eastAsia="Times New Roman" w:cs="Times New Roman"/>
          <w:sz w:val="24"/>
          <w:szCs w:val="24"/>
          <w:lang w:val="cs-CZ"/>
        </w:rPr>
        <w:t>Power</w:t>
      </w:r>
      <w:proofErr w:type="spellEnd"/>
    </w:p>
    <w:p w14:paraId="3DFB18B1" w14:textId="77777777" w:rsidR="003E760C" w:rsidRPr="006B300D" w:rsidRDefault="003E760C" w:rsidP="00BC05EA">
      <w:pPr>
        <w:pStyle w:val="Odstavecseseznamem"/>
        <w:numPr>
          <w:ilvl w:val="0"/>
          <w:numId w:val="29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6B300D">
        <w:rPr>
          <w:rFonts w:eastAsia="Times New Roman" w:cs="Times New Roman"/>
          <w:sz w:val="24"/>
          <w:szCs w:val="24"/>
          <w:lang w:val="cs-CZ"/>
        </w:rPr>
        <w:t>ÚJV Řež, a.s.</w:t>
      </w:r>
    </w:p>
    <w:p w14:paraId="64EF1FA1" w14:textId="77777777" w:rsidR="003E760C" w:rsidRPr="006B300D" w:rsidRDefault="003E760C" w:rsidP="00BC05EA">
      <w:pPr>
        <w:pStyle w:val="Odstavecseseznamem"/>
        <w:numPr>
          <w:ilvl w:val="0"/>
          <w:numId w:val="29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6B300D">
        <w:rPr>
          <w:rFonts w:eastAsia="Times New Roman" w:cs="Times New Roman"/>
          <w:sz w:val="24"/>
          <w:szCs w:val="24"/>
          <w:lang w:val="cs-CZ"/>
        </w:rPr>
        <w:t>Škoda jaderné strojírenství</w:t>
      </w:r>
    </w:p>
    <w:p w14:paraId="449D61D1" w14:textId="77777777" w:rsidR="003E760C" w:rsidRPr="006B300D" w:rsidRDefault="003E760C" w:rsidP="00BC05EA">
      <w:pPr>
        <w:pStyle w:val="Odstavecseseznamem"/>
        <w:numPr>
          <w:ilvl w:val="0"/>
          <w:numId w:val="29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proofErr w:type="spellStart"/>
      <w:r w:rsidRPr="006B300D">
        <w:rPr>
          <w:rFonts w:eastAsia="Times New Roman" w:cs="Times New Roman"/>
          <w:sz w:val="24"/>
          <w:szCs w:val="24"/>
          <w:lang w:val="cs-CZ"/>
        </w:rPr>
        <w:t>Doosan</w:t>
      </w:r>
      <w:proofErr w:type="spellEnd"/>
    </w:p>
    <w:p w14:paraId="64BE7234" w14:textId="77777777" w:rsidR="003E760C" w:rsidRPr="006B300D" w:rsidRDefault="003E760C" w:rsidP="00BC05EA">
      <w:pPr>
        <w:pStyle w:val="Odstavecseseznamem"/>
        <w:numPr>
          <w:ilvl w:val="0"/>
          <w:numId w:val="29"/>
        </w:numPr>
        <w:spacing w:after="60" w:line="240" w:lineRule="auto"/>
        <w:ind w:left="851" w:hanging="284"/>
        <w:contextualSpacing w:val="0"/>
        <w:rPr>
          <w:rFonts w:eastAsia="Times New Roman" w:cs="Times New Roman"/>
          <w:sz w:val="24"/>
          <w:szCs w:val="24"/>
          <w:lang w:val="cs-CZ"/>
        </w:rPr>
      </w:pPr>
      <w:r w:rsidRPr="006B300D">
        <w:rPr>
          <w:rFonts w:eastAsia="Times New Roman" w:cs="Times New Roman"/>
          <w:sz w:val="24"/>
          <w:szCs w:val="24"/>
          <w:lang w:val="cs-CZ"/>
        </w:rPr>
        <w:t>ČEZ</w:t>
      </w:r>
    </w:p>
    <w:p w14:paraId="79302894" w14:textId="77777777" w:rsidR="003E760C" w:rsidRDefault="003E760C" w:rsidP="006B300D">
      <w:pPr>
        <w:pStyle w:val="Odstavecseseznamem"/>
        <w:numPr>
          <w:ilvl w:val="0"/>
          <w:numId w:val="29"/>
        </w:numPr>
        <w:spacing w:after="120" w:line="240" w:lineRule="auto"/>
        <w:ind w:left="851" w:hanging="284"/>
        <w:rPr>
          <w:rFonts w:eastAsia="Times New Roman" w:cs="Times New Roman"/>
          <w:sz w:val="24"/>
          <w:szCs w:val="24"/>
          <w:lang w:val="cs-CZ"/>
        </w:rPr>
      </w:pPr>
      <w:r w:rsidRPr="006B300D">
        <w:rPr>
          <w:rFonts w:eastAsia="Times New Roman" w:cs="Times New Roman"/>
          <w:sz w:val="24"/>
          <w:szCs w:val="24"/>
          <w:lang w:val="cs-CZ"/>
        </w:rPr>
        <w:t>MEGA s.r.o.</w:t>
      </w:r>
    </w:p>
    <w:p w14:paraId="6CA3FF87" w14:textId="77777777" w:rsidR="006B300D" w:rsidRDefault="006B300D" w:rsidP="006B300D">
      <w:pPr>
        <w:spacing w:after="120" w:line="240" w:lineRule="auto"/>
        <w:ind w:left="567" w:hanging="141"/>
        <w:rPr>
          <w:rFonts w:eastAsia="Times New Roman" w:cs="Times New Roman"/>
          <w:sz w:val="24"/>
          <w:szCs w:val="24"/>
          <w:lang w:val="cs-CZ"/>
        </w:rPr>
      </w:pPr>
    </w:p>
    <w:p w14:paraId="069116EC" w14:textId="77777777" w:rsidR="006B300D" w:rsidRPr="006B300D" w:rsidRDefault="006B300D" w:rsidP="006B300D">
      <w:pPr>
        <w:spacing w:after="120" w:line="240" w:lineRule="auto"/>
        <w:ind w:left="567" w:hanging="141"/>
        <w:rPr>
          <w:rFonts w:eastAsia="Times New Roman" w:cs="Times New Roman"/>
          <w:sz w:val="24"/>
          <w:szCs w:val="24"/>
          <w:lang w:val="cs-CZ"/>
        </w:rPr>
      </w:pPr>
    </w:p>
    <w:p w14:paraId="6CE1670C" w14:textId="64185B3D" w:rsidR="00F16633" w:rsidRPr="006B300D" w:rsidRDefault="00E402D6" w:rsidP="006B300D">
      <w:pPr>
        <w:spacing w:after="240" w:line="240" w:lineRule="auto"/>
        <w:rPr>
          <w:b/>
          <w:sz w:val="28"/>
          <w:szCs w:val="28"/>
          <w:lang w:val="cs-CZ"/>
        </w:rPr>
      </w:pPr>
      <w:r w:rsidRPr="006B300D">
        <w:rPr>
          <w:b/>
          <w:sz w:val="28"/>
          <w:szCs w:val="28"/>
          <w:lang w:val="cs-CZ"/>
        </w:rPr>
        <w:t>III</w:t>
      </w:r>
      <w:r w:rsidR="00F16633" w:rsidRPr="006B300D">
        <w:rPr>
          <w:b/>
          <w:sz w:val="28"/>
          <w:szCs w:val="28"/>
          <w:lang w:val="cs-CZ"/>
        </w:rPr>
        <w:t xml:space="preserve">. </w:t>
      </w:r>
      <w:r w:rsidR="00012F88" w:rsidRPr="006B300D">
        <w:rPr>
          <w:b/>
          <w:sz w:val="28"/>
          <w:szCs w:val="28"/>
          <w:lang w:val="cs-CZ"/>
        </w:rPr>
        <w:t>N</w:t>
      </w:r>
      <w:r w:rsidR="006B300D">
        <w:rPr>
          <w:b/>
          <w:sz w:val="28"/>
          <w:szCs w:val="28"/>
          <w:lang w:val="cs-CZ"/>
        </w:rPr>
        <w:t>ávaznost na mezinárodní výzkumný prostor</w:t>
      </w:r>
    </w:p>
    <w:p w14:paraId="0F761F5E" w14:textId="2D9A8851" w:rsidR="009C6B79" w:rsidRPr="006B300D" w:rsidRDefault="000309B8" w:rsidP="006B300D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 xml:space="preserve">Jak již bylo uvedeno, JHR </w:t>
      </w:r>
      <w:r w:rsidR="006B300D">
        <w:rPr>
          <w:sz w:val="24"/>
          <w:szCs w:val="24"/>
          <w:lang w:val="cs-CZ"/>
        </w:rPr>
        <w:t xml:space="preserve">je </w:t>
      </w:r>
      <w:r w:rsidRPr="006B300D">
        <w:rPr>
          <w:sz w:val="24"/>
          <w:szCs w:val="24"/>
          <w:lang w:val="cs-CZ"/>
        </w:rPr>
        <w:t>již od svého vzniku mezinárodním p</w:t>
      </w:r>
      <w:r w:rsidR="006230BA">
        <w:rPr>
          <w:sz w:val="24"/>
          <w:szCs w:val="24"/>
          <w:lang w:val="cs-CZ"/>
        </w:rPr>
        <w:t>rojektem</w:t>
      </w:r>
      <w:r w:rsidR="000B33A2" w:rsidRPr="006B300D">
        <w:rPr>
          <w:sz w:val="24"/>
          <w:szCs w:val="24"/>
          <w:lang w:val="cs-CZ"/>
        </w:rPr>
        <w:t xml:space="preserve">, </w:t>
      </w:r>
      <w:r w:rsidR="009C6B79" w:rsidRPr="006B300D">
        <w:rPr>
          <w:sz w:val="24"/>
          <w:szCs w:val="24"/>
          <w:lang w:val="cs-CZ"/>
        </w:rPr>
        <w:t>na jehož konci bude funkční výzkumná infrastruktura</w:t>
      </w:r>
      <w:r w:rsidRPr="006B300D">
        <w:rPr>
          <w:sz w:val="24"/>
          <w:szCs w:val="24"/>
          <w:lang w:val="cs-CZ"/>
        </w:rPr>
        <w:t xml:space="preserve">. V rámci Evropského výzkumného prostoru byl </w:t>
      </w:r>
      <w:r w:rsidR="009C6B79" w:rsidRPr="006B300D">
        <w:rPr>
          <w:sz w:val="24"/>
          <w:szCs w:val="24"/>
          <w:lang w:val="cs-CZ"/>
        </w:rPr>
        <w:t>JHR</w:t>
      </w:r>
      <w:r w:rsidRPr="006B300D">
        <w:rPr>
          <w:sz w:val="24"/>
          <w:szCs w:val="24"/>
          <w:lang w:val="cs-CZ"/>
        </w:rPr>
        <w:t xml:space="preserve"> </w:t>
      </w:r>
      <w:r w:rsidR="006B300D">
        <w:rPr>
          <w:sz w:val="24"/>
          <w:szCs w:val="24"/>
          <w:lang w:val="cs-CZ"/>
        </w:rPr>
        <w:t xml:space="preserve">již roku 2006 </w:t>
      </w:r>
      <w:r w:rsidRPr="006B300D">
        <w:rPr>
          <w:sz w:val="24"/>
          <w:szCs w:val="24"/>
          <w:lang w:val="cs-CZ"/>
        </w:rPr>
        <w:t xml:space="preserve">zahrnut do Cestovní mapy ESFRI (Evropské strategické </w:t>
      </w:r>
      <w:r w:rsidR="002E7FB6" w:rsidRPr="006B300D">
        <w:rPr>
          <w:sz w:val="24"/>
          <w:szCs w:val="24"/>
          <w:lang w:val="cs-CZ"/>
        </w:rPr>
        <w:t>fórum</w:t>
      </w:r>
      <w:r w:rsidRPr="006B300D">
        <w:rPr>
          <w:sz w:val="24"/>
          <w:szCs w:val="24"/>
          <w:lang w:val="cs-CZ"/>
        </w:rPr>
        <w:t xml:space="preserve"> pro velké výzkumné infrastruktury) </w:t>
      </w:r>
      <w:r w:rsidR="00052F83" w:rsidRPr="006B300D">
        <w:rPr>
          <w:sz w:val="24"/>
          <w:szCs w:val="24"/>
          <w:lang w:val="cs-CZ"/>
        </w:rPr>
        <w:t>i do</w:t>
      </w:r>
      <w:r w:rsidRPr="006B300D">
        <w:rPr>
          <w:sz w:val="24"/>
          <w:szCs w:val="24"/>
          <w:lang w:val="cs-CZ"/>
        </w:rPr>
        <w:t xml:space="preserve"> její aktualizace</w:t>
      </w:r>
      <w:r w:rsidR="006230BA">
        <w:rPr>
          <w:sz w:val="24"/>
          <w:szCs w:val="24"/>
          <w:lang w:val="cs-CZ"/>
        </w:rPr>
        <w:t xml:space="preserve"> z roku </w:t>
      </w:r>
      <w:r w:rsidR="006B300D">
        <w:rPr>
          <w:sz w:val="24"/>
          <w:szCs w:val="24"/>
          <w:lang w:val="cs-CZ"/>
        </w:rPr>
        <w:t>2008</w:t>
      </w:r>
      <w:r w:rsidR="006230BA">
        <w:rPr>
          <w:sz w:val="24"/>
          <w:szCs w:val="24"/>
          <w:lang w:val="cs-CZ"/>
        </w:rPr>
        <w:t>.</w:t>
      </w:r>
    </w:p>
    <w:p w14:paraId="60737395" w14:textId="32E2754B" w:rsidR="002E7FB6" w:rsidRPr="006B300D" w:rsidRDefault="000B33A2" w:rsidP="006B300D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 xml:space="preserve">Jakožto jediný výzkumný rektor svého druhu v Evropě </w:t>
      </w:r>
      <w:r w:rsidR="00052F83" w:rsidRPr="006B300D">
        <w:rPr>
          <w:sz w:val="24"/>
          <w:szCs w:val="24"/>
          <w:lang w:val="cs-CZ"/>
        </w:rPr>
        <w:t xml:space="preserve">bude </w:t>
      </w:r>
      <w:r w:rsidRPr="006B300D">
        <w:rPr>
          <w:sz w:val="24"/>
          <w:szCs w:val="24"/>
          <w:lang w:val="cs-CZ"/>
        </w:rPr>
        <w:t xml:space="preserve">JHR a konsorcium jeho uživatelů </w:t>
      </w:r>
      <w:r w:rsidR="00052F83" w:rsidRPr="006B300D">
        <w:rPr>
          <w:sz w:val="24"/>
          <w:szCs w:val="24"/>
          <w:lang w:val="cs-CZ"/>
        </w:rPr>
        <w:t>definovat témata výzkumu</w:t>
      </w:r>
      <w:r w:rsidR="002E7FB6" w:rsidRPr="006B300D">
        <w:rPr>
          <w:sz w:val="24"/>
          <w:szCs w:val="24"/>
          <w:lang w:val="cs-CZ"/>
        </w:rPr>
        <w:t xml:space="preserve"> v</w:t>
      </w:r>
      <w:r w:rsidR="00052F83" w:rsidRPr="006B300D">
        <w:rPr>
          <w:sz w:val="24"/>
          <w:szCs w:val="24"/>
          <w:lang w:val="cs-CZ"/>
        </w:rPr>
        <w:t xml:space="preserve"> této oblasti v Evropě prováděného. V Evropském výzkumném prostoru je plánována stavba tří reaktorů</w:t>
      </w:r>
      <w:r w:rsidR="000309B8" w:rsidRPr="006B300D">
        <w:rPr>
          <w:sz w:val="24"/>
          <w:szCs w:val="24"/>
          <w:lang w:val="cs-CZ"/>
        </w:rPr>
        <w:t xml:space="preserve"> </w:t>
      </w:r>
      <w:r w:rsidR="006B300D">
        <w:rPr>
          <w:sz w:val="24"/>
          <w:szCs w:val="24"/>
          <w:lang w:val="cs-CZ"/>
        </w:rPr>
        <w:t>–</w:t>
      </w:r>
      <w:r w:rsidR="000309B8" w:rsidRPr="006B300D">
        <w:rPr>
          <w:sz w:val="24"/>
          <w:szCs w:val="24"/>
          <w:lang w:val="cs-CZ"/>
        </w:rPr>
        <w:t xml:space="preserve"> JHR, MYRRHA</w:t>
      </w:r>
      <w:r w:rsidR="00052F83" w:rsidRPr="006B300D">
        <w:rPr>
          <w:sz w:val="24"/>
          <w:szCs w:val="24"/>
          <w:lang w:val="cs-CZ"/>
        </w:rPr>
        <w:t xml:space="preserve"> (olovem/</w:t>
      </w:r>
      <w:r w:rsidR="006B300D">
        <w:rPr>
          <w:sz w:val="24"/>
          <w:szCs w:val="24"/>
          <w:lang w:val="cs-CZ"/>
        </w:rPr>
        <w:t>b</w:t>
      </w:r>
      <w:r w:rsidR="00052F83" w:rsidRPr="006B300D">
        <w:rPr>
          <w:sz w:val="24"/>
          <w:szCs w:val="24"/>
          <w:lang w:val="cs-CZ"/>
        </w:rPr>
        <w:t>izmutem chlazeného výzkumného reaktoru) a</w:t>
      </w:r>
      <w:r w:rsidR="000309B8" w:rsidRPr="006B300D">
        <w:rPr>
          <w:sz w:val="24"/>
          <w:szCs w:val="24"/>
          <w:lang w:val="cs-CZ"/>
        </w:rPr>
        <w:t xml:space="preserve"> PALLAS</w:t>
      </w:r>
      <w:r w:rsidR="00052F83" w:rsidRPr="006B300D">
        <w:rPr>
          <w:sz w:val="24"/>
          <w:szCs w:val="24"/>
          <w:lang w:val="cs-CZ"/>
        </w:rPr>
        <w:t xml:space="preserve"> (s hlavním cílem činnosti ve výrobě radioizotopů pro lékařské účely). Tyto reaktory by měly v budoucnu vytvořit Evropský prostor výzkumných reaktorů (</w:t>
      </w:r>
      <w:proofErr w:type="spellStart"/>
      <w:r w:rsidR="000309B8" w:rsidRPr="006B300D">
        <w:rPr>
          <w:sz w:val="24"/>
          <w:szCs w:val="24"/>
          <w:lang w:val="cs-CZ"/>
        </w:rPr>
        <w:t>European</w:t>
      </w:r>
      <w:proofErr w:type="spellEnd"/>
      <w:r w:rsidR="000309B8" w:rsidRPr="006B300D">
        <w:rPr>
          <w:sz w:val="24"/>
          <w:szCs w:val="24"/>
          <w:lang w:val="cs-CZ"/>
        </w:rPr>
        <w:t xml:space="preserve"> </w:t>
      </w:r>
      <w:proofErr w:type="spellStart"/>
      <w:r w:rsidR="000309B8" w:rsidRPr="006B300D">
        <w:rPr>
          <w:sz w:val="24"/>
          <w:szCs w:val="24"/>
          <w:lang w:val="cs-CZ"/>
        </w:rPr>
        <w:t>Research</w:t>
      </w:r>
      <w:proofErr w:type="spellEnd"/>
      <w:r w:rsidR="000309B8" w:rsidRPr="006B300D">
        <w:rPr>
          <w:sz w:val="24"/>
          <w:szCs w:val="24"/>
          <w:lang w:val="cs-CZ"/>
        </w:rPr>
        <w:t xml:space="preserve"> A</w:t>
      </w:r>
      <w:r w:rsidR="00052F83" w:rsidRPr="006B300D">
        <w:rPr>
          <w:sz w:val="24"/>
          <w:szCs w:val="24"/>
          <w:lang w:val="cs-CZ"/>
        </w:rPr>
        <w:t xml:space="preserve">rea </w:t>
      </w:r>
      <w:proofErr w:type="spellStart"/>
      <w:r w:rsidR="00052F83" w:rsidRPr="006B300D">
        <w:rPr>
          <w:sz w:val="24"/>
          <w:szCs w:val="24"/>
          <w:lang w:val="cs-CZ"/>
        </w:rPr>
        <w:t>of</w:t>
      </w:r>
      <w:proofErr w:type="spellEnd"/>
      <w:r w:rsidR="00052F83" w:rsidRPr="006B300D">
        <w:rPr>
          <w:sz w:val="24"/>
          <w:szCs w:val="24"/>
          <w:lang w:val="cs-CZ"/>
        </w:rPr>
        <w:t xml:space="preserve"> </w:t>
      </w:r>
      <w:proofErr w:type="spellStart"/>
      <w:r w:rsidR="00052F83" w:rsidRPr="006B300D">
        <w:rPr>
          <w:sz w:val="24"/>
          <w:szCs w:val="24"/>
          <w:lang w:val="cs-CZ"/>
        </w:rPr>
        <w:t>Experimental</w:t>
      </w:r>
      <w:proofErr w:type="spellEnd"/>
      <w:r w:rsidR="00052F83" w:rsidRPr="006B300D">
        <w:rPr>
          <w:sz w:val="24"/>
          <w:szCs w:val="24"/>
          <w:lang w:val="cs-CZ"/>
        </w:rPr>
        <w:t xml:space="preserve"> </w:t>
      </w:r>
      <w:proofErr w:type="spellStart"/>
      <w:r w:rsidR="00052F83" w:rsidRPr="006B300D">
        <w:rPr>
          <w:sz w:val="24"/>
          <w:szCs w:val="24"/>
          <w:lang w:val="cs-CZ"/>
        </w:rPr>
        <w:t>Reactors</w:t>
      </w:r>
      <w:proofErr w:type="spellEnd"/>
      <w:r w:rsidR="00052F83" w:rsidRPr="006B300D">
        <w:rPr>
          <w:sz w:val="24"/>
          <w:szCs w:val="24"/>
          <w:lang w:val="cs-CZ"/>
        </w:rPr>
        <w:t xml:space="preserve"> </w:t>
      </w:r>
      <w:r w:rsidR="006B300D">
        <w:rPr>
          <w:sz w:val="24"/>
          <w:szCs w:val="24"/>
          <w:lang w:val="cs-CZ"/>
        </w:rPr>
        <w:t xml:space="preserve">– </w:t>
      </w:r>
      <w:r w:rsidR="000309B8" w:rsidRPr="006B300D">
        <w:rPr>
          <w:sz w:val="24"/>
          <w:szCs w:val="24"/>
          <w:lang w:val="cs-CZ"/>
        </w:rPr>
        <w:t xml:space="preserve">ERAER). </w:t>
      </w:r>
      <w:r w:rsidR="00052F83" w:rsidRPr="006B300D">
        <w:rPr>
          <w:sz w:val="24"/>
          <w:szCs w:val="24"/>
          <w:lang w:val="cs-CZ"/>
        </w:rPr>
        <w:t>Cílem ERAER je poskytovat dostatečné kapacity pro výzkum a také za</w:t>
      </w:r>
      <w:r w:rsidR="006B300D">
        <w:rPr>
          <w:sz w:val="24"/>
          <w:szCs w:val="24"/>
          <w:lang w:val="cs-CZ"/>
        </w:rPr>
        <w:t>jistit dostatečné zásoby radioiz</w:t>
      </w:r>
      <w:r w:rsidR="00052F83" w:rsidRPr="006B300D">
        <w:rPr>
          <w:sz w:val="24"/>
          <w:szCs w:val="24"/>
          <w:lang w:val="cs-CZ"/>
        </w:rPr>
        <w:t>otopu</w:t>
      </w:r>
      <w:r w:rsidR="002E7FB6" w:rsidRPr="006B300D">
        <w:rPr>
          <w:sz w:val="24"/>
          <w:szCs w:val="24"/>
          <w:lang w:val="cs-CZ"/>
        </w:rPr>
        <w:t xml:space="preserve"> molybdenum-99</w:t>
      </w:r>
      <w:r w:rsidR="006B300D">
        <w:rPr>
          <w:sz w:val="24"/>
          <w:szCs w:val="24"/>
          <w:lang w:val="cs-CZ"/>
        </w:rPr>
        <w:t>, ze kterého je vyráběno technec</w:t>
      </w:r>
      <w:r w:rsidR="002E7FB6" w:rsidRPr="006B300D">
        <w:rPr>
          <w:sz w:val="24"/>
          <w:szCs w:val="24"/>
          <w:lang w:val="cs-CZ"/>
        </w:rPr>
        <w:t>ium-99m pro radiodiagnostiku</w:t>
      </w:r>
      <w:r w:rsidR="000309B8" w:rsidRPr="006B300D">
        <w:rPr>
          <w:sz w:val="24"/>
          <w:szCs w:val="24"/>
          <w:lang w:val="cs-CZ"/>
        </w:rPr>
        <w:t>.</w:t>
      </w:r>
    </w:p>
    <w:p w14:paraId="4826077A" w14:textId="6ACBCFB7" w:rsidR="002E7FB6" w:rsidRPr="006B300D" w:rsidRDefault="002E7FB6" w:rsidP="006B300D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>Re</w:t>
      </w:r>
      <w:r w:rsidR="009C6B79" w:rsidRPr="006B300D">
        <w:rPr>
          <w:sz w:val="24"/>
          <w:szCs w:val="24"/>
          <w:lang w:val="cs-CZ"/>
        </w:rPr>
        <w:t>a</w:t>
      </w:r>
      <w:r w:rsidR="006B300D">
        <w:rPr>
          <w:sz w:val="24"/>
          <w:szCs w:val="24"/>
          <w:lang w:val="cs-CZ"/>
        </w:rPr>
        <w:t>ktor LVR-</w:t>
      </w:r>
      <w:r w:rsidRPr="006B300D">
        <w:rPr>
          <w:sz w:val="24"/>
          <w:szCs w:val="24"/>
          <w:lang w:val="cs-CZ"/>
        </w:rPr>
        <w:t>15 má potenciál stát se regionální výzkumnou infrastrukturou k JHR. To znamená, že některé e</w:t>
      </w:r>
      <w:r w:rsidR="006B300D">
        <w:rPr>
          <w:sz w:val="24"/>
          <w:szCs w:val="24"/>
          <w:lang w:val="cs-CZ"/>
        </w:rPr>
        <w:t>xperimenty by mohly být v LVR-1</w:t>
      </w:r>
      <w:r w:rsidRPr="006B300D">
        <w:rPr>
          <w:sz w:val="24"/>
          <w:szCs w:val="24"/>
          <w:lang w:val="cs-CZ"/>
        </w:rPr>
        <w:t xml:space="preserve">5 připravovány v menším měřítku před </w:t>
      </w:r>
      <w:r w:rsidRPr="006B300D">
        <w:rPr>
          <w:sz w:val="24"/>
          <w:szCs w:val="24"/>
          <w:lang w:val="cs-CZ"/>
        </w:rPr>
        <w:lastRenderedPageBreak/>
        <w:t>tím, než budou prováděny na JHR.</w:t>
      </w:r>
      <w:r w:rsidR="009C6B79" w:rsidRPr="006B300D">
        <w:rPr>
          <w:sz w:val="24"/>
          <w:szCs w:val="24"/>
          <w:lang w:val="cs-CZ"/>
        </w:rPr>
        <w:t xml:space="preserve"> Účast v JHR tedy posouvá do ERA</w:t>
      </w:r>
      <w:r w:rsidR="003D6EA7" w:rsidRPr="006B300D">
        <w:rPr>
          <w:sz w:val="24"/>
          <w:szCs w:val="24"/>
          <w:lang w:val="cs-CZ"/>
        </w:rPr>
        <w:t>ER</w:t>
      </w:r>
      <w:r w:rsidR="009C6B79" w:rsidRPr="006B300D">
        <w:rPr>
          <w:sz w:val="24"/>
          <w:szCs w:val="24"/>
          <w:lang w:val="cs-CZ"/>
        </w:rPr>
        <w:t xml:space="preserve"> také </w:t>
      </w:r>
      <w:proofErr w:type="spellStart"/>
      <w:r w:rsidR="003D6EA7" w:rsidRPr="006B300D">
        <w:rPr>
          <w:sz w:val="24"/>
          <w:szCs w:val="24"/>
          <w:lang w:val="cs-CZ"/>
        </w:rPr>
        <w:t>řežský</w:t>
      </w:r>
      <w:proofErr w:type="spellEnd"/>
      <w:r w:rsidR="003D6EA7" w:rsidRPr="006B300D">
        <w:rPr>
          <w:sz w:val="24"/>
          <w:szCs w:val="24"/>
          <w:lang w:val="cs-CZ"/>
        </w:rPr>
        <w:t xml:space="preserve"> </w:t>
      </w:r>
      <w:r w:rsidR="009C6B79" w:rsidRPr="006B300D">
        <w:rPr>
          <w:sz w:val="24"/>
          <w:szCs w:val="24"/>
          <w:lang w:val="cs-CZ"/>
        </w:rPr>
        <w:t>reaktor LVR</w:t>
      </w:r>
      <w:r w:rsidR="006B300D">
        <w:rPr>
          <w:sz w:val="24"/>
          <w:szCs w:val="24"/>
          <w:lang w:val="cs-CZ"/>
        </w:rPr>
        <w:t>-</w:t>
      </w:r>
      <w:r w:rsidR="009C6B79" w:rsidRPr="006B300D">
        <w:rPr>
          <w:sz w:val="24"/>
          <w:szCs w:val="24"/>
          <w:lang w:val="cs-CZ"/>
        </w:rPr>
        <w:t>15.</w:t>
      </w:r>
    </w:p>
    <w:p w14:paraId="75F99FD2" w14:textId="6807BD6C" w:rsidR="0006344E" w:rsidRDefault="002E7FB6" w:rsidP="006B300D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 xml:space="preserve">Konsorcium JHR je mezinárodní a zahrnuje </w:t>
      </w:r>
      <w:r w:rsidR="006B300D">
        <w:rPr>
          <w:sz w:val="24"/>
          <w:szCs w:val="24"/>
          <w:lang w:val="cs-CZ"/>
        </w:rPr>
        <w:t xml:space="preserve">i </w:t>
      </w:r>
      <w:r w:rsidR="003D6EA7" w:rsidRPr="006B300D">
        <w:rPr>
          <w:sz w:val="24"/>
          <w:szCs w:val="24"/>
          <w:lang w:val="cs-CZ"/>
        </w:rPr>
        <w:t>členy</w:t>
      </w:r>
      <w:r w:rsidRPr="006B300D">
        <w:rPr>
          <w:sz w:val="24"/>
          <w:szCs w:val="24"/>
          <w:lang w:val="cs-CZ"/>
        </w:rPr>
        <w:t xml:space="preserve"> z třetích států, tj. států mimo E</w:t>
      </w:r>
      <w:r w:rsidR="006B300D">
        <w:rPr>
          <w:sz w:val="24"/>
          <w:szCs w:val="24"/>
          <w:lang w:val="cs-CZ"/>
        </w:rPr>
        <w:t>U</w:t>
      </w:r>
      <w:r w:rsidRPr="006B300D">
        <w:rPr>
          <w:sz w:val="24"/>
          <w:szCs w:val="24"/>
          <w:lang w:val="cs-CZ"/>
        </w:rPr>
        <w:t>. Například</w:t>
      </w:r>
      <w:r w:rsidR="000309B8" w:rsidRPr="006B300D">
        <w:rPr>
          <w:noProof/>
          <w:sz w:val="24"/>
          <w:szCs w:val="24"/>
          <w:lang w:val="cs-CZ"/>
        </w:rPr>
        <w:t xml:space="preserve"> IAEC (Israel), DAE (Indi</w:t>
      </w:r>
      <w:r w:rsidRPr="006B300D">
        <w:rPr>
          <w:noProof/>
          <w:sz w:val="24"/>
          <w:szCs w:val="24"/>
          <w:lang w:val="cs-CZ"/>
        </w:rPr>
        <w:t>e</w:t>
      </w:r>
      <w:r w:rsidR="000309B8" w:rsidRPr="006B300D">
        <w:rPr>
          <w:noProof/>
          <w:sz w:val="24"/>
          <w:szCs w:val="24"/>
          <w:lang w:val="cs-CZ"/>
        </w:rPr>
        <w:t>) and</w:t>
      </w:r>
      <w:r w:rsidRPr="006B300D">
        <w:rPr>
          <w:noProof/>
          <w:sz w:val="24"/>
          <w:szCs w:val="24"/>
          <w:lang w:val="cs-CZ"/>
        </w:rPr>
        <w:t xml:space="preserve"> JAEA (Japo</w:t>
      </w:r>
      <w:r w:rsidR="000309B8" w:rsidRPr="006B300D">
        <w:rPr>
          <w:noProof/>
          <w:sz w:val="24"/>
          <w:szCs w:val="24"/>
          <w:lang w:val="cs-CZ"/>
        </w:rPr>
        <w:t>n</w:t>
      </w:r>
      <w:r w:rsidRPr="006B300D">
        <w:rPr>
          <w:noProof/>
          <w:sz w:val="24"/>
          <w:szCs w:val="24"/>
          <w:lang w:val="cs-CZ"/>
        </w:rPr>
        <w:t>sko</w:t>
      </w:r>
      <w:r w:rsidR="000309B8" w:rsidRPr="006B300D">
        <w:rPr>
          <w:noProof/>
          <w:sz w:val="24"/>
          <w:szCs w:val="24"/>
          <w:lang w:val="cs-CZ"/>
        </w:rPr>
        <w:t xml:space="preserve">). JHR </w:t>
      </w:r>
      <w:r w:rsidRPr="006B300D">
        <w:rPr>
          <w:noProof/>
          <w:sz w:val="24"/>
          <w:szCs w:val="24"/>
          <w:lang w:val="cs-CZ"/>
        </w:rPr>
        <w:t>je nej</w:t>
      </w:r>
      <w:r w:rsidR="006B300D">
        <w:rPr>
          <w:noProof/>
          <w:sz w:val="24"/>
          <w:szCs w:val="24"/>
          <w:lang w:val="cs-CZ"/>
        </w:rPr>
        <w:t>en konstruován jako mezinárodní</w:t>
      </w:r>
      <w:r w:rsidRPr="006B300D">
        <w:rPr>
          <w:noProof/>
          <w:sz w:val="24"/>
          <w:szCs w:val="24"/>
          <w:lang w:val="cs-CZ"/>
        </w:rPr>
        <w:t xml:space="preserve">, ale bude </w:t>
      </w:r>
      <w:r w:rsidR="003D6EA7" w:rsidRPr="006B300D">
        <w:rPr>
          <w:noProof/>
          <w:sz w:val="24"/>
          <w:szCs w:val="24"/>
          <w:lang w:val="cs-CZ"/>
        </w:rPr>
        <w:t>i</w:t>
      </w:r>
      <w:r w:rsidRPr="006B300D">
        <w:rPr>
          <w:noProof/>
          <w:sz w:val="24"/>
          <w:szCs w:val="24"/>
          <w:lang w:val="cs-CZ"/>
        </w:rPr>
        <w:t xml:space="preserve"> jako tak</w:t>
      </w:r>
      <w:r w:rsidR="003D6EA7" w:rsidRPr="006B300D">
        <w:rPr>
          <w:noProof/>
          <w:sz w:val="24"/>
          <w:szCs w:val="24"/>
          <w:lang w:val="cs-CZ"/>
        </w:rPr>
        <w:t>o</w:t>
      </w:r>
      <w:r w:rsidRPr="006B300D">
        <w:rPr>
          <w:noProof/>
          <w:sz w:val="24"/>
          <w:szCs w:val="24"/>
          <w:lang w:val="cs-CZ"/>
        </w:rPr>
        <w:t>vý provozován. V roce 2013 byla ustanovena mezinárodní poradní skupina v rámci</w:t>
      </w:r>
      <w:r w:rsidR="000309B8" w:rsidRPr="006B300D">
        <w:rPr>
          <w:noProof/>
          <w:sz w:val="24"/>
          <w:szCs w:val="24"/>
          <w:lang w:val="cs-CZ"/>
        </w:rPr>
        <w:t xml:space="preserve"> OECD/NEA</w:t>
      </w:r>
      <w:r w:rsidRPr="006B300D">
        <w:rPr>
          <w:noProof/>
          <w:sz w:val="24"/>
          <w:szCs w:val="24"/>
          <w:lang w:val="cs-CZ"/>
        </w:rPr>
        <w:t xml:space="preserve"> za účelem hodnocení </w:t>
      </w:r>
      <w:r w:rsidR="006B300D">
        <w:rPr>
          <w:noProof/>
          <w:sz w:val="24"/>
          <w:szCs w:val="24"/>
          <w:lang w:val="cs-CZ"/>
        </w:rPr>
        <w:t>JHR</w:t>
      </w:r>
      <w:r w:rsidRPr="006B300D">
        <w:rPr>
          <w:noProof/>
          <w:sz w:val="24"/>
          <w:szCs w:val="24"/>
          <w:lang w:val="cs-CZ"/>
        </w:rPr>
        <w:t xml:space="preserve"> a jeho představení a propagaci potenciálním uživatelům jakožto mezinárodní výzkumnou infrastrukturu</w:t>
      </w:r>
      <w:r w:rsidR="000309B8" w:rsidRPr="006B300D">
        <w:rPr>
          <w:noProof/>
          <w:sz w:val="24"/>
          <w:szCs w:val="24"/>
          <w:lang w:val="cs-CZ"/>
        </w:rPr>
        <w:t xml:space="preserve">. </w:t>
      </w:r>
      <w:r w:rsidRPr="006B300D">
        <w:rPr>
          <w:noProof/>
          <w:sz w:val="24"/>
          <w:szCs w:val="24"/>
          <w:lang w:val="cs-CZ"/>
        </w:rPr>
        <w:t>Bude otevřen výzkumný program pro mezinárodní uživatele, aby se mohly řešit problémy společného zájmu.</w:t>
      </w:r>
    </w:p>
    <w:p w14:paraId="0BFAB9CB" w14:textId="77777777" w:rsidR="006B300D" w:rsidRDefault="006B300D" w:rsidP="006B300D">
      <w:pPr>
        <w:spacing w:after="120" w:line="240" w:lineRule="auto"/>
        <w:ind w:firstLine="426"/>
        <w:jc w:val="both"/>
        <w:rPr>
          <w:noProof/>
          <w:sz w:val="24"/>
          <w:szCs w:val="24"/>
          <w:lang w:val="cs-CZ"/>
        </w:rPr>
      </w:pPr>
    </w:p>
    <w:p w14:paraId="2CB66741" w14:textId="77777777" w:rsidR="006B300D" w:rsidRPr="006B300D" w:rsidRDefault="006B300D" w:rsidP="006B300D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</w:p>
    <w:p w14:paraId="1D562688" w14:textId="52B3D229" w:rsidR="003E0394" w:rsidRPr="006B300D" w:rsidRDefault="00E402D6" w:rsidP="006B300D">
      <w:pPr>
        <w:spacing w:after="240" w:line="240" w:lineRule="auto"/>
        <w:rPr>
          <w:b/>
          <w:sz w:val="28"/>
          <w:szCs w:val="28"/>
          <w:lang w:val="cs-CZ"/>
        </w:rPr>
      </w:pPr>
      <w:r w:rsidRPr="006B300D">
        <w:rPr>
          <w:b/>
          <w:sz w:val="28"/>
          <w:szCs w:val="28"/>
          <w:lang w:val="cs-CZ"/>
        </w:rPr>
        <w:t>IV</w:t>
      </w:r>
      <w:r w:rsidR="003E0394" w:rsidRPr="006B300D">
        <w:rPr>
          <w:b/>
          <w:sz w:val="28"/>
          <w:szCs w:val="28"/>
          <w:lang w:val="cs-CZ"/>
        </w:rPr>
        <w:t xml:space="preserve">. </w:t>
      </w:r>
      <w:r w:rsidR="00A9702C" w:rsidRPr="006B300D">
        <w:rPr>
          <w:b/>
          <w:sz w:val="28"/>
          <w:szCs w:val="28"/>
          <w:lang w:val="cs-CZ"/>
        </w:rPr>
        <w:t>V</w:t>
      </w:r>
      <w:r w:rsidR="006B300D">
        <w:rPr>
          <w:b/>
          <w:sz w:val="28"/>
          <w:szCs w:val="28"/>
          <w:lang w:val="cs-CZ"/>
        </w:rPr>
        <w:t>yužití a výstupy výzkumné infrastruktury včetně významu pro vývoj nových technologií</w:t>
      </w:r>
    </w:p>
    <w:p w14:paraId="5BA06C7D" w14:textId="7216918A" w:rsidR="00F01288" w:rsidRPr="006B300D" w:rsidRDefault="00F01288" w:rsidP="00B611FA">
      <w:pPr>
        <w:spacing w:after="60" w:line="240" w:lineRule="auto"/>
        <w:ind w:firstLine="425"/>
        <w:jc w:val="both"/>
        <w:rPr>
          <w:noProof/>
          <w:sz w:val="24"/>
          <w:szCs w:val="24"/>
          <w:lang w:val="cs-CZ"/>
        </w:rPr>
      </w:pPr>
      <w:r w:rsidRPr="006B300D">
        <w:rPr>
          <w:noProof/>
          <w:sz w:val="24"/>
          <w:szCs w:val="24"/>
          <w:lang w:val="cs-CZ"/>
        </w:rPr>
        <w:t>JHR bude díky svému designu nabízet následující</w:t>
      </w:r>
      <w:r w:rsidR="0095157C">
        <w:rPr>
          <w:noProof/>
          <w:sz w:val="24"/>
          <w:szCs w:val="24"/>
          <w:lang w:val="cs-CZ"/>
        </w:rPr>
        <w:t xml:space="preserve"> možnosti m</w:t>
      </w:r>
      <w:r w:rsidRPr="006B300D">
        <w:rPr>
          <w:noProof/>
          <w:sz w:val="24"/>
          <w:szCs w:val="24"/>
          <w:lang w:val="cs-CZ"/>
        </w:rPr>
        <w:t>ěření:</w:t>
      </w:r>
    </w:p>
    <w:p w14:paraId="346EDA9E" w14:textId="3EEA2F58" w:rsidR="00F01288" w:rsidRPr="00B611FA" w:rsidRDefault="00B611FA" w:rsidP="00B611FA">
      <w:pPr>
        <w:pStyle w:val="Odstavecseseznamem"/>
        <w:numPr>
          <w:ilvl w:val="0"/>
          <w:numId w:val="32"/>
        </w:numPr>
        <w:spacing w:after="60" w:line="240" w:lineRule="auto"/>
        <w:ind w:left="851" w:hanging="284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P</w:t>
      </w:r>
      <w:r w:rsidR="00F01288" w:rsidRPr="00B611FA">
        <w:rPr>
          <w:noProof/>
          <w:sz w:val="24"/>
          <w:szCs w:val="24"/>
          <w:lang w:val="cs-CZ"/>
        </w:rPr>
        <w:t>alivo:</w:t>
      </w:r>
    </w:p>
    <w:p w14:paraId="1BC5A5C2" w14:textId="3FDF5DA1" w:rsidR="00F01288" w:rsidRPr="00B611FA" w:rsidRDefault="00F01288" w:rsidP="0095157C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noProof/>
          <w:sz w:val="24"/>
          <w:szCs w:val="24"/>
          <w:lang w:val="cs-CZ"/>
        </w:rPr>
      </w:pPr>
      <w:r w:rsidRPr="00B611FA">
        <w:rPr>
          <w:noProof/>
          <w:sz w:val="24"/>
          <w:szCs w:val="24"/>
          <w:lang w:val="cs-CZ"/>
        </w:rPr>
        <w:t>výběr a charakterizace nových druhů paliv,</w:t>
      </w:r>
    </w:p>
    <w:p w14:paraId="0874CC76" w14:textId="2921DBE9" w:rsidR="00F01288" w:rsidRPr="00B611FA" w:rsidRDefault="004D7B1F" w:rsidP="0095157C">
      <w:pPr>
        <w:pStyle w:val="Odstavecseseznamem"/>
        <w:numPr>
          <w:ilvl w:val="0"/>
          <w:numId w:val="34"/>
        </w:numPr>
        <w:spacing w:after="120" w:line="240" w:lineRule="auto"/>
        <w:ind w:left="1134" w:hanging="283"/>
        <w:jc w:val="both"/>
        <w:rPr>
          <w:noProof/>
          <w:sz w:val="24"/>
          <w:szCs w:val="24"/>
          <w:lang w:val="cs-CZ"/>
        </w:rPr>
      </w:pPr>
      <w:r w:rsidRPr="00B611FA">
        <w:rPr>
          <w:noProof/>
          <w:sz w:val="24"/>
          <w:szCs w:val="24"/>
          <w:lang w:val="cs-CZ"/>
        </w:rPr>
        <w:t>scénáře pro testování paliva pod vlivem přechodových procesů spojených se změnou výkonu</w:t>
      </w:r>
      <w:r w:rsidR="00B611FA">
        <w:rPr>
          <w:noProof/>
          <w:sz w:val="24"/>
          <w:szCs w:val="24"/>
          <w:lang w:val="cs-CZ"/>
        </w:rPr>
        <w:t>,</w:t>
      </w:r>
    </w:p>
    <w:p w14:paraId="03D47B33" w14:textId="41F6ED69" w:rsidR="004D7B1F" w:rsidRPr="00B611FA" w:rsidRDefault="00B611FA" w:rsidP="00124151">
      <w:pPr>
        <w:pStyle w:val="Odstavecseseznamem"/>
        <w:numPr>
          <w:ilvl w:val="0"/>
          <w:numId w:val="34"/>
        </w:numPr>
        <w:spacing w:after="120" w:line="240" w:lineRule="auto"/>
        <w:ind w:left="1135" w:hanging="284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 xml:space="preserve">hodnocení paliva za normálních, </w:t>
      </w:r>
      <w:r w:rsidR="004D7B1F" w:rsidRPr="00B611FA">
        <w:rPr>
          <w:noProof/>
          <w:sz w:val="24"/>
          <w:szCs w:val="24"/>
          <w:lang w:val="cs-CZ"/>
        </w:rPr>
        <w:t>abnormálních a havarijních stavů, zvláště s</w:t>
      </w:r>
      <w:r w:rsidR="00124151">
        <w:rPr>
          <w:noProof/>
          <w:sz w:val="24"/>
          <w:szCs w:val="24"/>
          <w:lang w:val="cs-CZ"/>
        </w:rPr>
        <w:t> </w:t>
      </w:r>
      <w:r w:rsidR="004D7B1F" w:rsidRPr="00B611FA">
        <w:rPr>
          <w:noProof/>
          <w:sz w:val="24"/>
          <w:szCs w:val="24"/>
          <w:lang w:val="cs-CZ"/>
        </w:rPr>
        <w:t>ohledem na požadavky bezpečnosti post – Fukušima.</w:t>
      </w:r>
    </w:p>
    <w:p w14:paraId="09870D13" w14:textId="423081F9" w:rsidR="00F01288" w:rsidRPr="00B611FA" w:rsidRDefault="004D7B1F" w:rsidP="00B611FA">
      <w:pPr>
        <w:pStyle w:val="Odstavecseseznamem"/>
        <w:numPr>
          <w:ilvl w:val="0"/>
          <w:numId w:val="33"/>
        </w:numPr>
        <w:spacing w:after="60" w:line="240" w:lineRule="auto"/>
        <w:ind w:left="851" w:hanging="284"/>
        <w:contextualSpacing w:val="0"/>
        <w:jc w:val="both"/>
        <w:rPr>
          <w:noProof/>
          <w:sz w:val="24"/>
          <w:szCs w:val="24"/>
          <w:lang w:val="cs-CZ"/>
        </w:rPr>
      </w:pPr>
      <w:r w:rsidRPr="00B611FA">
        <w:rPr>
          <w:noProof/>
          <w:sz w:val="24"/>
          <w:szCs w:val="24"/>
          <w:lang w:val="cs-CZ"/>
        </w:rPr>
        <w:t>Materiály</w:t>
      </w:r>
      <w:r w:rsidR="00F01288" w:rsidRPr="00B611FA">
        <w:rPr>
          <w:noProof/>
          <w:sz w:val="24"/>
          <w:szCs w:val="24"/>
          <w:lang w:val="cs-CZ"/>
        </w:rPr>
        <w:t>:</w:t>
      </w:r>
    </w:p>
    <w:p w14:paraId="1D0D5890" w14:textId="4B74B973" w:rsidR="004D7B1F" w:rsidRPr="00B611FA" w:rsidRDefault="00B611FA" w:rsidP="0095157C">
      <w:pPr>
        <w:pStyle w:val="Odstavecseseznamem"/>
        <w:numPr>
          <w:ilvl w:val="0"/>
          <w:numId w:val="35"/>
        </w:numPr>
        <w:spacing w:after="120" w:line="240" w:lineRule="auto"/>
        <w:ind w:left="1134" w:hanging="283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k</w:t>
      </w:r>
      <w:r w:rsidR="004D7B1F" w:rsidRPr="00B611FA">
        <w:rPr>
          <w:noProof/>
          <w:sz w:val="24"/>
          <w:szCs w:val="24"/>
          <w:lang w:val="cs-CZ"/>
        </w:rPr>
        <w:t>oroze pokrytí paliva s ohledem na zvýšení vyhoření a vyšší dávky na pokrytí a</w:t>
      </w:r>
      <w:r>
        <w:rPr>
          <w:noProof/>
          <w:sz w:val="24"/>
          <w:szCs w:val="24"/>
          <w:lang w:val="cs-CZ"/>
        </w:rPr>
        <w:t> </w:t>
      </w:r>
      <w:r w:rsidR="004D7B1F" w:rsidRPr="00B611FA">
        <w:rPr>
          <w:noProof/>
          <w:sz w:val="24"/>
          <w:szCs w:val="24"/>
          <w:lang w:val="cs-CZ"/>
        </w:rPr>
        <w:t>konstrukční materiály</w:t>
      </w:r>
      <w:r>
        <w:rPr>
          <w:noProof/>
          <w:sz w:val="24"/>
          <w:szCs w:val="24"/>
          <w:lang w:val="cs-CZ"/>
        </w:rPr>
        <w:t>.</w:t>
      </w:r>
    </w:p>
    <w:p w14:paraId="240B4ACE" w14:textId="6422B40F" w:rsidR="00F01288" w:rsidRPr="00B611FA" w:rsidRDefault="00B611FA" w:rsidP="00B611FA">
      <w:pPr>
        <w:pStyle w:val="Odstavecseseznamem"/>
        <w:numPr>
          <w:ilvl w:val="0"/>
          <w:numId w:val="33"/>
        </w:numPr>
        <w:spacing w:after="60" w:line="240" w:lineRule="auto"/>
        <w:ind w:left="851" w:hanging="295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L</w:t>
      </w:r>
      <w:r w:rsidR="00F01288" w:rsidRPr="00B611FA">
        <w:rPr>
          <w:noProof/>
          <w:sz w:val="24"/>
          <w:szCs w:val="24"/>
          <w:lang w:val="cs-CZ"/>
        </w:rPr>
        <w:t>ékařské aplikace:</w:t>
      </w:r>
    </w:p>
    <w:p w14:paraId="6041870B" w14:textId="622A08F8" w:rsidR="00F01288" w:rsidRPr="00B611FA" w:rsidRDefault="00B611FA" w:rsidP="0095157C">
      <w:pPr>
        <w:pStyle w:val="Odstavecseseznamem"/>
        <w:numPr>
          <w:ilvl w:val="0"/>
          <w:numId w:val="35"/>
        </w:numPr>
        <w:spacing w:after="120" w:line="240" w:lineRule="auto"/>
        <w:ind w:left="1134" w:hanging="283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r</w:t>
      </w:r>
      <w:r w:rsidR="004D7B1F" w:rsidRPr="00B611FA">
        <w:rPr>
          <w:noProof/>
          <w:sz w:val="24"/>
          <w:szCs w:val="24"/>
          <w:lang w:val="cs-CZ"/>
        </w:rPr>
        <w:t>adioizotopy pro diagnostiku a terapii</w:t>
      </w:r>
      <w:r w:rsidR="00F01288" w:rsidRPr="00B611FA">
        <w:rPr>
          <w:noProof/>
          <w:sz w:val="24"/>
          <w:szCs w:val="24"/>
          <w:lang w:val="cs-CZ"/>
        </w:rPr>
        <w:t>.</w:t>
      </w:r>
    </w:p>
    <w:p w14:paraId="4CE69267" w14:textId="4A385B97" w:rsidR="00F01288" w:rsidRPr="00B611FA" w:rsidRDefault="004D7B1F" w:rsidP="00B611FA">
      <w:pPr>
        <w:pStyle w:val="Odstavecseseznamem"/>
        <w:numPr>
          <w:ilvl w:val="0"/>
          <w:numId w:val="33"/>
        </w:numPr>
        <w:spacing w:after="60" w:line="240" w:lineRule="auto"/>
        <w:ind w:left="851" w:hanging="284"/>
        <w:contextualSpacing w:val="0"/>
        <w:jc w:val="both"/>
        <w:rPr>
          <w:noProof/>
          <w:sz w:val="24"/>
          <w:szCs w:val="24"/>
          <w:lang w:val="cs-CZ"/>
        </w:rPr>
      </w:pPr>
      <w:r w:rsidRPr="00B611FA">
        <w:rPr>
          <w:noProof/>
          <w:sz w:val="24"/>
          <w:szCs w:val="24"/>
          <w:lang w:val="cs-CZ"/>
        </w:rPr>
        <w:t>Nakládání s radioaktivními odpady</w:t>
      </w:r>
      <w:r w:rsidR="00F01288" w:rsidRPr="00B611FA">
        <w:rPr>
          <w:noProof/>
          <w:sz w:val="24"/>
          <w:szCs w:val="24"/>
          <w:lang w:val="cs-CZ"/>
        </w:rPr>
        <w:t>:</w:t>
      </w:r>
    </w:p>
    <w:p w14:paraId="448B585A" w14:textId="51CC853E" w:rsidR="00F01288" w:rsidRPr="00B611FA" w:rsidRDefault="0095157C" w:rsidP="0095157C">
      <w:pPr>
        <w:pStyle w:val="Odstavecseseznamem"/>
        <w:numPr>
          <w:ilvl w:val="0"/>
          <w:numId w:val="35"/>
        </w:numPr>
        <w:spacing w:after="120" w:line="240" w:lineRule="auto"/>
        <w:ind w:left="1134" w:hanging="283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v</w:t>
      </w:r>
      <w:r w:rsidR="004D7B1F" w:rsidRPr="00B611FA">
        <w:rPr>
          <w:noProof/>
          <w:sz w:val="24"/>
          <w:szCs w:val="24"/>
          <w:lang w:val="cs-CZ"/>
        </w:rPr>
        <w:t>ýzkum v oblasti transmutace aktinidů</w:t>
      </w:r>
      <w:r>
        <w:rPr>
          <w:noProof/>
          <w:sz w:val="24"/>
          <w:szCs w:val="24"/>
          <w:lang w:val="cs-CZ"/>
        </w:rPr>
        <w:t>.</w:t>
      </w:r>
    </w:p>
    <w:p w14:paraId="30C953DB" w14:textId="0AAC0DB3" w:rsidR="00F01288" w:rsidRPr="0095157C" w:rsidRDefault="0095157C" w:rsidP="0095157C">
      <w:pPr>
        <w:pStyle w:val="Odstavecseseznamem"/>
        <w:numPr>
          <w:ilvl w:val="0"/>
          <w:numId w:val="33"/>
        </w:numPr>
        <w:spacing w:after="60" w:line="240" w:lineRule="auto"/>
        <w:ind w:left="851" w:hanging="284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F</w:t>
      </w:r>
      <w:r w:rsidR="00F01288" w:rsidRPr="0095157C">
        <w:rPr>
          <w:noProof/>
          <w:sz w:val="24"/>
          <w:szCs w:val="24"/>
          <w:lang w:val="cs-CZ"/>
        </w:rPr>
        <w:t>úze:</w:t>
      </w:r>
    </w:p>
    <w:p w14:paraId="36A2C643" w14:textId="1BBACB6C" w:rsidR="00F01288" w:rsidRPr="0095157C" w:rsidRDefault="004D7B1F" w:rsidP="0095157C">
      <w:pPr>
        <w:pStyle w:val="Odstavecseseznamem"/>
        <w:numPr>
          <w:ilvl w:val="0"/>
          <w:numId w:val="35"/>
        </w:numPr>
        <w:spacing w:after="120" w:line="240" w:lineRule="auto"/>
        <w:ind w:left="1145" w:hanging="294"/>
        <w:contextualSpacing w:val="0"/>
        <w:jc w:val="both"/>
        <w:rPr>
          <w:noProof/>
          <w:sz w:val="24"/>
          <w:szCs w:val="24"/>
          <w:lang w:val="cs-CZ"/>
        </w:rPr>
      </w:pPr>
      <w:r w:rsidRPr="0095157C">
        <w:rPr>
          <w:noProof/>
          <w:sz w:val="24"/>
          <w:szCs w:val="24"/>
          <w:lang w:val="cs-CZ"/>
        </w:rPr>
        <w:t>ozařovací testy</w:t>
      </w:r>
      <w:r w:rsidR="0095157C">
        <w:rPr>
          <w:noProof/>
          <w:sz w:val="24"/>
          <w:szCs w:val="24"/>
          <w:lang w:val="cs-CZ"/>
        </w:rPr>
        <w:t>.</w:t>
      </w:r>
    </w:p>
    <w:p w14:paraId="1D9CB9AE" w14:textId="6286555F" w:rsidR="00F01288" w:rsidRPr="0095157C" w:rsidRDefault="0095157C" w:rsidP="0095157C">
      <w:pPr>
        <w:pStyle w:val="Odstavecseseznamem"/>
        <w:numPr>
          <w:ilvl w:val="0"/>
          <w:numId w:val="33"/>
        </w:numPr>
        <w:spacing w:after="60" w:line="240" w:lineRule="auto"/>
        <w:ind w:left="851" w:hanging="284"/>
        <w:contextualSpacing w:val="0"/>
        <w:jc w:val="both"/>
        <w:rPr>
          <w:noProof/>
          <w:sz w:val="24"/>
          <w:szCs w:val="24"/>
          <w:lang w:val="cs-CZ"/>
        </w:rPr>
      </w:pPr>
      <w:r>
        <w:rPr>
          <w:noProof/>
          <w:sz w:val="24"/>
          <w:szCs w:val="24"/>
          <w:lang w:val="cs-CZ"/>
        </w:rPr>
        <w:t>J</w:t>
      </w:r>
      <w:r w:rsidR="004D7B1F" w:rsidRPr="0095157C">
        <w:rPr>
          <w:noProof/>
          <w:sz w:val="24"/>
          <w:szCs w:val="24"/>
          <w:lang w:val="cs-CZ"/>
        </w:rPr>
        <w:t>iné</w:t>
      </w:r>
      <w:r w:rsidR="00F01288" w:rsidRPr="0095157C">
        <w:rPr>
          <w:noProof/>
          <w:sz w:val="24"/>
          <w:szCs w:val="24"/>
          <w:lang w:val="cs-CZ"/>
        </w:rPr>
        <w:t>:</w:t>
      </w:r>
    </w:p>
    <w:p w14:paraId="208C0AAD" w14:textId="058132DD" w:rsidR="00F01288" w:rsidRPr="0095157C" w:rsidRDefault="004D7B1F" w:rsidP="0095157C">
      <w:pPr>
        <w:pStyle w:val="Odstavecseseznamem"/>
        <w:numPr>
          <w:ilvl w:val="0"/>
          <w:numId w:val="35"/>
        </w:numPr>
        <w:spacing w:after="120" w:line="240" w:lineRule="auto"/>
        <w:ind w:left="1134" w:hanging="283"/>
        <w:contextualSpacing w:val="0"/>
        <w:jc w:val="both"/>
        <w:rPr>
          <w:noProof/>
          <w:sz w:val="24"/>
          <w:szCs w:val="24"/>
          <w:lang w:val="cs-CZ"/>
        </w:rPr>
      </w:pPr>
      <w:r w:rsidRPr="0095157C">
        <w:rPr>
          <w:noProof/>
          <w:sz w:val="24"/>
          <w:szCs w:val="24"/>
          <w:lang w:val="cs-CZ"/>
        </w:rPr>
        <w:t xml:space="preserve">výzkum v oblasti instrumentace a přístrojů (ověřování odolnosti přístrojů využívaných </w:t>
      </w:r>
      <w:r w:rsidR="006230BA">
        <w:rPr>
          <w:noProof/>
          <w:sz w:val="24"/>
          <w:szCs w:val="24"/>
          <w:lang w:val="cs-CZ"/>
        </w:rPr>
        <w:t>v</w:t>
      </w:r>
      <w:r w:rsidRPr="0095157C">
        <w:rPr>
          <w:noProof/>
          <w:sz w:val="24"/>
          <w:szCs w:val="24"/>
          <w:lang w:val="cs-CZ"/>
        </w:rPr>
        <w:t xml:space="preserve"> extrémních podmínkách</w:t>
      </w:r>
      <w:r w:rsidR="00F01288" w:rsidRPr="0095157C">
        <w:rPr>
          <w:noProof/>
          <w:sz w:val="24"/>
          <w:szCs w:val="24"/>
          <w:lang w:val="cs-CZ"/>
        </w:rPr>
        <w:t>.</w:t>
      </w:r>
    </w:p>
    <w:p w14:paraId="1B394E98" w14:textId="3DF46857" w:rsidR="004D7B1F" w:rsidRPr="006B300D" w:rsidRDefault="004D7B1F" w:rsidP="005A6553">
      <w:pPr>
        <w:spacing w:after="60" w:line="240" w:lineRule="auto"/>
        <w:ind w:firstLine="425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>Technologické příležitosti pro české uživatele JHR:</w:t>
      </w:r>
    </w:p>
    <w:p w14:paraId="0088DB30" w14:textId="19127EE5" w:rsidR="00F01288" w:rsidRPr="00B611FA" w:rsidRDefault="004D7B1F" w:rsidP="005A6553">
      <w:pPr>
        <w:pStyle w:val="Odstavecseseznamem"/>
        <w:numPr>
          <w:ilvl w:val="0"/>
          <w:numId w:val="31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B611FA">
        <w:rPr>
          <w:sz w:val="24"/>
          <w:szCs w:val="24"/>
          <w:lang w:val="cs-CZ"/>
        </w:rPr>
        <w:t xml:space="preserve">Provozovatelé </w:t>
      </w:r>
      <w:r w:rsidR="003E760C" w:rsidRPr="00B611FA">
        <w:rPr>
          <w:sz w:val="24"/>
          <w:szCs w:val="24"/>
          <w:lang w:val="cs-CZ"/>
        </w:rPr>
        <w:t xml:space="preserve">elektráren </w:t>
      </w:r>
      <w:r w:rsidRPr="00B611FA">
        <w:rPr>
          <w:sz w:val="24"/>
          <w:szCs w:val="24"/>
          <w:lang w:val="cs-CZ"/>
        </w:rPr>
        <w:t xml:space="preserve">mají zájem o zvýšení </w:t>
      </w:r>
      <w:r w:rsidR="0043512F" w:rsidRPr="00B611FA">
        <w:rPr>
          <w:sz w:val="24"/>
          <w:szCs w:val="24"/>
          <w:lang w:val="cs-CZ"/>
        </w:rPr>
        <w:t>míry</w:t>
      </w:r>
      <w:r w:rsidRPr="00B611FA">
        <w:rPr>
          <w:sz w:val="24"/>
          <w:szCs w:val="24"/>
          <w:lang w:val="cs-CZ"/>
        </w:rPr>
        <w:t xml:space="preserve"> vyhoření paliva; snížit možnost poškození paliva a</w:t>
      </w:r>
      <w:r w:rsidR="0043512F" w:rsidRPr="00B611FA">
        <w:rPr>
          <w:sz w:val="24"/>
          <w:szCs w:val="24"/>
          <w:lang w:val="cs-CZ"/>
        </w:rPr>
        <w:t xml:space="preserve"> </w:t>
      </w:r>
      <w:r w:rsidRPr="00B611FA">
        <w:rPr>
          <w:sz w:val="24"/>
          <w:szCs w:val="24"/>
          <w:lang w:val="cs-CZ"/>
        </w:rPr>
        <w:t>připravit se na nové požadavky, které mohou vzniknout na zvýšenou bezpečnost</w:t>
      </w:r>
      <w:r w:rsidR="00DC3825" w:rsidRPr="00B611FA">
        <w:rPr>
          <w:sz w:val="24"/>
          <w:szCs w:val="24"/>
          <w:lang w:val="cs-CZ"/>
        </w:rPr>
        <w:t xml:space="preserve"> na základě </w:t>
      </w:r>
      <w:r w:rsidR="00B611FA">
        <w:rPr>
          <w:sz w:val="24"/>
          <w:szCs w:val="24"/>
          <w:lang w:val="cs-CZ"/>
        </w:rPr>
        <w:t>nároků</w:t>
      </w:r>
      <w:r w:rsidR="00DC3825" w:rsidRPr="00B611FA">
        <w:rPr>
          <w:sz w:val="24"/>
          <w:szCs w:val="24"/>
          <w:lang w:val="cs-CZ"/>
        </w:rPr>
        <w:t xml:space="preserve"> regulátorů. To znamená chování a zvýšení odolnosti v</w:t>
      </w:r>
      <w:r w:rsidR="00B611FA">
        <w:rPr>
          <w:sz w:val="24"/>
          <w:szCs w:val="24"/>
          <w:lang w:val="cs-CZ"/>
        </w:rPr>
        <w:t> </w:t>
      </w:r>
      <w:r w:rsidR="00DC3825" w:rsidRPr="00B611FA">
        <w:rPr>
          <w:sz w:val="24"/>
          <w:szCs w:val="24"/>
          <w:lang w:val="cs-CZ"/>
        </w:rPr>
        <w:t xml:space="preserve">podmínkách </w:t>
      </w:r>
      <w:proofErr w:type="spellStart"/>
      <w:r w:rsidR="00B611FA">
        <w:rPr>
          <w:sz w:val="24"/>
          <w:szCs w:val="24"/>
          <w:lang w:val="cs-CZ"/>
        </w:rPr>
        <w:t>nad</w:t>
      </w:r>
      <w:r w:rsidR="0043512F" w:rsidRPr="00B611FA">
        <w:rPr>
          <w:sz w:val="24"/>
          <w:szCs w:val="24"/>
          <w:lang w:val="cs-CZ"/>
        </w:rPr>
        <w:t>projektových</w:t>
      </w:r>
      <w:proofErr w:type="spellEnd"/>
      <w:r w:rsidR="00DC3825" w:rsidRPr="00B611FA">
        <w:rPr>
          <w:sz w:val="24"/>
          <w:szCs w:val="24"/>
          <w:lang w:val="cs-CZ"/>
        </w:rPr>
        <w:t xml:space="preserve"> havárií (LOCA, RIA, produkce plynů). </w:t>
      </w:r>
      <w:r w:rsidR="0043512F" w:rsidRPr="00B611FA">
        <w:rPr>
          <w:sz w:val="24"/>
          <w:szCs w:val="24"/>
          <w:lang w:val="cs-CZ"/>
        </w:rPr>
        <w:t>JHR bud</w:t>
      </w:r>
      <w:r w:rsidR="00DC3825" w:rsidRPr="00B611FA">
        <w:rPr>
          <w:sz w:val="24"/>
          <w:szCs w:val="24"/>
          <w:lang w:val="cs-CZ"/>
        </w:rPr>
        <w:t>e</w:t>
      </w:r>
      <w:r w:rsidR="0043512F" w:rsidRPr="00B611FA">
        <w:rPr>
          <w:sz w:val="24"/>
          <w:szCs w:val="24"/>
          <w:lang w:val="cs-CZ"/>
        </w:rPr>
        <w:t xml:space="preserve"> </w:t>
      </w:r>
      <w:r w:rsidR="00DC3825" w:rsidRPr="00B611FA">
        <w:rPr>
          <w:sz w:val="24"/>
          <w:szCs w:val="24"/>
          <w:lang w:val="cs-CZ"/>
        </w:rPr>
        <w:t>provozován s vysokým tokem tepelných neutron</w:t>
      </w:r>
      <w:r w:rsidR="00B611FA">
        <w:rPr>
          <w:sz w:val="24"/>
          <w:szCs w:val="24"/>
          <w:lang w:val="cs-CZ"/>
        </w:rPr>
        <w:t>ů</w:t>
      </w:r>
      <w:r w:rsidR="00DC3825" w:rsidRPr="00B611FA">
        <w:rPr>
          <w:sz w:val="24"/>
          <w:szCs w:val="24"/>
          <w:lang w:val="cs-CZ"/>
        </w:rPr>
        <w:t>, který umožní dosažení výkonu 600</w:t>
      </w:r>
      <w:r w:rsidR="00B611FA">
        <w:rPr>
          <w:sz w:val="24"/>
          <w:szCs w:val="24"/>
          <w:lang w:val="cs-CZ"/>
        </w:rPr>
        <w:t> </w:t>
      </w:r>
      <w:r w:rsidR="00DC3825" w:rsidRPr="00B611FA">
        <w:rPr>
          <w:sz w:val="24"/>
          <w:szCs w:val="24"/>
          <w:lang w:val="cs-CZ"/>
        </w:rPr>
        <w:t>W/cm v reflektoru při použití 1% obohacení paliva.</w:t>
      </w:r>
    </w:p>
    <w:p w14:paraId="1D4D7C3C" w14:textId="109E51D2" w:rsidR="00DC3825" w:rsidRPr="00B611FA" w:rsidRDefault="00DC3825" w:rsidP="005A6553">
      <w:pPr>
        <w:pStyle w:val="Odstavecseseznamem"/>
        <w:numPr>
          <w:ilvl w:val="0"/>
          <w:numId w:val="31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B611FA">
        <w:rPr>
          <w:sz w:val="24"/>
          <w:szCs w:val="24"/>
          <w:lang w:val="cs-CZ"/>
        </w:rPr>
        <w:lastRenderedPageBreak/>
        <w:t>Provozovatelé mohou požadovat nezávislé hodnocení paliva jako způsob bezpečnějšího a efektivnějšího provozu jaderných zařízení.</w:t>
      </w:r>
    </w:p>
    <w:p w14:paraId="40A3BB53" w14:textId="2B8D8D34" w:rsidR="00F01288" w:rsidRPr="00B611FA" w:rsidRDefault="00DC3825" w:rsidP="005A6553">
      <w:pPr>
        <w:pStyle w:val="Odstavecseseznamem"/>
        <w:numPr>
          <w:ilvl w:val="0"/>
          <w:numId w:val="31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B611FA">
        <w:rPr>
          <w:sz w:val="24"/>
          <w:szCs w:val="24"/>
          <w:lang w:val="cs-CZ"/>
        </w:rPr>
        <w:t xml:space="preserve">S </w:t>
      </w:r>
      <w:r w:rsidR="0043512F" w:rsidRPr="00B611FA">
        <w:rPr>
          <w:sz w:val="24"/>
          <w:szCs w:val="24"/>
          <w:lang w:val="cs-CZ"/>
        </w:rPr>
        <w:t>ohledem</w:t>
      </w:r>
      <w:r w:rsidRPr="00B611FA">
        <w:rPr>
          <w:sz w:val="24"/>
          <w:szCs w:val="24"/>
          <w:lang w:val="cs-CZ"/>
        </w:rPr>
        <w:t xml:space="preserve"> na současné požadavky průmyslu JHR poskytne modern</w:t>
      </w:r>
      <w:r w:rsidR="0043512F" w:rsidRPr="00B611FA">
        <w:rPr>
          <w:sz w:val="24"/>
          <w:szCs w:val="24"/>
          <w:lang w:val="cs-CZ"/>
        </w:rPr>
        <w:t>í</w:t>
      </w:r>
      <w:r w:rsidRPr="00B611FA">
        <w:rPr>
          <w:sz w:val="24"/>
          <w:szCs w:val="24"/>
          <w:lang w:val="cs-CZ"/>
        </w:rPr>
        <w:t xml:space="preserve"> experimentální </w:t>
      </w:r>
      <w:r w:rsidR="0043512F" w:rsidRPr="00B611FA">
        <w:rPr>
          <w:sz w:val="24"/>
          <w:szCs w:val="24"/>
          <w:lang w:val="cs-CZ"/>
        </w:rPr>
        <w:t>k</w:t>
      </w:r>
      <w:r w:rsidRPr="00B611FA">
        <w:rPr>
          <w:sz w:val="24"/>
          <w:szCs w:val="24"/>
          <w:lang w:val="cs-CZ"/>
        </w:rPr>
        <w:t>apacity pro výzkum s ohledem na podporu stávajících reaktorů (GEN II</w:t>
      </w:r>
      <w:r w:rsidR="00B611FA">
        <w:rPr>
          <w:sz w:val="24"/>
          <w:szCs w:val="24"/>
          <w:lang w:val="cs-CZ"/>
        </w:rPr>
        <w:t>.</w:t>
      </w:r>
      <w:r w:rsidRPr="00B611FA">
        <w:rPr>
          <w:sz w:val="24"/>
          <w:szCs w:val="24"/>
          <w:lang w:val="cs-CZ"/>
        </w:rPr>
        <w:t>, III</w:t>
      </w:r>
      <w:r w:rsidR="00B611FA">
        <w:rPr>
          <w:sz w:val="24"/>
          <w:szCs w:val="24"/>
          <w:lang w:val="cs-CZ"/>
        </w:rPr>
        <w:t>.</w:t>
      </w:r>
      <w:r w:rsidRPr="00B611FA">
        <w:rPr>
          <w:sz w:val="24"/>
          <w:szCs w:val="24"/>
          <w:lang w:val="cs-CZ"/>
        </w:rPr>
        <w:t>) a</w:t>
      </w:r>
      <w:r w:rsidR="00B611FA">
        <w:rPr>
          <w:sz w:val="24"/>
          <w:szCs w:val="24"/>
          <w:lang w:val="cs-CZ"/>
        </w:rPr>
        <w:t> </w:t>
      </w:r>
      <w:r w:rsidRPr="00B611FA">
        <w:rPr>
          <w:sz w:val="24"/>
          <w:szCs w:val="24"/>
          <w:lang w:val="cs-CZ"/>
        </w:rPr>
        <w:t>výzkumu budoucích systémů (GEN IV</w:t>
      </w:r>
      <w:r w:rsidR="00B611FA">
        <w:rPr>
          <w:sz w:val="24"/>
          <w:szCs w:val="24"/>
          <w:lang w:val="cs-CZ"/>
        </w:rPr>
        <w:t>.</w:t>
      </w:r>
      <w:r w:rsidRPr="00B611FA">
        <w:rPr>
          <w:sz w:val="24"/>
          <w:szCs w:val="24"/>
          <w:lang w:val="cs-CZ"/>
        </w:rPr>
        <w:t xml:space="preserve"> a fúze) a </w:t>
      </w:r>
      <w:r w:rsidR="0043512F" w:rsidRPr="00B611FA">
        <w:rPr>
          <w:sz w:val="24"/>
          <w:szCs w:val="24"/>
          <w:lang w:val="cs-CZ"/>
        </w:rPr>
        <w:t>také</w:t>
      </w:r>
      <w:r w:rsidR="00B611FA">
        <w:rPr>
          <w:sz w:val="24"/>
          <w:szCs w:val="24"/>
          <w:lang w:val="cs-CZ"/>
        </w:rPr>
        <w:t xml:space="preserve"> medicínské aplikace.</w:t>
      </w:r>
    </w:p>
    <w:p w14:paraId="5CED51C9" w14:textId="77777777" w:rsidR="00DC3825" w:rsidRPr="006B300D" w:rsidRDefault="00DC3825" w:rsidP="005A6553">
      <w:pPr>
        <w:spacing w:after="60" w:line="240" w:lineRule="auto"/>
        <w:ind w:firstLine="425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 xml:space="preserve">Tím vznikne silná podpora pro český průmysl </w:t>
      </w:r>
      <w:r w:rsidR="0043512F" w:rsidRPr="006B300D">
        <w:rPr>
          <w:sz w:val="24"/>
          <w:szCs w:val="24"/>
          <w:lang w:val="cs-CZ"/>
        </w:rPr>
        <w:t>i</w:t>
      </w:r>
      <w:r w:rsidRPr="006B300D">
        <w:rPr>
          <w:sz w:val="24"/>
          <w:szCs w:val="24"/>
          <w:lang w:val="cs-CZ"/>
        </w:rPr>
        <w:t xml:space="preserve"> výzkumnou komunitu převážně v oblasti:</w:t>
      </w:r>
    </w:p>
    <w:p w14:paraId="79B2016E" w14:textId="6EAA2990" w:rsidR="00F01288" w:rsidRPr="006B300D" w:rsidRDefault="00B611FA" w:rsidP="005A6553">
      <w:pPr>
        <w:pStyle w:val="Odstavecseseznamem"/>
        <w:numPr>
          <w:ilvl w:val="0"/>
          <w:numId w:val="30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B</w:t>
      </w:r>
      <w:r w:rsidR="00DC3825" w:rsidRPr="006B300D">
        <w:rPr>
          <w:sz w:val="24"/>
          <w:szCs w:val="24"/>
          <w:lang w:val="cs-CZ"/>
        </w:rPr>
        <w:t>ezpečnějšího provozu jaderných I nejaderných elektráren</w:t>
      </w:r>
      <w:r>
        <w:rPr>
          <w:sz w:val="24"/>
          <w:szCs w:val="24"/>
          <w:lang w:val="cs-CZ"/>
        </w:rPr>
        <w:t>.</w:t>
      </w:r>
    </w:p>
    <w:p w14:paraId="3CEDC648" w14:textId="11095C5F" w:rsidR="00F01288" w:rsidRPr="006B300D" w:rsidRDefault="0043512F" w:rsidP="005A6553">
      <w:pPr>
        <w:pStyle w:val="Odstavecseseznamem"/>
        <w:numPr>
          <w:ilvl w:val="0"/>
          <w:numId w:val="30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>Výzkum v oblasti</w:t>
      </w:r>
      <w:r w:rsidR="00DC3825" w:rsidRPr="006B300D">
        <w:rPr>
          <w:sz w:val="24"/>
          <w:szCs w:val="24"/>
          <w:lang w:val="cs-CZ"/>
        </w:rPr>
        <w:t xml:space="preserve"> fúze</w:t>
      </w:r>
      <w:r w:rsidR="00B611FA">
        <w:rPr>
          <w:sz w:val="24"/>
          <w:szCs w:val="24"/>
          <w:lang w:val="cs-CZ"/>
        </w:rPr>
        <w:t>.</w:t>
      </w:r>
    </w:p>
    <w:p w14:paraId="08DC9299" w14:textId="122327DA" w:rsidR="0043512F" w:rsidRPr="006B300D" w:rsidRDefault="00DC3825" w:rsidP="00B611FA">
      <w:pPr>
        <w:pStyle w:val="Odstavecseseznamem"/>
        <w:numPr>
          <w:ilvl w:val="0"/>
          <w:numId w:val="30"/>
        </w:numPr>
        <w:spacing w:after="120" w:line="240" w:lineRule="auto"/>
        <w:ind w:left="851" w:hanging="284"/>
        <w:jc w:val="both"/>
        <w:rPr>
          <w:rFonts w:eastAsia="Arial" w:cs="Arial"/>
          <w:b/>
          <w:spacing w:val="3"/>
          <w:sz w:val="24"/>
          <w:szCs w:val="24"/>
          <w:lang w:val="cs-CZ"/>
        </w:rPr>
      </w:pPr>
      <w:r w:rsidRPr="006B300D">
        <w:rPr>
          <w:sz w:val="24"/>
          <w:szCs w:val="24"/>
          <w:lang w:val="cs-CZ"/>
        </w:rPr>
        <w:t xml:space="preserve">Výzkum v oblasti elektronických zařízení používaných </w:t>
      </w:r>
      <w:r w:rsidR="0043512F" w:rsidRPr="006B300D">
        <w:rPr>
          <w:sz w:val="24"/>
          <w:szCs w:val="24"/>
          <w:lang w:val="cs-CZ"/>
        </w:rPr>
        <w:t>například v hybridních automobilech nebo v rámci systémů řízení elektráren.</w:t>
      </w:r>
    </w:p>
    <w:p w14:paraId="10F0B447" w14:textId="77777777" w:rsidR="0006344E" w:rsidRPr="006B300D" w:rsidRDefault="0006344E" w:rsidP="006B300D">
      <w:pPr>
        <w:spacing w:after="120" w:line="240" w:lineRule="auto"/>
        <w:ind w:firstLine="426"/>
        <w:rPr>
          <w:rFonts w:eastAsia="Arial" w:cs="Arial"/>
          <w:b/>
          <w:spacing w:val="3"/>
          <w:sz w:val="24"/>
          <w:szCs w:val="24"/>
          <w:lang w:val="cs-CZ"/>
        </w:rPr>
      </w:pPr>
    </w:p>
    <w:p w14:paraId="7D40C036" w14:textId="77777777" w:rsidR="004E721B" w:rsidRPr="006B300D" w:rsidRDefault="004E721B" w:rsidP="006B300D">
      <w:pPr>
        <w:spacing w:after="120" w:line="240" w:lineRule="auto"/>
        <w:ind w:firstLine="426"/>
        <w:rPr>
          <w:sz w:val="24"/>
          <w:szCs w:val="24"/>
          <w:lang w:val="cs-CZ"/>
        </w:rPr>
      </w:pPr>
    </w:p>
    <w:p w14:paraId="381ACF34" w14:textId="1C9B2551" w:rsidR="00B02922" w:rsidRPr="00124151" w:rsidRDefault="00E402D6" w:rsidP="00124151">
      <w:pPr>
        <w:spacing w:after="240" w:line="240" w:lineRule="auto"/>
        <w:rPr>
          <w:b/>
          <w:sz w:val="28"/>
          <w:szCs w:val="28"/>
          <w:lang w:val="cs-CZ"/>
        </w:rPr>
      </w:pPr>
      <w:r w:rsidRPr="00124151">
        <w:rPr>
          <w:b/>
          <w:sz w:val="28"/>
          <w:szCs w:val="28"/>
          <w:lang w:val="cs-CZ"/>
        </w:rPr>
        <w:t>V</w:t>
      </w:r>
      <w:r w:rsidR="00B02922" w:rsidRPr="00124151">
        <w:rPr>
          <w:b/>
          <w:sz w:val="28"/>
          <w:szCs w:val="28"/>
          <w:lang w:val="cs-CZ"/>
        </w:rPr>
        <w:t xml:space="preserve">. </w:t>
      </w:r>
      <w:r w:rsidR="00EF4F77" w:rsidRPr="00124151">
        <w:rPr>
          <w:b/>
          <w:sz w:val="28"/>
          <w:szCs w:val="28"/>
          <w:lang w:val="cs-CZ"/>
        </w:rPr>
        <w:t>V</w:t>
      </w:r>
      <w:r w:rsidR="00124151">
        <w:rPr>
          <w:b/>
          <w:sz w:val="28"/>
          <w:szCs w:val="28"/>
          <w:lang w:val="cs-CZ"/>
        </w:rPr>
        <w:t>ýzkumné a jiné spolupráce výzkumné infrastruktury</w:t>
      </w:r>
    </w:p>
    <w:p w14:paraId="6B929843" w14:textId="4888EAD4" w:rsidR="00124151" w:rsidRDefault="008507EA" w:rsidP="00124151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/>
        </w:rPr>
      </w:pPr>
      <w:r w:rsidRPr="00124151">
        <w:rPr>
          <w:rFonts w:eastAsia="Times New Roman" w:cs="Times New Roman"/>
          <w:sz w:val="24"/>
          <w:szCs w:val="24"/>
          <w:lang w:val="cs-CZ"/>
        </w:rPr>
        <w:t xml:space="preserve">JHR je v současné době a </w:t>
      </w:r>
      <w:r w:rsidR="006230BA">
        <w:rPr>
          <w:rFonts w:eastAsia="Times New Roman" w:cs="Times New Roman"/>
          <w:sz w:val="24"/>
          <w:szCs w:val="24"/>
          <w:lang w:val="cs-CZ"/>
        </w:rPr>
        <w:t xml:space="preserve">bude </w:t>
      </w:r>
      <w:r w:rsidRPr="00124151">
        <w:rPr>
          <w:rFonts w:eastAsia="Times New Roman" w:cs="Times New Roman"/>
          <w:sz w:val="24"/>
          <w:szCs w:val="24"/>
          <w:lang w:val="cs-CZ"/>
        </w:rPr>
        <w:t xml:space="preserve">až do roku 2020 ve výstavbě. Vzhledem k mezinárodnímu charakteru výzkumné infrastruktury a také velkému zájmu průmyslu o na ní prováděném </w:t>
      </w:r>
      <w:r w:rsidR="00124151" w:rsidRPr="00124151">
        <w:rPr>
          <w:rFonts w:eastAsia="Times New Roman" w:cs="Times New Roman"/>
          <w:sz w:val="24"/>
          <w:szCs w:val="24"/>
          <w:lang w:val="cs-CZ"/>
        </w:rPr>
        <w:t xml:space="preserve">měření </w:t>
      </w:r>
      <w:r w:rsidRPr="00124151">
        <w:rPr>
          <w:rFonts w:eastAsia="Times New Roman" w:cs="Times New Roman"/>
          <w:sz w:val="24"/>
          <w:szCs w:val="24"/>
          <w:lang w:val="cs-CZ"/>
        </w:rPr>
        <w:t xml:space="preserve">je možné předpokládat vznik takových spoluprací již před rokem 2020. </w:t>
      </w:r>
      <w:r w:rsidR="00E25F13" w:rsidRPr="00124151">
        <w:rPr>
          <w:rFonts w:eastAsia="Times New Roman" w:cs="Times New Roman"/>
          <w:sz w:val="24"/>
          <w:szCs w:val="24"/>
          <w:lang w:val="cs-CZ"/>
        </w:rPr>
        <w:t xml:space="preserve">Samotné členství v konsorciu je již mezinárodní spoluprací samo o sobě. </w:t>
      </w:r>
      <w:r w:rsidRPr="00124151">
        <w:rPr>
          <w:rFonts w:eastAsia="Times New Roman" w:cs="Times New Roman"/>
          <w:sz w:val="24"/>
          <w:szCs w:val="24"/>
          <w:lang w:val="cs-CZ"/>
        </w:rPr>
        <w:t xml:space="preserve">To </w:t>
      </w:r>
      <w:r w:rsidR="00E25F13" w:rsidRPr="00124151">
        <w:rPr>
          <w:rFonts w:eastAsia="Times New Roman" w:cs="Times New Roman"/>
          <w:sz w:val="24"/>
          <w:szCs w:val="24"/>
          <w:lang w:val="cs-CZ"/>
        </w:rPr>
        <w:t>dokládají i některé z</w:t>
      </w:r>
      <w:r w:rsidRPr="00124151">
        <w:rPr>
          <w:rFonts w:eastAsia="Times New Roman" w:cs="Times New Roman"/>
          <w:sz w:val="24"/>
          <w:szCs w:val="24"/>
          <w:lang w:val="cs-CZ"/>
        </w:rPr>
        <w:t xml:space="preserve"> publikací, které byly vypracovány během přípravné fáze na základě příspěvku českých výzkumných</w:t>
      </w:r>
      <w:r w:rsidR="00124151">
        <w:rPr>
          <w:rFonts w:eastAsia="Times New Roman" w:cs="Times New Roman"/>
          <w:sz w:val="24"/>
          <w:szCs w:val="24"/>
          <w:lang w:val="cs-CZ"/>
        </w:rPr>
        <w:t xml:space="preserve"> pracovníků.</w:t>
      </w:r>
    </w:p>
    <w:p w14:paraId="4A4A7955" w14:textId="71E82458" w:rsidR="0006344E" w:rsidRPr="00124151" w:rsidRDefault="008507EA" w:rsidP="005A6553">
      <w:pPr>
        <w:spacing w:after="60" w:line="240" w:lineRule="auto"/>
        <w:ind w:firstLine="425"/>
        <w:jc w:val="both"/>
        <w:rPr>
          <w:rFonts w:eastAsia="Times New Roman" w:cs="Times New Roman"/>
          <w:sz w:val="24"/>
          <w:szCs w:val="24"/>
          <w:lang w:val="cs-CZ"/>
        </w:rPr>
      </w:pPr>
      <w:r w:rsidRPr="00124151">
        <w:rPr>
          <w:rFonts w:eastAsia="Times New Roman" w:cs="Times New Roman"/>
          <w:sz w:val="24"/>
          <w:szCs w:val="24"/>
          <w:lang w:val="cs-CZ"/>
        </w:rPr>
        <w:t>Například:</w:t>
      </w:r>
    </w:p>
    <w:p w14:paraId="5418FF73" w14:textId="37D2F3AB" w:rsidR="008507EA" w:rsidRPr="00124151" w:rsidRDefault="008507EA" w:rsidP="005A6553">
      <w:pPr>
        <w:pStyle w:val="Odstavecseseznamem"/>
        <w:numPr>
          <w:ilvl w:val="0"/>
          <w:numId w:val="36"/>
        </w:numPr>
        <w:spacing w:after="60" w:line="240" w:lineRule="auto"/>
        <w:ind w:left="851" w:hanging="295"/>
        <w:contextualSpacing w:val="0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 xml:space="preserve">ŽĎÁREK, J. – MRKOS, J. – PĚNKAVA, M. – HORÁK, D. – BENSCH, J.: Hot </w:t>
      </w:r>
      <w:proofErr w:type="spellStart"/>
      <w:r w:rsidRPr="00124151">
        <w:rPr>
          <w:sz w:val="24"/>
          <w:szCs w:val="24"/>
          <w:lang w:val="cs-CZ"/>
        </w:rPr>
        <w:t>Cells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inside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the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Built</w:t>
      </w:r>
      <w:proofErr w:type="spellEnd"/>
      <w:r w:rsidRPr="00124151">
        <w:rPr>
          <w:sz w:val="24"/>
          <w:szCs w:val="24"/>
          <w:lang w:val="cs-CZ"/>
        </w:rPr>
        <w:t xml:space="preserve">-up </w:t>
      </w:r>
      <w:proofErr w:type="spellStart"/>
      <w:r w:rsidRPr="00124151">
        <w:rPr>
          <w:sz w:val="24"/>
          <w:szCs w:val="24"/>
          <w:lang w:val="cs-CZ"/>
        </w:rPr>
        <w:t>Jules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Horowitz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Reactor</w:t>
      </w:r>
      <w:proofErr w:type="spellEnd"/>
      <w:r w:rsidRPr="00124151">
        <w:rPr>
          <w:sz w:val="24"/>
          <w:szCs w:val="24"/>
          <w:lang w:val="cs-CZ"/>
        </w:rPr>
        <w:t xml:space="preserve">. In: </w:t>
      </w:r>
      <w:proofErr w:type="spellStart"/>
      <w:r w:rsidRPr="00124151">
        <w:rPr>
          <w:sz w:val="24"/>
          <w:szCs w:val="24"/>
          <w:lang w:val="cs-CZ"/>
        </w:rPr>
        <w:t>Proc</w:t>
      </w:r>
      <w:proofErr w:type="spellEnd"/>
      <w:r w:rsidRPr="00124151">
        <w:rPr>
          <w:sz w:val="24"/>
          <w:szCs w:val="24"/>
          <w:lang w:val="cs-CZ"/>
        </w:rPr>
        <w:t xml:space="preserve">. HOTLAB 2009, Prague, Czech Republic. </w:t>
      </w:r>
      <w:proofErr w:type="spellStart"/>
      <w:r w:rsidRPr="00124151">
        <w:rPr>
          <w:sz w:val="24"/>
          <w:szCs w:val="24"/>
          <w:lang w:val="cs-CZ"/>
        </w:rPr>
        <w:t>Available</w:t>
      </w:r>
      <w:proofErr w:type="spellEnd"/>
      <w:r w:rsidRPr="00124151">
        <w:rPr>
          <w:sz w:val="24"/>
          <w:szCs w:val="24"/>
          <w:lang w:val="cs-CZ"/>
        </w:rPr>
        <w:t xml:space="preserve"> on-line: </w:t>
      </w:r>
      <w:r w:rsidR="00124151" w:rsidRPr="00124151">
        <w:rPr>
          <w:sz w:val="24"/>
          <w:szCs w:val="24"/>
          <w:lang w:val="cs-CZ"/>
        </w:rPr>
        <w:t>http://hotlab.sckcen.be/en/Proceedings</w:t>
      </w:r>
      <w:r w:rsidRPr="00124151">
        <w:rPr>
          <w:sz w:val="24"/>
          <w:szCs w:val="24"/>
          <w:lang w:val="cs-CZ"/>
        </w:rPr>
        <w:t>;</w:t>
      </w:r>
    </w:p>
    <w:p w14:paraId="2A2D0A66" w14:textId="78B2403F" w:rsidR="008507EA" w:rsidRPr="00124151" w:rsidRDefault="008507EA" w:rsidP="005A6553">
      <w:pPr>
        <w:pStyle w:val="Odstavecseseznamem"/>
        <w:numPr>
          <w:ilvl w:val="0"/>
          <w:numId w:val="36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 xml:space="preserve">MINOT, F. – GUEANT, P. – BENSCH, J.: Hot </w:t>
      </w:r>
      <w:proofErr w:type="spellStart"/>
      <w:r w:rsidRPr="00124151">
        <w:rPr>
          <w:sz w:val="24"/>
          <w:szCs w:val="24"/>
          <w:lang w:val="cs-CZ"/>
        </w:rPr>
        <w:t>Cells</w:t>
      </w:r>
      <w:proofErr w:type="spellEnd"/>
      <w:r w:rsidRPr="00124151">
        <w:rPr>
          <w:sz w:val="24"/>
          <w:szCs w:val="24"/>
          <w:lang w:val="cs-CZ"/>
        </w:rPr>
        <w:t xml:space="preserve"> in a New </w:t>
      </w:r>
      <w:proofErr w:type="spellStart"/>
      <w:r w:rsidRPr="00124151">
        <w:rPr>
          <w:sz w:val="24"/>
          <w:szCs w:val="24"/>
          <w:lang w:val="cs-CZ"/>
        </w:rPr>
        <w:t>Material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Testing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Reactor</w:t>
      </w:r>
      <w:proofErr w:type="spellEnd"/>
      <w:r w:rsidRPr="00124151">
        <w:rPr>
          <w:sz w:val="24"/>
          <w:szCs w:val="24"/>
          <w:lang w:val="cs-CZ"/>
        </w:rPr>
        <w:t xml:space="preserve">. In: </w:t>
      </w:r>
      <w:proofErr w:type="spellStart"/>
      <w:r w:rsidRPr="00124151">
        <w:rPr>
          <w:sz w:val="24"/>
          <w:szCs w:val="24"/>
          <w:lang w:val="cs-CZ"/>
        </w:rPr>
        <w:t>Proc</w:t>
      </w:r>
      <w:proofErr w:type="spellEnd"/>
      <w:r w:rsidRPr="00124151">
        <w:rPr>
          <w:sz w:val="24"/>
          <w:szCs w:val="24"/>
          <w:lang w:val="cs-CZ"/>
        </w:rPr>
        <w:t xml:space="preserve">. HOTLAB 2010, </w:t>
      </w:r>
      <w:proofErr w:type="spellStart"/>
      <w:r w:rsidRPr="00124151">
        <w:rPr>
          <w:sz w:val="24"/>
          <w:szCs w:val="24"/>
          <w:lang w:val="cs-CZ"/>
        </w:rPr>
        <w:t>Dimitrovgrad</w:t>
      </w:r>
      <w:proofErr w:type="spellEnd"/>
      <w:r w:rsidRPr="00124151">
        <w:rPr>
          <w:sz w:val="24"/>
          <w:szCs w:val="24"/>
          <w:lang w:val="cs-CZ"/>
        </w:rPr>
        <w:t xml:space="preserve">, </w:t>
      </w:r>
      <w:proofErr w:type="spellStart"/>
      <w:r w:rsidRPr="00124151">
        <w:rPr>
          <w:sz w:val="24"/>
          <w:szCs w:val="24"/>
          <w:lang w:val="cs-CZ"/>
        </w:rPr>
        <w:t>Russia</w:t>
      </w:r>
      <w:proofErr w:type="spellEnd"/>
      <w:r w:rsidRPr="00124151">
        <w:rPr>
          <w:sz w:val="24"/>
          <w:szCs w:val="24"/>
          <w:lang w:val="cs-CZ"/>
        </w:rPr>
        <w:t xml:space="preserve">. K náhledu: </w:t>
      </w:r>
      <w:r w:rsidR="00124151" w:rsidRPr="00124151">
        <w:rPr>
          <w:sz w:val="24"/>
          <w:szCs w:val="24"/>
          <w:lang w:val="cs-CZ"/>
        </w:rPr>
        <w:t>http://hotlab.sckcen.be/en/Proceedings</w:t>
      </w:r>
      <w:r w:rsidR="00124151">
        <w:rPr>
          <w:sz w:val="24"/>
          <w:szCs w:val="24"/>
          <w:lang w:val="cs-CZ"/>
        </w:rPr>
        <w:t>;</w:t>
      </w:r>
    </w:p>
    <w:p w14:paraId="7218FA8E" w14:textId="15C5A86A" w:rsidR="008507EA" w:rsidRPr="00124151" w:rsidRDefault="008507EA" w:rsidP="00124151">
      <w:pPr>
        <w:pStyle w:val="Odstavecseseznamem"/>
        <w:numPr>
          <w:ilvl w:val="0"/>
          <w:numId w:val="36"/>
        </w:numPr>
        <w:spacing w:after="120" w:line="240" w:lineRule="auto"/>
        <w:ind w:left="851" w:hanging="284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 xml:space="preserve">BENSCH, J. – HORÁK, D. – PĚNKAVA, M. – PRAHL, J. – RÁBL, J. – ZÁBORSKÝ, J. - ŽĎÁREK, J.: Horké komory – Český příspěvek k výstavbě evropského výzkumného reaktoru </w:t>
      </w:r>
      <w:proofErr w:type="spellStart"/>
      <w:r w:rsidRPr="00124151">
        <w:rPr>
          <w:sz w:val="24"/>
          <w:szCs w:val="24"/>
          <w:lang w:val="cs-CZ"/>
        </w:rPr>
        <w:t>Jules</w:t>
      </w:r>
      <w:proofErr w:type="spellEnd"/>
      <w:r w:rsidRPr="00124151">
        <w:rPr>
          <w:sz w:val="24"/>
          <w:szCs w:val="24"/>
          <w:lang w:val="cs-CZ"/>
        </w:rPr>
        <w:t xml:space="preserve"> </w:t>
      </w:r>
      <w:proofErr w:type="spellStart"/>
      <w:r w:rsidRPr="00124151">
        <w:rPr>
          <w:sz w:val="24"/>
          <w:szCs w:val="24"/>
          <w:lang w:val="cs-CZ"/>
        </w:rPr>
        <w:t>Horowitz</w:t>
      </w:r>
      <w:proofErr w:type="spellEnd"/>
      <w:r w:rsidRPr="00124151">
        <w:rPr>
          <w:sz w:val="24"/>
          <w:szCs w:val="24"/>
          <w:lang w:val="cs-CZ"/>
        </w:rPr>
        <w:t>. In: Zvyšování životnosti komponent energetických zařízení v elektrárnách, Sborník příspěvků z konference, Srní 19. - 21. října 2010, editoři: Michal Chocholoušek, Václav Liška, ISBN 978-80-7043-931-9.</w:t>
      </w:r>
    </w:p>
    <w:p w14:paraId="0E50B9D7" w14:textId="021BE801" w:rsidR="000B33A2" w:rsidRPr="00124151" w:rsidRDefault="000B33A2" w:rsidP="0012415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>Během výstavby se neočekává publikační činnost.</w:t>
      </w:r>
    </w:p>
    <w:p w14:paraId="302DF311" w14:textId="63C8F1B2" w:rsidR="000B33A2" w:rsidRPr="00124151" w:rsidRDefault="000B33A2" w:rsidP="0012415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 xml:space="preserve">V provozní fázi </w:t>
      </w:r>
      <w:r w:rsidR="00A375F1" w:rsidRPr="00124151">
        <w:rPr>
          <w:sz w:val="24"/>
          <w:szCs w:val="24"/>
          <w:lang w:val="cs-CZ"/>
        </w:rPr>
        <w:t xml:space="preserve">po roce 2020 </w:t>
      </w:r>
      <w:r w:rsidRPr="00124151">
        <w:rPr>
          <w:sz w:val="24"/>
          <w:szCs w:val="24"/>
          <w:lang w:val="cs-CZ"/>
        </w:rPr>
        <w:t>budou usta</w:t>
      </w:r>
      <w:r w:rsidR="00273CB6" w:rsidRPr="00124151">
        <w:rPr>
          <w:sz w:val="24"/>
          <w:szCs w:val="24"/>
          <w:lang w:val="cs-CZ"/>
        </w:rPr>
        <w:t>novovány spolupráce vycházející</w:t>
      </w:r>
      <w:r w:rsidRPr="00124151">
        <w:rPr>
          <w:sz w:val="24"/>
          <w:szCs w:val="24"/>
          <w:lang w:val="cs-CZ"/>
        </w:rPr>
        <w:t xml:space="preserve"> z témat výzkumu, který bude na JHR prováděn.</w:t>
      </w:r>
    </w:p>
    <w:p w14:paraId="0D060F78" w14:textId="4C9CD289" w:rsidR="000B33A2" w:rsidRPr="00124151" w:rsidRDefault="000B33A2" w:rsidP="0012415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124151">
        <w:rPr>
          <w:sz w:val="24"/>
          <w:szCs w:val="24"/>
          <w:lang w:val="cs-CZ"/>
        </w:rPr>
        <w:t xml:space="preserve">Během </w:t>
      </w:r>
      <w:r w:rsidR="006230BA">
        <w:rPr>
          <w:sz w:val="24"/>
          <w:szCs w:val="24"/>
          <w:lang w:val="cs-CZ"/>
        </w:rPr>
        <w:t xml:space="preserve">implementační fáze </w:t>
      </w:r>
      <w:r w:rsidRPr="00124151">
        <w:rPr>
          <w:sz w:val="24"/>
          <w:szCs w:val="24"/>
          <w:lang w:val="cs-CZ"/>
        </w:rPr>
        <w:t>t</w:t>
      </w:r>
      <w:r w:rsidR="00124151">
        <w:rPr>
          <w:sz w:val="24"/>
          <w:szCs w:val="24"/>
          <w:lang w:val="cs-CZ"/>
        </w:rPr>
        <w:t xml:space="preserve">éto výzkumné infrastruktury </w:t>
      </w:r>
      <w:r w:rsidRPr="00124151">
        <w:rPr>
          <w:sz w:val="24"/>
          <w:szCs w:val="24"/>
          <w:lang w:val="cs-CZ"/>
        </w:rPr>
        <w:t>se očekává ustanovení prvních spoluprací v</w:t>
      </w:r>
      <w:r w:rsidR="00124151">
        <w:rPr>
          <w:sz w:val="24"/>
          <w:szCs w:val="24"/>
          <w:lang w:val="cs-CZ"/>
        </w:rPr>
        <w:t> </w:t>
      </w:r>
      <w:r w:rsidRPr="00124151">
        <w:rPr>
          <w:sz w:val="24"/>
          <w:szCs w:val="24"/>
          <w:lang w:val="cs-CZ"/>
        </w:rPr>
        <w:t xml:space="preserve">průběhu </w:t>
      </w:r>
      <w:r w:rsidR="00273CB6" w:rsidRPr="00124151">
        <w:rPr>
          <w:sz w:val="24"/>
          <w:szCs w:val="24"/>
          <w:lang w:val="cs-CZ"/>
        </w:rPr>
        <w:t>let 2019 a 2020, tedy v době, kdy se bude dok</w:t>
      </w:r>
      <w:r w:rsidR="00124151">
        <w:rPr>
          <w:sz w:val="24"/>
          <w:szCs w:val="24"/>
          <w:lang w:val="cs-CZ"/>
        </w:rPr>
        <w:t>ončovat stavba celého JHR a také</w:t>
      </w:r>
      <w:r w:rsidR="00273CB6" w:rsidRPr="00124151">
        <w:rPr>
          <w:sz w:val="24"/>
          <w:szCs w:val="24"/>
          <w:lang w:val="cs-CZ"/>
        </w:rPr>
        <w:t xml:space="preserve"> budou probíhat přípravné experiment</w:t>
      </w:r>
      <w:r w:rsidR="00A375F1" w:rsidRPr="00124151">
        <w:rPr>
          <w:sz w:val="24"/>
          <w:szCs w:val="24"/>
          <w:lang w:val="cs-CZ"/>
        </w:rPr>
        <w:t>y</w:t>
      </w:r>
      <w:r w:rsidR="00124151">
        <w:rPr>
          <w:sz w:val="24"/>
          <w:szCs w:val="24"/>
          <w:lang w:val="cs-CZ"/>
        </w:rPr>
        <w:t xml:space="preserve"> na reaktoru LVR-</w:t>
      </w:r>
      <w:r w:rsidR="00273CB6" w:rsidRPr="00124151">
        <w:rPr>
          <w:sz w:val="24"/>
          <w:szCs w:val="24"/>
          <w:lang w:val="cs-CZ"/>
        </w:rPr>
        <w:t>15.</w:t>
      </w:r>
    </w:p>
    <w:p w14:paraId="43510BDA" w14:textId="77777777" w:rsidR="008507EA" w:rsidRPr="00124151" w:rsidRDefault="008507EA" w:rsidP="0012415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</w:p>
    <w:p w14:paraId="17408430" w14:textId="77777777" w:rsidR="0006344E" w:rsidRPr="00124151" w:rsidRDefault="0006344E" w:rsidP="00124151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cs="SwiftCom-Regular"/>
          <w:sz w:val="24"/>
          <w:szCs w:val="24"/>
          <w:lang w:val="cs-CZ"/>
        </w:rPr>
      </w:pPr>
    </w:p>
    <w:p w14:paraId="211BDEAF" w14:textId="56C5137E" w:rsidR="00BB6C65" w:rsidRPr="00124151" w:rsidRDefault="00E402D6" w:rsidP="00124151">
      <w:pPr>
        <w:pStyle w:val="Odstavecseseznamem"/>
        <w:keepNext/>
        <w:spacing w:after="240" w:line="240" w:lineRule="auto"/>
        <w:ind w:left="0"/>
        <w:contextualSpacing w:val="0"/>
        <w:rPr>
          <w:b/>
          <w:sz w:val="28"/>
          <w:szCs w:val="28"/>
          <w:lang w:val="cs-CZ"/>
        </w:rPr>
      </w:pPr>
      <w:r w:rsidRPr="00124151">
        <w:rPr>
          <w:b/>
          <w:sz w:val="28"/>
          <w:szCs w:val="28"/>
          <w:lang w:val="cs-CZ"/>
        </w:rPr>
        <w:lastRenderedPageBreak/>
        <w:t>VI</w:t>
      </w:r>
      <w:r w:rsidR="00BB6C65" w:rsidRPr="00124151">
        <w:rPr>
          <w:b/>
          <w:sz w:val="28"/>
          <w:szCs w:val="28"/>
          <w:lang w:val="cs-CZ"/>
        </w:rPr>
        <w:t xml:space="preserve">. </w:t>
      </w:r>
      <w:r w:rsidR="00E1109D" w:rsidRPr="00124151">
        <w:rPr>
          <w:b/>
          <w:sz w:val="28"/>
          <w:szCs w:val="28"/>
          <w:lang w:val="cs-CZ"/>
        </w:rPr>
        <w:t>P</w:t>
      </w:r>
      <w:r w:rsidR="00124151">
        <w:rPr>
          <w:b/>
          <w:sz w:val="28"/>
          <w:szCs w:val="28"/>
          <w:lang w:val="cs-CZ"/>
        </w:rPr>
        <w:t>roveditelnost a řízení</w:t>
      </w:r>
    </w:p>
    <w:p w14:paraId="779A782E" w14:textId="66A99857" w:rsidR="00E25F13" w:rsidRPr="00F26E05" w:rsidRDefault="00E25F13" w:rsidP="00F26E0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>CEA jakožto operátor a majoritní vlastník reaktoru má závazky z hlediska posouzení jaderné bezpečnosti zařízení a hladkého provozu reaktoru. Č</w:t>
      </w:r>
      <w:r w:rsidR="00EE7504">
        <w:rPr>
          <w:sz w:val="24"/>
          <w:szCs w:val="24"/>
          <w:lang w:val="cs-CZ"/>
        </w:rPr>
        <w:t>R</w:t>
      </w:r>
      <w:r w:rsidRPr="00F26E05">
        <w:rPr>
          <w:sz w:val="24"/>
          <w:szCs w:val="24"/>
          <w:lang w:val="cs-CZ"/>
        </w:rPr>
        <w:t xml:space="preserve"> má zastoupení v řídících orgánech konsorcia i v pracovních skupinách, připravujíc</w:t>
      </w:r>
      <w:r w:rsidR="00EE7504">
        <w:rPr>
          <w:sz w:val="24"/>
          <w:szCs w:val="24"/>
          <w:lang w:val="cs-CZ"/>
        </w:rPr>
        <w:t>ích témata výzkumu na reaktoru.</w:t>
      </w:r>
    </w:p>
    <w:p w14:paraId="7C0167C8" w14:textId="619ABF6C" w:rsidR="00065DF1" w:rsidRPr="00F26E05" w:rsidRDefault="00E25F13" w:rsidP="00EE750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>V </w:t>
      </w:r>
      <w:r w:rsidR="00273CB6" w:rsidRPr="00F26E05">
        <w:rPr>
          <w:sz w:val="24"/>
          <w:szCs w:val="24"/>
          <w:lang w:val="cs-CZ"/>
        </w:rPr>
        <w:t>Řídícím</w:t>
      </w:r>
      <w:r w:rsidRPr="00F26E05">
        <w:rPr>
          <w:sz w:val="24"/>
          <w:szCs w:val="24"/>
          <w:lang w:val="cs-CZ"/>
        </w:rPr>
        <w:t xml:space="preserve"> výboru</w:t>
      </w:r>
      <w:r w:rsidR="00065DF1" w:rsidRPr="00F26E05">
        <w:rPr>
          <w:sz w:val="24"/>
          <w:szCs w:val="24"/>
          <w:lang w:val="cs-CZ"/>
        </w:rPr>
        <w:t xml:space="preserve"> (</w:t>
      </w:r>
      <w:proofErr w:type="spellStart"/>
      <w:r w:rsidR="00065DF1" w:rsidRPr="00F26E05">
        <w:rPr>
          <w:sz w:val="24"/>
          <w:szCs w:val="24"/>
          <w:lang w:val="cs-CZ"/>
        </w:rPr>
        <w:t>Governing</w:t>
      </w:r>
      <w:proofErr w:type="spellEnd"/>
      <w:r w:rsidR="00065DF1" w:rsidRPr="00F26E05">
        <w:rPr>
          <w:sz w:val="24"/>
          <w:szCs w:val="24"/>
          <w:lang w:val="cs-CZ"/>
        </w:rPr>
        <w:t xml:space="preserve"> </w:t>
      </w:r>
      <w:proofErr w:type="spellStart"/>
      <w:r w:rsidR="00065DF1" w:rsidRPr="00F26E05">
        <w:rPr>
          <w:sz w:val="24"/>
          <w:szCs w:val="24"/>
          <w:lang w:val="cs-CZ"/>
        </w:rPr>
        <w:t>board</w:t>
      </w:r>
      <w:proofErr w:type="spellEnd"/>
      <w:r w:rsidR="00065DF1" w:rsidRPr="00F26E05">
        <w:rPr>
          <w:sz w:val="24"/>
          <w:szCs w:val="24"/>
          <w:lang w:val="cs-CZ"/>
        </w:rPr>
        <w:t>)</w:t>
      </w:r>
      <w:r w:rsidRPr="00F26E05">
        <w:rPr>
          <w:sz w:val="24"/>
          <w:szCs w:val="24"/>
          <w:lang w:val="cs-CZ"/>
        </w:rPr>
        <w:t xml:space="preserve"> </w:t>
      </w:r>
      <w:r w:rsidR="00EE7504">
        <w:rPr>
          <w:sz w:val="24"/>
          <w:szCs w:val="24"/>
          <w:lang w:val="cs-CZ"/>
        </w:rPr>
        <w:t>JHR</w:t>
      </w:r>
      <w:r w:rsidRPr="00F26E05">
        <w:rPr>
          <w:sz w:val="24"/>
          <w:szCs w:val="24"/>
          <w:lang w:val="cs-CZ"/>
        </w:rPr>
        <w:t xml:space="preserve"> zastupují ČR Jiří Žďárek (ÚJV), který mu předsedá</w:t>
      </w:r>
      <w:r w:rsidR="00EE7504">
        <w:rPr>
          <w:sz w:val="24"/>
          <w:szCs w:val="24"/>
          <w:lang w:val="cs-CZ"/>
        </w:rPr>
        <w:t>,</w:t>
      </w:r>
      <w:r w:rsidRPr="00F26E05">
        <w:rPr>
          <w:sz w:val="24"/>
          <w:szCs w:val="24"/>
          <w:lang w:val="cs-CZ"/>
        </w:rPr>
        <w:t xml:space="preserve"> a</w:t>
      </w:r>
      <w:r w:rsidR="00EE7504">
        <w:rPr>
          <w:sz w:val="24"/>
          <w:szCs w:val="24"/>
          <w:lang w:val="cs-CZ"/>
        </w:rPr>
        <w:t> </w:t>
      </w:r>
      <w:r w:rsidRPr="00F26E05">
        <w:rPr>
          <w:sz w:val="24"/>
          <w:szCs w:val="24"/>
          <w:lang w:val="cs-CZ"/>
        </w:rPr>
        <w:t xml:space="preserve">Martin </w:t>
      </w:r>
      <w:proofErr w:type="spellStart"/>
      <w:r w:rsidRPr="00F26E05">
        <w:rPr>
          <w:sz w:val="24"/>
          <w:szCs w:val="24"/>
          <w:lang w:val="cs-CZ"/>
        </w:rPr>
        <w:t>Ruščák</w:t>
      </w:r>
      <w:proofErr w:type="spellEnd"/>
      <w:r w:rsidRPr="00F26E05">
        <w:rPr>
          <w:sz w:val="24"/>
          <w:szCs w:val="24"/>
          <w:lang w:val="cs-CZ"/>
        </w:rPr>
        <w:t xml:space="preserve"> (CVŘ). Řídící výbor posuzuje stav a pokrok stavby a finanční zprávu. Pravidelné setkání tzv. Technického semináře probíhá každoročně a výzkumní pracovníci a inženýři </w:t>
      </w:r>
      <w:r w:rsidR="00EE7504">
        <w:rPr>
          <w:sz w:val="24"/>
          <w:szCs w:val="24"/>
          <w:lang w:val="cs-CZ"/>
        </w:rPr>
        <w:t xml:space="preserve">jsou </w:t>
      </w:r>
      <w:r w:rsidRPr="00F26E05">
        <w:rPr>
          <w:sz w:val="24"/>
          <w:szCs w:val="24"/>
          <w:lang w:val="cs-CZ"/>
        </w:rPr>
        <w:t>na něm informováni o pokroku prací a stavu připravenosti jedno</w:t>
      </w:r>
      <w:r w:rsidR="00EE7504">
        <w:rPr>
          <w:sz w:val="24"/>
          <w:szCs w:val="24"/>
          <w:lang w:val="cs-CZ"/>
        </w:rPr>
        <w:t>tlivých měřících přístrojů JHR.</w:t>
      </w:r>
    </w:p>
    <w:p w14:paraId="5CF75339" w14:textId="7EBD5642" w:rsidR="00E25F13" w:rsidRPr="00F26E05" w:rsidRDefault="00065DF1" w:rsidP="00EE750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>Současně byly ustanoveny tři pracovní skupiny pro stanovení priorit výzkumu a také posouzení vhodnosti konstrukce jednotlivých zařízení (sond), které budou vkládány pro měření v JHR.</w:t>
      </w:r>
      <w:r w:rsidR="00E25F13" w:rsidRPr="00F26E05">
        <w:rPr>
          <w:sz w:val="24"/>
          <w:szCs w:val="24"/>
          <w:lang w:val="cs-CZ"/>
        </w:rPr>
        <w:t xml:space="preserve"> </w:t>
      </w:r>
      <w:r w:rsidRPr="00F26E05">
        <w:rPr>
          <w:sz w:val="24"/>
          <w:szCs w:val="24"/>
          <w:lang w:val="cs-CZ"/>
        </w:rPr>
        <w:t>Jsou to</w:t>
      </w:r>
      <w:r w:rsidR="00EE7504">
        <w:rPr>
          <w:sz w:val="24"/>
          <w:szCs w:val="24"/>
          <w:lang w:val="cs-CZ"/>
        </w:rPr>
        <w:t>:</w:t>
      </w:r>
      <w:r w:rsidRPr="00F26E05">
        <w:rPr>
          <w:sz w:val="24"/>
          <w:szCs w:val="24"/>
          <w:lang w:val="cs-CZ"/>
        </w:rPr>
        <w:t xml:space="preserve"> pracovní skupina pro výzkum paliva, pracovní skupina pro studium materiálů a</w:t>
      </w:r>
      <w:r w:rsidR="00EE7504">
        <w:rPr>
          <w:sz w:val="24"/>
          <w:szCs w:val="24"/>
          <w:lang w:val="cs-CZ"/>
        </w:rPr>
        <w:t> </w:t>
      </w:r>
      <w:r w:rsidRPr="00F26E05">
        <w:rPr>
          <w:sz w:val="24"/>
          <w:szCs w:val="24"/>
          <w:lang w:val="cs-CZ"/>
        </w:rPr>
        <w:t>pracovní skupina pro instrumentaci.</w:t>
      </w:r>
    </w:p>
    <w:p w14:paraId="17409D62" w14:textId="7B586C12" w:rsidR="007110F9" w:rsidRPr="00F26E05" w:rsidRDefault="007110F9" w:rsidP="00EE750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 xml:space="preserve">Mezinárodní rada </w:t>
      </w:r>
      <w:r w:rsidR="00EE7504">
        <w:rPr>
          <w:sz w:val="24"/>
          <w:szCs w:val="24"/>
          <w:lang w:val="cs-CZ"/>
        </w:rPr>
        <w:t>JHR</w:t>
      </w:r>
      <w:r w:rsidRPr="00F26E05">
        <w:rPr>
          <w:sz w:val="24"/>
          <w:szCs w:val="24"/>
          <w:lang w:val="cs-CZ"/>
        </w:rPr>
        <w:t xml:space="preserve"> (IAG) je podpůrným orgánem manažera </w:t>
      </w:r>
      <w:r w:rsidR="00EE7504">
        <w:rPr>
          <w:sz w:val="24"/>
          <w:szCs w:val="24"/>
          <w:lang w:val="cs-CZ"/>
        </w:rPr>
        <w:t>JHR</w:t>
      </w:r>
      <w:r w:rsidRPr="00F26E05">
        <w:rPr>
          <w:sz w:val="24"/>
          <w:szCs w:val="24"/>
          <w:lang w:val="cs-CZ"/>
        </w:rPr>
        <w:t>.</w:t>
      </w:r>
    </w:p>
    <w:p w14:paraId="1D72EBC7" w14:textId="5890A40B" w:rsidR="007110F9" w:rsidRPr="00F26E05" w:rsidRDefault="007110F9" w:rsidP="00EE7504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 xml:space="preserve">Česká část </w:t>
      </w:r>
      <w:r w:rsidR="00EE7504">
        <w:rPr>
          <w:sz w:val="24"/>
          <w:szCs w:val="24"/>
          <w:lang w:val="cs-CZ"/>
        </w:rPr>
        <w:t>JHR</w:t>
      </w:r>
      <w:r w:rsidRPr="00F26E05">
        <w:rPr>
          <w:sz w:val="24"/>
          <w:szCs w:val="24"/>
          <w:lang w:val="cs-CZ"/>
        </w:rPr>
        <w:t xml:space="preserve"> je </w:t>
      </w:r>
      <w:r w:rsidR="00EE7504">
        <w:rPr>
          <w:sz w:val="24"/>
          <w:szCs w:val="24"/>
          <w:lang w:val="cs-CZ"/>
        </w:rPr>
        <w:t>řízena standard</w:t>
      </w:r>
      <w:r w:rsidRPr="00F26E05">
        <w:rPr>
          <w:sz w:val="24"/>
          <w:szCs w:val="24"/>
          <w:lang w:val="cs-CZ"/>
        </w:rPr>
        <w:t xml:space="preserve">ním projektovým řízením. Velmi důležitá je v tomto projektu funkce QA, která posuzuje soulad </w:t>
      </w:r>
      <w:r w:rsidR="00C52FE1">
        <w:rPr>
          <w:sz w:val="24"/>
          <w:szCs w:val="24"/>
          <w:lang w:val="cs-CZ"/>
        </w:rPr>
        <w:t>dodávek s francouzskými standardy a požadavky.</w:t>
      </w:r>
    </w:p>
    <w:p w14:paraId="5CCBE597" w14:textId="14D1670F" w:rsidR="007110F9" w:rsidRPr="00F26E05" w:rsidRDefault="007110F9" w:rsidP="00C52FE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>Během dokončování st</w:t>
      </w:r>
      <w:r w:rsidR="00C52FE1">
        <w:rPr>
          <w:sz w:val="24"/>
          <w:szCs w:val="24"/>
          <w:lang w:val="cs-CZ"/>
        </w:rPr>
        <w:t>avby JHR bude na reaktoru LVR-</w:t>
      </w:r>
      <w:r w:rsidRPr="00F26E05">
        <w:rPr>
          <w:sz w:val="24"/>
          <w:szCs w:val="24"/>
          <w:lang w:val="cs-CZ"/>
        </w:rPr>
        <w:t xml:space="preserve">15 prováděno školení </w:t>
      </w:r>
      <w:r w:rsidR="00C52FE1">
        <w:rPr>
          <w:sz w:val="24"/>
          <w:szCs w:val="24"/>
          <w:lang w:val="cs-CZ"/>
        </w:rPr>
        <w:t xml:space="preserve">výzkumných pracovníků </w:t>
      </w:r>
      <w:r w:rsidRPr="00F26E05">
        <w:rPr>
          <w:sz w:val="24"/>
          <w:szCs w:val="24"/>
          <w:lang w:val="cs-CZ"/>
        </w:rPr>
        <w:t xml:space="preserve">včetně studentů na různém stupni terciárního studia a dále </w:t>
      </w:r>
      <w:r w:rsidR="00C52FE1">
        <w:rPr>
          <w:sz w:val="24"/>
          <w:szCs w:val="24"/>
          <w:lang w:val="cs-CZ"/>
        </w:rPr>
        <w:t xml:space="preserve">připravováno </w:t>
      </w:r>
      <w:r w:rsidRPr="00F26E05">
        <w:rPr>
          <w:sz w:val="24"/>
          <w:szCs w:val="24"/>
          <w:lang w:val="cs-CZ"/>
        </w:rPr>
        <w:t xml:space="preserve">určité množství přípravných experimentů tak, aby po </w:t>
      </w:r>
      <w:r w:rsidR="006230BA">
        <w:rPr>
          <w:sz w:val="24"/>
          <w:szCs w:val="24"/>
          <w:lang w:val="cs-CZ"/>
        </w:rPr>
        <w:t xml:space="preserve">zahájení </w:t>
      </w:r>
      <w:r w:rsidRPr="00F26E05">
        <w:rPr>
          <w:sz w:val="24"/>
          <w:szCs w:val="24"/>
          <w:lang w:val="cs-CZ"/>
        </w:rPr>
        <w:t>operační fáze bylo možno přejít s vyškoleným personálem a vytyčenými prioritami na měření na rektoru JHR.</w:t>
      </w:r>
    </w:p>
    <w:p w14:paraId="7ED22958" w14:textId="6216D8D6" w:rsidR="001E3F8A" w:rsidRPr="00F26E05" w:rsidRDefault="007110F9" w:rsidP="00C52FE1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  <w:r w:rsidRPr="00F26E05">
        <w:rPr>
          <w:sz w:val="24"/>
          <w:szCs w:val="24"/>
          <w:lang w:val="cs-CZ"/>
        </w:rPr>
        <w:t xml:space="preserve">Ve fázi operační pak bude CVŘ ve funkci organizace, která umožňuje přístup k infrastruktuře </w:t>
      </w:r>
      <w:r w:rsidR="00C52FE1">
        <w:rPr>
          <w:sz w:val="24"/>
          <w:szCs w:val="24"/>
          <w:lang w:val="cs-CZ"/>
        </w:rPr>
        <w:t xml:space="preserve">výzkumným </w:t>
      </w:r>
      <w:r w:rsidRPr="00F26E05">
        <w:rPr>
          <w:sz w:val="24"/>
          <w:szCs w:val="24"/>
          <w:lang w:val="cs-CZ"/>
        </w:rPr>
        <w:t>organizacím v rozsahu kapacity přidělené Č</w:t>
      </w:r>
      <w:r w:rsidR="00C52FE1">
        <w:rPr>
          <w:sz w:val="24"/>
          <w:szCs w:val="24"/>
          <w:lang w:val="cs-CZ"/>
        </w:rPr>
        <w:t>R</w:t>
      </w:r>
      <w:r w:rsidRPr="00F26E05">
        <w:rPr>
          <w:sz w:val="24"/>
          <w:szCs w:val="24"/>
          <w:lang w:val="cs-CZ"/>
        </w:rPr>
        <w:t>. Řízení této části bude pomocí vyhlášení výzvy na webu CVŘ a také webu ERA portálu (popř. jiném v té době veřejně dostupném portálu navštěvovaném českými výzkumnými pracovníky), dále hodnocení návrhů projektů panelem expertů a vysláním výzkumných pracovníků</w:t>
      </w:r>
      <w:r w:rsidR="001E3F8A" w:rsidRPr="00F26E05">
        <w:rPr>
          <w:sz w:val="24"/>
          <w:szCs w:val="24"/>
          <w:lang w:val="cs-CZ"/>
        </w:rPr>
        <w:t xml:space="preserve"> do Francie, popř. zadáním měření na výzkumné infrastruktuře ve Francii.</w:t>
      </w:r>
    </w:p>
    <w:p w14:paraId="27DE97AA" w14:textId="4B280CBE" w:rsidR="001E3F8A" w:rsidRPr="00F26E05" w:rsidRDefault="001E3F8A" w:rsidP="00C52FE1">
      <w:pPr>
        <w:spacing w:after="120" w:line="240" w:lineRule="auto"/>
        <w:ind w:firstLine="426"/>
        <w:jc w:val="both"/>
        <w:rPr>
          <w:rFonts w:eastAsia="Times New Roman" w:cs="Times New Roman"/>
          <w:sz w:val="24"/>
          <w:szCs w:val="24"/>
          <w:lang w:val="cs-CZ" w:eastAsia="cs-CZ"/>
        </w:rPr>
      </w:pPr>
      <w:r w:rsidRPr="00F26E05">
        <w:rPr>
          <w:sz w:val="24"/>
          <w:szCs w:val="24"/>
          <w:lang w:val="cs-CZ"/>
        </w:rPr>
        <w:t xml:space="preserve">Celkové řízení JHR bylo poznamenáno několika faktory. Především </w:t>
      </w:r>
      <w:r w:rsidR="00C52FE1">
        <w:rPr>
          <w:sz w:val="24"/>
          <w:szCs w:val="24"/>
          <w:lang w:val="cs-CZ"/>
        </w:rPr>
        <w:t xml:space="preserve">se </w:t>
      </w:r>
      <w:r w:rsidR="00C52FE1" w:rsidRPr="00F26E05">
        <w:rPr>
          <w:sz w:val="24"/>
          <w:szCs w:val="24"/>
          <w:lang w:val="cs-CZ"/>
        </w:rPr>
        <w:t xml:space="preserve">v Evropě </w:t>
      </w:r>
      <w:r w:rsidR="00C52FE1">
        <w:rPr>
          <w:sz w:val="24"/>
          <w:szCs w:val="24"/>
          <w:lang w:val="cs-CZ"/>
        </w:rPr>
        <w:t>projevila</w:t>
      </w:r>
      <w:r w:rsidRPr="00F26E05">
        <w:rPr>
          <w:sz w:val="24"/>
          <w:szCs w:val="24"/>
          <w:lang w:val="cs-CZ"/>
        </w:rPr>
        <w:t xml:space="preserve"> během výstavby JHR ekon</w:t>
      </w:r>
      <w:r w:rsidR="00CD5C70" w:rsidRPr="00F26E05">
        <w:rPr>
          <w:sz w:val="24"/>
          <w:szCs w:val="24"/>
          <w:lang w:val="cs-CZ"/>
        </w:rPr>
        <w:t xml:space="preserve">omická krize a některé státy </w:t>
      </w:r>
      <w:r w:rsidRPr="00F26E05">
        <w:rPr>
          <w:sz w:val="24"/>
          <w:szCs w:val="24"/>
          <w:lang w:val="cs-CZ"/>
        </w:rPr>
        <w:t xml:space="preserve">byly </w:t>
      </w:r>
      <w:r w:rsidR="00CD5C70" w:rsidRPr="00F26E05">
        <w:rPr>
          <w:sz w:val="24"/>
          <w:szCs w:val="24"/>
          <w:lang w:val="cs-CZ"/>
        </w:rPr>
        <w:t xml:space="preserve">méně </w:t>
      </w:r>
      <w:r w:rsidRPr="00F26E05">
        <w:rPr>
          <w:sz w:val="24"/>
          <w:szCs w:val="24"/>
          <w:lang w:val="cs-CZ"/>
        </w:rPr>
        <w:t>ochotn</w:t>
      </w:r>
      <w:r w:rsidR="00C52FE1">
        <w:rPr>
          <w:sz w:val="24"/>
          <w:szCs w:val="24"/>
          <w:lang w:val="cs-CZ"/>
        </w:rPr>
        <w:t>é</w:t>
      </w:r>
      <w:r w:rsidRPr="00F26E05">
        <w:rPr>
          <w:sz w:val="24"/>
          <w:szCs w:val="24"/>
          <w:lang w:val="cs-CZ"/>
        </w:rPr>
        <w:t xml:space="preserve"> investovat do stavby výzkumné infrastruktury. Tím se výstavba reaktoru zpozdila. Zpoždění výstavby znamenalo však také navýšení jeho rozpočtu. 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Původní termín spuštění reaktoru, který byl až do března 2014 prezentován francouzskými partnery na konec roku 2017,</w:t>
      </w:r>
      <w:r w:rsidR="00CD5C70" w:rsidRPr="00F26E05">
        <w:rPr>
          <w:rFonts w:eastAsia="Times New Roman" w:cs="Times New Roman"/>
          <w:sz w:val="24"/>
          <w:szCs w:val="24"/>
          <w:lang w:val="cs-CZ" w:eastAsia="cs-CZ"/>
        </w:rPr>
        <w:t xml:space="preserve"> byl posunut do poloviny roku 2020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 xml:space="preserve">. Zároveň bylo konsorciem oznámeno navýšení </w:t>
      </w:r>
      <w:r w:rsidR="00CD5C70" w:rsidRPr="00F26E05">
        <w:rPr>
          <w:rFonts w:eastAsia="Times New Roman" w:cs="Times New Roman"/>
          <w:sz w:val="24"/>
          <w:szCs w:val="24"/>
          <w:lang w:val="cs-CZ" w:eastAsia="cs-CZ"/>
        </w:rPr>
        <w:t xml:space="preserve">celkového </w:t>
      </w:r>
      <w:r w:rsidR="00C52FE1">
        <w:rPr>
          <w:rFonts w:eastAsia="Times New Roman" w:cs="Times New Roman"/>
          <w:sz w:val="24"/>
          <w:szCs w:val="24"/>
          <w:lang w:val="cs-CZ" w:eastAsia="cs-CZ"/>
        </w:rPr>
        <w:t xml:space="preserve">rozpočtu z původních 500 mil. EUR 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 xml:space="preserve">na 1000 </w:t>
      </w:r>
      <w:r w:rsidR="00C52FE1">
        <w:rPr>
          <w:rFonts w:eastAsia="Times New Roman" w:cs="Times New Roman"/>
          <w:sz w:val="24"/>
          <w:szCs w:val="24"/>
          <w:lang w:val="cs-CZ" w:eastAsia="cs-CZ"/>
        </w:rPr>
        <w:t>mil. EUR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 xml:space="preserve">. Navýšení rozpočtu se nevyhnulo ani české části </w:t>
      </w:r>
      <w:r w:rsidR="00C52FE1">
        <w:rPr>
          <w:rFonts w:eastAsia="Times New Roman" w:cs="Times New Roman"/>
          <w:sz w:val="24"/>
          <w:szCs w:val="24"/>
          <w:lang w:val="cs-CZ" w:eastAsia="cs-CZ"/>
        </w:rPr>
        <w:t>JHR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.</w:t>
      </w:r>
      <w:r w:rsidRPr="00F26E05">
        <w:rPr>
          <w:rFonts w:cs="Times New Roman"/>
          <w:sz w:val="24"/>
          <w:szCs w:val="24"/>
          <w:lang w:val="cs-CZ"/>
        </w:rPr>
        <w:t xml:space="preserve"> Původní rozpočet dodávky horkých komor byl vytvořen na základě </w:t>
      </w:r>
      <w:r w:rsidR="006230BA">
        <w:rPr>
          <w:rFonts w:cs="Times New Roman"/>
          <w:sz w:val="24"/>
          <w:szCs w:val="24"/>
          <w:lang w:val="cs-CZ"/>
        </w:rPr>
        <w:t xml:space="preserve">kvalifikovaných </w:t>
      </w:r>
      <w:r w:rsidRPr="00F26E05">
        <w:rPr>
          <w:rFonts w:cs="Times New Roman"/>
          <w:sz w:val="24"/>
          <w:szCs w:val="24"/>
          <w:lang w:val="cs-CZ"/>
        </w:rPr>
        <w:t>odhadů postavených na základním technickém návrhu. V průběhu vývojových prací musel být základní návrh v mnoha aspektech několikrát změněn</w:t>
      </w:r>
      <w:r w:rsidR="006230BA">
        <w:rPr>
          <w:rFonts w:cs="Times New Roman"/>
          <w:sz w:val="24"/>
          <w:szCs w:val="24"/>
          <w:lang w:val="cs-CZ"/>
        </w:rPr>
        <w:t xml:space="preserve">. Tyto </w:t>
      </w:r>
      <w:r w:rsidRPr="00F26E05">
        <w:rPr>
          <w:rFonts w:cs="Times New Roman"/>
          <w:sz w:val="24"/>
          <w:szCs w:val="24"/>
          <w:lang w:val="cs-CZ"/>
        </w:rPr>
        <w:t xml:space="preserve">změny </w:t>
      </w:r>
      <w:r w:rsidR="006230BA">
        <w:rPr>
          <w:rFonts w:cs="Times New Roman"/>
          <w:sz w:val="24"/>
          <w:szCs w:val="24"/>
          <w:lang w:val="cs-CZ"/>
        </w:rPr>
        <w:t xml:space="preserve">byly vynuceny změnami </w:t>
      </w:r>
      <w:r w:rsidRPr="00F26E05">
        <w:rPr>
          <w:rFonts w:cs="Times New Roman"/>
          <w:sz w:val="24"/>
          <w:szCs w:val="24"/>
          <w:lang w:val="cs-CZ"/>
        </w:rPr>
        <w:t>technologií</w:t>
      </w:r>
      <w:r w:rsidR="006230BA">
        <w:rPr>
          <w:rFonts w:cs="Times New Roman"/>
          <w:sz w:val="24"/>
          <w:szCs w:val="24"/>
          <w:lang w:val="cs-CZ"/>
        </w:rPr>
        <w:t xml:space="preserve">, které měly dopad také na </w:t>
      </w:r>
      <w:r w:rsidR="005E0CB4">
        <w:rPr>
          <w:rFonts w:cs="Times New Roman"/>
          <w:sz w:val="24"/>
          <w:szCs w:val="24"/>
          <w:lang w:val="cs-CZ"/>
        </w:rPr>
        <w:t>změnu detailního řešení.</w:t>
      </w:r>
    </w:p>
    <w:p w14:paraId="216D2B3A" w14:textId="77777777" w:rsidR="001E3F8A" w:rsidRPr="00F26E05" w:rsidRDefault="001E3F8A" w:rsidP="005A6553">
      <w:pPr>
        <w:spacing w:after="60" w:line="240" w:lineRule="auto"/>
        <w:ind w:firstLine="420"/>
        <w:jc w:val="both"/>
        <w:rPr>
          <w:rFonts w:eastAsia="Times New Roman" w:cs="Times New Roman"/>
          <w:sz w:val="24"/>
          <w:szCs w:val="24"/>
          <w:lang w:val="cs-CZ" w:eastAsia="cs-CZ"/>
        </w:rPr>
      </w:pPr>
      <w:r w:rsidRPr="00F26E05">
        <w:rPr>
          <w:rFonts w:eastAsia="Times New Roman" w:cs="Times New Roman"/>
          <w:sz w:val="24"/>
          <w:szCs w:val="24"/>
          <w:lang w:val="cs-CZ" w:eastAsia="cs-CZ"/>
        </w:rPr>
        <w:t>CVŘ vyvinulo v posledních letech značné úsilí o snížení nákladů a získání zdrojů mimo veřejný rozpočet, zejména:</w:t>
      </w:r>
    </w:p>
    <w:p w14:paraId="74201B12" w14:textId="3ED09E78" w:rsidR="001E3F8A" w:rsidRPr="00F26E05" w:rsidRDefault="001E3F8A" w:rsidP="005A6553">
      <w:pPr>
        <w:pStyle w:val="Odstavecseseznamem"/>
        <w:numPr>
          <w:ilvl w:val="0"/>
          <w:numId w:val="22"/>
        </w:numPr>
        <w:spacing w:after="60" w:line="240" w:lineRule="auto"/>
        <w:ind w:left="851" w:hanging="284"/>
        <w:contextualSpacing w:val="0"/>
        <w:jc w:val="both"/>
        <w:rPr>
          <w:rFonts w:eastAsia="Times New Roman" w:cs="Times New Roman"/>
          <w:sz w:val="24"/>
          <w:szCs w:val="24"/>
          <w:lang w:val="cs-CZ" w:eastAsia="cs-CZ"/>
        </w:rPr>
      </w:pPr>
      <w:r w:rsidRPr="00F26E05">
        <w:rPr>
          <w:rFonts w:eastAsia="Times New Roman" w:cs="Times New Roman"/>
          <w:sz w:val="24"/>
          <w:szCs w:val="24"/>
          <w:lang w:val="cs-CZ" w:eastAsia="cs-CZ"/>
        </w:rPr>
        <w:t>Dohodou s CEA o zmenšení rozsahu prací o cca 1</w:t>
      </w:r>
      <w:r w:rsidR="005F7500">
        <w:rPr>
          <w:rFonts w:eastAsia="Times New Roman" w:cs="Times New Roman"/>
          <w:sz w:val="24"/>
          <w:szCs w:val="24"/>
          <w:lang w:val="cs-CZ" w:eastAsia="cs-CZ"/>
        </w:rPr>
        <w:t>5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 xml:space="preserve"> 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>mil. EUR.</w:t>
      </w:r>
    </w:p>
    <w:p w14:paraId="0EBB7AED" w14:textId="2B38583C" w:rsidR="001E3F8A" w:rsidRPr="00F26E05" w:rsidRDefault="001E3F8A" w:rsidP="005A6553">
      <w:pPr>
        <w:pStyle w:val="Odstavecseseznamem"/>
        <w:numPr>
          <w:ilvl w:val="0"/>
          <w:numId w:val="22"/>
        </w:numPr>
        <w:spacing w:after="60" w:line="240" w:lineRule="auto"/>
        <w:ind w:left="851" w:hanging="284"/>
        <w:contextualSpacing w:val="0"/>
        <w:jc w:val="both"/>
        <w:rPr>
          <w:rFonts w:eastAsia="Times New Roman" w:cs="Times New Roman"/>
          <w:sz w:val="24"/>
          <w:szCs w:val="24"/>
          <w:lang w:val="cs-CZ" w:eastAsia="cs-CZ"/>
        </w:rPr>
      </w:pPr>
      <w:r w:rsidRPr="00F26E05">
        <w:rPr>
          <w:rFonts w:eastAsia="Times New Roman" w:cs="Times New Roman"/>
          <w:sz w:val="24"/>
          <w:szCs w:val="24"/>
          <w:lang w:val="cs-CZ" w:eastAsia="cs-CZ"/>
        </w:rPr>
        <w:t>Dohodou s CEA o vložení prostředků CEA do české části dodávky (příspěvek CEA je 4,6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> mil. EUR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).</w:t>
      </w:r>
    </w:p>
    <w:p w14:paraId="49679377" w14:textId="6CE80F3D" w:rsidR="001E3F8A" w:rsidRPr="00F26E05" w:rsidRDefault="001E3F8A" w:rsidP="005A6553">
      <w:pPr>
        <w:pStyle w:val="Odstavecseseznamem"/>
        <w:numPr>
          <w:ilvl w:val="0"/>
          <w:numId w:val="22"/>
        </w:numPr>
        <w:spacing w:after="60" w:line="240" w:lineRule="auto"/>
        <w:ind w:left="851" w:hanging="284"/>
        <w:contextualSpacing w:val="0"/>
        <w:jc w:val="both"/>
        <w:rPr>
          <w:rFonts w:eastAsia="Times New Roman" w:cs="Times New Roman"/>
          <w:sz w:val="24"/>
          <w:szCs w:val="24"/>
          <w:lang w:val="cs-CZ" w:eastAsia="cs-CZ"/>
        </w:rPr>
      </w:pPr>
      <w:r w:rsidRPr="00F26E05">
        <w:rPr>
          <w:rFonts w:eastAsia="Times New Roman" w:cs="Times New Roman"/>
          <w:sz w:val="24"/>
          <w:szCs w:val="24"/>
          <w:lang w:val="cs-CZ" w:eastAsia="cs-CZ"/>
        </w:rPr>
        <w:lastRenderedPageBreak/>
        <w:t xml:space="preserve">Částečným </w:t>
      </w:r>
      <w:r w:rsidR="005F7500">
        <w:rPr>
          <w:rFonts w:eastAsia="Times New Roman" w:cs="Times New Roman"/>
          <w:sz w:val="24"/>
          <w:szCs w:val="24"/>
          <w:lang w:val="cs-CZ" w:eastAsia="cs-CZ"/>
        </w:rPr>
        <w:t xml:space="preserve">mimořádným 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financováním z rozpočtu CVŘ a dohodou s mateřskou společn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>ostí ÚJV o </w:t>
      </w:r>
      <w:r w:rsidR="005F7500">
        <w:rPr>
          <w:rFonts w:eastAsia="Times New Roman" w:cs="Times New Roman"/>
          <w:sz w:val="24"/>
          <w:szCs w:val="24"/>
          <w:lang w:val="cs-CZ" w:eastAsia="cs-CZ"/>
        </w:rPr>
        <w:t xml:space="preserve">krizové 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dofinancování prací v roce 2013 poté, co byly vyčerpány prostředky dotace na rok 2013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>, ale bylo již schváleno prodloužení velké infrastruktury JHR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 xml:space="preserve"> vládou ČR </w:t>
      </w:r>
      <w:r w:rsidR="006230BA">
        <w:rPr>
          <w:rFonts w:eastAsia="Times New Roman" w:cs="Times New Roman"/>
          <w:sz w:val="24"/>
          <w:szCs w:val="24"/>
          <w:lang w:val="cs-CZ" w:eastAsia="cs-CZ"/>
        </w:rPr>
        <w:t xml:space="preserve">na další období 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(0,8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> mil. Kč</w:t>
      </w:r>
      <w:r w:rsidRPr="00F26E05">
        <w:rPr>
          <w:rFonts w:eastAsia="Times New Roman" w:cs="Times New Roman"/>
          <w:sz w:val="24"/>
          <w:szCs w:val="24"/>
          <w:lang w:val="cs-CZ" w:eastAsia="cs-CZ"/>
        </w:rPr>
        <w:t>).</w:t>
      </w:r>
    </w:p>
    <w:p w14:paraId="25910D01" w14:textId="69F3988C" w:rsidR="001E3F8A" w:rsidRPr="00F26E05" w:rsidRDefault="005F7500" w:rsidP="005E0CB4">
      <w:pPr>
        <w:pStyle w:val="Odstavecseseznamem"/>
        <w:numPr>
          <w:ilvl w:val="0"/>
          <w:numId w:val="22"/>
        </w:numPr>
        <w:spacing w:after="120" w:line="240" w:lineRule="auto"/>
        <w:ind w:left="851" w:hanging="284"/>
        <w:jc w:val="both"/>
        <w:rPr>
          <w:rFonts w:eastAsia="Times New Roman" w:cs="Times New Roman"/>
          <w:sz w:val="24"/>
          <w:szCs w:val="24"/>
          <w:lang w:val="cs-CZ" w:eastAsia="cs-CZ"/>
        </w:rPr>
      </w:pPr>
      <w:r>
        <w:rPr>
          <w:rFonts w:eastAsia="Times New Roman" w:cs="Times New Roman"/>
          <w:sz w:val="24"/>
          <w:szCs w:val="24"/>
          <w:lang w:val="cs-CZ" w:eastAsia="cs-CZ"/>
        </w:rPr>
        <w:t xml:space="preserve">Získáním souhlasu CEA a </w:t>
      </w:r>
      <w:r>
        <w:rPr>
          <w:rFonts w:eastAsia="Times New Roman" w:cs="Times New Roman"/>
          <w:sz w:val="24"/>
          <w:szCs w:val="24"/>
          <w:lang w:val="cs-CZ" w:eastAsia="cs-CZ"/>
        </w:rPr>
        <w:t>Konsorcia</w:t>
      </w:r>
      <w:r>
        <w:rPr>
          <w:rFonts w:eastAsia="Times New Roman" w:cs="Times New Roman"/>
          <w:sz w:val="24"/>
          <w:szCs w:val="24"/>
          <w:lang w:val="cs-CZ" w:eastAsia="cs-CZ"/>
        </w:rPr>
        <w:t xml:space="preserve"> JHR s n</w:t>
      </w:r>
      <w:r w:rsidR="001E3F8A" w:rsidRPr="00F26E05">
        <w:rPr>
          <w:rFonts w:eastAsia="Times New Roman" w:cs="Times New Roman"/>
          <w:sz w:val="24"/>
          <w:szCs w:val="24"/>
          <w:lang w:val="cs-CZ" w:eastAsia="cs-CZ"/>
        </w:rPr>
        <w:t>avýšení</w:t>
      </w:r>
      <w:r>
        <w:rPr>
          <w:rFonts w:eastAsia="Times New Roman" w:cs="Times New Roman"/>
          <w:sz w:val="24"/>
          <w:szCs w:val="24"/>
          <w:lang w:val="cs-CZ" w:eastAsia="cs-CZ"/>
        </w:rPr>
        <w:t>m</w:t>
      </w:r>
      <w:r w:rsidR="001E3F8A" w:rsidRPr="00F26E05">
        <w:rPr>
          <w:rFonts w:eastAsia="Times New Roman" w:cs="Times New Roman"/>
          <w:sz w:val="24"/>
          <w:szCs w:val="24"/>
          <w:lang w:val="cs-CZ" w:eastAsia="cs-CZ"/>
        </w:rPr>
        <w:t xml:space="preserve"> využitelné kapacity reaktoru </w:t>
      </w:r>
      <w:r w:rsidR="007A186F" w:rsidRPr="00F26E05">
        <w:rPr>
          <w:rFonts w:eastAsia="Times New Roman" w:cs="Times New Roman"/>
          <w:sz w:val="24"/>
          <w:szCs w:val="24"/>
          <w:lang w:val="cs-CZ" w:eastAsia="cs-CZ"/>
        </w:rPr>
        <w:t xml:space="preserve">pro ČR </w:t>
      </w:r>
      <w:r w:rsidR="001E3F8A" w:rsidRPr="00F26E05">
        <w:rPr>
          <w:rFonts w:eastAsia="Times New Roman" w:cs="Times New Roman"/>
          <w:sz w:val="24"/>
          <w:szCs w:val="24"/>
          <w:lang w:val="cs-CZ" w:eastAsia="cs-CZ"/>
        </w:rPr>
        <w:t>o další 1</w:t>
      </w:r>
      <w:r w:rsidR="005E0CB4">
        <w:rPr>
          <w:rFonts w:eastAsia="Times New Roman" w:cs="Times New Roman"/>
          <w:sz w:val="24"/>
          <w:szCs w:val="24"/>
          <w:lang w:val="cs-CZ" w:eastAsia="cs-CZ"/>
        </w:rPr>
        <w:t xml:space="preserve"> </w:t>
      </w:r>
      <w:r w:rsidR="001E3F8A" w:rsidRPr="00F26E05">
        <w:rPr>
          <w:rFonts w:eastAsia="Times New Roman" w:cs="Times New Roman"/>
          <w:sz w:val="24"/>
          <w:szCs w:val="24"/>
          <w:lang w:val="cs-CZ" w:eastAsia="cs-CZ"/>
        </w:rPr>
        <w:t>%.</w:t>
      </w:r>
    </w:p>
    <w:p w14:paraId="6504D16A" w14:textId="1F31FEF1" w:rsidR="007110F9" w:rsidRPr="00F26E05" w:rsidRDefault="007110F9" w:rsidP="00F26E0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</w:p>
    <w:p w14:paraId="04E2C5C0" w14:textId="77777777" w:rsidR="00E25F13" w:rsidRPr="00F26E05" w:rsidRDefault="00E25F13" w:rsidP="00F26E05">
      <w:pPr>
        <w:spacing w:after="120" w:line="240" w:lineRule="auto"/>
        <w:ind w:firstLine="426"/>
        <w:jc w:val="both"/>
        <w:rPr>
          <w:sz w:val="24"/>
          <w:szCs w:val="24"/>
          <w:lang w:val="cs-CZ"/>
        </w:rPr>
      </w:pPr>
    </w:p>
    <w:p w14:paraId="253DCF30" w14:textId="63E018D0" w:rsidR="00F53225" w:rsidRPr="00A1490F" w:rsidRDefault="00E402D6" w:rsidP="00A1490F">
      <w:pPr>
        <w:pStyle w:val="Odstavecseseznamem"/>
        <w:spacing w:after="240" w:line="240" w:lineRule="auto"/>
        <w:ind w:left="0"/>
        <w:contextualSpacing w:val="0"/>
        <w:rPr>
          <w:b/>
          <w:sz w:val="28"/>
          <w:szCs w:val="28"/>
          <w:lang w:val="cs-CZ"/>
        </w:rPr>
      </w:pPr>
      <w:r w:rsidRPr="00A1490F">
        <w:rPr>
          <w:b/>
          <w:sz w:val="28"/>
          <w:szCs w:val="28"/>
          <w:lang w:val="cs-CZ"/>
        </w:rPr>
        <w:t>VII</w:t>
      </w:r>
      <w:r w:rsidR="00BF01AF" w:rsidRPr="00A1490F">
        <w:rPr>
          <w:b/>
          <w:sz w:val="28"/>
          <w:szCs w:val="28"/>
          <w:lang w:val="cs-CZ"/>
        </w:rPr>
        <w:t xml:space="preserve">. </w:t>
      </w:r>
      <w:r w:rsidR="00EF4F77" w:rsidRPr="00A1490F">
        <w:rPr>
          <w:b/>
          <w:sz w:val="28"/>
          <w:szCs w:val="28"/>
          <w:lang w:val="cs-CZ"/>
        </w:rPr>
        <w:t>N</w:t>
      </w:r>
      <w:r w:rsidR="00A1490F">
        <w:rPr>
          <w:b/>
          <w:sz w:val="28"/>
          <w:szCs w:val="28"/>
          <w:lang w:val="cs-CZ"/>
        </w:rPr>
        <w:t>áklady a indikativní rozpočet výzkumné infrastruktury</w:t>
      </w:r>
    </w:p>
    <w:p w14:paraId="3A7325F1" w14:textId="73158CF9" w:rsidR="0006344E" w:rsidRPr="00A1490F" w:rsidRDefault="00A264A7" w:rsidP="00A1490F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cs="Arial"/>
          <w:sz w:val="24"/>
          <w:szCs w:val="24"/>
          <w:lang w:val="cs-CZ"/>
        </w:rPr>
      </w:pPr>
      <w:r w:rsidRPr="00A1490F">
        <w:rPr>
          <w:rFonts w:eastAsia="Times New Roman" w:cs="Times New Roman"/>
          <w:sz w:val="24"/>
          <w:szCs w:val="24"/>
          <w:lang w:val="cs-CZ"/>
        </w:rPr>
        <w:t xml:space="preserve">Příjemce podpory </w:t>
      </w:r>
      <w:r w:rsidR="00A1490F">
        <w:rPr>
          <w:rFonts w:eastAsia="Times New Roman" w:cs="Times New Roman"/>
          <w:sz w:val="24"/>
          <w:szCs w:val="24"/>
          <w:lang w:val="cs-CZ"/>
        </w:rPr>
        <w:t>CVŘ</w:t>
      </w:r>
      <w:r w:rsidRPr="00A1490F">
        <w:rPr>
          <w:rFonts w:eastAsia="Times New Roman" w:cs="Times New Roman"/>
          <w:sz w:val="24"/>
          <w:szCs w:val="24"/>
          <w:lang w:val="cs-CZ"/>
        </w:rPr>
        <w:t xml:space="preserve"> je výzkumnou organizací</w:t>
      </w:r>
      <w:r w:rsidR="006230BA">
        <w:rPr>
          <w:rFonts w:eastAsia="Times New Roman" w:cs="Times New Roman"/>
          <w:sz w:val="24"/>
          <w:szCs w:val="24"/>
          <w:lang w:val="cs-CZ"/>
        </w:rPr>
        <w:t>. C</w:t>
      </w:r>
      <w:r w:rsidRPr="00A1490F">
        <w:rPr>
          <w:rFonts w:eastAsia="Times New Roman" w:cs="Times New Roman"/>
          <w:sz w:val="24"/>
          <w:szCs w:val="24"/>
          <w:lang w:val="cs-CZ"/>
        </w:rPr>
        <w:t xml:space="preserve">VŘ </w:t>
      </w:r>
      <w:r w:rsidR="006230BA">
        <w:rPr>
          <w:rFonts w:eastAsia="Times New Roman" w:cs="Times New Roman"/>
          <w:sz w:val="24"/>
          <w:szCs w:val="24"/>
          <w:lang w:val="cs-CZ"/>
        </w:rPr>
        <w:t xml:space="preserve">bylo takto </w:t>
      </w:r>
      <w:r w:rsidRPr="00A1490F">
        <w:rPr>
          <w:rFonts w:eastAsia="Times New Roman" w:cs="Times New Roman"/>
          <w:sz w:val="24"/>
          <w:szCs w:val="24"/>
          <w:lang w:val="cs-CZ"/>
        </w:rPr>
        <w:t xml:space="preserve">hodnoceno Radou pro výzkum, vývoj a inovace </w:t>
      </w:r>
      <w:r w:rsidR="00A1490F">
        <w:rPr>
          <w:rFonts w:eastAsia="Times New Roman" w:cs="Times New Roman"/>
          <w:sz w:val="24"/>
          <w:szCs w:val="24"/>
          <w:lang w:val="cs-CZ"/>
        </w:rPr>
        <w:t xml:space="preserve">(RVVI) </w:t>
      </w:r>
      <w:r w:rsidRPr="00A1490F">
        <w:rPr>
          <w:rFonts w:eastAsia="Times New Roman" w:cs="Times New Roman"/>
          <w:sz w:val="24"/>
          <w:szCs w:val="24"/>
          <w:lang w:val="cs-CZ"/>
        </w:rPr>
        <w:t>a k 1.</w:t>
      </w:r>
      <w:r w:rsidR="00A1490F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7F118B">
        <w:rPr>
          <w:rFonts w:eastAsia="Times New Roman" w:cs="Times New Roman"/>
          <w:sz w:val="24"/>
          <w:szCs w:val="24"/>
          <w:lang w:val="cs-CZ"/>
        </w:rPr>
        <w:t>lednu</w:t>
      </w:r>
      <w:r w:rsidR="00A1490F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A1490F">
        <w:rPr>
          <w:rFonts w:eastAsia="Times New Roman" w:cs="Times New Roman"/>
          <w:sz w:val="24"/>
          <w:szCs w:val="24"/>
          <w:lang w:val="cs-CZ"/>
        </w:rPr>
        <w:t xml:space="preserve">2015 je CVŘ v seznamu organizací, které RVVI </w:t>
      </w:r>
      <w:r w:rsidRPr="00A1490F">
        <w:rPr>
          <w:rFonts w:cs="Arial"/>
          <w:sz w:val="24"/>
          <w:szCs w:val="24"/>
          <w:lang w:val="cs-CZ"/>
        </w:rPr>
        <w:t>doporučuje jakožto subjekty, které by mohly být považovány za výzkumné org</w:t>
      </w:r>
      <w:r w:rsidR="00565D44" w:rsidRPr="00A1490F">
        <w:rPr>
          <w:rFonts w:cs="Arial"/>
          <w:sz w:val="24"/>
          <w:szCs w:val="24"/>
          <w:lang w:val="cs-CZ"/>
        </w:rPr>
        <w:t xml:space="preserve">anizace, neboť podle názoru RVVI </w:t>
      </w:r>
      <w:r w:rsidRPr="00A1490F">
        <w:rPr>
          <w:rFonts w:cs="Arial"/>
          <w:sz w:val="24"/>
          <w:szCs w:val="24"/>
          <w:lang w:val="cs-CZ"/>
        </w:rPr>
        <w:t xml:space="preserve">splňují požadavky </w:t>
      </w:r>
      <w:r w:rsidR="007F118B" w:rsidRPr="007F118B">
        <w:rPr>
          <w:rFonts w:cs="Arial"/>
          <w:sz w:val="24"/>
          <w:szCs w:val="24"/>
          <w:lang w:val="cs-CZ"/>
        </w:rPr>
        <w:t>Nařízení Komise (EU) č. 651/2014 ze dne 17. června 2014, kterým se v souladu s články 107 a 108 Smlouvy prohlašují určité kategorie podpory za slučitelné s vnitřním trhem</w:t>
      </w:r>
      <w:r w:rsidR="007F118B">
        <w:rPr>
          <w:rFonts w:cs="Arial"/>
          <w:sz w:val="24"/>
          <w:szCs w:val="24"/>
          <w:lang w:val="cs-CZ"/>
        </w:rPr>
        <w:t xml:space="preserve">, </w:t>
      </w:r>
      <w:r w:rsidRPr="00A1490F">
        <w:rPr>
          <w:rFonts w:cs="Arial"/>
          <w:sz w:val="24"/>
          <w:szCs w:val="24"/>
          <w:lang w:val="cs-CZ"/>
        </w:rPr>
        <w:t>na výzkumnou organizaci.</w:t>
      </w:r>
    </w:p>
    <w:p w14:paraId="6E835C79" w14:textId="103D954D" w:rsidR="007A186F" w:rsidRPr="00A1490F" w:rsidRDefault="007F118B" w:rsidP="007F118B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cs="Arial"/>
          <w:sz w:val="24"/>
          <w:szCs w:val="24"/>
          <w:lang w:val="cs-CZ"/>
        </w:rPr>
      </w:pPr>
      <w:r>
        <w:rPr>
          <w:rFonts w:cs="Arial"/>
          <w:sz w:val="24"/>
          <w:szCs w:val="24"/>
          <w:lang w:val="cs-CZ"/>
        </w:rPr>
        <w:t>Jak bylo uvedeno výše,</w:t>
      </w:r>
      <w:r w:rsidR="007A186F" w:rsidRPr="00A1490F">
        <w:rPr>
          <w:rFonts w:cs="Arial"/>
          <w:sz w:val="24"/>
          <w:szCs w:val="24"/>
          <w:lang w:val="cs-CZ"/>
        </w:rPr>
        <w:t xml:space="preserve"> </w:t>
      </w:r>
      <w:r w:rsidR="006230BA">
        <w:rPr>
          <w:rFonts w:cs="Arial"/>
          <w:sz w:val="24"/>
          <w:szCs w:val="24"/>
          <w:lang w:val="cs-CZ"/>
        </w:rPr>
        <w:t xml:space="preserve">realizace </w:t>
      </w:r>
      <w:r w:rsidR="007A186F" w:rsidRPr="00A1490F">
        <w:rPr>
          <w:rFonts w:cs="Arial"/>
          <w:sz w:val="24"/>
          <w:szCs w:val="24"/>
          <w:lang w:val="cs-CZ"/>
        </w:rPr>
        <w:t>JHR byl</w:t>
      </w:r>
      <w:r w:rsidR="006230BA">
        <w:rPr>
          <w:rFonts w:cs="Arial"/>
          <w:sz w:val="24"/>
          <w:szCs w:val="24"/>
          <w:lang w:val="cs-CZ"/>
        </w:rPr>
        <w:t>a</w:t>
      </w:r>
      <w:r w:rsidR="007A186F" w:rsidRPr="00A1490F">
        <w:rPr>
          <w:rFonts w:cs="Arial"/>
          <w:sz w:val="24"/>
          <w:szCs w:val="24"/>
          <w:lang w:val="cs-CZ"/>
        </w:rPr>
        <w:t xml:space="preserve"> z francouzské strany nejen prodloužen</w:t>
      </w:r>
      <w:r w:rsidR="006230BA">
        <w:rPr>
          <w:rFonts w:cs="Arial"/>
          <w:sz w:val="24"/>
          <w:szCs w:val="24"/>
          <w:lang w:val="cs-CZ"/>
        </w:rPr>
        <w:t>a</w:t>
      </w:r>
      <w:r w:rsidR="007A186F" w:rsidRPr="00A1490F">
        <w:rPr>
          <w:rFonts w:cs="Arial"/>
          <w:sz w:val="24"/>
          <w:szCs w:val="24"/>
          <w:lang w:val="cs-CZ"/>
        </w:rPr>
        <w:t xml:space="preserve">, ale jeho rozpočet </w:t>
      </w:r>
      <w:r w:rsidR="006230BA">
        <w:rPr>
          <w:rFonts w:cs="Arial"/>
          <w:sz w:val="24"/>
          <w:szCs w:val="24"/>
          <w:lang w:val="cs-CZ"/>
        </w:rPr>
        <w:t xml:space="preserve">i </w:t>
      </w:r>
      <w:r w:rsidR="007A186F" w:rsidRPr="00A1490F">
        <w:rPr>
          <w:rFonts w:cs="Arial"/>
          <w:sz w:val="24"/>
          <w:szCs w:val="24"/>
          <w:lang w:val="cs-CZ"/>
        </w:rPr>
        <w:t xml:space="preserve">značně navýšen. Také česká dodávka horkých komor </w:t>
      </w:r>
      <w:r>
        <w:rPr>
          <w:rFonts w:cs="Arial"/>
          <w:sz w:val="24"/>
          <w:szCs w:val="24"/>
          <w:lang w:val="cs-CZ"/>
        </w:rPr>
        <w:t xml:space="preserve">byla </w:t>
      </w:r>
      <w:r w:rsidR="007A186F" w:rsidRPr="00A1490F">
        <w:rPr>
          <w:rFonts w:cs="Arial"/>
          <w:sz w:val="24"/>
          <w:szCs w:val="24"/>
          <w:lang w:val="cs-CZ"/>
        </w:rPr>
        <w:t xml:space="preserve">tímto poznamenána. </w:t>
      </w:r>
      <w:r w:rsidR="007A186F" w:rsidRPr="00A1490F">
        <w:rPr>
          <w:rFonts w:cs="Times New Roman"/>
          <w:sz w:val="24"/>
          <w:szCs w:val="24"/>
          <w:lang w:val="cs-CZ"/>
        </w:rPr>
        <w:t xml:space="preserve">Na konci roku 2013 </w:t>
      </w:r>
      <w:r>
        <w:rPr>
          <w:rFonts w:cs="Times New Roman"/>
          <w:sz w:val="24"/>
          <w:szCs w:val="24"/>
          <w:lang w:val="cs-CZ"/>
        </w:rPr>
        <w:t xml:space="preserve">byla </w:t>
      </w:r>
      <w:r w:rsidR="007A186F" w:rsidRPr="00A1490F">
        <w:rPr>
          <w:rFonts w:cs="Times New Roman"/>
          <w:sz w:val="24"/>
          <w:szCs w:val="24"/>
          <w:lang w:val="cs-CZ"/>
        </w:rPr>
        <w:t xml:space="preserve">provedena </w:t>
      </w:r>
      <w:r w:rsidRPr="00A1490F">
        <w:rPr>
          <w:rFonts w:cs="Times New Roman"/>
          <w:sz w:val="24"/>
          <w:szCs w:val="24"/>
          <w:lang w:val="cs-CZ"/>
        </w:rPr>
        <w:t>re</w:t>
      </w:r>
      <w:r>
        <w:rPr>
          <w:rFonts w:cs="Times New Roman"/>
          <w:sz w:val="24"/>
          <w:szCs w:val="24"/>
          <w:lang w:val="cs-CZ"/>
        </w:rPr>
        <w:t>v</w:t>
      </w:r>
      <w:r w:rsidRPr="00A1490F">
        <w:rPr>
          <w:rFonts w:cs="Times New Roman"/>
          <w:sz w:val="24"/>
          <w:szCs w:val="24"/>
          <w:lang w:val="cs-CZ"/>
        </w:rPr>
        <w:t>aluace</w:t>
      </w:r>
      <w:r w:rsidR="007A186F" w:rsidRPr="00A1490F">
        <w:rPr>
          <w:rFonts w:cs="Times New Roman"/>
          <w:sz w:val="24"/>
          <w:szCs w:val="24"/>
          <w:lang w:val="cs-CZ"/>
        </w:rPr>
        <w:t xml:space="preserve"> očekávaných nákladů na dokončení české části </w:t>
      </w:r>
      <w:r>
        <w:rPr>
          <w:rFonts w:cs="Times New Roman"/>
          <w:sz w:val="24"/>
          <w:szCs w:val="24"/>
          <w:lang w:val="cs-CZ"/>
        </w:rPr>
        <w:t>JHR</w:t>
      </w:r>
      <w:r w:rsidR="007A186F" w:rsidRPr="00A1490F">
        <w:rPr>
          <w:rFonts w:cs="Times New Roman"/>
          <w:sz w:val="24"/>
          <w:szCs w:val="24"/>
          <w:lang w:val="cs-CZ"/>
        </w:rPr>
        <w:t xml:space="preserve">. Výsledek tohoto šetření byl validován nezávislým interním auditem ke dni 28. února 2014. </w:t>
      </w:r>
      <w:r w:rsidR="007A186F" w:rsidRPr="00A1490F">
        <w:rPr>
          <w:rFonts w:cs="Arial"/>
          <w:sz w:val="24"/>
          <w:szCs w:val="24"/>
          <w:lang w:val="cs-CZ"/>
        </w:rPr>
        <w:t>Navíc došlo k navýšení rozpočtu a prodloužení dodávky horkých komor také z níže uvedených důvodů:</w:t>
      </w:r>
    </w:p>
    <w:p w14:paraId="407F8A90" w14:textId="0A0E5C36" w:rsidR="007A186F" w:rsidRPr="00A1490F" w:rsidRDefault="007A186F" w:rsidP="007F118B">
      <w:pPr>
        <w:spacing w:after="60"/>
        <w:ind w:firstLine="357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 xml:space="preserve">Hlavní důvody navýšení nákladů jsou </w:t>
      </w:r>
      <w:r w:rsidR="007F118B">
        <w:rPr>
          <w:rFonts w:cs="Times New Roman"/>
          <w:sz w:val="24"/>
          <w:szCs w:val="24"/>
          <w:lang w:val="cs-CZ"/>
        </w:rPr>
        <w:t>tyto</w:t>
      </w:r>
      <w:r w:rsidRPr="00A1490F">
        <w:rPr>
          <w:rFonts w:cs="Times New Roman"/>
          <w:sz w:val="24"/>
          <w:szCs w:val="24"/>
          <w:lang w:val="cs-CZ"/>
        </w:rPr>
        <w:t>:</w:t>
      </w:r>
    </w:p>
    <w:p w14:paraId="77F392D9" w14:textId="77777777" w:rsidR="007A186F" w:rsidRPr="00A1490F" w:rsidRDefault="007A186F" w:rsidP="007F118B">
      <w:pPr>
        <w:numPr>
          <w:ilvl w:val="0"/>
          <w:numId w:val="23"/>
        </w:numPr>
        <w:autoSpaceDE w:val="0"/>
        <w:autoSpaceDN w:val="0"/>
        <w:adjustRightInd w:val="0"/>
        <w:spacing w:after="60" w:line="240" w:lineRule="auto"/>
        <w:ind w:left="851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V oblasti designu:</w:t>
      </w:r>
    </w:p>
    <w:p w14:paraId="5655752F" w14:textId="77777777" w:rsidR="007A186F" w:rsidRPr="00A1490F" w:rsidRDefault="007A186F" w:rsidP="005A6553">
      <w:pPr>
        <w:numPr>
          <w:ilvl w:val="1"/>
          <w:numId w:val="23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Vývoj (většinou prototypů) a hledání jednotlivých technických řešení daného celku.</w:t>
      </w:r>
    </w:p>
    <w:p w14:paraId="277D6AB6" w14:textId="77777777" w:rsidR="007A186F" w:rsidRPr="00A1490F" w:rsidRDefault="007A186F" w:rsidP="007F118B">
      <w:pPr>
        <w:numPr>
          <w:ilvl w:val="1"/>
          <w:numId w:val="23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Konstruktérské návrhy vznikající mnohonásobnými iteracemi v komunikaci s CEA a jejími dodavateli, kdy dochází k hledání dalších variant a možností řešení.</w:t>
      </w:r>
    </w:p>
    <w:p w14:paraId="11738B68" w14:textId="77777777" w:rsidR="007A186F" w:rsidRPr="00A1490F" w:rsidRDefault="007A186F" w:rsidP="007F118B">
      <w:pPr>
        <w:numPr>
          <w:ilvl w:val="0"/>
          <w:numId w:val="23"/>
        </w:numPr>
        <w:autoSpaceDE w:val="0"/>
        <w:autoSpaceDN w:val="0"/>
        <w:adjustRightInd w:val="0"/>
        <w:spacing w:after="60" w:line="240" w:lineRule="auto"/>
        <w:ind w:left="851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V oblasti výroby:</w:t>
      </w:r>
    </w:p>
    <w:p w14:paraId="18B7CC9B" w14:textId="77777777" w:rsidR="007A186F" w:rsidRPr="00A1490F" w:rsidRDefault="007A186F" w:rsidP="007F118B">
      <w:pPr>
        <w:numPr>
          <w:ilvl w:val="1"/>
          <w:numId w:val="23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Od předběžného odhadu nákladů na výrobu dílů, který byl prováděn až do roku 2011 úplně a pak částečně bez kompletní dokončené projektové dokumentace, došlo k dalším změnám a úpravám designu s dopadem na složitost a tím náklady na výrobu.</w:t>
      </w:r>
    </w:p>
    <w:p w14:paraId="5E311625" w14:textId="3264336A" w:rsidR="007A186F" w:rsidRPr="00A1490F" w:rsidRDefault="006230BA" w:rsidP="007F118B">
      <w:pPr>
        <w:numPr>
          <w:ilvl w:val="1"/>
          <w:numId w:val="23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>
        <w:rPr>
          <w:rFonts w:cs="Times New Roman"/>
          <w:sz w:val="24"/>
          <w:szCs w:val="24"/>
          <w:lang w:val="cs-CZ"/>
        </w:rPr>
        <w:t>Ve</w:t>
      </w:r>
      <w:r w:rsidR="007A186F" w:rsidRPr="00A1490F">
        <w:rPr>
          <w:rFonts w:cs="Times New Roman"/>
          <w:sz w:val="24"/>
          <w:szCs w:val="24"/>
          <w:lang w:val="cs-CZ"/>
        </w:rPr>
        <w:t xml:space="preserve"> výběrových řízeních se ukázaly </w:t>
      </w:r>
      <w:r>
        <w:rPr>
          <w:rFonts w:cs="Times New Roman"/>
          <w:sz w:val="24"/>
          <w:szCs w:val="24"/>
          <w:lang w:val="cs-CZ"/>
        </w:rPr>
        <w:t>vyšší</w:t>
      </w:r>
      <w:r w:rsidR="007A186F" w:rsidRPr="00A1490F">
        <w:rPr>
          <w:rFonts w:cs="Times New Roman"/>
          <w:sz w:val="24"/>
          <w:szCs w:val="24"/>
          <w:lang w:val="cs-CZ"/>
        </w:rPr>
        <w:t xml:space="preserve"> výrobní náklady u vyvíjených zařízení.</w:t>
      </w:r>
    </w:p>
    <w:p w14:paraId="1C2B805B" w14:textId="5C46700A" w:rsidR="007A186F" w:rsidRPr="00A1490F" w:rsidRDefault="007A186F" w:rsidP="007F118B">
      <w:pPr>
        <w:numPr>
          <w:ilvl w:val="1"/>
          <w:numId w:val="23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Vyšší náročnost ze strany výroby a technologie vzhledem k atypickému vývoji a</w:t>
      </w:r>
      <w:r w:rsidR="007F118B">
        <w:rPr>
          <w:rFonts w:cs="Times New Roman"/>
          <w:sz w:val="24"/>
          <w:szCs w:val="24"/>
          <w:lang w:val="cs-CZ"/>
        </w:rPr>
        <w:t> </w:t>
      </w:r>
      <w:r w:rsidRPr="00A1490F">
        <w:rPr>
          <w:rFonts w:cs="Times New Roman"/>
          <w:sz w:val="24"/>
          <w:szCs w:val="24"/>
          <w:lang w:val="cs-CZ"/>
        </w:rPr>
        <w:t>výrobě a doprovodné dokumentaci.</w:t>
      </w:r>
    </w:p>
    <w:p w14:paraId="4BE7E0A6" w14:textId="7D310144" w:rsidR="007A186F" w:rsidRPr="00A1490F" w:rsidRDefault="007A186F" w:rsidP="007F118B">
      <w:pPr>
        <w:numPr>
          <w:ilvl w:val="0"/>
          <w:numId w:val="23"/>
        </w:numPr>
        <w:autoSpaceDE w:val="0"/>
        <w:autoSpaceDN w:val="0"/>
        <w:adjustRightInd w:val="0"/>
        <w:spacing w:after="60" w:line="240" w:lineRule="auto"/>
        <w:ind w:left="851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 xml:space="preserve">V oblasti řízení </w:t>
      </w:r>
      <w:r w:rsidR="007F118B">
        <w:rPr>
          <w:rFonts w:cs="Times New Roman"/>
          <w:sz w:val="24"/>
          <w:szCs w:val="24"/>
          <w:lang w:val="cs-CZ"/>
        </w:rPr>
        <w:t>JHR</w:t>
      </w:r>
      <w:r w:rsidRPr="00A1490F">
        <w:rPr>
          <w:rFonts w:cs="Times New Roman"/>
          <w:sz w:val="24"/>
          <w:szCs w:val="24"/>
          <w:lang w:val="cs-CZ"/>
        </w:rPr>
        <w:t>:</w:t>
      </w:r>
    </w:p>
    <w:p w14:paraId="19A225FC" w14:textId="77777777" w:rsidR="007A186F" w:rsidRPr="00A1490F" w:rsidRDefault="007A186F" w:rsidP="007F118B">
      <w:pPr>
        <w:numPr>
          <w:ilvl w:val="1"/>
          <w:numId w:val="23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Vyšší náročnost na posílení týmu pro koordinaci dodavatelů.</w:t>
      </w:r>
    </w:p>
    <w:p w14:paraId="7C97FAAD" w14:textId="77777777" w:rsidR="007A186F" w:rsidRPr="00A1490F" w:rsidRDefault="007A186F" w:rsidP="007F118B">
      <w:pPr>
        <w:numPr>
          <w:ilvl w:val="1"/>
          <w:numId w:val="23"/>
        </w:numPr>
        <w:autoSpaceDE w:val="0"/>
        <w:autoSpaceDN w:val="0"/>
        <w:adjustRightInd w:val="0"/>
        <w:spacing w:after="120" w:line="240" w:lineRule="auto"/>
        <w:ind w:left="1418" w:hanging="284"/>
        <w:jc w:val="both"/>
        <w:rPr>
          <w:rFonts w:cs="Times New Roman"/>
          <w:sz w:val="24"/>
          <w:szCs w:val="24"/>
          <w:lang w:val="cs-CZ"/>
        </w:rPr>
      </w:pPr>
      <w:r w:rsidRPr="00A1490F">
        <w:rPr>
          <w:rFonts w:cs="Times New Roman"/>
          <w:sz w:val="24"/>
          <w:szCs w:val="24"/>
          <w:lang w:val="cs-CZ"/>
        </w:rPr>
        <w:t>Požadavek a zvýšené nároky francouzské strany na zajištění vlastních montážních týmů na staveništi v </w:t>
      </w:r>
      <w:proofErr w:type="spellStart"/>
      <w:r w:rsidRPr="00A1490F">
        <w:rPr>
          <w:rFonts w:cs="Times New Roman"/>
          <w:sz w:val="24"/>
          <w:szCs w:val="24"/>
          <w:lang w:val="cs-CZ"/>
        </w:rPr>
        <w:t>Cadarache</w:t>
      </w:r>
      <w:proofErr w:type="spellEnd"/>
      <w:r w:rsidRPr="00A1490F">
        <w:rPr>
          <w:rFonts w:cs="Times New Roman"/>
          <w:sz w:val="24"/>
          <w:szCs w:val="24"/>
          <w:lang w:val="cs-CZ"/>
        </w:rPr>
        <w:t>.</w:t>
      </w:r>
    </w:p>
    <w:p w14:paraId="35F4AA5E" w14:textId="77777777" w:rsidR="007F118B" w:rsidRPr="007F118B" w:rsidRDefault="007F118B" w:rsidP="007F118B">
      <w:pPr>
        <w:autoSpaceDE w:val="0"/>
        <w:autoSpaceDN w:val="0"/>
        <w:adjustRightInd w:val="0"/>
        <w:spacing w:after="120" w:line="240" w:lineRule="auto"/>
        <w:ind w:firstLine="425"/>
        <w:jc w:val="both"/>
        <w:rPr>
          <w:rFonts w:cs="Times New Roman"/>
          <w:sz w:val="24"/>
          <w:szCs w:val="24"/>
          <w:lang w:val="cs-CZ"/>
        </w:rPr>
      </w:pPr>
      <w:r w:rsidRPr="007F118B">
        <w:rPr>
          <w:rFonts w:cs="Times New Roman"/>
          <w:sz w:val="24"/>
          <w:szCs w:val="24"/>
          <w:lang w:val="cs-CZ"/>
        </w:rPr>
        <w:lastRenderedPageBreak/>
        <w:t>Z výše uvedených důvodů a na základě hodnocení JHR jakožto výzkumné infrastruktury nezávislým mezinárodním panelem koncem roku 2014 se tímto předkládá následující rozpočet pro dokončení konstrukce horkých komor, přípravné práce a tréninky výzkumných pracovníků i pro první roky provozní fáze, tedy zajištění národního přístupu k výzkumné infrastruktuře JHR.</w:t>
      </w:r>
    </w:p>
    <w:p w14:paraId="2C985627" w14:textId="77777777" w:rsidR="007A186F" w:rsidRPr="008E7700" w:rsidRDefault="007A186F" w:rsidP="00A1490F">
      <w:pPr>
        <w:autoSpaceDE w:val="0"/>
        <w:autoSpaceDN w:val="0"/>
        <w:adjustRightInd w:val="0"/>
        <w:spacing w:after="120"/>
        <w:jc w:val="both"/>
        <w:rPr>
          <w:rFonts w:cs="Times New Roman"/>
          <w:sz w:val="24"/>
          <w:szCs w:val="24"/>
          <w:lang w:val="cs-CZ"/>
        </w:rPr>
      </w:pPr>
    </w:p>
    <w:p w14:paraId="57679EF0" w14:textId="7A8FB05C" w:rsidR="003B202A" w:rsidRDefault="003B202A" w:rsidP="008E7700">
      <w:pPr>
        <w:pStyle w:val="Titulek"/>
        <w:keepNext/>
        <w:spacing w:after="120"/>
        <w:jc w:val="both"/>
        <w:rPr>
          <w:color w:val="000000" w:themeColor="text1"/>
          <w:sz w:val="24"/>
          <w:szCs w:val="24"/>
          <w:lang w:val="cs-CZ"/>
        </w:rPr>
      </w:pPr>
      <w:r w:rsidRPr="008E7700">
        <w:rPr>
          <w:color w:val="auto"/>
          <w:sz w:val="24"/>
          <w:szCs w:val="24"/>
          <w:lang w:val="cs-CZ"/>
        </w:rPr>
        <w:t>Tabulka</w:t>
      </w:r>
      <w:r w:rsidR="008E7700" w:rsidRPr="008E7700">
        <w:rPr>
          <w:color w:val="auto"/>
          <w:sz w:val="24"/>
          <w:szCs w:val="24"/>
          <w:lang w:val="cs-CZ"/>
        </w:rPr>
        <w:t xml:space="preserve"> </w:t>
      </w:r>
      <w:r w:rsidRPr="008E7700">
        <w:rPr>
          <w:color w:val="auto"/>
          <w:sz w:val="24"/>
          <w:szCs w:val="24"/>
          <w:lang w:val="cs-CZ"/>
        </w:rPr>
        <w:t>indikativní</w:t>
      </w:r>
      <w:r w:rsidR="008E7700" w:rsidRPr="008E7700">
        <w:rPr>
          <w:color w:val="auto"/>
          <w:sz w:val="24"/>
          <w:szCs w:val="24"/>
          <w:lang w:val="cs-CZ"/>
        </w:rPr>
        <w:t>ho rozpočtu</w:t>
      </w:r>
      <w:r w:rsidRPr="008E7700">
        <w:rPr>
          <w:color w:val="000000" w:themeColor="text1"/>
          <w:sz w:val="24"/>
          <w:szCs w:val="24"/>
          <w:lang w:val="cs-CZ"/>
        </w:rPr>
        <w:t xml:space="preserve"> očekávaných nákladů </w:t>
      </w:r>
      <w:r w:rsidR="00870AF4" w:rsidRPr="008E7700">
        <w:rPr>
          <w:color w:val="000000" w:themeColor="text1"/>
          <w:sz w:val="24"/>
          <w:szCs w:val="24"/>
          <w:lang w:val="cs-CZ"/>
        </w:rPr>
        <w:t>pro roky 2015</w:t>
      </w:r>
      <w:r w:rsidR="00B00C89" w:rsidRPr="008E7700">
        <w:rPr>
          <w:color w:val="000000" w:themeColor="text1"/>
          <w:sz w:val="24"/>
          <w:szCs w:val="24"/>
          <w:lang w:val="cs-CZ"/>
        </w:rPr>
        <w:t xml:space="preserve">–2022 hrazených </w:t>
      </w:r>
      <w:r w:rsidR="008E7700" w:rsidRPr="008E7700">
        <w:rPr>
          <w:color w:val="000000" w:themeColor="text1"/>
          <w:sz w:val="24"/>
          <w:szCs w:val="24"/>
          <w:lang w:val="cs-CZ"/>
        </w:rPr>
        <w:t>z prostředků MŠMT z výdajů státního rozpočtu na výzkum, experimentální vývoj a inovace</w:t>
      </w:r>
      <w:r w:rsidRPr="008E7700">
        <w:rPr>
          <w:color w:val="000000" w:themeColor="text1"/>
          <w:sz w:val="24"/>
          <w:szCs w:val="24"/>
          <w:lang w:val="cs-CZ"/>
        </w:rPr>
        <w:t>.</w:t>
      </w:r>
    </w:p>
    <w:p w14:paraId="7BBCDA21" w14:textId="77777777" w:rsidR="008E7700" w:rsidRPr="008E7700" w:rsidRDefault="008E7700" w:rsidP="006915B2">
      <w:pPr>
        <w:spacing w:after="120" w:line="240" w:lineRule="auto"/>
        <w:jc w:val="both"/>
        <w:rPr>
          <w:lang w:val="cs-CZ"/>
        </w:rPr>
      </w:pPr>
    </w:p>
    <w:tbl>
      <w:tblPr>
        <w:tblW w:w="10066" w:type="dxa"/>
        <w:jc w:val="center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889"/>
        <w:gridCol w:w="890"/>
        <w:gridCol w:w="889"/>
        <w:gridCol w:w="890"/>
        <w:gridCol w:w="890"/>
        <w:gridCol w:w="889"/>
        <w:gridCol w:w="890"/>
        <w:gridCol w:w="890"/>
      </w:tblGrid>
      <w:tr w:rsidR="009B5C72" w:rsidRPr="00894AFB" w14:paraId="3C7319C7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90BDC5"/>
            <w:vAlign w:val="center"/>
            <w:hideMark/>
          </w:tcPr>
          <w:p w14:paraId="3D493BE6" w14:textId="77777777" w:rsidR="009B5C72" w:rsidRPr="008E7700" w:rsidRDefault="009B5C72" w:rsidP="003768DB">
            <w:pPr>
              <w:spacing w:after="0" w:line="240" w:lineRule="auto"/>
              <w:ind w:left="-80" w:firstLine="80"/>
              <w:jc w:val="both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val="cs-CZ" w:eastAsia="cs-CZ"/>
              </w:rPr>
              <w:t>Data v tis. Kč</w:t>
            </w:r>
          </w:p>
        </w:tc>
        <w:tc>
          <w:tcPr>
            <w:tcW w:w="854" w:type="dxa"/>
            <w:shd w:val="clear" w:color="000000" w:fill="90BDC5"/>
            <w:vAlign w:val="center"/>
            <w:hideMark/>
          </w:tcPr>
          <w:p w14:paraId="3D8BB0CF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2015</w:t>
            </w:r>
          </w:p>
        </w:tc>
        <w:tc>
          <w:tcPr>
            <w:tcW w:w="855" w:type="dxa"/>
            <w:shd w:val="clear" w:color="000000" w:fill="90BDC5"/>
            <w:vAlign w:val="center"/>
            <w:hideMark/>
          </w:tcPr>
          <w:p w14:paraId="330ACF44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2016</w:t>
            </w:r>
          </w:p>
        </w:tc>
        <w:tc>
          <w:tcPr>
            <w:tcW w:w="854" w:type="dxa"/>
            <w:shd w:val="clear" w:color="000000" w:fill="90BDC5"/>
            <w:vAlign w:val="center"/>
            <w:hideMark/>
          </w:tcPr>
          <w:p w14:paraId="40BE23EB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2017</w:t>
            </w:r>
          </w:p>
        </w:tc>
        <w:tc>
          <w:tcPr>
            <w:tcW w:w="855" w:type="dxa"/>
            <w:shd w:val="clear" w:color="000000" w:fill="90BDC5"/>
            <w:vAlign w:val="center"/>
            <w:hideMark/>
          </w:tcPr>
          <w:p w14:paraId="5974BB65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2018</w:t>
            </w:r>
          </w:p>
        </w:tc>
        <w:tc>
          <w:tcPr>
            <w:tcW w:w="855" w:type="dxa"/>
            <w:shd w:val="clear" w:color="000000" w:fill="90BDC5"/>
            <w:vAlign w:val="center"/>
            <w:hideMark/>
          </w:tcPr>
          <w:p w14:paraId="6E460767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2019</w:t>
            </w:r>
          </w:p>
        </w:tc>
        <w:tc>
          <w:tcPr>
            <w:tcW w:w="854" w:type="dxa"/>
            <w:shd w:val="clear" w:color="000000" w:fill="90BDC5"/>
            <w:vAlign w:val="center"/>
            <w:hideMark/>
          </w:tcPr>
          <w:p w14:paraId="0F96E1F9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2020</w:t>
            </w:r>
          </w:p>
        </w:tc>
        <w:tc>
          <w:tcPr>
            <w:tcW w:w="855" w:type="dxa"/>
            <w:shd w:val="clear" w:color="000000" w:fill="90BDC5"/>
            <w:vAlign w:val="center"/>
            <w:hideMark/>
          </w:tcPr>
          <w:p w14:paraId="2A67C222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2021</w:t>
            </w:r>
          </w:p>
        </w:tc>
        <w:tc>
          <w:tcPr>
            <w:tcW w:w="855" w:type="dxa"/>
            <w:shd w:val="clear" w:color="000000" w:fill="90BDC5"/>
            <w:vAlign w:val="center"/>
            <w:hideMark/>
          </w:tcPr>
          <w:p w14:paraId="698F606D" w14:textId="77777777" w:rsidR="009B5C72" w:rsidRPr="008E7700" w:rsidRDefault="009B5C72" w:rsidP="008E77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2022</w:t>
            </w:r>
          </w:p>
        </w:tc>
      </w:tr>
      <w:tr w:rsidR="009B5C72" w:rsidRPr="00894AFB" w14:paraId="3BACCA7E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26B0BB84" w14:textId="77777777" w:rsidR="009B5C72" w:rsidRPr="008E7700" w:rsidRDefault="009B5C72" w:rsidP="003768DB">
            <w:pPr>
              <w:spacing w:after="0" w:line="240" w:lineRule="auto"/>
              <w:ind w:left="-80" w:firstLine="80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Osobní náklady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651670B9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12 487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8EF44C5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7 718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7E2E120E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4 631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487790C8" w14:textId="21457F81" w:rsidR="009B5C72" w:rsidRPr="008E7700" w:rsidRDefault="008E7700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DFA1F80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7 720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6F9738FB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7 720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1771D9F7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7 720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05C3980C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7 720</w:t>
            </w:r>
          </w:p>
        </w:tc>
      </w:tr>
      <w:tr w:rsidR="009B5C72" w:rsidRPr="00894AFB" w14:paraId="211BBFFD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6EE11E36" w14:textId="77777777" w:rsidR="009B5C72" w:rsidRPr="008E7700" w:rsidRDefault="009B5C72" w:rsidP="003768DB">
            <w:pPr>
              <w:spacing w:after="0" w:line="240" w:lineRule="auto"/>
              <w:ind w:left="-80" w:firstLine="80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Investice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4D50E0AC" w14:textId="2969DAAB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32C8056B" w14:textId="3096EF5F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3E84B908" w14:textId="630421F0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04BB359C" w14:textId="6AA1FA1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1D046303" w14:textId="6CED809B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4C572C8D" w14:textId="3C518E99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4754FB7B" w14:textId="75D5FBC3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2408ADB" w14:textId="1306AEFF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</w:tr>
      <w:tr w:rsidR="009B5C72" w:rsidRPr="00894AFB" w14:paraId="0E2622B6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40A10AE0" w14:textId="77777777" w:rsidR="009B5C72" w:rsidRPr="008E7700" w:rsidRDefault="009B5C72" w:rsidP="009B5C7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Členské poplatky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7D2B1587" w14:textId="027439AB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8E5DA4B" w14:textId="3FD4FE1B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24F471FF" w14:textId="6925395C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50C61C20" w14:textId="05A91F9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5B31E552" w14:textId="6396C90B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243751A2" w14:textId="168114FC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9437B54" w14:textId="437E8AE2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CDF50A9" w14:textId="5C49BE49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</w:tr>
      <w:tr w:rsidR="009B5C72" w:rsidRPr="00894AFB" w14:paraId="01114847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680E663F" w14:textId="77777777" w:rsidR="009B5C72" w:rsidRPr="008E7700" w:rsidRDefault="009B5C72" w:rsidP="009B5C72">
            <w:pPr>
              <w:spacing w:after="0" w:line="240" w:lineRule="auto"/>
              <w:ind w:left="-80" w:firstLine="80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Operační náklady z toho:</w:t>
            </w:r>
          </w:p>
        </w:tc>
        <w:tc>
          <w:tcPr>
            <w:tcW w:w="854" w:type="dxa"/>
            <w:shd w:val="clear" w:color="000000" w:fill="E8F1F3"/>
            <w:vAlign w:val="center"/>
          </w:tcPr>
          <w:p w14:paraId="0B757FB1" w14:textId="0C0D53DE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</w:tcPr>
          <w:p w14:paraId="35B065FE" w14:textId="5D43C5EF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</w:tcPr>
          <w:p w14:paraId="4B45A00F" w14:textId="683F3E3E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</w:tcPr>
          <w:p w14:paraId="491A30AC" w14:textId="78FEF663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</w:tcPr>
          <w:p w14:paraId="0CCA0C6E" w14:textId="1706BFF6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4" w:type="dxa"/>
            <w:shd w:val="clear" w:color="000000" w:fill="E8F1F3"/>
            <w:vAlign w:val="center"/>
          </w:tcPr>
          <w:p w14:paraId="3E4B988D" w14:textId="009CB635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</w:tcPr>
          <w:p w14:paraId="752822B9" w14:textId="1C72F138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  <w:tc>
          <w:tcPr>
            <w:tcW w:w="855" w:type="dxa"/>
            <w:shd w:val="clear" w:color="000000" w:fill="E8F1F3"/>
            <w:vAlign w:val="center"/>
          </w:tcPr>
          <w:p w14:paraId="1FC91AAE" w14:textId="7B202D33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</w:p>
        </w:tc>
      </w:tr>
      <w:tr w:rsidR="009B5C72" w:rsidRPr="00894AFB" w14:paraId="7B29AB9F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0F0E6EB6" w14:textId="77777777" w:rsidR="009B5C72" w:rsidRPr="008E7700" w:rsidRDefault="009B5C72" w:rsidP="008E7700">
            <w:pPr>
              <w:spacing w:after="0" w:line="240" w:lineRule="auto"/>
              <w:ind w:left="-80"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- režie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37BA0852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6 460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6DE0CB6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4 550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3F9A9F3F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2 730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9DC1AEA" w14:textId="3773676A" w:rsidR="009B5C72" w:rsidRPr="008E7700" w:rsidRDefault="006915B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C01537A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5 190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59EC72AB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5 190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5EF7F3FE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5 190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69584A5C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5 190</w:t>
            </w:r>
          </w:p>
        </w:tc>
      </w:tr>
      <w:tr w:rsidR="009B5C72" w:rsidRPr="00894AFB" w14:paraId="5C86DB5D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08A9EACD" w14:textId="77777777" w:rsidR="009B5C72" w:rsidRPr="008E7700" w:rsidRDefault="009B5C72" w:rsidP="008E7700">
            <w:pPr>
              <w:spacing w:after="0" w:line="240" w:lineRule="auto"/>
              <w:ind w:left="-80"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- služby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79A16DA5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132 753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40F85577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100 706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11F3A042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58 056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4A57B847" w14:textId="5422643E" w:rsidR="009B5C72" w:rsidRPr="008E7700" w:rsidRDefault="006915B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2454D64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30 000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57B6C7C0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50 400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1A19E319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70 900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6E2A0175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70 900</w:t>
            </w:r>
          </w:p>
        </w:tc>
      </w:tr>
      <w:tr w:rsidR="009B5C72" w:rsidRPr="00894AFB" w14:paraId="3574A884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3C9A7459" w14:textId="77777777" w:rsidR="009B5C72" w:rsidRPr="008E7700" w:rsidRDefault="009B5C72" w:rsidP="008E7700">
            <w:pPr>
              <w:spacing w:after="0" w:line="240" w:lineRule="auto"/>
              <w:ind w:left="-80"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- cestovní náklady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0C6E53F3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F974E0A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706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6A99E1BF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303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C765001" w14:textId="180D725C" w:rsidR="009B5C72" w:rsidRPr="008E7700" w:rsidRDefault="006915B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51E7F441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600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4A923CCD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6733607C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390950FC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Cs/>
                <w:color w:val="000000"/>
                <w:sz w:val="18"/>
                <w:szCs w:val="18"/>
                <w:lang w:val="cs-CZ" w:eastAsia="cs-CZ"/>
              </w:rPr>
              <w:t>600</w:t>
            </w:r>
          </w:p>
        </w:tc>
      </w:tr>
      <w:tr w:rsidR="009B5C72" w:rsidRPr="00894AFB" w14:paraId="4DD1C80B" w14:textId="77777777" w:rsidTr="006915B2">
        <w:trPr>
          <w:trHeight w:hRule="exact" w:val="340"/>
          <w:jc w:val="center"/>
        </w:trPr>
        <w:tc>
          <w:tcPr>
            <w:tcW w:w="2835" w:type="dxa"/>
            <w:shd w:val="clear" w:color="000000" w:fill="E8F1F3"/>
            <w:vAlign w:val="center"/>
            <w:hideMark/>
          </w:tcPr>
          <w:p w14:paraId="5771A90B" w14:textId="77777777" w:rsidR="009B5C72" w:rsidRPr="008E7700" w:rsidRDefault="009B5C72" w:rsidP="003768DB">
            <w:pPr>
              <w:spacing w:after="0" w:line="240" w:lineRule="auto"/>
              <w:ind w:left="-80" w:firstLine="80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8E77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Celkem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3E6EE3B6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152 300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3F22995B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113 680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2D62028A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65 720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240830BE" w14:textId="2BD9F33B" w:rsidR="009B5C72" w:rsidRPr="008E7700" w:rsidRDefault="006915B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69429CDF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43 510</w:t>
            </w:r>
          </w:p>
        </w:tc>
        <w:tc>
          <w:tcPr>
            <w:tcW w:w="854" w:type="dxa"/>
            <w:shd w:val="clear" w:color="000000" w:fill="E8F1F3"/>
            <w:vAlign w:val="center"/>
            <w:hideMark/>
          </w:tcPr>
          <w:p w14:paraId="3B890B87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63 910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138BFED5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84 410</w:t>
            </w:r>
          </w:p>
        </w:tc>
        <w:tc>
          <w:tcPr>
            <w:tcW w:w="855" w:type="dxa"/>
            <w:shd w:val="clear" w:color="000000" w:fill="E8F1F3"/>
            <w:vAlign w:val="center"/>
            <w:hideMark/>
          </w:tcPr>
          <w:p w14:paraId="7CBBDB1C" w14:textId="77777777" w:rsidR="009B5C72" w:rsidRPr="008E7700" w:rsidRDefault="009B5C72" w:rsidP="008E770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8E77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cs-CZ" w:eastAsia="cs-CZ"/>
              </w:rPr>
              <w:t>84 410</w:t>
            </w:r>
          </w:p>
        </w:tc>
      </w:tr>
    </w:tbl>
    <w:p w14:paraId="0CCC3B5E" w14:textId="77777777" w:rsidR="003B202A" w:rsidRPr="006915B2" w:rsidRDefault="003B202A" w:rsidP="006915B2">
      <w:pPr>
        <w:spacing w:after="120" w:line="240" w:lineRule="auto"/>
        <w:jc w:val="both"/>
        <w:rPr>
          <w:rFonts w:cs="SwiftCom-Regular"/>
          <w:sz w:val="24"/>
          <w:szCs w:val="24"/>
          <w:lang w:val="cs-CZ"/>
        </w:rPr>
      </w:pPr>
    </w:p>
    <w:p w14:paraId="1F503114" w14:textId="6B8A77C8" w:rsidR="002426A1" w:rsidRPr="007F118B" w:rsidRDefault="002426A1" w:rsidP="00ED665D">
      <w:pPr>
        <w:spacing w:after="120" w:line="240" w:lineRule="auto"/>
        <w:ind w:firstLine="425"/>
        <w:jc w:val="both"/>
        <w:rPr>
          <w:rFonts w:cs="SwiftCom-Regular"/>
          <w:b/>
          <w:sz w:val="24"/>
          <w:szCs w:val="24"/>
          <w:lang w:val="cs-CZ"/>
        </w:rPr>
      </w:pPr>
      <w:r w:rsidRPr="007F118B">
        <w:rPr>
          <w:rFonts w:cs="SwiftCom-Regular"/>
          <w:b/>
          <w:sz w:val="24"/>
          <w:szCs w:val="24"/>
          <w:lang w:val="cs-CZ"/>
        </w:rPr>
        <w:t>Komentář k výše uvedeným položkám nákladů v letech 2015 – 2017</w:t>
      </w:r>
      <w:r w:rsidR="00ED665D">
        <w:rPr>
          <w:rFonts w:cs="SwiftCom-Regular"/>
          <w:b/>
          <w:sz w:val="24"/>
          <w:szCs w:val="24"/>
          <w:lang w:val="cs-CZ"/>
        </w:rPr>
        <w:t>:</w:t>
      </w:r>
    </w:p>
    <w:p w14:paraId="169AAD52" w14:textId="5B5F82ED" w:rsidR="006230BA" w:rsidRPr="006230BA" w:rsidRDefault="002426A1" w:rsidP="00E32EAE">
      <w:pPr>
        <w:pStyle w:val="Odstavecseseznamem"/>
        <w:numPr>
          <w:ilvl w:val="0"/>
          <w:numId w:val="38"/>
        </w:numPr>
        <w:spacing w:after="60" w:line="240" w:lineRule="auto"/>
        <w:ind w:left="851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Osobní náklady budou využity v souladu s</w:t>
      </w:r>
      <w:r w:rsidR="00ED665D">
        <w:rPr>
          <w:sz w:val="24"/>
          <w:szCs w:val="24"/>
          <w:lang w:val="cs-CZ"/>
        </w:rPr>
        <w:t xml:space="preserve"> </w:t>
      </w:r>
      <w:r w:rsidRPr="00ED665D">
        <w:rPr>
          <w:sz w:val="24"/>
          <w:szCs w:val="24"/>
          <w:lang w:val="cs-CZ"/>
        </w:rPr>
        <w:t xml:space="preserve">HR strategií </w:t>
      </w:r>
      <w:r w:rsidR="00ED665D">
        <w:rPr>
          <w:sz w:val="24"/>
          <w:szCs w:val="24"/>
          <w:lang w:val="cs-CZ"/>
        </w:rPr>
        <w:t xml:space="preserve">CVŘ </w:t>
      </w:r>
      <w:r w:rsidRPr="00ED665D">
        <w:rPr>
          <w:sz w:val="24"/>
          <w:szCs w:val="24"/>
          <w:lang w:val="cs-CZ"/>
        </w:rPr>
        <w:t xml:space="preserve">na </w:t>
      </w:r>
      <w:r w:rsidR="00ED665D">
        <w:rPr>
          <w:sz w:val="24"/>
          <w:szCs w:val="24"/>
          <w:lang w:val="cs-CZ"/>
        </w:rPr>
        <w:t>–</w:t>
      </w:r>
      <w:r w:rsidRPr="00ED665D">
        <w:rPr>
          <w:sz w:val="24"/>
          <w:szCs w:val="24"/>
          <w:lang w:val="cs-CZ"/>
        </w:rPr>
        <w:t xml:space="preserve"> 16</w:t>
      </w:r>
      <w:r w:rsidR="00ED665D">
        <w:rPr>
          <w:sz w:val="24"/>
          <w:szCs w:val="24"/>
          <w:lang w:val="cs-CZ"/>
        </w:rPr>
        <w:t xml:space="preserve"> </w:t>
      </w:r>
      <w:r w:rsidRPr="00ED665D">
        <w:rPr>
          <w:sz w:val="24"/>
          <w:szCs w:val="24"/>
          <w:lang w:val="cs-CZ"/>
        </w:rPr>
        <w:t xml:space="preserve">úvazků v roce 2015, což se týká 23 </w:t>
      </w:r>
      <w:r w:rsidR="006230BA">
        <w:rPr>
          <w:sz w:val="24"/>
          <w:szCs w:val="24"/>
          <w:lang w:val="cs-CZ"/>
        </w:rPr>
        <w:t>zaměstnanců</w:t>
      </w:r>
      <w:r w:rsidRPr="00ED665D">
        <w:rPr>
          <w:sz w:val="24"/>
          <w:szCs w:val="24"/>
          <w:lang w:val="cs-CZ"/>
        </w:rPr>
        <w:t xml:space="preserve">, kteří budou </w:t>
      </w:r>
      <w:r w:rsidR="006230BA">
        <w:rPr>
          <w:sz w:val="24"/>
          <w:szCs w:val="24"/>
          <w:lang w:val="cs-CZ"/>
        </w:rPr>
        <w:t>vykonávat následující činnosti:</w:t>
      </w:r>
    </w:p>
    <w:p w14:paraId="2BEA7A9E" w14:textId="77777777" w:rsidR="006230BA" w:rsidRPr="006230BA" w:rsidRDefault="002426A1" w:rsidP="00E32EAE">
      <w:pPr>
        <w:pStyle w:val="Odstavecseseznamem"/>
        <w:numPr>
          <w:ilvl w:val="0"/>
          <w:numId w:val="44"/>
        </w:numPr>
        <w:tabs>
          <w:tab w:val="left" w:pos="426"/>
        </w:tabs>
        <w:spacing w:after="6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 xml:space="preserve">vedení </w:t>
      </w:r>
      <w:r w:rsidR="006230BA">
        <w:rPr>
          <w:sz w:val="24"/>
          <w:szCs w:val="24"/>
          <w:lang w:val="cs-CZ"/>
        </w:rPr>
        <w:t>výzkumné infrastruktury</w:t>
      </w:r>
      <w:r w:rsidRPr="00ED665D">
        <w:rPr>
          <w:sz w:val="24"/>
          <w:szCs w:val="24"/>
          <w:lang w:val="cs-CZ"/>
        </w:rPr>
        <w:t>,</w:t>
      </w:r>
    </w:p>
    <w:p w14:paraId="3CF3ABC5" w14:textId="77777777" w:rsidR="006230BA" w:rsidRPr="006230BA" w:rsidRDefault="002426A1" w:rsidP="00E32EAE">
      <w:pPr>
        <w:pStyle w:val="Odstavecseseznamem"/>
        <w:numPr>
          <w:ilvl w:val="0"/>
          <w:numId w:val="44"/>
        </w:numPr>
        <w:tabs>
          <w:tab w:val="left" w:pos="426"/>
        </w:tabs>
        <w:spacing w:after="6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konstrukční práce (výrobní dokumentace na dveře plus další dokumentace),</w:t>
      </w:r>
    </w:p>
    <w:p w14:paraId="4A239128" w14:textId="77777777" w:rsidR="006230BA" w:rsidRPr="006230BA" w:rsidRDefault="002426A1" w:rsidP="00E32EAE">
      <w:pPr>
        <w:pStyle w:val="Odstavecseseznamem"/>
        <w:numPr>
          <w:ilvl w:val="0"/>
          <w:numId w:val="44"/>
        </w:numPr>
        <w:tabs>
          <w:tab w:val="left" w:pos="426"/>
        </w:tabs>
        <w:spacing w:after="6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řízení dodavatelů (kontrola průběhu výroby u dodavatelů),</w:t>
      </w:r>
    </w:p>
    <w:p w14:paraId="52FE77F1" w14:textId="77777777" w:rsidR="006230BA" w:rsidRPr="006230BA" w:rsidRDefault="002426A1" w:rsidP="00E32EAE">
      <w:pPr>
        <w:pStyle w:val="Odstavecseseznamem"/>
        <w:numPr>
          <w:ilvl w:val="0"/>
          <w:numId w:val="44"/>
        </w:numPr>
        <w:tabs>
          <w:tab w:val="left" w:pos="426"/>
        </w:tabs>
        <w:spacing w:after="6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dohled nad montážními pracemi přímo na staveništi,</w:t>
      </w:r>
    </w:p>
    <w:p w14:paraId="33DBE2C7" w14:textId="77777777" w:rsidR="006230BA" w:rsidRPr="006230BA" w:rsidRDefault="002426A1" w:rsidP="00E32EAE">
      <w:pPr>
        <w:pStyle w:val="Odstavecseseznamem"/>
        <w:numPr>
          <w:ilvl w:val="0"/>
          <w:numId w:val="44"/>
        </w:numPr>
        <w:tabs>
          <w:tab w:val="left" w:pos="426"/>
        </w:tabs>
        <w:spacing w:after="6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nákup (zajištění zakázek na nákup),</w:t>
      </w:r>
    </w:p>
    <w:p w14:paraId="4B21C340" w14:textId="77777777" w:rsidR="006230BA" w:rsidRPr="006230BA" w:rsidRDefault="002426A1" w:rsidP="006230BA">
      <w:pPr>
        <w:pStyle w:val="Odstavecseseznamem"/>
        <w:numPr>
          <w:ilvl w:val="0"/>
          <w:numId w:val="44"/>
        </w:numPr>
        <w:tabs>
          <w:tab w:val="left" w:pos="426"/>
        </w:tabs>
        <w:spacing w:after="120" w:line="240" w:lineRule="auto"/>
        <w:ind w:left="1418" w:hanging="284"/>
        <w:contextualSpacing w:val="0"/>
        <w:jc w:val="both"/>
        <w:rPr>
          <w:rFonts w:cs="SwiftCom-Regular"/>
          <w:b/>
          <w:sz w:val="24"/>
          <w:szCs w:val="24"/>
          <w:lang w:val="cs-CZ"/>
        </w:rPr>
      </w:pPr>
      <w:r w:rsidRPr="00ED665D">
        <w:rPr>
          <w:sz w:val="24"/>
          <w:szCs w:val="24"/>
          <w:lang w:val="cs-CZ"/>
        </w:rPr>
        <w:t>řízení jakosti.</w:t>
      </w:r>
    </w:p>
    <w:p w14:paraId="20E7859B" w14:textId="761AEC99" w:rsidR="002426A1" w:rsidRPr="006230BA" w:rsidRDefault="002426A1" w:rsidP="00E32EAE">
      <w:pPr>
        <w:spacing w:after="120" w:line="240" w:lineRule="auto"/>
        <w:ind w:firstLine="425"/>
        <w:jc w:val="both"/>
        <w:rPr>
          <w:rFonts w:cs="SwiftCom-Regular"/>
          <w:b/>
          <w:sz w:val="24"/>
          <w:szCs w:val="24"/>
          <w:lang w:val="cs-CZ"/>
        </w:rPr>
      </w:pPr>
      <w:r w:rsidRPr="006230BA">
        <w:rPr>
          <w:sz w:val="24"/>
          <w:szCs w:val="24"/>
          <w:lang w:val="cs-CZ"/>
        </w:rPr>
        <w:t>V</w:t>
      </w:r>
      <w:r w:rsidR="00ED665D" w:rsidRPr="006230BA">
        <w:rPr>
          <w:sz w:val="24"/>
          <w:szCs w:val="24"/>
          <w:lang w:val="cs-CZ"/>
        </w:rPr>
        <w:t> </w:t>
      </w:r>
      <w:r w:rsidRPr="006230BA">
        <w:rPr>
          <w:sz w:val="24"/>
          <w:szCs w:val="24"/>
          <w:lang w:val="cs-CZ"/>
        </w:rPr>
        <w:t xml:space="preserve">následujících letech 2016 a 2017 budou využity osobní náklady na 10 resp. 6 úvazků, což se týká 19 </w:t>
      </w:r>
      <w:r w:rsidR="00757884" w:rsidRPr="006230BA">
        <w:rPr>
          <w:sz w:val="24"/>
          <w:szCs w:val="24"/>
          <w:lang w:val="cs-CZ"/>
        </w:rPr>
        <w:t>resp. 11</w:t>
      </w:r>
      <w:r w:rsidRPr="006230BA">
        <w:rPr>
          <w:sz w:val="24"/>
          <w:szCs w:val="24"/>
          <w:lang w:val="cs-CZ"/>
        </w:rPr>
        <w:t xml:space="preserve"> </w:t>
      </w:r>
      <w:r w:rsidR="006230BA">
        <w:rPr>
          <w:sz w:val="24"/>
          <w:szCs w:val="24"/>
          <w:lang w:val="cs-CZ"/>
        </w:rPr>
        <w:t>zaměstnanců</w:t>
      </w:r>
      <w:r w:rsidRPr="006230BA">
        <w:rPr>
          <w:sz w:val="24"/>
          <w:szCs w:val="24"/>
          <w:lang w:val="cs-CZ"/>
        </w:rPr>
        <w:t>.</w:t>
      </w:r>
    </w:p>
    <w:p w14:paraId="4E52492B" w14:textId="77777777" w:rsidR="002426A1" w:rsidRPr="00ED665D" w:rsidRDefault="002426A1" w:rsidP="00E32EAE">
      <w:pPr>
        <w:pStyle w:val="Odstavecseseznamem"/>
        <w:numPr>
          <w:ilvl w:val="0"/>
          <w:numId w:val="38"/>
        </w:numPr>
        <w:spacing w:after="60" w:line="240" w:lineRule="auto"/>
        <w:ind w:left="851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r w:rsidRPr="00ED665D">
        <w:rPr>
          <w:rFonts w:cs="SwiftCom-Regular"/>
          <w:sz w:val="24"/>
          <w:szCs w:val="24"/>
          <w:lang w:val="cs-CZ"/>
        </w:rPr>
        <w:t>Služby:</w:t>
      </w:r>
    </w:p>
    <w:p w14:paraId="04CB84A5" w14:textId="24654CB5" w:rsidR="002426A1" w:rsidRPr="00ED665D" w:rsidRDefault="002426A1" w:rsidP="00E32EAE">
      <w:pPr>
        <w:pStyle w:val="Odstavecseseznamem"/>
        <w:numPr>
          <w:ilvl w:val="0"/>
          <w:numId w:val="39"/>
        </w:numPr>
        <w:spacing w:after="60" w:line="240" w:lineRule="auto"/>
        <w:ind w:left="1418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Walls+1 (horní patro velkých hork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ých komor)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a malé komory – moduly jednotlivých stěn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.</w:t>
      </w:r>
    </w:p>
    <w:p w14:paraId="06BD5090" w14:textId="30980B75" w:rsidR="002426A1" w:rsidRPr="00ED665D" w:rsidRDefault="002426A1" w:rsidP="00ED665D">
      <w:pPr>
        <w:pStyle w:val="Odstavecseseznamem"/>
        <w:numPr>
          <w:ilvl w:val="0"/>
          <w:numId w:val="39"/>
        </w:numPr>
        <w:spacing w:after="60" w:line="240" w:lineRule="auto"/>
        <w:ind w:left="1418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Biologické dveře, díly do P+2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(podlaha + 2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= strop horkých komor) – tyto dveře jsou umístěny ve vodních kanálech pod horkými komorami, v zavřené pozici zajišťují radiační ochranu a v otevřené pozici umožňující transfer experimentálních zařízení do horkých komor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.</w:t>
      </w:r>
    </w:p>
    <w:p w14:paraId="4CF0A5A4" w14:textId="5592B9EB" w:rsidR="002426A1" w:rsidRPr="00ED665D" w:rsidRDefault="002426A1" w:rsidP="00ED665D">
      <w:pPr>
        <w:pStyle w:val="Odstavecseseznamem"/>
        <w:numPr>
          <w:ilvl w:val="0"/>
          <w:numId w:val="39"/>
        </w:numPr>
        <w:spacing w:after="60" w:line="240" w:lineRule="auto"/>
        <w:ind w:left="1418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proofErr w:type="spellStart"/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Plan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cher</w:t>
      </w:r>
      <w:proofErr w:type="spellEnd"/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P+2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stínění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do podlahy malých horkých komor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olověné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stínění, stojany se stínícími bloky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podpůrná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ocelová konstrukce pro stínění, trubky do podlah SAS 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(přestupní prostory)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, podkladní bloky, kotevní desky ve stropech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lastRenderedPageBreak/>
        <w:t>kotevní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desky z černé oceli pro připevnění speciálních podvěsných mostových jeřábů, chráničky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ocelové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trubkové průchody stěnami, do nichž se vkládá vybavení jako manipulátory, kamery, kabeláž atd.)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.</w:t>
      </w:r>
    </w:p>
    <w:p w14:paraId="31C8D603" w14:textId="2F588CD8" w:rsidR="002426A1" w:rsidRPr="00ED665D" w:rsidRDefault="002426A1" w:rsidP="00ED665D">
      <w:pPr>
        <w:pStyle w:val="Odstavecseseznamem"/>
        <w:numPr>
          <w:ilvl w:val="0"/>
          <w:numId w:val="39"/>
        </w:numPr>
        <w:spacing w:after="60" w:line="240" w:lineRule="auto"/>
        <w:ind w:left="1418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Dveře posuvné a rotační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4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ks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posuvných a 5 ks rotačních dveří; posuvné dveře slouží k umožnění transferu vzorků mezi velkou komorou a navazující malou komorou; otočné dveře slouží k umožnění vstupu do přestupních prostor a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 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malých komor, tyto otočné dveře jsou vyskládány olověnými cihlami,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aby zajistily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radiační ochranu pracovníků pohybujících se v přední zóně malých komor. Dveře budou vyrobeny z nerezových a černých plechů a různých polotovarů hutního materiálu, dále jsou součástí dodávky i elektro komponenty jako motory, spínače, kabely atd.</w:t>
      </w:r>
    </w:p>
    <w:p w14:paraId="6DF2AA07" w14:textId="6A1BB3AC" w:rsidR="002426A1" w:rsidRPr="00ED665D" w:rsidRDefault="002426A1" w:rsidP="00ED665D">
      <w:pPr>
        <w:pStyle w:val="Odstavecseseznamem"/>
        <w:numPr>
          <w:ilvl w:val="0"/>
          <w:numId w:val="39"/>
        </w:numPr>
        <w:spacing w:after="60" w:line="240" w:lineRule="auto"/>
        <w:ind w:left="1418" w:hanging="284"/>
        <w:contextualSpacing w:val="0"/>
        <w:jc w:val="both"/>
        <w:rPr>
          <w:rFonts w:cs="SwiftCom-Regular"/>
          <w:sz w:val="24"/>
          <w:szCs w:val="24"/>
          <w:lang w:val="cs-CZ"/>
        </w:rPr>
      </w:pP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Opláštění vnitřních stěn 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obložení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vnitřních stěn komor nerezovými plechy pro zajištění požadované míry úniku, zároveň vytváří snadno </w:t>
      </w:r>
      <w:proofErr w:type="spellStart"/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dekontamino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vatelný</w:t>
      </w:r>
      <w:proofErr w:type="spellEnd"/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povrch v horké komoře. 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Součástí zakázky jsou veškeré položky vybavení podílející se na těsnosti HK tj. alfa dveře, poklop ECR</w:t>
      </w:r>
      <w:r w:rsidR="00757884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(název typu horké komory)</w:t>
      </w:r>
      <w:r w:rsid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. Dále i </w:t>
      </w:r>
      <w:r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pracovní stoly další drobné vybavení, které je v přímém kontaktu s plechy opláštění.</w:t>
      </w:r>
    </w:p>
    <w:p w14:paraId="55579B35" w14:textId="1A5A89A0" w:rsidR="002426A1" w:rsidRPr="00ED665D" w:rsidRDefault="00ED665D" w:rsidP="00E32EAE">
      <w:pPr>
        <w:pStyle w:val="Odstavecseseznamem"/>
        <w:numPr>
          <w:ilvl w:val="0"/>
          <w:numId w:val="39"/>
        </w:numPr>
        <w:spacing w:after="120" w:line="240" w:lineRule="auto"/>
        <w:ind w:left="1418" w:hanging="284"/>
        <w:contextualSpacing w:val="0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Jeřáby </w:t>
      </w:r>
      <w:r w:rsidR="002426A1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– speciální podvěsné mostové jeřáby umožňující přejíždění jeřábových koček mezi navazujícími HK a přestupními prostory, jejich funkcí je zajistit transfer veškerých experimentálních zařízení a dalšího vybavení uvnitř komor, jakož i transfer těžkého manipulátoru ven z komor za účelem provádění údržby. Součástí zakázky je i navazující vybavení:</w:t>
      </w:r>
      <w:r w:rsidR="008E7700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="002426A1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zdvihací vozík, </w:t>
      </w:r>
      <w:proofErr w:type="spellStart"/>
      <w:r w:rsidR="002426A1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>postrkovací</w:t>
      </w:r>
      <w:proofErr w:type="spellEnd"/>
      <w:r w:rsidR="002426A1" w:rsidRPr="00ED665D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tyč, elektro průchodky atd</w:t>
      </w:r>
      <w:r w:rsidR="008E7700">
        <w:rPr>
          <w:rFonts w:ascii="Calibri" w:eastAsia="Times New Roman" w:hAnsi="Calibri" w:cs="Times New Roman"/>
          <w:sz w:val="24"/>
          <w:szCs w:val="24"/>
          <w:lang w:val="cs-CZ" w:eastAsia="cs-CZ"/>
        </w:rPr>
        <w:t>.</w:t>
      </w:r>
    </w:p>
    <w:p w14:paraId="5D4DED00" w14:textId="77777777" w:rsidR="002426A1" w:rsidRPr="008E7700" w:rsidRDefault="002426A1" w:rsidP="008E7700">
      <w:pPr>
        <w:pStyle w:val="Odstavecseseznamem"/>
        <w:numPr>
          <w:ilvl w:val="0"/>
          <w:numId w:val="43"/>
        </w:numPr>
        <w:spacing w:after="120" w:line="240" w:lineRule="auto"/>
        <w:ind w:left="851" w:hanging="284"/>
        <w:jc w:val="both"/>
        <w:rPr>
          <w:rFonts w:cs="SwiftCom-Regular"/>
          <w:sz w:val="24"/>
          <w:szCs w:val="24"/>
          <w:lang w:val="cs-CZ"/>
        </w:rPr>
      </w:pPr>
      <w:r w:rsidRPr="008E7700">
        <w:rPr>
          <w:sz w:val="24"/>
          <w:szCs w:val="24"/>
          <w:lang w:val="cs-CZ"/>
        </w:rPr>
        <w:t>Cestovní náklady budou využity v souvislosti s plněním výše uvedených činností – řízení zahraničních dodavatelů, dohled nad montážními pracemi na staveništi, cesty spojené s jednáním se zahraničními partnery.</w:t>
      </w:r>
    </w:p>
    <w:p w14:paraId="7ABA3D60" w14:textId="77777777" w:rsidR="002426A1" w:rsidRPr="00ED665D" w:rsidRDefault="002426A1" w:rsidP="007F118B">
      <w:pPr>
        <w:spacing w:after="120" w:line="240" w:lineRule="auto"/>
        <w:ind w:firstLine="426"/>
        <w:jc w:val="both"/>
        <w:rPr>
          <w:rFonts w:cs="SwiftCom-Regular"/>
          <w:sz w:val="24"/>
          <w:szCs w:val="24"/>
          <w:lang w:val="cs-CZ"/>
        </w:rPr>
      </w:pPr>
    </w:p>
    <w:p w14:paraId="59706780" w14:textId="77777777" w:rsidR="007F118B" w:rsidRPr="00ED665D" w:rsidRDefault="007F118B" w:rsidP="007F118B">
      <w:pPr>
        <w:spacing w:after="120" w:line="240" w:lineRule="auto"/>
        <w:ind w:firstLine="426"/>
        <w:jc w:val="both"/>
        <w:rPr>
          <w:rFonts w:cs="SwiftCom-Regular"/>
          <w:sz w:val="24"/>
          <w:szCs w:val="24"/>
          <w:lang w:val="cs-CZ"/>
        </w:rPr>
      </w:pPr>
    </w:p>
    <w:p w14:paraId="120E309D" w14:textId="03F906BF" w:rsidR="00EB7C12" w:rsidRPr="007F118B" w:rsidRDefault="00E402D6" w:rsidP="007F118B">
      <w:pPr>
        <w:pStyle w:val="Odstavecseseznamem"/>
        <w:spacing w:after="240" w:line="240" w:lineRule="auto"/>
        <w:ind w:left="0"/>
        <w:contextualSpacing w:val="0"/>
        <w:rPr>
          <w:b/>
          <w:sz w:val="28"/>
          <w:szCs w:val="28"/>
          <w:lang w:val="cs-CZ"/>
        </w:rPr>
      </w:pPr>
      <w:r w:rsidRPr="007F118B">
        <w:rPr>
          <w:b/>
          <w:sz w:val="28"/>
          <w:szCs w:val="28"/>
          <w:lang w:val="cs-CZ"/>
        </w:rPr>
        <w:t>VIII</w:t>
      </w:r>
      <w:r w:rsidR="00EB7C12" w:rsidRPr="007F118B">
        <w:rPr>
          <w:b/>
          <w:sz w:val="28"/>
          <w:szCs w:val="28"/>
          <w:lang w:val="cs-CZ"/>
        </w:rPr>
        <w:t>. D</w:t>
      </w:r>
      <w:r w:rsidR="007F118B">
        <w:rPr>
          <w:b/>
          <w:sz w:val="28"/>
          <w:szCs w:val="28"/>
          <w:lang w:val="cs-CZ"/>
        </w:rPr>
        <w:t>alší relevantní informace</w:t>
      </w:r>
    </w:p>
    <w:p w14:paraId="6D4F9972" w14:textId="45399921" w:rsidR="00127914" w:rsidRPr="007F118B" w:rsidRDefault="00127914" w:rsidP="007F118B">
      <w:pPr>
        <w:spacing w:after="60" w:line="240" w:lineRule="auto"/>
        <w:ind w:firstLine="426"/>
        <w:jc w:val="both"/>
        <w:rPr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t xml:space="preserve">Práva přístupu </w:t>
      </w:r>
      <w:r w:rsidR="007F118B">
        <w:rPr>
          <w:sz w:val="24"/>
          <w:szCs w:val="24"/>
          <w:lang w:val="cs-CZ"/>
        </w:rPr>
        <w:t xml:space="preserve">JHR </w:t>
      </w:r>
      <w:r w:rsidRPr="007F118B">
        <w:rPr>
          <w:sz w:val="24"/>
          <w:szCs w:val="24"/>
          <w:lang w:val="cs-CZ"/>
        </w:rPr>
        <w:t>budou upravena vzhledem k potřebám uživatelů po spuštění provozu reaktoru JHR v roce 2020:</w:t>
      </w:r>
    </w:p>
    <w:p w14:paraId="21BE8AB3" w14:textId="3E8ED5EB" w:rsidR="00127914" w:rsidRPr="007F118B" w:rsidRDefault="00127914" w:rsidP="007F118B">
      <w:pPr>
        <w:pStyle w:val="Odstavecseseznamem"/>
        <w:numPr>
          <w:ilvl w:val="0"/>
          <w:numId w:val="25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t xml:space="preserve">Členové </w:t>
      </w:r>
      <w:r w:rsidR="00AA18D0" w:rsidRPr="007F118B">
        <w:rPr>
          <w:sz w:val="24"/>
          <w:szCs w:val="24"/>
          <w:lang w:val="cs-CZ"/>
        </w:rPr>
        <w:t>konsorcia</w:t>
      </w:r>
      <w:r w:rsidRPr="007F118B">
        <w:rPr>
          <w:sz w:val="24"/>
          <w:szCs w:val="24"/>
          <w:lang w:val="cs-CZ"/>
        </w:rPr>
        <w:t xml:space="preserve"> budou mít přístup k měřící kapacitě v reaktoru v rámci národního programu</w:t>
      </w:r>
      <w:r w:rsidR="007F118B">
        <w:rPr>
          <w:sz w:val="24"/>
          <w:szCs w:val="24"/>
          <w:lang w:val="cs-CZ"/>
        </w:rPr>
        <w:t>.</w:t>
      </w:r>
    </w:p>
    <w:p w14:paraId="64EFD347" w14:textId="08B17FDA" w:rsidR="00127914" w:rsidRPr="007F118B" w:rsidRDefault="00127914" w:rsidP="007F118B">
      <w:pPr>
        <w:pStyle w:val="Odstavecseseznamem"/>
        <w:numPr>
          <w:ilvl w:val="0"/>
          <w:numId w:val="25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t xml:space="preserve">Tzv. Joint </w:t>
      </w:r>
      <w:proofErr w:type="spellStart"/>
      <w:r w:rsidRPr="007F118B">
        <w:rPr>
          <w:sz w:val="24"/>
          <w:szCs w:val="24"/>
          <w:lang w:val="cs-CZ"/>
        </w:rPr>
        <w:t>Programme</w:t>
      </w:r>
      <w:proofErr w:type="spellEnd"/>
      <w:r w:rsidRPr="007F118B">
        <w:rPr>
          <w:sz w:val="24"/>
          <w:szCs w:val="24"/>
          <w:lang w:val="cs-CZ"/>
        </w:rPr>
        <w:t xml:space="preserve"> bude otevřen pro uživatele ze třetích zemí/mezinárodní uživatele</w:t>
      </w:r>
      <w:r w:rsidR="007F118B">
        <w:rPr>
          <w:sz w:val="24"/>
          <w:szCs w:val="24"/>
          <w:lang w:val="cs-CZ"/>
        </w:rPr>
        <w:t>.</w:t>
      </w:r>
    </w:p>
    <w:p w14:paraId="74481F2B" w14:textId="0826601E" w:rsidR="00127914" w:rsidRPr="007F118B" w:rsidRDefault="00127914" w:rsidP="007E049C">
      <w:pPr>
        <w:pStyle w:val="Odstavecseseznamem"/>
        <w:numPr>
          <w:ilvl w:val="0"/>
          <w:numId w:val="25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t>Výzkumné laboratoře mohou vstupovat jak do národních programů, tak do Joint programu (vybírány projekty na základě exc</w:t>
      </w:r>
      <w:r w:rsidR="00F726DD" w:rsidRPr="007F118B">
        <w:rPr>
          <w:sz w:val="24"/>
          <w:szCs w:val="24"/>
          <w:lang w:val="cs-CZ"/>
        </w:rPr>
        <w:t>e</w:t>
      </w:r>
      <w:r w:rsidRPr="007F118B">
        <w:rPr>
          <w:sz w:val="24"/>
          <w:szCs w:val="24"/>
          <w:lang w:val="cs-CZ"/>
        </w:rPr>
        <w:t>lence)</w:t>
      </w:r>
      <w:r w:rsidR="007E049C">
        <w:rPr>
          <w:sz w:val="24"/>
          <w:szCs w:val="24"/>
          <w:lang w:val="cs-CZ"/>
        </w:rPr>
        <w:t>.</w:t>
      </w:r>
    </w:p>
    <w:p w14:paraId="44C1569D" w14:textId="091A2086" w:rsidR="00127914" w:rsidRPr="007F118B" w:rsidRDefault="00AA18D0" w:rsidP="00E32EAE">
      <w:pPr>
        <w:keepNext/>
        <w:spacing w:after="60" w:line="240" w:lineRule="auto"/>
        <w:ind w:firstLine="425"/>
        <w:jc w:val="both"/>
        <w:rPr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lastRenderedPageBreak/>
        <w:t>Níže</w:t>
      </w:r>
      <w:r w:rsidR="00127914" w:rsidRPr="007F118B">
        <w:rPr>
          <w:sz w:val="24"/>
          <w:szCs w:val="24"/>
          <w:lang w:val="cs-CZ"/>
        </w:rPr>
        <w:t xml:space="preserve"> </w:t>
      </w:r>
      <w:r w:rsidR="007E049C">
        <w:rPr>
          <w:sz w:val="24"/>
          <w:szCs w:val="24"/>
          <w:lang w:val="cs-CZ"/>
        </w:rPr>
        <w:t>jsou popsány</w:t>
      </w:r>
      <w:r w:rsidR="00127914" w:rsidRPr="007F118B">
        <w:rPr>
          <w:sz w:val="24"/>
          <w:szCs w:val="24"/>
          <w:lang w:val="cs-CZ"/>
        </w:rPr>
        <w:t xml:space="preserve"> první přiblížení k problému rozdělení práv ke kapacitě JHR. Postupy nejsou ještě </w:t>
      </w:r>
      <w:r w:rsidRPr="007F118B">
        <w:rPr>
          <w:sz w:val="24"/>
          <w:szCs w:val="24"/>
          <w:lang w:val="cs-CZ"/>
        </w:rPr>
        <w:t>finalizovány</w:t>
      </w:r>
      <w:r w:rsidR="00127914" w:rsidRPr="007F118B">
        <w:rPr>
          <w:sz w:val="24"/>
          <w:szCs w:val="24"/>
          <w:lang w:val="cs-CZ"/>
        </w:rPr>
        <w:t>, protože reaktor je ve výstavbě.</w:t>
      </w:r>
    </w:p>
    <w:p w14:paraId="51674900" w14:textId="19CF9ADF" w:rsidR="00127914" w:rsidRPr="007E049C" w:rsidRDefault="00127914" w:rsidP="007E049C">
      <w:pPr>
        <w:pStyle w:val="Odstavecseseznamem"/>
        <w:numPr>
          <w:ilvl w:val="0"/>
          <w:numId w:val="37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E049C">
        <w:rPr>
          <w:sz w:val="24"/>
          <w:szCs w:val="24"/>
          <w:lang w:val="cs-CZ"/>
        </w:rPr>
        <w:t xml:space="preserve">Členové konsorcia mají garantovaný přístup v závislosti na jejich </w:t>
      </w:r>
      <w:r w:rsidR="00AA18D0" w:rsidRPr="007E049C">
        <w:rPr>
          <w:sz w:val="24"/>
          <w:szCs w:val="24"/>
          <w:lang w:val="cs-CZ"/>
        </w:rPr>
        <w:t>příspěvku</w:t>
      </w:r>
      <w:r w:rsidRPr="007E049C">
        <w:rPr>
          <w:sz w:val="24"/>
          <w:szCs w:val="24"/>
          <w:lang w:val="cs-CZ"/>
        </w:rPr>
        <w:t xml:space="preserve"> ke stavbě a</w:t>
      </w:r>
      <w:r w:rsidR="007E049C">
        <w:rPr>
          <w:sz w:val="24"/>
          <w:szCs w:val="24"/>
          <w:lang w:val="cs-CZ"/>
        </w:rPr>
        <w:t> </w:t>
      </w:r>
      <w:r w:rsidRPr="007E049C">
        <w:rPr>
          <w:sz w:val="24"/>
          <w:szCs w:val="24"/>
          <w:lang w:val="cs-CZ"/>
        </w:rPr>
        <w:t xml:space="preserve">současně mají </w:t>
      </w:r>
      <w:r w:rsidR="00AA18D0" w:rsidRPr="007E049C">
        <w:rPr>
          <w:sz w:val="24"/>
          <w:szCs w:val="24"/>
          <w:lang w:val="cs-CZ"/>
        </w:rPr>
        <w:t>také</w:t>
      </w:r>
      <w:r w:rsidRPr="007E049C">
        <w:rPr>
          <w:sz w:val="24"/>
          <w:szCs w:val="24"/>
          <w:lang w:val="cs-CZ"/>
        </w:rPr>
        <w:t xml:space="preserve"> volební práva </w:t>
      </w:r>
      <w:r w:rsidR="00AA18D0" w:rsidRPr="007E049C">
        <w:rPr>
          <w:sz w:val="24"/>
          <w:szCs w:val="24"/>
          <w:lang w:val="cs-CZ"/>
        </w:rPr>
        <w:t>odpovídající</w:t>
      </w:r>
      <w:r w:rsidRPr="007E049C">
        <w:rPr>
          <w:sz w:val="24"/>
          <w:szCs w:val="24"/>
          <w:lang w:val="cs-CZ"/>
        </w:rPr>
        <w:t xml:space="preserve"> této účasti v Radě konsorcia např. 3 % příspěvku = přístup k 3 % </w:t>
      </w:r>
      <w:r w:rsidR="00AA18D0" w:rsidRPr="007E049C">
        <w:rPr>
          <w:sz w:val="24"/>
          <w:szCs w:val="24"/>
          <w:lang w:val="cs-CZ"/>
        </w:rPr>
        <w:t>kapacity</w:t>
      </w:r>
      <w:r w:rsidRPr="007E049C">
        <w:rPr>
          <w:sz w:val="24"/>
          <w:szCs w:val="24"/>
          <w:lang w:val="cs-CZ"/>
        </w:rPr>
        <w:t xml:space="preserve"> a = 3 % volební </w:t>
      </w:r>
      <w:r w:rsidR="00F726DD" w:rsidRPr="007E049C">
        <w:rPr>
          <w:sz w:val="24"/>
          <w:szCs w:val="24"/>
          <w:lang w:val="cs-CZ"/>
        </w:rPr>
        <w:t>právo v</w:t>
      </w:r>
      <w:r w:rsidR="007E049C">
        <w:rPr>
          <w:sz w:val="24"/>
          <w:szCs w:val="24"/>
          <w:lang w:val="cs-CZ"/>
        </w:rPr>
        <w:t> </w:t>
      </w:r>
      <w:r w:rsidR="00F726DD" w:rsidRPr="007E049C">
        <w:rPr>
          <w:sz w:val="24"/>
          <w:szCs w:val="24"/>
          <w:lang w:val="cs-CZ"/>
        </w:rPr>
        <w:t>konsorciu</w:t>
      </w:r>
      <w:r w:rsidR="007E049C">
        <w:rPr>
          <w:sz w:val="24"/>
          <w:szCs w:val="24"/>
          <w:lang w:val="cs-CZ"/>
        </w:rPr>
        <w:t>.</w:t>
      </w:r>
    </w:p>
    <w:p w14:paraId="6E93B8E2" w14:textId="19B45372" w:rsidR="00127914" w:rsidRPr="007E049C" w:rsidRDefault="00F726DD" w:rsidP="005F7500">
      <w:pPr>
        <w:pStyle w:val="Odstavecseseznamem"/>
        <w:numPr>
          <w:ilvl w:val="0"/>
          <w:numId w:val="37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E049C">
        <w:rPr>
          <w:sz w:val="24"/>
          <w:szCs w:val="24"/>
          <w:lang w:val="cs-CZ"/>
        </w:rPr>
        <w:t>Člen konsorcia vlastní výsledky výzkumu prováděného v rámci národního programu</w:t>
      </w:r>
      <w:r w:rsidR="007E049C">
        <w:rPr>
          <w:sz w:val="24"/>
          <w:szCs w:val="24"/>
          <w:lang w:val="cs-CZ"/>
        </w:rPr>
        <w:t>.</w:t>
      </w:r>
    </w:p>
    <w:p w14:paraId="4FE394D1" w14:textId="64990A4D" w:rsidR="00F726DD" w:rsidRPr="007E049C" w:rsidRDefault="007E049C" w:rsidP="005F7500">
      <w:pPr>
        <w:pStyle w:val="Odstavecseseznamem"/>
        <w:numPr>
          <w:ilvl w:val="0"/>
          <w:numId w:val="37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E049C">
        <w:rPr>
          <w:sz w:val="24"/>
          <w:szCs w:val="24"/>
          <w:lang w:val="cs-CZ"/>
        </w:rPr>
        <w:t>P</w:t>
      </w:r>
      <w:r w:rsidR="00F726DD" w:rsidRPr="007E049C">
        <w:rPr>
          <w:sz w:val="24"/>
          <w:szCs w:val="24"/>
          <w:lang w:val="cs-CZ"/>
        </w:rPr>
        <w:t xml:space="preserve">řístupová práva mohou být do určité </w:t>
      </w:r>
      <w:r w:rsidR="00AA18D0" w:rsidRPr="007E049C">
        <w:rPr>
          <w:sz w:val="24"/>
          <w:szCs w:val="24"/>
          <w:lang w:val="cs-CZ"/>
        </w:rPr>
        <w:t>míry</w:t>
      </w:r>
      <w:r w:rsidR="00F726DD" w:rsidRPr="007E049C">
        <w:rPr>
          <w:sz w:val="24"/>
          <w:szCs w:val="24"/>
          <w:lang w:val="cs-CZ"/>
        </w:rPr>
        <w:t xml:space="preserve"> kumulována a </w:t>
      </w:r>
      <w:r w:rsidR="00AA18D0" w:rsidRPr="007E049C">
        <w:rPr>
          <w:sz w:val="24"/>
          <w:szCs w:val="24"/>
          <w:lang w:val="cs-CZ"/>
        </w:rPr>
        <w:t>také</w:t>
      </w:r>
      <w:r w:rsidR="00F726DD" w:rsidRPr="007E049C">
        <w:rPr>
          <w:sz w:val="24"/>
          <w:szCs w:val="24"/>
          <w:lang w:val="cs-CZ"/>
        </w:rPr>
        <w:t xml:space="preserve"> do určité </w:t>
      </w:r>
      <w:r w:rsidR="00AA18D0" w:rsidRPr="007E049C">
        <w:rPr>
          <w:sz w:val="24"/>
          <w:szCs w:val="24"/>
          <w:lang w:val="cs-CZ"/>
        </w:rPr>
        <w:t>míry</w:t>
      </w:r>
      <w:r w:rsidR="00F726DD" w:rsidRPr="007E049C">
        <w:rPr>
          <w:sz w:val="24"/>
          <w:szCs w:val="24"/>
          <w:lang w:val="cs-CZ"/>
        </w:rPr>
        <w:t xml:space="preserve"> převáděna z roku na rok</w:t>
      </w:r>
      <w:r>
        <w:rPr>
          <w:sz w:val="24"/>
          <w:szCs w:val="24"/>
          <w:lang w:val="cs-CZ"/>
        </w:rPr>
        <w:t>.</w:t>
      </w:r>
    </w:p>
    <w:p w14:paraId="1B7C12AA" w14:textId="27E52602" w:rsidR="00127914" w:rsidRPr="007E049C" w:rsidRDefault="00F726DD" w:rsidP="007E049C">
      <w:pPr>
        <w:pStyle w:val="Odstavecseseznamem"/>
        <w:numPr>
          <w:ilvl w:val="0"/>
          <w:numId w:val="37"/>
        </w:numPr>
        <w:spacing w:after="6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E049C">
        <w:rPr>
          <w:sz w:val="24"/>
          <w:szCs w:val="24"/>
          <w:lang w:val="cs-CZ"/>
        </w:rPr>
        <w:t>Přístupová práva pro nečleny konsorcia podléhají schválení a komerčním podmínkám Rady konsorcia.</w:t>
      </w:r>
    </w:p>
    <w:p w14:paraId="48A81668" w14:textId="4CFE4262" w:rsidR="00F726DD" w:rsidRPr="007E049C" w:rsidRDefault="00F726DD" w:rsidP="007E049C">
      <w:pPr>
        <w:pStyle w:val="Odstavecseseznamem"/>
        <w:numPr>
          <w:ilvl w:val="0"/>
          <w:numId w:val="37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  <w:lang w:val="cs-CZ"/>
        </w:rPr>
      </w:pPr>
      <w:r w:rsidRPr="007E049C">
        <w:rPr>
          <w:sz w:val="24"/>
          <w:szCs w:val="24"/>
          <w:lang w:val="cs-CZ"/>
        </w:rPr>
        <w:t>Plán využití JHR bude sepsán na období 4 let.</w:t>
      </w:r>
    </w:p>
    <w:p w14:paraId="48545C2C" w14:textId="14DB85B3" w:rsidR="00EB7C12" w:rsidRPr="007F118B" w:rsidRDefault="00F726DD" w:rsidP="007E049C">
      <w:pPr>
        <w:spacing w:after="120" w:line="240" w:lineRule="auto"/>
        <w:ind w:firstLine="426"/>
        <w:jc w:val="both"/>
        <w:rPr>
          <w:rFonts w:cs="SwiftCom-Regular"/>
          <w:b/>
          <w:sz w:val="24"/>
          <w:szCs w:val="24"/>
          <w:lang w:val="cs-CZ"/>
        </w:rPr>
      </w:pPr>
      <w:r w:rsidRPr="007F118B">
        <w:rPr>
          <w:sz w:val="24"/>
          <w:szCs w:val="24"/>
          <w:lang w:val="cs-CZ"/>
        </w:rPr>
        <w:t>Česká pravidla přístupu budou navržena v souladu s celkovými přístupovými právy tak, aby přístup českých organizací mohl začít v roce 2020.</w:t>
      </w:r>
    </w:p>
    <w:sectPr w:rsidR="00EB7C12" w:rsidRPr="007F118B" w:rsidSect="00894AFB">
      <w:footerReference w:type="default" r:id="rId9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DAB21" w14:textId="77777777" w:rsidR="00E55564" w:rsidRDefault="00E55564" w:rsidP="00803FAA">
      <w:pPr>
        <w:spacing w:after="0" w:line="240" w:lineRule="auto"/>
      </w:pPr>
      <w:r>
        <w:separator/>
      </w:r>
    </w:p>
  </w:endnote>
  <w:endnote w:type="continuationSeparator" w:id="0">
    <w:p w14:paraId="7A22383D" w14:textId="77777777" w:rsidR="00E55564" w:rsidRDefault="00E55564" w:rsidP="0080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wiftCom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78423"/>
      <w:docPartObj>
        <w:docPartGallery w:val="Page Numbers (Bottom of Page)"/>
        <w:docPartUnique/>
      </w:docPartObj>
    </w:sdtPr>
    <w:sdtEndPr/>
    <w:sdtContent>
      <w:p w14:paraId="16F75E92" w14:textId="77777777" w:rsidR="00E55564" w:rsidRDefault="00E5556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8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F3BBA4" w14:textId="77777777" w:rsidR="00E55564" w:rsidRDefault="00E555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20FBC" w14:textId="77777777" w:rsidR="00E55564" w:rsidRDefault="00E55564" w:rsidP="00803FAA">
      <w:pPr>
        <w:spacing w:after="0" w:line="240" w:lineRule="auto"/>
      </w:pPr>
      <w:r>
        <w:separator/>
      </w:r>
    </w:p>
  </w:footnote>
  <w:footnote w:type="continuationSeparator" w:id="0">
    <w:p w14:paraId="43010A9E" w14:textId="77777777" w:rsidR="00E55564" w:rsidRDefault="00E55564" w:rsidP="00803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05"/>
    <w:multiLevelType w:val="hybridMultilevel"/>
    <w:tmpl w:val="B5EE1E02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1D91655"/>
    <w:multiLevelType w:val="hybridMultilevel"/>
    <w:tmpl w:val="78FE27A8"/>
    <w:lvl w:ilvl="0" w:tplc="B53650E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5565C39"/>
    <w:multiLevelType w:val="hybridMultilevel"/>
    <w:tmpl w:val="6F64D50A"/>
    <w:lvl w:ilvl="0" w:tplc="E3B66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22DF"/>
    <w:multiLevelType w:val="hybridMultilevel"/>
    <w:tmpl w:val="68AE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4E6D"/>
    <w:multiLevelType w:val="hybridMultilevel"/>
    <w:tmpl w:val="F67CB8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2255503"/>
    <w:multiLevelType w:val="hybridMultilevel"/>
    <w:tmpl w:val="520AD08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503414"/>
    <w:multiLevelType w:val="hybridMultilevel"/>
    <w:tmpl w:val="57DAE1FE"/>
    <w:lvl w:ilvl="0" w:tplc="E9BEC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43475"/>
    <w:multiLevelType w:val="hybridMultilevel"/>
    <w:tmpl w:val="87369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13055"/>
    <w:multiLevelType w:val="hybridMultilevel"/>
    <w:tmpl w:val="F70E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03D69"/>
    <w:multiLevelType w:val="hybridMultilevel"/>
    <w:tmpl w:val="A288E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D753A"/>
    <w:multiLevelType w:val="hybridMultilevel"/>
    <w:tmpl w:val="058C3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C30CF"/>
    <w:multiLevelType w:val="hybridMultilevel"/>
    <w:tmpl w:val="38F2FE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FA36DD"/>
    <w:multiLevelType w:val="hybridMultilevel"/>
    <w:tmpl w:val="E23CA130"/>
    <w:lvl w:ilvl="0" w:tplc="6BDA17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A26E23"/>
    <w:multiLevelType w:val="hybridMultilevel"/>
    <w:tmpl w:val="9FDE6E5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42B1A21"/>
    <w:multiLevelType w:val="hybridMultilevel"/>
    <w:tmpl w:val="DA06C7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F3083"/>
    <w:multiLevelType w:val="hybridMultilevel"/>
    <w:tmpl w:val="7AD6F440"/>
    <w:lvl w:ilvl="0" w:tplc="B4A83A7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50CD0"/>
    <w:multiLevelType w:val="hybridMultilevel"/>
    <w:tmpl w:val="59F43D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6FE5C62"/>
    <w:multiLevelType w:val="hybridMultilevel"/>
    <w:tmpl w:val="B290EB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FA3865"/>
    <w:multiLevelType w:val="hybridMultilevel"/>
    <w:tmpl w:val="59880C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7765D6"/>
    <w:multiLevelType w:val="hybridMultilevel"/>
    <w:tmpl w:val="7E306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198F"/>
    <w:multiLevelType w:val="hybridMultilevel"/>
    <w:tmpl w:val="02B67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103CA"/>
    <w:multiLevelType w:val="hybridMultilevel"/>
    <w:tmpl w:val="025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793C75"/>
    <w:multiLevelType w:val="hybridMultilevel"/>
    <w:tmpl w:val="1D466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97396"/>
    <w:multiLevelType w:val="hybridMultilevel"/>
    <w:tmpl w:val="48569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367A15"/>
    <w:multiLevelType w:val="hybridMultilevel"/>
    <w:tmpl w:val="058C3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2003A"/>
    <w:multiLevelType w:val="hybridMultilevel"/>
    <w:tmpl w:val="B290EB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3A33C0"/>
    <w:multiLevelType w:val="hybridMultilevel"/>
    <w:tmpl w:val="733E75D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483157D"/>
    <w:multiLevelType w:val="hybridMultilevel"/>
    <w:tmpl w:val="27EC16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1D62BA"/>
    <w:multiLevelType w:val="hybridMultilevel"/>
    <w:tmpl w:val="94EE0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818E8"/>
    <w:multiLevelType w:val="hybridMultilevel"/>
    <w:tmpl w:val="BF549C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539EF"/>
    <w:multiLevelType w:val="hybridMultilevel"/>
    <w:tmpl w:val="767E1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A0DF0"/>
    <w:multiLevelType w:val="hybridMultilevel"/>
    <w:tmpl w:val="B1022F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2084207"/>
    <w:multiLevelType w:val="hybridMultilevel"/>
    <w:tmpl w:val="9B66341A"/>
    <w:lvl w:ilvl="0" w:tplc="3340A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526A3"/>
    <w:multiLevelType w:val="hybridMultilevel"/>
    <w:tmpl w:val="02FA9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D7F2BA3"/>
    <w:multiLevelType w:val="hybridMultilevel"/>
    <w:tmpl w:val="87369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90FEC"/>
    <w:multiLevelType w:val="hybridMultilevel"/>
    <w:tmpl w:val="B246C5F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616063C5"/>
    <w:multiLevelType w:val="hybridMultilevel"/>
    <w:tmpl w:val="90FEDB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5D5A10"/>
    <w:multiLevelType w:val="hybridMultilevel"/>
    <w:tmpl w:val="E482FF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2BA2C61"/>
    <w:multiLevelType w:val="hybridMultilevel"/>
    <w:tmpl w:val="ADB44E0C"/>
    <w:lvl w:ilvl="0" w:tplc="2EC0E74A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5968A9"/>
    <w:multiLevelType w:val="hybridMultilevel"/>
    <w:tmpl w:val="93744536"/>
    <w:lvl w:ilvl="0" w:tplc="0868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53B16"/>
    <w:multiLevelType w:val="hybridMultilevel"/>
    <w:tmpl w:val="DA06C7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3802FC"/>
    <w:multiLevelType w:val="hybridMultilevel"/>
    <w:tmpl w:val="39443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41F18"/>
    <w:multiLevelType w:val="hybridMultilevel"/>
    <w:tmpl w:val="8EA60156"/>
    <w:lvl w:ilvl="0" w:tplc="03F89D0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582827"/>
    <w:multiLevelType w:val="hybridMultilevel"/>
    <w:tmpl w:val="FCBA0724"/>
    <w:lvl w:ilvl="0" w:tplc="70BC7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19"/>
  </w:num>
  <w:num w:numId="4">
    <w:abstractNumId w:val="2"/>
  </w:num>
  <w:num w:numId="5">
    <w:abstractNumId w:val="33"/>
  </w:num>
  <w:num w:numId="6">
    <w:abstractNumId w:val="23"/>
  </w:num>
  <w:num w:numId="7">
    <w:abstractNumId w:val="3"/>
  </w:num>
  <w:num w:numId="8">
    <w:abstractNumId w:val="29"/>
  </w:num>
  <w:num w:numId="9">
    <w:abstractNumId w:val="34"/>
  </w:num>
  <w:num w:numId="10">
    <w:abstractNumId w:val="43"/>
  </w:num>
  <w:num w:numId="11">
    <w:abstractNumId w:val="36"/>
  </w:num>
  <w:num w:numId="12">
    <w:abstractNumId w:val="27"/>
  </w:num>
  <w:num w:numId="13">
    <w:abstractNumId w:val="18"/>
  </w:num>
  <w:num w:numId="14">
    <w:abstractNumId w:val="40"/>
  </w:num>
  <w:num w:numId="15">
    <w:abstractNumId w:val="14"/>
  </w:num>
  <w:num w:numId="16">
    <w:abstractNumId w:val="17"/>
  </w:num>
  <w:num w:numId="17">
    <w:abstractNumId w:val="10"/>
  </w:num>
  <w:num w:numId="18">
    <w:abstractNumId w:val="7"/>
  </w:num>
  <w:num w:numId="19">
    <w:abstractNumId w:val="41"/>
  </w:num>
  <w:num w:numId="20">
    <w:abstractNumId w:val="6"/>
  </w:num>
  <w:num w:numId="21">
    <w:abstractNumId w:val="25"/>
  </w:num>
  <w:num w:numId="22">
    <w:abstractNumId w:val="37"/>
  </w:num>
  <w:num w:numId="23">
    <w:abstractNumId w:val="8"/>
  </w:num>
  <w:num w:numId="24">
    <w:abstractNumId w:val="35"/>
  </w:num>
  <w:num w:numId="25">
    <w:abstractNumId w:val="32"/>
  </w:num>
  <w:num w:numId="26">
    <w:abstractNumId w:val="42"/>
  </w:num>
  <w:num w:numId="27">
    <w:abstractNumId w:val="38"/>
  </w:num>
  <w:num w:numId="28">
    <w:abstractNumId w:val="28"/>
  </w:num>
  <w:num w:numId="29">
    <w:abstractNumId w:val="30"/>
  </w:num>
  <w:num w:numId="30">
    <w:abstractNumId w:val="16"/>
  </w:num>
  <w:num w:numId="31">
    <w:abstractNumId w:val="31"/>
  </w:num>
  <w:num w:numId="32">
    <w:abstractNumId w:val="4"/>
  </w:num>
  <w:num w:numId="33">
    <w:abstractNumId w:val="11"/>
  </w:num>
  <w:num w:numId="34">
    <w:abstractNumId w:val="0"/>
  </w:num>
  <w:num w:numId="35">
    <w:abstractNumId w:val="13"/>
  </w:num>
  <w:num w:numId="36">
    <w:abstractNumId w:val="12"/>
  </w:num>
  <w:num w:numId="37">
    <w:abstractNumId w:val="9"/>
  </w:num>
  <w:num w:numId="38">
    <w:abstractNumId w:val="39"/>
  </w:num>
  <w:num w:numId="39">
    <w:abstractNumId w:val="26"/>
  </w:num>
  <w:num w:numId="40">
    <w:abstractNumId w:val="5"/>
  </w:num>
  <w:num w:numId="41">
    <w:abstractNumId w:val="21"/>
  </w:num>
  <w:num w:numId="42">
    <w:abstractNumId w:val="22"/>
  </w:num>
  <w:num w:numId="43">
    <w:abstractNumId w:val="15"/>
  </w:num>
  <w:num w:numId="44">
    <w:abstractNumId w:val="1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tzanyová Naděžda">
    <w15:presenceInfo w15:providerId="AD" w15:userId="S-1-5-21-795126438-2552595135-4144130398-8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FC"/>
    <w:rsid w:val="00010837"/>
    <w:rsid w:val="00012F88"/>
    <w:rsid w:val="00013C02"/>
    <w:rsid w:val="0001566B"/>
    <w:rsid w:val="0002449D"/>
    <w:rsid w:val="00025DA8"/>
    <w:rsid w:val="0002723A"/>
    <w:rsid w:val="000309B8"/>
    <w:rsid w:val="00034D1C"/>
    <w:rsid w:val="00045346"/>
    <w:rsid w:val="000514EA"/>
    <w:rsid w:val="00052F83"/>
    <w:rsid w:val="0006344E"/>
    <w:rsid w:val="00065DF1"/>
    <w:rsid w:val="00066446"/>
    <w:rsid w:val="000762E6"/>
    <w:rsid w:val="000828F4"/>
    <w:rsid w:val="0008317B"/>
    <w:rsid w:val="00097B95"/>
    <w:rsid w:val="000A0764"/>
    <w:rsid w:val="000A0D9F"/>
    <w:rsid w:val="000A2C2E"/>
    <w:rsid w:val="000A58A8"/>
    <w:rsid w:val="000B33A2"/>
    <w:rsid w:val="000B703D"/>
    <w:rsid w:val="000C0E1C"/>
    <w:rsid w:val="000C4910"/>
    <w:rsid w:val="000D06D9"/>
    <w:rsid w:val="000D4455"/>
    <w:rsid w:val="000D6914"/>
    <w:rsid w:val="000F07B0"/>
    <w:rsid w:val="000F30FD"/>
    <w:rsid w:val="001053EA"/>
    <w:rsid w:val="00105B45"/>
    <w:rsid w:val="00111528"/>
    <w:rsid w:val="00120873"/>
    <w:rsid w:val="00120968"/>
    <w:rsid w:val="0012379F"/>
    <w:rsid w:val="00124151"/>
    <w:rsid w:val="00127914"/>
    <w:rsid w:val="001353D4"/>
    <w:rsid w:val="00162D34"/>
    <w:rsid w:val="00170466"/>
    <w:rsid w:val="00171DA3"/>
    <w:rsid w:val="00177445"/>
    <w:rsid w:val="00180AB3"/>
    <w:rsid w:val="00184D52"/>
    <w:rsid w:val="0019033C"/>
    <w:rsid w:val="00191AC0"/>
    <w:rsid w:val="00194225"/>
    <w:rsid w:val="001A5DE2"/>
    <w:rsid w:val="001B0370"/>
    <w:rsid w:val="001D15A3"/>
    <w:rsid w:val="001D4D9A"/>
    <w:rsid w:val="001E3F8A"/>
    <w:rsid w:val="001F2990"/>
    <w:rsid w:val="001F35FA"/>
    <w:rsid w:val="00206693"/>
    <w:rsid w:val="0020732E"/>
    <w:rsid w:val="00216D54"/>
    <w:rsid w:val="00224C95"/>
    <w:rsid w:val="002362A8"/>
    <w:rsid w:val="002370EB"/>
    <w:rsid w:val="00240860"/>
    <w:rsid w:val="002426A1"/>
    <w:rsid w:val="0024473F"/>
    <w:rsid w:val="00244D97"/>
    <w:rsid w:val="0024609E"/>
    <w:rsid w:val="00273CB6"/>
    <w:rsid w:val="002769FF"/>
    <w:rsid w:val="00284750"/>
    <w:rsid w:val="00287247"/>
    <w:rsid w:val="00287CB0"/>
    <w:rsid w:val="00294A7D"/>
    <w:rsid w:val="002A5717"/>
    <w:rsid w:val="002B7B71"/>
    <w:rsid w:val="002C1AC6"/>
    <w:rsid w:val="002D2722"/>
    <w:rsid w:val="002D724D"/>
    <w:rsid w:val="002E7FB6"/>
    <w:rsid w:val="002F35BA"/>
    <w:rsid w:val="002F3ED8"/>
    <w:rsid w:val="002F46E0"/>
    <w:rsid w:val="002F49EA"/>
    <w:rsid w:val="002F6FF2"/>
    <w:rsid w:val="003004CB"/>
    <w:rsid w:val="00322238"/>
    <w:rsid w:val="003271C8"/>
    <w:rsid w:val="00347DD6"/>
    <w:rsid w:val="00363A14"/>
    <w:rsid w:val="003768DB"/>
    <w:rsid w:val="003773E5"/>
    <w:rsid w:val="00380130"/>
    <w:rsid w:val="00394949"/>
    <w:rsid w:val="003A1EB9"/>
    <w:rsid w:val="003A7617"/>
    <w:rsid w:val="003B0BA9"/>
    <w:rsid w:val="003B202A"/>
    <w:rsid w:val="003B5265"/>
    <w:rsid w:val="003C4FA9"/>
    <w:rsid w:val="003C5824"/>
    <w:rsid w:val="003C76A1"/>
    <w:rsid w:val="003D6EA7"/>
    <w:rsid w:val="003D74C2"/>
    <w:rsid w:val="003E0394"/>
    <w:rsid w:val="003E2D69"/>
    <w:rsid w:val="003E53B2"/>
    <w:rsid w:val="003E760C"/>
    <w:rsid w:val="003F6E35"/>
    <w:rsid w:val="003F7D78"/>
    <w:rsid w:val="004010A8"/>
    <w:rsid w:val="00413F09"/>
    <w:rsid w:val="004226CB"/>
    <w:rsid w:val="004239F2"/>
    <w:rsid w:val="00424F8F"/>
    <w:rsid w:val="0043512F"/>
    <w:rsid w:val="00441E84"/>
    <w:rsid w:val="00443A9C"/>
    <w:rsid w:val="0045071E"/>
    <w:rsid w:val="004532EF"/>
    <w:rsid w:val="0045431F"/>
    <w:rsid w:val="00454B95"/>
    <w:rsid w:val="0045791D"/>
    <w:rsid w:val="00466D2E"/>
    <w:rsid w:val="00486806"/>
    <w:rsid w:val="004C4976"/>
    <w:rsid w:val="004C56C5"/>
    <w:rsid w:val="004D5B29"/>
    <w:rsid w:val="004D7B1F"/>
    <w:rsid w:val="004E721B"/>
    <w:rsid w:val="004F1956"/>
    <w:rsid w:val="004F7725"/>
    <w:rsid w:val="004F79B7"/>
    <w:rsid w:val="00503BD3"/>
    <w:rsid w:val="00505D79"/>
    <w:rsid w:val="00511177"/>
    <w:rsid w:val="00513035"/>
    <w:rsid w:val="00513853"/>
    <w:rsid w:val="00522937"/>
    <w:rsid w:val="005277AA"/>
    <w:rsid w:val="00531464"/>
    <w:rsid w:val="00533915"/>
    <w:rsid w:val="00536B33"/>
    <w:rsid w:val="00544FF8"/>
    <w:rsid w:val="00552D4F"/>
    <w:rsid w:val="005551BF"/>
    <w:rsid w:val="005559AC"/>
    <w:rsid w:val="00560F14"/>
    <w:rsid w:val="005628A5"/>
    <w:rsid w:val="00565D44"/>
    <w:rsid w:val="00572745"/>
    <w:rsid w:val="00582C4F"/>
    <w:rsid w:val="0059141A"/>
    <w:rsid w:val="005915A0"/>
    <w:rsid w:val="005A5B91"/>
    <w:rsid w:val="005A6553"/>
    <w:rsid w:val="005A695D"/>
    <w:rsid w:val="005B041B"/>
    <w:rsid w:val="005B0D4A"/>
    <w:rsid w:val="005B7A39"/>
    <w:rsid w:val="005D2615"/>
    <w:rsid w:val="005D5D5E"/>
    <w:rsid w:val="005E0CB4"/>
    <w:rsid w:val="005E1822"/>
    <w:rsid w:val="005F7500"/>
    <w:rsid w:val="0061138F"/>
    <w:rsid w:val="00613A57"/>
    <w:rsid w:val="00614E14"/>
    <w:rsid w:val="00617695"/>
    <w:rsid w:val="00617BCC"/>
    <w:rsid w:val="00621AC5"/>
    <w:rsid w:val="006230BA"/>
    <w:rsid w:val="0062499A"/>
    <w:rsid w:val="006251DD"/>
    <w:rsid w:val="00627026"/>
    <w:rsid w:val="00630767"/>
    <w:rsid w:val="006347E5"/>
    <w:rsid w:val="0064637D"/>
    <w:rsid w:val="006552C2"/>
    <w:rsid w:val="00656A77"/>
    <w:rsid w:val="00662066"/>
    <w:rsid w:val="0068648B"/>
    <w:rsid w:val="006915B2"/>
    <w:rsid w:val="00692439"/>
    <w:rsid w:val="006A0E3C"/>
    <w:rsid w:val="006A39C4"/>
    <w:rsid w:val="006A6FEA"/>
    <w:rsid w:val="006A79B7"/>
    <w:rsid w:val="006B01D4"/>
    <w:rsid w:val="006B300D"/>
    <w:rsid w:val="006B6A6C"/>
    <w:rsid w:val="006C4FB0"/>
    <w:rsid w:val="006C5679"/>
    <w:rsid w:val="006D070D"/>
    <w:rsid w:val="006D4621"/>
    <w:rsid w:val="006D6352"/>
    <w:rsid w:val="006D6DB9"/>
    <w:rsid w:val="006F706D"/>
    <w:rsid w:val="006F7220"/>
    <w:rsid w:val="00703FEB"/>
    <w:rsid w:val="0070606D"/>
    <w:rsid w:val="00707478"/>
    <w:rsid w:val="007110F9"/>
    <w:rsid w:val="0071484C"/>
    <w:rsid w:val="007238D7"/>
    <w:rsid w:val="0072518E"/>
    <w:rsid w:val="007271C3"/>
    <w:rsid w:val="00727236"/>
    <w:rsid w:val="00735D25"/>
    <w:rsid w:val="00743A89"/>
    <w:rsid w:val="00744441"/>
    <w:rsid w:val="00753C28"/>
    <w:rsid w:val="0075478D"/>
    <w:rsid w:val="00755F57"/>
    <w:rsid w:val="00757884"/>
    <w:rsid w:val="00774652"/>
    <w:rsid w:val="00780CD5"/>
    <w:rsid w:val="00785511"/>
    <w:rsid w:val="0079140A"/>
    <w:rsid w:val="00794788"/>
    <w:rsid w:val="00796A5A"/>
    <w:rsid w:val="007A186F"/>
    <w:rsid w:val="007A20C5"/>
    <w:rsid w:val="007B3209"/>
    <w:rsid w:val="007B4FD2"/>
    <w:rsid w:val="007C2F23"/>
    <w:rsid w:val="007D2C8E"/>
    <w:rsid w:val="007D7F03"/>
    <w:rsid w:val="007E049C"/>
    <w:rsid w:val="007E31F7"/>
    <w:rsid w:val="007E6185"/>
    <w:rsid w:val="007E7C36"/>
    <w:rsid w:val="007F0A97"/>
    <w:rsid w:val="007F118B"/>
    <w:rsid w:val="007F5A71"/>
    <w:rsid w:val="007F634E"/>
    <w:rsid w:val="007F74CE"/>
    <w:rsid w:val="0080011A"/>
    <w:rsid w:val="00803781"/>
    <w:rsid w:val="00803FAA"/>
    <w:rsid w:val="008059F8"/>
    <w:rsid w:val="00824CE7"/>
    <w:rsid w:val="00825672"/>
    <w:rsid w:val="00831C67"/>
    <w:rsid w:val="00833F3B"/>
    <w:rsid w:val="00836EC9"/>
    <w:rsid w:val="00842A66"/>
    <w:rsid w:val="008436B1"/>
    <w:rsid w:val="00847C6B"/>
    <w:rsid w:val="008507EA"/>
    <w:rsid w:val="0085553B"/>
    <w:rsid w:val="00856721"/>
    <w:rsid w:val="00862983"/>
    <w:rsid w:val="00863BE1"/>
    <w:rsid w:val="00870AF4"/>
    <w:rsid w:val="0087409B"/>
    <w:rsid w:val="0088203E"/>
    <w:rsid w:val="008830DA"/>
    <w:rsid w:val="00892430"/>
    <w:rsid w:val="00894AFB"/>
    <w:rsid w:val="008950B7"/>
    <w:rsid w:val="008B3F99"/>
    <w:rsid w:val="008C2E7D"/>
    <w:rsid w:val="008E1BFA"/>
    <w:rsid w:val="008E56D0"/>
    <w:rsid w:val="008E7700"/>
    <w:rsid w:val="008F7581"/>
    <w:rsid w:val="009140F2"/>
    <w:rsid w:val="00915166"/>
    <w:rsid w:val="00921A9D"/>
    <w:rsid w:val="00924E13"/>
    <w:rsid w:val="00934F3B"/>
    <w:rsid w:val="0093733B"/>
    <w:rsid w:val="009379FB"/>
    <w:rsid w:val="00937CE7"/>
    <w:rsid w:val="00944960"/>
    <w:rsid w:val="00945708"/>
    <w:rsid w:val="00945DA9"/>
    <w:rsid w:val="0095157C"/>
    <w:rsid w:val="00952AA0"/>
    <w:rsid w:val="009572B6"/>
    <w:rsid w:val="00960200"/>
    <w:rsid w:val="00963BAC"/>
    <w:rsid w:val="009970D9"/>
    <w:rsid w:val="009A029E"/>
    <w:rsid w:val="009A289A"/>
    <w:rsid w:val="009B5C72"/>
    <w:rsid w:val="009C04A0"/>
    <w:rsid w:val="009C2B9D"/>
    <w:rsid w:val="009C6B79"/>
    <w:rsid w:val="009D3CE2"/>
    <w:rsid w:val="009D43E4"/>
    <w:rsid w:val="009D4E09"/>
    <w:rsid w:val="009D7723"/>
    <w:rsid w:val="009E1177"/>
    <w:rsid w:val="009E67F3"/>
    <w:rsid w:val="009E718D"/>
    <w:rsid w:val="009F01BA"/>
    <w:rsid w:val="009F3F7D"/>
    <w:rsid w:val="009F68F2"/>
    <w:rsid w:val="00A124A7"/>
    <w:rsid w:val="00A1490F"/>
    <w:rsid w:val="00A17304"/>
    <w:rsid w:val="00A21920"/>
    <w:rsid w:val="00A246E9"/>
    <w:rsid w:val="00A24F2F"/>
    <w:rsid w:val="00A264A7"/>
    <w:rsid w:val="00A26C48"/>
    <w:rsid w:val="00A375F1"/>
    <w:rsid w:val="00A527C1"/>
    <w:rsid w:val="00A602BA"/>
    <w:rsid w:val="00A60A26"/>
    <w:rsid w:val="00A6179C"/>
    <w:rsid w:val="00A62184"/>
    <w:rsid w:val="00A677DF"/>
    <w:rsid w:val="00A738F7"/>
    <w:rsid w:val="00A82EB4"/>
    <w:rsid w:val="00A903C1"/>
    <w:rsid w:val="00A90551"/>
    <w:rsid w:val="00A93C14"/>
    <w:rsid w:val="00A9702C"/>
    <w:rsid w:val="00AA18D0"/>
    <w:rsid w:val="00AA75EB"/>
    <w:rsid w:val="00AB1001"/>
    <w:rsid w:val="00AB2420"/>
    <w:rsid w:val="00AC39BB"/>
    <w:rsid w:val="00AE4B55"/>
    <w:rsid w:val="00AF17FF"/>
    <w:rsid w:val="00AF4528"/>
    <w:rsid w:val="00AF661C"/>
    <w:rsid w:val="00B00C89"/>
    <w:rsid w:val="00B01B89"/>
    <w:rsid w:val="00B01E5B"/>
    <w:rsid w:val="00B02922"/>
    <w:rsid w:val="00B1050D"/>
    <w:rsid w:val="00B21261"/>
    <w:rsid w:val="00B2541C"/>
    <w:rsid w:val="00B27EC4"/>
    <w:rsid w:val="00B32D0A"/>
    <w:rsid w:val="00B4234B"/>
    <w:rsid w:val="00B42384"/>
    <w:rsid w:val="00B46049"/>
    <w:rsid w:val="00B47465"/>
    <w:rsid w:val="00B55289"/>
    <w:rsid w:val="00B611FA"/>
    <w:rsid w:val="00B701E5"/>
    <w:rsid w:val="00B714D2"/>
    <w:rsid w:val="00B80481"/>
    <w:rsid w:val="00B80A01"/>
    <w:rsid w:val="00B83652"/>
    <w:rsid w:val="00B86C2B"/>
    <w:rsid w:val="00B9479F"/>
    <w:rsid w:val="00BB60FA"/>
    <w:rsid w:val="00BB6C65"/>
    <w:rsid w:val="00BC05EA"/>
    <w:rsid w:val="00BC32E5"/>
    <w:rsid w:val="00BD3545"/>
    <w:rsid w:val="00BD40F3"/>
    <w:rsid w:val="00BD5084"/>
    <w:rsid w:val="00BF01AF"/>
    <w:rsid w:val="00BF1E30"/>
    <w:rsid w:val="00BF43EA"/>
    <w:rsid w:val="00C005FD"/>
    <w:rsid w:val="00C0082D"/>
    <w:rsid w:val="00C04135"/>
    <w:rsid w:val="00C067D3"/>
    <w:rsid w:val="00C0686B"/>
    <w:rsid w:val="00C10ECC"/>
    <w:rsid w:val="00C17297"/>
    <w:rsid w:val="00C175FC"/>
    <w:rsid w:val="00C200D0"/>
    <w:rsid w:val="00C22C74"/>
    <w:rsid w:val="00C26DD6"/>
    <w:rsid w:val="00C36B49"/>
    <w:rsid w:val="00C4169C"/>
    <w:rsid w:val="00C45CFF"/>
    <w:rsid w:val="00C521F4"/>
    <w:rsid w:val="00C52439"/>
    <w:rsid w:val="00C52FE1"/>
    <w:rsid w:val="00C6334F"/>
    <w:rsid w:val="00C710CD"/>
    <w:rsid w:val="00C835BB"/>
    <w:rsid w:val="00C93B4E"/>
    <w:rsid w:val="00C944A6"/>
    <w:rsid w:val="00CA77C5"/>
    <w:rsid w:val="00CB1720"/>
    <w:rsid w:val="00CB2278"/>
    <w:rsid w:val="00CB23A5"/>
    <w:rsid w:val="00CB3E97"/>
    <w:rsid w:val="00CB49B6"/>
    <w:rsid w:val="00CC1D28"/>
    <w:rsid w:val="00CC7090"/>
    <w:rsid w:val="00CD1DB5"/>
    <w:rsid w:val="00CD5C70"/>
    <w:rsid w:val="00CE38EA"/>
    <w:rsid w:val="00CF7CB2"/>
    <w:rsid w:val="00D022B2"/>
    <w:rsid w:val="00D046FA"/>
    <w:rsid w:val="00D06F65"/>
    <w:rsid w:val="00D17E1C"/>
    <w:rsid w:val="00D33E57"/>
    <w:rsid w:val="00D45A7D"/>
    <w:rsid w:val="00D45F74"/>
    <w:rsid w:val="00D52684"/>
    <w:rsid w:val="00D6359A"/>
    <w:rsid w:val="00D67F44"/>
    <w:rsid w:val="00D7176A"/>
    <w:rsid w:val="00D810E8"/>
    <w:rsid w:val="00D85BBC"/>
    <w:rsid w:val="00D87163"/>
    <w:rsid w:val="00D93816"/>
    <w:rsid w:val="00DA17D2"/>
    <w:rsid w:val="00DA2E95"/>
    <w:rsid w:val="00DA3138"/>
    <w:rsid w:val="00DA46A6"/>
    <w:rsid w:val="00DB2631"/>
    <w:rsid w:val="00DB39AC"/>
    <w:rsid w:val="00DB3A21"/>
    <w:rsid w:val="00DC3825"/>
    <w:rsid w:val="00DD19E5"/>
    <w:rsid w:val="00DD4777"/>
    <w:rsid w:val="00DE1554"/>
    <w:rsid w:val="00DE188B"/>
    <w:rsid w:val="00DF15F2"/>
    <w:rsid w:val="00DF29EA"/>
    <w:rsid w:val="00DF3E25"/>
    <w:rsid w:val="00DF519B"/>
    <w:rsid w:val="00DF60A1"/>
    <w:rsid w:val="00DF7DE2"/>
    <w:rsid w:val="00E00C15"/>
    <w:rsid w:val="00E02A92"/>
    <w:rsid w:val="00E0643A"/>
    <w:rsid w:val="00E07F61"/>
    <w:rsid w:val="00E106FC"/>
    <w:rsid w:val="00E10C9D"/>
    <w:rsid w:val="00E1109D"/>
    <w:rsid w:val="00E15074"/>
    <w:rsid w:val="00E161CE"/>
    <w:rsid w:val="00E25F13"/>
    <w:rsid w:val="00E32EAE"/>
    <w:rsid w:val="00E402D6"/>
    <w:rsid w:val="00E55564"/>
    <w:rsid w:val="00E6233C"/>
    <w:rsid w:val="00E64400"/>
    <w:rsid w:val="00E6548C"/>
    <w:rsid w:val="00E826BC"/>
    <w:rsid w:val="00E8282C"/>
    <w:rsid w:val="00E87609"/>
    <w:rsid w:val="00E92685"/>
    <w:rsid w:val="00E955ED"/>
    <w:rsid w:val="00EA0629"/>
    <w:rsid w:val="00EB637D"/>
    <w:rsid w:val="00EB7C12"/>
    <w:rsid w:val="00ED2775"/>
    <w:rsid w:val="00ED665D"/>
    <w:rsid w:val="00EE0D78"/>
    <w:rsid w:val="00EE358E"/>
    <w:rsid w:val="00EE500C"/>
    <w:rsid w:val="00EE6DFA"/>
    <w:rsid w:val="00EE7504"/>
    <w:rsid w:val="00EF3A1B"/>
    <w:rsid w:val="00EF4F77"/>
    <w:rsid w:val="00EF7F15"/>
    <w:rsid w:val="00F01288"/>
    <w:rsid w:val="00F0515D"/>
    <w:rsid w:val="00F06804"/>
    <w:rsid w:val="00F11D70"/>
    <w:rsid w:val="00F16633"/>
    <w:rsid w:val="00F231FF"/>
    <w:rsid w:val="00F25A44"/>
    <w:rsid w:val="00F26E05"/>
    <w:rsid w:val="00F26FFE"/>
    <w:rsid w:val="00F321E7"/>
    <w:rsid w:val="00F471A0"/>
    <w:rsid w:val="00F50E7E"/>
    <w:rsid w:val="00F53225"/>
    <w:rsid w:val="00F53ED4"/>
    <w:rsid w:val="00F578F9"/>
    <w:rsid w:val="00F650F9"/>
    <w:rsid w:val="00F6611A"/>
    <w:rsid w:val="00F707B1"/>
    <w:rsid w:val="00F70DF9"/>
    <w:rsid w:val="00F726DD"/>
    <w:rsid w:val="00F816B9"/>
    <w:rsid w:val="00F92656"/>
    <w:rsid w:val="00FA1F40"/>
    <w:rsid w:val="00FA27AB"/>
    <w:rsid w:val="00FA3507"/>
    <w:rsid w:val="00FA6111"/>
    <w:rsid w:val="00FA70E4"/>
    <w:rsid w:val="00FA7C1D"/>
    <w:rsid w:val="00FC4540"/>
    <w:rsid w:val="00FC5423"/>
    <w:rsid w:val="00FD35C2"/>
    <w:rsid w:val="00FD4346"/>
    <w:rsid w:val="00FD5A40"/>
    <w:rsid w:val="00FE62AF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74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75FC"/>
    <w:pPr>
      <w:spacing w:after="200" w:line="276" w:lineRule="auto"/>
    </w:pPr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36B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36B1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5FC"/>
    <w:pPr>
      <w:ind w:left="720"/>
      <w:contextualSpacing/>
    </w:pPr>
  </w:style>
  <w:style w:type="paragraph" w:customStyle="1" w:styleId="Default">
    <w:name w:val="Default"/>
    <w:rsid w:val="00C175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LightList-Accent11">
    <w:name w:val="Light List - Accent 11"/>
    <w:basedOn w:val="Normlntabulka"/>
    <w:uiPriority w:val="61"/>
    <w:rsid w:val="00C175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Mkatabulky">
    <w:name w:val="Table Grid"/>
    <w:basedOn w:val="Normlntabulka"/>
    <w:uiPriority w:val="39"/>
    <w:rsid w:val="00C175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75FC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75F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75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75FC"/>
    <w:pPr>
      <w:spacing w:after="160" w:line="240" w:lineRule="auto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75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75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75F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0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3FAA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80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3FAA"/>
    <w:rPr>
      <w:lang w:val="en-GB"/>
    </w:rPr>
  </w:style>
  <w:style w:type="character" w:styleId="Hypertextovodkaz">
    <w:name w:val="Hyperlink"/>
    <w:basedOn w:val="Standardnpsmoodstavce"/>
    <w:uiPriority w:val="99"/>
    <w:unhideWhenUsed/>
    <w:rsid w:val="00347DD6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08317B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436B1"/>
    <w:rPr>
      <w:rFonts w:eastAsiaTheme="majorEastAsia" w:cstheme="majorBidi"/>
      <w:b/>
      <w:bCs/>
      <w:sz w:val="28"/>
      <w:szCs w:val="28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8436B1"/>
    <w:rPr>
      <w:rFonts w:eastAsiaTheme="majorEastAsia" w:cstheme="majorBidi"/>
      <w:b/>
      <w:bCs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75FC"/>
    <w:pPr>
      <w:spacing w:after="200" w:line="276" w:lineRule="auto"/>
    </w:pPr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36B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36B1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5FC"/>
    <w:pPr>
      <w:ind w:left="720"/>
      <w:contextualSpacing/>
    </w:pPr>
  </w:style>
  <w:style w:type="paragraph" w:customStyle="1" w:styleId="Default">
    <w:name w:val="Default"/>
    <w:rsid w:val="00C175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LightList-Accent11">
    <w:name w:val="Light List - Accent 11"/>
    <w:basedOn w:val="Normlntabulka"/>
    <w:uiPriority w:val="61"/>
    <w:rsid w:val="00C175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Mkatabulky">
    <w:name w:val="Table Grid"/>
    <w:basedOn w:val="Normlntabulka"/>
    <w:uiPriority w:val="39"/>
    <w:rsid w:val="00C175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75FC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75F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75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75FC"/>
    <w:pPr>
      <w:spacing w:after="160" w:line="240" w:lineRule="auto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75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75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75F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0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3FAA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80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3FAA"/>
    <w:rPr>
      <w:lang w:val="en-GB"/>
    </w:rPr>
  </w:style>
  <w:style w:type="character" w:styleId="Hypertextovodkaz">
    <w:name w:val="Hyperlink"/>
    <w:basedOn w:val="Standardnpsmoodstavce"/>
    <w:uiPriority w:val="99"/>
    <w:unhideWhenUsed/>
    <w:rsid w:val="00347DD6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08317B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436B1"/>
    <w:rPr>
      <w:rFonts w:eastAsiaTheme="majorEastAsia" w:cstheme="majorBidi"/>
      <w:b/>
      <w:bCs/>
      <w:sz w:val="28"/>
      <w:szCs w:val="28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8436B1"/>
    <w:rPr>
      <w:rFonts w:eastAsiaTheme="majorEastAsia" w:cstheme="majorBidi"/>
      <w:b/>
      <w:bCs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58E9-786A-4DCA-AF96-DEA1BD6F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4011</Words>
  <Characters>23669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Radislav</dc:creator>
  <cp:lastModifiedBy>Ventluka Petr</cp:lastModifiedBy>
  <cp:revision>8</cp:revision>
  <cp:lastPrinted>2014-01-16T10:15:00Z</cp:lastPrinted>
  <dcterms:created xsi:type="dcterms:W3CDTF">2015-02-16T14:24:00Z</dcterms:created>
  <dcterms:modified xsi:type="dcterms:W3CDTF">2015-02-16T14:43:00Z</dcterms:modified>
</cp:coreProperties>
</file>