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DC79C8" w:rsidRDefault="00DC79C8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Regionální centrum pokročilých technologií a materiálů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DC79C8" w:rsidRDefault="00575799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Univerzita Palackého v Olomouci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DC79C8" w:rsidRDefault="00DC79C8" w:rsidP="00575799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CZ.1.05/2.1.00/03.</w:t>
            </w:r>
            <w:r w:rsidR="008246A2">
              <w:rPr>
                <w:rFonts w:asciiTheme="minorHAnsi" w:hAnsiTheme="minorHAnsi" w:cstheme="minorHAnsi"/>
                <w:sz w:val="20"/>
                <w:szCs w:val="20"/>
              </w:rPr>
              <w:t>0058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DC79C8" w:rsidRPr="00DC79C8" w:rsidRDefault="00DC79C8" w:rsidP="00DC79C8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 xml:space="preserve">Křížkovského 511/8, 779 00 Olomouc </w:t>
            </w:r>
          </w:p>
          <w:p w:rsidR="00DC79C8" w:rsidRPr="00DC79C8" w:rsidRDefault="00DC79C8" w:rsidP="00DC79C8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(sídlo projektu:</w:t>
            </w:r>
          </w:p>
          <w:p w:rsidR="00DC79C8" w:rsidRPr="00DC79C8" w:rsidRDefault="00DC79C8" w:rsidP="00DC79C8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Přírodovědecká fakulta Univerzity Palackého v Olomouci</w:t>
            </w:r>
          </w:p>
          <w:p w:rsidR="00F74C5F" w:rsidRPr="00DC79C8" w:rsidRDefault="00DC79C8" w:rsidP="00DC79C8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Šlechtitelů 21, 783 71 Olomouc – Holice)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DC79C8" w:rsidRDefault="00DC79C8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C79C8">
              <w:rPr>
                <w:rFonts w:asciiTheme="minorHAnsi" w:hAnsiTheme="minorHAnsi" w:cstheme="minorHAnsi"/>
                <w:sz w:val="20"/>
                <w:szCs w:val="20"/>
              </w:rPr>
              <w:t xml:space="preserve">2.2  - Regionální </w:t>
            </w:r>
            <w:proofErr w:type="spellStart"/>
            <w:r w:rsidRPr="00DC79C8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Pr="00DC79C8">
              <w:rPr>
                <w:rFonts w:asciiTheme="minorHAnsi" w:hAnsiTheme="minorHAnsi" w:cstheme="minorHAnsi"/>
                <w:sz w:val="20"/>
                <w:szCs w:val="20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8246A2" w:rsidRDefault="00AF306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246A2">
              <w:rPr>
                <w:rFonts w:asciiTheme="minorHAnsi" w:hAnsiTheme="minorHAnsi" w:cstheme="minorHAnsi"/>
                <w:sz w:val="20"/>
                <w:szCs w:val="20"/>
              </w:rPr>
              <w:t>12. 7. 2010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8246A2">
              <w:rPr>
                <w:sz w:val="18"/>
              </w:rPr>
              <w:t xml:space="preserve"> </w:t>
            </w:r>
            <w:r w:rsidR="00AF306B" w:rsidRPr="008246A2">
              <w:rPr>
                <w:rFonts w:asciiTheme="minorHAnsi" w:hAnsiTheme="minorHAnsi" w:cstheme="minorHAnsi"/>
                <w:sz w:val="20"/>
                <w:szCs w:val="20"/>
              </w:rPr>
              <w:t>1. 10. 2010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8246A2">
              <w:rPr>
                <w:sz w:val="18"/>
              </w:rPr>
              <w:t xml:space="preserve"> </w:t>
            </w:r>
            <w:r w:rsidR="00AF306B">
              <w:rPr>
                <w:rFonts w:asciiTheme="minorHAnsi" w:hAnsiTheme="minorHAnsi" w:cstheme="minorHAnsi"/>
                <w:sz w:val="20"/>
                <w:szCs w:val="20"/>
              </w:rPr>
              <w:t>30. 9. 2014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Pr="00AA442B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BC1100">
              <w:rPr>
                <w:sz w:val="18"/>
              </w:rPr>
              <w:t xml:space="preserve"> </w:t>
            </w:r>
            <w:r w:rsidR="00BC1100" w:rsidRPr="00BC1100">
              <w:rPr>
                <w:rFonts w:asciiTheme="minorHAnsi" w:hAnsiTheme="minorHAnsi" w:cstheme="minorHAnsi"/>
                <w:sz w:val="20"/>
                <w:szCs w:val="20"/>
              </w:rPr>
              <w:t>544.815.080,- Kč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BC1100" w:rsidRDefault="00BC110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C1100">
              <w:rPr>
                <w:rFonts w:asciiTheme="minorHAnsi" w:hAnsiTheme="minorHAnsi" w:cstheme="minorHAnsi"/>
                <w:sz w:val="20"/>
                <w:szCs w:val="20"/>
              </w:rPr>
              <w:t>81.722.262,- Kč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  <w:r w:rsidR="00BC1100">
              <w:rPr>
                <w:sz w:val="18"/>
              </w:rPr>
              <w:t xml:space="preserve">  </w:t>
            </w:r>
            <w:r w:rsidR="00BC1100" w:rsidRPr="00BC1100">
              <w:rPr>
                <w:rFonts w:asciiTheme="minorHAnsi" w:hAnsiTheme="minorHAnsi" w:cstheme="minorHAnsi"/>
                <w:sz w:val="20"/>
                <w:szCs w:val="20"/>
              </w:rPr>
              <w:t>463.092.818,-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BE0E88">
              <w:rPr>
                <w:sz w:val="18"/>
              </w:rPr>
              <w:t xml:space="preserve"> 171.540.760,- Kč,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BE0E88">
              <w:rPr>
                <w:sz w:val="18"/>
              </w:rPr>
              <w:t xml:space="preserve"> 246.909.463,- Kč,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BE0E88">
              <w:rPr>
                <w:sz w:val="18"/>
              </w:rPr>
              <w:t xml:space="preserve"> 79.977.996,- Kč,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BE0E88">
              <w:rPr>
                <w:sz w:val="18"/>
              </w:rPr>
              <w:t xml:space="preserve"> 46.386.861,- Kč.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DF27E3" w:rsidP="00F34368">
            <w:pPr>
              <w:spacing w:before="60" w:after="60" w:line="240" w:lineRule="auto"/>
              <w:rPr>
                <w:sz w:val="16"/>
              </w:rPr>
            </w:pPr>
            <w:r w:rsidRPr="00DF27E3">
              <w:rPr>
                <w:rFonts w:asciiTheme="minorHAnsi" w:hAnsiTheme="minorHAnsi" w:cstheme="minorHAnsi"/>
                <w:sz w:val="20"/>
                <w:szCs w:val="20"/>
              </w:rPr>
              <w:t xml:space="preserve">Cílem Centra je transfer a vývoj </w:t>
            </w:r>
            <w:proofErr w:type="spellStart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>high-tech</w:t>
            </w:r>
            <w:proofErr w:type="spellEnd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 xml:space="preserve"> technologií do medicínské, průmyslové a environmentální praxe a účast Centra v prestižních mezinárodních sítích a konsorciích. Zaměřuje se na výzkum v oblasti nanočástic oxidu kovů pro katalytické a magnetické aplikace, uhlíkatých </w:t>
            </w:r>
            <w:proofErr w:type="spellStart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>nanostruktur</w:t>
            </w:r>
            <w:proofErr w:type="spellEnd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 xml:space="preserve">, nanočástic kovů pro antimikrobiální technologie a technologie čištění vody, koordinační chemie, </w:t>
            </w:r>
            <w:proofErr w:type="spellStart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>fotoniky</w:t>
            </w:r>
            <w:proofErr w:type="spellEnd"/>
            <w:r w:rsidRPr="00DF27E3">
              <w:rPr>
                <w:rFonts w:asciiTheme="minorHAnsi" w:hAnsiTheme="minorHAnsi" w:cstheme="minorHAnsi"/>
                <w:sz w:val="20"/>
                <w:szCs w:val="20"/>
              </w:rPr>
              <w:t>, nové přístrojové techniky v optice a analytické chemii. Jedním z hlavních cílů je rovněž nabízet prvotřídní mikroskopické, spektroskopické, magnetické a další přístroje pro komerční využití.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D302A0">
            <w:pPr>
              <w:spacing w:after="0" w:line="240" w:lineRule="auto"/>
              <w:jc w:val="both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DD5D64">
              <w:rPr>
                <w:sz w:val="18"/>
              </w:rPr>
              <w:t xml:space="preserve"> 1.</w:t>
            </w:r>
            <w:r w:rsidR="00AF306B">
              <w:rPr>
                <w:sz w:val="18"/>
              </w:rPr>
              <w:t xml:space="preserve"> </w:t>
            </w:r>
            <w:r w:rsidR="00DD5D64">
              <w:rPr>
                <w:sz w:val="18"/>
              </w:rPr>
              <w:t>7.</w:t>
            </w:r>
            <w:r w:rsidR="00AF306B">
              <w:rPr>
                <w:sz w:val="18"/>
              </w:rPr>
              <w:t xml:space="preserve"> </w:t>
            </w:r>
            <w:r w:rsidR="00DD5D64">
              <w:rPr>
                <w:sz w:val="18"/>
              </w:rPr>
              <w:t>2011 -</w:t>
            </w:r>
            <w:r w:rsidR="00DD5D64" w:rsidRPr="00B61738">
              <w:rPr>
                <w:sz w:val="20"/>
                <w:szCs w:val="20"/>
                <w:lang w:eastAsia="x-none"/>
              </w:rPr>
              <w:t xml:space="preserve"> předání stavby od zhotovitele 17. 6. 2013 </w:t>
            </w: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575799" w:rsidRPr="00575799" w:rsidRDefault="00575799" w:rsidP="00575799">
            <w:pPr>
              <w:spacing w:before="60" w:after="60" w:line="240" w:lineRule="auto"/>
              <w:rPr>
                <w:sz w:val="18"/>
              </w:rPr>
            </w:pPr>
            <w:r w:rsidRPr="00575799">
              <w:rPr>
                <w:sz w:val="18"/>
              </w:rPr>
              <w:t>Sdružení: VCES a.</w:t>
            </w:r>
            <w:proofErr w:type="gramStart"/>
            <w:r w:rsidRPr="00575799">
              <w:rPr>
                <w:sz w:val="18"/>
              </w:rPr>
              <w:t>s.(IČ</w:t>
            </w:r>
            <w:proofErr w:type="gramEnd"/>
            <w:r w:rsidRPr="00575799">
              <w:rPr>
                <w:sz w:val="18"/>
              </w:rPr>
              <w:t>:</w:t>
            </w:r>
          </w:p>
          <w:p w:rsidR="00575799" w:rsidRPr="00E20092" w:rsidRDefault="00575799" w:rsidP="00575799">
            <w:pPr>
              <w:spacing w:before="60" w:after="60" w:line="240" w:lineRule="auto"/>
              <w:rPr>
                <w:sz w:val="18"/>
              </w:rPr>
            </w:pPr>
            <w:r w:rsidRPr="00575799">
              <w:rPr>
                <w:sz w:val="18"/>
              </w:rPr>
              <w:t xml:space="preserve">26746573),EUROGEMA CZ a.s. (IČ: 26801001) a </w:t>
            </w:r>
            <w:proofErr w:type="spellStart"/>
            <w:r w:rsidRPr="00575799">
              <w:rPr>
                <w:sz w:val="18"/>
              </w:rPr>
              <w:t>MERCI,s.r.o</w:t>
            </w:r>
            <w:proofErr w:type="spellEnd"/>
            <w:r w:rsidRPr="00575799">
              <w:rPr>
                <w:sz w:val="18"/>
              </w:rPr>
              <w:t>. (IČ:46966447).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25284D" w:rsidRDefault="0025284D" w:rsidP="0025284D">
            <w:pPr>
              <w:spacing w:before="60" w:after="60" w:line="240" w:lineRule="auto"/>
              <w:rPr>
                <w:sz w:val="18"/>
              </w:rPr>
            </w:pPr>
          </w:p>
          <w:p w:rsidR="0025284D" w:rsidRPr="00737282" w:rsidRDefault="0025284D" w:rsidP="0025284D">
            <w:pPr>
              <w:spacing w:before="60" w:after="60" w:line="240" w:lineRule="auto"/>
              <w:rPr>
                <w:sz w:val="18"/>
              </w:rPr>
            </w:pPr>
            <w:r w:rsidRPr="00737282">
              <w:rPr>
                <w:sz w:val="18"/>
              </w:rPr>
              <w:t>Monitorovací indikátory:</w:t>
            </w:r>
          </w:p>
          <w:tbl>
            <w:tblPr>
              <w:tblW w:w="5959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0"/>
              <w:gridCol w:w="3716"/>
              <w:gridCol w:w="763"/>
              <w:gridCol w:w="860"/>
            </w:tblGrid>
            <w:tr w:rsidR="00A87075" w:rsidRPr="00A87075" w:rsidTr="0025284D">
              <w:trPr>
                <w:trHeight w:val="780"/>
              </w:trPr>
              <w:tc>
                <w:tcPr>
                  <w:tcW w:w="433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763" w:type="dxa"/>
                  <w:tcBorders>
                    <w:top w:val="single" w:sz="8" w:space="0" w:color="auto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  <w:t>K datu ukončení projektu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proofErr w:type="gramStart"/>
                  <w:r w:rsidRPr="00A87075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  <w:t>31.12.2015</w:t>
                  </w:r>
                  <w:proofErr w:type="gramEnd"/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310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443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3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7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lastRenderedPageBreak/>
                    <w:t>110504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9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14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22369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51119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49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69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37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22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VaV</w:t>
                  </w:r>
                  <w:proofErr w:type="spellEnd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66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Počet nově </w:t>
                  </w:r>
                  <w:proofErr w:type="gramStart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vytvořených  pracovních</w:t>
                  </w:r>
                  <w:proofErr w:type="gramEnd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 míst, zaměstnanci </w:t>
                  </w:r>
                  <w:proofErr w:type="spellStart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VaV</w:t>
                  </w:r>
                  <w:proofErr w:type="spellEnd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104,0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104,5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84,9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85,4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40,3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40,3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207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  <w:tr w:rsidR="00A87075" w:rsidRPr="00A87075" w:rsidTr="0025284D">
              <w:trPr>
                <w:trHeight w:val="328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3716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2786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</w:tbl>
          <w:p w:rsidR="0025284D" w:rsidRDefault="0025284D" w:rsidP="0025284D">
            <w:pPr>
              <w:spacing w:before="60" w:after="60" w:line="240" w:lineRule="auto"/>
              <w:rPr>
                <w:sz w:val="16"/>
              </w:rPr>
            </w:pPr>
          </w:p>
          <w:p w:rsidR="0025284D" w:rsidRDefault="0025284D" w:rsidP="0025284D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Cíle projektu:</w:t>
            </w:r>
          </w:p>
          <w:p w:rsidR="0036287D" w:rsidRDefault="0036287D" w:rsidP="0036287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287D">
              <w:rPr>
                <w:rFonts w:asciiTheme="minorHAnsi" w:hAnsiTheme="minorHAnsi" w:cstheme="minorHAnsi"/>
                <w:b/>
                <w:sz w:val="20"/>
                <w:szCs w:val="20"/>
              </w:rPr>
              <w:t>Vybudování centra</w:t>
            </w: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jako zdroje nových poznatků vhodných k transferu do výrobní praxe, v oblasti nanotechnologií, optických technologií,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nanofotoniky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, tenkých vrstev, analytických procesů a instrumentace. - - Vybudování zejm. technologické laboratoř pro pevnolátkové syntézy nanočástic kovů a oxidů kovů, aplikovatelných v oblasti purifikace vod, výrobě magnetických prvků, katalytických a biomedicínských aplikacích;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) laboratoře pokročilých optických technologií, využitelnou mj. pro povrchovou úpravu optických prvků určených pro stavbu mezinárodní „Severní observatoře“ projektu „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Pierre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Auger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Observatory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North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“ v americkém Coloradu;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iii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) laboratoř pokročilých mikroskopických technik jako unikátní zázemí pro analýzu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nanomateriálů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biomakromolekul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mikroskopickými technikami (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cryoHRTEM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, AFM, SEM),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iv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) laboratoř magnetické charakterizace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nanomateriálů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zahrnující komplexní zázemí pro analýzu materiálů ve vnějších magnetických polích (PPMS, SQUID, NMR,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Mössbauerova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spektroskopie). </w:t>
            </w:r>
          </w:p>
          <w:p w:rsidR="0036287D" w:rsidRPr="0036287D" w:rsidRDefault="0036287D" w:rsidP="0036287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287D">
              <w:rPr>
                <w:rFonts w:asciiTheme="minorHAnsi" w:hAnsiTheme="minorHAnsi" w:cstheme="minorHAnsi"/>
                <w:b/>
                <w:sz w:val="20"/>
                <w:szCs w:val="20"/>
              </w:rPr>
              <w:t>Vybudované zázemí bude využito i výrobními subjekty regionu</w:t>
            </w: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(celé ČR), což jim dovolí aplikovat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high-tech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technologie a realizovat výrobní programy s vysokou přidanou hodnotou. Bude vybudováno také unikátní výpočetní zázemí (výpočetní klastr) pro charakterizaci 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nanomateri</w:t>
            </w:r>
            <w:r w:rsidR="0000075F">
              <w:rPr>
                <w:rFonts w:asciiTheme="minorHAnsi" w:hAnsiTheme="minorHAnsi" w:cstheme="minorHAnsi"/>
                <w:sz w:val="20"/>
                <w:szCs w:val="20"/>
              </w:rPr>
              <w:t>álů</w:t>
            </w:r>
            <w:proofErr w:type="spellEnd"/>
            <w:r w:rsidR="0000075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0075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spell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biomakromolekul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6287D" w:rsidRPr="0036287D" w:rsidRDefault="0036287D" w:rsidP="0036287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6287D">
              <w:rPr>
                <w:rFonts w:asciiTheme="minorHAnsi" w:hAnsiTheme="minorHAnsi" w:cstheme="minorHAnsi"/>
                <w:b/>
                <w:sz w:val="20"/>
                <w:szCs w:val="20"/>
              </w:rPr>
              <w:t>výšení počtu výzkumných pracovníků orientovaných na aplikovaný či průmyslový výzkum</w:t>
            </w: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o cca 40 čistých míst. K dosažení tohoto cíle je výzkum propojen s </w:t>
            </w:r>
            <w:proofErr w:type="spellStart"/>
            <w:proofErr w:type="gramStart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Př.F</w:t>
            </w:r>
            <w:proofErr w:type="spell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UP, především aplikované fyziky, materiálové, fyzikální, analytické, organické a anorganické chemie.</w:t>
            </w:r>
          </w:p>
          <w:p w:rsidR="0025284D" w:rsidRPr="0036287D" w:rsidRDefault="0025284D" w:rsidP="0025284D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:rsidR="0036287D" w:rsidRPr="0036287D" w:rsidRDefault="0025284D" w:rsidP="0036287D">
            <w:pPr>
              <w:pStyle w:val="Odstavecseseznamem"/>
              <w:numPr>
                <w:ilvl w:val="0"/>
                <w:numId w:val="25"/>
              </w:numPr>
              <w:suppressAutoHyphens/>
              <w:spacing w:before="60" w:after="0" w:line="240" w:lineRule="exact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287D">
              <w:rPr>
                <w:rFonts w:asciiTheme="minorHAnsi" w:hAnsiTheme="minorHAnsi" w:cstheme="minorHAnsi"/>
                <w:b/>
                <w:sz w:val="20"/>
                <w:szCs w:val="20"/>
              </w:rPr>
              <w:t>Výzkumné programy:</w:t>
            </w:r>
            <w:r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1. Nanokrystalické oxidy přechodných kovů v environmentálních, medicínských, katalytických a optických aplikacích, 2. Uhlíkové </w:t>
            </w:r>
            <w:proofErr w:type="spellStart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>nanostruktury</w:t>
            </w:r>
            <w:proofErr w:type="spellEnd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>biomakromolekuly</w:t>
            </w:r>
            <w:proofErr w:type="spellEnd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a hybridní systémy – syntéza, modelování interakcí a aplikace, 3. Biologicky aktivní sloučeniny a molekulární magnety na bázi komplexů přechodných kovů v interakci s nanokrystalickými magnetickými nosiči, 4. Pokročilé optické a fotonické technologie, 5. Pokročilé materiály na bázi nanočástic kovů a hydridů kovů s mimořádnými redukčními, antibakteriálními, sorpčními a katalytickými vlastnostmi, 6. </w:t>
            </w:r>
            <w:proofErr w:type="spellStart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>Nanometrické</w:t>
            </w:r>
            <w:proofErr w:type="spellEnd"/>
            <w:r w:rsidR="0036287D" w:rsidRPr="0036287D">
              <w:rPr>
                <w:rFonts w:asciiTheme="minorHAnsi" w:hAnsiTheme="minorHAnsi" w:cstheme="minorHAnsi"/>
                <w:sz w:val="20"/>
                <w:szCs w:val="20"/>
              </w:rPr>
              <w:t xml:space="preserve"> systémy a nanotechnologie v nových analytických přístupech</w:t>
            </w:r>
          </w:p>
          <w:p w:rsidR="00505992" w:rsidRDefault="00505992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CC56F9" wp14:editId="0D31878B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575799" w:rsidRDefault="00575799" w:rsidP="0057579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04EF">
              <w:rPr>
                <w:rFonts w:asciiTheme="minorHAnsi" w:hAnsiTheme="minorHAnsi" w:cstheme="minorHAnsi"/>
                <w:sz w:val="20"/>
                <w:szCs w:val="20"/>
              </w:rPr>
              <w:t xml:space="preserve">prof. Mgr. Jaroslav Miller, </w:t>
            </w:r>
            <w:proofErr w:type="gramStart"/>
            <w:r w:rsidRPr="005104EF">
              <w:rPr>
                <w:rFonts w:asciiTheme="minorHAnsi" w:hAnsiTheme="minorHAnsi" w:cstheme="minorHAnsi"/>
                <w:sz w:val="20"/>
                <w:szCs w:val="20"/>
              </w:rPr>
              <w:t>M.A.</w:t>
            </w:r>
            <w:proofErr w:type="gramEnd"/>
            <w:r w:rsidRPr="005104EF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575799" w:rsidRPr="005F27AE" w:rsidRDefault="00575799" w:rsidP="00575799">
            <w:pPr>
              <w:spacing w:before="60" w:after="60" w:line="240" w:lineRule="auto"/>
              <w:rPr>
                <w:sz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575799" w:rsidRPr="00AA6F42" w:rsidRDefault="00575799" w:rsidP="00575799">
            <w:pPr>
              <w:pStyle w:val="slovanseznam"/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b/>
                <w:sz w:val="20"/>
                <w:szCs w:val="20"/>
              </w:rPr>
              <w:t>Univerzita Palackého v Olomouci</w:t>
            </w:r>
          </w:p>
          <w:p w:rsidR="00575799" w:rsidRPr="00AA6F42" w:rsidRDefault="00575799" w:rsidP="00575799">
            <w:pPr>
              <w:pStyle w:val="slovanseznam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Křížkovského 511/8</w:t>
            </w:r>
          </w:p>
          <w:p w:rsidR="00575799" w:rsidRPr="00AA6F42" w:rsidRDefault="00575799" w:rsidP="00575799">
            <w:pPr>
              <w:pStyle w:val="slovanseznam"/>
              <w:spacing w:line="280" w:lineRule="exact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proofErr w:type="gramStart"/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779 00  Olomouc</w:t>
            </w:r>
            <w:proofErr w:type="gramEnd"/>
          </w:p>
          <w:p w:rsidR="00575799" w:rsidRPr="005F27AE" w:rsidRDefault="00575799" w:rsidP="00DD26D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02DBE" w:rsidRDefault="00776C6F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prof. RNDr. Radek Zbořil, Ph.D., </w:t>
            </w:r>
            <w:r w:rsidRPr="00776C6F">
              <w:rPr>
                <w:sz w:val="18"/>
              </w:rPr>
              <w:t>ředitel Centra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776C6F">
              <w:rPr>
                <w:sz w:val="18"/>
              </w:rPr>
              <w:t>:</w:t>
            </w:r>
          </w:p>
          <w:p w:rsidR="00776C6F" w:rsidRPr="005F27AE" w:rsidRDefault="00776C6F" w:rsidP="00DD26D3">
            <w:pPr>
              <w:spacing w:before="60" w:after="60" w:line="240" w:lineRule="auto"/>
              <w:rPr>
                <w:sz w:val="18"/>
              </w:rPr>
            </w:pPr>
            <w:r w:rsidRPr="00776C6F">
              <w:rPr>
                <w:sz w:val="18"/>
              </w:rPr>
              <w:t>Mgr. Dalibor Jančík, Ph.D.</w:t>
            </w:r>
            <w:r>
              <w:rPr>
                <w:sz w:val="18"/>
              </w:rPr>
              <w:t>, projektový manažer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  <w:r w:rsidR="002F4CEA">
              <w:rPr>
                <w:sz w:val="18"/>
              </w:rPr>
              <w:t>:</w:t>
            </w:r>
          </w:p>
          <w:p w:rsidR="002F4CEA" w:rsidRPr="005F27AE" w:rsidRDefault="002F4CE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 rámci realizace projektu došlo ke klasickým administrativním změnám, projekt žádal využití 30 % stavebních úspor, stejně jako následně část z možných disponibilních 70 %.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  <w:r w:rsidR="002F4CEA">
              <w:rPr>
                <w:sz w:val="18"/>
              </w:rPr>
              <w:t>:</w:t>
            </w:r>
          </w:p>
          <w:p w:rsidR="002F4CEA" w:rsidRDefault="002F4CEA" w:rsidP="00DD26D3">
            <w:pPr>
              <w:spacing w:before="60" w:after="60" w:line="240" w:lineRule="auto"/>
              <w:rPr>
                <w:sz w:val="18"/>
              </w:rPr>
            </w:pPr>
            <w:r w:rsidRPr="002F4CEA">
              <w:rPr>
                <w:sz w:val="18"/>
              </w:rPr>
              <w:t>19336298</w:t>
            </w:r>
            <w:r>
              <w:rPr>
                <w:sz w:val="18"/>
              </w:rPr>
              <w:t xml:space="preserve">,- Kč v rámci 30% úspory a jen část v rámci 70% úspory, tj. 650.000,- Kč.(ze </w:t>
            </w:r>
            <w:proofErr w:type="gramStart"/>
            <w:r w:rsidRPr="002F4CEA">
              <w:rPr>
                <w:sz w:val="18"/>
              </w:rPr>
              <w:t>45</w:t>
            </w:r>
            <w:r>
              <w:rPr>
                <w:sz w:val="18"/>
              </w:rPr>
              <w:t>.</w:t>
            </w:r>
            <w:r w:rsidRPr="002F4CEA">
              <w:rPr>
                <w:sz w:val="18"/>
              </w:rPr>
              <w:t>118</w:t>
            </w:r>
            <w:r>
              <w:rPr>
                <w:sz w:val="18"/>
              </w:rPr>
              <w:t>.</w:t>
            </w:r>
            <w:r w:rsidRPr="002F4CEA">
              <w:rPr>
                <w:sz w:val="18"/>
              </w:rPr>
              <w:t>029</w:t>
            </w:r>
            <w:r>
              <w:rPr>
                <w:sz w:val="18"/>
              </w:rPr>
              <w:t xml:space="preserve"> ,- Kč</w:t>
            </w:r>
            <w:proofErr w:type="gramEnd"/>
            <w:r>
              <w:rPr>
                <w:sz w:val="18"/>
              </w:rPr>
              <w:t xml:space="preserve"> možných)</w:t>
            </w:r>
          </w:p>
          <w:p w:rsidR="002F4CEA" w:rsidRPr="005F27AE" w:rsidRDefault="002F4CEA" w:rsidP="00DD26D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994838" w:rsidRPr="0004245B" w:rsidRDefault="00994838" w:rsidP="00994838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 </w:t>
            </w:r>
            <w:r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994838" w:rsidRPr="0004245B" w:rsidRDefault="00994838" w:rsidP="00994838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 xml:space="preserve">(včetně % naplnění) </w:t>
            </w:r>
            <w:r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994838" w:rsidRDefault="00994838" w:rsidP="0099483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(včetně % naplnění) </w:t>
            </w:r>
            <w:r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994838" w:rsidRDefault="00994838" w:rsidP="0099483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Popis:</w:t>
            </w:r>
          </w:p>
          <w:p w:rsidR="0004245B" w:rsidRDefault="00994838" w:rsidP="0099483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7F3570">
              <w:rPr>
                <w:rFonts w:asciiTheme="minorHAnsi" w:hAnsiTheme="minorHAnsi" w:cstheme="minorHAnsi"/>
                <w:sz w:val="20"/>
                <w:szCs w:val="20"/>
              </w:rPr>
              <w:t>šechny plánované 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odnoty indikátorů byly naplněny, resp. často </w:t>
            </w:r>
            <w:r w:rsidRPr="007F3570">
              <w:rPr>
                <w:rFonts w:asciiTheme="minorHAnsi" w:hAnsiTheme="minorHAnsi" w:cstheme="minorHAnsi"/>
                <w:sz w:val="20"/>
                <w:szCs w:val="20"/>
              </w:rPr>
              <w:t>překročeny.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Stavební část odpovídá plánovaným metrům čtverečním, bylo nakoupeno klíčové vybavení projektu, vědecké týmy jsou stabilní a vykazující plánované výsledky.</w:t>
            </w:r>
          </w:p>
          <w:p w:rsidR="00DF27E3" w:rsidRDefault="00DF27E3" w:rsidP="0099483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6208" w:type="dxa"/>
              <w:tblInd w:w="5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4"/>
              <w:gridCol w:w="4525"/>
              <w:gridCol w:w="929"/>
            </w:tblGrid>
            <w:tr w:rsidR="00A87075" w:rsidRPr="00A87075" w:rsidTr="00A87075">
              <w:trPr>
                <w:trHeight w:val="686"/>
              </w:trPr>
              <w:tc>
                <w:tcPr>
                  <w:tcW w:w="527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929" w:type="dxa"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cs-CZ"/>
                    </w:rPr>
                    <w:t>K datu ukončení projektu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815,55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7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29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30826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90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4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27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306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VaV</w:t>
                  </w:r>
                  <w:proofErr w:type="spellEnd"/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92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123,02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101,89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887E91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70,76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207</w:t>
                  </w:r>
                  <w:r w:rsidR="00887E91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,90</w:t>
                  </w:r>
                </w:p>
              </w:tc>
            </w:tr>
            <w:tr w:rsidR="00A87075" w:rsidRPr="00A87075" w:rsidTr="00A87075">
              <w:trPr>
                <w:trHeight w:val="289"/>
              </w:trPr>
              <w:tc>
                <w:tcPr>
                  <w:tcW w:w="7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452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87075" w:rsidRPr="00A87075" w:rsidRDefault="00A87075" w:rsidP="00AF039A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87075" w:rsidRPr="00A87075" w:rsidRDefault="00A87075" w:rsidP="00887E91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</w:pPr>
                  <w:r w:rsidRPr="00A87075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2</w:t>
                  </w:r>
                  <w:r w:rsidR="00887E91">
                    <w:rPr>
                      <w:rFonts w:eastAsia="Times New Roman" w:cs="Times New Roman"/>
                      <w:sz w:val="16"/>
                      <w:szCs w:val="16"/>
                      <w:lang w:eastAsia="cs-CZ"/>
                    </w:rPr>
                    <w:t>888,93</w:t>
                  </w:r>
                </w:p>
              </w:tc>
            </w:tr>
          </w:tbl>
          <w:p w:rsidR="00A87075" w:rsidRPr="00AF6EBB" w:rsidRDefault="00A87075" w:rsidP="0099483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024D5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EB7689">
              <w:rPr>
                <w:sz w:val="18"/>
              </w:rPr>
              <w:t xml:space="preserve"> </w:t>
            </w:r>
            <w:r w:rsidR="00D024D5">
              <w:rPr>
                <w:sz w:val="18"/>
              </w:rPr>
              <w:t xml:space="preserve">za předpokladu celkové částky </w:t>
            </w:r>
            <w:r w:rsidR="00EB7689" w:rsidRPr="00EB7689">
              <w:rPr>
                <w:sz w:val="18"/>
              </w:rPr>
              <w:t>500 347 051,00 Kč</w:t>
            </w:r>
            <w:r w:rsidR="00D024D5">
              <w:rPr>
                <w:sz w:val="18"/>
              </w:rPr>
              <w:t xml:space="preserve">, </w:t>
            </w:r>
            <w:proofErr w:type="gramStart"/>
            <w:r w:rsidR="00D024D5">
              <w:rPr>
                <w:sz w:val="18"/>
              </w:rPr>
              <w:t>je</w:t>
            </w:r>
            <w:proofErr w:type="gramEnd"/>
            <w:r w:rsidR="00D024D5">
              <w:rPr>
                <w:sz w:val="18"/>
              </w:rPr>
              <w:t xml:space="preserve"> předloženo </w:t>
            </w:r>
            <w:r w:rsidR="00D024D5" w:rsidRPr="00D024D5">
              <w:rPr>
                <w:sz w:val="18"/>
              </w:rPr>
              <w:t>497 630 844,83 Kč což je 99,46 %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EB7689">
              <w:rPr>
                <w:sz w:val="18"/>
              </w:rPr>
              <w:t xml:space="preserve"> 496 847 310,52 Kč, tj. </w:t>
            </w:r>
            <w:r w:rsidR="00EB7689" w:rsidRPr="00EB7689">
              <w:rPr>
                <w:sz w:val="18"/>
              </w:rPr>
              <w:t>99,30 %</w:t>
            </w:r>
          </w:p>
          <w:p w:rsidR="00DA6654" w:rsidRDefault="00DA6654" w:rsidP="00EB7689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EB7689">
              <w:rPr>
                <w:sz w:val="18"/>
              </w:rPr>
              <w:t xml:space="preserve"> 496 782 773,64 Kč, tj. </w:t>
            </w:r>
            <w:r w:rsidR="00EB7689" w:rsidRPr="00EB7689">
              <w:rPr>
                <w:sz w:val="18"/>
              </w:rPr>
              <w:t>99,29%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6D1694" w:rsidP="00DD26D3">
            <w:pPr>
              <w:spacing w:before="60" w:after="60" w:line="240" w:lineRule="auto"/>
              <w:rPr>
                <w:sz w:val="16"/>
              </w:rPr>
            </w:pPr>
            <w:r w:rsidRPr="006D1694">
              <w:rPr>
                <w:sz w:val="16"/>
              </w:rPr>
              <w:t>425 768 833,41</w:t>
            </w:r>
            <w:r>
              <w:rPr>
                <w:sz w:val="16"/>
              </w:rPr>
              <w:t xml:space="preserve"> Kč, tj. 45 %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B131E6" w:rsidTr="00F74C5F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7C5D9E" w:rsidRDefault="00B131E6" w:rsidP="007C5D9E">
            <w:pPr>
              <w:spacing w:before="60" w:after="60" w:line="240" w:lineRule="auto"/>
              <w:rPr>
                <w:sz w:val="18"/>
              </w:rPr>
            </w:pPr>
            <w:r w:rsidRPr="00B131E6">
              <w:rPr>
                <w:sz w:val="18"/>
              </w:rPr>
              <w:t>Výše příjmů z</w:t>
            </w:r>
            <w:r>
              <w:rPr>
                <w:sz w:val="18"/>
              </w:rPr>
              <w:t>e smluvního výzkumu byla stanove</w:t>
            </w:r>
            <w:r w:rsidRPr="00B131E6">
              <w:rPr>
                <w:sz w:val="18"/>
              </w:rPr>
              <w:t xml:space="preserve">na ve výši 50 </w:t>
            </w:r>
            <w:proofErr w:type="spellStart"/>
            <w:proofErr w:type="gramStart"/>
            <w:r w:rsidRPr="00B131E6">
              <w:rPr>
                <w:sz w:val="18"/>
              </w:rPr>
              <w:t>mil.Kč</w:t>
            </w:r>
            <w:proofErr w:type="spellEnd"/>
            <w:proofErr w:type="gramEnd"/>
            <w:r w:rsidRPr="00B131E6">
              <w:rPr>
                <w:sz w:val="18"/>
              </w:rPr>
              <w:t xml:space="preserve"> a vychází z dosavadní historie výkonu Centra v letech 2010-2014</w:t>
            </w:r>
            <w:r>
              <w:rPr>
                <w:sz w:val="18"/>
              </w:rPr>
              <w:t xml:space="preserve">. </w:t>
            </w:r>
            <w:r w:rsidR="004A7D42" w:rsidRPr="004A7D42">
              <w:rPr>
                <w:sz w:val="18"/>
              </w:rPr>
              <w:t>Dosavadní smluvní výzkum</w:t>
            </w:r>
            <w:r w:rsidR="007C5D9E">
              <w:rPr>
                <w:sz w:val="18"/>
              </w:rPr>
              <w:t xml:space="preserve"> ročně se pohybuje nad 10 mil. Kč.</w:t>
            </w:r>
          </w:p>
          <w:p w:rsidR="00B131E6" w:rsidRDefault="00B131E6" w:rsidP="007C5D9E">
            <w:pPr>
              <w:spacing w:before="60" w:after="60" w:line="240" w:lineRule="auto"/>
            </w:pPr>
            <w:r w:rsidRPr="00B131E6">
              <w:rPr>
                <w:sz w:val="18"/>
              </w:rPr>
              <w:t>Mezinárodní granty a jejich zajištění: 55 mil. Kč (Předpokládaný příjem v období 2015-2020; zdroj zejm. H2020, ERC - podáno pět projektových žádostí v r. 2014)</w:t>
            </w:r>
            <w:r>
              <w:rPr>
                <w:sz w:val="18"/>
              </w:rPr>
              <w:t xml:space="preserve">. </w:t>
            </w:r>
            <w:r w:rsidRPr="00B131E6">
              <w:rPr>
                <w:sz w:val="18"/>
              </w:rPr>
              <w:t>Ostatní zdroje financování:  163,5 mil. Kč (Předpokládaný</w:t>
            </w:r>
            <w:r w:rsidR="007C5D9E">
              <w:rPr>
                <w:sz w:val="18"/>
              </w:rPr>
              <w:t xml:space="preserve"> příjem v období 2015-2020; i ze zdrojů </w:t>
            </w:r>
            <w:r w:rsidRPr="00B131E6">
              <w:rPr>
                <w:sz w:val="18"/>
              </w:rPr>
              <w:t>OP VVV)</w:t>
            </w:r>
            <w:r>
              <w:rPr>
                <w:sz w:val="18"/>
              </w:rPr>
              <w:t>.</w:t>
            </w:r>
          </w:p>
        </w:tc>
      </w:tr>
      <w:tr w:rsidR="00B131E6" w:rsidTr="00641611">
        <w:trPr>
          <w:trHeight w:val="847"/>
        </w:trPr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7C5D9E" w:rsidRDefault="004A7D42" w:rsidP="004A7D42">
            <w:pPr>
              <w:spacing w:before="60" w:after="60" w:line="240" w:lineRule="auto"/>
              <w:rPr>
                <w:sz w:val="18"/>
              </w:rPr>
            </w:pPr>
            <w:r w:rsidRPr="004A7D42">
              <w:rPr>
                <w:sz w:val="18"/>
              </w:rPr>
              <w:t>Požadavky na účelové zdroje celkem 2015-2020: 701,9 mil. Kč (započítány: účelová podpora - granty; Instituc</w:t>
            </w:r>
            <w:r w:rsidR="007C5D9E">
              <w:rPr>
                <w:sz w:val="18"/>
              </w:rPr>
              <w:t xml:space="preserve">ionální prostředky; Předpoklad </w:t>
            </w:r>
            <w:r>
              <w:rPr>
                <w:sz w:val="18"/>
              </w:rPr>
              <w:t>NPÚ: 186,9 mil.</w:t>
            </w:r>
            <w:r w:rsidR="007C5D9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Kč, </w:t>
            </w:r>
          </w:p>
          <w:p w:rsidR="00B131E6" w:rsidRPr="007C5D9E" w:rsidRDefault="004A7D42" w:rsidP="004A7D42">
            <w:pPr>
              <w:spacing w:before="60" w:after="60" w:line="240" w:lineRule="auto"/>
              <w:rPr>
                <w:sz w:val="18"/>
              </w:rPr>
            </w:pPr>
            <w:r w:rsidRPr="004A7D42">
              <w:rPr>
                <w:sz w:val="18"/>
              </w:rPr>
              <w:t>Instituci</w:t>
            </w:r>
            <w:r w:rsidR="007C5D9E">
              <w:rPr>
                <w:sz w:val="18"/>
              </w:rPr>
              <w:t xml:space="preserve">onální podpora: 300 mil. </w:t>
            </w:r>
            <w:r w:rsidR="00641611">
              <w:rPr>
                <w:sz w:val="18"/>
              </w:rPr>
              <w:t>Kč.</w:t>
            </w:r>
            <w:r w:rsidR="00641611">
              <w:rPr>
                <w:sz w:val="18"/>
              </w:rPr>
              <w:tab/>
            </w:r>
            <w:r w:rsidR="00641611">
              <w:rPr>
                <w:sz w:val="18"/>
              </w:rPr>
              <w:tab/>
            </w:r>
            <w:r w:rsidR="00641611">
              <w:rPr>
                <w:sz w:val="18"/>
              </w:rPr>
              <w:tab/>
            </w:r>
            <w:r w:rsidR="00641611">
              <w:rPr>
                <w:sz w:val="18"/>
              </w:rP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B131E6" w:rsidTr="00FC3BB8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(kód - název - požadovaná hodnota ke konci projektu (</w:t>
            </w:r>
            <w:proofErr w:type="gramStart"/>
            <w:r w:rsidRPr="004A7D42">
              <w:rPr>
                <w:sz w:val="18"/>
              </w:rPr>
              <w:t>30.9.2014</w:t>
            </w:r>
            <w:proofErr w:type="gramEnd"/>
            <w:r w:rsidRPr="004A7D42">
              <w:rPr>
                <w:sz w:val="18"/>
              </w:rPr>
              <w:t>) - skutečně dosažená hodnota k 30.9.2014)‌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110502 Odborné publikace (dle metodiky RVV) - 310 - 816,55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110503 Výsledky výzkumu chráněné na základě zvláštního právního předpisu (dle metodiky RVV) - 3 - 7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110504 Aplikované výsledky výzkumu (dle metodiky RVV) - 9 - 29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111200 Objem smluvního výzkumu - 22369 - 30,8 mil. Kč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074901 Počet úspěšných absolventů magisterských studijních programů - 49 - 90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074902 Počet úspěšných absolventů doktorských studijních programů - 14 - 27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 xml:space="preserve">110300 Počet nově vytvořených pracovních míst, zaměstnanci </w:t>
            </w:r>
            <w:proofErr w:type="spellStart"/>
            <w:r w:rsidRPr="004A7D42">
              <w:rPr>
                <w:sz w:val="18"/>
              </w:rPr>
              <w:t>VaV</w:t>
            </w:r>
            <w:proofErr w:type="spellEnd"/>
            <w:r w:rsidRPr="004A7D42">
              <w:rPr>
                <w:sz w:val="18"/>
              </w:rPr>
              <w:t xml:space="preserve"> - celkem - 104 - 109,8 (hodnota platná k </w:t>
            </w:r>
            <w:proofErr w:type="gramStart"/>
            <w:r w:rsidRPr="004A7D42">
              <w:rPr>
                <w:sz w:val="18"/>
              </w:rPr>
              <w:t>31.12.2013</w:t>
            </w:r>
            <w:proofErr w:type="gramEnd"/>
            <w:r w:rsidRPr="004A7D42">
              <w:rPr>
                <w:sz w:val="18"/>
              </w:rPr>
              <w:t xml:space="preserve">, mírně vyšší hodnota k 30.9.2014 bude součásti závěrečné MZ k 30.11.2014) 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 xml:space="preserve">071700 Počet nově vytvořených pracovních míst, výzkumní pracovníci celkem - 84,9 - 92,05 (hodnota platná k </w:t>
            </w:r>
            <w:proofErr w:type="gramStart"/>
            <w:r w:rsidRPr="004A7D42">
              <w:rPr>
                <w:sz w:val="18"/>
              </w:rPr>
              <w:t>31.12.2013</w:t>
            </w:r>
            <w:proofErr w:type="gramEnd"/>
            <w:r w:rsidRPr="004A7D42">
              <w:rPr>
                <w:sz w:val="18"/>
              </w:rPr>
              <w:t xml:space="preserve">, mírně vyšší hodnota k 30.9.2014 bude součásti závěrečné MZ k 30.11.2014) 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 xml:space="preserve">071900 Počet nově vytvořených pracovních míst, výzkumní pracovníci do 35 let - 40,3 - 67,75 (hodnota platná k </w:t>
            </w:r>
            <w:proofErr w:type="gramStart"/>
            <w:r w:rsidRPr="004A7D42">
              <w:rPr>
                <w:sz w:val="18"/>
              </w:rPr>
              <w:t>31.12.2013</w:t>
            </w:r>
            <w:proofErr w:type="gramEnd"/>
            <w:r w:rsidRPr="004A7D42">
              <w:rPr>
                <w:sz w:val="18"/>
              </w:rPr>
              <w:t xml:space="preserve">, mírně vyšší hodnota k 30.9.2014 bude součásti závěrečné MZ k 30.11.2014) </w:t>
            </w:r>
          </w:p>
          <w:p w:rsidR="004A7D42" w:rsidRPr="004A7D42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110516 Rozšířené nebo zrekonstruované kapacity - 207m2 - 207,9m2</w:t>
            </w:r>
          </w:p>
          <w:p w:rsidR="00641611" w:rsidRDefault="004A7D42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110517 Vybudované kapacity - 2786m2 - 2888,9m2</w:t>
            </w:r>
            <w:r w:rsidR="00641611" w:rsidRPr="004A7D42">
              <w:rPr>
                <w:sz w:val="18"/>
              </w:rPr>
              <w:t xml:space="preserve"> </w:t>
            </w:r>
          </w:p>
          <w:p w:rsidR="00641611" w:rsidRDefault="00641611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Současný počet v</w:t>
            </w:r>
            <w:r>
              <w:rPr>
                <w:sz w:val="18"/>
              </w:rPr>
              <w:t xml:space="preserve">ýzkumníků: 104,8 (FTE), </w:t>
            </w:r>
            <w:r w:rsidRPr="004A7D42">
              <w:rPr>
                <w:sz w:val="18"/>
              </w:rPr>
              <w:t xml:space="preserve">Kvalifikační struktura: (FTE dle pozic) 15,5 </w:t>
            </w:r>
            <w:proofErr w:type="gramStart"/>
            <w:r w:rsidRPr="004A7D42">
              <w:rPr>
                <w:sz w:val="18"/>
              </w:rPr>
              <w:t>Ph.D. ; 59,7</w:t>
            </w:r>
            <w:proofErr w:type="gramEnd"/>
            <w:r w:rsidRPr="004A7D42">
              <w:rPr>
                <w:sz w:val="18"/>
              </w:rPr>
              <w:t xml:space="preserve"> junior </w:t>
            </w:r>
            <w:proofErr w:type="spellStart"/>
            <w:r w:rsidRPr="004A7D42">
              <w:rPr>
                <w:sz w:val="18"/>
              </w:rPr>
              <w:t>researcher</w:t>
            </w:r>
            <w:proofErr w:type="spellEnd"/>
            <w:r w:rsidRPr="004A7D42">
              <w:rPr>
                <w:sz w:val="18"/>
              </w:rPr>
              <w:t>; 29,6 s</w:t>
            </w:r>
            <w:r>
              <w:rPr>
                <w:sz w:val="18"/>
              </w:rPr>
              <w:t>enior resp. vedoucí VP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641611" w:rsidRDefault="00641611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Plánovaný počet v</w:t>
            </w:r>
            <w:r>
              <w:rPr>
                <w:sz w:val="18"/>
              </w:rPr>
              <w:t xml:space="preserve">ýzkumníků:  84,9 (FTE), </w:t>
            </w:r>
            <w:r w:rsidRPr="004A7D42">
              <w:rPr>
                <w:sz w:val="18"/>
              </w:rPr>
              <w:t xml:space="preserve">Kvalifikační struktura:  (FTE dle pozic v TA) 6,8 Ph.D.; 57,6 junior </w:t>
            </w:r>
            <w:proofErr w:type="spellStart"/>
            <w:r w:rsidRPr="004A7D42">
              <w:rPr>
                <w:sz w:val="18"/>
              </w:rPr>
              <w:t>researcher</w:t>
            </w:r>
            <w:proofErr w:type="spellEnd"/>
            <w:r w:rsidRPr="004A7D42">
              <w:rPr>
                <w:sz w:val="18"/>
              </w:rPr>
              <w:t>; 20,5 s</w:t>
            </w:r>
            <w:r>
              <w:rPr>
                <w:sz w:val="18"/>
              </w:rPr>
              <w:t>enior resp. vedoucí VP</w:t>
            </w:r>
            <w:r>
              <w:rPr>
                <w:sz w:val="18"/>
              </w:rPr>
              <w:tab/>
            </w:r>
          </w:p>
          <w:p w:rsidR="00641611" w:rsidRDefault="00641611" w:rsidP="00641611">
            <w:pPr>
              <w:spacing w:after="0" w:line="240" w:lineRule="atLeast"/>
              <w:rPr>
                <w:sz w:val="18"/>
              </w:rPr>
            </w:pPr>
            <w:r w:rsidRPr="004A7D42">
              <w:rPr>
                <w:sz w:val="18"/>
              </w:rPr>
              <w:t>Zahraniční výzkumníci v současnosti zapojení d</w:t>
            </w:r>
            <w:r>
              <w:rPr>
                <w:sz w:val="18"/>
              </w:rPr>
              <w:t xml:space="preserve">o </w:t>
            </w:r>
            <w:proofErr w:type="gramStart"/>
            <w:r>
              <w:rPr>
                <w:sz w:val="18"/>
              </w:rPr>
              <w:t>výzkumu : 22,7</w:t>
            </w:r>
            <w:proofErr w:type="gramEnd"/>
            <w:r>
              <w:rPr>
                <w:sz w:val="18"/>
              </w:rPr>
              <w:t xml:space="preserve"> (FTE), </w:t>
            </w:r>
            <w:r w:rsidRPr="004A7D42">
              <w:rPr>
                <w:sz w:val="18"/>
              </w:rPr>
              <w:t>Projektem plánovaní zahraniční výzkumníci po realizaci projektu : nerelevantní (nebylo plánováno)</w:t>
            </w:r>
            <w:r>
              <w:rPr>
                <w:sz w:val="18"/>
              </w:rPr>
              <w:t>.</w:t>
            </w:r>
          </w:p>
          <w:p w:rsidR="00B131E6" w:rsidRPr="00641611" w:rsidRDefault="00641611" w:rsidP="00641611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</w:tc>
      </w:tr>
      <w:tr w:rsidR="00B131E6" w:rsidTr="00F74C5F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7A0E2C" w:rsidRPr="007A0E2C" w:rsidRDefault="007A0E2C" w:rsidP="007A0E2C">
            <w:pPr>
              <w:spacing w:before="60" w:after="60" w:line="240" w:lineRule="auto"/>
              <w:rPr>
                <w:sz w:val="18"/>
              </w:rPr>
            </w:pPr>
            <w:r w:rsidRPr="007A0E2C">
              <w:rPr>
                <w:sz w:val="18"/>
              </w:rPr>
              <w:t>Struktura dotace</w:t>
            </w:r>
            <w:r w:rsidR="007C5D9E">
              <w:rPr>
                <w:sz w:val="18"/>
              </w:rPr>
              <w:t xml:space="preserve"> na vznik centra v rozsahu cca 544</w:t>
            </w:r>
            <w:r w:rsidRPr="007A0E2C">
              <w:rPr>
                <w:sz w:val="18"/>
              </w:rPr>
              <w:t xml:space="preserve"> mil Kč je 20% budova, 60% přístrojové investice a 20% zaměstnanci. V současné době činí podíl zahraničních výzkumníků 25% a v některých laboratoř</w:t>
            </w:r>
            <w:r>
              <w:rPr>
                <w:sz w:val="18"/>
              </w:rPr>
              <w:t xml:space="preserve">ích se hovoří pouze anglicky.  </w:t>
            </w:r>
          </w:p>
          <w:p w:rsidR="007C5D9E" w:rsidRDefault="007A0E2C" w:rsidP="007A0E2C">
            <w:pPr>
              <w:spacing w:before="60" w:after="60" w:line="240" w:lineRule="auto"/>
              <w:rPr>
                <w:sz w:val="18"/>
              </w:rPr>
            </w:pPr>
            <w:r w:rsidRPr="007A0E2C">
              <w:rPr>
                <w:sz w:val="18"/>
              </w:rPr>
              <w:t>RCPTM</w:t>
            </w:r>
            <w:r w:rsidR="007C5D9E">
              <w:rPr>
                <w:sz w:val="18"/>
              </w:rPr>
              <w:t xml:space="preserve">  je již ve stádiu udržitelnosti, p</w:t>
            </w:r>
            <w:r w:rsidRPr="007A0E2C">
              <w:rPr>
                <w:sz w:val="18"/>
              </w:rPr>
              <w:t xml:space="preserve">lní a překračuje všechny závazné indikátory (např. v počtech publikací, v počtu patentů, v zahraniční spolupráci, v grantech apod.). </w:t>
            </w:r>
          </w:p>
          <w:p w:rsidR="00641611" w:rsidRDefault="007C5D9E" w:rsidP="007A0E2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H</w:t>
            </w:r>
            <w:r w:rsidR="007A0E2C" w:rsidRPr="007A0E2C">
              <w:rPr>
                <w:sz w:val="18"/>
              </w:rPr>
              <w:t xml:space="preserve">lavním úkolem centra je vývoj a dosud byly počáteční obchodní úspěchy zapříčiněny prací jeho a 6 vedoucích manažerů všech středisek. (5 z nich je v centru v </w:t>
            </w:r>
            <w:proofErr w:type="gramStart"/>
            <w:r w:rsidR="007A0E2C" w:rsidRPr="007A0E2C">
              <w:rPr>
                <w:sz w:val="18"/>
              </w:rPr>
              <w:t>Holicích a 6.úsek</w:t>
            </w:r>
            <w:proofErr w:type="gramEnd"/>
            <w:r w:rsidR="007A0E2C" w:rsidRPr="007A0E2C">
              <w:rPr>
                <w:sz w:val="18"/>
              </w:rPr>
              <w:t xml:space="preserve"> Optické a fotonické technologie je v druhé části Olomouce). </w:t>
            </w:r>
          </w:p>
          <w:p w:rsidR="00B131E6" w:rsidRPr="005B6C3A" w:rsidRDefault="007A0E2C" w:rsidP="008751F1">
            <w:pPr>
              <w:spacing w:before="60" w:after="60" w:line="240" w:lineRule="auto"/>
              <w:rPr>
                <w:sz w:val="18"/>
              </w:rPr>
            </w:pPr>
            <w:r w:rsidRPr="007A0E2C">
              <w:rPr>
                <w:sz w:val="18"/>
              </w:rPr>
              <w:t xml:space="preserve">Bylo snahou se spolehnout na transfery technologie přes business </w:t>
            </w:r>
            <w:proofErr w:type="spellStart"/>
            <w:r w:rsidRPr="007A0E2C">
              <w:rPr>
                <w:sz w:val="18"/>
              </w:rPr>
              <w:t>angels</w:t>
            </w:r>
            <w:proofErr w:type="spellEnd"/>
            <w:r w:rsidRPr="007A0E2C">
              <w:rPr>
                <w:sz w:val="18"/>
              </w:rPr>
              <w:t xml:space="preserve">, avšak tento pokus </w:t>
            </w:r>
            <w:r w:rsidR="00641611">
              <w:rPr>
                <w:sz w:val="18"/>
              </w:rPr>
              <w:t>nepřinesl očekávané výsledky, takže vedoucí centra plánuje zřídit pozici</w:t>
            </w:r>
            <w:r w:rsidRPr="007A0E2C">
              <w:rPr>
                <w:sz w:val="18"/>
              </w:rPr>
              <w:t xml:space="preserve"> vědecko-marketingového reprezentanta/-ů/, který „nasákne“ práci celého centra a bude následně objíždět veletrhy a jiné obchodní akce, kde bude iniciovat počáteční kon</w:t>
            </w:r>
            <w:r>
              <w:rPr>
                <w:sz w:val="18"/>
              </w:rPr>
              <w:t xml:space="preserve">takty s potenciálními klienty. </w:t>
            </w:r>
            <w:bookmarkStart w:id="0" w:name="_GoBack"/>
            <w:bookmarkEnd w:id="0"/>
          </w:p>
        </w:tc>
      </w:tr>
      <w:tr w:rsidR="00B131E6" w:rsidTr="00F74C5F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641611" w:rsidRDefault="00641611" w:rsidP="007A0E2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partneři: </w:t>
            </w:r>
            <w:r w:rsidRPr="007A0E2C">
              <w:rPr>
                <w:sz w:val="18"/>
              </w:rPr>
              <w:t xml:space="preserve">cca 130 tuzemských firem, partnerů z veřejné aplikační sféry </w:t>
            </w:r>
            <w:r>
              <w:rPr>
                <w:sz w:val="18"/>
              </w:rPr>
              <w:t>a akademických partnerů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</w:r>
          </w:p>
          <w:p w:rsidR="00B131E6" w:rsidRDefault="007A0E2C" w:rsidP="007A0E2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Zahraničí partneři: </w:t>
            </w:r>
            <w:r w:rsidRPr="007A0E2C">
              <w:rPr>
                <w:sz w:val="18"/>
              </w:rPr>
              <w:t>cca 70 zahraničních akademických a aplikačních partnerů</w:t>
            </w:r>
            <w:r w:rsidR="00641611">
              <w:rPr>
                <w:sz w:val="18"/>
              </w:rPr>
              <w:t>.</w:t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Pr="007A0E2C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  <w:r w:rsidR="004A7D42" w:rsidRPr="004A7D42">
              <w:rPr>
                <w:sz w:val="18"/>
              </w:rPr>
              <w:tab/>
            </w:r>
          </w:p>
        </w:tc>
      </w:tr>
      <w:tr w:rsidR="00B131E6" w:rsidTr="00F74C5F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Zařazení projektu do rizikové skupiny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z hlediska udržitelnosti</w:t>
            </w:r>
          </w:p>
        </w:tc>
        <w:tc>
          <w:tcPr>
            <w:tcW w:w="7152" w:type="dxa"/>
            <w:gridSpan w:val="5"/>
          </w:tcPr>
          <w:p w:rsidR="00B131E6" w:rsidRDefault="00641611" w:rsidP="008751F1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A</w:t>
            </w:r>
          </w:p>
        </w:tc>
      </w:tr>
      <w:tr w:rsidR="00B131E6" w:rsidTr="00F74C5F">
        <w:tc>
          <w:tcPr>
            <w:tcW w:w="2298" w:type="dxa"/>
          </w:tcPr>
          <w:p w:rsidR="00B131E6" w:rsidRDefault="00B131E6" w:rsidP="008751F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Poznámka</w:t>
            </w:r>
          </w:p>
        </w:tc>
        <w:tc>
          <w:tcPr>
            <w:tcW w:w="7152" w:type="dxa"/>
            <w:gridSpan w:val="5"/>
          </w:tcPr>
          <w:p w:rsidR="00B131E6" w:rsidRDefault="00641611" w:rsidP="008751F1">
            <w:pPr>
              <w:spacing w:before="60" w:after="60" w:line="240" w:lineRule="auto"/>
              <w:rPr>
                <w:sz w:val="18"/>
              </w:rPr>
            </w:pPr>
            <w:r w:rsidRPr="007A0E2C">
              <w:rPr>
                <w:sz w:val="18"/>
              </w:rPr>
              <w:t>Udržitelnost RCPTM je garantována jednak vysokou úrovní odborné práce (publikační činnost, patenty, licenční smlouvy, smluvní výzkum), jednak velmi kvalitní manažerskou prací a kolegiálním prostředím v centru.</w:t>
            </w:r>
          </w:p>
        </w:tc>
      </w:tr>
    </w:tbl>
    <w:p w:rsidR="00A7545D" w:rsidRDefault="00A7545D"/>
    <w:p w:rsidR="00A87075" w:rsidRDefault="00A87075"/>
    <w:p w:rsidR="00A87075" w:rsidRDefault="00A87075"/>
    <w:sectPr w:rsidR="00A8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">
    <w:nsid w:val="0B8E70B1"/>
    <w:multiLevelType w:val="hybridMultilevel"/>
    <w:tmpl w:val="903A7838"/>
    <w:lvl w:ilvl="0" w:tplc="9B28B38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22A38"/>
    <w:multiLevelType w:val="hybridMultilevel"/>
    <w:tmpl w:val="79D8F7C6"/>
    <w:lvl w:ilvl="0" w:tplc="55448AE8">
      <w:start w:val="779"/>
      <w:numFmt w:val="bullet"/>
      <w:lvlText w:val="-"/>
      <w:lvlJc w:val="left"/>
      <w:pPr>
        <w:ind w:left="37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5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2"/>
  </w:num>
  <w:num w:numId="7">
    <w:abstractNumId w:val="11"/>
  </w:num>
  <w:num w:numId="8">
    <w:abstractNumId w:val="12"/>
  </w:num>
  <w:num w:numId="9">
    <w:abstractNumId w:val="5"/>
  </w:num>
  <w:num w:numId="10">
    <w:abstractNumId w:val="13"/>
  </w:num>
  <w:num w:numId="11">
    <w:abstractNumId w:val="10"/>
  </w:num>
  <w:num w:numId="12">
    <w:abstractNumId w:val="7"/>
  </w:num>
  <w:num w:numId="13">
    <w:abstractNumId w:val="6"/>
  </w:num>
  <w:num w:numId="14">
    <w:abstractNumId w:val="9"/>
  </w:num>
  <w:num w:numId="15">
    <w:abstractNumId w:val="4"/>
  </w:num>
  <w:num w:numId="16">
    <w:abstractNumId w:val="9"/>
  </w:num>
  <w:num w:numId="17">
    <w:abstractNumId w:val="9"/>
  </w:num>
  <w:num w:numId="18">
    <w:abstractNumId w:val="15"/>
  </w:num>
  <w:num w:numId="19">
    <w:abstractNumId w:val="2"/>
  </w:num>
  <w:num w:numId="20">
    <w:abstractNumId w:val="11"/>
  </w:num>
  <w:num w:numId="21">
    <w:abstractNumId w:val="12"/>
  </w:num>
  <w:num w:numId="22">
    <w:abstractNumId w:val="5"/>
  </w:num>
  <w:num w:numId="23">
    <w:abstractNumId w:val="13"/>
  </w:num>
  <w:num w:numId="24">
    <w:abstractNumId w:val="3"/>
  </w:num>
  <w:num w:numId="25">
    <w:abstractNumId w:val="14"/>
  </w:num>
  <w:num w:numId="26">
    <w:abstractNumId w:val="0"/>
    <w:lvlOverride w:ilvl="0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75F"/>
    <w:rsid w:val="00002DBE"/>
    <w:rsid w:val="0004245B"/>
    <w:rsid w:val="0005178F"/>
    <w:rsid w:val="000A69DE"/>
    <w:rsid w:val="000B7BB7"/>
    <w:rsid w:val="000F0945"/>
    <w:rsid w:val="0010270A"/>
    <w:rsid w:val="00104F69"/>
    <w:rsid w:val="0018459D"/>
    <w:rsid w:val="001845D5"/>
    <w:rsid w:val="001B09DB"/>
    <w:rsid w:val="001B2134"/>
    <w:rsid w:val="0020318D"/>
    <w:rsid w:val="00235AE1"/>
    <w:rsid w:val="0025284D"/>
    <w:rsid w:val="002A102B"/>
    <w:rsid w:val="002B4A3E"/>
    <w:rsid w:val="002C69A4"/>
    <w:rsid w:val="002F4CEA"/>
    <w:rsid w:val="0036287D"/>
    <w:rsid w:val="00431B1E"/>
    <w:rsid w:val="004A7D42"/>
    <w:rsid w:val="004C4832"/>
    <w:rsid w:val="004D6F6B"/>
    <w:rsid w:val="0050061F"/>
    <w:rsid w:val="00500997"/>
    <w:rsid w:val="00505992"/>
    <w:rsid w:val="0052281E"/>
    <w:rsid w:val="00526313"/>
    <w:rsid w:val="00575799"/>
    <w:rsid w:val="00595603"/>
    <w:rsid w:val="005D613D"/>
    <w:rsid w:val="005F27AE"/>
    <w:rsid w:val="00641611"/>
    <w:rsid w:val="00686EA8"/>
    <w:rsid w:val="006D1694"/>
    <w:rsid w:val="007011BD"/>
    <w:rsid w:val="00737A93"/>
    <w:rsid w:val="00742563"/>
    <w:rsid w:val="00774A9C"/>
    <w:rsid w:val="00776C6F"/>
    <w:rsid w:val="007A0E2C"/>
    <w:rsid w:val="007A62D7"/>
    <w:rsid w:val="007C5D9E"/>
    <w:rsid w:val="0081225A"/>
    <w:rsid w:val="0081392A"/>
    <w:rsid w:val="008146D9"/>
    <w:rsid w:val="008246A2"/>
    <w:rsid w:val="008353DD"/>
    <w:rsid w:val="00887E91"/>
    <w:rsid w:val="009360DE"/>
    <w:rsid w:val="009372B3"/>
    <w:rsid w:val="00994838"/>
    <w:rsid w:val="009E437E"/>
    <w:rsid w:val="00A0019C"/>
    <w:rsid w:val="00A431A3"/>
    <w:rsid w:val="00A74241"/>
    <w:rsid w:val="00A7545D"/>
    <w:rsid w:val="00A87075"/>
    <w:rsid w:val="00AA442B"/>
    <w:rsid w:val="00AD65D3"/>
    <w:rsid w:val="00AE72C5"/>
    <w:rsid w:val="00AF306B"/>
    <w:rsid w:val="00AF6EBB"/>
    <w:rsid w:val="00B07516"/>
    <w:rsid w:val="00B131E6"/>
    <w:rsid w:val="00B24800"/>
    <w:rsid w:val="00B31B5B"/>
    <w:rsid w:val="00BC1100"/>
    <w:rsid w:val="00BD1371"/>
    <w:rsid w:val="00BE0E88"/>
    <w:rsid w:val="00BF1663"/>
    <w:rsid w:val="00C217DD"/>
    <w:rsid w:val="00C43F6D"/>
    <w:rsid w:val="00C56390"/>
    <w:rsid w:val="00C72FB4"/>
    <w:rsid w:val="00C92258"/>
    <w:rsid w:val="00CC6243"/>
    <w:rsid w:val="00D024D5"/>
    <w:rsid w:val="00D03FD2"/>
    <w:rsid w:val="00D2753C"/>
    <w:rsid w:val="00D302A0"/>
    <w:rsid w:val="00DA6654"/>
    <w:rsid w:val="00DA7033"/>
    <w:rsid w:val="00DC79C8"/>
    <w:rsid w:val="00DD26D3"/>
    <w:rsid w:val="00DD5D64"/>
    <w:rsid w:val="00DF27E3"/>
    <w:rsid w:val="00E05352"/>
    <w:rsid w:val="00E20092"/>
    <w:rsid w:val="00E43C3D"/>
    <w:rsid w:val="00E71CB7"/>
    <w:rsid w:val="00E85250"/>
    <w:rsid w:val="00EB7689"/>
    <w:rsid w:val="00EC3BBE"/>
    <w:rsid w:val="00EE2A12"/>
    <w:rsid w:val="00F0067F"/>
    <w:rsid w:val="00F34368"/>
    <w:rsid w:val="00F74C5F"/>
    <w:rsid w:val="00F9010E"/>
    <w:rsid w:val="00FA0F95"/>
    <w:rsid w:val="00FA5E29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575799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575799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4130-BBF7-44EB-9FF9-B5C5BC6B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2015-03-20T10:33:00Z</dcterms:created>
  <dcterms:modified xsi:type="dcterms:W3CDTF">2015-03-20T10:33:00Z</dcterms:modified>
</cp:coreProperties>
</file>