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3F667A" w:rsidRPr="00602BAC" w:rsidRDefault="006025C6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>Centrum excelence Telč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602BAC" w:rsidRDefault="006025C6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 xml:space="preserve">Ústav teoretické a aplikované mechaniky AV ČR, </w:t>
            </w:r>
            <w:proofErr w:type="spellStart"/>
            <w:proofErr w:type="gramStart"/>
            <w:r w:rsidRPr="00602BAC">
              <w:rPr>
                <w:rFonts w:ascii="Arial" w:hAnsi="Arial" w:cs="Arial"/>
              </w:rPr>
              <w:t>v.v.</w:t>
            </w:r>
            <w:proofErr w:type="gramEnd"/>
            <w:r w:rsidRPr="00602BAC">
              <w:rPr>
                <w:rFonts w:ascii="Arial" w:hAnsi="Arial" w:cs="Arial"/>
              </w:rPr>
              <w:t>i</w:t>
            </w:r>
            <w:proofErr w:type="spellEnd"/>
            <w:r w:rsidRPr="00602BAC">
              <w:rPr>
                <w:rFonts w:ascii="Arial" w:hAnsi="Arial" w:cs="Arial"/>
              </w:rPr>
              <w:t>.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602BAC" w:rsidRDefault="006025C6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>CZ.1.05/1.1.00/02.0060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6025C6" w:rsidRPr="00602BAC" w:rsidRDefault="006025C6" w:rsidP="00FB0B43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>Prosecká 809/76, 190 00 Praha 9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602BAC" w:rsidRDefault="006025C6" w:rsidP="005E60A5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>1.1 Evropská centra excelence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EA5BB7" w:rsidP="006025C6">
            <w:pPr>
              <w:spacing w:before="120" w:after="60" w:line="240" w:lineRule="auto"/>
              <w:rPr>
                <w:rFonts w:ascii="Arial" w:hAnsi="Arial" w:cs="Arial"/>
              </w:rPr>
            </w:pPr>
            <w:r w:rsidRPr="00602BAC">
              <w:rPr>
                <w:rFonts w:ascii="Arial" w:hAnsi="Arial" w:cs="Arial"/>
              </w:rPr>
              <w:t>2</w:t>
            </w:r>
            <w:r w:rsidR="006025C6" w:rsidRPr="00602BAC">
              <w:rPr>
                <w:rFonts w:ascii="Arial" w:hAnsi="Arial" w:cs="Arial"/>
              </w:rPr>
              <w:t>2</w:t>
            </w:r>
            <w:r w:rsidR="00A02D48" w:rsidRPr="00602BAC">
              <w:rPr>
                <w:rFonts w:ascii="Arial" w:hAnsi="Arial" w:cs="Arial"/>
              </w:rPr>
              <w:t>.</w:t>
            </w:r>
            <w:r w:rsidRPr="00602BAC">
              <w:rPr>
                <w:rFonts w:ascii="Arial" w:hAnsi="Arial" w:cs="Arial"/>
              </w:rPr>
              <w:t xml:space="preserve"> </w:t>
            </w:r>
            <w:r w:rsidR="006025C6" w:rsidRPr="00602BAC">
              <w:rPr>
                <w:rFonts w:ascii="Arial" w:hAnsi="Arial" w:cs="Arial"/>
              </w:rPr>
              <w:t>9</w:t>
            </w:r>
            <w:r w:rsidRPr="00602BAC">
              <w:rPr>
                <w:rFonts w:ascii="Arial" w:hAnsi="Arial" w:cs="Arial"/>
              </w:rPr>
              <w:t>. 20</w:t>
            </w:r>
            <w:r w:rsidR="006025C6" w:rsidRPr="00602BAC">
              <w:rPr>
                <w:rFonts w:ascii="Arial" w:hAnsi="Arial" w:cs="Arial"/>
              </w:rPr>
              <w:t>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A02D48">
              <w:rPr>
                <w:sz w:val="18"/>
              </w:rPr>
              <w:t xml:space="preserve"> </w:t>
            </w:r>
            <w:r w:rsidR="00A02D48" w:rsidRPr="00602BAC">
              <w:rPr>
                <w:sz w:val="18"/>
              </w:rPr>
              <w:t>1. 1</w:t>
            </w:r>
            <w:r w:rsidR="00E42722" w:rsidRPr="00602BAC">
              <w:rPr>
                <w:sz w:val="18"/>
              </w:rPr>
              <w:t>0. 2010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</w:t>
            </w:r>
            <w:r w:rsidR="00A02D48" w:rsidRPr="00602BAC">
              <w:rPr>
                <w:sz w:val="18"/>
              </w:rPr>
              <w:t>31. 12. 2013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RoPD bez snížení):</w:t>
            </w:r>
          </w:p>
          <w:p w:rsidR="00A02D48" w:rsidRPr="00AA442B" w:rsidRDefault="00E42722" w:rsidP="00E42722">
            <w:pPr>
              <w:spacing w:before="120" w:after="60" w:line="240" w:lineRule="auto"/>
              <w:contextualSpacing/>
              <w:rPr>
                <w:sz w:val="18"/>
              </w:rPr>
            </w:pPr>
            <w:r w:rsidRPr="00602BAC">
              <w:rPr>
                <w:sz w:val="18"/>
              </w:rPr>
              <w:t>238 300 885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602BAC" w:rsidRDefault="00226D21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202 555 7</w:t>
            </w:r>
            <w:r w:rsidR="007F630B" w:rsidRPr="00602BAC">
              <w:rPr>
                <w:sz w:val="18"/>
              </w:rPr>
              <w:t>52</w:t>
            </w:r>
            <w:r w:rsidR="0075385C" w:rsidRPr="00602BAC">
              <w:rPr>
                <w:sz w:val="18"/>
              </w:rPr>
              <w:t>,25</w:t>
            </w:r>
          </w:p>
          <w:p w:rsidR="00F74C5F" w:rsidRPr="00602BAC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Podíl z EU v  CZK  (85 %):</w:t>
            </w:r>
          </w:p>
          <w:p w:rsidR="00F34368" w:rsidRPr="00AA442B" w:rsidRDefault="007F630B" w:rsidP="007F630B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35 745 132</w:t>
            </w:r>
            <w:r w:rsidR="0075385C" w:rsidRPr="00602BAC">
              <w:rPr>
                <w:sz w:val="18"/>
              </w:rPr>
              <w:t>,75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602BAC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Stavební část:</w:t>
            </w:r>
            <w:r w:rsidR="00A02D48" w:rsidRPr="00602BAC">
              <w:rPr>
                <w:sz w:val="18"/>
              </w:rPr>
              <w:t xml:space="preserve"> </w:t>
            </w:r>
            <w:r w:rsidR="007F630B" w:rsidRPr="00602BAC">
              <w:rPr>
                <w:sz w:val="18"/>
              </w:rPr>
              <w:t>80 404 162</w:t>
            </w:r>
          </w:p>
          <w:p w:rsidR="00F34368" w:rsidRPr="00602BAC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Přístrojové vybavení</w:t>
            </w:r>
            <w:r w:rsidR="0018459D" w:rsidRPr="00602BAC">
              <w:rPr>
                <w:sz w:val="18"/>
              </w:rPr>
              <w:t>:</w:t>
            </w:r>
            <w:r w:rsidR="00A02D48" w:rsidRPr="00602BAC">
              <w:rPr>
                <w:sz w:val="18"/>
              </w:rPr>
              <w:t xml:space="preserve"> </w:t>
            </w:r>
            <w:r w:rsidR="007F630B" w:rsidRPr="00602BAC">
              <w:rPr>
                <w:sz w:val="18"/>
              </w:rPr>
              <w:t>117 423 482</w:t>
            </w:r>
          </w:p>
          <w:p w:rsidR="00F34368" w:rsidRPr="00602BAC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Mzdové výdaje</w:t>
            </w:r>
            <w:r w:rsidR="0018459D" w:rsidRPr="00602BAC">
              <w:rPr>
                <w:sz w:val="18"/>
              </w:rPr>
              <w:t>:</w:t>
            </w:r>
            <w:r w:rsidR="00A02D48" w:rsidRPr="00602BAC">
              <w:rPr>
                <w:sz w:val="18"/>
              </w:rPr>
              <w:t xml:space="preserve"> </w:t>
            </w:r>
            <w:r w:rsidR="007F630B" w:rsidRPr="00602BAC">
              <w:rPr>
                <w:sz w:val="18"/>
              </w:rPr>
              <w:t>23 115 512</w:t>
            </w:r>
          </w:p>
          <w:p w:rsidR="00F34368" w:rsidRDefault="00F34368" w:rsidP="007F630B">
            <w:pPr>
              <w:spacing w:before="60" w:after="60" w:line="240" w:lineRule="auto"/>
              <w:rPr>
                <w:sz w:val="16"/>
              </w:rPr>
            </w:pPr>
            <w:r w:rsidRPr="00602BAC">
              <w:rPr>
                <w:sz w:val="18"/>
              </w:rPr>
              <w:t>Ostatní</w:t>
            </w:r>
            <w:r w:rsidR="0018459D" w:rsidRPr="00602BAC">
              <w:rPr>
                <w:sz w:val="18"/>
              </w:rPr>
              <w:t>:</w:t>
            </w:r>
            <w:r w:rsidR="00E5488B" w:rsidRPr="00602BAC">
              <w:rPr>
                <w:sz w:val="18"/>
              </w:rPr>
              <w:t xml:space="preserve"> </w:t>
            </w:r>
            <w:r w:rsidR="007F630B" w:rsidRPr="00602BAC">
              <w:rPr>
                <w:sz w:val="18"/>
              </w:rPr>
              <w:t>17 357 729</w:t>
            </w:r>
            <w:r w:rsidR="00832AA1" w:rsidRPr="00602BAC">
              <w:rPr>
                <w:sz w:val="18"/>
              </w:rPr>
              <w:t xml:space="preserve"> (struktura plánovaných výdajů dle RoPD)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Pr="005E60A5" w:rsidRDefault="00E42722" w:rsidP="00E42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>Projekt CET vznikl především proto, aby přispěl k rozvoji české a evropské vědy vybudováním Evropského centra excelence jako špičkového výzkumného pracoviště s unikátním výzkumným programem a mezinárodním dosahem zejména v širokém oboru výzkumu kulturního dědictví  a napomohl současnému základnímu i aplikovanému výzkumu lokalizovanému v kraji Vysočina a městě Telč dosáhnout špičkové úrovně. Jeho smyslem je nejen zapojit aktivity realizované v tomto regionu do evropského výzkumného prostoru, ale otevřít jej světu i vytvořením podmínek příznivých pro spolupráci s dalšími výzkumnými a vysokoškolskými institucemi v ČR i ve světě, vytvářením společných týmů nebo získáváním externích spolupracovníků na vlastních projektech ale také pro spolupráci se soukromým sektorem.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602BAC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Datum</w:t>
            </w:r>
            <w:r w:rsidR="00002DBE" w:rsidRPr="00602BAC">
              <w:rPr>
                <w:sz w:val="18"/>
              </w:rPr>
              <w:t>:</w:t>
            </w:r>
          </w:p>
          <w:p w:rsidR="009C14B4" w:rsidRPr="00602BAC" w:rsidRDefault="00A648F3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 w:rsidRPr="00602BAC">
              <w:rPr>
                <w:sz w:val="18"/>
              </w:rPr>
              <w:t xml:space="preserve">zahájení – </w:t>
            </w:r>
            <w:r w:rsidR="00032AAA" w:rsidRPr="00602BAC">
              <w:t xml:space="preserve"> </w:t>
            </w:r>
            <w:r w:rsidR="00032AAA" w:rsidRPr="00602BAC">
              <w:rPr>
                <w:sz w:val="18"/>
              </w:rPr>
              <w:t>14</w:t>
            </w:r>
            <w:proofErr w:type="gramEnd"/>
            <w:r w:rsidR="00032AAA" w:rsidRPr="00602BAC">
              <w:rPr>
                <w:sz w:val="18"/>
              </w:rPr>
              <w:t>. 3. 2011</w:t>
            </w:r>
          </w:p>
          <w:p w:rsidR="009C14B4" w:rsidRPr="00602BAC" w:rsidRDefault="009C14B4" w:rsidP="00A648F3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kolaudace -</w:t>
            </w:r>
            <w:r w:rsidR="00A648F3" w:rsidRPr="00602BAC">
              <w:rPr>
                <w:sz w:val="18"/>
              </w:rPr>
              <w:t xml:space="preserve"> 27. 4. 2012</w:t>
            </w:r>
          </w:p>
        </w:tc>
        <w:tc>
          <w:tcPr>
            <w:tcW w:w="3307" w:type="dxa"/>
            <w:gridSpan w:val="2"/>
          </w:tcPr>
          <w:p w:rsidR="00526313" w:rsidRPr="00602BAC" w:rsidRDefault="00002DBE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Generální dodavatel:</w:t>
            </w:r>
          </w:p>
          <w:p w:rsidR="00A648F3" w:rsidRPr="00602BAC" w:rsidRDefault="00A648F3" w:rsidP="00A648F3">
            <w:pPr>
              <w:spacing w:before="60" w:after="60" w:line="240" w:lineRule="auto"/>
              <w:rPr>
                <w:sz w:val="18"/>
              </w:rPr>
            </w:pPr>
            <w:proofErr w:type="spellStart"/>
            <w:proofErr w:type="gramStart"/>
            <w:r w:rsidRPr="00602BAC">
              <w:rPr>
                <w:sz w:val="18"/>
              </w:rPr>
              <w:t>Průmstav</w:t>
            </w:r>
            <w:proofErr w:type="spellEnd"/>
            <w:r w:rsidRPr="00602BAC">
              <w:rPr>
                <w:sz w:val="18"/>
              </w:rPr>
              <w:t xml:space="preserve"> , a.</w:t>
            </w:r>
            <w:proofErr w:type="gramEnd"/>
            <w:r w:rsidRPr="00602BAC">
              <w:rPr>
                <w:sz w:val="18"/>
              </w:rPr>
              <w:t>s.</w:t>
            </w:r>
          </w:p>
          <w:p w:rsidR="009C14B4" w:rsidRPr="00602BAC" w:rsidRDefault="009C14B4" w:rsidP="00A648F3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(</w:t>
            </w:r>
            <w:r w:rsidR="00A648F3" w:rsidRPr="00602BAC">
              <w:rPr>
                <w:sz w:val="18"/>
              </w:rPr>
              <w:t>KRAJINNÝ PARK TELČ - PAVILONY VŠ KOLEJÍ - BLOK 1 A 2 PRO CENTRUM EXCELENCE ARCCH</w:t>
            </w:r>
            <w:r w:rsidRPr="00602BAC">
              <w:rPr>
                <w:sz w:val="18"/>
              </w:rPr>
              <w:t>)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5A3CF5" w:rsidRPr="005E60A5" w:rsidRDefault="00F2309E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Dosaženy byly následující výstupy</w:t>
            </w:r>
            <w:r w:rsidR="005A3CF5" w:rsidRPr="005E60A5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F2309E" w:rsidRPr="00F2309E" w:rsidRDefault="00F2309E" w:rsidP="00F2309E">
            <w:pPr>
              <w:autoSpaceDE w:val="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a) soubor objektů CET, vybudovaných v Telči podle předložené stavební dokumentace, obsahujících speciální laboratoře, pracovny vědců a technologické zázemí této výzkumné kapacity. Rok realizace 2012;</w:t>
            </w:r>
          </w:p>
          <w:p w:rsidR="00F2309E" w:rsidRPr="00F2309E" w:rsidRDefault="00F2309E" w:rsidP="00F2309E">
            <w:pPr>
              <w:autoSpaceDE w:val="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b) experimentální báze s unikátním vybavením a zařízením budovy dle potřeb výzkumné činnosti, obsahující níže uvedené moduly i nezbytné laboratoře pro komplexní výzkum životnosti historickým materiálu, památek, nových materiálu a technologií. Rok realizace 2012 a 2013;</w:t>
            </w:r>
          </w:p>
          <w:p w:rsidR="00F2309E" w:rsidRPr="00F2309E" w:rsidRDefault="00F2309E" w:rsidP="00F2309E">
            <w:pPr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Specializovaná experimentální báze je vybavená:</w:t>
            </w:r>
          </w:p>
          <w:p w:rsidR="00F2309E" w:rsidRPr="00F2309E" w:rsidRDefault="00F2309E" w:rsidP="00F2309E">
            <w:pPr>
              <w:numPr>
                <w:ilvl w:val="0"/>
                <w:numId w:val="29"/>
              </w:numPr>
              <w:tabs>
                <w:tab w:val="left" w:pos="436"/>
              </w:tabs>
              <w:suppressAutoHyphens/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klimatickým tunelem s unikátním systémem měření klimatických vlivu na památky a technické materiály, rok realizace 2012;</w:t>
            </w:r>
          </w:p>
          <w:p w:rsidR="00F2309E" w:rsidRPr="00F2309E" w:rsidRDefault="00F2309E" w:rsidP="00F2309E">
            <w:pPr>
              <w:numPr>
                <w:ilvl w:val="0"/>
                <w:numId w:val="29"/>
              </w:numPr>
              <w:tabs>
                <w:tab w:val="left" w:pos="436"/>
              </w:tabs>
              <w:suppressAutoHyphens/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lastRenderedPageBreak/>
              <w:t>stabilní laboratoří materiálových analýz, rok realizace 2013;</w:t>
            </w:r>
          </w:p>
          <w:p w:rsidR="00F2309E" w:rsidRPr="00F2309E" w:rsidRDefault="00F2309E" w:rsidP="00F2309E">
            <w:pPr>
              <w:numPr>
                <w:ilvl w:val="0"/>
                <w:numId w:val="29"/>
              </w:numPr>
              <w:tabs>
                <w:tab w:val="left" w:pos="436"/>
              </w:tabs>
              <w:suppressAutoHyphens/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 xml:space="preserve">radiografickou a </w:t>
            </w:r>
            <w:proofErr w:type="spellStart"/>
            <w:r w:rsidRPr="00F2309E">
              <w:rPr>
                <w:rFonts w:cs="Times New Roman"/>
                <w:sz w:val="18"/>
                <w:szCs w:val="18"/>
              </w:rPr>
              <w:t>neutronografickou</w:t>
            </w:r>
            <w:proofErr w:type="spellEnd"/>
            <w:r w:rsidRPr="00F2309E">
              <w:rPr>
                <w:rFonts w:cs="Times New Roman"/>
                <w:sz w:val="18"/>
                <w:szCs w:val="18"/>
              </w:rPr>
              <w:t xml:space="preserve"> laboratoří sloužící k diagnostice poruch, studiu materiálového složení a tvorbě 3D strukturálních virtuálních modelu analyzovaných objektu, rok realizace 2013;</w:t>
            </w:r>
          </w:p>
          <w:p w:rsidR="00F2309E" w:rsidRPr="00F2309E" w:rsidRDefault="00F2309E" w:rsidP="00F2309E">
            <w:pPr>
              <w:numPr>
                <w:ilvl w:val="0"/>
                <w:numId w:val="29"/>
              </w:numPr>
              <w:tabs>
                <w:tab w:val="left" w:pos="436"/>
              </w:tabs>
              <w:suppressAutoHyphens/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mobilní diagnostickou laboratoří, rok realizace 2013;</w:t>
            </w:r>
          </w:p>
          <w:p w:rsidR="00F2309E" w:rsidRPr="00F2309E" w:rsidRDefault="00F2309E" w:rsidP="00F2309E">
            <w:pPr>
              <w:numPr>
                <w:ilvl w:val="0"/>
                <w:numId w:val="29"/>
              </w:numPr>
              <w:tabs>
                <w:tab w:val="left" w:pos="436"/>
              </w:tabs>
              <w:suppressAutoHyphens/>
              <w:autoSpaceDE w:val="0"/>
              <w:spacing w:after="12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monitorovací sítí a databází analytických dat o historických materiálech, konstrukcích, prostředích a o bezpečnostních hrozbách, rok realizace 2012.</w:t>
            </w:r>
          </w:p>
          <w:p w:rsidR="00F2309E" w:rsidRPr="00F2309E" w:rsidRDefault="00F2309E" w:rsidP="00F2309E">
            <w:pPr>
              <w:autoSpaceDE w:val="0"/>
              <w:jc w:val="both"/>
              <w:rPr>
                <w:rFonts w:cs="Times New Roman"/>
                <w:sz w:val="18"/>
                <w:szCs w:val="18"/>
              </w:rPr>
            </w:pPr>
            <w:r w:rsidRPr="00F2309E">
              <w:rPr>
                <w:rFonts w:cs="Times New Roman"/>
                <w:sz w:val="18"/>
                <w:szCs w:val="18"/>
              </w:rPr>
              <w:t>c) provoz CET v rámci tzv. start-up grantu, podporujícího činnosti Realizačního a Výzkumného týmu a provozních výdajů spojených se zahájením činnosti CET v roce 2013;</w:t>
            </w:r>
          </w:p>
          <w:p w:rsidR="00FB0B08" w:rsidRPr="00602BAC" w:rsidRDefault="00FB0B08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602BAC">
              <w:rPr>
                <w:rFonts w:cs="Times New Roman"/>
                <w:b/>
                <w:sz w:val="18"/>
                <w:szCs w:val="18"/>
              </w:rPr>
              <w:t>Splněné monitorovací indikátory (plán konec realizace projektu; skutečnost; plán 2015):</w:t>
            </w:r>
          </w:p>
          <w:p w:rsidR="002F5FAE" w:rsidRPr="00602BAC" w:rsidRDefault="002F5FAE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 xml:space="preserve">110502 Odborné publikace (dle metodiky </w:t>
            </w:r>
            <w:proofErr w:type="gramStart"/>
            <w:r w:rsidRPr="00602BAC">
              <w:rPr>
                <w:rFonts w:cs="Times New Roman"/>
                <w:sz w:val="18"/>
                <w:szCs w:val="18"/>
              </w:rPr>
              <w:t>RVV) (10</w:t>
            </w:r>
            <w:proofErr w:type="gramEnd"/>
            <w:r w:rsidR="00126163" w:rsidRPr="00602BAC">
              <w:rPr>
                <w:rFonts w:cs="Times New Roman"/>
                <w:sz w:val="18"/>
                <w:szCs w:val="18"/>
              </w:rPr>
              <w:t>;</w:t>
            </w:r>
            <w:r w:rsidRPr="00602BAC">
              <w:rPr>
                <w:rFonts w:cs="Times New Roman"/>
                <w:sz w:val="18"/>
                <w:szCs w:val="18"/>
              </w:rPr>
              <w:t xml:space="preserve"> 42</w:t>
            </w:r>
            <w:r w:rsidR="00126163" w:rsidRPr="00602BAC">
              <w:rPr>
                <w:rFonts w:cs="Times New Roman"/>
                <w:sz w:val="18"/>
                <w:szCs w:val="18"/>
              </w:rPr>
              <w:t>;</w:t>
            </w:r>
            <w:r w:rsidRPr="00602BAC">
              <w:rPr>
                <w:rFonts w:cs="Times New Roman"/>
                <w:sz w:val="18"/>
                <w:szCs w:val="18"/>
              </w:rPr>
              <w:t xml:space="preserve"> </w:t>
            </w:r>
            <w:r w:rsidR="00126163" w:rsidRPr="00602BAC">
              <w:rPr>
                <w:rFonts w:cs="Times New Roman"/>
                <w:sz w:val="18"/>
                <w:szCs w:val="18"/>
              </w:rPr>
              <w:t>55</w:t>
            </w:r>
            <w:r w:rsidRPr="00602BAC">
              <w:rPr>
                <w:rFonts w:cs="Times New Roman"/>
                <w:sz w:val="18"/>
                <w:szCs w:val="18"/>
              </w:rPr>
              <w:t>)</w:t>
            </w:r>
          </w:p>
          <w:p w:rsidR="002F5FAE" w:rsidRPr="00602BAC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 xml:space="preserve">110503 Výsledky výzkumu chráněné na základě zvláštního právního předpisu (dle metodiky </w:t>
            </w:r>
            <w:proofErr w:type="gramStart"/>
            <w:r w:rsidRPr="00602BAC">
              <w:rPr>
                <w:sz w:val="20"/>
                <w:szCs w:val="20"/>
              </w:rPr>
              <w:t>RVV) (0</w:t>
            </w:r>
            <w:r w:rsidR="00126163" w:rsidRPr="00602BAC">
              <w:rPr>
                <w:sz w:val="20"/>
                <w:szCs w:val="20"/>
              </w:rPr>
              <w:t>;</w:t>
            </w:r>
            <w:proofErr w:type="gramEnd"/>
            <w:r w:rsidR="00126163" w:rsidRPr="00602BAC">
              <w:rPr>
                <w:sz w:val="20"/>
                <w:szCs w:val="20"/>
              </w:rPr>
              <w:t xml:space="preserve"> 0;</w:t>
            </w:r>
            <w:r w:rsidRPr="00602BAC">
              <w:rPr>
                <w:sz w:val="20"/>
                <w:szCs w:val="20"/>
              </w:rPr>
              <w:t xml:space="preserve"> </w:t>
            </w:r>
            <w:r w:rsidR="00126163" w:rsidRPr="00602BAC">
              <w:rPr>
                <w:sz w:val="20"/>
                <w:szCs w:val="20"/>
              </w:rPr>
              <w:t>0</w:t>
            </w:r>
            <w:r w:rsidRPr="00602BAC">
              <w:rPr>
                <w:sz w:val="20"/>
                <w:szCs w:val="20"/>
              </w:rPr>
              <w:t>)</w:t>
            </w:r>
          </w:p>
          <w:p w:rsidR="002F5FAE" w:rsidRPr="00602BAC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 xml:space="preserve">110504 Aplikované výsledky výzkumu (dle metodiky </w:t>
            </w:r>
            <w:proofErr w:type="gramStart"/>
            <w:r w:rsidRPr="00602BAC">
              <w:rPr>
                <w:sz w:val="20"/>
                <w:szCs w:val="20"/>
              </w:rPr>
              <w:t xml:space="preserve">RVV) </w:t>
            </w:r>
            <w:r w:rsidR="00126163" w:rsidRPr="00602BAC">
              <w:rPr>
                <w:sz w:val="20"/>
                <w:szCs w:val="20"/>
              </w:rPr>
              <w:t>(0;</w:t>
            </w:r>
            <w:proofErr w:type="gramEnd"/>
            <w:r w:rsidR="00126163" w:rsidRPr="00602BAC">
              <w:rPr>
                <w:sz w:val="20"/>
                <w:szCs w:val="20"/>
              </w:rPr>
              <w:t xml:space="preserve"> 0; 10)</w:t>
            </w:r>
          </w:p>
          <w:p w:rsidR="002F5FAE" w:rsidRPr="00602BAC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111200 Objem smluvního výzkumu (v tis.)</w:t>
            </w:r>
            <w:r w:rsidR="00126163" w:rsidRPr="00602BAC">
              <w:rPr>
                <w:sz w:val="20"/>
                <w:szCs w:val="20"/>
              </w:rPr>
              <w:t xml:space="preserve"> (0; 0; 5 470)</w:t>
            </w:r>
          </w:p>
          <w:p w:rsidR="002F5FAE" w:rsidRPr="00602BAC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 xml:space="preserve">111300 Objem prostředků na </w:t>
            </w:r>
            <w:proofErr w:type="spellStart"/>
            <w:r w:rsidRPr="00602BAC">
              <w:rPr>
                <w:sz w:val="20"/>
                <w:szCs w:val="20"/>
              </w:rPr>
              <w:t>VaV</w:t>
            </w:r>
            <w:proofErr w:type="spellEnd"/>
            <w:r w:rsidRPr="00602BAC">
              <w:rPr>
                <w:sz w:val="20"/>
                <w:szCs w:val="20"/>
              </w:rPr>
              <w:t xml:space="preserve"> získaný ze zahraničních zdrojů (tis. </w:t>
            </w:r>
            <w:proofErr w:type="gramStart"/>
            <w:r w:rsidRPr="00602BAC">
              <w:rPr>
                <w:sz w:val="20"/>
                <w:szCs w:val="20"/>
              </w:rPr>
              <w:t xml:space="preserve">Kč) </w:t>
            </w:r>
            <w:r w:rsidR="00126163" w:rsidRPr="00602BAC">
              <w:rPr>
                <w:sz w:val="20"/>
                <w:szCs w:val="20"/>
              </w:rPr>
              <w:t>(0;</w:t>
            </w:r>
            <w:proofErr w:type="gramEnd"/>
            <w:r w:rsidR="00126163" w:rsidRPr="00602BAC">
              <w:rPr>
                <w:sz w:val="20"/>
                <w:szCs w:val="20"/>
              </w:rPr>
              <w:t xml:space="preserve"> 0; 11 660)</w:t>
            </w:r>
          </w:p>
          <w:p w:rsidR="00126163" w:rsidRPr="00602BAC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 xml:space="preserve">074902 Počet úspěšných absolventů doktorských studijních </w:t>
            </w:r>
            <w:proofErr w:type="gramStart"/>
            <w:r w:rsidRPr="00602BAC">
              <w:rPr>
                <w:sz w:val="20"/>
                <w:szCs w:val="20"/>
              </w:rPr>
              <w:t>programů  (0;</w:t>
            </w:r>
            <w:proofErr w:type="gramEnd"/>
            <w:r w:rsidRPr="00602BAC">
              <w:rPr>
                <w:sz w:val="20"/>
                <w:szCs w:val="20"/>
              </w:rPr>
              <w:t xml:space="preserve"> 0; 3)</w:t>
            </w:r>
          </w:p>
          <w:p w:rsidR="00126163" w:rsidRPr="00602BAC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110710 Počet projektů spolupráce aplikační sféry s centry excelence (0; 0; 5)</w:t>
            </w:r>
          </w:p>
          <w:p w:rsidR="00126163" w:rsidRPr="00602BAC" w:rsidRDefault="00126163" w:rsidP="00126163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110820 Počet studentů magisterských a doktorských studijních programů</w:t>
            </w:r>
          </w:p>
          <w:p w:rsidR="00126163" w:rsidRPr="00602BAC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využívajících vybudovanou infrastrukturu (0; 28; 40)</w:t>
            </w:r>
          </w:p>
          <w:p w:rsidR="00126163" w:rsidRPr="00602BAC" w:rsidRDefault="00126163" w:rsidP="0012616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110810 Počet výzkumných pracovníků využívajících vybudovanou</w:t>
            </w:r>
          </w:p>
          <w:p w:rsidR="00126163" w:rsidRPr="00602BAC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proofErr w:type="gramStart"/>
            <w:r w:rsidRPr="00602BAC">
              <w:rPr>
                <w:sz w:val="20"/>
                <w:szCs w:val="20"/>
              </w:rPr>
              <w:t>Infrastrukturu  (0;</w:t>
            </w:r>
            <w:proofErr w:type="gramEnd"/>
            <w:r w:rsidRPr="00602BAC">
              <w:rPr>
                <w:sz w:val="20"/>
                <w:szCs w:val="20"/>
              </w:rPr>
              <w:t xml:space="preserve"> 0; 36)</w:t>
            </w:r>
          </w:p>
          <w:p w:rsidR="00126163" w:rsidRPr="00602BAC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110830 Podíl kapacit nových infrastruktur využívaných jinými subjekty (0; 0; 0)</w:t>
            </w:r>
          </w:p>
          <w:p w:rsidR="00126163" w:rsidRPr="00602BAC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 xml:space="preserve">110300 Počet nově </w:t>
            </w:r>
            <w:proofErr w:type="gramStart"/>
            <w:r w:rsidRPr="00602BAC">
              <w:rPr>
                <w:sz w:val="20"/>
                <w:szCs w:val="20"/>
              </w:rPr>
              <w:t>vytvořených  pracovních</w:t>
            </w:r>
            <w:proofErr w:type="gramEnd"/>
            <w:r w:rsidRPr="00602BAC">
              <w:rPr>
                <w:sz w:val="20"/>
                <w:szCs w:val="20"/>
              </w:rPr>
              <w:t xml:space="preserve"> míst, zaměstnanci </w:t>
            </w:r>
            <w:proofErr w:type="spellStart"/>
            <w:r w:rsidRPr="00602BAC">
              <w:rPr>
                <w:sz w:val="20"/>
                <w:szCs w:val="20"/>
              </w:rPr>
              <w:t>VaV</w:t>
            </w:r>
            <w:proofErr w:type="spellEnd"/>
            <w:r w:rsidRPr="00602BAC">
              <w:rPr>
                <w:sz w:val="20"/>
                <w:szCs w:val="20"/>
              </w:rPr>
              <w:t xml:space="preserve"> - celkem (39,5; 42,85; 39,5)</w:t>
            </w:r>
          </w:p>
          <w:p w:rsidR="00126163" w:rsidRPr="00602BAC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sz w:val="20"/>
                <w:szCs w:val="20"/>
              </w:rPr>
              <w:t>071700 Počet nově vytvořených pracovních míst, výzkumní pracovníci celkem (20,5; 23,89; 20,5)</w:t>
            </w:r>
          </w:p>
          <w:p w:rsidR="00126163" w:rsidRPr="00602BAC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071900 Počet nově vytvořených pracovních míst, výzkumní pracovníci do 35 let (8; 11,3; 8)</w:t>
            </w:r>
          </w:p>
          <w:p w:rsidR="00126163" w:rsidRPr="00602BAC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602BAC">
              <w:rPr>
                <w:sz w:val="20"/>
                <w:szCs w:val="20"/>
              </w:rPr>
              <w:t>110516 Rozšířené nebo zrekonstruované kapacity (0;0; 0)</w:t>
            </w:r>
          </w:p>
          <w:p w:rsidR="00126163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sz w:val="20"/>
                <w:szCs w:val="20"/>
              </w:rPr>
              <w:t xml:space="preserve">110517 Vybudované </w:t>
            </w:r>
            <w:proofErr w:type="gramStart"/>
            <w:r w:rsidRPr="00602BAC">
              <w:rPr>
                <w:sz w:val="20"/>
                <w:szCs w:val="20"/>
              </w:rPr>
              <w:t>kapacity  (2005</w:t>
            </w:r>
            <w:proofErr w:type="gramEnd"/>
            <w:r w:rsidRPr="00602BAC">
              <w:rPr>
                <w:sz w:val="20"/>
                <w:szCs w:val="20"/>
              </w:rPr>
              <w:t>; 2005; -)</w:t>
            </w:r>
          </w:p>
          <w:p w:rsidR="00FB0B08" w:rsidRDefault="00FB0B08" w:rsidP="006025C6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3B81E" wp14:editId="0CAB335D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datu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F2309E">
                                    <w:rPr>
                                      <w:sz w:val="18"/>
                                      <w:szCs w:val="18"/>
                                    </w:rPr>
                                    <w:t>19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3B8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07516">
                              <w:rPr>
                                <w:sz w:val="18"/>
                                <w:szCs w:val="18"/>
                              </w:rPr>
                              <w:t>datu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F2309E">
                              <w:rPr>
                                <w:sz w:val="18"/>
                                <w:szCs w:val="18"/>
                              </w:rPr>
                              <w:t>19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6025C6" w:rsidRPr="005F27AE" w:rsidRDefault="006025C6" w:rsidP="00DC46CE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prof. Ing. Miloš Drdácký, DrSc. - ředitel</w:t>
            </w:r>
          </w:p>
        </w:tc>
        <w:tc>
          <w:tcPr>
            <w:tcW w:w="3680" w:type="dxa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DC46CE">
              <w:rPr>
                <w:sz w:val="18"/>
              </w:rPr>
              <w:t xml:space="preserve"> </w:t>
            </w:r>
            <w:proofErr w:type="gramStart"/>
            <w:r w:rsidR="00DC46CE">
              <w:rPr>
                <w:sz w:val="18"/>
              </w:rPr>
              <w:t>viz. název</w:t>
            </w:r>
            <w:proofErr w:type="gramEnd"/>
            <w:r w:rsidR="00DC46CE">
              <w:rPr>
                <w:sz w:val="18"/>
              </w:rPr>
              <w:t xml:space="preserve"> příjemce výše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E42722" w:rsidRPr="00602BAC" w:rsidRDefault="00E42722" w:rsidP="00DD26D3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bCs/>
                <w:sz w:val="18"/>
              </w:rPr>
              <w:t>prof. Ing. Jiří Adámek, CSc</w:t>
            </w:r>
            <w:r w:rsidRPr="00602BAC">
              <w:rPr>
                <w:sz w:val="18"/>
              </w:rPr>
              <w:t>. - ředitel centra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</w:p>
          <w:p w:rsidR="00DC46CE" w:rsidRPr="005F27AE" w:rsidRDefault="006025C6" w:rsidP="006025C6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 xml:space="preserve">Ing. Zlatuše Burianová </w:t>
            </w:r>
            <w:r w:rsidR="00E13EE3" w:rsidRPr="00602BAC">
              <w:rPr>
                <w:sz w:val="18"/>
              </w:rPr>
              <w:t xml:space="preserve">- </w:t>
            </w:r>
            <w:r w:rsidRPr="00602BAC">
              <w:rPr>
                <w:sz w:val="18"/>
              </w:rPr>
              <w:t xml:space="preserve">zástupce ředitele pro </w:t>
            </w:r>
            <w:proofErr w:type="spellStart"/>
            <w:r w:rsidRPr="00602BAC">
              <w:rPr>
                <w:sz w:val="18"/>
              </w:rPr>
              <w:t>technicko-hospodářský</w:t>
            </w:r>
            <w:proofErr w:type="spellEnd"/>
            <w:r w:rsidRPr="00602BAC">
              <w:rPr>
                <w:sz w:val="18"/>
              </w:rPr>
              <w:t xml:space="preserve"> rozvoj, vedoucí oddělení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Pr="00D47756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D47756">
              <w:rPr>
                <w:sz w:val="18"/>
              </w:rPr>
              <w:t>Stručný popis</w:t>
            </w:r>
          </w:p>
          <w:p w:rsidR="00736743" w:rsidRPr="00D47756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D47756">
              <w:rPr>
                <w:sz w:val="18"/>
              </w:rPr>
              <w:t>DRoPD</w:t>
            </w:r>
            <w:proofErr w:type="spellEnd"/>
            <w:r w:rsidRPr="00D47756">
              <w:rPr>
                <w:sz w:val="18"/>
              </w:rPr>
              <w:t xml:space="preserve"> 02 – </w:t>
            </w:r>
            <w:r w:rsidR="00D47756" w:rsidRPr="00D47756">
              <w:rPr>
                <w:sz w:val="18"/>
              </w:rPr>
              <w:t>odložení zahájení stavby</w:t>
            </w:r>
            <w:r w:rsidR="00D47756">
              <w:rPr>
                <w:sz w:val="18"/>
              </w:rPr>
              <w:t xml:space="preserve"> o kvartál</w:t>
            </w:r>
            <w:r w:rsidR="00D47756" w:rsidRPr="00D47756">
              <w:rPr>
                <w:sz w:val="18"/>
              </w:rPr>
              <w:t xml:space="preserve">, </w:t>
            </w:r>
            <w:r w:rsidR="00D47756">
              <w:rPr>
                <w:sz w:val="18"/>
              </w:rPr>
              <w:t>zkrácení termínu dokončení stavby o dva kvartály, úprava finančního plánu projektu</w:t>
            </w:r>
          </w:p>
          <w:p w:rsidR="004C5AA6" w:rsidRPr="00D47756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D47756">
              <w:rPr>
                <w:sz w:val="18"/>
              </w:rPr>
              <w:t>DRoPD</w:t>
            </w:r>
            <w:proofErr w:type="spellEnd"/>
            <w:r w:rsidRPr="00D47756">
              <w:rPr>
                <w:sz w:val="18"/>
              </w:rPr>
              <w:t xml:space="preserve"> 03 – zavedení sankcí za porušení rozpočtové kázně </w:t>
            </w:r>
            <w:r w:rsidRPr="00D47756">
              <w:rPr>
                <w:sz w:val="18"/>
              </w:rPr>
              <w:lastRenderedPageBreak/>
              <w:t>v důsledku porušení pravidel pro zadávání zakázek</w:t>
            </w:r>
          </w:p>
          <w:p w:rsidR="004C5AA6" w:rsidRPr="00602BAC" w:rsidRDefault="004C5AA6" w:rsidP="004C5AA6">
            <w:pPr>
              <w:spacing w:before="60" w:after="60" w:line="240" w:lineRule="auto"/>
              <w:rPr>
                <w:sz w:val="18"/>
                <w:highlight w:val="yellow"/>
              </w:rPr>
            </w:pPr>
            <w:proofErr w:type="spellStart"/>
            <w:r w:rsidRPr="00D47756">
              <w:rPr>
                <w:sz w:val="18"/>
              </w:rPr>
              <w:t>DRoPD</w:t>
            </w:r>
            <w:proofErr w:type="spellEnd"/>
            <w:r w:rsidRPr="00D47756">
              <w:rPr>
                <w:sz w:val="18"/>
              </w:rPr>
              <w:t xml:space="preserve"> 04 </w:t>
            </w:r>
            <w:r w:rsidR="006E133D" w:rsidRPr="00D47756">
              <w:rPr>
                <w:sz w:val="18"/>
              </w:rPr>
              <w:t xml:space="preserve">– využití </w:t>
            </w:r>
            <w:r w:rsidR="00D47756" w:rsidRPr="00D47756">
              <w:rPr>
                <w:sz w:val="18"/>
              </w:rPr>
              <w:t>30</w:t>
            </w:r>
            <w:r w:rsidR="001C6F1A">
              <w:rPr>
                <w:sz w:val="18"/>
              </w:rPr>
              <w:t xml:space="preserve"> </w:t>
            </w:r>
            <w:r w:rsidR="00D47756" w:rsidRPr="00D47756">
              <w:rPr>
                <w:sz w:val="18"/>
              </w:rPr>
              <w:t xml:space="preserve">% </w:t>
            </w:r>
            <w:r w:rsidR="006E133D" w:rsidRPr="00D47756">
              <w:rPr>
                <w:sz w:val="18"/>
              </w:rPr>
              <w:t>úspor ze zakázek na stavební práce a snížení dotace,</w:t>
            </w:r>
            <w:r w:rsidR="00D47756">
              <w:rPr>
                <w:sz w:val="18"/>
              </w:rPr>
              <w:t xml:space="preserve"> obsazení pozice ředitele centra, </w:t>
            </w:r>
            <w:r w:rsidR="00D47756" w:rsidRPr="00D47756">
              <w:rPr>
                <w:sz w:val="18"/>
              </w:rPr>
              <w:t xml:space="preserve">přesuny v rozpočtu, </w:t>
            </w:r>
            <w:r w:rsidR="00D47756">
              <w:rPr>
                <w:sz w:val="18"/>
              </w:rPr>
              <w:t xml:space="preserve">organizačním schématu, </w:t>
            </w:r>
            <w:r w:rsidR="006E133D" w:rsidRPr="00D47756">
              <w:rPr>
                <w:sz w:val="18"/>
              </w:rPr>
              <w:t xml:space="preserve">posun milníků projektu, </w:t>
            </w:r>
          </w:p>
          <w:p w:rsidR="004C5AA6" w:rsidRPr="001D644D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1D644D">
              <w:rPr>
                <w:sz w:val="18"/>
              </w:rPr>
              <w:t>DRoPD</w:t>
            </w:r>
            <w:proofErr w:type="spellEnd"/>
            <w:r w:rsidRPr="001D644D">
              <w:rPr>
                <w:sz w:val="18"/>
              </w:rPr>
              <w:t xml:space="preserve"> 05</w:t>
            </w:r>
            <w:r w:rsidR="006E133D" w:rsidRPr="001D644D">
              <w:rPr>
                <w:sz w:val="18"/>
              </w:rPr>
              <w:t xml:space="preserve"> – </w:t>
            </w:r>
            <w:r w:rsidR="001D644D" w:rsidRPr="001D644D">
              <w:rPr>
                <w:sz w:val="18"/>
              </w:rPr>
              <w:t>vyčlenění účelu dotace</w:t>
            </w:r>
          </w:p>
          <w:p w:rsidR="004C5AA6" w:rsidRPr="005F27AE" w:rsidRDefault="004C5AA6" w:rsidP="00ED2D8F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127988">
              <w:rPr>
                <w:sz w:val="18"/>
              </w:rPr>
              <w:t>DRoPD</w:t>
            </w:r>
            <w:proofErr w:type="spellEnd"/>
            <w:r w:rsidRPr="00127988">
              <w:rPr>
                <w:sz w:val="18"/>
              </w:rPr>
              <w:t xml:space="preserve"> 06</w:t>
            </w:r>
            <w:r w:rsidR="006E133D" w:rsidRPr="00127988">
              <w:rPr>
                <w:sz w:val="18"/>
              </w:rPr>
              <w:t xml:space="preserve"> –</w:t>
            </w:r>
            <w:r w:rsidR="001C6F1A">
              <w:rPr>
                <w:sz w:val="18"/>
              </w:rPr>
              <w:t xml:space="preserve"> </w:t>
            </w:r>
            <w:r w:rsidR="00127988" w:rsidRPr="00127988">
              <w:rPr>
                <w:sz w:val="18"/>
              </w:rPr>
              <w:t xml:space="preserve">využití </w:t>
            </w:r>
            <w:proofErr w:type="gramStart"/>
            <w:r w:rsidR="00ED2D8F">
              <w:rPr>
                <w:sz w:val="18"/>
              </w:rPr>
              <w:t>části z</w:t>
            </w:r>
            <w:r w:rsidR="001C6F1A">
              <w:rPr>
                <w:sz w:val="18"/>
              </w:rPr>
              <w:t> </w:t>
            </w:r>
            <w:r w:rsidR="00127988">
              <w:rPr>
                <w:sz w:val="18"/>
              </w:rPr>
              <w:t>70</w:t>
            </w:r>
            <w:proofErr w:type="gramEnd"/>
            <w:r w:rsidR="001C6F1A">
              <w:rPr>
                <w:sz w:val="18"/>
              </w:rPr>
              <w:t xml:space="preserve"> </w:t>
            </w:r>
            <w:r w:rsidR="00127988">
              <w:rPr>
                <w:sz w:val="18"/>
              </w:rPr>
              <w:t>% úspor ze zakázek na stavební práce a zvýšení dotace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D47756" w:rsidRDefault="00D47756" w:rsidP="004C5AA6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4C5AA6" w:rsidRPr="00D47756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D47756">
              <w:rPr>
                <w:sz w:val="18"/>
              </w:rPr>
              <w:lastRenderedPageBreak/>
              <w:t>DRoPD</w:t>
            </w:r>
            <w:proofErr w:type="spellEnd"/>
            <w:r w:rsidRPr="00D47756">
              <w:rPr>
                <w:sz w:val="18"/>
              </w:rPr>
              <w:t xml:space="preserve"> 04 </w:t>
            </w:r>
            <w:r w:rsidR="006E133D" w:rsidRPr="00D47756">
              <w:rPr>
                <w:sz w:val="18"/>
              </w:rPr>
              <w:t>–</w:t>
            </w:r>
            <w:r w:rsidRPr="00D47756">
              <w:rPr>
                <w:sz w:val="18"/>
              </w:rPr>
              <w:t xml:space="preserve"> </w:t>
            </w:r>
            <w:r w:rsidR="006E133D" w:rsidRPr="00D47756">
              <w:rPr>
                <w:sz w:val="18"/>
              </w:rPr>
              <w:t xml:space="preserve">snížení objemu dotace o </w:t>
            </w:r>
            <w:r w:rsidR="00D47756" w:rsidRPr="00D47756">
              <w:rPr>
                <w:sz w:val="18"/>
              </w:rPr>
              <w:t>4 232 349</w:t>
            </w:r>
            <w:r w:rsidRPr="00D47756">
              <w:rPr>
                <w:sz w:val="18"/>
              </w:rPr>
              <w:t xml:space="preserve"> Kč</w:t>
            </w:r>
            <w:r w:rsidR="001D644D">
              <w:rPr>
                <w:sz w:val="18"/>
              </w:rPr>
              <w:t xml:space="preserve">, přesuny mezi investicemi a </w:t>
            </w:r>
            <w:proofErr w:type="spellStart"/>
            <w:r w:rsidR="001D644D">
              <w:rPr>
                <w:sz w:val="18"/>
              </w:rPr>
              <w:t>neinvesticemi</w:t>
            </w:r>
            <w:proofErr w:type="spellEnd"/>
          </w:p>
          <w:p w:rsidR="001D644D" w:rsidRDefault="001D644D" w:rsidP="001D644D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4C5AA6" w:rsidRPr="004C5AA6" w:rsidRDefault="004C5AA6" w:rsidP="00127988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127988">
              <w:rPr>
                <w:sz w:val="18"/>
              </w:rPr>
              <w:t>DRoPD</w:t>
            </w:r>
            <w:proofErr w:type="spellEnd"/>
            <w:r w:rsidRPr="00127988">
              <w:rPr>
                <w:sz w:val="18"/>
              </w:rPr>
              <w:t xml:space="preserve"> 06 </w:t>
            </w:r>
            <w:r w:rsidR="000F0565" w:rsidRPr="00127988">
              <w:rPr>
                <w:sz w:val="18"/>
              </w:rPr>
              <w:t>–</w:t>
            </w:r>
            <w:r w:rsidRPr="00127988">
              <w:rPr>
                <w:sz w:val="18"/>
              </w:rPr>
              <w:t xml:space="preserve"> </w:t>
            </w:r>
            <w:r w:rsidR="00127988">
              <w:rPr>
                <w:sz w:val="18"/>
              </w:rPr>
              <w:t xml:space="preserve">zvýšení </w:t>
            </w:r>
            <w:r w:rsidR="00127988" w:rsidRPr="00D47756">
              <w:rPr>
                <w:sz w:val="18"/>
              </w:rPr>
              <w:t xml:space="preserve">objemu dotace o </w:t>
            </w:r>
            <w:r w:rsidR="00ED2D8F" w:rsidRPr="00ED2D8F">
              <w:rPr>
                <w:sz w:val="18"/>
              </w:rPr>
              <w:t>1 944 202</w:t>
            </w:r>
            <w:r w:rsidR="00127988" w:rsidRPr="00D47756">
              <w:rPr>
                <w:sz w:val="18"/>
              </w:rPr>
              <w:t xml:space="preserve"> K</w:t>
            </w:r>
            <w:r w:rsidR="00127988">
              <w:rPr>
                <w:sz w:val="18"/>
              </w:rPr>
              <w:t>č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602BAC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>Stavební část (včetně % naplnění)</w:t>
            </w:r>
            <w:r w:rsidR="00736743" w:rsidRPr="00602BAC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602BAC">
              <w:rPr>
                <w:rFonts w:cs="Times New Roman"/>
                <w:sz w:val="18"/>
                <w:szCs w:val="18"/>
              </w:rPr>
              <w:t xml:space="preserve"> - naplněno </w:t>
            </w:r>
            <w:proofErr w:type="gramStart"/>
            <w:r w:rsidR="00D86ABC" w:rsidRPr="00602BAC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D86ABC" w:rsidRPr="00602BAC">
              <w:rPr>
                <w:rFonts w:cs="Times New Roman"/>
                <w:sz w:val="18"/>
                <w:szCs w:val="18"/>
              </w:rPr>
              <w:t xml:space="preserve"> 100%</w:t>
            </w:r>
          </w:p>
          <w:p w:rsidR="00736743" w:rsidRPr="00602BAC" w:rsidRDefault="00CF2B45" w:rsidP="00D86ABC">
            <w:pPr>
              <w:spacing w:before="60" w:after="60" w:line="240" w:lineRule="auto"/>
              <w:ind w:left="708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>Pavilon 1 a 2</w:t>
            </w:r>
          </w:p>
          <w:p w:rsidR="0004245B" w:rsidRPr="00602BAC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>Přístroje (včetně % naplnění)</w:t>
            </w:r>
            <w:r w:rsidR="00D86ABC" w:rsidRPr="00602BAC">
              <w:rPr>
                <w:rFonts w:cs="Times New Roman"/>
                <w:sz w:val="18"/>
                <w:szCs w:val="18"/>
              </w:rPr>
              <w:t xml:space="preserve"> – naplněno z </w:t>
            </w:r>
            <w:r w:rsidR="00CF2B45" w:rsidRPr="00602BAC">
              <w:rPr>
                <w:rFonts w:cs="Times New Roman"/>
                <w:sz w:val="18"/>
                <w:szCs w:val="18"/>
              </w:rPr>
              <w:t xml:space="preserve">95 </w:t>
            </w:r>
            <w:r w:rsidR="00D86ABC" w:rsidRPr="00602BAC">
              <w:rPr>
                <w:rFonts w:cs="Times New Roman"/>
                <w:sz w:val="18"/>
                <w:szCs w:val="18"/>
              </w:rPr>
              <w:t>%</w:t>
            </w:r>
          </w:p>
          <w:p w:rsidR="00C32A6C" w:rsidRPr="00602BAC" w:rsidRDefault="00C32A6C" w:rsidP="00C32A6C">
            <w:pPr>
              <w:spacing w:before="60" w:after="60" w:line="240" w:lineRule="auto"/>
              <w:ind w:left="708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>Klíčové vybavení bylo z hlavní části pořízeno a nainstalováno, a to v rozsahu 18 přístrojů z původně plánovaných 19. Jediným nepořízeným přístrojem byl Optický systém na deformační měření 3D, a to dle vyjádření příjemce z objektivně nepředvídatelné nepotřebnosti pro realizaci projektu.</w:t>
            </w:r>
          </w:p>
          <w:p w:rsidR="0004245B" w:rsidRPr="001E1442" w:rsidRDefault="0081392A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02BAC">
              <w:rPr>
                <w:rFonts w:cs="Times New Roman"/>
                <w:sz w:val="18"/>
                <w:szCs w:val="18"/>
              </w:rPr>
              <w:t xml:space="preserve">Personální zajištění </w:t>
            </w:r>
            <w:r w:rsidR="00AF6EBB" w:rsidRPr="00602BAC">
              <w:rPr>
                <w:rFonts w:cs="Times New Roman"/>
                <w:sz w:val="18"/>
                <w:szCs w:val="18"/>
              </w:rPr>
              <w:t>(včetně % naplnění)</w:t>
            </w:r>
            <w:r w:rsidR="00CF0B96" w:rsidRPr="00602BAC">
              <w:rPr>
                <w:rFonts w:cs="Times New Roman"/>
                <w:sz w:val="18"/>
                <w:szCs w:val="18"/>
              </w:rPr>
              <w:t xml:space="preserve"> – naplněno </w:t>
            </w:r>
            <w:proofErr w:type="gramStart"/>
            <w:r w:rsidR="00CF0B96" w:rsidRPr="00602BAC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CF0B96" w:rsidRPr="00602BAC">
              <w:rPr>
                <w:rFonts w:cs="Times New Roman"/>
                <w:sz w:val="18"/>
                <w:szCs w:val="18"/>
              </w:rPr>
              <w:t xml:space="preserve"> 100% ke konci realizace projektu - 2013</w:t>
            </w:r>
          </w:p>
          <w:p w:rsidR="00736743" w:rsidRPr="00AF6EBB" w:rsidRDefault="00736743" w:rsidP="00CF0B96">
            <w:pPr>
              <w:spacing w:before="60" w:after="60" w:line="240" w:lineRule="auto"/>
              <w:ind w:left="708"/>
              <w:rPr>
                <w:sz w:val="16"/>
              </w:rPr>
            </w:pP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8134BB" w:rsidRDefault="00DA6654" w:rsidP="00DD26D3">
            <w:pPr>
              <w:spacing w:before="60" w:after="60" w:line="240" w:lineRule="auto"/>
              <w:rPr>
                <w:sz w:val="18"/>
              </w:rPr>
            </w:pPr>
            <w:r w:rsidRPr="008134BB">
              <w:rPr>
                <w:sz w:val="18"/>
              </w:rPr>
              <w:t>Předložené výdaje (v Kč i %)</w:t>
            </w:r>
            <w:r w:rsidR="004E184D" w:rsidRPr="008134BB">
              <w:rPr>
                <w:sz w:val="18"/>
              </w:rPr>
              <w:t xml:space="preserve"> </w:t>
            </w:r>
            <w:proofErr w:type="gramStart"/>
            <w:r w:rsidR="009A2074">
              <w:rPr>
                <w:sz w:val="18"/>
              </w:rPr>
              <w:t>230 344 587,45</w:t>
            </w:r>
            <w:r w:rsidR="004E184D" w:rsidRPr="008134BB">
              <w:rPr>
                <w:sz w:val="18"/>
              </w:rPr>
              <w:t xml:space="preserve">  </w:t>
            </w:r>
            <w:r w:rsidR="008E1782" w:rsidRPr="008134BB">
              <w:rPr>
                <w:sz w:val="18"/>
              </w:rPr>
              <w:t>Kč</w:t>
            </w:r>
            <w:proofErr w:type="gramEnd"/>
            <w:r w:rsidR="008E1782" w:rsidRPr="008134BB">
              <w:rPr>
                <w:sz w:val="18"/>
              </w:rPr>
              <w:t xml:space="preserve"> </w:t>
            </w:r>
            <w:r w:rsidR="009A2074">
              <w:rPr>
                <w:sz w:val="18"/>
              </w:rPr>
              <w:t>(97,6 %)</w:t>
            </w:r>
            <w:r w:rsidR="0084484B" w:rsidRPr="008134BB">
              <w:rPr>
                <w:sz w:val="18"/>
              </w:rPr>
              <w:t xml:space="preserve">    </w:t>
            </w:r>
          </w:p>
          <w:p w:rsidR="0077049B" w:rsidRPr="000C5312" w:rsidRDefault="00DA6654" w:rsidP="0077049B">
            <w:pPr>
              <w:spacing w:before="60" w:after="60" w:line="240" w:lineRule="auto"/>
              <w:rPr>
                <w:sz w:val="18"/>
              </w:rPr>
            </w:pPr>
            <w:r w:rsidRPr="000C5312">
              <w:rPr>
                <w:sz w:val="18"/>
              </w:rPr>
              <w:t>Schválené výdaje</w:t>
            </w:r>
            <w:r w:rsidR="00C92258" w:rsidRPr="000C5312">
              <w:rPr>
                <w:sz w:val="18"/>
              </w:rPr>
              <w:t xml:space="preserve"> </w:t>
            </w:r>
            <w:r w:rsidRPr="000C5312">
              <w:rPr>
                <w:sz w:val="18"/>
              </w:rPr>
              <w:t>(v Kč i %)</w:t>
            </w:r>
            <w:r w:rsidR="0077049B" w:rsidRPr="000C5312">
              <w:rPr>
                <w:sz w:val="18"/>
              </w:rPr>
              <w:t xml:space="preserve"> </w:t>
            </w:r>
            <w:r w:rsidR="004E184D" w:rsidRPr="000C5312">
              <w:rPr>
                <w:sz w:val="18"/>
              </w:rPr>
              <w:t>229 4</w:t>
            </w:r>
            <w:r w:rsidR="008134BB">
              <w:rPr>
                <w:sz w:val="18"/>
              </w:rPr>
              <w:t>47 </w:t>
            </w:r>
            <w:r w:rsidR="004E184D" w:rsidRPr="000C5312">
              <w:rPr>
                <w:sz w:val="18"/>
              </w:rPr>
              <w:t>8</w:t>
            </w:r>
            <w:r w:rsidR="008134BB">
              <w:rPr>
                <w:sz w:val="18"/>
              </w:rPr>
              <w:t>38,35</w:t>
            </w:r>
            <w:r w:rsidR="0084484B" w:rsidRPr="000C5312">
              <w:rPr>
                <w:sz w:val="18"/>
              </w:rPr>
              <w:t xml:space="preserve"> </w:t>
            </w:r>
            <w:r w:rsidR="008E1782" w:rsidRPr="000C5312">
              <w:rPr>
                <w:sz w:val="18"/>
              </w:rPr>
              <w:t>Kč</w:t>
            </w:r>
            <w:r w:rsidR="008134BB">
              <w:rPr>
                <w:sz w:val="18"/>
              </w:rPr>
              <w:t xml:space="preserve"> (97,2 %)</w:t>
            </w:r>
            <w:r w:rsidR="0084484B" w:rsidRPr="000C5312">
              <w:rPr>
                <w:sz w:val="18"/>
              </w:rPr>
              <w:t xml:space="preserve">      </w:t>
            </w:r>
          </w:p>
          <w:p w:rsidR="00DA6654" w:rsidRPr="00277E3D" w:rsidRDefault="00DA6654" w:rsidP="008134BB">
            <w:pPr>
              <w:spacing w:before="60" w:after="60" w:line="240" w:lineRule="auto"/>
              <w:rPr>
                <w:sz w:val="18"/>
              </w:rPr>
            </w:pPr>
            <w:r w:rsidRPr="000C5312">
              <w:rPr>
                <w:sz w:val="18"/>
              </w:rPr>
              <w:t>Certifikované výdaje (v Kč i %)</w:t>
            </w:r>
            <w:r w:rsidR="004E184D" w:rsidRPr="000C5312">
              <w:rPr>
                <w:sz w:val="18"/>
              </w:rPr>
              <w:t xml:space="preserve"> </w:t>
            </w:r>
            <w:r w:rsidR="008134BB" w:rsidRPr="008134BB">
              <w:rPr>
                <w:sz w:val="18"/>
              </w:rPr>
              <w:t>224</w:t>
            </w:r>
            <w:r w:rsidR="008134BB">
              <w:rPr>
                <w:sz w:val="18"/>
              </w:rPr>
              <w:t> </w:t>
            </w:r>
            <w:r w:rsidR="008134BB" w:rsidRPr="008134BB">
              <w:rPr>
                <w:sz w:val="18"/>
              </w:rPr>
              <w:t>444</w:t>
            </w:r>
            <w:r w:rsidR="008134BB">
              <w:rPr>
                <w:sz w:val="18"/>
              </w:rPr>
              <w:t xml:space="preserve"> </w:t>
            </w:r>
            <w:r w:rsidR="008134BB" w:rsidRPr="008134BB">
              <w:rPr>
                <w:sz w:val="18"/>
              </w:rPr>
              <w:t>808,91</w:t>
            </w:r>
            <w:r w:rsidR="008134BB">
              <w:rPr>
                <w:sz w:val="18"/>
              </w:rPr>
              <w:t xml:space="preserve"> Kč (95,1 %)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F85255" w:rsidP="00F8525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Nezpůsobilé výdaje projektu</w:t>
            </w:r>
            <w:r w:rsidR="003655CF">
              <w:rPr>
                <w:sz w:val="18"/>
              </w:rPr>
              <w:t xml:space="preserve"> </w:t>
            </w:r>
            <w:r w:rsidR="000A1641" w:rsidRPr="000A1641">
              <w:rPr>
                <w:sz w:val="18"/>
              </w:rPr>
              <w:t>11</w:t>
            </w:r>
            <w:r w:rsidR="000A1641">
              <w:rPr>
                <w:sz w:val="18"/>
              </w:rPr>
              <w:t> </w:t>
            </w:r>
            <w:r w:rsidR="000A1641" w:rsidRPr="000A1641">
              <w:rPr>
                <w:sz w:val="18"/>
              </w:rPr>
              <w:t>625</w:t>
            </w:r>
            <w:r w:rsidR="000A1641">
              <w:rPr>
                <w:sz w:val="18"/>
              </w:rPr>
              <w:t xml:space="preserve"> </w:t>
            </w:r>
            <w:r w:rsidR="000A1641" w:rsidRPr="000A1641">
              <w:rPr>
                <w:sz w:val="18"/>
              </w:rPr>
              <w:t>613,69</w:t>
            </w:r>
            <w:r w:rsidR="000A1641">
              <w:rPr>
                <w:sz w:val="18"/>
              </w:rPr>
              <w:t xml:space="preserve"> </w:t>
            </w:r>
            <w:r w:rsidR="00277E3D">
              <w:rPr>
                <w:sz w:val="18"/>
              </w:rPr>
              <w:t>Kč</w:t>
            </w:r>
            <w:r w:rsidR="0084484B">
              <w:rPr>
                <w:sz w:val="18"/>
              </w:rPr>
              <w:t xml:space="preserve">      </w:t>
            </w:r>
            <w:r w:rsidR="003655CF">
              <w:rPr>
                <w:sz w:val="18"/>
              </w:rPr>
              <w:t xml:space="preserve">    (</w:t>
            </w:r>
            <w:proofErr w:type="gramStart"/>
            <w:r w:rsidR="000A1641">
              <w:rPr>
                <w:sz w:val="18"/>
              </w:rPr>
              <w:t>4</w:t>
            </w:r>
            <w:r w:rsidR="001A32CE">
              <w:rPr>
                <w:sz w:val="18"/>
              </w:rPr>
              <w:t>,</w:t>
            </w:r>
            <w:r w:rsidR="000A1641">
              <w:rPr>
                <w:sz w:val="18"/>
              </w:rPr>
              <w:t>7</w:t>
            </w:r>
            <w:r w:rsidR="001A32CE">
              <w:rPr>
                <w:sz w:val="18"/>
              </w:rPr>
              <w:t xml:space="preserve"> %</w:t>
            </w:r>
            <w:r w:rsidR="003655CF">
              <w:rPr>
                <w:sz w:val="18"/>
              </w:rPr>
              <w:t xml:space="preserve"> )</w:t>
            </w:r>
            <w:proofErr w:type="gramEnd"/>
          </w:p>
          <w:p w:rsidR="00F85255" w:rsidRDefault="00F85255" w:rsidP="000A1641">
            <w:pPr>
              <w:spacing w:before="60" w:after="60" w:line="240" w:lineRule="auto"/>
              <w:rPr>
                <w:sz w:val="16"/>
              </w:rPr>
            </w:pPr>
            <w:r>
              <w:rPr>
                <w:sz w:val="18"/>
              </w:rPr>
              <w:t xml:space="preserve">Celkové výdaje </w:t>
            </w:r>
            <w:proofErr w:type="gramStart"/>
            <w:r>
              <w:rPr>
                <w:sz w:val="18"/>
              </w:rPr>
              <w:t>projektu</w:t>
            </w:r>
            <w:r w:rsidR="003655CF">
              <w:rPr>
                <w:sz w:val="18"/>
              </w:rPr>
              <w:t xml:space="preserve">  </w:t>
            </w:r>
            <w:r w:rsidR="000A1641">
              <w:rPr>
                <w:sz w:val="18"/>
              </w:rPr>
              <w:t>245 507 921,21</w:t>
            </w:r>
            <w:proofErr w:type="gramEnd"/>
            <w:r>
              <w:rPr>
                <w:sz w:val="18"/>
              </w:rPr>
              <w:t xml:space="preserve"> Kč</w:t>
            </w:r>
            <w:r w:rsidR="003655CF">
              <w:rPr>
                <w:sz w:val="18"/>
              </w:rPr>
              <w:t xml:space="preserve">  </w:t>
            </w:r>
            <w:r w:rsidR="00C758C7">
              <w:rPr>
                <w:sz w:val="18"/>
              </w:rPr>
              <w:t xml:space="preserve">            </w:t>
            </w:r>
            <w:r w:rsidR="003655CF">
              <w:rPr>
                <w:sz w:val="18"/>
              </w:rPr>
              <w:t>(</w:t>
            </w:r>
            <w:r w:rsidR="001A32CE">
              <w:rPr>
                <w:sz w:val="18"/>
              </w:rPr>
              <w:t>100</w:t>
            </w:r>
            <w:r w:rsidR="003655CF">
              <w:rPr>
                <w:sz w:val="18"/>
              </w:rPr>
              <w:t xml:space="preserve"> %)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2C1F67" w:rsidRPr="002C1F67" w:rsidRDefault="002C1F67" w:rsidP="002C1F6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1F67">
              <w:rPr>
                <w:rFonts w:ascii="Times New Roman" w:hAnsi="Times New Roman" w:cs="Times New Roman"/>
                <w:sz w:val="18"/>
                <w:szCs w:val="18"/>
              </w:rPr>
              <w:t>Vzhledem k zahájení výzkumného programu začátkem roku 2013 a plánovanému Plnění indikátorů Aplikované výsledky výzkumu a Objem smluvního výzkumu až od roku 2014 je obtížně odhadnutelný potenciál centra pro splnění stanovených závazků na rok 2015.</w:t>
            </w:r>
          </w:p>
          <w:p w:rsidR="002C1F67" w:rsidRDefault="002C1F67" w:rsidP="002C1F6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</w:pPr>
            <w:r w:rsidRPr="002C1F67">
              <w:rPr>
                <w:rFonts w:ascii="Times New Roman" w:hAnsi="Times New Roman" w:cs="Times New Roman"/>
                <w:sz w:val="18"/>
                <w:szCs w:val="18"/>
              </w:rPr>
              <w:t>Významným potenciálním rizikem je nezajištění finanční stability během udržitelnosti projektu.  Toto riziko je částečně eliminováno úspěšným zahájením projektu získaného v rámci Národního programu udržitelnosti.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760C91" w:rsidTr="00F74C5F">
        <w:tc>
          <w:tcPr>
            <w:tcW w:w="2298" w:type="dxa"/>
          </w:tcPr>
          <w:p w:rsidR="00760C91" w:rsidRDefault="00760C91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4E7882" w:rsidRDefault="004E7882" w:rsidP="004E7882">
            <w:pPr>
              <w:spacing w:after="0" w:line="240" w:lineRule="auto"/>
              <w:contextualSpacing/>
              <w:jc w:val="both"/>
              <w:rPr>
                <w:rFonts w:cs="Times New Roman"/>
                <w:sz w:val="18"/>
                <w:szCs w:val="18"/>
              </w:rPr>
            </w:pPr>
            <w:r w:rsidRPr="004E7882">
              <w:rPr>
                <w:rFonts w:cs="Times New Roman"/>
                <w:sz w:val="18"/>
                <w:szCs w:val="18"/>
              </w:rPr>
              <w:t>Provozní rozpočet Centra činí 30-40 mil Kč/rok. CET nečerpá finance z institucionálních prostředků a zbývající náklady jsou financovány z účelových prostředků.</w:t>
            </w:r>
            <w:r>
              <w:rPr>
                <w:rFonts w:cs="Times New Roman"/>
                <w:sz w:val="18"/>
                <w:szCs w:val="18"/>
              </w:rPr>
              <w:tab/>
            </w:r>
          </w:p>
          <w:p w:rsidR="00760C91" w:rsidRPr="004E7882" w:rsidRDefault="00760C91" w:rsidP="004E7882">
            <w:pPr>
              <w:spacing w:after="0" w:line="240" w:lineRule="auto"/>
              <w:contextualSpacing/>
              <w:jc w:val="both"/>
              <w:rPr>
                <w:rFonts w:cs="Times New Roman"/>
                <w:sz w:val="18"/>
                <w:szCs w:val="18"/>
              </w:rPr>
            </w:pPr>
            <w:r w:rsidRPr="004E7882">
              <w:rPr>
                <w:rFonts w:cs="Times New Roman"/>
                <w:sz w:val="18"/>
                <w:szCs w:val="18"/>
              </w:rPr>
              <w:t>Dosavadní smluvní výzkum: v roce 2014 - 27 zakázek, celkové výnosy 1</w:t>
            </w:r>
            <w:r w:rsidR="00B1030E" w:rsidRPr="004E7882">
              <w:rPr>
                <w:rFonts w:cs="Times New Roman"/>
                <w:sz w:val="18"/>
                <w:szCs w:val="18"/>
              </w:rPr>
              <w:t>,6 mil. Kč</w:t>
            </w:r>
            <w:r w:rsidR="004E7882">
              <w:rPr>
                <w:rFonts w:cs="Times New Roman"/>
                <w:sz w:val="18"/>
                <w:szCs w:val="18"/>
              </w:rPr>
              <w:t>.</w:t>
            </w:r>
            <w:r w:rsidRPr="004E7882">
              <w:rPr>
                <w:rFonts w:cs="Times New Roman"/>
                <w:sz w:val="18"/>
                <w:szCs w:val="18"/>
              </w:rPr>
              <w:tab/>
            </w:r>
          </w:p>
          <w:p w:rsidR="00760C91" w:rsidRPr="004E7882" w:rsidRDefault="00760C91" w:rsidP="004E7882">
            <w:pPr>
              <w:spacing w:after="0" w:line="240" w:lineRule="auto"/>
              <w:contextualSpacing/>
              <w:jc w:val="both"/>
              <w:rPr>
                <w:rFonts w:cs="Times New Roman"/>
                <w:sz w:val="18"/>
                <w:szCs w:val="18"/>
              </w:rPr>
            </w:pPr>
            <w:r w:rsidRPr="004E7882">
              <w:rPr>
                <w:rFonts w:cs="Times New Roman"/>
                <w:sz w:val="18"/>
                <w:szCs w:val="18"/>
              </w:rPr>
              <w:t xml:space="preserve">Předpokládaný smluvní výzkum po realizaci projektu: </w:t>
            </w:r>
            <w:proofErr w:type="gramStart"/>
            <w:r w:rsidRPr="004E7882">
              <w:rPr>
                <w:rFonts w:cs="Times New Roman"/>
                <w:sz w:val="18"/>
                <w:szCs w:val="18"/>
              </w:rPr>
              <w:t>MI</w:t>
            </w:r>
            <w:proofErr w:type="gramEnd"/>
            <w:r w:rsidRPr="004E7882">
              <w:rPr>
                <w:rFonts w:cs="Times New Roman"/>
                <w:sz w:val="18"/>
                <w:szCs w:val="18"/>
              </w:rPr>
              <w:t xml:space="preserve"> do 2015 kumulativně 5</w:t>
            </w:r>
            <w:r w:rsidR="00B1030E" w:rsidRPr="004E7882">
              <w:rPr>
                <w:rFonts w:cs="Times New Roman"/>
                <w:sz w:val="18"/>
                <w:szCs w:val="18"/>
              </w:rPr>
              <w:t>,5 mil. Kč</w:t>
            </w:r>
            <w:r w:rsidR="004E7882">
              <w:rPr>
                <w:rFonts w:cs="Times New Roman"/>
                <w:sz w:val="18"/>
                <w:szCs w:val="18"/>
              </w:rPr>
              <w:t xml:space="preserve">. </w:t>
            </w:r>
            <w:r w:rsidRPr="004E7882">
              <w:rPr>
                <w:rFonts w:cs="Times New Roman"/>
                <w:sz w:val="18"/>
                <w:szCs w:val="18"/>
              </w:rPr>
              <w:t>Nedaří se plnit indikátor příjmů ze zahraničí, což je silně ovlivněno tím, že zahájení činnosti CET spadlo časově do období konce 7.</w:t>
            </w:r>
            <w:r w:rsidR="004E7882">
              <w:rPr>
                <w:rFonts w:cs="Times New Roman"/>
                <w:sz w:val="18"/>
                <w:szCs w:val="18"/>
              </w:rPr>
              <w:t xml:space="preserve"> </w:t>
            </w:r>
            <w:r w:rsidRPr="004E7882">
              <w:rPr>
                <w:rFonts w:cs="Times New Roman"/>
                <w:sz w:val="18"/>
                <w:szCs w:val="18"/>
              </w:rPr>
              <w:t>rámcového programu EK bez vyhlašování projektových výzev a návrhy do výzev H2020 většinou ještě nejsou vyhodnoceny. Navíc H2020 obecně poskytuje málo příležitostí pro podávání návrhů výzkumných projektů v oblastech výzkumu CET. Nicméně CET podalo 10 návrhů do programu H2020, kde je stále naděje získání grantů a 4 návrhy do EEA ("norské fondy"), kde úspěšně hodnocené projekty nebyly financovány z důvodu nedostatku prostředků. Udržitelnost je tak podporována především národními účelovými prostředky - g</w:t>
            </w:r>
            <w:r w:rsidR="004E7882">
              <w:rPr>
                <w:rFonts w:cs="Times New Roman"/>
                <w:sz w:val="18"/>
                <w:szCs w:val="18"/>
              </w:rPr>
              <w:t>ranty, kde se daří.</w:t>
            </w:r>
            <w:r w:rsidR="004E7882">
              <w:rPr>
                <w:rFonts w:cs="Times New Roman"/>
                <w:sz w:val="18"/>
                <w:szCs w:val="18"/>
              </w:rPr>
              <w:tab/>
            </w:r>
            <w:bookmarkStart w:id="0" w:name="_GoBack"/>
            <w:bookmarkEnd w:id="0"/>
            <w:r w:rsidRPr="004E7882">
              <w:rPr>
                <w:rFonts w:cs="Times New Roman"/>
                <w:sz w:val="18"/>
                <w:szCs w:val="18"/>
              </w:rPr>
              <w:tab/>
            </w:r>
            <w:r w:rsidRPr="004E7882">
              <w:rPr>
                <w:rFonts w:cs="Times New Roman"/>
                <w:sz w:val="18"/>
                <w:szCs w:val="18"/>
              </w:rPr>
              <w:tab/>
            </w:r>
            <w:r w:rsidRPr="004E7882">
              <w:rPr>
                <w:rFonts w:cs="Times New Roman"/>
                <w:sz w:val="18"/>
                <w:szCs w:val="18"/>
              </w:rPr>
              <w:tab/>
            </w:r>
            <w:r w:rsidRPr="004E7882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760C91" w:rsidTr="00345106">
        <w:tc>
          <w:tcPr>
            <w:tcW w:w="2298" w:type="dxa"/>
          </w:tcPr>
          <w:p w:rsidR="00760C91" w:rsidRDefault="00760C91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760C91" w:rsidRPr="006C7484" w:rsidRDefault="006C7484" w:rsidP="004E7882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C7484">
              <w:rPr>
                <w:rFonts w:cs="Times New Roman"/>
                <w:sz w:val="18"/>
                <w:szCs w:val="18"/>
              </w:rPr>
              <w:t xml:space="preserve">Centrum získalo </w:t>
            </w:r>
            <w:r>
              <w:rPr>
                <w:rFonts w:cs="Times New Roman"/>
                <w:sz w:val="18"/>
                <w:szCs w:val="18"/>
              </w:rPr>
              <w:t xml:space="preserve">podporu z </w:t>
            </w:r>
            <w:r w:rsidRPr="006C7484">
              <w:rPr>
                <w:rFonts w:cs="Times New Roman"/>
                <w:sz w:val="18"/>
                <w:szCs w:val="18"/>
              </w:rPr>
              <w:t>NPU I v hod</w:t>
            </w:r>
            <w:r w:rsidR="004E7882">
              <w:rPr>
                <w:rFonts w:cs="Times New Roman"/>
                <w:sz w:val="18"/>
                <w:szCs w:val="18"/>
              </w:rPr>
              <w:t xml:space="preserve">notě 14-15 mil Kč/rok. </w:t>
            </w:r>
          </w:p>
        </w:tc>
      </w:tr>
      <w:tr w:rsidR="009E437E" w:rsidTr="00FC3BB8"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B1030E" w:rsidRDefault="00B1030E" w:rsidP="00760C91">
            <w:pPr>
              <w:spacing w:before="60" w:after="60" w:line="240" w:lineRule="auto"/>
              <w:rPr>
                <w:sz w:val="18"/>
              </w:rPr>
            </w:pPr>
            <w:r w:rsidRPr="00760C91">
              <w:rPr>
                <w:sz w:val="18"/>
              </w:rPr>
              <w:t>Současný počet výzkumníků:   40 fy</w:t>
            </w:r>
            <w:r>
              <w:rPr>
                <w:sz w:val="18"/>
              </w:rPr>
              <w:t>zických osob/30,21 FTE.</w:t>
            </w:r>
            <w:r w:rsidRPr="00760C91">
              <w:rPr>
                <w:sz w:val="18"/>
              </w:rPr>
              <w:t xml:space="preserve"> Plánovaný poče</w:t>
            </w:r>
            <w:r>
              <w:rPr>
                <w:sz w:val="18"/>
              </w:rPr>
              <w:t xml:space="preserve">t výzkumníků: 20,5 FTE. </w:t>
            </w:r>
            <w:r w:rsidRPr="00760C91">
              <w:rPr>
                <w:sz w:val="18"/>
              </w:rPr>
              <w:t xml:space="preserve">Zahraniční výzkumníci v současnosti zapojení do </w:t>
            </w:r>
            <w:proofErr w:type="gramStart"/>
            <w:r w:rsidRPr="00760C91">
              <w:rPr>
                <w:sz w:val="18"/>
              </w:rPr>
              <w:t>výzkumu :  8 fyzických</w:t>
            </w:r>
            <w:proofErr w:type="gramEnd"/>
            <w:r w:rsidRPr="00760C91">
              <w:rPr>
                <w:sz w:val="18"/>
              </w:rPr>
              <w:t xml:space="preserve"> osob/6,8 FTE</w:t>
            </w:r>
            <w:r w:rsidRPr="00760C91">
              <w:rPr>
                <w:sz w:val="18"/>
              </w:rPr>
              <w:tab/>
            </w:r>
          </w:p>
          <w:p w:rsidR="00B1030E" w:rsidRDefault="00760C91" w:rsidP="00760C91">
            <w:pPr>
              <w:spacing w:before="60" w:after="60" w:line="240" w:lineRule="auto"/>
              <w:rPr>
                <w:sz w:val="18"/>
                <w:szCs w:val="18"/>
              </w:rPr>
            </w:pPr>
            <w:r w:rsidRPr="00B1030E">
              <w:rPr>
                <w:b/>
                <w:i/>
                <w:sz w:val="18"/>
                <w:szCs w:val="18"/>
              </w:rPr>
              <w:t>Závazné indikátory projektu NPU I</w:t>
            </w:r>
            <w:r w:rsidRPr="00B1030E">
              <w:rPr>
                <w:i/>
                <w:sz w:val="18"/>
                <w:szCs w:val="18"/>
              </w:rPr>
              <w:t xml:space="preserve"> </w:t>
            </w:r>
            <w:r w:rsidRPr="00B1030E">
              <w:rPr>
                <w:sz w:val="18"/>
                <w:szCs w:val="18"/>
              </w:rPr>
              <w:t>a jejich plnění v roce 2014</w:t>
            </w:r>
            <w:r w:rsidRPr="00760C91">
              <w:rPr>
                <w:sz w:val="18"/>
                <w:szCs w:val="18"/>
              </w:rPr>
              <w:t xml:space="preserve"> - (požadavek/plnění): </w:t>
            </w:r>
          </w:p>
          <w:p w:rsidR="00B1030E" w:rsidRDefault="00760C91" w:rsidP="00760C91">
            <w:pPr>
              <w:spacing w:before="60" w:after="60" w:line="240" w:lineRule="auto"/>
              <w:rPr>
                <w:sz w:val="18"/>
                <w:szCs w:val="18"/>
              </w:rPr>
            </w:pPr>
            <w:r w:rsidRPr="00760C91">
              <w:rPr>
                <w:sz w:val="18"/>
                <w:szCs w:val="18"/>
              </w:rPr>
              <w:t xml:space="preserve">Články v impaktovaných časopisech typ A (6/17), typ B (4/5), článek v recenzovaném neimpaktovaném časopise typ A (2/5), typ B (2/1), odborné recenzované knihy typ A (3/2), odborné recenzované knihy typ B (0/0), články ve sbornících typ A (3/22) - splněno za celé období, články ve sbornících typ B (5/1), patent/užitný vzor typ A (1/2) - splněno za celé období, patent/užitný vzor typ B (0/1) - splněno za celé období, prototyp/software atd. typ A (5/5), typ B (3/0); stáž krátkodobá (1/1), stáž dlouhodobá (2/2), přijetí zahraničního pracovníka (2/3). </w:t>
            </w:r>
          </w:p>
          <w:p w:rsidR="00760C91" w:rsidRDefault="00760C91" w:rsidP="00760C91">
            <w:pPr>
              <w:spacing w:before="60" w:after="60" w:line="240" w:lineRule="auto"/>
              <w:rPr>
                <w:sz w:val="18"/>
                <w:szCs w:val="18"/>
              </w:rPr>
            </w:pPr>
            <w:r w:rsidRPr="00B1030E">
              <w:rPr>
                <w:b/>
                <w:i/>
                <w:sz w:val="18"/>
                <w:szCs w:val="18"/>
              </w:rPr>
              <w:t>Závazné indikátory projektu CET:</w:t>
            </w:r>
            <w:r w:rsidRPr="00760C91">
              <w:rPr>
                <w:sz w:val="18"/>
                <w:szCs w:val="18"/>
              </w:rPr>
              <w:t xml:space="preserve"> výsledkové</w:t>
            </w:r>
            <w:r w:rsidR="00B1030E">
              <w:rPr>
                <w:sz w:val="18"/>
                <w:szCs w:val="18"/>
              </w:rPr>
              <w:t xml:space="preserve"> </w:t>
            </w:r>
            <w:r w:rsidRPr="00760C91">
              <w:rPr>
                <w:sz w:val="18"/>
                <w:szCs w:val="18"/>
              </w:rPr>
              <w:t xml:space="preserve"> k </w:t>
            </w:r>
            <w:proofErr w:type="gramStart"/>
            <w:r w:rsidRPr="00760C91">
              <w:rPr>
                <w:sz w:val="18"/>
                <w:szCs w:val="18"/>
              </w:rPr>
              <w:t>31.12.2015</w:t>
            </w:r>
            <w:proofErr w:type="gramEnd"/>
            <w:r w:rsidRPr="00760C91">
              <w:rPr>
                <w:sz w:val="18"/>
                <w:szCs w:val="18"/>
              </w:rPr>
              <w:t xml:space="preserve"> plnění k31.12. 2014 (odborné publikace RVV (55/82), výsledky chráněné (0/2), výsledky aplikovaného výzkumu (10/7) jsou na cestě ke splnění podle harmonogramu (4/7). Zaostávají příjmy ze smluvních zdrojů </w:t>
            </w:r>
            <w:r w:rsidRPr="00760C91">
              <w:rPr>
                <w:sz w:val="18"/>
                <w:szCs w:val="18"/>
              </w:rPr>
              <w:lastRenderedPageBreak/>
              <w:t>(2705/1599) i příjmy ze zahraničí (5700/0). Splněn je počet úspěšných absolventů doktorského studia (3/3) a průběžně se překračuje plnění indikátorů zaměstnanosti - počet nově vytvořených míst celkem (39,5/46,93), počet výzkumníků (20,5/30,21) a počet výzkumníků do 35 l</w:t>
            </w:r>
            <w:r>
              <w:rPr>
                <w:sz w:val="18"/>
                <w:szCs w:val="18"/>
              </w:rPr>
              <w:t xml:space="preserve">et (8/15,67).     </w:t>
            </w:r>
          </w:p>
          <w:p w:rsidR="00736743" w:rsidRPr="00760C91" w:rsidRDefault="00760C91" w:rsidP="00B1030E">
            <w:pPr>
              <w:spacing w:before="60" w:after="60" w:line="240" w:lineRule="auto"/>
              <w:rPr>
                <w:sz w:val="18"/>
                <w:szCs w:val="18"/>
              </w:rPr>
            </w:pPr>
            <w:r w:rsidRPr="00B1030E">
              <w:rPr>
                <w:b/>
                <w:i/>
                <w:sz w:val="18"/>
                <w:szCs w:val="18"/>
              </w:rPr>
              <w:t>Ostatní indikátory udržitelnosti projektu:</w:t>
            </w:r>
            <w:r w:rsidRPr="00760C91">
              <w:rPr>
                <w:sz w:val="18"/>
                <w:szCs w:val="18"/>
              </w:rPr>
              <w:t xml:space="preserve"> Ostatní indikátory projektu CET k </w:t>
            </w:r>
            <w:proofErr w:type="gramStart"/>
            <w:r w:rsidRPr="00760C91">
              <w:rPr>
                <w:sz w:val="18"/>
                <w:szCs w:val="18"/>
              </w:rPr>
              <w:t>31.12.2015</w:t>
            </w:r>
            <w:proofErr w:type="gramEnd"/>
            <w:r w:rsidRPr="00760C91">
              <w:rPr>
                <w:sz w:val="18"/>
                <w:szCs w:val="18"/>
              </w:rPr>
              <w:t xml:space="preserve"> jsou vesměs splněny a překročeny již ke konci roku 2014 - výsledkové - impaktované časopisy (19/28), publikace ostatní (36/58), patenty národní (0/2), patenty mezinárodní (0/1 ve výhledu brzké registrace), k roku 2014 poloprovoz atd. (1/0) zaostává, naopak metodika, software atd. (3/7) překročeno a blíží se výsledným 8 jednotkám, příjmy z národních zdrojů účelové podpory výrazně překračují plán (5375/14721).</w:t>
            </w:r>
            <w:r w:rsidRPr="00760C91">
              <w:rPr>
                <w:sz w:val="18"/>
                <w:szCs w:val="18"/>
              </w:rPr>
              <w:tab/>
            </w:r>
            <w:r w:rsidRPr="00760C91">
              <w:rPr>
                <w:sz w:val="18"/>
                <w:szCs w:val="18"/>
              </w:rPr>
              <w:tab/>
            </w:r>
            <w:r w:rsidRPr="00760C91">
              <w:rPr>
                <w:sz w:val="18"/>
                <w:szCs w:val="18"/>
              </w:rPr>
              <w:tab/>
            </w:r>
            <w:r w:rsidRPr="00760C91">
              <w:rPr>
                <w:sz w:val="18"/>
                <w:szCs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Hodnocení výzkumného centra</w:t>
            </w:r>
          </w:p>
        </w:tc>
        <w:tc>
          <w:tcPr>
            <w:tcW w:w="7152" w:type="dxa"/>
            <w:gridSpan w:val="5"/>
          </w:tcPr>
          <w:p w:rsidR="002313DA" w:rsidRPr="002313DA" w:rsidRDefault="006C7484" w:rsidP="002313D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Příjemcem dotace projektu CET byl ÚTAM, Centrum sestává ze dvou</w:t>
            </w:r>
            <w:r w:rsidRPr="00B1030E">
              <w:rPr>
                <w:rFonts w:cs="Times New Roman"/>
                <w:sz w:val="18"/>
                <w:szCs w:val="18"/>
              </w:rPr>
              <w:t xml:space="preserve"> budov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2313DA">
              <w:rPr>
                <w:sz w:val="18"/>
                <w:szCs w:val="18"/>
              </w:rPr>
              <w:t xml:space="preserve"> </w:t>
            </w:r>
            <w:r w:rsidR="002313DA" w:rsidRPr="002313DA">
              <w:rPr>
                <w:sz w:val="18"/>
                <w:szCs w:val="18"/>
              </w:rPr>
              <w:t xml:space="preserve">Projekt </w:t>
            </w:r>
            <w:proofErr w:type="spellStart"/>
            <w:r w:rsidR="002313DA" w:rsidRPr="002313DA">
              <w:rPr>
                <w:sz w:val="18"/>
                <w:szCs w:val="18"/>
              </w:rPr>
              <w:t>CETvznikl</w:t>
            </w:r>
            <w:proofErr w:type="spellEnd"/>
            <w:r w:rsidR="002313DA" w:rsidRPr="002313DA">
              <w:rPr>
                <w:sz w:val="18"/>
                <w:szCs w:val="18"/>
              </w:rPr>
              <w:t xml:space="preserve"> s cílem vybudovat Evropské centrum excelence a to prostřednictvím Ústavu teoretické a aplikované mechaniky Akademie věd ČR (ÚTAM). Do centra pak bylo přestěhováno jeho telčské pracoviště. </w:t>
            </w:r>
          </w:p>
          <w:p w:rsidR="002313DA" w:rsidRPr="002313DA" w:rsidRDefault="002313DA" w:rsidP="002313DA">
            <w:pPr>
              <w:spacing w:before="60" w:after="60" w:line="240" w:lineRule="auto"/>
              <w:rPr>
                <w:sz w:val="18"/>
                <w:szCs w:val="18"/>
              </w:rPr>
            </w:pPr>
            <w:r w:rsidRPr="002313DA">
              <w:rPr>
                <w:sz w:val="18"/>
                <w:szCs w:val="18"/>
              </w:rPr>
              <w:t>Pozemek byl ve prospěch projektu převeden bezúplatně krajem Vysočina. Stavba byla zkolaudována ke konci dubna 2012 a v současné době je plně funkční pro všechny výzkumné programy. Těmi jsou:</w:t>
            </w:r>
          </w:p>
          <w:p w:rsidR="002313DA" w:rsidRPr="00B1030E" w:rsidRDefault="002313DA" w:rsidP="00B1030E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30E">
              <w:rPr>
                <w:rFonts w:ascii="Times New Roman" w:hAnsi="Times New Roman" w:cs="Times New Roman"/>
                <w:sz w:val="18"/>
                <w:szCs w:val="18"/>
              </w:rPr>
              <w:t>Modelování chování materiálů a konstrukcí při daných klimatických podmínkách</w:t>
            </w:r>
            <w:r w:rsidR="00B103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13DA" w:rsidRPr="00B1030E" w:rsidRDefault="002313DA" w:rsidP="00B1030E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30E">
              <w:rPr>
                <w:rFonts w:ascii="Times New Roman" w:hAnsi="Times New Roman" w:cs="Times New Roman"/>
                <w:sz w:val="18"/>
                <w:szCs w:val="18"/>
              </w:rPr>
              <w:t>Studium životnosti materiálů a jejich povrchových úprav různými moderními metodami</w:t>
            </w:r>
            <w:r w:rsidR="00B103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313DA" w:rsidRPr="00B1030E" w:rsidRDefault="002313DA" w:rsidP="00B1030E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030E">
              <w:rPr>
                <w:rFonts w:ascii="Times New Roman" w:hAnsi="Times New Roman" w:cs="Times New Roman"/>
                <w:sz w:val="18"/>
                <w:szCs w:val="18"/>
              </w:rPr>
              <w:t>Technologie a používané materiály pro dosažení dlouhodobé udržitelnosti kulturních památek</w:t>
            </w:r>
            <w:r w:rsidR="00B1030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753C" w:rsidRPr="002313DA" w:rsidRDefault="006C7484" w:rsidP="006C748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Centrum má dva</w:t>
            </w:r>
            <w:r w:rsidR="002313DA" w:rsidRPr="002313DA">
              <w:rPr>
                <w:sz w:val="18"/>
                <w:szCs w:val="18"/>
              </w:rPr>
              <w:t xml:space="preserve"> projekty</w:t>
            </w:r>
            <w:r w:rsidRPr="002313DA">
              <w:rPr>
                <w:sz w:val="18"/>
                <w:szCs w:val="18"/>
              </w:rPr>
              <w:t xml:space="preserve"> </w:t>
            </w:r>
            <w:r w:rsidRPr="002313DA">
              <w:rPr>
                <w:sz w:val="18"/>
                <w:szCs w:val="18"/>
              </w:rPr>
              <w:t>smluvního výzkumu</w:t>
            </w:r>
            <w:r>
              <w:rPr>
                <w:sz w:val="18"/>
                <w:szCs w:val="18"/>
              </w:rPr>
              <w:t xml:space="preserve"> přeshraniční spolupráce,</w:t>
            </w:r>
            <w:r w:rsidRPr="002313DA">
              <w:rPr>
                <w:sz w:val="18"/>
                <w:szCs w:val="18"/>
              </w:rPr>
              <w:t xml:space="preserve"> kon</w:t>
            </w:r>
            <w:r>
              <w:rPr>
                <w:sz w:val="18"/>
                <w:szCs w:val="18"/>
              </w:rPr>
              <w:t>krétně s</w:t>
            </w: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Rakouskem</w:t>
            </w:r>
            <w:r>
              <w:rPr>
                <w:sz w:val="18"/>
                <w:szCs w:val="18"/>
              </w:rPr>
              <w:t xml:space="preserve">, </w:t>
            </w:r>
            <w:r w:rsidR="002313DA" w:rsidRPr="002313DA">
              <w:rPr>
                <w:sz w:val="18"/>
                <w:szCs w:val="18"/>
              </w:rPr>
              <w:t>které však nejsou díky schvalování jak rako</w:t>
            </w:r>
            <w:r>
              <w:rPr>
                <w:sz w:val="18"/>
                <w:szCs w:val="18"/>
              </w:rPr>
              <w:t>uské, tak především české strany</w:t>
            </w:r>
            <w:r w:rsidR="002313DA" w:rsidRPr="002313DA">
              <w:rPr>
                <w:sz w:val="18"/>
                <w:szCs w:val="18"/>
              </w:rPr>
              <w:t>, po</w:t>
            </w:r>
            <w:r>
              <w:rPr>
                <w:sz w:val="18"/>
                <w:szCs w:val="18"/>
              </w:rPr>
              <w:t>važovány za přínos ze zahraničí.</w:t>
            </w:r>
            <w:r w:rsidR="002313DA" w:rsidRPr="002313DA">
              <w:rPr>
                <w:sz w:val="18"/>
                <w:szCs w:val="18"/>
              </w:rPr>
              <w:t xml:space="preserve"> Týká se to i dalších obdobných projektů, ve kterých figuruje schvalování také českou stranou, např. nastávající projekt s Tchaj-wanem.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2313DA" w:rsidRPr="006C7484" w:rsidRDefault="006C7484" w:rsidP="00760C91">
            <w:pPr>
              <w:spacing w:before="60" w:after="60" w:line="240" w:lineRule="auto"/>
              <w:rPr>
                <w:b/>
                <w:i/>
                <w:sz w:val="18"/>
              </w:rPr>
            </w:pPr>
            <w:r w:rsidRPr="006C7484">
              <w:rPr>
                <w:b/>
                <w:i/>
                <w:sz w:val="18"/>
              </w:rPr>
              <w:t>Partneři Centra:</w:t>
            </w:r>
          </w:p>
          <w:p w:rsidR="002313DA" w:rsidRDefault="002313DA" w:rsidP="002313DA">
            <w:pPr>
              <w:spacing w:before="60" w:after="60" w:line="240" w:lineRule="auto"/>
              <w:rPr>
                <w:sz w:val="18"/>
              </w:rPr>
            </w:pPr>
            <w:r w:rsidRPr="006C7484">
              <w:rPr>
                <w:b/>
                <w:i/>
                <w:sz w:val="18"/>
              </w:rPr>
              <w:t>Tuzemští:</w:t>
            </w:r>
            <w:r>
              <w:rPr>
                <w:sz w:val="18"/>
              </w:rPr>
              <w:t xml:space="preserve"> </w:t>
            </w:r>
            <w:r w:rsidRPr="002313DA">
              <w:rPr>
                <w:sz w:val="18"/>
              </w:rPr>
              <w:t>ČVUT v Praze, VUT v Brně, UK v Praze, MU v Brně, MLZ v Brně, UP v Pardubicích, VŠCHT v Praze, VŠB TU v Ostravě, ústavy AVČR (ÚFCHJH, ÚFM, ÚBO), rezortní výzkumné insti</w:t>
            </w:r>
            <w:r>
              <w:rPr>
                <w:sz w:val="18"/>
              </w:rPr>
              <w:t>tuce (NM, NTM, NG, NPÚ)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2753C" w:rsidRDefault="002313DA" w:rsidP="006C7484">
            <w:pPr>
              <w:spacing w:before="60" w:after="60" w:line="240" w:lineRule="auto"/>
              <w:rPr>
                <w:sz w:val="18"/>
              </w:rPr>
            </w:pPr>
            <w:r w:rsidRPr="006C7484">
              <w:rPr>
                <w:b/>
                <w:i/>
                <w:sz w:val="18"/>
              </w:rPr>
              <w:t>Zahraničí:</w:t>
            </w:r>
            <w:r>
              <w:rPr>
                <w:sz w:val="18"/>
              </w:rPr>
              <w:t xml:space="preserve">  </w:t>
            </w:r>
            <w:r w:rsidRPr="002313DA">
              <w:rPr>
                <w:sz w:val="18"/>
              </w:rPr>
              <w:t>CERIC-ERIC (</w:t>
            </w:r>
            <w:proofErr w:type="spellStart"/>
            <w:r w:rsidRPr="002313DA">
              <w:rPr>
                <w:sz w:val="18"/>
              </w:rPr>
              <w:t>European</w:t>
            </w:r>
            <w:proofErr w:type="spellEnd"/>
            <w:r w:rsidRPr="002313DA">
              <w:rPr>
                <w:sz w:val="18"/>
              </w:rPr>
              <w:t xml:space="preserve"> </w:t>
            </w:r>
            <w:proofErr w:type="spellStart"/>
            <w:r w:rsidRPr="002313DA">
              <w:rPr>
                <w:sz w:val="18"/>
              </w:rPr>
              <w:t>Research</w:t>
            </w:r>
            <w:proofErr w:type="spellEnd"/>
            <w:r w:rsidRPr="002313DA">
              <w:rPr>
                <w:sz w:val="18"/>
              </w:rPr>
              <w:t xml:space="preserve"> </w:t>
            </w:r>
            <w:proofErr w:type="spellStart"/>
            <w:r w:rsidRPr="002313DA">
              <w:rPr>
                <w:sz w:val="18"/>
              </w:rPr>
              <w:t>Infrastructure</w:t>
            </w:r>
            <w:proofErr w:type="spellEnd"/>
            <w:r w:rsidRPr="002313DA">
              <w:rPr>
                <w:sz w:val="18"/>
              </w:rPr>
              <w:t xml:space="preserve"> </w:t>
            </w:r>
            <w:proofErr w:type="spellStart"/>
            <w:r w:rsidRPr="002313DA">
              <w:rPr>
                <w:sz w:val="18"/>
              </w:rPr>
              <w:t>Consortium</w:t>
            </w:r>
            <w:proofErr w:type="spellEnd"/>
            <w:r w:rsidRPr="002313DA">
              <w:rPr>
                <w:sz w:val="18"/>
              </w:rPr>
              <w:t xml:space="preserve">) </w:t>
            </w:r>
            <w:proofErr w:type="spellStart"/>
            <w:r w:rsidRPr="002313DA">
              <w:rPr>
                <w:sz w:val="18"/>
              </w:rPr>
              <w:t>Trieste</w:t>
            </w:r>
            <w:proofErr w:type="spellEnd"/>
            <w:r w:rsidRPr="002313DA">
              <w:rPr>
                <w:sz w:val="18"/>
              </w:rPr>
              <w:t xml:space="preserve">, TU </w:t>
            </w:r>
            <w:proofErr w:type="spellStart"/>
            <w:r w:rsidRPr="002313DA">
              <w:rPr>
                <w:sz w:val="18"/>
              </w:rPr>
              <w:t>Wien</w:t>
            </w:r>
            <w:proofErr w:type="spellEnd"/>
            <w:r w:rsidRPr="002313DA">
              <w:rPr>
                <w:sz w:val="18"/>
              </w:rPr>
              <w:t xml:space="preserve">, UAK </w:t>
            </w:r>
            <w:proofErr w:type="spellStart"/>
            <w:r w:rsidRPr="002313DA">
              <w:rPr>
                <w:sz w:val="18"/>
              </w:rPr>
              <w:t>Wien</w:t>
            </w:r>
            <w:proofErr w:type="spellEnd"/>
            <w:r w:rsidRPr="002313DA">
              <w:rPr>
                <w:sz w:val="18"/>
              </w:rPr>
              <w:t xml:space="preserve">, DUK v </w:t>
            </w:r>
            <w:proofErr w:type="spellStart"/>
            <w:r w:rsidRPr="002313DA">
              <w:rPr>
                <w:sz w:val="18"/>
              </w:rPr>
              <w:t>Krems</w:t>
            </w:r>
            <w:proofErr w:type="spellEnd"/>
            <w:r w:rsidRPr="002313DA">
              <w:rPr>
                <w:sz w:val="18"/>
              </w:rPr>
              <w:t xml:space="preserve">, </w:t>
            </w:r>
            <w:proofErr w:type="spellStart"/>
            <w:r w:rsidRPr="002313DA">
              <w:rPr>
                <w:sz w:val="18"/>
              </w:rPr>
              <w:t>Fraunhoferovy</w:t>
            </w:r>
            <w:proofErr w:type="spellEnd"/>
            <w:r w:rsidRPr="002313DA">
              <w:rPr>
                <w:sz w:val="18"/>
              </w:rPr>
              <w:t xml:space="preserve"> ústavy (EZRT ve </w:t>
            </w:r>
            <w:proofErr w:type="spellStart"/>
            <w:r w:rsidRPr="002313DA">
              <w:rPr>
                <w:sz w:val="18"/>
              </w:rPr>
              <w:t>Fürthu</w:t>
            </w:r>
            <w:proofErr w:type="spellEnd"/>
            <w:r w:rsidRPr="002313DA">
              <w:rPr>
                <w:sz w:val="18"/>
              </w:rPr>
              <w:t xml:space="preserve">, WKI v Braunschweigu), TU Zagreb, TU </w:t>
            </w:r>
            <w:proofErr w:type="spellStart"/>
            <w:r w:rsidRPr="002313DA">
              <w:rPr>
                <w:sz w:val="18"/>
              </w:rPr>
              <w:t>Opole</w:t>
            </w:r>
            <w:proofErr w:type="spellEnd"/>
            <w:r w:rsidRPr="002313DA">
              <w:rPr>
                <w:sz w:val="18"/>
              </w:rPr>
              <w:t xml:space="preserve">, IBZ </w:t>
            </w:r>
            <w:proofErr w:type="spellStart"/>
            <w:r w:rsidRPr="002313DA">
              <w:rPr>
                <w:sz w:val="18"/>
              </w:rPr>
              <w:t>Freiberg</w:t>
            </w:r>
            <w:proofErr w:type="spellEnd"/>
            <w:r w:rsidRPr="002313DA">
              <w:rPr>
                <w:sz w:val="18"/>
              </w:rPr>
              <w:t xml:space="preserve">, </w:t>
            </w:r>
            <w:proofErr w:type="spellStart"/>
            <w:r w:rsidRPr="002313DA">
              <w:rPr>
                <w:sz w:val="18"/>
              </w:rPr>
              <w:t>Tamkang</w:t>
            </w:r>
            <w:proofErr w:type="spellEnd"/>
            <w:r w:rsidRPr="002313DA">
              <w:rPr>
                <w:sz w:val="18"/>
              </w:rPr>
              <w:t xml:space="preserve"> University ROC, TU Zvolen, </w:t>
            </w:r>
            <w:proofErr w:type="spellStart"/>
            <w:r w:rsidRPr="002313DA">
              <w:rPr>
                <w:sz w:val="18"/>
              </w:rPr>
              <w:t>Univ.degli</w:t>
            </w:r>
            <w:proofErr w:type="spellEnd"/>
            <w:r w:rsidRPr="002313DA">
              <w:rPr>
                <w:sz w:val="18"/>
              </w:rPr>
              <w:t xml:space="preserve"> </w:t>
            </w:r>
            <w:proofErr w:type="spellStart"/>
            <w:r w:rsidRPr="002313DA">
              <w:rPr>
                <w:sz w:val="18"/>
              </w:rPr>
              <w:t>Studi</w:t>
            </w:r>
            <w:proofErr w:type="spellEnd"/>
            <w:r w:rsidRPr="002313DA">
              <w:rPr>
                <w:sz w:val="18"/>
              </w:rPr>
              <w:t xml:space="preserve"> di </w:t>
            </w:r>
            <w:proofErr w:type="spellStart"/>
            <w:r w:rsidRPr="002313DA">
              <w:rPr>
                <w:sz w:val="18"/>
              </w:rPr>
              <w:t>Modena</w:t>
            </w:r>
            <w:proofErr w:type="spellEnd"/>
            <w:r w:rsidRPr="002313DA">
              <w:rPr>
                <w:sz w:val="18"/>
              </w:rPr>
              <w:t xml:space="preserve"> a cca 110 dalších, se kterými byly podány společné grantové projekty do programu H2020 (vysoké školy i výzkumné ústavy, zejména italské CNR</w:t>
            </w:r>
            <w:r w:rsidR="006C7484">
              <w:rPr>
                <w:sz w:val="18"/>
              </w:rPr>
              <w:t>.</w:t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Pr="002313DA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  <w:r w:rsidR="00760C91" w:rsidRPr="00760C91">
              <w:rPr>
                <w:sz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Default="006C748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C4C"/>
    <w:multiLevelType w:val="hybridMultilevel"/>
    <w:tmpl w:val="136204BA"/>
    <w:lvl w:ilvl="0" w:tplc="A4B0639E">
      <w:start w:val="1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0CA839E4"/>
    <w:multiLevelType w:val="hybridMultilevel"/>
    <w:tmpl w:val="4EE876C8"/>
    <w:lvl w:ilvl="0" w:tplc="DA2A254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>
    <w:nsid w:val="200D5DAE"/>
    <w:multiLevelType w:val="hybridMultilevel"/>
    <w:tmpl w:val="9B0A6094"/>
    <w:lvl w:ilvl="0" w:tplc="E9CA80BE">
      <w:start w:val="1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258E7B74"/>
    <w:multiLevelType w:val="hybridMultilevel"/>
    <w:tmpl w:val="D1228E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AF37A2"/>
    <w:multiLevelType w:val="hybridMultilevel"/>
    <w:tmpl w:val="EB8E6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727B5"/>
    <w:multiLevelType w:val="hybridMultilevel"/>
    <w:tmpl w:val="2004B3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53344640"/>
    <w:multiLevelType w:val="hybridMultilevel"/>
    <w:tmpl w:val="7D18789A"/>
    <w:lvl w:ilvl="0" w:tplc="8CC27C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ED25A0"/>
    <w:multiLevelType w:val="hybridMultilevel"/>
    <w:tmpl w:val="5AFA97A6"/>
    <w:lvl w:ilvl="0" w:tplc="3B5CCC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2"/>
  </w:num>
  <w:num w:numId="5">
    <w:abstractNumId w:val="12"/>
  </w:num>
  <w:num w:numId="6">
    <w:abstractNumId w:val="1"/>
  </w:num>
  <w:num w:numId="7">
    <w:abstractNumId w:val="15"/>
  </w:num>
  <w:num w:numId="8">
    <w:abstractNumId w:val="16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  <w:num w:numId="16">
    <w:abstractNumId w:val="12"/>
  </w:num>
  <w:num w:numId="17">
    <w:abstractNumId w:val="12"/>
  </w:num>
  <w:num w:numId="18">
    <w:abstractNumId w:val="19"/>
  </w:num>
  <w:num w:numId="19">
    <w:abstractNumId w:val="1"/>
  </w:num>
  <w:num w:numId="20">
    <w:abstractNumId w:val="15"/>
  </w:num>
  <w:num w:numId="21">
    <w:abstractNumId w:val="16"/>
  </w:num>
  <w:num w:numId="22">
    <w:abstractNumId w:val="8"/>
  </w:num>
  <w:num w:numId="23">
    <w:abstractNumId w:val="17"/>
  </w:num>
  <w:num w:numId="24">
    <w:abstractNumId w:val="0"/>
  </w:num>
  <w:num w:numId="25">
    <w:abstractNumId w:val="18"/>
  </w:num>
  <w:num w:numId="26">
    <w:abstractNumId w:val="7"/>
  </w:num>
  <w:num w:numId="27">
    <w:abstractNumId w:val="5"/>
  </w:num>
  <w:num w:numId="28">
    <w:abstractNumId w:val="4"/>
  </w:num>
  <w:num w:numId="29">
    <w:abstractNumId w:val="6"/>
  </w:num>
  <w:num w:numId="30">
    <w:abstractNumId w:val="1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32AAA"/>
    <w:rsid w:val="0004245B"/>
    <w:rsid w:val="0005178F"/>
    <w:rsid w:val="00096F2F"/>
    <w:rsid w:val="000A1641"/>
    <w:rsid w:val="000A69DE"/>
    <w:rsid w:val="000B7BB7"/>
    <w:rsid w:val="000C5312"/>
    <w:rsid w:val="000F0565"/>
    <w:rsid w:val="000F0945"/>
    <w:rsid w:val="0010270A"/>
    <w:rsid w:val="00126163"/>
    <w:rsid w:val="00127988"/>
    <w:rsid w:val="0018459D"/>
    <w:rsid w:val="001845D5"/>
    <w:rsid w:val="001A1BDF"/>
    <w:rsid w:val="001A32CE"/>
    <w:rsid w:val="001B09DB"/>
    <w:rsid w:val="001B2134"/>
    <w:rsid w:val="001C6F1A"/>
    <w:rsid w:val="001D2362"/>
    <w:rsid w:val="001D644D"/>
    <w:rsid w:val="001E1442"/>
    <w:rsid w:val="001F0D08"/>
    <w:rsid w:val="00226D21"/>
    <w:rsid w:val="002313DA"/>
    <w:rsid w:val="00235AE1"/>
    <w:rsid w:val="00277E3D"/>
    <w:rsid w:val="002A102B"/>
    <w:rsid w:val="002B4A3E"/>
    <w:rsid w:val="002C1F67"/>
    <w:rsid w:val="002C69A4"/>
    <w:rsid w:val="002F5FAE"/>
    <w:rsid w:val="00331EDE"/>
    <w:rsid w:val="003655CF"/>
    <w:rsid w:val="003D23FC"/>
    <w:rsid w:val="003F667A"/>
    <w:rsid w:val="00431B1E"/>
    <w:rsid w:val="00434C72"/>
    <w:rsid w:val="00442F7C"/>
    <w:rsid w:val="004576FD"/>
    <w:rsid w:val="004C2942"/>
    <w:rsid w:val="004C4832"/>
    <w:rsid w:val="004C5AA6"/>
    <w:rsid w:val="004D6F6B"/>
    <w:rsid w:val="004E184D"/>
    <w:rsid w:val="004E7882"/>
    <w:rsid w:val="00500997"/>
    <w:rsid w:val="0052281E"/>
    <w:rsid w:val="00526313"/>
    <w:rsid w:val="005811DE"/>
    <w:rsid w:val="0058175F"/>
    <w:rsid w:val="00595603"/>
    <w:rsid w:val="00597F50"/>
    <w:rsid w:val="005A3CF5"/>
    <w:rsid w:val="005D613D"/>
    <w:rsid w:val="005E60A5"/>
    <w:rsid w:val="005F27AE"/>
    <w:rsid w:val="006025C6"/>
    <w:rsid w:val="00602BAC"/>
    <w:rsid w:val="00645E74"/>
    <w:rsid w:val="00686EA8"/>
    <w:rsid w:val="006C7484"/>
    <w:rsid w:val="006E133D"/>
    <w:rsid w:val="007011BD"/>
    <w:rsid w:val="00725030"/>
    <w:rsid w:val="00736743"/>
    <w:rsid w:val="00737A93"/>
    <w:rsid w:val="00742563"/>
    <w:rsid w:val="0075385C"/>
    <w:rsid w:val="00760C91"/>
    <w:rsid w:val="0077049B"/>
    <w:rsid w:val="00774A9C"/>
    <w:rsid w:val="007A62D7"/>
    <w:rsid w:val="007F630B"/>
    <w:rsid w:val="0081225A"/>
    <w:rsid w:val="008134BB"/>
    <w:rsid w:val="0081392A"/>
    <w:rsid w:val="008146D9"/>
    <w:rsid w:val="00831093"/>
    <w:rsid w:val="00832AA1"/>
    <w:rsid w:val="008353DD"/>
    <w:rsid w:val="0084484B"/>
    <w:rsid w:val="008C655F"/>
    <w:rsid w:val="008E1782"/>
    <w:rsid w:val="009360DE"/>
    <w:rsid w:val="009372B3"/>
    <w:rsid w:val="00941CD4"/>
    <w:rsid w:val="009827D4"/>
    <w:rsid w:val="009A2074"/>
    <w:rsid w:val="009C14B4"/>
    <w:rsid w:val="009E437E"/>
    <w:rsid w:val="00A0019C"/>
    <w:rsid w:val="00A02D48"/>
    <w:rsid w:val="00A431A3"/>
    <w:rsid w:val="00A648F3"/>
    <w:rsid w:val="00A74241"/>
    <w:rsid w:val="00A7545D"/>
    <w:rsid w:val="00AA442B"/>
    <w:rsid w:val="00AD65D3"/>
    <w:rsid w:val="00AE72C5"/>
    <w:rsid w:val="00AF2EA4"/>
    <w:rsid w:val="00AF6EBB"/>
    <w:rsid w:val="00B07516"/>
    <w:rsid w:val="00B1030E"/>
    <w:rsid w:val="00B2011D"/>
    <w:rsid w:val="00B31B5B"/>
    <w:rsid w:val="00B60CB0"/>
    <w:rsid w:val="00BB0823"/>
    <w:rsid w:val="00BD1371"/>
    <w:rsid w:val="00C12385"/>
    <w:rsid w:val="00C16A94"/>
    <w:rsid w:val="00C217DD"/>
    <w:rsid w:val="00C32A6C"/>
    <w:rsid w:val="00C43F6D"/>
    <w:rsid w:val="00C56390"/>
    <w:rsid w:val="00C7436D"/>
    <w:rsid w:val="00C758C7"/>
    <w:rsid w:val="00C84C5D"/>
    <w:rsid w:val="00C92258"/>
    <w:rsid w:val="00CB06C9"/>
    <w:rsid w:val="00CB0855"/>
    <w:rsid w:val="00CC6243"/>
    <w:rsid w:val="00CF0B96"/>
    <w:rsid w:val="00CF2B45"/>
    <w:rsid w:val="00D03FD2"/>
    <w:rsid w:val="00D2753C"/>
    <w:rsid w:val="00D34EB8"/>
    <w:rsid w:val="00D47756"/>
    <w:rsid w:val="00D716DD"/>
    <w:rsid w:val="00D86ABC"/>
    <w:rsid w:val="00DA6654"/>
    <w:rsid w:val="00DA7033"/>
    <w:rsid w:val="00DC0A54"/>
    <w:rsid w:val="00DC46CE"/>
    <w:rsid w:val="00DD26D3"/>
    <w:rsid w:val="00DD5EE9"/>
    <w:rsid w:val="00E05352"/>
    <w:rsid w:val="00E13EE3"/>
    <w:rsid w:val="00E20092"/>
    <w:rsid w:val="00E23374"/>
    <w:rsid w:val="00E367C4"/>
    <w:rsid w:val="00E42722"/>
    <w:rsid w:val="00E43C3D"/>
    <w:rsid w:val="00E5488B"/>
    <w:rsid w:val="00E71CB7"/>
    <w:rsid w:val="00EA4306"/>
    <w:rsid w:val="00EA4D7A"/>
    <w:rsid w:val="00EA5BB7"/>
    <w:rsid w:val="00EC3BBE"/>
    <w:rsid w:val="00ED2D8F"/>
    <w:rsid w:val="00EE2A12"/>
    <w:rsid w:val="00F0067F"/>
    <w:rsid w:val="00F2309E"/>
    <w:rsid w:val="00F34368"/>
    <w:rsid w:val="00F50D2F"/>
    <w:rsid w:val="00F74C5F"/>
    <w:rsid w:val="00F85255"/>
    <w:rsid w:val="00F87C29"/>
    <w:rsid w:val="00F9010E"/>
    <w:rsid w:val="00FA0F95"/>
    <w:rsid w:val="00FB0B08"/>
    <w:rsid w:val="00FB0B43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4CADF-7C55-43B4-AE7F-E1378C6E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3F667A"/>
    <w:rPr>
      <w:rFonts w:ascii="Calibri" w:eastAsia="Times New Roman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46CE"/>
    <w:rPr>
      <w:b/>
      <w:bCs/>
    </w:rPr>
  </w:style>
  <w:style w:type="character" w:customStyle="1" w:styleId="jmena">
    <w:name w:val="jmena"/>
    <w:basedOn w:val="Standardnpsmoodstavce"/>
    <w:rsid w:val="00DC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A94C-4F0E-49D5-BF06-1245C759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1765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2015-03-22T16:59:00Z</dcterms:created>
  <dcterms:modified xsi:type="dcterms:W3CDTF">2015-03-22T16:59:00Z</dcterms:modified>
</cp:coreProperties>
</file>