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 xml:space="preserve">ýzkum a vývoj pro inovace (OP </w:t>
            </w:r>
            <w:proofErr w:type="spellStart"/>
            <w:r w:rsidRPr="003D1E91">
              <w:rPr>
                <w:rFonts w:asciiTheme="minorHAnsi" w:hAnsiTheme="minorHAnsi" w:cstheme="minorHAnsi"/>
              </w:rPr>
              <w:t>VaVpI</w:t>
            </w:r>
            <w:proofErr w:type="spellEnd"/>
            <w:r w:rsidRPr="003D1E91">
              <w:rPr>
                <w:rFonts w:asciiTheme="minorHAnsi" w:hAnsiTheme="minorHAnsi" w:cstheme="minorHAnsi"/>
              </w:rPr>
              <w:t>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E4455A" w:rsidRDefault="008A31AB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Centrum výzkumu a využití obnovitelných zdrojů energie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E4455A" w:rsidRDefault="008A31AB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Vysoké učení technické v Brně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E4455A" w:rsidRDefault="008A31AB" w:rsidP="008A31AB">
            <w:pPr>
              <w:tabs>
                <w:tab w:val="left" w:pos="1644"/>
              </w:tabs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CZ.1.05/2.1.00/01.0014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E4455A" w:rsidRDefault="008A31AB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A31AB">
              <w:rPr>
                <w:rFonts w:asciiTheme="minorHAnsi" w:hAnsiTheme="minorHAnsi" w:cstheme="minorHAnsi"/>
                <w:sz w:val="18"/>
                <w:szCs w:val="18"/>
              </w:rPr>
              <w:t>Antonínská 548/1, 602 00 Brno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E4455A" w:rsidRDefault="008A31AB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8A31AB">
              <w:rPr>
                <w:rFonts w:asciiTheme="minorHAnsi" w:hAnsiTheme="minorHAnsi" w:cstheme="minorHAnsi"/>
                <w:sz w:val="18"/>
                <w:szCs w:val="18"/>
              </w:rPr>
              <w:t xml:space="preserve">.2 Regionální </w:t>
            </w:r>
            <w:proofErr w:type="spellStart"/>
            <w:r w:rsidRPr="008A31AB"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 w:rsidRPr="008A31AB">
              <w:rPr>
                <w:rFonts w:asciiTheme="minorHAnsi" w:hAnsiTheme="minorHAnsi" w:cstheme="minorHAnsi"/>
                <w:sz w:val="18"/>
                <w:szCs w:val="18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E4455A" w:rsidRDefault="008A31AB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28.4.2010</w:t>
            </w:r>
            <w:proofErr w:type="gramEnd"/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8A31A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8A31AB">
              <w:rPr>
                <w:rFonts w:asciiTheme="minorHAnsi" w:hAnsiTheme="minorHAnsi" w:cstheme="minorHAnsi"/>
                <w:sz w:val="18"/>
                <w:szCs w:val="18"/>
              </w:rPr>
              <w:t>1.5.2010</w:t>
            </w:r>
            <w:proofErr w:type="gramEnd"/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07" w:type="dxa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8A31A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8A31AB">
              <w:rPr>
                <w:rFonts w:asciiTheme="minorHAnsi" w:hAnsiTheme="minorHAnsi" w:cstheme="minorHAnsi"/>
                <w:sz w:val="18"/>
                <w:szCs w:val="18"/>
              </w:rPr>
              <w:t>31.12.2013</w:t>
            </w:r>
            <w:proofErr w:type="gramEnd"/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F32D61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</w:t>
            </w:r>
            <w:proofErr w:type="spellStart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bez snížení):</w:t>
            </w:r>
            <w:r w:rsidR="00F32D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7A62D7" w:rsidRPr="00E4455A" w:rsidRDefault="00F32D61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260 166 439 Kč</w:t>
            </w:r>
          </w:p>
        </w:tc>
        <w:tc>
          <w:tcPr>
            <w:tcW w:w="3307" w:type="dxa"/>
            <w:gridSpan w:val="2"/>
          </w:tcPr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F34368" w:rsidRPr="00E4455A" w:rsidRDefault="00F32D61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39 024 965,85</w:t>
            </w:r>
          </w:p>
          <w:p w:rsidR="00F74C5F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E4455A" w:rsidRDefault="00F32D61" w:rsidP="00F32D6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221 141 473,15</w:t>
            </w:r>
          </w:p>
        </w:tc>
      </w:tr>
      <w:tr w:rsidR="00F34368" w:rsidTr="00F44BAD">
        <w:trPr>
          <w:trHeight w:val="1191"/>
        </w:trPr>
        <w:tc>
          <w:tcPr>
            <w:tcW w:w="2836" w:type="dxa"/>
            <w:gridSpan w:val="2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</w:t>
            </w:r>
            <w:proofErr w:type="spellStart"/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F34368" w:rsidRPr="00E4455A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F32D61">
              <w:rPr>
                <w:rFonts w:asciiTheme="minorHAnsi" w:hAnsiTheme="minorHAnsi" w:cstheme="minorHAnsi"/>
                <w:sz w:val="18"/>
                <w:szCs w:val="18"/>
              </w:rPr>
              <w:t xml:space="preserve">  0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F32D61">
              <w:rPr>
                <w:rFonts w:asciiTheme="minorHAnsi" w:hAnsiTheme="minorHAnsi" w:cstheme="minorHAnsi"/>
                <w:sz w:val="18"/>
                <w:szCs w:val="18"/>
              </w:rPr>
              <w:t xml:space="preserve"> 188 703 172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F32D61">
              <w:rPr>
                <w:rFonts w:asciiTheme="minorHAnsi" w:hAnsiTheme="minorHAnsi" w:cstheme="minorHAnsi"/>
                <w:sz w:val="18"/>
                <w:szCs w:val="18"/>
              </w:rPr>
              <w:t xml:space="preserve"> 31 866 472 Kč</w:t>
            </w:r>
          </w:p>
          <w:p w:rsidR="00F32D61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E4455A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proofErr w:type="spellStart"/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F32D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F34368" w:rsidRPr="00E4455A" w:rsidRDefault="00F32D61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39 596 795 Kč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Pr="00E4455A" w:rsidRDefault="00F32D61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32D61">
              <w:rPr>
                <w:rFonts w:asciiTheme="minorHAnsi" w:hAnsiTheme="minorHAnsi" w:cstheme="minorHAnsi"/>
                <w:sz w:val="18"/>
                <w:szCs w:val="18"/>
              </w:rPr>
              <w:t>Hlavním cílem projektu je vybudovat Centrum výzkumu a využití obnovitelných zdrojů energie (CVVOZE) a soustředit tak významné výzkumné a vývojové kapacity pro řešení komplexní problematiky výzkumu, vývoje a využití obnovitelných zdrojů energie, včetně problematiky z oblastí elektrochemie, elektromechaniky, elektrotechnologie, elektroenergetiky, elektrických pohonů, mobilních robotů a průmyslové elektroniky. Všechny tyto oblasti jsou rovněž významnou součástí ekologických dopravních systémů, robotů s ekologickým pohonem a kogeneračních jednotek pro výrobu elektrické energie.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E4455A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F32D61">
              <w:rPr>
                <w:rFonts w:asciiTheme="minorHAnsi" w:hAnsiTheme="minorHAnsi" w:cstheme="minorHAnsi"/>
                <w:sz w:val="18"/>
                <w:szCs w:val="18"/>
              </w:rPr>
              <w:t xml:space="preserve"> NR (nestavební projekt)</w:t>
            </w:r>
          </w:p>
        </w:tc>
        <w:tc>
          <w:tcPr>
            <w:tcW w:w="3307" w:type="dxa"/>
            <w:gridSpan w:val="2"/>
          </w:tcPr>
          <w:p w:rsidR="00526313" w:rsidRPr="00E4455A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  <w:r w:rsidR="00F32D61">
              <w:rPr>
                <w:rFonts w:asciiTheme="minorHAnsi" w:hAnsiTheme="minorHAnsi" w:cstheme="minorHAnsi"/>
                <w:sz w:val="18"/>
                <w:szCs w:val="18"/>
              </w:rPr>
              <w:t xml:space="preserve"> NR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závazných monitorovacích indikátorů v době ukončení projektu a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6614" w:type="dxa"/>
            <w:gridSpan w:val="4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73"/>
              <w:gridCol w:w="2141"/>
              <w:gridCol w:w="1637"/>
              <w:gridCol w:w="1637"/>
            </w:tblGrid>
            <w:tr w:rsidR="00F32D61" w:rsidRPr="00060876" w:rsidTr="009D1C9D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32D61" w:rsidRPr="00060876" w:rsidRDefault="00F32D61" w:rsidP="009D1C9D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  <w:lang w:eastAsia="cs-CZ"/>
                    </w:rPr>
                    <w:t>Kód MI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32D61" w:rsidRPr="00060876" w:rsidRDefault="00F32D61" w:rsidP="009D1C9D">
                  <w:pPr>
                    <w:spacing w:after="0"/>
                    <w:ind w:left="-6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datu ukončení realizace projektu (plán)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F32D61" w:rsidRPr="00060876" w:rsidRDefault="00F32D61" w:rsidP="009D1C9D">
                  <w:pPr>
                    <w:spacing w:after="0"/>
                    <w:ind w:left="-6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datu ukončení realizace projektu (skutečnost)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2D61" w:rsidRPr="00060876" w:rsidRDefault="00F32D61" w:rsidP="009D1C9D">
                  <w:pPr>
                    <w:spacing w:after="0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 xml:space="preserve">k </w:t>
                  </w:r>
                  <w:proofErr w:type="gramStart"/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31.12.2015</w:t>
                  </w:r>
                  <w:proofErr w:type="gramEnd"/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233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127</w:t>
                  </w:r>
                </w:p>
              </w:tc>
            </w:tr>
            <w:tr w:rsidR="009443E6" w:rsidRPr="00060876" w:rsidTr="009443E6">
              <w:trPr>
                <w:trHeight w:val="312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7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35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4 500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6 444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26 920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88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281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198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36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9</w:t>
                  </w:r>
                </w:p>
              </w:tc>
            </w:tr>
            <w:tr w:rsidR="009443E6" w:rsidRPr="00060876" w:rsidTr="009443E6">
              <w:trPr>
                <w:trHeight w:val="209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77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60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443E6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</w:rPr>
                    <w:t>29,28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23C6B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42,82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443E6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</w:rPr>
                    <w:t>36,2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443E6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</w:rPr>
                    <w:t>21,98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23C6B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36,41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443E6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</w:rPr>
                    <w:t>28,9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14,2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23C6B">
                    <w:rPr>
                      <w:rFonts w:asciiTheme="minorHAnsi" w:hAnsiTheme="minorHAnsi" w:cstheme="minorHAnsi"/>
                      <w:sz w:val="18"/>
                      <w:szCs w:val="18"/>
                    </w:rPr>
                    <w:t>21,08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19,5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F23C6B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</w:tr>
            <w:tr w:rsidR="009443E6" w:rsidRPr="00060876" w:rsidTr="009443E6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443E6" w:rsidRPr="00060876" w:rsidRDefault="009443E6" w:rsidP="009443E6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lastRenderedPageBreak/>
                    <w:t>110517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43E6" w:rsidRPr="009443E6" w:rsidRDefault="009443E6" w:rsidP="009443E6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443E6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8353DD" w:rsidRPr="00E4455A" w:rsidRDefault="008353D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C05F62" wp14:editId="4C17E148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8A31AB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8A31AB">
                                    <w:rPr>
                                      <w:sz w:val="18"/>
                                      <w:szCs w:val="18"/>
                                    </w:rPr>
                                    <w:t>20.2.2015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8A31A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8A31AB">
                              <w:rPr>
                                <w:sz w:val="18"/>
                                <w:szCs w:val="18"/>
                              </w:rPr>
                              <w:t>20.2.2015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F23C6B" w:rsidRPr="00F23C6B" w:rsidRDefault="00F23C6B" w:rsidP="00F23C6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3C6B">
              <w:rPr>
                <w:rFonts w:asciiTheme="minorHAnsi" w:hAnsiTheme="minorHAnsi" w:cstheme="minorHAnsi"/>
                <w:sz w:val="18"/>
                <w:szCs w:val="18"/>
              </w:rPr>
              <w:t xml:space="preserve">prof. RNDr. Ing. Petr Štěpánek, CSc. </w:t>
            </w:r>
          </w:p>
          <w:p w:rsidR="00F23C6B" w:rsidRPr="00E4455A" w:rsidRDefault="00F23C6B" w:rsidP="00F23C6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23C6B">
              <w:rPr>
                <w:rFonts w:asciiTheme="minorHAnsi" w:hAnsiTheme="minorHAnsi" w:cstheme="minorHAnsi"/>
                <w:sz w:val="18"/>
                <w:szCs w:val="18"/>
              </w:rPr>
              <w:t>rektor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23C6B" w:rsidRPr="00E4455A" w:rsidRDefault="00F23C6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</w:rPr>
              <w:t>Vysoké učení technické v Brně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002DBE" w:rsidRDefault="00F23C6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Prof. RNDr. Vladimír Aubrecht</w:t>
            </w:r>
            <w:r w:rsidR="001A1A85">
              <w:rPr>
                <w:rFonts w:asciiTheme="minorHAnsi" w:hAnsiTheme="minorHAnsi" w:cstheme="minorHAnsi"/>
                <w:sz w:val="18"/>
                <w:szCs w:val="18"/>
              </w:rPr>
              <w:t>, CSc.</w:t>
            </w:r>
          </w:p>
          <w:p w:rsidR="001A1A85" w:rsidRPr="00E4455A" w:rsidRDefault="001A1A8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Vedoucí projektu</w:t>
            </w:r>
          </w:p>
          <w:p w:rsidR="00002DBE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1A1A85" w:rsidRDefault="001A1A8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Ing. Soňa Řezníčková</w:t>
            </w:r>
          </w:p>
          <w:p w:rsidR="001A1A85" w:rsidRPr="00E4455A" w:rsidRDefault="001A1A8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Finanční manažerka</w:t>
            </w:r>
          </w:p>
        </w:tc>
      </w:tr>
      <w:tr w:rsidR="001A1A85" w:rsidTr="00D03FD2">
        <w:trPr>
          <w:trHeight w:val="843"/>
        </w:trPr>
        <w:tc>
          <w:tcPr>
            <w:tcW w:w="2298" w:type="dxa"/>
          </w:tcPr>
          <w:p w:rsidR="001A1A85" w:rsidRPr="00E4455A" w:rsidRDefault="001A1A85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 schválené změny projektu</w:t>
            </w:r>
          </w:p>
        </w:tc>
        <w:tc>
          <w:tcPr>
            <w:tcW w:w="4606" w:type="dxa"/>
            <w:gridSpan w:val="4"/>
          </w:tcPr>
          <w:p w:rsidR="001A1A85" w:rsidRDefault="001A1A85" w:rsidP="009D1C9D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6F0F03" w:rsidRPr="006F0F03" w:rsidRDefault="006F0F03" w:rsidP="006F0F03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430"/>
              <w:rPr>
                <w:sz w:val="18"/>
              </w:rPr>
            </w:pPr>
            <w:r w:rsidRPr="006F0F03">
              <w:rPr>
                <w:sz w:val="18"/>
              </w:rPr>
              <w:t>Změny technické specifikace klíčového vybavení</w:t>
            </w:r>
            <w:r>
              <w:rPr>
                <w:sz w:val="18"/>
              </w:rPr>
              <w:t xml:space="preserve"> (</w:t>
            </w:r>
            <w:r w:rsidRPr="006F0F03">
              <w:rPr>
                <w:sz w:val="18"/>
              </w:rPr>
              <w:t>Dodatek č. 0014/01/02),</w:t>
            </w:r>
          </w:p>
          <w:p w:rsidR="006F0F03" w:rsidRPr="006F0F03" w:rsidRDefault="006F0F03" w:rsidP="006F0F03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430"/>
              <w:rPr>
                <w:sz w:val="18"/>
              </w:rPr>
            </w:pPr>
            <w:r w:rsidRPr="006F0F03">
              <w:rPr>
                <w:sz w:val="18"/>
              </w:rPr>
              <w:t xml:space="preserve">Změny v klíčovém vybavení projektu -  </w:t>
            </w:r>
            <w:r>
              <w:rPr>
                <w:sz w:val="18"/>
              </w:rPr>
              <w:t xml:space="preserve">umístění </w:t>
            </w:r>
            <w:r w:rsidRPr="006F0F03">
              <w:rPr>
                <w:sz w:val="18"/>
              </w:rPr>
              <w:t>Laboratoř</w:t>
            </w:r>
            <w:r>
              <w:rPr>
                <w:sz w:val="18"/>
              </w:rPr>
              <w:t>e</w:t>
            </w:r>
            <w:r w:rsidRPr="006F0F03">
              <w:rPr>
                <w:sz w:val="18"/>
              </w:rPr>
              <w:t xml:space="preserve"> velmi vysokého napětí i laboratoř</w:t>
            </w:r>
            <w:r>
              <w:rPr>
                <w:sz w:val="18"/>
              </w:rPr>
              <w:t>e</w:t>
            </w:r>
            <w:r w:rsidRPr="006F0F03">
              <w:rPr>
                <w:sz w:val="18"/>
              </w:rPr>
              <w:t xml:space="preserve"> zkratové zkušebny (spínacích přístrojů) </w:t>
            </w:r>
            <w:r>
              <w:rPr>
                <w:sz w:val="18"/>
              </w:rPr>
              <w:t xml:space="preserve">do </w:t>
            </w:r>
            <w:proofErr w:type="gramStart"/>
            <w:r>
              <w:rPr>
                <w:sz w:val="18"/>
              </w:rPr>
              <w:t xml:space="preserve">budovy </w:t>
            </w:r>
            <w:r w:rsidRPr="006F0F03">
              <w:rPr>
                <w:sz w:val="18"/>
              </w:rPr>
              <w:t xml:space="preserve"> "Vědecko-technologického</w:t>
            </w:r>
            <w:proofErr w:type="gramEnd"/>
            <w:r w:rsidRPr="006F0F03">
              <w:rPr>
                <w:sz w:val="18"/>
              </w:rPr>
              <w:t xml:space="preserve"> park prof</w:t>
            </w:r>
            <w:r>
              <w:rPr>
                <w:sz w:val="18"/>
              </w:rPr>
              <w:t xml:space="preserve">esora </w:t>
            </w:r>
            <w:proofErr w:type="spellStart"/>
            <w:r>
              <w:rPr>
                <w:sz w:val="18"/>
              </w:rPr>
              <w:t>Lista</w:t>
            </w:r>
            <w:proofErr w:type="spellEnd"/>
            <w:r>
              <w:rPr>
                <w:sz w:val="18"/>
              </w:rPr>
              <w:t xml:space="preserve">" </w:t>
            </w:r>
            <w:proofErr w:type="spellStart"/>
            <w:r w:rsidRPr="006F0F03">
              <w:rPr>
                <w:sz w:val="18"/>
              </w:rPr>
              <w:t>financován</w:t>
            </w:r>
            <w:r>
              <w:rPr>
                <w:sz w:val="18"/>
              </w:rPr>
              <w:t>é</w:t>
            </w:r>
            <w:proofErr w:type="spellEnd"/>
            <w:r w:rsidRPr="006F0F03">
              <w:rPr>
                <w:sz w:val="18"/>
              </w:rPr>
              <w:t xml:space="preserve"> z</w:t>
            </w:r>
            <w:r>
              <w:rPr>
                <w:sz w:val="18"/>
              </w:rPr>
              <w:t> OP PI</w:t>
            </w:r>
            <w:r w:rsidRPr="006F0F03">
              <w:rPr>
                <w:sz w:val="18"/>
              </w:rPr>
              <w:t xml:space="preserve"> </w:t>
            </w:r>
          </w:p>
          <w:p w:rsidR="006F0F03" w:rsidRDefault="006F0F03" w:rsidP="006F0F03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430"/>
              <w:rPr>
                <w:sz w:val="18"/>
              </w:rPr>
            </w:pPr>
            <w:r w:rsidRPr="006F0F03">
              <w:rPr>
                <w:sz w:val="18"/>
              </w:rPr>
              <w:t>Posun data ukončení infrastrukturní části projektu do 9/2013 (Dodatek č. 0014/01/04),</w:t>
            </w:r>
          </w:p>
          <w:p w:rsidR="006F0F03" w:rsidRPr="006F0F03" w:rsidRDefault="006F0F03" w:rsidP="006F0F03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430"/>
              <w:rPr>
                <w:sz w:val="18"/>
              </w:rPr>
            </w:pPr>
            <w:r w:rsidRPr="006F0F03">
              <w:rPr>
                <w:sz w:val="18"/>
              </w:rPr>
              <w:t>Změna v klíčových pracovnících projektu - s</w:t>
            </w:r>
            <w:r>
              <w:rPr>
                <w:sz w:val="18"/>
              </w:rPr>
              <w:t xml:space="preserve">enior </w:t>
            </w:r>
            <w:proofErr w:type="spellStart"/>
            <w:r>
              <w:rPr>
                <w:sz w:val="18"/>
              </w:rPr>
              <w:t>researcher</w:t>
            </w:r>
            <w:proofErr w:type="spellEnd"/>
            <w:r>
              <w:rPr>
                <w:sz w:val="18"/>
              </w:rPr>
              <w:t xml:space="preserve"> ve VP 1 a VP 3</w:t>
            </w:r>
            <w:r w:rsidRPr="006F0F03">
              <w:rPr>
                <w:sz w:val="18"/>
              </w:rPr>
              <w:t xml:space="preserve"> (Dodatek č. 0014/01/04),</w:t>
            </w:r>
          </w:p>
          <w:p w:rsidR="006F0F03" w:rsidRPr="006F0F03" w:rsidRDefault="006F0F03" w:rsidP="006F0F03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430"/>
              <w:rPr>
                <w:sz w:val="18"/>
              </w:rPr>
            </w:pPr>
            <w:r w:rsidRPr="006F0F03">
              <w:rPr>
                <w:sz w:val="18"/>
              </w:rPr>
              <w:t xml:space="preserve">Zavedení Přílohy č. 3 </w:t>
            </w:r>
            <w:proofErr w:type="spellStart"/>
            <w:r w:rsidRPr="006F0F03">
              <w:rPr>
                <w:sz w:val="18"/>
              </w:rPr>
              <w:t>RoPD</w:t>
            </w:r>
            <w:proofErr w:type="spellEnd"/>
            <w:r w:rsidRPr="006F0F03">
              <w:rPr>
                <w:sz w:val="18"/>
              </w:rPr>
              <w:t xml:space="preserve"> (Dodatek č. 0014/01/03) a Přílohy č. 4 </w:t>
            </w:r>
            <w:proofErr w:type="spellStart"/>
            <w:r w:rsidRPr="006F0F03">
              <w:rPr>
                <w:sz w:val="18"/>
              </w:rPr>
              <w:t>RoPD</w:t>
            </w:r>
            <w:proofErr w:type="spellEnd"/>
            <w:r w:rsidRPr="006F0F03">
              <w:rPr>
                <w:sz w:val="18"/>
              </w:rPr>
              <w:t xml:space="preserve"> (Dodatek č. 0014/01/05),</w:t>
            </w:r>
          </w:p>
          <w:p w:rsidR="006F0F03" w:rsidRPr="006F0F03" w:rsidRDefault="006F0F03" w:rsidP="006F0F03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430"/>
              <w:rPr>
                <w:sz w:val="18"/>
              </w:rPr>
            </w:pPr>
            <w:r w:rsidRPr="006F0F03">
              <w:rPr>
                <w:sz w:val="18"/>
              </w:rPr>
              <w:t>Změny rozpočtu projektu a finančního plánu.</w:t>
            </w:r>
          </w:p>
          <w:p w:rsidR="001A1A85" w:rsidRPr="005F27AE" w:rsidRDefault="001A1A85" w:rsidP="009D1C9D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2546" w:type="dxa"/>
          </w:tcPr>
          <w:p w:rsidR="001A1A85" w:rsidRDefault="001A1A85" w:rsidP="009D1C9D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1A1A85" w:rsidRPr="005F27AE" w:rsidRDefault="001A1A85" w:rsidP="009D1C9D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- přesuny v rozpočtu, posun finančního plánu</w:t>
            </w:r>
          </w:p>
        </w:tc>
      </w:tr>
      <w:tr w:rsidR="001A1A85" w:rsidTr="00D03FD2">
        <w:trPr>
          <w:trHeight w:val="869"/>
        </w:trPr>
        <w:tc>
          <w:tcPr>
            <w:tcW w:w="2298" w:type="dxa"/>
          </w:tcPr>
          <w:p w:rsidR="001A1A85" w:rsidRPr="00E4455A" w:rsidRDefault="001A1A85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Věcná realizace projektu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152" w:type="dxa"/>
            <w:gridSpan w:val="5"/>
          </w:tcPr>
          <w:p w:rsidR="00A85E8A" w:rsidRPr="00A85E8A" w:rsidRDefault="00A85E8A" w:rsidP="00A85E8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85E8A">
              <w:rPr>
                <w:rFonts w:asciiTheme="minorHAnsi" w:hAnsiTheme="minorHAnsi" w:cstheme="minorHAnsi"/>
                <w:sz w:val="18"/>
                <w:szCs w:val="18"/>
              </w:rPr>
              <w:t>Stavební část (včetně % naplnění) – nestavební projekt</w:t>
            </w:r>
          </w:p>
          <w:p w:rsidR="00A85E8A" w:rsidRPr="00A85E8A" w:rsidRDefault="00A85E8A" w:rsidP="00A85E8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85E8A">
              <w:rPr>
                <w:rFonts w:asciiTheme="minorHAnsi" w:hAnsiTheme="minorHAnsi" w:cstheme="minorHAnsi"/>
                <w:sz w:val="18"/>
                <w:szCs w:val="18"/>
              </w:rPr>
              <w:t>Přístroje (včetně % naplnění) – klíčové vybavení TA pořízeno (100 % naplněno).</w:t>
            </w:r>
          </w:p>
          <w:p w:rsidR="00A85E8A" w:rsidRPr="00A85E8A" w:rsidRDefault="00A85E8A" w:rsidP="00A85E8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85E8A">
              <w:rPr>
                <w:rFonts w:asciiTheme="minorHAnsi" w:hAnsiTheme="minorHAnsi" w:cstheme="minorHAnsi"/>
                <w:sz w:val="18"/>
                <w:szCs w:val="18"/>
              </w:rPr>
              <w:t>Personální zajištění (včetně % naplnění) – realizační i výzkumný tým nastaven (100% naplněno).</w:t>
            </w:r>
          </w:p>
          <w:p w:rsidR="001A1A85" w:rsidRPr="00E4455A" w:rsidRDefault="00A85E8A" w:rsidP="00A85E8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 se od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1.1.2014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nachází ve fázi udržitelnosti. K datu ukončení realizace naplnil závazné monitorovací indikátory, </w:t>
            </w:r>
            <w:r w:rsidRPr="00A85E8A">
              <w:rPr>
                <w:rFonts w:asciiTheme="minorHAnsi" w:hAnsiTheme="minorHAnsi" w:cstheme="minorHAnsi"/>
                <w:sz w:val="18"/>
                <w:szCs w:val="18"/>
              </w:rPr>
              <w:t>viz tabulka výše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kromě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MI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074902. Projekt je z programu NPU I.</w:t>
            </w:r>
          </w:p>
        </w:tc>
      </w:tr>
      <w:tr w:rsidR="001A1A85" w:rsidTr="00D03FD2">
        <w:tc>
          <w:tcPr>
            <w:tcW w:w="2298" w:type="dxa"/>
          </w:tcPr>
          <w:p w:rsidR="001A1A85" w:rsidRPr="00E4455A" w:rsidRDefault="001A1A85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7152" w:type="dxa"/>
            <w:gridSpan w:val="5"/>
          </w:tcPr>
          <w:p w:rsidR="001A1A85" w:rsidRDefault="001A1A8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258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553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192,16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Kč (99,4 %)</w:t>
            </w:r>
          </w:p>
          <w:p w:rsidR="001A1A85" w:rsidRPr="00E4455A" w:rsidRDefault="001A1A8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 (v Kč i %):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258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309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740,33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Kč (99,3 %)</w:t>
            </w:r>
          </w:p>
          <w:p w:rsidR="001A1A85" w:rsidRPr="00E4455A" w:rsidRDefault="001A1A85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%, pozn. Certifikace probíhá s různým časovým odstupem, data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31.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2014):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258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265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929C9">
              <w:rPr>
                <w:rFonts w:asciiTheme="minorHAnsi" w:hAnsiTheme="minorHAnsi" w:cstheme="minorHAnsi"/>
                <w:sz w:val="18"/>
                <w:szCs w:val="18"/>
              </w:rPr>
              <w:t>292,04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(99,3 %)</w:t>
            </w:r>
          </w:p>
          <w:p w:rsidR="001A1A85" w:rsidRPr="00E4455A" w:rsidRDefault="001A1A8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1A85" w:rsidTr="00D03FD2">
        <w:tc>
          <w:tcPr>
            <w:tcW w:w="2298" w:type="dxa"/>
          </w:tcPr>
          <w:p w:rsidR="001A1A85" w:rsidRPr="00E4455A" w:rsidRDefault="001A1A85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 projektu</w:t>
            </w:r>
            <w:r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0BDB">
              <w:rPr>
                <w:rFonts w:asciiTheme="minorHAnsi" w:hAnsiTheme="minorHAnsi" w:cstheme="minorHAnsi"/>
                <w:sz w:val="18"/>
                <w:szCs w:val="18"/>
              </w:rPr>
              <w:t>z celkových výdajů proje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152" w:type="dxa"/>
            <w:gridSpan w:val="5"/>
          </w:tcPr>
          <w:p w:rsidR="001A1A85" w:rsidRPr="00E4455A" w:rsidRDefault="001A1A8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139 229 197,- Kč (34,9 %)</w:t>
            </w:r>
          </w:p>
        </w:tc>
      </w:tr>
      <w:tr w:rsidR="001A1A85" w:rsidTr="00D03FD2">
        <w:tc>
          <w:tcPr>
            <w:tcW w:w="2298" w:type="dxa"/>
          </w:tcPr>
          <w:p w:rsidR="001A1A85" w:rsidRPr="00E4455A" w:rsidRDefault="001A1A85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Ostatní informace</w:t>
            </w:r>
          </w:p>
          <w:p w:rsidR="001A1A85" w:rsidRPr="0060312A" w:rsidRDefault="001A1A85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1A1A85" w:rsidRPr="00E4455A" w:rsidRDefault="001A1A8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1A85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1A1A85" w:rsidRPr="003D1E91" w:rsidRDefault="001A1A85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9C01D0" w:rsidTr="00F74C5F">
        <w:tc>
          <w:tcPr>
            <w:tcW w:w="2298" w:type="dxa"/>
          </w:tcPr>
          <w:p w:rsidR="009C01D0" w:rsidRDefault="009C01D0" w:rsidP="00632B61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9C01D0" w:rsidRDefault="009C01D0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>Požadované zdroje smluvní výzkum a jejich zajišt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 xml:space="preserve">ění: 64 mil.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Kč. </w:t>
            </w:r>
          </w:p>
          <w:p w:rsidR="009C01D0" w:rsidRDefault="009C01D0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 xml:space="preserve">Mezinárodní granty a jejich zajištění 22 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>mil.</w:t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9C01D0" w:rsidRDefault="00632B61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Ostatní zdroje financování: 274,5 mil. </w:t>
            </w:r>
            <w:r w:rsidR="009C01D0" w:rsidRPr="009C01D0">
              <w:rPr>
                <w:rFonts w:asciiTheme="minorHAnsi" w:hAnsiTheme="minorHAnsi" w:cstheme="minorHAnsi"/>
                <w:sz w:val="18"/>
                <w:szCs w:val="18"/>
              </w:rPr>
              <w:t>Kč</w:t>
            </w:r>
            <w:r w:rsidR="009C01D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9C01D0" w:rsidRPr="00E4455A" w:rsidRDefault="009C01D0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>Dosavadní smluvní výz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kum: 11 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>mil.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Kč. </w:t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>Předpokládaný smluvní výzkum po rea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>lizaci projektu (2014-2018): 59,5 mil. Kč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9C01D0" w:rsidTr="000A49B7">
        <w:tc>
          <w:tcPr>
            <w:tcW w:w="2298" w:type="dxa"/>
          </w:tcPr>
          <w:p w:rsidR="009C01D0" w:rsidRDefault="009C01D0" w:rsidP="00632B61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9C01D0" w:rsidRDefault="009C01D0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>Požadavky na účelové zdr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 xml:space="preserve">oje celkem 245,7 mil.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Kč. Z toh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>o NPU 107,5 mil</w:t>
            </w:r>
            <w:r w:rsidR="00DF05D2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bookmarkStart w:id="0" w:name="_GoBack"/>
            <w:bookmarkEnd w:id="0"/>
            <w:r w:rsidR="00632B6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Kč. </w:t>
            </w:r>
          </w:p>
          <w:p w:rsidR="009C01D0" w:rsidRPr="009C01D0" w:rsidRDefault="009C01D0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 xml:space="preserve">Institucionální podpora 61 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>mil.</w:t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9C01D0" w:rsidRDefault="009C01D0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9C01D0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9C01D0" w:rsidRPr="009C01D0" w:rsidRDefault="009C01D0" w:rsidP="00632B61">
            <w:pPr>
              <w:tabs>
                <w:tab w:val="left" w:pos="1125"/>
              </w:tabs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1A1A85" w:rsidTr="00FC3BB8">
        <w:tc>
          <w:tcPr>
            <w:tcW w:w="2298" w:type="dxa"/>
          </w:tcPr>
          <w:p w:rsidR="001A1A85" w:rsidRPr="00E4455A" w:rsidRDefault="001A1A85" w:rsidP="00632B61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632B61" w:rsidRDefault="00632B61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Centrum je v provozu a ve stádiu udržitelnosti od r. 2014.</w:t>
            </w:r>
          </w:p>
          <w:p w:rsidR="00632B61" w:rsidRDefault="00FF6AB3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 xml:space="preserve">Většina povinných monitorovacích indikátorů je již 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>splněna s předstihem.</w:t>
            </w:r>
            <w:r w:rsidR="00632B61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632B61" w:rsidRDefault="00632B61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Současn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ý počet výzkumníků: 99.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Kvalifikační struktura: výzkumný pracovník senior, v</w:t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ýzkumný pracovní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 junior,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ýzkumný asistent. </w:t>
            </w:r>
          </w:p>
          <w:p w:rsidR="001A1A85" w:rsidRPr="00E4455A" w:rsidRDefault="00632B61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 xml:space="preserve">Zahraniční výzkumníci v současnosti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zapojení do výzkumu: 2.</w:t>
            </w:r>
            <w:r w:rsidR="00FF6AB3"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1A1A85" w:rsidTr="00F74C5F">
        <w:tc>
          <w:tcPr>
            <w:tcW w:w="2298" w:type="dxa"/>
          </w:tcPr>
          <w:p w:rsidR="001A1A85" w:rsidRPr="00E4455A" w:rsidRDefault="001A1A85" w:rsidP="00632B61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475C1B" w:rsidRDefault="00475C1B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75C1B">
              <w:rPr>
                <w:rFonts w:asciiTheme="minorHAnsi" w:hAnsiTheme="minorHAnsi" w:cstheme="minorHAnsi"/>
                <w:sz w:val="18"/>
                <w:szCs w:val="18"/>
              </w:rPr>
              <w:t>Centrum výzkumu a využití obnovitelných zdrojů energie (CVVOZE) je výzkumným pracovištěm Fakulty elektrotechniky a komunikačních technologií Vysokého učení technického v Brně.</w:t>
            </w:r>
          </w:p>
          <w:p w:rsidR="0039567A" w:rsidRPr="00E4455A" w:rsidRDefault="00475C1B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75C1B">
              <w:rPr>
                <w:rFonts w:asciiTheme="minorHAnsi" w:hAnsiTheme="minorHAnsi" w:cstheme="minorHAnsi"/>
                <w:sz w:val="18"/>
                <w:szCs w:val="18"/>
              </w:rPr>
              <w:t>Na jeho realizaci se podílí čtyři odborné ústavy: Ústav výkonové elektrotechniky a elektroniky, Ústav automatizace a měřicí techniky, Ústav elektrotechnologie a Ústav elektroenergetiky.</w:t>
            </w:r>
          </w:p>
        </w:tc>
      </w:tr>
      <w:tr w:rsidR="001A1A85" w:rsidTr="00F74C5F">
        <w:tc>
          <w:tcPr>
            <w:tcW w:w="2298" w:type="dxa"/>
          </w:tcPr>
          <w:p w:rsidR="001A1A85" w:rsidRPr="00E4455A" w:rsidRDefault="001A1A85" w:rsidP="00632B61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FF6AB3" w:rsidRPr="00FF6AB3" w:rsidRDefault="00FF6AB3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Tuzemští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partneři</w:t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spellStart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Honeywell</w:t>
            </w:r>
            <w:proofErr w:type="spellEnd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 xml:space="preserve">, spol. s r.o., AMG </w:t>
            </w:r>
            <w:proofErr w:type="spellStart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Mining</w:t>
            </w:r>
            <w:proofErr w:type="spellEnd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 xml:space="preserve"> AG, </w:t>
            </w:r>
            <w:proofErr w:type="spellStart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Putner</w:t>
            </w:r>
            <w:proofErr w:type="spellEnd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, s.r.o., LUCIS, s.r.o., Hanácké železárny a pérovny, a.s., ÚJV Řež, a.s., KOMPOZITUM s.r.o., Siemens, s.r.o., EM Brno s.r.</w:t>
            </w:r>
            <w:proofErr w:type="gramStart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o., E.ON</w:t>
            </w:r>
            <w:proofErr w:type="gramEnd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 xml:space="preserve"> Česká republika s.r.o., Výzkumný ústav inteligentních budov, s.r.o., ABB </w:t>
            </w:r>
            <w:proofErr w:type="spellStart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s.r.o.,OEZ</w:t>
            </w:r>
            <w:proofErr w:type="spellEnd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 xml:space="preserve"> s.r.o.</w:t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FF6AB3" w:rsidRPr="00E4455A" w:rsidRDefault="00FF6AB3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Zahraničí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partneři výzkumu</w:t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spellStart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Eaton</w:t>
            </w:r>
            <w:proofErr w:type="spellEnd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>Innovation</w:t>
            </w:r>
            <w:proofErr w:type="spellEnd"/>
            <w:r w:rsidRPr="00FF6AB3">
              <w:rPr>
                <w:rFonts w:asciiTheme="minorHAnsi" w:hAnsiTheme="minorHAnsi" w:cstheme="minorHAnsi"/>
                <w:sz w:val="18"/>
                <w:szCs w:val="18"/>
              </w:rPr>
              <w:t xml:space="preserve"> Center (USA), KERI (Jižní Korea), Techna Ltd. (Velká Británie)</w:t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FF6AB3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1A1A85" w:rsidTr="00F74C5F">
        <w:tc>
          <w:tcPr>
            <w:tcW w:w="2298" w:type="dxa"/>
          </w:tcPr>
          <w:p w:rsidR="001A1A85" w:rsidRPr="00E4455A" w:rsidRDefault="001A1A85" w:rsidP="00632B61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1A1A85" w:rsidRPr="00E4455A" w:rsidRDefault="00632B61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</w:tr>
      <w:tr w:rsidR="001A1A85" w:rsidTr="00F74C5F">
        <w:tc>
          <w:tcPr>
            <w:tcW w:w="2298" w:type="dxa"/>
          </w:tcPr>
          <w:p w:rsidR="001A1A85" w:rsidRPr="00E4455A" w:rsidRDefault="001A1A85" w:rsidP="00632B61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Poznámka</w:t>
            </w:r>
          </w:p>
        </w:tc>
        <w:tc>
          <w:tcPr>
            <w:tcW w:w="7152" w:type="dxa"/>
            <w:gridSpan w:val="5"/>
          </w:tcPr>
          <w:p w:rsidR="001A1A85" w:rsidRPr="00E4455A" w:rsidRDefault="001A1A85" w:rsidP="00632B6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7545D" w:rsidRDefault="00A7545D"/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DDE" w:rsidRDefault="00A05DDE" w:rsidP="00353AEB">
      <w:pPr>
        <w:spacing w:after="0" w:line="240" w:lineRule="auto"/>
      </w:pPr>
      <w:r>
        <w:separator/>
      </w:r>
    </w:p>
  </w:endnote>
  <w:endnote w:type="continuationSeparator" w:id="0">
    <w:p w:rsidR="00A05DDE" w:rsidRDefault="00A05DDE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DF05D2" w:rsidRPr="00DF05D2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3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DF05D2" w:rsidRPr="00DF05D2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3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DDE" w:rsidRDefault="00A05DDE" w:rsidP="00353AEB">
      <w:pPr>
        <w:spacing w:after="0" w:line="240" w:lineRule="auto"/>
      </w:pPr>
      <w:r>
        <w:separator/>
      </w:r>
    </w:p>
  </w:footnote>
  <w:footnote w:type="continuationSeparator" w:id="0">
    <w:p w:rsidR="00A05DDE" w:rsidRDefault="00A05DDE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79D23679"/>
    <w:multiLevelType w:val="hybridMultilevel"/>
    <w:tmpl w:val="51AA5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2013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70BDB"/>
    <w:rsid w:val="00071F64"/>
    <w:rsid w:val="00093FBA"/>
    <w:rsid w:val="000A69DE"/>
    <w:rsid w:val="000B7BB7"/>
    <w:rsid w:val="000C71C7"/>
    <w:rsid w:val="000F0945"/>
    <w:rsid w:val="0010270A"/>
    <w:rsid w:val="001057A4"/>
    <w:rsid w:val="00125F00"/>
    <w:rsid w:val="0018459D"/>
    <w:rsid w:val="001845D5"/>
    <w:rsid w:val="001A1A85"/>
    <w:rsid w:val="001B09DB"/>
    <w:rsid w:val="001B2134"/>
    <w:rsid w:val="00235AE1"/>
    <w:rsid w:val="002A102B"/>
    <w:rsid w:val="002B4A3E"/>
    <w:rsid w:val="002C69A4"/>
    <w:rsid w:val="00353AEB"/>
    <w:rsid w:val="0039567A"/>
    <w:rsid w:val="003D1E91"/>
    <w:rsid w:val="00413C71"/>
    <w:rsid w:val="00431B1E"/>
    <w:rsid w:val="00475C1B"/>
    <w:rsid w:val="004C4832"/>
    <w:rsid w:val="004D6F6B"/>
    <w:rsid w:val="00500997"/>
    <w:rsid w:val="0052281E"/>
    <w:rsid w:val="00526313"/>
    <w:rsid w:val="005644FA"/>
    <w:rsid w:val="00585CA2"/>
    <w:rsid w:val="00595603"/>
    <w:rsid w:val="005B5BDD"/>
    <w:rsid w:val="005D613D"/>
    <w:rsid w:val="005E590F"/>
    <w:rsid w:val="005F27AE"/>
    <w:rsid w:val="0060312A"/>
    <w:rsid w:val="00632B61"/>
    <w:rsid w:val="00686EA8"/>
    <w:rsid w:val="006F0F03"/>
    <w:rsid w:val="007011BD"/>
    <w:rsid w:val="00737A93"/>
    <w:rsid w:val="00742563"/>
    <w:rsid w:val="00774A9C"/>
    <w:rsid w:val="007929C9"/>
    <w:rsid w:val="007A62D7"/>
    <w:rsid w:val="007B2E97"/>
    <w:rsid w:val="0081225A"/>
    <w:rsid w:val="0081392A"/>
    <w:rsid w:val="008146D9"/>
    <w:rsid w:val="008353DD"/>
    <w:rsid w:val="008A31AB"/>
    <w:rsid w:val="008C2B2A"/>
    <w:rsid w:val="00924BF2"/>
    <w:rsid w:val="009360DE"/>
    <w:rsid w:val="009372B3"/>
    <w:rsid w:val="009443E6"/>
    <w:rsid w:val="009C01D0"/>
    <w:rsid w:val="009E437E"/>
    <w:rsid w:val="00A0019C"/>
    <w:rsid w:val="00A05DDE"/>
    <w:rsid w:val="00A431A3"/>
    <w:rsid w:val="00A74241"/>
    <w:rsid w:val="00A7545D"/>
    <w:rsid w:val="00A85E8A"/>
    <w:rsid w:val="00AA442B"/>
    <w:rsid w:val="00AC6CC1"/>
    <w:rsid w:val="00AD65D3"/>
    <w:rsid w:val="00AE72C5"/>
    <w:rsid w:val="00AF6EBB"/>
    <w:rsid w:val="00B00DA4"/>
    <w:rsid w:val="00B07516"/>
    <w:rsid w:val="00B31B5B"/>
    <w:rsid w:val="00BD1371"/>
    <w:rsid w:val="00C217DD"/>
    <w:rsid w:val="00C43F6D"/>
    <w:rsid w:val="00C56390"/>
    <w:rsid w:val="00C92258"/>
    <w:rsid w:val="00CC6243"/>
    <w:rsid w:val="00CD0222"/>
    <w:rsid w:val="00D03FD2"/>
    <w:rsid w:val="00D2753C"/>
    <w:rsid w:val="00DA6654"/>
    <w:rsid w:val="00DA7033"/>
    <w:rsid w:val="00DD26D3"/>
    <w:rsid w:val="00DF05D2"/>
    <w:rsid w:val="00E05352"/>
    <w:rsid w:val="00E20092"/>
    <w:rsid w:val="00E43C3D"/>
    <w:rsid w:val="00E4455A"/>
    <w:rsid w:val="00E71CB7"/>
    <w:rsid w:val="00EC3BBE"/>
    <w:rsid w:val="00EE2A12"/>
    <w:rsid w:val="00F0067F"/>
    <w:rsid w:val="00F114E7"/>
    <w:rsid w:val="00F16CE8"/>
    <w:rsid w:val="00F23C6B"/>
    <w:rsid w:val="00F32D61"/>
    <w:rsid w:val="00F34368"/>
    <w:rsid w:val="00F3634C"/>
    <w:rsid w:val="00F44BAD"/>
    <w:rsid w:val="00F74C5F"/>
    <w:rsid w:val="00F9010E"/>
    <w:rsid w:val="00FA0F95"/>
    <w:rsid w:val="00FD3750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E85F-EBD4-4908-A3FE-6C217E4F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4</cp:revision>
  <dcterms:created xsi:type="dcterms:W3CDTF">2015-03-24T16:15:00Z</dcterms:created>
  <dcterms:modified xsi:type="dcterms:W3CDTF">2015-03-24T16:15:00Z</dcterms:modified>
</cp:coreProperties>
</file>