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178"/>
        <w:gridCol w:w="442"/>
        <w:gridCol w:w="2926"/>
        <w:gridCol w:w="377"/>
        <w:gridCol w:w="738"/>
        <w:gridCol w:w="2945"/>
      </w:tblGrid>
      <w:tr w:rsidR="00AE72C5" w:rsidTr="00E667FC">
        <w:trPr>
          <w:trHeight w:val="558"/>
        </w:trPr>
        <w:tc>
          <w:tcPr>
            <w:tcW w:w="9606" w:type="dxa"/>
            <w:gridSpan w:val="6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bookmarkStart w:id="0" w:name="_GoBack"/>
            <w:bookmarkEnd w:id="0"/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>ýzkum a vývoj pro inovace (OP VaVpI)</w:t>
            </w:r>
          </w:p>
        </w:tc>
      </w:tr>
      <w:tr w:rsidR="0052281E" w:rsidTr="00E667FC">
        <w:trPr>
          <w:trHeight w:val="277"/>
        </w:trPr>
        <w:tc>
          <w:tcPr>
            <w:tcW w:w="9606" w:type="dxa"/>
            <w:gridSpan w:val="6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E667FC">
        <w:trPr>
          <w:trHeight w:val="277"/>
        </w:trPr>
        <w:tc>
          <w:tcPr>
            <w:tcW w:w="2620" w:type="dxa"/>
            <w:gridSpan w:val="2"/>
          </w:tcPr>
          <w:p w:rsidR="00AE72C5" w:rsidRPr="004C4A4B" w:rsidRDefault="00E71CB7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4C4A4B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6986" w:type="dxa"/>
            <w:gridSpan w:val="4"/>
          </w:tcPr>
          <w:p w:rsidR="00AE72C5" w:rsidRPr="004C4A4B" w:rsidRDefault="004B63E9" w:rsidP="004C4A4B">
            <w:pPr>
              <w:spacing w:before="12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color w:val="262626" w:themeColor="text1" w:themeTint="D9"/>
                <w:sz w:val="22"/>
              </w:rPr>
              <w:t>Pořízení technologie pro Centrum vozidel udržitelné mobility (CVUM)</w:t>
            </w:r>
          </w:p>
        </w:tc>
      </w:tr>
      <w:tr w:rsidR="00E71CB7" w:rsidTr="00E667FC">
        <w:trPr>
          <w:trHeight w:val="277"/>
        </w:trPr>
        <w:tc>
          <w:tcPr>
            <w:tcW w:w="2620" w:type="dxa"/>
            <w:gridSpan w:val="2"/>
          </w:tcPr>
          <w:p w:rsidR="00E71CB7" w:rsidRPr="004C4A4B" w:rsidRDefault="00E71CB7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4C4A4B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6986" w:type="dxa"/>
            <w:gridSpan w:val="4"/>
          </w:tcPr>
          <w:p w:rsidR="00E71CB7" w:rsidRPr="004C4A4B" w:rsidRDefault="004B63E9" w:rsidP="004C4A4B">
            <w:pPr>
              <w:spacing w:before="12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color w:val="262626" w:themeColor="text1" w:themeTint="D9"/>
                <w:sz w:val="22"/>
              </w:rPr>
              <w:t>České vysoké učení technické v Praze</w:t>
            </w:r>
          </w:p>
        </w:tc>
      </w:tr>
      <w:tr w:rsidR="00E71CB7" w:rsidTr="00E667FC">
        <w:trPr>
          <w:trHeight w:val="277"/>
        </w:trPr>
        <w:tc>
          <w:tcPr>
            <w:tcW w:w="2620" w:type="dxa"/>
            <w:gridSpan w:val="2"/>
          </w:tcPr>
          <w:p w:rsidR="00E71CB7" w:rsidRPr="004C4A4B" w:rsidRDefault="00E71CB7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4C4A4B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4C4A4B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4C4A4B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6986" w:type="dxa"/>
            <w:gridSpan w:val="4"/>
          </w:tcPr>
          <w:p w:rsidR="00E71CB7" w:rsidRPr="004C4A4B" w:rsidRDefault="004B63E9" w:rsidP="004C4A4B">
            <w:pPr>
              <w:spacing w:before="12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color w:val="262626" w:themeColor="text1" w:themeTint="D9"/>
                <w:sz w:val="22"/>
              </w:rPr>
              <w:t>CZ.1.05/2.1.00/03.0125</w:t>
            </w:r>
          </w:p>
        </w:tc>
      </w:tr>
      <w:tr w:rsidR="00F74C5F" w:rsidTr="00E667FC">
        <w:trPr>
          <w:trHeight w:val="277"/>
        </w:trPr>
        <w:tc>
          <w:tcPr>
            <w:tcW w:w="2620" w:type="dxa"/>
            <w:gridSpan w:val="2"/>
          </w:tcPr>
          <w:p w:rsidR="00F74C5F" w:rsidRPr="004C4A4B" w:rsidRDefault="00F74C5F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4C4A4B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6986" w:type="dxa"/>
            <w:gridSpan w:val="4"/>
          </w:tcPr>
          <w:p w:rsidR="00F74C5F" w:rsidRPr="004C4A4B" w:rsidRDefault="004B63E9" w:rsidP="004C4A4B">
            <w:pPr>
              <w:spacing w:before="12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Zikova 1903/4, 160 00 Praha</w:t>
            </w:r>
          </w:p>
        </w:tc>
      </w:tr>
      <w:tr w:rsidR="00F74C5F" w:rsidTr="00E667FC">
        <w:trPr>
          <w:trHeight w:val="277"/>
        </w:trPr>
        <w:tc>
          <w:tcPr>
            <w:tcW w:w="2620" w:type="dxa"/>
            <w:gridSpan w:val="2"/>
          </w:tcPr>
          <w:p w:rsidR="00F74C5F" w:rsidRPr="004C4A4B" w:rsidRDefault="00F74C5F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4C4A4B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6986" w:type="dxa"/>
            <w:gridSpan w:val="4"/>
          </w:tcPr>
          <w:p w:rsidR="00F74C5F" w:rsidRPr="004C4A4B" w:rsidRDefault="004B63E9" w:rsidP="004C4A4B">
            <w:pPr>
              <w:spacing w:before="12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2.2 – Regionální VaV centra</w:t>
            </w:r>
          </w:p>
        </w:tc>
      </w:tr>
      <w:tr w:rsidR="00F74C5F" w:rsidTr="00E667FC">
        <w:trPr>
          <w:trHeight w:val="277"/>
        </w:trPr>
        <w:tc>
          <w:tcPr>
            <w:tcW w:w="2620" w:type="dxa"/>
            <w:gridSpan w:val="2"/>
          </w:tcPr>
          <w:p w:rsidR="00F74C5F" w:rsidRPr="004C4A4B" w:rsidRDefault="00F74C5F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4C4A4B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6986" w:type="dxa"/>
            <w:gridSpan w:val="4"/>
          </w:tcPr>
          <w:p w:rsidR="00F74C5F" w:rsidRPr="004C4A4B" w:rsidRDefault="004B63E9" w:rsidP="004C4A4B">
            <w:pPr>
              <w:spacing w:before="12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29. 11. 2010</w:t>
            </w:r>
          </w:p>
        </w:tc>
      </w:tr>
      <w:tr w:rsidR="00F74C5F" w:rsidTr="00E667FC">
        <w:trPr>
          <w:trHeight w:val="623"/>
        </w:trPr>
        <w:tc>
          <w:tcPr>
            <w:tcW w:w="2620" w:type="dxa"/>
            <w:gridSpan w:val="2"/>
          </w:tcPr>
          <w:p w:rsidR="00F74C5F" w:rsidRPr="004C4A4B" w:rsidRDefault="00F74C5F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4C4A4B">
              <w:rPr>
                <w:rFonts w:asciiTheme="minorHAnsi" w:hAnsiTheme="minorHAnsi" w:cstheme="minorHAnsi"/>
                <w:b/>
                <w:sz w:val="22"/>
              </w:rPr>
              <w:t>Období realizace projektu</w:t>
            </w:r>
          </w:p>
        </w:tc>
        <w:tc>
          <w:tcPr>
            <w:tcW w:w="3303" w:type="dxa"/>
            <w:gridSpan w:val="2"/>
          </w:tcPr>
          <w:p w:rsidR="00E20092" w:rsidRPr="004C4A4B" w:rsidRDefault="00E20092" w:rsidP="004C4A4B">
            <w:pPr>
              <w:spacing w:before="120" w:after="60"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F74C5F" w:rsidRPr="004C4A4B" w:rsidRDefault="00F74C5F" w:rsidP="004C4A4B">
            <w:pPr>
              <w:spacing w:before="120" w:after="60"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 xml:space="preserve">Datum zahájení </w:t>
            </w:r>
          </w:p>
          <w:p w:rsidR="00F74C5F" w:rsidRPr="004C4A4B" w:rsidRDefault="00F74C5F" w:rsidP="004C4A4B">
            <w:pPr>
              <w:spacing w:before="120" w:after="60"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realizace projektu:</w:t>
            </w:r>
            <w:r w:rsidR="004B63E9" w:rsidRPr="004C4A4B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4B63E9" w:rsidRPr="004C4A4B">
              <w:rPr>
                <w:rFonts w:asciiTheme="minorHAnsi" w:hAnsiTheme="minorHAnsi" w:cstheme="minorHAnsi"/>
                <w:color w:val="262626" w:themeColor="text1" w:themeTint="D9"/>
                <w:sz w:val="22"/>
              </w:rPr>
              <w:t>01. 01. 2009</w:t>
            </w:r>
          </w:p>
          <w:p w:rsidR="00AA442B" w:rsidRPr="004C4A4B" w:rsidRDefault="00AA442B" w:rsidP="004C4A4B">
            <w:pPr>
              <w:spacing w:before="120" w:after="60"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83" w:type="dxa"/>
            <w:gridSpan w:val="2"/>
          </w:tcPr>
          <w:p w:rsidR="000F0945" w:rsidRPr="004C4A4B" w:rsidRDefault="000F0945" w:rsidP="004C4A4B">
            <w:pPr>
              <w:spacing w:before="120" w:after="0"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F74C5F" w:rsidRPr="004C4A4B" w:rsidRDefault="00F74C5F" w:rsidP="004C4A4B">
            <w:pPr>
              <w:spacing w:before="120" w:after="0"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 xml:space="preserve">Datum ukončení </w:t>
            </w:r>
          </w:p>
          <w:p w:rsidR="00F74C5F" w:rsidRPr="004C4A4B" w:rsidRDefault="00F74C5F" w:rsidP="004C4A4B">
            <w:pPr>
              <w:spacing w:before="120" w:after="0"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realizace projektu</w:t>
            </w:r>
            <w:r w:rsidR="00526313" w:rsidRPr="004C4A4B">
              <w:rPr>
                <w:rFonts w:asciiTheme="minorHAnsi" w:hAnsiTheme="minorHAnsi" w:cstheme="minorHAnsi"/>
                <w:sz w:val="22"/>
              </w:rPr>
              <w:t>:</w:t>
            </w:r>
            <w:r w:rsidR="004B63E9" w:rsidRPr="004C4A4B">
              <w:rPr>
                <w:rFonts w:asciiTheme="minorHAnsi" w:hAnsiTheme="minorHAnsi" w:cstheme="minorHAnsi"/>
                <w:sz w:val="22"/>
              </w:rPr>
              <w:t xml:space="preserve"> 31. 12. 2013</w:t>
            </w:r>
          </w:p>
        </w:tc>
      </w:tr>
      <w:tr w:rsidR="00F74C5F" w:rsidTr="00E667FC">
        <w:trPr>
          <w:trHeight w:val="277"/>
        </w:trPr>
        <w:tc>
          <w:tcPr>
            <w:tcW w:w="2620" w:type="dxa"/>
            <w:gridSpan w:val="2"/>
          </w:tcPr>
          <w:p w:rsidR="00F74C5F" w:rsidRPr="004C4A4B" w:rsidRDefault="00F74C5F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4C4A4B"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303" w:type="dxa"/>
            <w:gridSpan w:val="2"/>
          </w:tcPr>
          <w:p w:rsidR="00526313" w:rsidRPr="004C4A4B" w:rsidRDefault="00526313" w:rsidP="004C4A4B">
            <w:pPr>
              <w:spacing w:before="120" w:after="60"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7A62D7" w:rsidRDefault="00F74C5F" w:rsidP="004A1A77">
            <w:pPr>
              <w:spacing w:before="120" w:after="60"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Celková výše dotace v Kč:</w:t>
            </w:r>
            <w:r w:rsidR="004B63E9" w:rsidRPr="004C4A4B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7A62D7" w:rsidRPr="004C4A4B">
              <w:rPr>
                <w:rFonts w:asciiTheme="minorHAnsi" w:hAnsiTheme="minorHAnsi" w:cstheme="minorHAnsi"/>
                <w:sz w:val="22"/>
              </w:rPr>
              <w:t>(částka z RoPD bez snížení):</w:t>
            </w:r>
          </w:p>
          <w:p w:rsidR="004A1A77" w:rsidRPr="004C4A4B" w:rsidRDefault="004A1A77" w:rsidP="004A1A77">
            <w:pPr>
              <w:spacing w:before="120" w:after="60"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195 667</w:t>
            </w:r>
            <w:r>
              <w:rPr>
                <w:rFonts w:asciiTheme="minorHAnsi" w:hAnsiTheme="minorHAnsi" w:cstheme="minorHAnsi"/>
                <w:sz w:val="22"/>
              </w:rPr>
              <w:t> </w:t>
            </w:r>
            <w:r w:rsidRPr="004C4A4B">
              <w:rPr>
                <w:rFonts w:asciiTheme="minorHAnsi" w:hAnsiTheme="minorHAnsi" w:cstheme="minorHAnsi"/>
                <w:sz w:val="22"/>
              </w:rPr>
              <w:t>200</w:t>
            </w:r>
            <w:r>
              <w:rPr>
                <w:rFonts w:asciiTheme="minorHAnsi" w:hAnsiTheme="minorHAnsi" w:cstheme="minorHAnsi"/>
                <w:sz w:val="22"/>
              </w:rPr>
              <w:t xml:space="preserve"> Kč</w:t>
            </w:r>
          </w:p>
          <w:p w:rsidR="004A1A77" w:rsidRPr="004C4A4B" w:rsidRDefault="004A1A77" w:rsidP="004A1A77">
            <w:pPr>
              <w:spacing w:before="120" w:after="60"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83" w:type="dxa"/>
            <w:gridSpan w:val="2"/>
          </w:tcPr>
          <w:p w:rsidR="00F34368" w:rsidRPr="004C4A4B" w:rsidRDefault="00F34368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Podíl ze státního rozpočtu v CZK (15 %):</w:t>
            </w:r>
          </w:p>
          <w:p w:rsidR="00F34368" w:rsidRPr="004C4A4B" w:rsidRDefault="004B63E9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 xml:space="preserve">29 350 080 </w:t>
            </w:r>
            <w:r w:rsidR="004A3F76">
              <w:rPr>
                <w:rFonts w:asciiTheme="minorHAnsi" w:hAnsiTheme="minorHAnsi" w:cstheme="minorHAnsi"/>
                <w:sz w:val="22"/>
              </w:rPr>
              <w:t>Kč</w:t>
            </w:r>
          </w:p>
          <w:p w:rsidR="00F74C5F" w:rsidRPr="004C4A4B" w:rsidRDefault="00F34368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Podíl z EU v  CZK  (85 %):</w:t>
            </w:r>
          </w:p>
          <w:p w:rsidR="00F34368" w:rsidRPr="004C4A4B" w:rsidRDefault="004B63E9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166 317</w:t>
            </w:r>
            <w:r w:rsidR="004A3F76">
              <w:rPr>
                <w:rFonts w:asciiTheme="minorHAnsi" w:hAnsiTheme="minorHAnsi" w:cstheme="minorHAnsi"/>
                <w:sz w:val="22"/>
              </w:rPr>
              <w:t> </w:t>
            </w:r>
            <w:r w:rsidRPr="004C4A4B">
              <w:rPr>
                <w:rFonts w:asciiTheme="minorHAnsi" w:hAnsiTheme="minorHAnsi" w:cstheme="minorHAnsi"/>
                <w:sz w:val="22"/>
              </w:rPr>
              <w:t>120</w:t>
            </w:r>
            <w:r w:rsidR="004A3F76">
              <w:rPr>
                <w:rFonts w:asciiTheme="minorHAnsi" w:hAnsiTheme="minorHAnsi" w:cstheme="minorHAnsi"/>
                <w:sz w:val="22"/>
              </w:rPr>
              <w:t xml:space="preserve"> Kč</w:t>
            </w:r>
          </w:p>
        </w:tc>
      </w:tr>
      <w:tr w:rsidR="00F34368" w:rsidTr="00E667FC">
        <w:trPr>
          <w:trHeight w:val="277"/>
        </w:trPr>
        <w:tc>
          <w:tcPr>
            <w:tcW w:w="2620" w:type="dxa"/>
            <w:gridSpan w:val="2"/>
          </w:tcPr>
          <w:p w:rsidR="00F34368" w:rsidRPr="004C4A4B" w:rsidRDefault="00F34368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4C4A4B">
              <w:rPr>
                <w:rFonts w:asciiTheme="minorHAnsi" w:hAnsiTheme="minorHAnsi" w:cstheme="minorHAnsi"/>
                <w:b/>
                <w:sz w:val="22"/>
              </w:rPr>
              <w:t>Struktura výdajů</w:t>
            </w:r>
          </w:p>
        </w:tc>
        <w:tc>
          <w:tcPr>
            <w:tcW w:w="6986" w:type="dxa"/>
            <w:gridSpan w:val="4"/>
          </w:tcPr>
          <w:p w:rsidR="00F34368" w:rsidRPr="004C4A4B" w:rsidRDefault="0018459D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Stavební část:</w:t>
            </w:r>
            <w:r w:rsidR="004C4A4B">
              <w:rPr>
                <w:rFonts w:asciiTheme="minorHAnsi" w:hAnsiTheme="minorHAnsi" w:cstheme="minorHAnsi"/>
                <w:sz w:val="22"/>
              </w:rPr>
              <w:t xml:space="preserve"> 0 Kč</w:t>
            </w:r>
          </w:p>
          <w:p w:rsidR="00F34368" w:rsidRPr="004C4A4B" w:rsidRDefault="00F34368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Přístrojové vybavení</w:t>
            </w:r>
            <w:r w:rsidR="0018459D" w:rsidRPr="004C4A4B">
              <w:rPr>
                <w:rFonts w:asciiTheme="minorHAnsi" w:hAnsiTheme="minorHAnsi" w:cstheme="minorHAnsi"/>
                <w:sz w:val="22"/>
              </w:rPr>
              <w:t>:</w:t>
            </w:r>
            <w:r w:rsidR="004C4A4B">
              <w:rPr>
                <w:rFonts w:asciiTheme="minorHAnsi" w:hAnsiTheme="minorHAnsi" w:cstheme="minorHAnsi"/>
                <w:sz w:val="22"/>
              </w:rPr>
              <w:t xml:space="preserve"> 147 600 000 Kč – stroje a přístroje, ostatní vybavení</w:t>
            </w:r>
          </w:p>
          <w:p w:rsidR="00F34368" w:rsidRPr="004C4A4B" w:rsidRDefault="00F34368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Mzdové výdaje</w:t>
            </w:r>
            <w:r w:rsidR="0018459D" w:rsidRPr="004C4A4B">
              <w:rPr>
                <w:rFonts w:asciiTheme="minorHAnsi" w:hAnsiTheme="minorHAnsi" w:cstheme="minorHAnsi"/>
                <w:sz w:val="22"/>
              </w:rPr>
              <w:t>:</w:t>
            </w:r>
            <w:r w:rsidR="004C4A4B">
              <w:rPr>
                <w:rFonts w:asciiTheme="minorHAnsi" w:hAnsiTheme="minorHAnsi" w:cstheme="minorHAnsi"/>
                <w:sz w:val="22"/>
              </w:rPr>
              <w:t xml:space="preserve"> 27 837 200 Kč</w:t>
            </w:r>
          </w:p>
          <w:p w:rsidR="00F34368" w:rsidRPr="004C4A4B" w:rsidRDefault="00F34368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Ostatní</w:t>
            </w:r>
            <w:r w:rsidR="0018459D" w:rsidRPr="004C4A4B">
              <w:rPr>
                <w:rFonts w:asciiTheme="minorHAnsi" w:hAnsiTheme="minorHAnsi" w:cstheme="minorHAnsi"/>
                <w:sz w:val="22"/>
              </w:rPr>
              <w:t>:</w:t>
            </w:r>
            <w:r w:rsidR="004C4A4B">
              <w:rPr>
                <w:rFonts w:asciiTheme="minorHAnsi" w:hAnsiTheme="minorHAnsi" w:cstheme="minorHAnsi"/>
                <w:sz w:val="22"/>
              </w:rPr>
              <w:t xml:space="preserve"> 20 191 687</w:t>
            </w:r>
          </w:p>
        </w:tc>
      </w:tr>
      <w:tr w:rsidR="008353DD" w:rsidTr="00E667FC">
        <w:trPr>
          <w:trHeight w:val="1116"/>
        </w:trPr>
        <w:tc>
          <w:tcPr>
            <w:tcW w:w="2620" w:type="dxa"/>
            <w:gridSpan w:val="2"/>
          </w:tcPr>
          <w:p w:rsidR="008353DD" w:rsidRPr="004C4A4B" w:rsidRDefault="008353DD" w:rsidP="004C4A4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4C4A4B">
              <w:rPr>
                <w:rFonts w:asciiTheme="minorHAnsi" w:hAnsiTheme="minorHAnsi" w:cstheme="minorHAnsi"/>
                <w:b/>
                <w:sz w:val="22"/>
              </w:rPr>
              <w:t>Stručný popis projektu</w:t>
            </w:r>
          </w:p>
          <w:p w:rsidR="008353DD" w:rsidRPr="004C4A4B" w:rsidRDefault="008353DD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(zhruba 250 znaků</w:t>
            </w:r>
            <w:r w:rsidR="00FD3750" w:rsidRPr="004C4A4B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6986" w:type="dxa"/>
            <w:gridSpan w:val="4"/>
          </w:tcPr>
          <w:p w:rsidR="004B63E9" w:rsidRPr="004A1A77" w:rsidRDefault="004B63E9" w:rsidP="004C4A4B">
            <w:pPr>
              <w:pStyle w:val="Odstavecseseznamem"/>
              <w:spacing w:before="120" w:after="120"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4A1A77">
              <w:rPr>
                <w:rFonts w:asciiTheme="minorHAnsi" w:hAnsiTheme="minorHAnsi" w:cstheme="minorHAnsi"/>
              </w:rPr>
              <w:t>Účelem dotace (celkový cílový stav projektu) bylo vybudování Regionálního centra výzkumu a vývoje, které spočívá:</w:t>
            </w:r>
          </w:p>
          <w:p w:rsidR="004B63E9" w:rsidRPr="004A1A77" w:rsidRDefault="004B63E9" w:rsidP="004C4A4B">
            <w:pPr>
              <w:pStyle w:val="Odstavecseseznamem"/>
              <w:numPr>
                <w:ilvl w:val="0"/>
                <w:numId w:val="24"/>
              </w:numPr>
              <w:spacing w:before="120" w:after="120" w:line="240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4A1A77">
              <w:rPr>
                <w:rFonts w:asciiTheme="minorHAnsi" w:hAnsiTheme="minorHAnsi" w:cstheme="minorHAnsi"/>
              </w:rPr>
              <w:t xml:space="preserve">v zajištění prostor, nezbytných k realizaci výzkumných programů, jinou formou než výstavbou či rekonstrukcí budovy/budov, </w:t>
            </w:r>
          </w:p>
          <w:p w:rsidR="004B63E9" w:rsidRPr="004A1A77" w:rsidRDefault="004B63E9" w:rsidP="004C4A4B">
            <w:pPr>
              <w:pStyle w:val="Odstavecseseznamem"/>
              <w:numPr>
                <w:ilvl w:val="0"/>
                <w:numId w:val="24"/>
              </w:numPr>
              <w:spacing w:before="120" w:after="120" w:line="240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4A1A77">
              <w:rPr>
                <w:rFonts w:asciiTheme="minorHAnsi" w:hAnsiTheme="minorHAnsi" w:cstheme="minorHAnsi"/>
              </w:rPr>
              <w:t>v pořízení přístrojového a infrastrukturního vybavení nezbytného k realizaci výzkumných programů,</w:t>
            </w:r>
          </w:p>
          <w:p w:rsidR="004B63E9" w:rsidRPr="004A1A77" w:rsidRDefault="004B63E9" w:rsidP="004C4A4B">
            <w:pPr>
              <w:pStyle w:val="Odstavecseseznamem"/>
              <w:numPr>
                <w:ilvl w:val="0"/>
                <w:numId w:val="24"/>
              </w:numPr>
              <w:spacing w:before="120" w:after="120" w:line="240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4A1A77">
              <w:rPr>
                <w:rFonts w:asciiTheme="minorHAnsi" w:hAnsiTheme="minorHAnsi" w:cstheme="minorHAnsi"/>
              </w:rPr>
              <w:t>v personálním obsazení centra nezbytném k realizaci výzkumných programů,</w:t>
            </w:r>
          </w:p>
          <w:p w:rsidR="004B63E9" w:rsidRPr="004A1A77" w:rsidRDefault="004B63E9" w:rsidP="004C4A4B">
            <w:pPr>
              <w:pStyle w:val="Odstavecseseznamem"/>
              <w:numPr>
                <w:ilvl w:val="0"/>
                <w:numId w:val="24"/>
              </w:numPr>
              <w:spacing w:before="120" w:after="120" w:line="240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4A1A77">
              <w:rPr>
                <w:rFonts w:asciiTheme="minorHAnsi" w:hAnsiTheme="minorHAnsi" w:cstheme="minorHAnsi"/>
              </w:rPr>
              <w:t>v zahájení realizace výzkumných programů.</w:t>
            </w:r>
          </w:p>
          <w:p w:rsidR="004B63E9" w:rsidRPr="004A1A77" w:rsidRDefault="004B63E9" w:rsidP="004C4A4B">
            <w:pPr>
              <w:pStyle w:val="Odstavecseseznamem"/>
              <w:spacing w:before="120" w:after="120"/>
              <w:ind w:left="0"/>
              <w:jc w:val="both"/>
              <w:rPr>
                <w:rFonts w:asciiTheme="minorHAnsi" w:hAnsiTheme="minorHAnsi" w:cstheme="minorHAnsi"/>
              </w:rPr>
            </w:pPr>
          </w:p>
          <w:p w:rsidR="004B63E9" w:rsidRPr="004A1A77" w:rsidRDefault="004B63E9" w:rsidP="004C4A4B">
            <w:pPr>
              <w:pStyle w:val="Odstavecseseznamem"/>
              <w:spacing w:before="120" w:after="120"/>
              <w:ind w:left="0"/>
              <w:jc w:val="both"/>
              <w:rPr>
                <w:rFonts w:asciiTheme="minorHAnsi" w:hAnsiTheme="minorHAnsi" w:cstheme="minorHAnsi"/>
              </w:rPr>
            </w:pPr>
            <w:r w:rsidRPr="004A1A77">
              <w:rPr>
                <w:rFonts w:asciiTheme="minorHAnsi" w:hAnsiTheme="minorHAnsi" w:cstheme="minorHAnsi"/>
              </w:rPr>
              <w:t>Specifickými cíli bylo:</w:t>
            </w:r>
          </w:p>
          <w:p w:rsidR="008353DD" w:rsidRPr="004C4A4B" w:rsidRDefault="004B63E9" w:rsidP="004A1A77">
            <w:pPr>
              <w:spacing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  <w:r w:rsidRPr="004A1A77">
              <w:rPr>
                <w:rFonts w:asciiTheme="minorHAnsi" w:hAnsiTheme="minorHAnsi" w:cstheme="minorHAnsi"/>
                <w:sz w:val="22"/>
              </w:rPr>
              <w:t xml:space="preserve">Hlavním cílem projektu je dále zvýšit úroveň aplikované výzkumné činnosti pro automobilový průmysl prostřednictvím nově vybudovaného výzkumného centra na evropskou špičku pomocí koncentrace mozků i špičkového vybavení. </w:t>
            </w:r>
          </w:p>
        </w:tc>
      </w:tr>
      <w:tr w:rsidR="00526313" w:rsidTr="00E667FC">
        <w:trPr>
          <w:trHeight w:val="277"/>
        </w:trPr>
        <w:tc>
          <w:tcPr>
            <w:tcW w:w="2620" w:type="dxa"/>
            <w:gridSpan w:val="2"/>
          </w:tcPr>
          <w:p w:rsidR="00526313" w:rsidRPr="004C4A4B" w:rsidRDefault="00526313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4C4A4B">
              <w:rPr>
                <w:rFonts w:asciiTheme="minorHAnsi" w:hAnsiTheme="minorHAnsi" w:cstheme="minorHAnsi"/>
                <w:b/>
                <w:sz w:val="22"/>
              </w:rPr>
              <w:t xml:space="preserve">Zahájení / ukončení stavby / rekonstrukce </w:t>
            </w:r>
            <w:r w:rsidRPr="004C4A4B">
              <w:rPr>
                <w:rFonts w:asciiTheme="minorHAnsi" w:hAnsiTheme="minorHAnsi" w:cstheme="minorHAnsi"/>
                <w:sz w:val="22"/>
              </w:rPr>
              <w:t>(pokud je relevantní)</w:t>
            </w:r>
          </w:p>
        </w:tc>
        <w:tc>
          <w:tcPr>
            <w:tcW w:w="3303" w:type="dxa"/>
            <w:gridSpan w:val="2"/>
          </w:tcPr>
          <w:p w:rsidR="00526313" w:rsidRPr="004C4A4B" w:rsidRDefault="00526313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Datum</w:t>
            </w:r>
            <w:r w:rsidR="00002DBE" w:rsidRPr="004C4A4B">
              <w:rPr>
                <w:rFonts w:asciiTheme="minorHAnsi" w:hAnsiTheme="minorHAnsi" w:cstheme="minorHAnsi"/>
                <w:sz w:val="22"/>
              </w:rPr>
              <w:t>:</w:t>
            </w:r>
          </w:p>
          <w:p w:rsidR="004B63E9" w:rsidRPr="004C4A4B" w:rsidRDefault="004B63E9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NR – projekt je v nájmu</w:t>
            </w:r>
          </w:p>
        </w:tc>
        <w:tc>
          <w:tcPr>
            <w:tcW w:w="3683" w:type="dxa"/>
            <w:gridSpan w:val="2"/>
          </w:tcPr>
          <w:p w:rsidR="00526313" w:rsidRPr="004C4A4B" w:rsidRDefault="00002DBE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Generální dodavatel:</w:t>
            </w:r>
          </w:p>
          <w:p w:rsidR="004B63E9" w:rsidRPr="004C4A4B" w:rsidRDefault="004B63E9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NR – projekt je v nájmu</w:t>
            </w:r>
          </w:p>
        </w:tc>
      </w:tr>
      <w:tr w:rsidR="008353DD" w:rsidTr="00E667FC">
        <w:trPr>
          <w:trHeight w:val="1290"/>
        </w:trPr>
        <w:tc>
          <w:tcPr>
            <w:tcW w:w="2620" w:type="dxa"/>
            <w:gridSpan w:val="2"/>
          </w:tcPr>
          <w:p w:rsidR="008353DD" w:rsidRPr="004C4A4B" w:rsidRDefault="00737A93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4C4A4B">
              <w:rPr>
                <w:rFonts w:asciiTheme="minorHAnsi" w:hAnsiTheme="minorHAnsi" w:cstheme="minorHAnsi"/>
                <w:b/>
                <w:sz w:val="22"/>
              </w:rPr>
              <w:lastRenderedPageBreak/>
              <w:t>Výstupy projektu</w:t>
            </w:r>
            <w:r w:rsidR="00FD3750" w:rsidRPr="004C4A4B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FD3750" w:rsidRPr="004C4A4B">
              <w:rPr>
                <w:rFonts w:asciiTheme="minorHAnsi" w:hAnsiTheme="minorHAnsi" w:cstheme="minorHAnsi"/>
                <w:sz w:val="22"/>
              </w:rPr>
              <w:t>(popis hlavních dosažených výstupů včetně uvedení závazných monitorovacích indikátorů v době ukončení projektu plán/skutečnost a plán na rok 2015)</w:t>
            </w:r>
          </w:p>
        </w:tc>
        <w:tc>
          <w:tcPr>
            <w:tcW w:w="6986" w:type="dxa"/>
            <w:gridSpan w:val="4"/>
          </w:tcPr>
          <w:p w:rsidR="004B63E9" w:rsidRPr="004C4A4B" w:rsidRDefault="004B63E9" w:rsidP="004C4A4B">
            <w:pPr>
              <w:pStyle w:val="Odstavecseseznamem1"/>
              <w:ind w:left="0"/>
              <w:jc w:val="both"/>
              <w:rPr>
                <w:rFonts w:asciiTheme="minorHAnsi" w:hAnsiTheme="minorHAnsi" w:cstheme="minorHAnsi"/>
                <w:b/>
              </w:rPr>
            </w:pPr>
            <w:r w:rsidRPr="004C4A4B">
              <w:rPr>
                <w:rFonts w:asciiTheme="minorHAnsi" w:hAnsiTheme="minorHAnsi" w:cstheme="minorHAnsi"/>
                <w:b/>
              </w:rPr>
              <w:t>Milníky:</w:t>
            </w:r>
          </w:p>
          <w:p w:rsidR="004B63E9" w:rsidRPr="004C4A4B" w:rsidRDefault="004B63E9" w:rsidP="004C4A4B">
            <w:pPr>
              <w:pStyle w:val="Odstavecseseznamem1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4C4A4B">
              <w:rPr>
                <w:rFonts w:asciiTheme="minorHAnsi" w:hAnsiTheme="minorHAnsi" w:cstheme="minorHAnsi"/>
              </w:rPr>
              <w:t>M1 Uzavření výběrových řízení na těžké investice - III/2011.</w:t>
            </w:r>
          </w:p>
          <w:p w:rsidR="004B63E9" w:rsidRPr="004C4A4B" w:rsidRDefault="004B63E9" w:rsidP="004C4A4B">
            <w:pPr>
              <w:pStyle w:val="Odstavecseseznamem1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4C4A4B">
              <w:rPr>
                <w:rFonts w:asciiTheme="minorHAnsi" w:hAnsiTheme="minorHAnsi" w:cstheme="minorHAnsi"/>
              </w:rPr>
              <w:t>M2 Předběžné schválení budovy pro zkušební provoz - III/2011.</w:t>
            </w:r>
          </w:p>
          <w:p w:rsidR="004B63E9" w:rsidRPr="004C4A4B" w:rsidRDefault="004B63E9" w:rsidP="004C4A4B">
            <w:pPr>
              <w:pStyle w:val="Odstavecseseznamem1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4C4A4B">
              <w:rPr>
                <w:rFonts w:asciiTheme="minorHAnsi" w:hAnsiTheme="minorHAnsi" w:cstheme="minorHAnsi"/>
              </w:rPr>
              <w:t>M3 Kolaudace budovy a její technologie stavěné v rámci synergického projektu - IV/2011.</w:t>
            </w:r>
          </w:p>
          <w:p w:rsidR="004B63E9" w:rsidRPr="004C4A4B" w:rsidRDefault="004B63E9" w:rsidP="004C4A4B">
            <w:pPr>
              <w:pStyle w:val="Odstavecseseznamem1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4C4A4B">
              <w:rPr>
                <w:rFonts w:asciiTheme="minorHAnsi" w:hAnsiTheme="minorHAnsi" w:cstheme="minorHAnsi"/>
              </w:rPr>
              <w:t>M4 Dodání rozměrného investičního vybavení s přímou návazností na infrastrukturu budovy - I/2012.</w:t>
            </w:r>
          </w:p>
          <w:p w:rsidR="004B63E9" w:rsidRPr="004C4A4B" w:rsidRDefault="004B63E9" w:rsidP="004C4A4B">
            <w:pPr>
              <w:pStyle w:val="Odstavecseseznamem1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4C4A4B">
              <w:rPr>
                <w:rFonts w:asciiTheme="minorHAnsi" w:hAnsiTheme="minorHAnsi" w:cstheme="minorHAnsi"/>
              </w:rPr>
              <w:t>M5 Uvedení 4 pracovišť (2 motorová stanoviště, 2 převodová stanoviště – mechanické a elektrické) do zkušebního provozu - II/2012.</w:t>
            </w:r>
          </w:p>
          <w:p w:rsidR="004B63E9" w:rsidRPr="004C4A4B" w:rsidRDefault="004B63E9" w:rsidP="004C4A4B">
            <w:pPr>
              <w:pStyle w:val="Odstavecseseznamem1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4C4A4B">
              <w:rPr>
                <w:rFonts w:asciiTheme="minorHAnsi" w:hAnsiTheme="minorHAnsi" w:cstheme="minorHAnsi"/>
              </w:rPr>
              <w:t>M6 Uvedení 2 motorových stanovišť, vozového dynamometru, elektrického přenosového stanoviště, mechatronických a mikroelektronických pracovišť do zkušebního provozu a ukončení základní investiční etapy - III/2012.</w:t>
            </w:r>
          </w:p>
          <w:p w:rsidR="004B63E9" w:rsidRPr="004C4A4B" w:rsidRDefault="004B63E9" w:rsidP="004C4A4B">
            <w:pPr>
              <w:pStyle w:val="Odstavecseseznamem1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4C4A4B">
              <w:rPr>
                <w:rFonts w:asciiTheme="minorHAnsi" w:hAnsiTheme="minorHAnsi" w:cstheme="minorHAnsi"/>
              </w:rPr>
              <w:t>M7 Uzavření výběrových řízení na ostatní investice - III/2012.</w:t>
            </w:r>
          </w:p>
          <w:p w:rsidR="004B63E9" w:rsidRPr="004C4A4B" w:rsidRDefault="004B63E9" w:rsidP="004C4A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M8 Montáž a zprovoznění základu simulačního centra - IV/2012.</w:t>
            </w:r>
          </w:p>
          <w:p w:rsidR="004B63E9" w:rsidRPr="004C4A4B" w:rsidRDefault="004B63E9" w:rsidP="004C4A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4B63E9" w:rsidRPr="004C4A4B" w:rsidRDefault="004B63E9" w:rsidP="004C4A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M9 Dílčí výstupy programů 1-4, tj. výpočetní prostředky kombinované experimentálně-simulační optimalizace spalovacích motorů, mechanických převodů a elektrických i hybridních přenosů výkonu. 16 publikací, 7 ks autorizovaný software - do IV/2012.</w:t>
            </w:r>
          </w:p>
          <w:p w:rsidR="004B63E9" w:rsidRPr="004C4A4B" w:rsidRDefault="004B63E9" w:rsidP="004C4A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4B63E9" w:rsidRPr="004C4A4B" w:rsidRDefault="004B63E9" w:rsidP="004C4A4B">
            <w:pPr>
              <w:pStyle w:val="Odstavecseseznamem1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4C4A4B">
              <w:rPr>
                <w:rFonts w:asciiTheme="minorHAnsi" w:hAnsiTheme="minorHAnsi" w:cstheme="minorHAnsi"/>
              </w:rPr>
              <w:t xml:space="preserve">M10 Výstupy programů 1-4, tj. nalezení použitelné koncepce spalování, výměny náplně válce </w:t>
            </w:r>
            <w:r w:rsidRPr="004C4A4B">
              <w:rPr>
                <w:rFonts w:asciiTheme="minorHAnsi" w:hAnsiTheme="minorHAnsi" w:cstheme="minorHAnsi"/>
              </w:rPr>
              <w:br/>
              <w:t xml:space="preserve">a přeplňování budoucích motorů z hlediska alternativních paliv, ekonomiky provozu, emisí CO2 </w:t>
            </w:r>
            <w:r w:rsidRPr="004C4A4B">
              <w:rPr>
                <w:rFonts w:asciiTheme="minorHAnsi" w:hAnsiTheme="minorHAnsi" w:cstheme="minorHAnsi"/>
              </w:rPr>
              <w:br/>
              <w:t xml:space="preserve">a zdraví škodlivých emisí na základě experimentů a simulací pro očekávané snížení měrné spotřeby paliva proti situaci u menších motorů až o 5% při dodržení podmínek EURO 6, nalezení použitelné koncepce mechanického převodu s hybridizací, zapojení distribuovaných zdrojů výkonu včetně palivových článků a akumulátorů/kondenzátorů elektrické i mechanické energie a návrh funkčního vzoru elektrického hybridního pohonu pro malá vozidla s možnou úsporou dráhové spotřeby paliva až o 5%, prediktivní a adaptivní regulátor pro motor/pohon a pohon/vozidlo s možnou úsporou dráhové spotřeby paliva 5%, zařízení pro technologie X-by-Wire. 15 publikací, 7 realizovaných výsledků, </w:t>
            </w:r>
            <w:r w:rsidRPr="004C4A4B">
              <w:rPr>
                <w:rFonts w:asciiTheme="minorHAnsi" w:hAnsiTheme="minorHAnsi" w:cstheme="minorHAnsi"/>
              </w:rPr>
              <w:br/>
              <w:t>2 patenty  - IV/2013.</w:t>
            </w:r>
          </w:p>
          <w:p w:rsidR="004B63E9" w:rsidRPr="004C4A4B" w:rsidRDefault="004B63E9" w:rsidP="004C4A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4C4A4B">
              <w:rPr>
                <w:rFonts w:asciiTheme="minorHAnsi" w:hAnsiTheme="minorHAnsi" w:cstheme="minorHAnsi"/>
                <w:b/>
                <w:sz w:val="22"/>
              </w:rPr>
              <w:t>Výstupy:</w:t>
            </w:r>
          </w:p>
          <w:p w:rsidR="004B63E9" w:rsidRPr="004C4A4B" w:rsidRDefault="004B63E9" w:rsidP="004C4A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 xml:space="preserve">1. Kompletně vybavené výzkumné centrum „Centrum vozidel udržitelné mobility“, uvedené do rutinního provozu. Toto výzkumné centrum se bude skládat ze 4 stanovišť pro zkoušení motorů nebo elektrických pohonových systémů, 2 stanovišť pro pohonové agregáty mechanické a elektrické </w:t>
            </w:r>
            <w:r w:rsidRPr="004C4A4B">
              <w:rPr>
                <w:rFonts w:asciiTheme="minorHAnsi" w:hAnsiTheme="minorHAnsi" w:cstheme="minorHAnsi"/>
                <w:sz w:val="22"/>
              </w:rPr>
              <w:br/>
              <w:t xml:space="preserve">a 1 pracoviště pro programovatelné zatěžování při předepsaných otáčkách a plnou simulaci reálného provozu vozidla s ohledem na emise, účinnost a řízení při zachování opakovatelnosti výsledku (vozový dynamometr s příslušenstvím). Dále jde o simulační pracoviště s výkonným serverem a databázovým vybavením. Dohromady bude pořízeno 45 dílčích technologií </w:t>
            </w:r>
            <w:r w:rsidRPr="004C4A4B">
              <w:rPr>
                <w:rFonts w:asciiTheme="minorHAnsi" w:hAnsiTheme="minorHAnsi" w:cstheme="minorHAnsi"/>
                <w:sz w:val="22"/>
              </w:rPr>
              <w:lastRenderedPageBreak/>
              <w:t xml:space="preserve">- do IV/2012. </w:t>
            </w:r>
          </w:p>
          <w:p w:rsidR="004B63E9" w:rsidRPr="004C4A4B" w:rsidRDefault="004B63E9" w:rsidP="004C4A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2. Výpočetní prostředky kombinované experimentálně-simulační optimalizace spalovacích motorů, mechanických převodů a elektrických i hybridních přenosů výkonu. 16 publikací, 7 ks autorizovaných software - do IV/2012.</w:t>
            </w:r>
          </w:p>
          <w:p w:rsidR="004B63E9" w:rsidRPr="004C4A4B" w:rsidRDefault="004B63E9" w:rsidP="004C4A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 xml:space="preserve">3. Výpočetní optimalizační prostředky a realizace použitelné koncepce spalování, výměny náplně válce a přeplňování budoucích motorů z hlediska alternativních paliv, ekonomiky provozu, emisí CO2 a zdraví škodlivých emisí na základě experimentů a simulací pro očekávané snížení měrné spotřeby paliva na vnější charakteristice proti situaci u menších motorů o 5% při dodržení podmínek EURO 6. </w:t>
            </w:r>
            <w:r w:rsidRPr="004C4A4B">
              <w:rPr>
                <w:rFonts w:asciiTheme="minorHAnsi" w:hAnsiTheme="minorHAnsi" w:cstheme="minorHAnsi"/>
                <w:sz w:val="22"/>
              </w:rPr>
              <w:br/>
              <w:t>7 publikací, 4 autorizované softwarové produkty, 1 patent, 1 užitný vzor - do IV/2013.</w:t>
            </w:r>
          </w:p>
          <w:p w:rsidR="004B63E9" w:rsidRPr="004C4A4B" w:rsidRDefault="004B63E9" w:rsidP="004C4A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 xml:space="preserve">4. Výpočetní optimalizační prostředky a realizace použitelné koncepce mechanického převodu s hybridizací pro očekávané snížení dráhové spotřeby paliva proti situaci u menších motorů o 5%. </w:t>
            </w:r>
            <w:r w:rsidRPr="004C4A4B">
              <w:rPr>
                <w:rFonts w:asciiTheme="minorHAnsi" w:hAnsiTheme="minorHAnsi" w:cstheme="minorHAnsi"/>
                <w:sz w:val="22"/>
              </w:rPr>
              <w:br/>
              <w:t>3 publikace, 1 funkční vzor, 1 patent/užitný vzor, 1 autorizovaný softwarový produkt - do IV/2013.</w:t>
            </w:r>
          </w:p>
          <w:p w:rsidR="004B63E9" w:rsidRPr="004C4A4B" w:rsidRDefault="004B63E9" w:rsidP="004C4A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4B63E9" w:rsidRPr="004C4A4B" w:rsidRDefault="004B63E9" w:rsidP="004C4A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5. Prediktivní a adaptivní regulátor pro motor/pohon a pohon/vozidlo, založený na nelineárních systémech o hierarchické struktuře včetně interakce s dopravní infrastrukturou – funkční vzorek. Testovací zařízení pro vozidlové sítě, systémy X-by-Wire, diagnostiku elektrické výbavy vozidel – funkční vzorky. 3 publikace, 1 patent/užitný vzor, 1 autorizovaný software – IV/2013.</w:t>
            </w:r>
          </w:p>
          <w:p w:rsidR="004B63E9" w:rsidRPr="004C4A4B" w:rsidRDefault="004B63E9" w:rsidP="004C4A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6. Prostředky pro návrh a optimalizaci zapojení distribuovaných zdrojů výkonu, tj. spalovacích motorů včetně palivových článků a akumulátorů/kondenzátorů elektrické i mechanické energie a návrh funkčního vzoru elektrického hybridního pohonu pro malá vozidla IV/2013. Prověření možnosti snížení dráhové spotřeby paliva nejméně o 5% u malých jednotek. 2 publikace, 1 autorizovaný software, 1 funkční vzor - do IV/2013.</w:t>
            </w:r>
          </w:p>
          <w:p w:rsidR="008353DD" w:rsidRDefault="008353DD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4A1A77" w:rsidRPr="004A1A77" w:rsidRDefault="004A1A77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4A1A77">
              <w:rPr>
                <w:rFonts w:asciiTheme="minorHAnsi" w:hAnsiTheme="minorHAnsi" w:cstheme="minorHAnsi"/>
                <w:b/>
                <w:sz w:val="22"/>
              </w:rPr>
              <w:t>Monitorovací indikátory: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1727"/>
              <w:gridCol w:w="1178"/>
              <w:gridCol w:w="1496"/>
              <w:gridCol w:w="847"/>
              <w:gridCol w:w="1512"/>
            </w:tblGrid>
            <w:tr w:rsidR="004B63E9" w:rsidRPr="004C4A4B" w:rsidTr="00152587">
              <w:tc>
                <w:tcPr>
                  <w:tcW w:w="1857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Číslo a název indikátoru</w:t>
                  </w:r>
                </w:p>
              </w:tc>
              <w:tc>
                <w:tcPr>
                  <w:tcW w:w="1760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Plánovaná hodnota k datu ukončení realizace projektu – k 31. 12.2013</w:t>
                  </w:r>
                </w:p>
              </w:tc>
              <w:tc>
                <w:tcPr>
                  <w:tcW w:w="195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Skutečně dosažená hodnota k datu ukončení realizace projektu (uznaná hodnota před případnou oponenturou)</w:t>
                  </w:r>
                </w:p>
              </w:tc>
              <w:tc>
                <w:tcPr>
                  <w:tcW w:w="1505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4C4A4B">
                    <w:rPr>
                      <w:rFonts w:asciiTheme="minorHAnsi" w:hAnsiTheme="minorHAnsi" w:cstheme="minorHAnsi"/>
                      <w:b/>
                    </w:rPr>
                    <w:t>Plán a realita -  k 31. 12. 2013</w:t>
                  </w:r>
                </w:p>
              </w:tc>
              <w:tc>
                <w:tcPr>
                  <w:tcW w:w="194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Plánovaná hodnota v udržitelnosti – k 31. 12. 2015</w:t>
                  </w:r>
                </w:p>
              </w:tc>
            </w:tr>
            <w:tr w:rsidR="004B63E9" w:rsidRPr="004C4A4B" w:rsidTr="00152587">
              <w:tc>
                <w:tcPr>
                  <w:tcW w:w="1857" w:type="dxa"/>
                </w:tcPr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110502</w:t>
                  </w:r>
                </w:p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Odborné publikace (dle metodiky RVV)</w:t>
                  </w:r>
                </w:p>
              </w:tc>
              <w:tc>
                <w:tcPr>
                  <w:tcW w:w="1760" w:type="dxa"/>
                </w:tcPr>
                <w:p w:rsidR="004B63E9" w:rsidRPr="004C4A4B" w:rsidRDefault="004B63E9" w:rsidP="004C4A4B">
                  <w:pPr>
                    <w:spacing w:after="0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85</w:t>
                  </w:r>
                </w:p>
              </w:tc>
              <w:tc>
                <w:tcPr>
                  <w:tcW w:w="195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97</w:t>
                  </w:r>
                </w:p>
              </w:tc>
              <w:tc>
                <w:tcPr>
                  <w:tcW w:w="1505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D0D0D" w:themeColor="text1" w:themeTint="F2"/>
                    </w:rPr>
                  </w:pPr>
                  <w:r w:rsidRPr="004C4A4B">
                    <w:rPr>
                      <w:rFonts w:asciiTheme="minorHAnsi" w:hAnsiTheme="minorHAnsi" w:cstheme="minorHAnsi"/>
                      <w:b/>
                      <w:color w:val="0D0D0D" w:themeColor="text1" w:themeTint="F2"/>
                    </w:rPr>
                    <w:t>114 %</w:t>
                  </w:r>
                </w:p>
              </w:tc>
              <w:tc>
                <w:tcPr>
                  <w:tcW w:w="194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168</w:t>
                  </w:r>
                </w:p>
              </w:tc>
            </w:tr>
            <w:tr w:rsidR="004B63E9" w:rsidRPr="004C4A4B" w:rsidTr="00152587">
              <w:tc>
                <w:tcPr>
                  <w:tcW w:w="1857" w:type="dxa"/>
                </w:tcPr>
                <w:p w:rsidR="004B63E9" w:rsidRPr="004A3F76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0D0D0D" w:themeColor="text1" w:themeTint="F2"/>
                      <w:sz w:val="22"/>
                    </w:rPr>
                  </w:pPr>
                  <w:r w:rsidRPr="004A3F76">
                    <w:rPr>
                      <w:rFonts w:asciiTheme="minorHAnsi" w:hAnsiTheme="minorHAnsi" w:cstheme="minorHAnsi"/>
                      <w:color w:val="0D0D0D" w:themeColor="text1" w:themeTint="F2"/>
                      <w:sz w:val="22"/>
                    </w:rPr>
                    <w:t>110503</w:t>
                  </w:r>
                </w:p>
                <w:p w:rsidR="004B63E9" w:rsidRPr="004A3F76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0D0D0D" w:themeColor="text1" w:themeTint="F2"/>
                      <w:sz w:val="22"/>
                    </w:rPr>
                  </w:pPr>
                  <w:r w:rsidRPr="004A3F76">
                    <w:rPr>
                      <w:rFonts w:asciiTheme="minorHAnsi" w:hAnsiTheme="minorHAnsi" w:cstheme="minorHAnsi"/>
                      <w:color w:val="0D0D0D" w:themeColor="text1" w:themeTint="F2"/>
                      <w:sz w:val="22"/>
                    </w:rPr>
                    <w:t xml:space="preserve">Výsledky </w:t>
                  </w:r>
                  <w:r w:rsidRPr="004A3F76">
                    <w:rPr>
                      <w:rFonts w:asciiTheme="minorHAnsi" w:hAnsiTheme="minorHAnsi" w:cstheme="minorHAnsi"/>
                      <w:color w:val="0D0D0D" w:themeColor="text1" w:themeTint="F2"/>
                      <w:sz w:val="22"/>
                    </w:rPr>
                    <w:lastRenderedPageBreak/>
                    <w:t>výzkumu chráněné na základě zvláštního právního předpisu (dle metodiky RVV)</w:t>
                  </w:r>
                </w:p>
              </w:tc>
              <w:tc>
                <w:tcPr>
                  <w:tcW w:w="1760" w:type="dxa"/>
                </w:tcPr>
                <w:p w:rsidR="004B63E9" w:rsidRPr="004A3F76" w:rsidRDefault="004B63E9" w:rsidP="004C4A4B">
                  <w:pPr>
                    <w:spacing w:after="0"/>
                    <w:ind w:right="57"/>
                    <w:jc w:val="both"/>
                    <w:rPr>
                      <w:rFonts w:asciiTheme="minorHAnsi" w:hAnsiTheme="minorHAnsi" w:cstheme="minorHAnsi"/>
                      <w:color w:val="0D0D0D" w:themeColor="text1" w:themeTint="F2"/>
                      <w:sz w:val="22"/>
                    </w:rPr>
                  </w:pPr>
                  <w:r w:rsidRPr="004A3F76">
                    <w:rPr>
                      <w:rFonts w:asciiTheme="minorHAnsi" w:hAnsiTheme="minorHAnsi" w:cstheme="minorHAnsi"/>
                      <w:color w:val="0D0D0D" w:themeColor="text1" w:themeTint="F2"/>
                      <w:sz w:val="22"/>
                    </w:rPr>
                    <w:lastRenderedPageBreak/>
                    <w:t>3</w:t>
                  </w:r>
                </w:p>
              </w:tc>
              <w:tc>
                <w:tcPr>
                  <w:tcW w:w="1952" w:type="dxa"/>
                </w:tcPr>
                <w:p w:rsidR="004B63E9" w:rsidRPr="004A3F76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color w:val="0D0D0D" w:themeColor="text1" w:themeTint="F2"/>
                    </w:rPr>
                  </w:pPr>
                  <w:r w:rsidRPr="004A3F76">
                    <w:rPr>
                      <w:rFonts w:asciiTheme="minorHAnsi" w:hAnsiTheme="minorHAnsi" w:cstheme="minorHAnsi"/>
                      <w:color w:val="0D0D0D" w:themeColor="text1" w:themeTint="F2"/>
                    </w:rPr>
                    <w:t>2</w:t>
                  </w:r>
                </w:p>
              </w:tc>
              <w:tc>
                <w:tcPr>
                  <w:tcW w:w="1505" w:type="dxa"/>
                </w:tcPr>
                <w:p w:rsidR="004B63E9" w:rsidRPr="004A3F76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D0D0D" w:themeColor="text1" w:themeTint="F2"/>
                    </w:rPr>
                  </w:pPr>
                  <w:r w:rsidRPr="004A3F76">
                    <w:rPr>
                      <w:rFonts w:asciiTheme="minorHAnsi" w:hAnsiTheme="minorHAnsi" w:cstheme="minorHAnsi"/>
                      <w:b/>
                      <w:color w:val="0D0D0D" w:themeColor="text1" w:themeTint="F2"/>
                    </w:rPr>
                    <w:t>67 %</w:t>
                  </w:r>
                </w:p>
              </w:tc>
              <w:tc>
                <w:tcPr>
                  <w:tcW w:w="1942" w:type="dxa"/>
                </w:tcPr>
                <w:p w:rsidR="004B63E9" w:rsidRPr="004A3F76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color w:val="0D0D0D" w:themeColor="text1" w:themeTint="F2"/>
                    </w:rPr>
                  </w:pPr>
                  <w:r w:rsidRPr="004A3F76">
                    <w:rPr>
                      <w:rFonts w:asciiTheme="minorHAnsi" w:hAnsiTheme="minorHAnsi" w:cstheme="minorHAnsi"/>
                      <w:color w:val="0D0D0D" w:themeColor="text1" w:themeTint="F2"/>
                    </w:rPr>
                    <w:t>7</w:t>
                  </w:r>
                </w:p>
              </w:tc>
            </w:tr>
            <w:tr w:rsidR="004B63E9" w:rsidRPr="004C4A4B" w:rsidTr="00152587">
              <w:tc>
                <w:tcPr>
                  <w:tcW w:w="1857" w:type="dxa"/>
                </w:tcPr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lastRenderedPageBreak/>
                    <w:t>110504</w:t>
                  </w:r>
                </w:p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Aplikované výsledky výzkumu (dle metodiky RVV)</w:t>
                  </w:r>
                </w:p>
              </w:tc>
              <w:tc>
                <w:tcPr>
                  <w:tcW w:w="1760" w:type="dxa"/>
                </w:tcPr>
                <w:p w:rsidR="004B63E9" w:rsidRPr="004C4A4B" w:rsidRDefault="004B63E9" w:rsidP="004C4A4B">
                  <w:pPr>
                    <w:spacing w:after="0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14</w:t>
                  </w:r>
                </w:p>
              </w:tc>
              <w:tc>
                <w:tcPr>
                  <w:tcW w:w="195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59</w:t>
                  </w:r>
                </w:p>
              </w:tc>
              <w:tc>
                <w:tcPr>
                  <w:tcW w:w="1505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4C4A4B">
                    <w:rPr>
                      <w:rFonts w:asciiTheme="minorHAnsi" w:hAnsiTheme="minorHAnsi" w:cstheme="minorHAnsi"/>
                      <w:b/>
                    </w:rPr>
                    <w:t>421 %</w:t>
                  </w:r>
                </w:p>
              </w:tc>
              <w:tc>
                <w:tcPr>
                  <w:tcW w:w="194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28</w:t>
                  </w:r>
                </w:p>
              </w:tc>
            </w:tr>
            <w:tr w:rsidR="004B63E9" w:rsidRPr="004C4A4B" w:rsidTr="00152587">
              <w:tc>
                <w:tcPr>
                  <w:tcW w:w="1857" w:type="dxa"/>
                </w:tcPr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111200</w:t>
                  </w:r>
                </w:p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Objem smluvního výzkumu (Kč)</w:t>
                  </w:r>
                </w:p>
              </w:tc>
              <w:tc>
                <w:tcPr>
                  <w:tcW w:w="1760" w:type="dxa"/>
                </w:tcPr>
                <w:p w:rsidR="004B63E9" w:rsidRPr="004C4A4B" w:rsidRDefault="004B63E9" w:rsidP="004C4A4B">
                  <w:pPr>
                    <w:spacing w:after="0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9 000 000</w:t>
                  </w:r>
                </w:p>
              </w:tc>
              <w:tc>
                <w:tcPr>
                  <w:tcW w:w="195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8 273 165</w:t>
                  </w:r>
                </w:p>
              </w:tc>
              <w:tc>
                <w:tcPr>
                  <w:tcW w:w="1505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4C4A4B">
                    <w:rPr>
                      <w:rFonts w:asciiTheme="minorHAnsi" w:hAnsiTheme="minorHAnsi" w:cstheme="minorHAnsi"/>
                      <w:b/>
                    </w:rPr>
                    <w:t>92 %</w:t>
                  </w:r>
                </w:p>
              </w:tc>
              <w:tc>
                <w:tcPr>
                  <w:tcW w:w="194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26 000 000</w:t>
                  </w:r>
                </w:p>
              </w:tc>
            </w:tr>
            <w:tr w:rsidR="004B63E9" w:rsidRPr="004C4A4B" w:rsidTr="00152587">
              <w:tc>
                <w:tcPr>
                  <w:tcW w:w="1857" w:type="dxa"/>
                </w:tcPr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074901</w:t>
                  </w:r>
                </w:p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Počet úspěšných absolventů magisterských programů</w:t>
                  </w:r>
                </w:p>
              </w:tc>
              <w:tc>
                <w:tcPr>
                  <w:tcW w:w="1760" w:type="dxa"/>
                </w:tcPr>
                <w:p w:rsidR="004B63E9" w:rsidRPr="004C4A4B" w:rsidRDefault="004B63E9" w:rsidP="004C4A4B">
                  <w:pPr>
                    <w:spacing w:after="0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75</w:t>
                  </w:r>
                </w:p>
              </w:tc>
              <w:tc>
                <w:tcPr>
                  <w:tcW w:w="195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66</w:t>
                  </w:r>
                </w:p>
              </w:tc>
              <w:tc>
                <w:tcPr>
                  <w:tcW w:w="1505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4C4A4B">
                    <w:rPr>
                      <w:rFonts w:asciiTheme="minorHAnsi" w:hAnsiTheme="minorHAnsi" w:cstheme="minorHAnsi"/>
                      <w:b/>
                    </w:rPr>
                    <w:t>88 %</w:t>
                  </w:r>
                </w:p>
              </w:tc>
              <w:tc>
                <w:tcPr>
                  <w:tcW w:w="194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135</w:t>
                  </w:r>
                </w:p>
              </w:tc>
            </w:tr>
            <w:tr w:rsidR="004B63E9" w:rsidRPr="004C4A4B" w:rsidTr="00152587">
              <w:tc>
                <w:tcPr>
                  <w:tcW w:w="1857" w:type="dxa"/>
                </w:tcPr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074902</w:t>
                  </w:r>
                </w:p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Počet úspěšných absolventů doktorských studijních programů</w:t>
                  </w:r>
                </w:p>
              </w:tc>
              <w:tc>
                <w:tcPr>
                  <w:tcW w:w="1760" w:type="dxa"/>
                </w:tcPr>
                <w:p w:rsidR="004B63E9" w:rsidRPr="004C4A4B" w:rsidRDefault="004B63E9" w:rsidP="004C4A4B">
                  <w:pPr>
                    <w:spacing w:after="0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4</w:t>
                  </w:r>
                </w:p>
              </w:tc>
              <w:tc>
                <w:tcPr>
                  <w:tcW w:w="195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6</w:t>
                  </w:r>
                </w:p>
              </w:tc>
              <w:tc>
                <w:tcPr>
                  <w:tcW w:w="1505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4C4A4B">
                    <w:rPr>
                      <w:rFonts w:asciiTheme="minorHAnsi" w:hAnsiTheme="minorHAnsi" w:cstheme="minorHAnsi"/>
                      <w:b/>
                    </w:rPr>
                    <w:t>150 %</w:t>
                  </w:r>
                </w:p>
              </w:tc>
              <w:tc>
                <w:tcPr>
                  <w:tcW w:w="194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11</w:t>
                  </w:r>
                </w:p>
              </w:tc>
            </w:tr>
            <w:tr w:rsidR="004B63E9" w:rsidRPr="004C4A4B" w:rsidTr="00152587">
              <w:tc>
                <w:tcPr>
                  <w:tcW w:w="1857" w:type="dxa"/>
                </w:tcPr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110720</w:t>
                  </w:r>
                </w:p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Počet projektů spolupráce aplikační sféry s regionálními VaV centry</w:t>
                  </w:r>
                </w:p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</w:p>
              </w:tc>
              <w:tc>
                <w:tcPr>
                  <w:tcW w:w="1760" w:type="dxa"/>
                </w:tcPr>
                <w:p w:rsidR="004B63E9" w:rsidRPr="004C4A4B" w:rsidRDefault="004B63E9" w:rsidP="004C4A4B">
                  <w:pPr>
                    <w:spacing w:after="0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-</w:t>
                  </w:r>
                </w:p>
              </w:tc>
              <w:tc>
                <w:tcPr>
                  <w:tcW w:w="195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16</w:t>
                  </w:r>
                </w:p>
              </w:tc>
              <w:tc>
                <w:tcPr>
                  <w:tcW w:w="1505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4C4A4B">
                    <w:rPr>
                      <w:rFonts w:asciiTheme="minorHAnsi" w:hAnsiTheme="minorHAnsi" w:cstheme="minorHAnsi"/>
                      <w:b/>
                    </w:rPr>
                    <w:t>NR</w:t>
                  </w:r>
                </w:p>
              </w:tc>
              <w:tc>
                <w:tcPr>
                  <w:tcW w:w="194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10</w:t>
                  </w:r>
                </w:p>
              </w:tc>
            </w:tr>
            <w:tr w:rsidR="004B63E9" w:rsidRPr="004C4A4B" w:rsidTr="00152587">
              <w:tc>
                <w:tcPr>
                  <w:tcW w:w="1857" w:type="dxa"/>
                </w:tcPr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110815</w:t>
                  </w:r>
                </w:p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Počet studentů všech stupňů, kteří využívají vybudovanou infrastrukturu/ zapojených do činnosti centra</w:t>
                  </w:r>
                </w:p>
              </w:tc>
              <w:tc>
                <w:tcPr>
                  <w:tcW w:w="1760" w:type="dxa"/>
                </w:tcPr>
                <w:p w:rsidR="004B63E9" w:rsidRPr="004C4A4B" w:rsidRDefault="004B63E9" w:rsidP="004C4A4B">
                  <w:pPr>
                    <w:spacing w:after="0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-</w:t>
                  </w:r>
                </w:p>
              </w:tc>
              <w:tc>
                <w:tcPr>
                  <w:tcW w:w="195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-</w:t>
                  </w:r>
                </w:p>
              </w:tc>
              <w:tc>
                <w:tcPr>
                  <w:tcW w:w="1505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4C4A4B">
                    <w:rPr>
                      <w:rFonts w:asciiTheme="minorHAnsi" w:hAnsiTheme="minorHAnsi" w:cstheme="minorHAnsi"/>
                      <w:b/>
                    </w:rPr>
                    <w:t>-</w:t>
                  </w:r>
                </w:p>
              </w:tc>
              <w:tc>
                <w:tcPr>
                  <w:tcW w:w="194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50</w:t>
                  </w:r>
                </w:p>
              </w:tc>
            </w:tr>
            <w:tr w:rsidR="004B63E9" w:rsidRPr="004C4A4B" w:rsidTr="00152587">
              <w:tc>
                <w:tcPr>
                  <w:tcW w:w="1857" w:type="dxa"/>
                </w:tcPr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110300</w:t>
                  </w:r>
                </w:p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Počet nově vytvořených pracovních míst, zaměstnanci VaV celkem (FTE)</w:t>
                  </w:r>
                </w:p>
              </w:tc>
              <w:tc>
                <w:tcPr>
                  <w:tcW w:w="1760" w:type="dxa"/>
                </w:tcPr>
                <w:p w:rsidR="004B63E9" w:rsidRPr="004C4A4B" w:rsidRDefault="004B63E9" w:rsidP="004C4A4B">
                  <w:pPr>
                    <w:spacing w:after="0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39,25</w:t>
                  </w:r>
                </w:p>
              </w:tc>
              <w:tc>
                <w:tcPr>
                  <w:tcW w:w="195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41,06</w:t>
                  </w:r>
                </w:p>
              </w:tc>
              <w:tc>
                <w:tcPr>
                  <w:tcW w:w="1505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4C4A4B">
                    <w:rPr>
                      <w:rFonts w:asciiTheme="minorHAnsi" w:hAnsiTheme="minorHAnsi" w:cstheme="minorHAnsi"/>
                      <w:b/>
                    </w:rPr>
                    <w:t>103 %</w:t>
                  </w:r>
                </w:p>
              </w:tc>
              <w:tc>
                <w:tcPr>
                  <w:tcW w:w="194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42,00</w:t>
                  </w:r>
                </w:p>
              </w:tc>
            </w:tr>
            <w:tr w:rsidR="004B63E9" w:rsidRPr="004C4A4B" w:rsidTr="00152587">
              <w:tc>
                <w:tcPr>
                  <w:tcW w:w="1857" w:type="dxa"/>
                </w:tcPr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071700</w:t>
                  </w:r>
                </w:p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 xml:space="preserve">Počet nově </w:t>
                  </w:r>
                  <w:r w:rsidRPr="004C4A4B">
                    <w:rPr>
                      <w:rFonts w:asciiTheme="minorHAnsi" w:hAnsiTheme="minorHAnsi" w:cstheme="minorHAnsi"/>
                      <w:sz w:val="22"/>
                    </w:rPr>
                    <w:lastRenderedPageBreak/>
                    <w:t>vytvořených pracovních míst, výzkumní pracovníci celkem (FTE)</w:t>
                  </w:r>
                </w:p>
              </w:tc>
              <w:tc>
                <w:tcPr>
                  <w:tcW w:w="1760" w:type="dxa"/>
                </w:tcPr>
                <w:p w:rsidR="004B63E9" w:rsidRPr="004C4A4B" w:rsidRDefault="004B63E9" w:rsidP="004C4A4B">
                  <w:pPr>
                    <w:spacing w:after="0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lastRenderedPageBreak/>
                    <w:t>35,00</w:t>
                  </w:r>
                </w:p>
              </w:tc>
              <w:tc>
                <w:tcPr>
                  <w:tcW w:w="195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35,56</w:t>
                  </w:r>
                </w:p>
              </w:tc>
              <w:tc>
                <w:tcPr>
                  <w:tcW w:w="1505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4C4A4B">
                    <w:rPr>
                      <w:rFonts w:asciiTheme="minorHAnsi" w:hAnsiTheme="minorHAnsi" w:cstheme="minorHAnsi"/>
                      <w:b/>
                    </w:rPr>
                    <w:t>102 %</w:t>
                  </w:r>
                </w:p>
              </w:tc>
              <w:tc>
                <w:tcPr>
                  <w:tcW w:w="194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36,75</w:t>
                  </w:r>
                </w:p>
              </w:tc>
            </w:tr>
            <w:tr w:rsidR="004B63E9" w:rsidRPr="004C4A4B" w:rsidTr="00152587">
              <w:tc>
                <w:tcPr>
                  <w:tcW w:w="1857" w:type="dxa"/>
                </w:tcPr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lastRenderedPageBreak/>
                    <w:t>071900</w:t>
                  </w:r>
                </w:p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Počet nově vytvořených pracovních míst, výzkumní pracovníci do 35 let (FTE)</w:t>
                  </w:r>
                </w:p>
              </w:tc>
              <w:tc>
                <w:tcPr>
                  <w:tcW w:w="1760" w:type="dxa"/>
                </w:tcPr>
                <w:p w:rsidR="004B63E9" w:rsidRPr="004C4A4B" w:rsidRDefault="004B63E9" w:rsidP="004C4A4B">
                  <w:pPr>
                    <w:spacing w:after="0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16,70</w:t>
                  </w:r>
                </w:p>
              </w:tc>
              <w:tc>
                <w:tcPr>
                  <w:tcW w:w="195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16,07</w:t>
                  </w:r>
                </w:p>
              </w:tc>
              <w:tc>
                <w:tcPr>
                  <w:tcW w:w="1505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4C4A4B">
                    <w:rPr>
                      <w:rFonts w:asciiTheme="minorHAnsi" w:hAnsiTheme="minorHAnsi" w:cstheme="minorHAnsi"/>
                      <w:b/>
                    </w:rPr>
                    <w:t>96 %</w:t>
                  </w:r>
                </w:p>
              </w:tc>
              <w:tc>
                <w:tcPr>
                  <w:tcW w:w="194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17</w:t>
                  </w:r>
                </w:p>
              </w:tc>
            </w:tr>
            <w:tr w:rsidR="004B63E9" w:rsidRPr="004C4A4B" w:rsidTr="00152587">
              <w:tc>
                <w:tcPr>
                  <w:tcW w:w="1857" w:type="dxa"/>
                </w:tcPr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110516</w:t>
                  </w:r>
                </w:p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Rozšířené nebo zrekonstruované kapacity (m</w:t>
                  </w:r>
                  <w:r w:rsidRPr="004C4A4B">
                    <w:rPr>
                      <w:rFonts w:asciiTheme="minorHAnsi" w:hAnsiTheme="minorHAnsi" w:cstheme="minorHAnsi"/>
                      <w:sz w:val="22"/>
                      <w:vertAlign w:val="superscript"/>
                    </w:rPr>
                    <w:t>2</w:t>
                  </w: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)</w:t>
                  </w:r>
                </w:p>
              </w:tc>
              <w:tc>
                <w:tcPr>
                  <w:tcW w:w="1760" w:type="dxa"/>
                </w:tcPr>
                <w:p w:rsidR="004B63E9" w:rsidRPr="004C4A4B" w:rsidRDefault="004B63E9" w:rsidP="004C4A4B">
                  <w:pPr>
                    <w:spacing w:after="0" w:line="240" w:lineRule="auto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-</w:t>
                  </w:r>
                </w:p>
              </w:tc>
              <w:tc>
                <w:tcPr>
                  <w:tcW w:w="195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-</w:t>
                  </w:r>
                </w:p>
              </w:tc>
              <w:tc>
                <w:tcPr>
                  <w:tcW w:w="1505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4C4A4B">
                    <w:rPr>
                      <w:rFonts w:asciiTheme="minorHAnsi" w:hAnsiTheme="minorHAnsi" w:cstheme="minorHAnsi"/>
                      <w:b/>
                    </w:rPr>
                    <w:t>-</w:t>
                  </w:r>
                </w:p>
              </w:tc>
              <w:tc>
                <w:tcPr>
                  <w:tcW w:w="194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-</w:t>
                  </w:r>
                </w:p>
              </w:tc>
            </w:tr>
            <w:tr w:rsidR="004B63E9" w:rsidRPr="004C4A4B" w:rsidTr="00152587">
              <w:tc>
                <w:tcPr>
                  <w:tcW w:w="1857" w:type="dxa"/>
                </w:tcPr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110517</w:t>
                  </w:r>
                </w:p>
                <w:p w:rsidR="004B63E9" w:rsidRPr="004C4A4B" w:rsidRDefault="004B63E9" w:rsidP="004C4A4B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Vybudované kapacity (m</w:t>
                  </w:r>
                  <w:r w:rsidRPr="004C4A4B">
                    <w:rPr>
                      <w:rFonts w:asciiTheme="minorHAnsi" w:hAnsiTheme="minorHAnsi" w:cstheme="minorHAnsi"/>
                      <w:sz w:val="22"/>
                      <w:vertAlign w:val="superscript"/>
                    </w:rPr>
                    <w:t>2</w:t>
                  </w: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)</w:t>
                  </w:r>
                </w:p>
              </w:tc>
              <w:tc>
                <w:tcPr>
                  <w:tcW w:w="1760" w:type="dxa"/>
                </w:tcPr>
                <w:p w:rsidR="004B63E9" w:rsidRPr="004C4A4B" w:rsidRDefault="004B63E9" w:rsidP="004C4A4B">
                  <w:pPr>
                    <w:spacing w:after="0" w:line="240" w:lineRule="auto"/>
                    <w:ind w:right="57"/>
                    <w:jc w:val="both"/>
                    <w:rPr>
                      <w:rFonts w:asciiTheme="minorHAnsi" w:hAnsiTheme="minorHAnsi" w:cstheme="minorHAnsi"/>
                      <w:sz w:val="22"/>
                    </w:rPr>
                  </w:pPr>
                  <w:r w:rsidRPr="004C4A4B">
                    <w:rPr>
                      <w:rFonts w:asciiTheme="minorHAnsi" w:hAnsiTheme="minorHAnsi" w:cstheme="minorHAnsi"/>
                      <w:sz w:val="22"/>
                    </w:rPr>
                    <w:t>-</w:t>
                  </w:r>
                </w:p>
              </w:tc>
              <w:tc>
                <w:tcPr>
                  <w:tcW w:w="195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-</w:t>
                  </w:r>
                </w:p>
              </w:tc>
              <w:tc>
                <w:tcPr>
                  <w:tcW w:w="1505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4C4A4B">
                    <w:rPr>
                      <w:rFonts w:asciiTheme="minorHAnsi" w:hAnsiTheme="minorHAnsi" w:cstheme="minorHAnsi"/>
                      <w:b/>
                    </w:rPr>
                    <w:t>-</w:t>
                  </w:r>
                </w:p>
              </w:tc>
              <w:tc>
                <w:tcPr>
                  <w:tcW w:w="1942" w:type="dxa"/>
                </w:tcPr>
                <w:p w:rsidR="004B63E9" w:rsidRPr="004C4A4B" w:rsidRDefault="004B63E9" w:rsidP="004C4A4B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Theme="minorHAnsi" w:hAnsiTheme="minorHAnsi" w:cstheme="minorHAnsi"/>
                    </w:rPr>
                  </w:pPr>
                  <w:r w:rsidRPr="004C4A4B">
                    <w:rPr>
                      <w:rFonts w:asciiTheme="minorHAnsi" w:hAnsiTheme="minorHAnsi" w:cstheme="minorHAnsi"/>
                    </w:rPr>
                    <w:t>-</w:t>
                  </w:r>
                </w:p>
              </w:tc>
            </w:tr>
          </w:tbl>
          <w:p w:rsidR="001902D0" w:rsidRDefault="001902D0" w:rsidP="004C4A4B">
            <w:pPr>
              <w:pStyle w:val="Odstavecseseznamem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  <w:p w:rsidR="004B63E9" w:rsidRPr="004C4A4B" w:rsidRDefault="001902D0" w:rsidP="004C4A4B">
            <w:pPr>
              <w:pStyle w:val="Odstavecseseznamem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</w:rPr>
            </w:pPr>
            <w:r w:rsidRPr="00DA15D6">
              <w:rPr>
                <w:rFonts w:asciiTheme="minorHAnsi" w:hAnsiTheme="minorHAnsi" w:cstheme="minorHAnsi"/>
              </w:rPr>
              <w:t>Hodnoty MI jsou k datu ukončení realizace projektu, tj. k 31. 12. 2013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4B63E9" w:rsidRPr="004C4A4B" w:rsidRDefault="004B63E9" w:rsidP="004C4A4B">
            <w:pPr>
              <w:pStyle w:val="Odstavecseseznamem"/>
              <w:ind w:left="-360" w:right="-776"/>
              <w:jc w:val="both"/>
              <w:rPr>
                <w:rFonts w:asciiTheme="minorHAnsi" w:hAnsiTheme="minorHAnsi" w:cstheme="minorHAnsi"/>
              </w:rPr>
            </w:pPr>
          </w:p>
        </w:tc>
      </w:tr>
      <w:tr w:rsidR="00235AE1" w:rsidTr="00E667FC">
        <w:tc>
          <w:tcPr>
            <w:tcW w:w="9606" w:type="dxa"/>
            <w:gridSpan w:val="6"/>
            <w:shd w:val="clear" w:color="auto" w:fill="595959" w:themeFill="text1" w:themeFillTint="A6"/>
          </w:tcPr>
          <w:p w:rsidR="00235AE1" w:rsidRPr="004C4A4B" w:rsidRDefault="0004245B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4C4A4B">
              <w:rPr>
                <w:rFonts w:asciiTheme="minorHAnsi" w:hAnsiTheme="minorHAnsi" w:cstheme="minorHAnsi"/>
                <w:b/>
                <w:noProof/>
                <w:color w:val="FFFFFF" w:themeColor="background1"/>
                <w:sz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BE2024" wp14:editId="30E408E1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4C4A4B">
                                    <w:rPr>
                                      <w:sz w:val="18"/>
                                      <w:szCs w:val="18"/>
                                    </w:rPr>
                                    <w:t xml:space="preserve"> 5. 2. 2015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8BE202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left:0;text-align:left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4C4A4B">
                              <w:rPr>
                                <w:sz w:val="18"/>
                                <w:szCs w:val="18"/>
                              </w:rPr>
                              <w:t xml:space="preserve"> 5. 2. 2015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4C4A4B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Aktuální stav realizace projektu</w:t>
            </w:r>
          </w:p>
        </w:tc>
      </w:tr>
      <w:tr w:rsidR="00F9010E" w:rsidTr="00E667FC">
        <w:trPr>
          <w:trHeight w:val="847"/>
        </w:trPr>
        <w:tc>
          <w:tcPr>
            <w:tcW w:w="2178" w:type="dxa"/>
          </w:tcPr>
          <w:p w:rsidR="00F9010E" w:rsidRPr="004C4A4B" w:rsidRDefault="00F9010E" w:rsidP="004C4A4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4C4A4B">
              <w:rPr>
                <w:rFonts w:asciiTheme="minorHAnsi" w:hAnsiTheme="minorHAnsi" w:cstheme="minorHAnsi"/>
                <w:b/>
                <w:sz w:val="22"/>
              </w:rPr>
              <w:t>Statutární orgán projektu</w:t>
            </w:r>
          </w:p>
        </w:tc>
        <w:tc>
          <w:tcPr>
            <w:tcW w:w="3368" w:type="dxa"/>
            <w:gridSpan w:val="2"/>
          </w:tcPr>
          <w:p w:rsidR="00F9010E" w:rsidRPr="004C4A4B" w:rsidRDefault="00002DBE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 xml:space="preserve">Jméno a </w:t>
            </w:r>
            <w:r w:rsidR="00F9010E" w:rsidRPr="004C4A4B">
              <w:rPr>
                <w:rFonts w:asciiTheme="minorHAnsi" w:hAnsiTheme="minorHAnsi" w:cstheme="minorHAnsi"/>
                <w:sz w:val="22"/>
              </w:rPr>
              <w:t xml:space="preserve">pracovní </w:t>
            </w:r>
            <w:r w:rsidRPr="004C4A4B">
              <w:rPr>
                <w:rFonts w:asciiTheme="minorHAnsi" w:hAnsiTheme="minorHAnsi" w:cstheme="minorHAnsi"/>
                <w:sz w:val="22"/>
              </w:rPr>
              <w:t>pozice:</w:t>
            </w:r>
          </w:p>
          <w:p w:rsidR="004B63E9" w:rsidRPr="004C4A4B" w:rsidRDefault="004B63E9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Prof. Ing. Havlíček, rektor</w:t>
            </w:r>
          </w:p>
        </w:tc>
        <w:tc>
          <w:tcPr>
            <w:tcW w:w="4060" w:type="dxa"/>
            <w:gridSpan w:val="3"/>
          </w:tcPr>
          <w:p w:rsidR="00F9010E" w:rsidRPr="004C4A4B" w:rsidRDefault="00F9010E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Instituce</w:t>
            </w:r>
            <w:r w:rsidR="00002DBE" w:rsidRPr="004C4A4B">
              <w:rPr>
                <w:rFonts w:asciiTheme="minorHAnsi" w:hAnsiTheme="minorHAnsi" w:cstheme="minorHAnsi"/>
                <w:sz w:val="22"/>
              </w:rPr>
              <w:t>:</w:t>
            </w:r>
          </w:p>
          <w:p w:rsidR="004B63E9" w:rsidRPr="004C4A4B" w:rsidRDefault="004B63E9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České vysoké učení technické v Praze</w:t>
            </w:r>
          </w:p>
        </w:tc>
      </w:tr>
      <w:tr w:rsidR="00002DBE" w:rsidTr="00E667FC">
        <w:trPr>
          <w:trHeight w:val="1009"/>
        </w:trPr>
        <w:tc>
          <w:tcPr>
            <w:tcW w:w="2178" w:type="dxa"/>
          </w:tcPr>
          <w:p w:rsidR="00002DBE" w:rsidRPr="004C4A4B" w:rsidRDefault="00002DBE" w:rsidP="004C4A4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4C4A4B">
              <w:rPr>
                <w:rFonts w:asciiTheme="minorHAnsi" w:hAnsiTheme="minorHAnsi" w:cstheme="minorHAnsi"/>
                <w:b/>
                <w:sz w:val="22"/>
              </w:rPr>
              <w:t>Kontaktní osoba projektu</w:t>
            </w:r>
          </w:p>
        </w:tc>
        <w:tc>
          <w:tcPr>
            <w:tcW w:w="7428" w:type="dxa"/>
            <w:gridSpan w:val="5"/>
          </w:tcPr>
          <w:p w:rsidR="00002DBE" w:rsidRPr="004C4A4B" w:rsidRDefault="00002DBE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Vedoucí projektu (jméno a pracovní pozice)</w:t>
            </w:r>
          </w:p>
          <w:p w:rsidR="00002DBE" w:rsidRPr="004C4A4B" w:rsidRDefault="004B63E9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Ing. Bohumil Mareš, PhD. – ředitel Centra a odborný asistent ČVUT</w:t>
            </w:r>
            <w:r w:rsidR="004C4A4B" w:rsidRPr="004C4A4B">
              <w:rPr>
                <w:rFonts w:asciiTheme="minorHAnsi" w:hAnsiTheme="minorHAnsi" w:cstheme="minorHAnsi"/>
                <w:sz w:val="22"/>
              </w:rPr>
              <w:t>, kontaktní osoba: Mgr. Miroslav Špaňhel</w:t>
            </w:r>
          </w:p>
          <w:p w:rsidR="00002DBE" w:rsidRPr="004C4A4B" w:rsidRDefault="00002DBE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Ekonom</w:t>
            </w:r>
            <w:r w:rsidR="004C4A4B" w:rsidRPr="004C4A4B">
              <w:rPr>
                <w:rFonts w:asciiTheme="minorHAnsi" w:hAnsiTheme="minorHAnsi" w:cstheme="minorHAnsi"/>
                <w:sz w:val="22"/>
              </w:rPr>
              <w:t>: Ing. Jan Pšenička</w:t>
            </w:r>
          </w:p>
        </w:tc>
      </w:tr>
      <w:tr w:rsidR="0004245B" w:rsidTr="00E667FC">
        <w:trPr>
          <w:trHeight w:val="843"/>
        </w:trPr>
        <w:tc>
          <w:tcPr>
            <w:tcW w:w="2178" w:type="dxa"/>
          </w:tcPr>
          <w:p w:rsidR="0004245B" w:rsidRPr="004C4A4B" w:rsidRDefault="0004245B" w:rsidP="004C4A4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4C4A4B">
              <w:rPr>
                <w:rFonts w:asciiTheme="minorHAnsi" w:hAnsiTheme="minorHAnsi" w:cstheme="minorHAnsi"/>
                <w:b/>
                <w:sz w:val="22"/>
              </w:rPr>
              <w:t>Klíčové</w:t>
            </w:r>
            <w:r w:rsidR="00AF6EBB" w:rsidRPr="004C4A4B">
              <w:rPr>
                <w:rFonts w:asciiTheme="minorHAnsi" w:hAnsiTheme="minorHAnsi" w:cstheme="minorHAnsi"/>
                <w:b/>
                <w:sz w:val="22"/>
              </w:rPr>
              <w:t xml:space="preserve"> schválené</w:t>
            </w:r>
            <w:r w:rsidRPr="004C4A4B">
              <w:rPr>
                <w:rFonts w:asciiTheme="minorHAnsi" w:hAnsiTheme="minorHAnsi" w:cstheme="minorHAnsi"/>
                <w:b/>
                <w:sz w:val="22"/>
              </w:rPr>
              <w:t xml:space="preserve"> změny projektu</w:t>
            </w:r>
          </w:p>
        </w:tc>
        <w:tc>
          <w:tcPr>
            <w:tcW w:w="4483" w:type="dxa"/>
            <w:gridSpan w:val="4"/>
          </w:tcPr>
          <w:p w:rsidR="004C4A4B" w:rsidRPr="004C4A4B" w:rsidRDefault="004C4A4B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 xml:space="preserve">1) V rámci kapitoly </w:t>
            </w:r>
            <w:r w:rsidR="00F14260" w:rsidRPr="004C4A4B">
              <w:rPr>
                <w:rFonts w:asciiTheme="minorHAnsi" w:hAnsiTheme="minorHAnsi" w:cstheme="minorHAnsi"/>
                <w:sz w:val="22"/>
              </w:rPr>
              <w:t>II. Výzkumné</w:t>
            </w:r>
            <w:r w:rsidRPr="004C4A4B">
              <w:rPr>
                <w:rFonts w:asciiTheme="minorHAnsi" w:hAnsiTheme="minorHAnsi" w:cstheme="minorHAnsi"/>
                <w:sz w:val="22"/>
              </w:rPr>
              <w:t xml:space="preserve"> programy Technického anexu došlo ke změně. Projekt Mikrokogen na optimalizaci spalování alternativních paliv v mikrokogeneračních jednotkách vyrábějících elektrickou energii a teplo, založených na dvouválcovém motoru nebyl schválen (TA ČR ALFA, 4 pracovníci, podána přihláška). Proto bylo přikročeno k jeho nahrazení evropským projektem IMPROVE FP7-2013-ICT #608756, realizovaným v letech 2013-2017. </w:t>
            </w:r>
          </w:p>
          <w:p w:rsidR="004C4A4B" w:rsidRPr="004C4A4B" w:rsidRDefault="004C4A4B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 xml:space="preserve">Dále nebyly přijaty přihlášky na projekty Kogenerační plynový motor pro spalování termolýzního plynu z odpadu (TIP3 MPO, 2 pracovníci, od 2012, podána přihláška) a Malé zařízení pro low-upgrade bioplynu s využitím pro zemědělskou a lesnickoutechniku (TIP3 MPO, 2 pracovníci, od 2012, podána přihláška). </w:t>
            </w:r>
            <w:r w:rsidRPr="004C4A4B">
              <w:rPr>
                <w:rFonts w:asciiTheme="minorHAnsi" w:hAnsiTheme="minorHAnsi" w:cstheme="minorHAnsi"/>
                <w:sz w:val="22"/>
              </w:rPr>
              <w:lastRenderedPageBreak/>
              <w:t>Aktivity plánované v rámci těchto projektů jsou přesunuty do projektu Centra kompetence automobilového průmyslu Josefa Božka. Navíc byly úspěšně přijaty projekty:</w:t>
            </w:r>
          </w:p>
          <w:p w:rsidR="004C4A4B" w:rsidRPr="004C4A4B" w:rsidRDefault="004C4A4B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 xml:space="preserve">TA ČR ALFA - Pasivní bezpečnost vozidel při použití nekonvenčních materiálů (TA01031241) </w:t>
            </w:r>
          </w:p>
          <w:p w:rsidR="004C4A4B" w:rsidRPr="004C4A4B" w:rsidRDefault="004C4A4B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 xml:space="preserve">TA ČR ALFA - Vývoj dvoustupňové plnící skupiny pro velké spalovací </w:t>
            </w:r>
            <w:r w:rsidR="00F14260" w:rsidRPr="004C4A4B">
              <w:rPr>
                <w:rFonts w:asciiTheme="minorHAnsi" w:hAnsiTheme="minorHAnsi" w:cstheme="minorHAnsi"/>
                <w:sz w:val="22"/>
              </w:rPr>
              <w:t>motory (TA03011212</w:t>
            </w:r>
            <w:r w:rsidRPr="004C4A4B">
              <w:rPr>
                <w:rFonts w:asciiTheme="minorHAnsi" w:hAnsiTheme="minorHAnsi" w:cstheme="minorHAnsi"/>
                <w:sz w:val="22"/>
              </w:rPr>
              <w:t>)</w:t>
            </w:r>
          </w:p>
          <w:p w:rsidR="004C4A4B" w:rsidRPr="004C4A4B" w:rsidRDefault="004C4A4B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Evropský projekt POSTDOK OPVK CZ.1.07/2.3.00/30.0034</w:t>
            </w:r>
          </w:p>
          <w:p w:rsidR="004C4A4B" w:rsidRPr="004C4A4B" w:rsidRDefault="004C4A4B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GAČR BIOTOX (toxicita výfukových plynů) 13-01438S</w:t>
            </w:r>
          </w:p>
          <w:p w:rsidR="004C4A4B" w:rsidRPr="004C4A4B" w:rsidRDefault="004C4A4B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4C4A4B" w:rsidRPr="004C4A4B" w:rsidRDefault="004C4A4B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 xml:space="preserve">2) Přesun prostředků v rozpočtu projektu. </w:t>
            </w:r>
          </w:p>
        </w:tc>
        <w:tc>
          <w:tcPr>
            <w:tcW w:w="2945" w:type="dxa"/>
          </w:tcPr>
          <w:p w:rsidR="0004245B" w:rsidRPr="004C4A4B" w:rsidRDefault="0004245B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lastRenderedPageBreak/>
              <w:t>Finanční dopady</w:t>
            </w:r>
          </w:p>
          <w:p w:rsidR="004C4A4B" w:rsidRPr="004C4A4B" w:rsidRDefault="004C4A4B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1) bez finančního dopadu</w:t>
            </w:r>
          </w:p>
          <w:p w:rsidR="004C4A4B" w:rsidRPr="004C4A4B" w:rsidRDefault="004C4A4B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 xml:space="preserve">2) přesun </w:t>
            </w:r>
            <w:r w:rsidR="00F14260">
              <w:rPr>
                <w:rFonts w:asciiTheme="minorHAnsi" w:hAnsiTheme="minorHAnsi" w:cstheme="minorHAnsi"/>
                <w:sz w:val="22"/>
              </w:rPr>
              <w:t>v rámci kapitoly 5. Publicita</w:t>
            </w:r>
            <w:r w:rsidRPr="004C4A4B">
              <w:rPr>
                <w:rFonts w:asciiTheme="minorHAnsi" w:hAnsiTheme="minorHAnsi" w:cstheme="minorHAnsi"/>
                <w:sz w:val="22"/>
              </w:rPr>
              <w:t xml:space="preserve">, </w:t>
            </w:r>
            <w:r w:rsidR="00F14260" w:rsidRPr="004C4A4B">
              <w:rPr>
                <w:rFonts w:asciiTheme="minorHAnsi" w:hAnsiTheme="minorHAnsi" w:cstheme="minorHAnsi"/>
                <w:sz w:val="22"/>
              </w:rPr>
              <w:t>konkrétně 100</w:t>
            </w:r>
            <w:r w:rsidR="00F14260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4C4A4B">
              <w:rPr>
                <w:rFonts w:asciiTheme="minorHAnsi" w:hAnsiTheme="minorHAnsi" w:cstheme="minorHAnsi"/>
                <w:sz w:val="22"/>
              </w:rPr>
              <w:t>t</w:t>
            </w:r>
            <w:r w:rsidR="00F14260">
              <w:rPr>
                <w:rFonts w:asciiTheme="minorHAnsi" w:hAnsiTheme="minorHAnsi" w:cstheme="minorHAnsi"/>
                <w:sz w:val="22"/>
              </w:rPr>
              <w:t>is</w:t>
            </w:r>
            <w:r w:rsidRPr="004C4A4B">
              <w:rPr>
                <w:rFonts w:asciiTheme="minorHAnsi" w:hAnsiTheme="minorHAnsi" w:cstheme="minorHAnsi"/>
                <w:sz w:val="22"/>
              </w:rPr>
              <w:t>. Kč z podkapitoly 5.1 Povinná publicita - investice do kapitoly 2. Hmotný majetek, podkapitoly 2.4 Stroje a zařízení.</w:t>
            </w:r>
          </w:p>
        </w:tc>
      </w:tr>
      <w:tr w:rsidR="0004245B" w:rsidTr="00E667FC">
        <w:trPr>
          <w:trHeight w:val="869"/>
        </w:trPr>
        <w:tc>
          <w:tcPr>
            <w:tcW w:w="2178" w:type="dxa"/>
          </w:tcPr>
          <w:p w:rsidR="0004245B" w:rsidRPr="004C4A4B" w:rsidRDefault="0004245B" w:rsidP="004C4A4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4C4A4B">
              <w:rPr>
                <w:rFonts w:asciiTheme="minorHAnsi" w:hAnsiTheme="minorHAnsi" w:cstheme="minorHAnsi"/>
                <w:b/>
                <w:sz w:val="22"/>
              </w:rPr>
              <w:lastRenderedPageBreak/>
              <w:t>Věcná realizace projektu</w:t>
            </w:r>
          </w:p>
        </w:tc>
        <w:tc>
          <w:tcPr>
            <w:tcW w:w="7428" w:type="dxa"/>
            <w:gridSpan w:val="5"/>
          </w:tcPr>
          <w:p w:rsidR="0004245B" w:rsidRPr="004C4A4B" w:rsidRDefault="0004245B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Stavební část (včetně % naplnění)</w:t>
            </w:r>
            <w:r w:rsidR="004C4A4B" w:rsidRPr="004C4A4B">
              <w:rPr>
                <w:rFonts w:asciiTheme="minorHAnsi" w:hAnsiTheme="minorHAnsi" w:cstheme="minorHAnsi"/>
                <w:sz w:val="22"/>
              </w:rPr>
              <w:t>: naplněno – nájem (100%)</w:t>
            </w:r>
          </w:p>
          <w:p w:rsidR="0004245B" w:rsidRPr="004C4A4B" w:rsidRDefault="0004245B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Přístroje (včetně % naplnění)</w:t>
            </w:r>
            <w:r w:rsidR="004C4A4B" w:rsidRPr="004C4A4B">
              <w:rPr>
                <w:rFonts w:asciiTheme="minorHAnsi" w:hAnsiTheme="minorHAnsi" w:cstheme="minorHAnsi"/>
                <w:sz w:val="22"/>
              </w:rPr>
              <w:t xml:space="preserve">: naplněno - přehled přístrojového vybavení v závěrečném věcném vyhodnocení projektu obsahuje všechny položky podle aktuální TA. Termíny instalace odpovídají TA. V tomto přehledu jsou navíc 2 klíčová vybavení, aniž by to bylo ŘO OP VaVpI oznámeno (podstatná změna projektu). Jedná se o „Zařízení pro zkoušení mechanických převodů se zatěžováním a pohonem, měřením momentu“ a „Zařízení pro měření a návrh mikroelektrických </w:t>
            </w:r>
            <w:r w:rsidR="00F14260" w:rsidRPr="004C4A4B">
              <w:rPr>
                <w:rFonts w:asciiTheme="minorHAnsi" w:hAnsiTheme="minorHAnsi" w:cstheme="minorHAnsi"/>
                <w:sz w:val="22"/>
              </w:rPr>
              <w:t>jednotek</w:t>
            </w:r>
            <w:r w:rsidR="004C4A4B" w:rsidRPr="004C4A4B">
              <w:rPr>
                <w:rFonts w:asciiTheme="minorHAnsi" w:hAnsiTheme="minorHAnsi" w:cstheme="minorHAnsi"/>
                <w:sz w:val="22"/>
              </w:rPr>
              <w:t xml:space="preserve"> přizpůsobených účelu pro vývoj/testování vozidlových sítí pro technologie X-by-wire“.  U většiny klíčového zařízení se jeho využití pro VaV pohybuje v rozmezí pouhých 35-40%, u části klíčového vybavení příjemce jeho využití neuvádí. Jde o tvrzení, které nelze ověřit – nejsou doložené přístrojové deníky. Volná kapacita klíčového vybavení činí v některých případech až 50%, což nedokládá efektivní využití dotačních prostředků.</w:t>
            </w:r>
          </w:p>
          <w:p w:rsidR="0004245B" w:rsidRPr="004C4A4B" w:rsidRDefault="0081392A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 xml:space="preserve">Personální zajištění </w:t>
            </w:r>
            <w:r w:rsidR="00AF6EBB" w:rsidRPr="004C4A4B">
              <w:rPr>
                <w:rFonts w:asciiTheme="minorHAnsi" w:hAnsiTheme="minorHAnsi" w:cstheme="minorHAnsi"/>
                <w:sz w:val="22"/>
              </w:rPr>
              <w:t>(včetně % naplnění)</w:t>
            </w:r>
            <w:r w:rsidR="004C4A4B" w:rsidRPr="004C4A4B">
              <w:rPr>
                <w:rFonts w:asciiTheme="minorHAnsi" w:hAnsiTheme="minorHAnsi" w:cstheme="minorHAnsi"/>
                <w:sz w:val="22"/>
              </w:rPr>
              <w:t>: ano – konkrétní hodnoty viz MI v kap. Výstup</w:t>
            </w:r>
            <w:r w:rsidR="0076345C">
              <w:rPr>
                <w:rFonts w:asciiTheme="minorHAnsi" w:hAnsiTheme="minorHAnsi" w:cstheme="minorHAnsi"/>
                <w:sz w:val="22"/>
              </w:rPr>
              <w:t>y</w:t>
            </w:r>
          </w:p>
        </w:tc>
      </w:tr>
      <w:tr w:rsidR="00DA6654" w:rsidTr="00E667FC">
        <w:tc>
          <w:tcPr>
            <w:tcW w:w="2178" w:type="dxa"/>
          </w:tcPr>
          <w:p w:rsidR="00DA6654" w:rsidRPr="004F04C5" w:rsidRDefault="00DA6654" w:rsidP="004C4A4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4F04C5">
              <w:rPr>
                <w:rFonts w:asciiTheme="minorHAnsi" w:hAnsiTheme="minorHAnsi" w:cstheme="minorHAnsi"/>
                <w:b/>
                <w:sz w:val="22"/>
              </w:rPr>
              <w:t>Finanční čerpání projektu</w:t>
            </w:r>
          </w:p>
        </w:tc>
        <w:tc>
          <w:tcPr>
            <w:tcW w:w="7428" w:type="dxa"/>
            <w:gridSpan w:val="5"/>
          </w:tcPr>
          <w:p w:rsidR="00DA6654" w:rsidRPr="00AE3A87" w:rsidRDefault="00DA6654" w:rsidP="00AE3A87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F04C5">
              <w:rPr>
                <w:rFonts w:asciiTheme="minorHAnsi" w:hAnsiTheme="minorHAnsi" w:cstheme="minorHAnsi"/>
                <w:sz w:val="22"/>
              </w:rPr>
              <w:t>Předložené výdaje (v Kč i %)</w:t>
            </w:r>
            <w:r w:rsidR="004A3F76">
              <w:rPr>
                <w:rFonts w:asciiTheme="minorHAnsi" w:hAnsiTheme="minorHAnsi" w:cstheme="minorHAnsi"/>
                <w:sz w:val="22"/>
              </w:rPr>
              <w:t xml:space="preserve">: </w:t>
            </w:r>
            <w:r w:rsidR="00F25553">
              <w:rPr>
                <w:rFonts w:ascii="Calibri" w:hAnsi="Calibri" w:cs="Calibri"/>
                <w:color w:val="0D0D0D"/>
                <w:sz w:val="22"/>
              </w:rPr>
              <w:t xml:space="preserve"> </w:t>
            </w:r>
            <w:r w:rsidR="00F25553">
              <w:rPr>
                <w:rFonts w:ascii="Arial CE" w:hAnsi="Arial CE"/>
                <w:sz w:val="20"/>
                <w:szCs w:val="20"/>
              </w:rPr>
              <w:t xml:space="preserve">194 376 644,96 Kč </w:t>
            </w:r>
            <w:r w:rsidR="004A3F76">
              <w:rPr>
                <w:rFonts w:asciiTheme="minorHAnsi" w:hAnsiTheme="minorHAnsi" w:cstheme="minorHAnsi"/>
                <w:sz w:val="22"/>
              </w:rPr>
              <w:t>(</w:t>
            </w:r>
            <w:r w:rsidR="00F25553">
              <w:rPr>
                <w:rFonts w:asciiTheme="minorHAnsi" w:hAnsiTheme="minorHAnsi" w:cstheme="minorHAnsi"/>
                <w:sz w:val="22"/>
              </w:rPr>
              <w:t>99,34</w:t>
            </w:r>
            <w:r w:rsidR="006C7285" w:rsidRPr="004F04C5">
              <w:rPr>
                <w:rFonts w:asciiTheme="minorHAnsi" w:hAnsiTheme="minorHAnsi" w:cstheme="minorHAnsi"/>
                <w:sz w:val="22"/>
              </w:rPr>
              <w:t xml:space="preserve"> %</w:t>
            </w:r>
            <w:r w:rsidR="004A3F76">
              <w:rPr>
                <w:rFonts w:asciiTheme="minorHAnsi" w:hAnsiTheme="minorHAnsi" w:cstheme="minorHAnsi"/>
                <w:sz w:val="22"/>
              </w:rPr>
              <w:t>)</w:t>
            </w:r>
          </w:p>
          <w:p w:rsidR="00DA6654" w:rsidRPr="004F04C5" w:rsidRDefault="00DA6654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F04C5">
              <w:rPr>
                <w:rFonts w:asciiTheme="minorHAnsi" w:hAnsiTheme="minorHAnsi" w:cstheme="minorHAnsi"/>
                <w:sz w:val="22"/>
              </w:rPr>
              <w:t>Schválené výdaje</w:t>
            </w:r>
            <w:r w:rsidR="00C92258" w:rsidRPr="004F04C5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4F04C5">
              <w:rPr>
                <w:rFonts w:asciiTheme="minorHAnsi" w:hAnsiTheme="minorHAnsi" w:cstheme="minorHAnsi"/>
                <w:sz w:val="22"/>
              </w:rPr>
              <w:t>(v Kč i %)</w:t>
            </w:r>
            <w:r w:rsidR="006C7285" w:rsidRPr="004F04C5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4A3F76">
              <w:rPr>
                <w:rFonts w:asciiTheme="minorHAnsi" w:hAnsiTheme="minorHAnsi" w:cstheme="minorHAnsi"/>
                <w:sz w:val="22"/>
              </w:rPr>
              <w:t>–</w:t>
            </w:r>
            <w:r w:rsidR="006C7285" w:rsidRPr="004F04C5">
              <w:rPr>
                <w:rFonts w:asciiTheme="minorHAnsi" w:hAnsiTheme="minorHAnsi" w:cstheme="minorHAnsi"/>
                <w:sz w:val="22"/>
              </w:rPr>
              <w:t xml:space="preserve"> 192</w:t>
            </w:r>
            <w:r w:rsidR="004A3F76">
              <w:rPr>
                <w:rFonts w:asciiTheme="minorHAnsi" w:hAnsiTheme="minorHAnsi" w:cstheme="minorHAnsi"/>
                <w:sz w:val="22"/>
              </w:rPr>
              <w:t> </w:t>
            </w:r>
            <w:r w:rsidR="006C7285" w:rsidRPr="004F04C5">
              <w:rPr>
                <w:rFonts w:asciiTheme="minorHAnsi" w:hAnsiTheme="minorHAnsi" w:cstheme="minorHAnsi"/>
                <w:sz w:val="22"/>
              </w:rPr>
              <w:t>823</w:t>
            </w:r>
            <w:r w:rsidR="004A3F76">
              <w:rPr>
                <w:rFonts w:asciiTheme="minorHAnsi" w:hAnsiTheme="minorHAnsi" w:cstheme="minorHAnsi"/>
                <w:sz w:val="22"/>
              </w:rPr>
              <w:t xml:space="preserve"> 853,27 Kč (</w:t>
            </w:r>
            <w:r w:rsidR="006C7285" w:rsidRPr="004F04C5">
              <w:rPr>
                <w:rFonts w:asciiTheme="minorHAnsi" w:hAnsiTheme="minorHAnsi" w:cstheme="minorHAnsi"/>
                <w:sz w:val="22"/>
              </w:rPr>
              <w:t>98,55 %</w:t>
            </w:r>
            <w:r w:rsidR="004A3F76">
              <w:rPr>
                <w:rFonts w:asciiTheme="minorHAnsi" w:hAnsiTheme="minorHAnsi" w:cstheme="minorHAnsi"/>
                <w:sz w:val="22"/>
              </w:rPr>
              <w:t>)</w:t>
            </w:r>
          </w:p>
          <w:p w:rsidR="00DA6654" w:rsidRPr="004F04C5" w:rsidRDefault="00DA6654" w:rsidP="006C7285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F04C5">
              <w:rPr>
                <w:rFonts w:asciiTheme="minorHAnsi" w:hAnsiTheme="minorHAnsi" w:cstheme="minorHAnsi"/>
                <w:sz w:val="22"/>
              </w:rPr>
              <w:t>Certifikované výdaje (v Kč i %)</w:t>
            </w:r>
            <w:r w:rsidR="006C7285" w:rsidRPr="004F04C5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4A3F76">
              <w:rPr>
                <w:rFonts w:asciiTheme="minorHAnsi" w:hAnsiTheme="minorHAnsi" w:cstheme="minorHAnsi"/>
                <w:sz w:val="22"/>
              </w:rPr>
              <w:t>–</w:t>
            </w:r>
            <w:r w:rsidR="006C7285" w:rsidRPr="004F04C5">
              <w:rPr>
                <w:rFonts w:asciiTheme="minorHAnsi" w:hAnsiTheme="minorHAnsi" w:cstheme="minorHAnsi"/>
                <w:sz w:val="22"/>
              </w:rPr>
              <w:t xml:space="preserve"> 142</w:t>
            </w:r>
            <w:r w:rsidR="004A3F76">
              <w:rPr>
                <w:rFonts w:asciiTheme="minorHAnsi" w:hAnsiTheme="minorHAnsi" w:cstheme="minorHAnsi"/>
                <w:sz w:val="22"/>
              </w:rPr>
              <w:t> </w:t>
            </w:r>
            <w:r w:rsidR="006C7285" w:rsidRPr="004F04C5">
              <w:rPr>
                <w:rFonts w:asciiTheme="minorHAnsi" w:hAnsiTheme="minorHAnsi" w:cstheme="minorHAnsi"/>
                <w:sz w:val="22"/>
              </w:rPr>
              <w:t>125</w:t>
            </w:r>
            <w:r w:rsidR="004A3F76">
              <w:rPr>
                <w:rFonts w:asciiTheme="minorHAnsi" w:hAnsiTheme="minorHAnsi" w:cstheme="minorHAnsi"/>
                <w:sz w:val="22"/>
              </w:rPr>
              <w:t xml:space="preserve"> 952,32 Kč (</w:t>
            </w:r>
            <w:r w:rsidR="006C7285" w:rsidRPr="004F04C5">
              <w:rPr>
                <w:rFonts w:asciiTheme="minorHAnsi" w:hAnsiTheme="minorHAnsi" w:cstheme="minorHAnsi"/>
                <w:sz w:val="22"/>
              </w:rPr>
              <w:t>72,64 %</w:t>
            </w:r>
            <w:r w:rsidR="004A3F76">
              <w:rPr>
                <w:rFonts w:asciiTheme="minorHAnsi" w:hAnsiTheme="minorHAnsi" w:cstheme="minorHAnsi"/>
                <w:sz w:val="22"/>
              </w:rPr>
              <w:t>)</w:t>
            </w:r>
          </w:p>
        </w:tc>
      </w:tr>
      <w:tr w:rsidR="00C43F6D" w:rsidTr="00E667FC">
        <w:tc>
          <w:tcPr>
            <w:tcW w:w="2178" w:type="dxa"/>
          </w:tcPr>
          <w:p w:rsidR="00C43F6D" w:rsidRPr="004F04C5" w:rsidRDefault="00EE2A12" w:rsidP="004C4A4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4F04C5">
              <w:rPr>
                <w:rFonts w:asciiTheme="minorHAnsi" w:hAnsiTheme="minorHAnsi" w:cstheme="minorHAnsi"/>
                <w:b/>
                <w:sz w:val="22"/>
              </w:rPr>
              <w:t>Nezpůsobilé výdaje</w:t>
            </w:r>
            <w:r w:rsidR="00C43F6D" w:rsidRPr="004F04C5">
              <w:rPr>
                <w:rFonts w:asciiTheme="minorHAnsi" w:hAnsiTheme="minorHAnsi" w:cstheme="minorHAnsi"/>
                <w:b/>
                <w:sz w:val="22"/>
              </w:rPr>
              <w:t xml:space="preserve"> projektu</w:t>
            </w:r>
            <w:r w:rsidR="00C43F6D" w:rsidRPr="004F04C5">
              <w:rPr>
                <w:rFonts w:asciiTheme="minorHAnsi" w:hAnsiTheme="minorHAnsi" w:cstheme="minorHAnsi"/>
                <w:sz w:val="22"/>
              </w:rPr>
              <w:t xml:space="preserve"> (v Kč i %):</w:t>
            </w:r>
          </w:p>
        </w:tc>
        <w:tc>
          <w:tcPr>
            <w:tcW w:w="7428" w:type="dxa"/>
            <w:gridSpan w:val="5"/>
          </w:tcPr>
          <w:p w:rsidR="00C43F6D" w:rsidRPr="004F04C5" w:rsidRDefault="00983F6D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F04C5">
              <w:rPr>
                <w:rFonts w:asciiTheme="minorHAnsi" w:hAnsiTheme="minorHAnsi" w:cstheme="minorHAnsi"/>
                <w:sz w:val="22"/>
              </w:rPr>
              <w:t xml:space="preserve">90 117 442,87 Kč </w:t>
            </w:r>
            <w:r w:rsidR="008D569D" w:rsidRPr="004F04C5">
              <w:rPr>
                <w:rFonts w:asciiTheme="minorHAnsi" w:hAnsiTheme="minorHAnsi" w:cstheme="minorHAnsi"/>
                <w:sz w:val="22"/>
              </w:rPr>
              <w:t>–</w:t>
            </w:r>
            <w:r w:rsidRPr="004F04C5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8D569D" w:rsidRPr="004F04C5">
              <w:rPr>
                <w:rFonts w:asciiTheme="minorHAnsi" w:hAnsiTheme="minorHAnsi" w:cstheme="minorHAnsi"/>
                <w:sz w:val="22"/>
              </w:rPr>
              <w:t>31,53 %</w:t>
            </w:r>
          </w:p>
        </w:tc>
      </w:tr>
      <w:tr w:rsidR="00D2753C" w:rsidTr="00E667FC">
        <w:tc>
          <w:tcPr>
            <w:tcW w:w="2178" w:type="dxa"/>
          </w:tcPr>
          <w:p w:rsidR="00D2753C" w:rsidRPr="004C4A4B" w:rsidRDefault="00D2753C" w:rsidP="004C4A4B">
            <w:pPr>
              <w:spacing w:before="60" w:after="0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4C4A4B">
              <w:rPr>
                <w:rFonts w:asciiTheme="minorHAnsi" w:hAnsiTheme="minorHAnsi" w:cstheme="minorHAnsi"/>
                <w:b/>
                <w:sz w:val="22"/>
              </w:rPr>
              <w:t>Ostatní informace</w:t>
            </w:r>
          </w:p>
          <w:p w:rsidR="00D2753C" w:rsidRPr="004C4A4B" w:rsidRDefault="00D2753C" w:rsidP="004C4A4B">
            <w:pPr>
              <w:spacing w:after="60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(signalizovaná rizika, fázování apod.)</w:t>
            </w:r>
          </w:p>
        </w:tc>
        <w:tc>
          <w:tcPr>
            <w:tcW w:w="7428" w:type="dxa"/>
            <w:gridSpan w:val="5"/>
          </w:tcPr>
          <w:p w:rsidR="004C4A4B" w:rsidRPr="004C4A4B" w:rsidRDefault="004C4A4B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 xml:space="preserve">Příjemce nesplnil část milníků. </w:t>
            </w:r>
          </w:p>
          <w:p w:rsidR="004C4A4B" w:rsidRPr="004C4A4B" w:rsidRDefault="004C4A4B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>V projektu se objevilo nové klíčové vybavení bez schválení ze strany ŘO OP VaVpI.</w:t>
            </w:r>
          </w:p>
          <w:p w:rsidR="00D2753C" w:rsidRPr="004C4A4B" w:rsidRDefault="004C4A4B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4C4A4B">
              <w:rPr>
                <w:rFonts w:asciiTheme="minorHAnsi" w:hAnsiTheme="minorHAnsi" w:cstheme="minorHAnsi"/>
                <w:sz w:val="22"/>
              </w:rPr>
              <w:t xml:space="preserve"> V rámci KNM 35/2013 - 38 zjištění. Z toho 13 bez vlivu do způsobilých výdajů projektu; 8 zjištění, kde byly </w:t>
            </w:r>
            <w:r w:rsidR="00F14260" w:rsidRPr="004C4A4B">
              <w:rPr>
                <w:rFonts w:asciiTheme="minorHAnsi" w:hAnsiTheme="minorHAnsi" w:cstheme="minorHAnsi"/>
                <w:sz w:val="22"/>
              </w:rPr>
              <w:t>identifikovány</w:t>
            </w:r>
            <w:r w:rsidRPr="004C4A4B">
              <w:rPr>
                <w:rFonts w:asciiTheme="minorHAnsi" w:hAnsiTheme="minorHAnsi" w:cstheme="minorHAnsi"/>
                <w:sz w:val="22"/>
              </w:rPr>
              <w:t xml:space="preserve"> nezpůsobilé výdaje ve výši 4 179 334,92 Kč; 17 zjištění v oblasti veřejných zakázek (z toho 4 s nízkou mírou významnosti bez vlivu do způsobilých výdajů projektu a 13 zjištění, kterými jsou ohroženy výdaje v celkové </w:t>
            </w:r>
            <w:r w:rsidR="008E585B">
              <w:rPr>
                <w:rFonts w:asciiTheme="minorHAnsi" w:hAnsiTheme="minorHAnsi" w:cstheme="minorHAnsi"/>
                <w:sz w:val="22"/>
              </w:rPr>
              <w:t>výši 44 661 530 Kč) – řeší finanční úřad a/nebo ÚOHS.</w:t>
            </w:r>
          </w:p>
          <w:p w:rsidR="008E585B" w:rsidRPr="004A3F76" w:rsidRDefault="008E585B" w:rsidP="008E585B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D0D0D" w:themeColor="text1" w:themeTint="F2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Nebyla naplněná část závazných monitorovacích indikátorů -  </w:t>
            </w:r>
            <w:r w:rsidRPr="004A3F76">
              <w:rPr>
                <w:rFonts w:asciiTheme="minorHAnsi" w:hAnsiTheme="minorHAnsi" w:cstheme="minorHAnsi"/>
                <w:color w:val="0D0D0D" w:themeColor="text1" w:themeTint="F2"/>
                <w:sz w:val="22"/>
              </w:rPr>
              <w:t>110503</w:t>
            </w:r>
            <w:r>
              <w:rPr>
                <w:rFonts w:asciiTheme="minorHAnsi" w:hAnsiTheme="minorHAnsi" w:cstheme="minorHAnsi"/>
                <w:color w:val="0D0D0D" w:themeColor="text1" w:themeTint="F2"/>
                <w:sz w:val="22"/>
              </w:rPr>
              <w:t xml:space="preserve"> splněno na 67%, </w:t>
            </w:r>
            <w:r w:rsidRPr="004C4A4B">
              <w:rPr>
                <w:rFonts w:asciiTheme="minorHAnsi" w:hAnsiTheme="minorHAnsi" w:cstheme="minorHAnsi"/>
                <w:sz w:val="22"/>
              </w:rPr>
              <w:t>111200</w:t>
            </w:r>
            <w:r>
              <w:rPr>
                <w:rFonts w:asciiTheme="minorHAnsi" w:hAnsiTheme="minorHAnsi" w:cstheme="minorHAnsi"/>
                <w:sz w:val="22"/>
              </w:rPr>
              <w:t xml:space="preserve"> splněno na 92%*, </w:t>
            </w:r>
            <w:r w:rsidRPr="004C4A4B">
              <w:rPr>
                <w:rFonts w:asciiTheme="minorHAnsi" w:hAnsiTheme="minorHAnsi" w:cstheme="minorHAnsi"/>
                <w:sz w:val="22"/>
              </w:rPr>
              <w:t>074901</w:t>
            </w:r>
            <w:r>
              <w:rPr>
                <w:rFonts w:asciiTheme="minorHAnsi" w:hAnsiTheme="minorHAnsi" w:cstheme="minorHAnsi"/>
                <w:sz w:val="22"/>
              </w:rPr>
              <w:t xml:space="preserve"> splněno na 88%.</w:t>
            </w:r>
          </w:p>
          <w:p w:rsidR="004C4A4B" w:rsidRDefault="008E585B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*</w:t>
            </w:r>
            <w:r w:rsidR="004C4A4B" w:rsidRPr="004C4A4B">
              <w:rPr>
                <w:rFonts w:asciiTheme="minorHAnsi" w:hAnsiTheme="minorHAnsi" w:cstheme="minorHAnsi"/>
                <w:sz w:val="22"/>
              </w:rPr>
              <w:t>Cílová hodnota smluvního výzkumu je ještě v řešení v rámci závěrečného věcného vyhodnocení projektu.</w:t>
            </w:r>
          </w:p>
          <w:p w:rsidR="00907770" w:rsidRPr="004C4A4B" w:rsidRDefault="00907770" w:rsidP="004C4A4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 xml:space="preserve">Vysoký podíl nezpůsobilých výdajů projektu - 90 117 442,87 Kč, tj. </w:t>
            </w:r>
            <w:r w:rsidRPr="004F04C5">
              <w:rPr>
                <w:rFonts w:asciiTheme="minorHAnsi" w:hAnsiTheme="minorHAnsi" w:cstheme="minorHAnsi"/>
                <w:sz w:val="22"/>
              </w:rPr>
              <w:t>31,53 %</w:t>
            </w:r>
            <w:r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  <w:tr w:rsidR="00A431A3" w:rsidTr="00E667FC">
        <w:tc>
          <w:tcPr>
            <w:tcW w:w="9606" w:type="dxa"/>
            <w:gridSpan w:val="6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Udržitelnost projektu</w:t>
            </w:r>
          </w:p>
        </w:tc>
      </w:tr>
      <w:tr w:rsidR="00E667FC" w:rsidTr="00E667FC">
        <w:tc>
          <w:tcPr>
            <w:tcW w:w="2178" w:type="dxa"/>
          </w:tcPr>
          <w:p w:rsidR="00E667FC" w:rsidRDefault="00E667FC" w:rsidP="00C16725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428" w:type="dxa"/>
            <w:gridSpan w:val="5"/>
          </w:tcPr>
          <w:p w:rsidR="00E667FC" w:rsidRPr="00E667FC" w:rsidRDefault="00E667FC" w:rsidP="00E667FC">
            <w:pPr>
              <w:tabs>
                <w:tab w:val="left" w:pos="1695"/>
              </w:tabs>
              <w:spacing w:before="60" w:after="60" w:line="240" w:lineRule="auto"/>
              <w:rPr>
                <w:sz w:val="18"/>
              </w:rPr>
            </w:pPr>
          </w:p>
        </w:tc>
      </w:tr>
      <w:tr w:rsidR="00E667FC" w:rsidTr="00E667FC">
        <w:tc>
          <w:tcPr>
            <w:tcW w:w="2178" w:type="dxa"/>
          </w:tcPr>
          <w:p w:rsidR="00E667FC" w:rsidRDefault="00E667FC" w:rsidP="00C16725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428" w:type="dxa"/>
            <w:gridSpan w:val="5"/>
          </w:tcPr>
          <w:p w:rsidR="00E667FC" w:rsidRPr="00E667FC" w:rsidRDefault="006E6C0E" w:rsidP="00E667FC">
            <w:pPr>
              <w:tabs>
                <w:tab w:val="left" w:pos="1695"/>
              </w:tabs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V rámci druhé výzvy (výsledky vyhlášeny 3. 3. 2014),  byla centru přiznána podpora z NPU I na pětileté období ve výši 66 992 tis. Kč. </w:t>
            </w:r>
          </w:p>
        </w:tc>
      </w:tr>
      <w:tr w:rsidR="009E437E" w:rsidTr="00E667FC">
        <w:tc>
          <w:tcPr>
            <w:tcW w:w="2178" w:type="dxa"/>
          </w:tcPr>
          <w:p w:rsidR="009E437E" w:rsidRPr="00AE72C5" w:rsidRDefault="009E437E" w:rsidP="009E4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428" w:type="dxa"/>
            <w:gridSpan w:val="5"/>
          </w:tcPr>
          <w:p w:rsidR="00270984" w:rsidRDefault="00270984" w:rsidP="00270984">
            <w:pPr>
              <w:tabs>
                <w:tab w:val="left" w:pos="1695"/>
              </w:tabs>
              <w:spacing w:before="60" w:after="60" w:line="240" w:lineRule="auto"/>
              <w:rPr>
                <w:sz w:val="18"/>
              </w:rPr>
            </w:pPr>
            <w:r w:rsidRPr="00E667FC">
              <w:rPr>
                <w:sz w:val="18"/>
              </w:rPr>
              <w:t>Současn</w:t>
            </w:r>
            <w:r>
              <w:rPr>
                <w:sz w:val="18"/>
              </w:rPr>
              <w:t xml:space="preserve">ý počet výzkumníků: 60. </w:t>
            </w:r>
            <w:r w:rsidRPr="00E667FC">
              <w:rPr>
                <w:sz w:val="18"/>
              </w:rPr>
              <w:t>Plánovan</w:t>
            </w:r>
            <w:r>
              <w:rPr>
                <w:sz w:val="18"/>
              </w:rPr>
              <w:t>ý počet výzkumníků: 57.</w:t>
            </w:r>
          </w:p>
          <w:p w:rsidR="009E437E" w:rsidRDefault="00270984" w:rsidP="00707C5C">
            <w:pPr>
              <w:tabs>
                <w:tab w:val="left" w:pos="1695"/>
              </w:tabs>
              <w:spacing w:before="60" w:after="60" w:line="240" w:lineRule="auto"/>
              <w:rPr>
                <w:sz w:val="18"/>
              </w:rPr>
            </w:pPr>
            <w:r w:rsidRPr="00E667FC">
              <w:rPr>
                <w:sz w:val="18"/>
              </w:rPr>
              <w:t>Zahraniční výzkumníci v současnosti z</w:t>
            </w:r>
            <w:r>
              <w:rPr>
                <w:sz w:val="18"/>
              </w:rPr>
              <w:t xml:space="preserve">apojení do výzkumu: 7.  </w:t>
            </w:r>
            <w:r w:rsidRPr="00E667FC">
              <w:rPr>
                <w:sz w:val="18"/>
              </w:rPr>
              <w:t>Projektem plánovaní zahraniční výzkumníci po realizaci pr</w:t>
            </w:r>
            <w:r>
              <w:rPr>
                <w:sz w:val="18"/>
              </w:rPr>
              <w:t>ojektu: mimo projekt 8 post</w:t>
            </w:r>
            <w:r w:rsidR="006E6C0E">
              <w:rPr>
                <w:sz w:val="18"/>
              </w:rPr>
              <w:t xml:space="preserve"> </w:t>
            </w:r>
            <w:r>
              <w:rPr>
                <w:sz w:val="18"/>
              </w:rPr>
              <w:t>doktorandů</w:t>
            </w:r>
            <w:r w:rsidRPr="00E667FC">
              <w:rPr>
                <w:sz w:val="18"/>
              </w:rPr>
              <w:t>, 1 zahraniční doktorský student, 1 doktorský student české národnosti zaměstnaný v</w:t>
            </w:r>
            <w:r>
              <w:rPr>
                <w:sz w:val="18"/>
              </w:rPr>
              <w:t> </w:t>
            </w:r>
            <w:r w:rsidRPr="00E667FC">
              <w:rPr>
                <w:sz w:val="18"/>
              </w:rPr>
              <w:t>SRN</w:t>
            </w:r>
            <w:r>
              <w:rPr>
                <w:sz w:val="18"/>
              </w:rPr>
              <w:t>.</w:t>
            </w:r>
          </w:p>
          <w:p w:rsidR="00DD5C1C" w:rsidRPr="00E667FC" w:rsidRDefault="00DD5C1C" w:rsidP="00707C5C">
            <w:pPr>
              <w:tabs>
                <w:tab w:val="left" w:pos="1695"/>
              </w:tabs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Řada indikátorů udržitelnosti má konkrétní technický parametr, který má být výzkumem dosažen (viz výše).</w:t>
            </w:r>
          </w:p>
        </w:tc>
      </w:tr>
      <w:tr w:rsidR="00D2753C" w:rsidTr="00E667FC">
        <w:tc>
          <w:tcPr>
            <w:tcW w:w="2178" w:type="dxa"/>
          </w:tcPr>
          <w:p w:rsidR="00D2753C" w:rsidRDefault="009E437E" w:rsidP="009E4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428" w:type="dxa"/>
            <w:gridSpan w:val="5"/>
          </w:tcPr>
          <w:p w:rsidR="00D2753C" w:rsidRDefault="00DC2975" w:rsidP="00DC2975">
            <w:pPr>
              <w:spacing w:before="60" w:after="60" w:line="240" w:lineRule="auto"/>
              <w:rPr>
                <w:sz w:val="18"/>
              </w:rPr>
            </w:pPr>
            <w:r w:rsidRPr="00270984">
              <w:rPr>
                <w:sz w:val="18"/>
              </w:rPr>
              <w:t xml:space="preserve">Centrum je vybudováno v pronajatých prostorách VTP Roztoky. </w:t>
            </w:r>
            <w:r w:rsidR="00DD5C1C">
              <w:rPr>
                <w:sz w:val="18"/>
              </w:rPr>
              <w:t xml:space="preserve"> Celková dotace se pohybovala kolem 200 mil. Kč., z toho více jak 150 mil. Kč bylo směřováno na pořízení přístrojového vybavení.</w:t>
            </w:r>
          </w:p>
          <w:p w:rsidR="00707C5C" w:rsidRPr="00270984" w:rsidRDefault="00707C5C" w:rsidP="00DC2975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Výzkum se zaměřuje na vývoj úsporných pístových motorů a dalších hnacích agregátů pro motorová vozidla a energetiku. Předmětem zájmu je i komplexní řešení pohonu automobilů spojením spalovacích motorů s elektropohonem, akumulací energie apod.</w:t>
            </w:r>
          </w:p>
          <w:p w:rsidR="00DC2975" w:rsidRPr="00270984" w:rsidRDefault="00DC2975" w:rsidP="00DC2975">
            <w:pPr>
              <w:spacing w:before="60" w:after="60" w:line="240" w:lineRule="auto"/>
              <w:rPr>
                <w:sz w:val="18"/>
              </w:rPr>
            </w:pPr>
            <w:r w:rsidRPr="00270984">
              <w:rPr>
                <w:sz w:val="18"/>
              </w:rPr>
              <w:t xml:space="preserve">Technicky na dobré úrovni, personálně zajištěné odbornými pracovníky ČVUT v Praze. </w:t>
            </w:r>
          </w:p>
          <w:p w:rsidR="00DC2975" w:rsidRDefault="00DC2975" w:rsidP="00270984">
            <w:pPr>
              <w:spacing w:before="60" w:after="60" w:line="240" w:lineRule="auto"/>
            </w:pPr>
            <w:r w:rsidRPr="00270984">
              <w:rPr>
                <w:sz w:val="18"/>
              </w:rPr>
              <w:t>Rizikem pro budoucnost centra je jeho úzké zaměření na automobilový průmysl a skutečnost, že je umístěno v pronajatých prostorách, což negativně ovlivňuje provozní náročnost.</w:t>
            </w:r>
          </w:p>
        </w:tc>
      </w:tr>
      <w:tr w:rsidR="00D2753C" w:rsidTr="00E667FC">
        <w:tc>
          <w:tcPr>
            <w:tcW w:w="2178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428" w:type="dxa"/>
            <w:gridSpan w:val="5"/>
          </w:tcPr>
          <w:p w:rsidR="00E667FC" w:rsidRDefault="00E667FC" w:rsidP="00E667FC">
            <w:pPr>
              <w:tabs>
                <w:tab w:val="left" w:pos="1695"/>
              </w:tabs>
              <w:spacing w:before="60" w:after="60" w:line="240" w:lineRule="auto"/>
              <w:rPr>
                <w:sz w:val="18"/>
              </w:rPr>
            </w:pPr>
            <w:r w:rsidRPr="00270984">
              <w:rPr>
                <w:b/>
                <w:i/>
                <w:sz w:val="18"/>
              </w:rPr>
              <w:t>Tuzemští partneři:</w:t>
            </w:r>
            <w:r w:rsidR="00270984">
              <w:rPr>
                <w:sz w:val="18"/>
              </w:rPr>
              <w:t xml:space="preserve"> </w:t>
            </w:r>
            <w:r w:rsidRPr="00E667FC">
              <w:rPr>
                <w:sz w:val="18"/>
              </w:rPr>
              <w:t xml:space="preserve">Škoda Auto a.s., PBS Turbo a.s., ČZ a.s., Motorpal a.s., </w:t>
            </w:r>
            <w:proofErr w:type="spellStart"/>
            <w:r w:rsidRPr="00E667FC">
              <w:rPr>
                <w:sz w:val="18"/>
              </w:rPr>
              <w:t>Honeywell</w:t>
            </w:r>
            <w:proofErr w:type="spellEnd"/>
            <w:r w:rsidRPr="00E667FC">
              <w:rPr>
                <w:sz w:val="18"/>
              </w:rPr>
              <w:t xml:space="preserve"> spol. s r.o. (</w:t>
            </w:r>
            <w:proofErr w:type="spellStart"/>
            <w:r w:rsidRPr="00E667FC">
              <w:rPr>
                <w:sz w:val="18"/>
              </w:rPr>
              <w:t>Honeywell</w:t>
            </w:r>
            <w:proofErr w:type="spellEnd"/>
            <w:r w:rsidRPr="00E667FC">
              <w:rPr>
                <w:sz w:val="18"/>
              </w:rPr>
              <w:t xml:space="preserve"> Turbo Technologies a </w:t>
            </w:r>
            <w:proofErr w:type="spellStart"/>
            <w:r w:rsidRPr="00E667FC">
              <w:rPr>
                <w:sz w:val="18"/>
              </w:rPr>
              <w:t>Control</w:t>
            </w:r>
            <w:proofErr w:type="spellEnd"/>
            <w:r w:rsidRPr="00E667FC">
              <w:rPr>
                <w:sz w:val="18"/>
              </w:rPr>
              <w:t xml:space="preserve"> </w:t>
            </w:r>
            <w:proofErr w:type="spellStart"/>
            <w:r w:rsidRPr="00E667FC">
              <w:rPr>
                <w:sz w:val="18"/>
              </w:rPr>
              <w:t>Laboratory</w:t>
            </w:r>
            <w:proofErr w:type="spellEnd"/>
            <w:r w:rsidRPr="00E667FC">
              <w:rPr>
                <w:sz w:val="18"/>
              </w:rPr>
              <w:t xml:space="preserve">), Ricardo Prague s.r.o., Porsche </w:t>
            </w:r>
            <w:proofErr w:type="spellStart"/>
            <w:r w:rsidRPr="00E667FC">
              <w:rPr>
                <w:sz w:val="18"/>
              </w:rPr>
              <w:t>Engineering</w:t>
            </w:r>
            <w:proofErr w:type="spellEnd"/>
            <w:r w:rsidRPr="00E667FC">
              <w:rPr>
                <w:sz w:val="18"/>
              </w:rPr>
              <w:t xml:space="preserve"> </w:t>
            </w:r>
            <w:proofErr w:type="spellStart"/>
            <w:r w:rsidRPr="00E667FC">
              <w:rPr>
                <w:sz w:val="18"/>
              </w:rPr>
              <w:t>Services</w:t>
            </w:r>
            <w:proofErr w:type="spellEnd"/>
            <w:r w:rsidRPr="00E667FC">
              <w:rPr>
                <w:sz w:val="18"/>
              </w:rPr>
              <w:t xml:space="preserve"> Praha s.r.o., </w:t>
            </w:r>
            <w:proofErr w:type="spellStart"/>
            <w:r w:rsidRPr="00E667FC">
              <w:rPr>
                <w:sz w:val="18"/>
              </w:rPr>
              <w:t>Aicta</w:t>
            </w:r>
            <w:proofErr w:type="spellEnd"/>
            <w:r w:rsidRPr="00E667FC">
              <w:rPr>
                <w:sz w:val="18"/>
              </w:rPr>
              <w:t xml:space="preserve"> Design </w:t>
            </w:r>
            <w:proofErr w:type="spellStart"/>
            <w:r w:rsidRPr="00E667FC">
              <w:rPr>
                <w:sz w:val="18"/>
              </w:rPr>
              <w:t>Work</w:t>
            </w:r>
            <w:proofErr w:type="spellEnd"/>
            <w:r w:rsidRPr="00E667FC">
              <w:rPr>
                <w:sz w:val="18"/>
              </w:rPr>
              <w:t xml:space="preserve"> s.r.o., </w:t>
            </w:r>
            <w:proofErr w:type="spellStart"/>
            <w:r w:rsidRPr="00E667FC">
              <w:rPr>
                <w:sz w:val="18"/>
              </w:rPr>
              <w:t>Jihostroj</w:t>
            </w:r>
            <w:proofErr w:type="spellEnd"/>
            <w:r w:rsidRPr="00E667FC">
              <w:rPr>
                <w:sz w:val="18"/>
              </w:rPr>
              <w:t xml:space="preserve"> Velešín a.s., </w:t>
            </w:r>
            <w:proofErr w:type="spellStart"/>
            <w:r w:rsidRPr="00E667FC">
              <w:rPr>
                <w:sz w:val="18"/>
              </w:rPr>
              <w:t>Brano</w:t>
            </w:r>
            <w:proofErr w:type="spellEnd"/>
            <w:r w:rsidRPr="00E667FC">
              <w:rPr>
                <w:sz w:val="18"/>
              </w:rPr>
              <w:t xml:space="preserve"> a.s., </w:t>
            </w:r>
            <w:proofErr w:type="spellStart"/>
            <w:r w:rsidRPr="00E667FC">
              <w:rPr>
                <w:sz w:val="18"/>
              </w:rPr>
              <w:t>MBtech</w:t>
            </w:r>
            <w:proofErr w:type="spellEnd"/>
            <w:r w:rsidRPr="00E667FC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Bohemia s.r.o., KPMG,  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</w:p>
          <w:p w:rsidR="00D2753C" w:rsidRDefault="00E667FC" w:rsidP="00270984">
            <w:pPr>
              <w:tabs>
                <w:tab w:val="left" w:pos="1695"/>
              </w:tabs>
              <w:spacing w:before="60" w:after="60" w:line="240" w:lineRule="auto"/>
              <w:rPr>
                <w:sz w:val="18"/>
              </w:rPr>
            </w:pPr>
            <w:r w:rsidRPr="00270984">
              <w:rPr>
                <w:b/>
                <w:i/>
                <w:sz w:val="18"/>
              </w:rPr>
              <w:t>Zahraničí partneři výzkumu:</w:t>
            </w:r>
            <w:r w:rsidR="00270984">
              <w:rPr>
                <w:sz w:val="18"/>
              </w:rPr>
              <w:t xml:space="preserve">  </w:t>
            </w:r>
            <w:r w:rsidRPr="00E667FC">
              <w:rPr>
                <w:sz w:val="18"/>
              </w:rPr>
              <w:t xml:space="preserve">Renault </w:t>
            </w:r>
            <w:proofErr w:type="spellStart"/>
            <w:r w:rsidRPr="00E667FC">
              <w:rPr>
                <w:sz w:val="18"/>
              </w:rPr>
              <w:t>Regienov</w:t>
            </w:r>
            <w:proofErr w:type="spellEnd"/>
            <w:r w:rsidRPr="00E667FC">
              <w:rPr>
                <w:sz w:val="18"/>
              </w:rPr>
              <w:t xml:space="preserve">, </w:t>
            </w:r>
            <w:proofErr w:type="spellStart"/>
            <w:r w:rsidRPr="00E667FC">
              <w:rPr>
                <w:sz w:val="18"/>
              </w:rPr>
              <w:t>Gamma</w:t>
            </w:r>
            <w:proofErr w:type="spellEnd"/>
            <w:r w:rsidRPr="00E667FC">
              <w:rPr>
                <w:sz w:val="18"/>
              </w:rPr>
              <w:t xml:space="preserve"> Technologies Inc., AVL List </w:t>
            </w:r>
            <w:proofErr w:type="spellStart"/>
            <w:r w:rsidRPr="00E667FC">
              <w:rPr>
                <w:sz w:val="18"/>
              </w:rPr>
              <w:t>GmbH</w:t>
            </w:r>
            <w:proofErr w:type="spellEnd"/>
            <w:r w:rsidRPr="00E667FC">
              <w:rPr>
                <w:sz w:val="18"/>
              </w:rPr>
              <w:t xml:space="preserve">., </w:t>
            </w:r>
            <w:proofErr w:type="spellStart"/>
            <w:r w:rsidRPr="00E667FC">
              <w:rPr>
                <w:sz w:val="18"/>
              </w:rPr>
              <w:t>Virtual</w:t>
            </w:r>
            <w:proofErr w:type="spellEnd"/>
            <w:r w:rsidRPr="00E667FC">
              <w:rPr>
                <w:sz w:val="18"/>
              </w:rPr>
              <w:t xml:space="preserve"> </w:t>
            </w:r>
            <w:proofErr w:type="spellStart"/>
            <w:r w:rsidRPr="00E667FC">
              <w:rPr>
                <w:sz w:val="18"/>
              </w:rPr>
              <w:t>Vehicle</w:t>
            </w:r>
            <w:proofErr w:type="spellEnd"/>
            <w:r w:rsidRPr="00E667FC">
              <w:rPr>
                <w:sz w:val="18"/>
              </w:rPr>
              <w:t xml:space="preserve"> Centre </w:t>
            </w:r>
            <w:proofErr w:type="spellStart"/>
            <w:r w:rsidRPr="00E667FC">
              <w:rPr>
                <w:sz w:val="18"/>
              </w:rPr>
              <w:t>GmbH</w:t>
            </w:r>
            <w:proofErr w:type="spellEnd"/>
            <w:r w:rsidRPr="00E667FC">
              <w:rPr>
                <w:sz w:val="18"/>
              </w:rPr>
              <w:t xml:space="preserve">. University </w:t>
            </w:r>
            <w:proofErr w:type="spellStart"/>
            <w:r w:rsidRPr="00E667FC">
              <w:rPr>
                <w:sz w:val="18"/>
              </w:rPr>
              <w:t>of</w:t>
            </w:r>
            <w:proofErr w:type="spellEnd"/>
            <w:r w:rsidRPr="00E667FC">
              <w:rPr>
                <w:sz w:val="18"/>
              </w:rPr>
              <w:t xml:space="preserve"> </w:t>
            </w:r>
            <w:proofErr w:type="spellStart"/>
            <w:r w:rsidRPr="00E667FC">
              <w:rPr>
                <w:sz w:val="18"/>
              </w:rPr>
              <w:t>Firenze</w:t>
            </w:r>
            <w:proofErr w:type="spellEnd"/>
            <w:r w:rsidRPr="00E667FC">
              <w:rPr>
                <w:sz w:val="18"/>
              </w:rPr>
              <w:t xml:space="preserve">, </w:t>
            </w:r>
            <w:proofErr w:type="spellStart"/>
            <w:r w:rsidRPr="00E667FC">
              <w:rPr>
                <w:sz w:val="18"/>
              </w:rPr>
              <w:t>Polytechnical</w:t>
            </w:r>
            <w:proofErr w:type="spellEnd"/>
            <w:r w:rsidRPr="00E667FC">
              <w:rPr>
                <w:sz w:val="18"/>
              </w:rPr>
              <w:t xml:space="preserve"> University </w:t>
            </w:r>
            <w:proofErr w:type="spellStart"/>
            <w:r w:rsidRPr="00E667FC">
              <w:rPr>
                <w:sz w:val="18"/>
              </w:rPr>
              <w:t>Valencia</w:t>
            </w:r>
            <w:proofErr w:type="spellEnd"/>
            <w:r w:rsidRPr="00E667FC">
              <w:rPr>
                <w:sz w:val="18"/>
              </w:rPr>
              <w:t xml:space="preserve">, IFP </w:t>
            </w:r>
            <w:proofErr w:type="spellStart"/>
            <w:r w:rsidRPr="00E667FC">
              <w:rPr>
                <w:sz w:val="18"/>
              </w:rPr>
              <w:t>Energies</w:t>
            </w:r>
            <w:proofErr w:type="spellEnd"/>
            <w:r w:rsidRPr="00E667FC">
              <w:rPr>
                <w:sz w:val="18"/>
              </w:rPr>
              <w:t xml:space="preserve"> </w:t>
            </w:r>
            <w:proofErr w:type="spellStart"/>
            <w:r w:rsidRPr="00E667FC">
              <w:rPr>
                <w:sz w:val="18"/>
              </w:rPr>
              <w:t>Nouvelle</w:t>
            </w:r>
            <w:proofErr w:type="spellEnd"/>
            <w:r w:rsidRPr="00E667FC">
              <w:rPr>
                <w:sz w:val="18"/>
              </w:rPr>
              <w:t xml:space="preserve"> Paris, </w:t>
            </w:r>
            <w:proofErr w:type="spellStart"/>
            <w:r w:rsidRPr="00E667FC">
              <w:rPr>
                <w:sz w:val="18"/>
              </w:rPr>
              <w:t>Eaton</w:t>
            </w:r>
            <w:proofErr w:type="spellEnd"/>
            <w:r w:rsidRPr="00E667FC">
              <w:rPr>
                <w:sz w:val="18"/>
              </w:rPr>
              <w:t xml:space="preserve"> </w:t>
            </w:r>
            <w:proofErr w:type="spellStart"/>
            <w:r w:rsidRPr="00E667FC">
              <w:rPr>
                <w:sz w:val="18"/>
              </w:rPr>
              <w:t>European</w:t>
            </w:r>
            <w:proofErr w:type="spellEnd"/>
            <w:r w:rsidRPr="00E667FC">
              <w:rPr>
                <w:sz w:val="18"/>
              </w:rPr>
              <w:t xml:space="preserve"> </w:t>
            </w:r>
            <w:proofErr w:type="spellStart"/>
            <w:r w:rsidRPr="00E667FC">
              <w:rPr>
                <w:sz w:val="18"/>
              </w:rPr>
              <w:t>Innovation</w:t>
            </w:r>
            <w:proofErr w:type="spellEnd"/>
            <w:r w:rsidRPr="00E667FC">
              <w:rPr>
                <w:sz w:val="18"/>
              </w:rPr>
              <w:t xml:space="preserve"> Center Prague (</w:t>
            </w:r>
            <w:proofErr w:type="spellStart"/>
            <w:r w:rsidRPr="00E667FC">
              <w:rPr>
                <w:sz w:val="18"/>
              </w:rPr>
              <w:t>Eaton</w:t>
            </w:r>
            <w:proofErr w:type="spellEnd"/>
            <w:r w:rsidRPr="00E667FC">
              <w:rPr>
                <w:sz w:val="18"/>
              </w:rPr>
              <w:t xml:space="preserve"> Elektrotechnika), Continental AG, Robert Bosch </w:t>
            </w:r>
            <w:proofErr w:type="spellStart"/>
            <w:r w:rsidRPr="00E667FC">
              <w:rPr>
                <w:sz w:val="18"/>
              </w:rPr>
              <w:t>G</w:t>
            </w:r>
            <w:r w:rsidR="00270984">
              <w:rPr>
                <w:sz w:val="18"/>
              </w:rPr>
              <w:t>mbH</w:t>
            </w:r>
            <w:proofErr w:type="spellEnd"/>
            <w:r w:rsidR="00270984">
              <w:rPr>
                <w:sz w:val="18"/>
              </w:rPr>
              <w:t xml:space="preserve">., VW AG, </w:t>
            </w:r>
            <w:r w:rsidR="00270984">
              <w:rPr>
                <w:sz w:val="18"/>
              </w:rPr>
              <w:tab/>
            </w:r>
            <w:r w:rsidR="00270984">
              <w:rPr>
                <w:sz w:val="18"/>
              </w:rPr>
              <w:tab/>
            </w:r>
            <w:r w:rsidR="00270984">
              <w:rPr>
                <w:sz w:val="18"/>
              </w:rPr>
              <w:tab/>
            </w:r>
            <w:r w:rsidR="00270984">
              <w:rPr>
                <w:sz w:val="18"/>
              </w:rPr>
              <w:tab/>
            </w:r>
            <w:r w:rsidRPr="00E667FC">
              <w:rPr>
                <w:sz w:val="18"/>
              </w:rPr>
              <w:tab/>
            </w:r>
          </w:p>
        </w:tc>
      </w:tr>
      <w:tr w:rsidR="00D2753C" w:rsidTr="00E667FC">
        <w:tc>
          <w:tcPr>
            <w:tcW w:w="2178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</w:t>
            </w:r>
            <w:r w:rsidR="00C43F6D">
              <w:rPr>
                <w:rFonts w:ascii="Arial" w:hAnsi="Arial" w:cs="Arial"/>
                <w:b/>
                <w:sz w:val="20"/>
              </w:rPr>
              <w:t xml:space="preserve"> z hlediska udržitelnosti</w:t>
            </w:r>
          </w:p>
        </w:tc>
        <w:tc>
          <w:tcPr>
            <w:tcW w:w="7428" w:type="dxa"/>
            <w:gridSpan w:val="5"/>
          </w:tcPr>
          <w:p w:rsidR="00270984" w:rsidRDefault="0027098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A – B – zdůvodnění</w:t>
            </w:r>
          </w:p>
          <w:p w:rsidR="00270984" w:rsidRDefault="00270984" w:rsidP="00270984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</w:rPr>
            </w:pPr>
            <w:r w:rsidRPr="00270984">
              <w:rPr>
                <w:rFonts w:ascii="Times New Roman" w:hAnsi="Times New Roman" w:cs="Times New Roman"/>
                <w:sz w:val="18"/>
              </w:rPr>
              <w:t>výzkumníci dojíždí z</w:t>
            </w:r>
            <w:r>
              <w:rPr>
                <w:rFonts w:ascii="Times New Roman" w:hAnsi="Times New Roman" w:cs="Times New Roman"/>
                <w:sz w:val="18"/>
              </w:rPr>
              <w:t> </w:t>
            </w:r>
            <w:r w:rsidRPr="00270984">
              <w:rPr>
                <w:rFonts w:ascii="Times New Roman" w:hAnsi="Times New Roman" w:cs="Times New Roman"/>
                <w:sz w:val="18"/>
              </w:rPr>
              <w:t>Prahy</w:t>
            </w:r>
            <w:r>
              <w:rPr>
                <w:rFonts w:ascii="Times New Roman" w:hAnsi="Times New Roman" w:cs="Times New Roman"/>
                <w:sz w:val="18"/>
              </w:rPr>
              <w:t>,</w:t>
            </w:r>
          </w:p>
          <w:p w:rsidR="00270984" w:rsidRDefault="00270984" w:rsidP="00270984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řada výzkumníků pracuje na částečný úvazek, domovským zaměstnavatelem je ČVUT</w:t>
            </w:r>
          </w:p>
          <w:p w:rsidR="00DD5C1C" w:rsidRPr="00270984" w:rsidRDefault="00DD5C1C" w:rsidP="00270984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již v průběhu realizace problémy s plněním harmonogramu, nyní s plněním všech indikátorů udržitelnosti. </w:t>
            </w:r>
          </w:p>
        </w:tc>
      </w:tr>
      <w:tr w:rsidR="00D2753C" w:rsidTr="00E667FC">
        <w:tc>
          <w:tcPr>
            <w:tcW w:w="2178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428" w:type="dxa"/>
            <w:gridSpan w:val="5"/>
          </w:tcPr>
          <w:p w:rsidR="00D2753C" w:rsidRDefault="00D2753C" w:rsidP="00DD26D3">
            <w:pPr>
              <w:spacing w:before="60" w:after="60" w:line="240" w:lineRule="auto"/>
              <w:rPr>
                <w:sz w:val="18"/>
              </w:rPr>
            </w:pP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037013F"/>
    <w:multiLevelType w:val="hybridMultilevel"/>
    <w:tmpl w:val="EED62894"/>
    <w:lvl w:ilvl="0" w:tplc="DE66A4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7"/>
  </w:num>
  <w:num w:numId="5">
    <w:abstractNumId w:val="7"/>
  </w:num>
  <w:num w:numId="6">
    <w:abstractNumId w:val="0"/>
  </w:num>
  <w:num w:numId="7">
    <w:abstractNumId w:val="9"/>
  </w:num>
  <w:num w:numId="8">
    <w:abstractNumId w:val="10"/>
  </w:num>
  <w:num w:numId="9">
    <w:abstractNumId w:val="2"/>
  </w:num>
  <w:num w:numId="10">
    <w:abstractNumId w:val="11"/>
  </w:num>
  <w:num w:numId="11">
    <w:abstractNumId w:val="8"/>
  </w:num>
  <w:num w:numId="12">
    <w:abstractNumId w:val="5"/>
  </w:num>
  <w:num w:numId="13">
    <w:abstractNumId w:val="3"/>
  </w:num>
  <w:num w:numId="14">
    <w:abstractNumId w:val="7"/>
  </w:num>
  <w:num w:numId="15">
    <w:abstractNumId w:val="1"/>
  </w:num>
  <w:num w:numId="16">
    <w:abstractNumId w:val="7"/>
  </w:num>
  <w:num w:numId="17">
    <w:abstractNumId w:val="7"/>
  </w:num>
  <w:num w:numId="18">
    <w:abstractNumId w:val="12"/>
  </w:num>
  <w:num w:numId="19">
    <w:abstractNumId w:val="0"/>
  </w:num>
  <w:num w:numId="20">
    <w:abstractNumId w:val="9"/>
  </w:num>
  <w:num w:numId="21">
    <w:abstractNumId w:val="10"/>
  </w:num>
  <w:num w:numId="22">
    <w:abstractNumId w:val="2"/>
  </w:num>
  <w:num w:numId="23">
    <w:abstractNumId w:val="1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2DBE"/>
    <w:rsid w:val="0004245B"/>
    <w:rsid w:val="0005178F"/>
    <w:rsid w:val="000A69DE"/>
    <w:rsid w:val="000B7BB7"/>
    <w:rsid w:val="000F0945"/>
    <w:rsid w:val="0010270A"/>
    <w:rsid w:val="0018459D"/>
    <w:rsid w:val="001845D5"/>
    <w:rsid w:val="001902D0"/>
    <w:rsid w:val="001B09DB"/>
    <w:rsid w:val="001B2134"/>
    <w:rsid w:val="00235AE1"/>
    <w:rsid w:val="00270984"/>
    <w:rsid w:val="002A102B"/>
    <w:rsid w:val="002B4A3E"/>
    <w:rsid w:val="002C69A4"/>
    <w:rsid w:val="00431B1E"/>
    <w:rsid w:val="004A1A77"/>
    <w:rsid w:val="004A3F76"/>
    <w:rsid w:val="004B63E9"/>
    <w:rsid w:val="004C4832"/>
    <w:rsid w:val="004C4A4B"/>
    <w:rsid w:val="004D6F6B"/>
    <w:rsid w:val="004F04C5"/>
    <w:rsid w:val="00500997"/>
    <w:rsid w:val="0052281E"/>
    <w:rsid w:val="00526313"/>
    <w:rsid w:val="00595603"/>
    <w:rsid w:val="005D613D"/>
    <w:rsid w:val="005F27AE"/>
    <w:rsid w:val="00614FB9"/>
    <w:rsid w:val="00686EA8"/>
    <w:rsid w:val="006C7285"/>
    <w:rsid w:val="006E6C0E"/>
    <w:rsid w:val="007011BD"/>
    <w:rsid w:val="00707C5C"/>
    <w:rsid w:val="00737A93"/>
    <w:rsid w:val="00742563"/>
    <w:rsid w:val="0076345C"/>
    <w:rsid w:val="00774A9C"/>
    <w:rsid w:val="007A62D7"/>
    <w:rsid w:val="0081225A"/>
    <w:rsid w:val="0081392A"/>
    <w:rsid w:val="008146D9"/>
    <w:rsid w:val="008353DD"/>
    <w:rsid w:val="008D569D"/>
    <w:rsid w:val="008E585B"/>
    <w:rsid w:val="00907770"/>
    <w:rsid w:val="009360DE"/>
    <w:rsid w:val="009372B3"/>
    <w:rsid w:val="00983F6D"/>
    <w:rsid w:val="009A649C"/>
    <w:rsid w:val="009E437E"/>
    <w:rsid w:val="00A0019C"/>
    <w:rsid w:val="00A431A3"/>
    <w:rsid w:val="00A74241"/>
    <w:rsid w:val="00A7545D"/>
    <w:rsid w:val="00AA442B"/>
    <w:rsid w:val="00AD65D3"/>
    <w:rsid w:val="00AE3A87"/>
    <w:rsid w:val="00AE72C5"/>
    <w:rsid w:val="00AF6EBB"/>
    <w:rsid w:val="00B07516"/>
    <w:rsid w:val="00B31B5B"/>
    <w:rsid w:val="00BD1371"/>
    <w:rsid w:val="00C217DD"/>
    <w:rsid w:val="00C43F6D"/>
    <w:rsid w:val="00C56390"/>
    <w:rsid w:val="00C92258"/>
    <w:rsid w:val="00CC6243"/>
    <w:rsid w:val="00D03FD2"/>
    <w:rsid w:val="00D2753C"/>
    <w:rsid w:val="00D44486"/>
    <w:rsid w:val="00DA6654"/>
    <w:rsid w:val="00DA7033"/>
    <w:rsid w:val="00DC2975"/>
    <w:rsid w:val="00DD26D3"/>
    <w:rsid w:val="00DD5C1C"/>
    <w:rsid w:val="00DF5691"/>
    <w:rsid w:val="00E05352"/>
    <w:rsid w:val="00E20092"/>
    <w:rsid w:val="00E43C3D"/>
    <w:rsid w:val="00E667FC"/>
    <w:rsid w:val="00E71CB7"/>
    <w:rsid w:val="00EC3BBE"/>
    <w:rsid w:val="00EE2A12"/>
    <w:rsid w:val="00F0067F"/>
    <w:rsid w:val="00F14260"/>
    <w:rsid w:val="00F25553"/>
    <w:rsid w:val="00F34368"/>
    <w:rsid w:val="00F74C5F"/>
    <w:rsid w:val="00F9010E"/>
    <w:rsid w:val="00FA0F95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cíl se seznamem"/>
    <w:basedOn w:val="Normln"/>
    <w:link w:val="OdstavecseseznamemChar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character" w:customStyle="1" w:styleId="OdstavecseseznamemChar">
    <w:name w:val="Odstavec se seznamem Char"/>
    <w:aliases w:val="Odstavec cíl se seznamem Char"/>
    <w:basedOn w:val="Standardnpsmoodstavce"/>
    <w:link w:val="Odstavecseseznamem"/>
    <w:uiPriority w:val="34"/>
    <w:locked/>
    <w:rsid w:val="004B63E9"/>
    <w:rPr>
      <w:rFonts w:ascii="Calibri" w:eastAsia="Times New Roman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cíl se seznamem"/>
    <w:basedOn w:val="Normln"/>
    <w:link w:val="OdstavecseseznamemChar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character" w:customStyle="1" w:styleId="OdstavecseseznamemChar">
    <w:name w:val="Odstavec se seznamem Char"/>
    <w:aliases w:val="Odstavec cíl se seznamem Char"/>
    <w:basedOn w:val="Standardnpsmoodstavce"/>
    <w:link w:val="Odstavecseseznamem"/>
    <w:uiPriority w:val="34"/>
    <w:locked/>
    <w:rsid w:val="004B63E9"/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81CEA-4C14-442F-952F-A20660DB1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2064</Words>
  <Characters>12178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14214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cp:lastPrinted>2015-04-01T16:43:00Z</cp:lastPrinted>
  <dcterms:created xsi:type="dcterms:W3CDTF">2015-04-01T16:43:00Z</dcterms:created>
  <dcterms:modified xsi:type="dcterms:W3CDTF">2015-04-01T16:43:00Z</dcterms:modified>
</cp:coreProperties>
</file>