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A35EF9" w:rsidRDefault="002E2DD3" w:rsidP="00064936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A35EF9">
        <w:rPr>
          <w:rFonts w:ascii="Arial" w:hAnsi="Arial" w:cs="Arial"/>
          <w:b/>
          <w:color w:val="0070C0"/>
          <w:sz w:val="28"/>
          <w:szCs w:val="28"/>
        </w:rPr>
        <w:t>Informace k postupu při výběru</w:t>
      </w:r>
      <w:r w:rsidR="003745AA" w:rsidRPr="00A35EF9">
        <w:rPr>
          <w:rFonts w:ascii="Arial" w:hAnsi="Arial" w:cs="Arial"/>
          <w:b/>
          <w:color w:val="0070C0"/>
          <w:sz w:val="28"/>
          <w:szCs w:val="28"/>
        </w:rPr>
        <w:t xml:space="preserve"> kandidáta na udělení Národní ceny vlády Česká hlava 2015</w:t>
      </w:r>
    </w:p>
    <w:p w:rsidR="003745AA" w:rsidRPr="00064936" w:rsidRDefault="007320B1" w:rsidP="0006493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Realizátorovi projektu Česká hlava bylo ke dni 30. června 2015 doručeno</w:t>
      </w:r>
      <w:r w:rsidR="003745AA" w:rsidRPr="00064936">
        <w:rPr>
          <w:rFonts w:ascii="Arial" w:hAnsi="Arial" w:cs="Arial"/>
          <w:sz w:val="22"/>
          <w:szCs w:val="22"/>
        </w:rPr>
        <w:t xml:space="preserve"> celkem 12</w:t>
      </w:r>
      <w:r w:rsidR="00064936" w:rsidRPr="00064936">
        <w:rPr>
          <w:rFonts w:ascii="Arial" w:hAnsi="Arial" w:cs="Arial"/>
          <w:sz w:val="22"/>
          <w:szCs w:val="22"/>
        </w:rPr>
        <w:t> </w:t>
      </w:r>
      <w:r w:rsidR="003745AA" w:rsidRPr="00064936">
        <w:rPr>
          <w:rFonts w:ascii="Arial" w:hAnsi="Arial" w:cs="Arial"/>
          <w:sz w:val="22"/>
          <w:szCs w:val="22"/>
        </w:rPr>
        <w:t xml:space="preserve">nominací na udělení Národní ceny vlády Česká hlava 2015 (dále jen „NCV“). Podklady </w:t>
      </w:r>
      <w:r w:rsidR="00E63625" w:rsidRPr="00064936">
        <w:rPr>
          <w:rFonts w:ascii="Arial" w:hAnsi="Arial" w:cs="Arial"/>
          <w:sz w:val="22"/>
          <w:szCs w:val="22"/>
        </w:rPr>
        <w:t>jednotlivých kandidátů</w:t>
      </w:r>
      <w:r w:rsidR="003745AA" w:rsidRPr="00064936">
        <w:rPr>
          <w:rFonts w:ascii="Arial" w:hAnsi="Arial" w:cs="Arial"/>
          <w:sz w:val="22"/>
          <w:szCs w:val="22"/>
        </w:rPr>
        <w:t xml:space="preserve"> byly členům Rady pro výzkum, vývoj a inovac</w:t>
      </w:r>
      <w:r w:rsidR="00A1441B" w:rsidRPr="00064936">
        <w:rPr>
          <w:rFonts w:ascii="Arial" w:hAnsi="Arial" w:cs="Arial"/>
          <w:sz w:val="22"/>
          <w:szCs w:val="22"/>
        </w:rPr>
        <w:t xml:space="preserve">e (dále jen „Rada“) zpřístupněny dne 17. </w:t>
      </w:r>
      <w:r w:rsidR="003745AA" w:rsidRPr="00064936">
        <w:rPr>
          <w:rFonts w:ascii="Arial" w:hAnsi="Arial" w:cs="Arial"/>
          <w:sz w:val="22"/>
          <w:szCs w:val="22"/>
        </w:rPr>
        <w:t>července 201</w:t>
      </w:r>
      <w:r w:rsidR="00A1441B" w:rsidRPr="00064936">
        <w:rPr>
          <w:rFonts w:ascii="Arial" w:hAnsi="Arial" w:cs="Arial"/>
          <w:sz w:val="22"/>
          <w:szCs w:val="22"/>
        </w:rPr>
        <w:t>5 na interním webu www.vyzkum.cz a</w:t>
      </w:r>
      <w:r w:rsidR="00064936" w:rsidRPr="00064936">
        <w:rPr>
          <w:rFonts w:ascii="Arial" w:hAnsi="Arial" w:cs="Arial"/>
          <w:sz w:val="22"/>
          <w:szCs w:val="22"/>
        </w:rPr>
        <w:t> </w:t>
      </w:r>
      <w:r w:rsidR="00A1441B" w:rsidRPr="00064936">
        <w:rPr>
          <w:rFonts w:ascii="Arial" w:hAnsi="Arial" w:cs="Arial"/>
          <w:sz w:val="22"/>
          <w:szCs w:val="22"/>
        </w:rPr>
        <w:t>současně byli členové Rady informováni elektronicky.</w:t>
      </w:r>
    </w:p>
    <w:p w:rsidR="003745AA" w:rsidRPr="00064936" w:rsidRDefault="003745AA" w:rsidP="0006493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Projednání:</w:t>
      </w:r>
    </w:p>
    <w:p w:rsidR="003745AA" w:rsidRPr="00064936" w:rsidRDefault="003745AA" w:rsidP="0006493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Nejprve proběhne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diskuse o jednotlivých nominovaných kandidátech na NCV, </w:t>
      </w:r>
      <w:r w:rsidRPr="00064936">
        <w:rPr>
          <w:rFonts w:ascii="Arial" w:hAnsi="Arial" w:cs="Arial"/>
          <w:sz w:val="22"/>
          <w:szCs w:val="22"/>
        </w:rPr>
        <w:t>následně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sz w:val="22"/>
          <w:szCs w:val="22"/>
        </w:rPr>
        <w:t xml:space="preserve">se uskuteční </w:t>
      </w:r>
      <w:r w:rsidRPr="00064936">
        <w:rPr>
          <w:rFonts w:ascii="Arial" w:hAnsi="Arial" w:cs="Arial"/>
          <w:b/>
          <w:color w:val="0070C0"/>
          <w:sz w:val="22"/>
          <w:szCs w:val="22"/>
        </w:rPr>
        <w:t>tajné hlasování</w:t>
      </w:r>
      <w:r w:rsidRPr="00064936">
        <w:rPr>
          <w:rFonts w:ascii="Arial" w:hAnsi="Arial" w:cs="Arial"/>
          <w:color w:val="0070C0"/>
          <w:sz w:val="22"/>
          <w:szCs w:val="22"/>
        </w:rPr>
        <w:t>.</w:t>
      </w: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Nominace:</w:t>
      </w:r>
    </w:p>
    <w:p w:rsidR="003745AA" w:rsidRPr="00064936" w:rsidRDefault="003745AA" w:rsidP="00064936">
      <w:pPr>
        <w:spacing w:after="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Ing. Josef </w:t>
      </w:r>
      <w:r w:rsidRPr="00064936">
        <w:rPr>
          <w:rFonts w:ascii="Arial" w:hAnsi="Arial" w:cs="Arial"/>
          <w:b/>
          <w:sz w:val="22"/>
          <w:szCs w:val="22"/>
        </w:rPr>
        <w:t>Brožek</w:t>
      </w:r>
    </w:p>
    <w:p w:rsidR="003745AA" w:rsidRPr="00064936" w:rsidRDefault="003745AA" w:rsidP="00064936">
      <w:pPr>
        <w:spacing w:after="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prof. RNDr. Miroslav </w:t>
      </w:r>
      <w:r w:rsidRPr="00064936">
        <w:rPr>
          <w:rFonts w:ascii="Arial" w:hAnsi="Arial" w:cs="Arial"/>
          <w:b/>
          <w:sz w:val="22"/>
          <w:szCs w:val="22"/>
        </w:rPr>
        <w:t>Fiedler,</w:t>
      </w:r>
      <w:r w:rsidRPr="00064936">
        <w:rPr>
          <w:rFonts w:ascii="Arial" w:hAnsi="Arial" w:cs="Arial"/>
          <w:sz w:val="22"/>
          <w:szCs w:val="22"/>
        </w:rPr>
        <w:t xml:space="preserve"> DrSc.</w:t>
      </w:r>
    </w:p>
    <w:p w:rsidR="003745AA" w:rsidRPr="00064936" w:rsidRDefault="003745AA" w:rsidP="00064936">
      <w:pPr>
        <w:spacing w:after="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prof. MUDr. Jiří </w:t>
      </w:r>
      <w:r w:rsidRPr="00064936">
        <w:rPr>
          <w:rFonts w:ascii="Arial" w:hAnsi="Arial" w:cs="Arial"/>
          <w:b/>
          <w:sz w:val="22"/>
          <w:szCs w:val="22"/>
        </w:rPr>
        <w:t>Forejt</w:t>
      </w:r>
      <w:r w:rsidRPr="00064936">
        <w:rPr>
          <w:rFonts w:ascii="Arial" w:hAnsi="Arial" w:cs="Arial"/>
          <w:sz w:val="22"/>
          <w:szCs w:val="22"/>
        </w:rPr>
        <w:t>, DrSc.</w:t>
      </w:r>
    </w:p>
    <w:p w:rsidR="003745AA" w:rsidRPr="00064936" w:rsidRDefault="003745AA" w:rsidP="00064936">
      <w:pPr>
        <w:spacing w:after="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Ing. Milan </w:t>
      </w:r>
      <w:r w:rsidRPr="00064936">
        <w:rPr>
          <w:rFonts w:ascii="Arial" w:hAnsi="Arial" w:cs="Arial"/>
          <w:b/>
          <w:sz w:val="22"/>
          <w:szCs w:val="22"/>
        </w:rPr>
        <w:t>Hájek</w:t>
      </w:r>
      <w:r w:rsidRPr="00064936">
        <w:rPr>
          <w:rFonts w:ascii="Arial" w:hAnsi="Arial" w:cs="Arial"/>
          <w:sz w:val="22"/>
          <w:szCs w:val="22"/>
        </w:rPr>
        <w:t>, CSc.</w:t>
      </w:r>
    </w:p>
    <w:p w:rsidR="003745AA" w:rsidRPr="00064936" w:rsidRDefault="00185C93" w:rsidP="00064936">
      <w:pPr>
        <w:spacing w:after="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p</w:t>
      </w:r>
      <w:r w:rsidR="003745AA" w:rsidRPr="00064936">
        <w:rPr>
          <w:rFonts w:ascii="Arial" w:hAnsi="Arial" w:cs="Arial"/>
          <w:sz w:val="22"/>
          <w:szCs w:val="22"/>
        </w:rPr>
        <w:t xml:space="preserve">rof. PhDr. Martin </w:t>
      </w:r>
      <w:r w:rsidR="003745AA" w:rsidRPr="00064936">
        <w:rPr>
          <w:rFonts w:ascii="Arial" w:hAnsi="Arial" w:cs="Arial"/>
          <w:b/>
          <w:sz w:val="22"/>
          <w:szCs w:val="22"/>
        </w:rPr>
        <w:t>Hilský</w:t>
      </w:r>
      <w:r w:rsidR="003745AA" w:rsidRPr="00064936">
        <w:rPr>
          <w:rFonts w:ascii="Arial" w:hAnsi="Arial" w:cs="Arial"/>
          <w:sz w:val="22"/>
          <w:szCs w:val="22"/>
        </w:rPr>
        <w:t xml:space="preserve">, </w:t>
      </w:r>
      <w:r w:rsidR="001241BF">
        <w:rPr>
          <w:rFonts w:ascii="Arial" w:hAnsi="Arial" w:cs="Arial"/>
          <w:sz w:val="22"/>
          <w:szCs w:val="22"/>
        </w:rPr>
        <w:t xml:space="preserve">CSc., </w:t>
      </w:r>
      <w:r w:rsidR="003745AA" w:rsidRPr="00064936">
        <w:rPr>
          <w:rFonts w:ascii="Arial" w:hAnsi="Arial" w:cs="Arial"/>
          <w:sz w:val="22"/>
          <w:szCs w:val="22"/>
        </w:rPr>
        <w:t>dr.</w:t>
      </w:r>
      <w:r w:rsidR="001241BF">
        <w:rPr>
          <w:rFonts w:ascii="Arial" w:hAnsi="Arial" w:cs="Arial"/>
          <w:sz w:val="22"/>
          <w:szCs w:val="22"/>
        </w:rPr>
        <w:t xml:space="preserve"> </w:t>
      </w:r>
      <w:r w:rsidR="003745AA" w:rsidRPr="00064936">
        <w:rPr>
          <w:rFonts w:ascii="Arial" w:hAnsi="Arial" w:cs="Arial"/>
          <w:sz w:val="22"/>
          <w:szCs w:val="22"/>
        </w:rPr>
        <w:t>h.</w:t>
      </w:r>
      <w:r w:rsidR="001241BF">
        <w:rPr>
          <w:rFonts w:ascii="Arial" w:hAnsi="Arial" w:cs="Arial"/>
          <w:sz w:val="22"/>
          <w:szCs w:val="22"/>
        </w:rPr>
        <w:t xml:space="preserve"> </w:t>
      </w:r>
      <w:r w:rsidR="003745AA" w:rsidRPr="00064936">
        <w:rPr>
          <w:rFonts w:ascii="Arial" w:hAnsi="Arial" w:cs="Arial"/>
          <w:sz w:val="22"/>
          <w:szCs w:val="22"/>
        </w:rPr>
        <w:t>c., MBE</w:t>
      </w:r>
    </w:p>
    <w:p w:rsidR="003745AA" w:rsidRPr="00064936" w:rsidRDefault="003745AA" w:rsidP="00064936">
      <w:pPr>
        <w:spacing w:after="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prof. RNDr. Václav </w:t>
      </w:r>
      <w:r w:rsidRPr="00064936">
        <w:rPr>
          <w:rFonts w:ascii="Arial" w:hAnsi="Arial" w:cs="Arial"/>
          <w:b/>
          <w:sz w:val="22"/>
          <w:szCs w:val="22"/>
        </w:rPr>
        <w:t>Hořejší</w:t>
      </w:r>
      <w:r w:rsidRPr="00064936">
        <w:rPr>
          <w:rFonts w:ascii="Arial" w:hAnsi="Arial" w:cs="Arial"/>
          <w:sz w:val="22"/>
          <w:szCs w:val="22"/>
        </w:rPr>
        <w:t>, CSc.</w:t>
      </w:r>
    </w:p>
    <w:p w:rsidR="003745AA" w:rsidRPr="00064936" w:rsidRDefault="003745AA" w:rsidP="00064936">
      <w:pPr>
        <w:spacing w:after="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Ing. Michal </w:t>
      </w:r>
      <w:r w:rsidRPr="00064936">
        <w:rPr>
          <w:rFonts w:ascii="Arial" w:hAnsi="Arial" w:cs="Arial"/>
          <w:b/>
          <w:sz w:val="22"/>
          <w:szCs w:val="22"/>
        </w:rPr>
        <w:t>Kubelka</w:t>
      </w:r>
      <w:r w:rsidRPr="00064936">
        <w:rPr>
          <w:rFonts w:ascii="Arial" w:hAnsi="Arial" w:cs="Arial"/>
          <w:sz w:val="22"/>
          <w:szCs w:val="22"/>
        </w:rPr>
        <w:t>, CSc.</w:t>
      </w:r>
    </w:p>
    <w:p w:rsidR="003745AA" w:rsidRPr="00064936" w:rsidRDefault="003745AA" w:rsidP="00064936">
      <w:pPr>
        <w:spacing w:after="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Ing. Jan </w:t>
      </w:r>
      <w:r w:rsidRPr="00064936">
        <w:rPr>
          <w:rFonts w:ascii="Arial" w:hAnsi="Arial" w:cs="Arial"/>
          <w:b/>
          <w:sz w:val="22"/>
          <w:szCs w:val="22"/>
        </w:rPr>
        <w:t>Mašát</w:t>
      </w:r>
      <w:r w:rsidR="001241BF" w:rsidRPr="001241BF">
        <w:rPr>
          <w:rFonts w:ascii="Arial" w:hAnsi="Arial" w:cs="Arial"/>
          <w:sz w:val="22"/>
          <w:szCs w:val="22"/>
        </w:rPr>
        <w:t>, CSc.</w:t>
      </w:r>
    </w:p>
    <w:p w:rsidR="003745AA" w:rsidRPr="00064936" w:rsidRDefault="003745AA" w:rsidP="00064936">
      <w:pPr>
        <w:spacing w:after="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prof. RNDr. Bedřich </w:t>
      </w:r>
      <w:r w:rsidRPr="00064936">
        <w:rPr>
          <w:rFonts w:ascii="Arial" w:hAnsi="Arial" w:cs="Arial"/>
          <w:b/>
          <w:sz w:val="22"/>
          <w:szCs w:val="22"/>
        </w:rPr>
        <w:t>Moldan</w:t>
      </w:r>
      <w:r w:rsidRPr="00064936">
        <w:rPr>
          <w:rFonts w:ascii="Arial" w:hAnsi="Arial" w:cs="Arial"/>
          <w:sz w:val="22"/>
          <w:szCs w:val="22"/>
        </w:rPr>
        <w:t>, CSc., dr.</w:t>
      </w:r>
      <w:r w:rsidR="001241BF">
        <w:rPr>
          <w:rFonts w:ascii="Arial" w:hAnsi="Arial" w:cs="Arial"/>
          <w:sz w:val="22"/>
          <w:szCs w:val="22"/>
        </w:rPr>
        <w:t xml:space="preserve"> </w:t>
      </w:r>
      <w:r w:rsidRPr="00064936">
        <w:rPr>
          <w:rFonts w:ascii="Arial" w:hAnsi="Arial" w:cs="Arial"/>
          <w:sz w:val="22"/>
          <w:szCs w:val="22"/>
        </w:rPr>
        <w:t>h.</w:t>
      </w:r>
      <w:r w:rsidR="001241BF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064936">
        <w:rPr>
          <w:rFonts w:ascii="Arial" w:hAnsi="Arial" w:cs="Arial"/>
          <w:sz w:val="22"/>
          <w:szCs w:val="22"/>
        </w:rPr>
        <w:t>c.</w:t>
      </w:r>
    </w:p>
    <w:p w:rsidR="003745AA" w:rsidRPr="00064936" w:rsidRDefault="003745AA" w:rsidP="00064936">
      <w:pPr>
        <w:spacing w:after="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prof. RNDr. Jaromír </w:t>
      </w:r>
      <w:r w:rsidRPr="00064936">
        <w:rPr>
          <w:rFonts w:ascii="Arial" w:hAnsi="Arial" w:cs="Arial"/>
          <w:b/>
          <w:sz w:val="22"/>
          <w:szCs w:val="22"/>
        </w:rPr>
        <w:t>Růžička</w:t>
      </w:r>
      <w:r w:rsidRPr="00064936">
        <w:rPr>
          <w:rFonts w:ascii="Arial" w:hAnsi="Arial" w:cs="Arial"/>
          <w:sz w:val="22"/>
          <w:szCs w:val="22"/>
        </w:rPr>
        <w:t>, Ph.D.</w:t>
      </w:r>
    </w:p>
    <w:p w:rsidR="003745AA" w:rsidRPr="00064936" w:rsidRDefault="003745AA" w:rsidP="00064936">
      <w:pPr>
        <w:spacing w:after="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prof. RNDr. Zdeněk </w:t>
      </w:r>
      <w:r w:rsidRPr="00064936">
        <w:rPr>
          <w:rFonts w:ascii="Arial" w:hAnsi="Arial" w:cs="Arial"/>
          <w:b/>
          <w:sz w:val="22"/>
          <w:szCs w:val="22"/>
        </w:rPr>
        <w:t>Samec</w:t>
      </w:r>
      <w:r w:rsidRPr="00064936">
        <w:rPr>
          <w:rFonts w:ascii="Arial" w:hAnsi="Arial" w:cs="Arial"/>
          <w:sz w:val="22"/>
          <w:szCs w:val="22"/>
        </w:rPr>
        <w:t>, DrSc.</w:t>
      </w:r>
    </w:p>
    <w:p w:rsidR="003745AA" w:rsidRPr="00064936" w:rsidRDefault="001241BF" w:rsidP="0006493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prof. </w:t>
      </w:r>
      <w:r w:rsidR="003745AA" w:rsidRPr="00064936">
        <w:rPr>
          <w:rFonts w:ascii="Arial" w:hAnsi="Arial" w:cs="Arial"/>
          <w:sz w:val="22"/>
          <w:szCs w:val="22"/>
        </w:rPr>
        <w:t xml:space="preserve">MUDr. Vladimír </w:t>
      </w:r>
      <w:r w:rsidR="003745AA" w:rsidRPr="00064936">
        <w:rPr>
          <w:rFonts w:ascii="Arial" w:hAnsi="Arial" w:cs="Arial"/>
          <w:b/>
          <w:sz w:val="22"/>
          <w:szCs w:val="22"/>
        </w:rPr>
        <w:t>Vonka</w:t>
      </w:r>
      <w:r w:rsidR="003745AA" w:rsidRPr="00064936">
        <w:rPr>
          <w:rFonts w:ascii="Arial" w:hAnsi="Arial" w:cs="Arial"/>
          <w:sz w:val="22"/>
          <w:szCs w:val="22"/>
        </w:rPr>
        <w:t>, DrSc.</w:t>
      </w: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Organizace hlasování:</w:t>
      </w:r>
    </w:p>
    <w:p w:rsidR="003745AA" w:rsidRPr="00064936" w:rsidRDefault="003745AA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Postup při výběru kandidáta na udělení NCV je stanoven analogicky s platnou Přílohou </w:t>
      </w:r>
      <w:proofErr w:type="gramStart"/>
      <w:r w:rsidRPr="00064936">
        <w:rPr>
          <w:rFonts w:ascii="Arial" w:hAnsi="Arial" w:cs="Arial"/>
          <w:sz w:val="22"/>
          <w:szCs w:val="22"/>
        </w:rPr>
        <w:t>č. 2 Jednacího</w:t>
      </w:r>
      <w:proofErr w:type="gramEnd"/>
      <w:r w:rsidRPr="00064936">
        <w:rPr>
          <w:rFonts w:ascii="Arial" w:hAnsi="Arial" w:cs="Arial"/>
          <w:sz w:val="22"/>
          <w:szCs w:val="22"/>
        </w:rPr>
        <w:t xml:space="preserve"> řádu Rady. </w:t>
      </w:r>
    </w:p>
    <w:p w:rsidR="003745AA" w:rsidRPr="00064936" w:rsidRDefault="003745AA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Navrhuje se následující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postup při hlasování</w:t>
      </w:r>
      <w:r w:rsidRPr="00064936">
        <w:rPr>
          <w:rFonts w:ascii="Arial" w:hAnsi="Arial" w:cs="Arial"/>
          <w:color w:val="0070C0"/>
          <w:sz w:val="22"/>
          <w:szCs w:val="22"/>
        </w:rPr>
        <w:t>: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Členům Rady bude na zasedání Rady rozdána hlasovací listina s úplným seznamem nominovaných kandidátů.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Členové Rady označí v hlasovací listině křížkem maximálně 1 kandidáta ve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sloupci „volba“.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Hlasovací listina bude neplatná, pokud bude na jedné listině označen více než 1 kandidát.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Po zpracování výsledku hlasování oznámí předseda/předsedající Rady výsledky hlasování. Navržen vládě na jmenování bude ten kandidát, pro</w:t>
      </w:r>
      <w:r w:rsidR="00064936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 xml:space="preserve">kterého se vysloví nadpoloviční většina přítomných členů Rady. 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V případě, že nadpoloviční počet hlasů nezíská žádný z kandidátů, bude provedeno 2. kolo hlasován</w:t>
      </w:r>
      <w:r w:rsidR="00064936" w:rsidRPr="00064936">
        <w:rPr>
          <w:rFonts w:ascii="Arial" w:hAnsi="Arial" w:cs="Arial"/>
          <w:sz w:val="22"/>
          <w:szCs w:val="22"/>
        </w:rPr>
        <w:t xml:space="preserve">í podle čl. 2 odst. 2 písm. d) </w:t>
      </w:r>
      <w:r w:rsidRPr="00064936">
        <w:rPr>
          <w:rFonts w:ascii="Arial" w:hAnsi="Arial" w:cs="Arial"/>
          <w:sz w:val="22"/>
          <w:szCs w:val="22"/>
        </w:rPr>
        <w:t xml:space="preserve">a e) přílohy </w:t>
      </w:r>
      <w:proofErr w:type="gramStart"/>
      <w:r w:rsidRPr="00064936">
        <w:rPr>
          <w:rFonts w:ascii="Arial" w:hAnsi="Arial" w:cs="Arial"/>
          <w:sz w:val="22"/>
          <w:szCs w:val="22"/>
        </w:rPr>
        <w:t>č. 2 Jednacího</w:t>
      </w:r>
      <w:proofErr w:type="gramEnd"/>
      <w:r w:rsidRPr="00064936">
        <w:rPr>
          <w:rFonts w:ascii="Arial" w:hAnsi="Arial" w:cs="Arial"/>
          <w:sz w:val="22"/>
          <w:szCs w:val="22"/>
        </w:rPr>
        <w:t xml:space="preserve"> řádu Rady. </w:t>
      </w:r>
    </w:p>
    <w:p w:rsidR="003745AA" w:rsidRPr="00064936" w:rsidRDefault="003745AA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Hlasování organizačně zabezpečuje Odbor podpory Rady pro výzkum, vývoj a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inovace, který plní dle Organizačního řádu Úřadu vlády ČR funkci sekretariátu Rady. Připraví hlasovací listinu a zpracuje výsledky hlasování formou protokolu, který předá předsedovi/předsedajícímu Rady.</w:t>
      </w:r>
    </w:p>
    <w:sectPr w:rsidR="003745AA" w:rsidRPr="00064936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826" w:rsidRDefault="002D7826" w:rsidP="008F77F6">
      <w:r>
        <w:separator/>
      </w:r>
    </w:p>
  </w:endnote>
  <w:endnote w:type="continuationSeparator" w:id="0">
    <w:p w:rsidR="002D7826" w:rsidRDefault="002D782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F74A0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Zpracovala: Mgr. Lokayová, 11.08.2015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64936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20A25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241B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241B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826" w:rsidRDefault="002D7826" w:rsidP="008F77F6">
      <w:r>
        <w:separator/>
      </w:r>
    </w:p>
  </w:footnote>
  <w:footnote w:type="continuationSeparator" w:id="0">
    <w:p w:rsidR="002D7826" w:rsidRDefault="002D782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33206F9" wp14:editId="5142524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85C37A0" wp14:editId="04CEE54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D33962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307/A3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4936"/>
    <w:rsid w:val="000C4A33"/>
    <w:rsid w:val="000F422A"/>
    <w:rsid w:val="001241BF"/>
    <w:rsid w:val="00165C4E"/>
    <w:rsid w:val="00167041"/>
    <w:rsid w:val="00185C93"/>
    <w:rsid w:val="001F4DEA"/>
    <w:rsid w:val="00237006"/>
    <w:rsid w:val="00265A36"/>
    <w:rsid w:val="002D7826"/>
    <w:rsid w:val="002E2591"/>
    <w:rsid w:val="002E2DD3"/>
    <w:rsid w:val="00360293"/>
    <w:rsid w:val="003745AA"/>
    <w:rsid w:val="00387B05"/>
    <w:rsid w:val="003C2A8E"/>
    <w:rsid w:val="005E43C2"/>
    <w:rsid w:val="00616978"/>
    <w:rsid w:val="006E653B"/>
    <w:rsid w:val="00720790"/>
    <w:rsid w:val="00720A25"/>
    <w:rsid w:val="007261DB"/>
    <w:rsid w:val="007320B1"/>
    <w:rsid w:val="007D5952"/>
    <w:rsid w:val="00810AA0"/>
    <w:rsid w:val="008229D6"/>
    <w:rsid w:val="008805C5"/>
    <w:rsid w:val="008D0383"/>
    <w:rsid w:val="008F77F6"/>
    <w:rsid w:val="009514D0"/>
    <w:rsid w:val="009758E5"/>
    <w:rsid w:val="009D3992"/>
    <w:rsid w:val="009F74A0"/>
    <w:rsid w:val="00A1441B"/>
    <w:rsid w:val="00A34A33"/>
    <w:rsid w:val="00A35EF9"/>
    <w:rsid w:val="00AA6A69"/>
    <w:rsid w:val="00AD5458"/>
    <w:rsid w:val="00CC370F"/>
    <w:rsid w:val="00D33962"/>
    <w:rsid w:val="00DC5FE9"/>
    <w:rsid w:val="00E63625"/>
    <w:rsid w:val="00E82C93"/>
    <w:rsid w:val="00E90863"/>
    <w:rsid w:val="00F6653B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5F62B-A265-444B-9CDD-9092FE8D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24</cp:revision>
  <cp:lastPrinted>2015-08-28T06:46:00Z</cp:lastPrinted>
  <dcterms:created xsi:type="dcterms:W3CDTF">2015-08-11T08:51:00Z</dcterms:created>
  <dcterms:modified xsi:type="dcterms:W3CDTF">2015-09-03T11:48:00Z</dcterms:modified>
</cp:coreProperties>
</file>