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gif" ContentType="image/gi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6295A" w:rsidRPr="007359F8" w:rsidRDefault="00B6295A" w:rsidP="00B6295A">
      <w:pPr>
        <w:spacing w:after="0" w:line="276" w:lineRule="auto"/>
        <w:rPr>
          <w:rFonts w:eastAsia="Batang" w:cs="Times New Roman"/>
          <w:caps/>
          <w:noProof/>
          <w:color w:val="0070C0"/>
          <w:sz w:val="50"/>
          <w:szCs w:val="50"/>
          <w:lang w:val="en-US" w:eastAsia="ko-KR"/>
        </w:rPr>
      </w:pPr>
    </w:p>
    <w:p w:rsidR="00172827" w:rsidRPr="008B0820" w:rsidRDefault="00172827" w:rsidP="00B6295A">
      <w:pPr>
        <w:spacing w:after="0" w:line="276" w:lineRule="auto"/>
        <w:rPr>
          <w:rFonts w:eastAsia="Batang" w:cs="Times New Roman"/>
          <w:caps/>
          <w:noProof/>
          <w:color w:val="0070C0"/>
          <w:sz w:val="50"/>
          <w:szCs w:val="50"/>
          <w:lang w:eastAsia="ko-KR"/>
        </w:rPr>
      </w:pPr>
    </w:p>
    <w:p w:rsidR="00B6295A" w:rsidRPr="008B0820" w:rsidRDefault="002371F6" w:rsidP="00B6295A">
      <w:pPr>
        <w:spacing w:after="0" w:line="276" w:lineRule="auto"/>
        <w:jc w:val="left"/>
        <w:rPr>
          <w:rFonts w:eastAsia="Batang" w:cs="Times New Roman"/>
          <w:noProof/>
          <w:color w:val="00415A"/>
          <w:sz w:val="36"/>
          <w:szCs w:val="36"/>
          <w:lang w:eastAsia="ko-KR"/>
        </w:rPr>
      </w:pPr>
      <w:r w:rsidRPr="002371F6">
        <w:rPr>
          <w:rFonts w:eastAsia="Batang" w:cs="Times New Roman"/>
          <w:b/>
          <w:noProof/>
          <w:color w:val="0070C0"/>
          <w:sz w:val="48"/>
          <w:szCs w:val="50"/>
          <w:lang w:eastAsia="ko-KR"/>
        </w:rPr>
        <w:t>Souhrnná výzkumná zpráva o stavu prostředí bezpečnostního výzkumu v ČR</w:t>
      </w:r>
    </w:p>
    <w:p w:rsidR="00864587" w:rsidRDefault="00864587" w:rsidP="0086192C">
      <w:pPr>
        <w:rPr>
          <w:noProof/>
          <w:lang w:eastAsia="ko-KR"/>
        </w:rPr>
      </w:pPr>
    </w:p>
    <w:p w:rsidR="00D05093" w:rsidRDefault="00205513" w:rsidP="00B6295A">
      <w:pPr>
        <w:spacing w:after="0" w:line="276" w:lineRule="auto"/>
        <w:jc w:val="left"/>
        <w:rPr>
          <w:rFonts w:eastAsia="Batang" w:cs="Times New Roman"/>
          <w:i/>
          <w:noProof/>
          <w:color w:val="00415A"/>
          <w:sz w:val="28"/>
          <w:szCs w:val="36"/>
          <w:lang w:eastAsia="ko-KR"/>
        </w:rPr>
      </w:pPr>
      <w:r>
        <w:rPr>
          <w:rFonts w:eastAsia="Batang" w:cs="Times New Roman"/>
          <w:i/>
          <w:noProof/>
          <w:color w:val="00415A"/>
          <w:sz w:val="28"/>
          <w:szCs w:val="36"/>
          <w:lang w:eastAsia="ko-KR"/>
        </w:rPr>
        <w:t>26</w:t>
      </w:r>
      <w:r w:rsidR="005458F4">
        <w:rPr>
          <w:rFonts w:eastAsia="Batang" w:cs="Times New Roman"/>
          <w:i/>
          <w:noProof/>
          <w:color w:val="00415A"/>
          <w:sz w:val="28"/>
          <w:szCs w:val="36"/>
          <w:lang w:eastAsia="ko-KR"/>
        </w:rPr>
        <w:t xml:space="preserve">. </w:t>
      </w:r>
      <w:r w:rsidR="0026622C">
        <w:rPr>
          <w:rFonts w:eastAsia="Batang" w:cs="Times New Roman"/>
          <w:i/>
          <w:noProof/>
          <w:color w:val="00415A"/>
          <w:sz w:val="28"/>
          <w:szCs w:val="36"/>
          <w:lang w:eastAsia="ko-KR"/>
        </w:rPr>
        <w:t>srp</w:t>
      </w:r>
      <w:r w:rsidR="0057397D">
        <w:rPr>
          <w:rFonts w:eastAsia="Batang" w:cs="Times New Roman"/>
          <w:i/>
          <w:noProof/>
          <w:color w:val="00415A"/>
          <w:sz w:val="28"/>
          <w:szCs w:val="36"/>
          <w:lang w:eastAsia="ko-KR"/>
        </w:rPr>
        <w:t>na</w:t>
      </w:r>
      <w:r w:rsidR="00864587" w:rsidRPr="00B53E18">
        <w:rPr>
          <w:rFonts w:eastAsia="Batang" w:cs="Times New Roman"/>
          <w:i/>
          <w:noProof/>
          <w:color w:val="00415A"/>
          <w:sz w:val="28"/>
          <w:szCs w:val="36"/>
          <w:lang w:eastAsia="ko-KR"/>
        </w:rPr>
        <w:t xml:space="preserve"> 201</w:t>
      </w:r>
      <w:r w:rsidR="008844EF">
        <w:rPr>
          <w:rFonts w:eastAsia="Batang" w:cs="Times New Roman"/>
          <w:i/>
          <w:noProof/>
          <w:color w:val="00415A"/>
          <w:sz w:val="28"/>
          <w:szCs w:val="36"/>
          <w:lang w:eastAsia="ko-KR"/>
        </w:rPr>
        <w:t>6</w:t>
      </w:r>
    </w:p>
    <w:p w:rsidR="00D05093" w:rsidRDefault="00D05093" w:rsidP="00B6295A">
      <w:pPr>
        <w:spacing w:after="0" w:line="276" w:lineRule="auto"/>
        <w:jc w:val="left"/>
        <w:rPr>
          <w:rFonts w:eastAsia="Batang" w:cs="Times New Roman"/>
          <w:i/>
          <w:noProof/>
          <w:color w:val="00415A"/>
          <w:sz w:val="28"/>
          <w:szCs w:val="36"/>
          <w:lang w:eastAsia="ko-KR"/>
        </w:rPr>
      </w:pPr>
    </w:p>
    <w:p w:rsidR="00D05093" w:rsidRDefault="00D05093" w:rsidP="00B6295A">
      <w:pPr>
        <w:spacing w:after="0" w:line="276" w:lineRule="auto"/>
        <w:jc w:val="left"/>
        <w:rPr>
          <w:rFonts w:eastAsia="Batang" w:cs="Times New Roman"/>
          <w:i/>
          <w:noProof/>
          <w:color w:val="00415A"/>
          <w:sz w:val="28"/>
          <w:szCs w:val="36"/>
          <w:lang w:eastAsia="ko-KR"/>
        </w:rPr>
      </w:pPr>
    </w:p>
    <w:p w:rsidR="002D5C4A" w:rsidRDefault="002D5C4A" w:rsidP="00B6295A">
      <w:pPr>
        <w:spacing w:after="0" w:line="276" w:lineRule="auto"/>
        <w:jc w:val="left"/>
        <w:rPr>
          <w:rFonts w:eastAsia="Batang" w:cs="Times New Roman"/>
          <w:i/>
          <w:noProof/>
          <w:color w:val="00415A"/>
          <w:sz w:val="28"/>
          <w:szCs w:val="36"/>
          <w:lang w:eastAsia="ko-KR"/>
        </w:rPr>
      </w:pPr>
    </w:p>
    <w:p w:rsidR="00F201B7" w:rsidRDefault="00F201B7" w:rsidP="00B6295A">
      <w:pPr>
        <w:spacing w:after="0" w:line="276" w:lineRule="auto"/>
        <w:jc w:val="left"/>
        <w:rPr>
          <w:rFonts w:eastAsia="Batang" w:cs="Times New Roman"/>
          <w:i/>
          <w:noProof/>
          <w:color w:val="00415A"/>
          <w:sz w:val="28"/>
          <w:szCs w:val="36"/>
          <w:lang w:eastAsia="ko-KR"/>
        </w:rPr>
      </w:pPr>
    </w:p>
    <w:p w:rsidR="00D05093" w:rsidRPr="00D05093" w:rsidRDefault="00D05093" w:rsidP="00B6295A">
      <w:pPr>
        <w:spacing w:after="0" w:line="276" w:lineRule="auto"/>
        <w:jc w:val="left"/>
        <w:rPr>
          <w:rFonts w:eastAsia="Batang" w:cs="Times New Roman"/>
          <w:i/>
          <w:noProof/>
          <w:color w:val="00415A"/>
          <w:sz w:val="28"/>
          <w:szCs w:val="36"/>
          <w:lang w:eastAsia="ko-KR"/>
        </w:rPr>
        <w:sectPr w:rsidR="00D05093" w:rsidRPr="00D05093" w:rsidSect="00AD7CEC">
          <w:headerReference w:type="default" r:id="rId9"/>
          <w:footerReference w:type="even" r:id="rId10"/>
          <w:footerReference w:type="default" r:id="rId11"/>
          <w:headerReference w:type="first" r:id="rId12"/>
          <w:pgSz w:w="11906" w:h="16838"/>
          <w:pgMar w:top="5670" w:right="851" w:bottom="1418" w:left="1134" w:header="709" w:footer="709" w:gutter="0"/>
          <w:cols w:space="708"/>
          <w:titlePg/>
          <w:docGrid w:linePitch="360"/>
        </w:sectPr>
      </w:pPr>
    </w:p>
    <w:p w:rsidR="00864587" w:rsidRPr="00864587" w:rsidRDefault="002371F6" w:rsidP="00864587">
      <w:pPr>
        <w:spacing w:before="7080" w:after="400" w:line="276" w:lineRule="auto"/>
        <w:rPr>
          <w:rFonts w:eastAsia="Times New Roman" w:cs="Times New Roman"/>
          <w:b/>
          <w:sz w:val="28"/>
          <w:szCs w:val="24"/>
          <w:lang w:eastAsia="cs-CZ"/>
        </w:rPr>
      </w:pPr>
      <w:r w:rsidRPr="002371F6">
        <w:rPr>
          <w:rFonts w:eastAsia="Times New Roman" w:cs="Times New Roman"/>
          <w:b/>
          <w:sz w:val="28"/>
          <w:szCs w:val="24"/>
          <w:lang w:eastAsia="cs-CZ"/>
        </w:rPr>
        <w:lastRenderedPageBreak/>
        <w:t>Souhrnná výzkumná zpráva o stavu prostředí bezpečnostního výzkumu v ČR</w:t>
      </w:r>
    </w:p>
    <w:p w:rsidR="00864587" w:rsidRPr="00864587" w:rsidRDefault="008D5DFB" w:rsidP="00864587">
      <w:pPr>
        <w:spacing w:before="0" w:after="0" w:line="276" w:lineRule="auto"/>
        <w:rPr>
          <w:rFonts w:eastAsia="Times New Roman" w:cs="Times New Roman"/>
          <w:i/>
          <w:szCs w:val="24"/>
          <w:lang w:eastAsia="cs-CZ"/>
        </w:rPr>
      </w:pPr>
      <w:r>
        <w:rPr>
          <w:rFonts w:eastAsia="Times New Roman" w:cs="Times New Roman"/>
          <w:i/>
          <w:szCs w:val="24"/>
          <w:lang w:eastAsia="cs-CZ"/>
        </w:rPr>
        <w:t>26</w:t>
      </w:r>
      <w:r w:rsidR="00F0530F">
        <w:rPr>
          <w:rFonts w:eastAsia="Times New Roman" w:cs="Times New Roman"/>
          <w:i/>
          <w:szCs w:val="24"/>
          <w:lang w:eastAsia="cs-CZ"/>
        </w:rPr>
        <w:t>.</w:t>
      </w:r>
      <w:r w:rsidR="0026622C">
        <w:rPr>
          <w:rFonts w:eastAsia="Times New Roman" w:cs="Times New Roman"/>
          <w:i/>
          <w:szCs w:val="24"/>
          <w:lang w:eastAsia="cs-CZ"/>
        </w:rPr>
        <w:t xml:space="preserve"> srp</w:t>
      </w:r>
      <w:r w:rsidR="0057397D">
        <w:rPr>
          <w:rFonts w:eastAsia="Times New Roman" w:cs="Times New Roman"/>
          <w:i/>
          <w:szCs w:val="24"/>
          <w:lang w:eastAsia="cs-CZ"/>
        </w:rPr>
        <w:t>na</w:t>
      </w:r>
      <w:r w:rsidR="00864587" w:rsidRPr="00864587">
        <w:rPr>
          <w:rFonts w:eastAsia="Times New Roman" w:cs="Times New Roman"/>
          <w:i/>
          <w:szCs w:val="24"/>
          <w:lang w:eastAsia="cs-CZ"/>
        </w:rPr>
        <w:t xml:space="preserve"> 201</w:t>
      </w:r>
      <w:r w:rsidR="0057397D">
        <w:rPr>
          <w:rFonts w:eastAsia="Times New Roman" w:cs="Times New Roman"/>
          <w:i/>
          <w:szCs w:val="24"/>
          <w:lang w:eastAsia="cs-CZ"/>
        </w:rPr>
        <w:t>6</w:t>
      </w:r>
    </w:p>
    <w:p w:rsidR="00864587" w:rsidRPr="00864587" w:rsidRDefault="00864587" w:rsidP="00864587">
      <w:pPr>
        <w:spacing w:before="0" w:after="0" w:line="276" w:lineRule="auto"/>
        <w:rPr>
          <w:rFonts w:eastAsia="Times New Roman" w:cs="Times New Roman"/>
          <w:sz w:val="28"/>
          <w:szCs w:val="24"/>
          <w:lang w:eastAsia="cs-CZ"/>
        </w:rPr>
      </w:pPr>
    </w:p>
    <w:p w:rsidR="00864587" w:rsidRDefault="00864587" w:rsidP="00864587">
      <w:pPr>
        <w:spacing w:before="0" w:after="0" w:line="276" w:lineRule="auto"/>
        <w:rPr>
          <w:rFonts w:eastAsia="Times New Roman" w:cs="Times New Roman"/>
          <w:sz w:val="28"/>
          <w:szCs w:val="24"/>
          <w:lang w:eastAsia="cs-CZ"/>
        </w:rPr>
      </w:pPr>
    </w:p>
    <w:p w:rsidR="00172827" w:rsidRDefault="00172827" w:rsidP="00864587">
      <w:pPr>
        <w:spacing w:before="0" w:after="0" w:line="276" w:lineRule="auto"/>
        <w:rPr>
          <w:rFonts w:eastAsia="Times New Roman" w:cs="Times New Roman"/>
          <w:sz w:val="28"/>
          <w:szCs w:val="24"/>
          <w:lang w:eastAsia="cs-CZ"/>
        </w:rPr>
      </w:pPr>
    </w:p>
    <w:p w:rsidR="00172827" w:rsidRDefault="00172827" w:rsidP="00864587">
      <w:pPr>
        <w:spacing w:before="0" w:after="0" w:line="276" w:lineRule="auto"/>
        <w:rPr>
          <w:rFonts w:eastAsia="Times New Roman" w:cs="Times New Roman"/>
          <w:sz w:val="28"/>
          <w:szCs w:val="24"/>
          <w:lang w:eastAsia="cs-CZ"/>
        </w:rPr>
      </w:pPr>
    </w:p>
    <w:p w:rsidR="00172827" w:rsidRPr="00864587" w:rsidRDefault="00172827" w:rsidP="00864587">
      <w:pPr>
        <w:spacing w:before="0" w:after="0" w:line="276" w:lineRule="auto"/>
        <w:rPr>
          <w:rFonts w:eastAsia="Times New Roman" w:cs="Times New Roman"/>
          <w:sz w:val="28"/>
          <w:szCs w:val="24"/>
          <w:lang w:eastAsia="cs-CZ"/>
        </w:rPr>
      </w:pPr>
    </w:p>
    <w:p w:rsidR="00864587" w:rsidRDefault="00864587" w:rsidP="00864587">
      <w:pPr>
        <w:spacing w:before="100" w:beforeAutospacing="1" w:after="0" w:line="264" w:lineRule="auto"/>
        <w:rPr>
          <w:rFonts w:eastAsia="Times New Roman" w:cs="Times New Roman"/>
          <w:b/>
          <w:sz w:val="20"/>
          <w:szCs w:val="24"/>
          <w:lang w:eastAsia="cs-CZ"/>
        </w:rPr>
      </w:pPr>
    </w:p>
    <w:p w:rsidR="00172827" w:rsidRDefault="00172827" w:rsidP="00864587">
      <w:pPr>
        <w:spacing w:before="100" w:beforeAutospacing="1" w:after="0" w:line="264" w:lineRule="auto"/>
        <w:rPr>
          <w:rFonts w:eastAsia="Times New Roman" w:cs="Times New Roman"/>
          <w:b/>
          <w:sz w:val="20"/>
          <w:szCs w:val="24"/>
          <w:lang w:eastAsia="cs-CZ"/>
        </w:rPr>
      </w:pPr>
    </w:p>
    <w:p w:rsidR="00172827" w:rsidRDefault="00172827" w:rsidP="00864587">
      <w:pPr>
        <w:spacing w:before="100" w:beforeAutospacing="1" w:after="0" w:line="264" w:lineRule="auto"/>
        <w:rPr>
          <w:rFonts w:eastAsia="Times New Roman" w:cs="Times New Roman"/>
          <w:b/>
          <w:sz w:val="20"/>
          <w:szCs w:val="24"/>
          <w:lang w:eastAsia="cs-CZ"/>
        </w:rPr>
      </w:pPr>
    </w:p>
    <w:p w:rsidR="00F0530F" w:rsidRDefault="00F0530F" w:rsidP="00864587">
      <w:pPr>
        <w:spacing w:before="100" w:beforeAutospacing="1" w:after="0" w:line="264" w:lineRule="auto"/>
        <w:rPr>
          <w:rFonts w:eastAsia="Times New Roman" w:cs="Times New Roman"/>
          <w:b/>
          <w:sz w:val="20"/>
          <w:szCs w:val="24"/>
          <w:lang w:eastAsia="cs-CZ"/>
        </w:rPr>
      </w:pPr>
    </w:p>
    <w:p w:rsidR="00F0530F" w:rsidRPr="00864587" w:rsidRDefault="00F0530F" w:rsidP="00864587">
      <w:pPr>
        <w:spacing w:before="100" w:beforeAutospacing="1" w:after="0" w:line="264" w:lineRule="auto"/>
        <w:rPr>
          <w:rFonts w:eastAsia="Times New Roman" w:cs="Times New Roman"/>
          <w:b/>
          <w:sz w:val="20"/>
          <w:szCs w:val="24"/>
          <w:lang w:eastAsia="cs-CZ"/>
        </w:rPr>
      </w:pPr>
    </w:p>
    <w:p w:rsidR="00864587" w:rsidRPr="00864587" w:rsidRDefault="002371F6" w:rsidP="00864587">
      <w:pPr>
        <w:spacing w:before="100" w:beforeAutospacing="1" w:after="0" w:line="264" w:lineRule="auto"/>
        <w:rPr>
          <w:sz w:val="24"/>
        </w:rPr>
      </w:pPr>
      <w:r w:rsidRPr="002371F6">
        <w:rPr>
          <w:rFonts w:eastAsia="Times New Roman" w:cs="Times New Roman"/>
          <w:i/>
          <w:sz w:val="20"/>
          <w:szCs w:val="24"/>
          <w:lang w:eastAsia="cs-CZ"/>
        </w:rPr>
        <w:t>Tuto zprávu vypracovalo Technologické centrum AV ČR pro Ministerstvo vnitra České republiky v rámci projektu Analytická podpora koncepčního rozvoje bezpečnostního výzkumu</w:t>
      </w:r>
      <w:r w:rsidR="00E52DE1">
        <w:rPr>
          <w:rFonts w:eastAsia="Times New Roman" w:cs="Times New Roman"/>
          <w:i/>
          <w:sz w:val="20"/>
          <w:szCs w:val="24"/>
          <w:lang w:eastAsia="cs-CZ"/>
        </w:rPr>
        <w:t>.</w:t>
      </w:r>
      <w:r w:rsidR="00172827">
        <w:rPr>
          <w:rFonts w:eastAsia="Times New Roman" w:cs="Times New Roman"/>
          <w:i/>
          <w:sz w:val="20"/>
          <w:szCs w:val="24"/>
          <w:lang w:eastAsia="cs-CZ"/>
        </w:rPr>
        <w:t xml:space="preserve"> </w:t>
      </w:r>
    </w:p>
    <w:p w:rsidR="00864587" w:rsidRPr="00864587" w:rsidRDefault="00864587" w:rsidP="00864587">
      <w:pPr>
        <w:spacing w:before="0" w:after="200" w:line="276" w:lineRule="auto"/>
        <w:rPr>
          <w:sz w:val="24"/>
        </w:rPr>
        <w:sectPr w:rsidR="00864587" w:rsidRPr="00864587">
          <w:footerReference w:type="even" r:id="rId13"/>
          <w:pgSz w:w="11906" w:h="16838"/>
          <w:pgMar w:top="1417" w:right="1417" w:bottom="1417" w:left="1417" w:header="708" w:footer="708" w:gutter="0"/>
          <w:cols w:space="708"/>
          <w:docGrid w:linePitch="360"/>
        </w:sectPr>
      </w:pPr>
    </w:p>
    <w:p w:rsidR="00D07982" w:rsidRPr="00D07982" w:rsidRDefault="00D07982" w:rsidP="000352E0">
      <w:pPr>
        <w:pStyle w:val="Nadpis1"/>
        <w:numPr>
          <w:ilvl w:val="0"/>
          <w:numId w:val="0"/>
        </w:numPr>
        <w:ind w:left="432" w:hanging="432"/>
      </w:pPr>
      <w:bookmarkStart w:id="0" w:name="_Ref429310084"/>
      <w:bookmarkStart w:id="1" w:name="_Ref429325637"/>
      <w:bookmarkStart w:id="2" w:name="_Toc459723262"/>
      <w:r w:rsidRPr="00D07982">
        <w:lastRenderedPageBreak/>
        <w:t>Obsah</w:t>
      </w:r>
      <w:bookmarkEnd w:id="0"/>
      <w:bookmarkEnd w:id="1"/>
      <w:bookmarkEnd w:id="2"/>
    </w:p>
    <w:p w:rsidR="003F08E5" w:rsidRDefault="00F00D5B">
      <w:pPr>
        <w:pStyle w:val="Obsah1"/>
        <w:tabs>
          <w:tab w:val="right" w:leader="dot" w:pos="9204"/>
        </w:tabs>
        <w:rPr>
          <w:rFonts w:eastAsiaTheme="minorEastAsia"/>
          <w:b w:val="0"/>
          <w:noProof/>
          <w:lang w:eastAsia="cs-CZ"/>
        </w:rPr>
      </w:pPr>
      <w:r>
        <w:rPr>
          <w:sz w:val="24"/>
        </w:rPr>
        <w:fldChar w:fldCharType="begin"/>
      </w:r>
      <w:r>
        <w:rPr>
          <w:sz w:val="24"/>
        </w:rPr>
        <w:instrText xml:space="preserve"> TOC \o "1-4" \h \z \u </w:instrText>
      </w:r>
      <w:r>
        <w:rPr>
          <w:sz w:val="24"/>
        </w:rPr>
        <w:fldChar w:fldCharType="separate"/>
      </w:r>
      <w:hyperlink w:anchor="_Toc459723262" w:history="1">
        <w:r w:rsidR="003F08E5" w:rsidRPr="003A2E72">
          <w:rPr>
            <w:rStyle w:val="Hypertextovodkaz"/>
            <w:noProof/>
          </w:rPr>
          <w:t>Obsah</w:t>
        </w:r>
        <w:r w:rsidR="003F08E5">
          <w:rPr>
            <w:noProof/>
            <w:webHidden/>
          </w:rPr>
          <w:tab/>
        </w:r>
        <w:r w:rsidR="003F08E5">
          <w:rPr>
            <w:noProof/>
            <w:webHidden/>
          </w:rPr>
          <w:fldChar w:fldCharType="begin"/>
        </w:r>
        <w:r w:rsidR="003F08E5">
          <w:rPr>
            <w:noProof/>
            <w:webHidden/>
          </w:rPr>
          <w:instrText xml:space="preserve"> PAGEREF _Toc459723262 \h </w:instrText>
        </w:r>
        <w:r w:rsidR="003F08E5">
          <w:rPr>
            <w:noProof/>
            <w:webHidden/>
          </w:rPr>
        </w:r>
        <w:r w:rsidR="003F08E5">
          <w:rPr>
            <w:noProof/>
            <w:webHidden/>
          </w:rPr>
          <w:fldChar w:fldCharType="separate"/>
        </w:r>
        <w:r w:rsidR="003F08E5">
          <w:rPr>
            <w:noProof/>
            <w:webHidden/>
          </w:rPr>
          <w:t>3</w:t>
        </w:r>
        <w:r w:rsidR="003F08E5">
          <w:rPr>
            <w:noProof/>
            <w:webHidden/>
          </w:rPr>
          <w:fldChar w:fldCharType="end"/>
        </w:r>
      </w:hyperlink>
    </w:p>
    <w:p w:rsidR="003F08E5" w:rsidRDefault="00990E2D">
      <w:pPr>
        <w:pStyle w:val="Obsah1"/>
        <w:tabs>
          <w:tab w:val="left" w:pos="442"/>
          <w:tab w:val="right" w:leader="dot" w:pos="9204"/>
        </w:tabs>
        <w:rPr>
          <w:rFonts w:eastAsiaTheme="minorEastAsia"/>
          <w:b w:val="0"/>
          <w:noProof/>
          <w:lang w:eastAsia="cs-CZ"/>
        </w:rPr>
      </w:pPr>
      <w:hyperlink w:anchor="_Toc459723263" w:history="1">
        <w:r w:rsidR="003F08E5" w:rsidRPr="003A2E72">
          <w:rPr>
            <w:rStyle w:val="Hypertextovodkaz"/>
            <w:noProof/>
          </w:rPr>
          <w:t>1</w:t>
        </w:r>
        <w:r w:rsidR="003F08E5">
          <w:rPr>
            <w:rFonts w:eastAsiaTheme="minorEastAsia"/>
            <w:b w:val="0"/>
            <w:noProof/>
            <w:lang w:eastAsia="cs-CZ"/>
          </w:rPr>
          <w:tab/>
        </w:r>
        <w:r w:rsidR="003F08E5" w:rsidRPr="003A2E72">
          <w:rPr>
            <w:rStyle w:val="Hypertextovodkaz"/>
            <w:noProof/>
          </w:rPr>
          <w:t>Úvod</w:t>
        </w:r>
        <w:r w:rsidR="003F08E5">
          <w:rPr>
            <w:noProof/>
            <w:webHidden/>
          </w:rPr>
          <w:tab/>
        </w:r>
        <w:r w:rsidR="003F08E5">
          <w:rPr>
            <w:noProof/>
            <w:webHidden/>
          </w:rPr>
          <w:fldChar w:fldCharType="begin"/>
        </w:r>
        <w:r w:rsidR="003F08E5">
          <w:rPr>
            <w:noProof/>
            <w:webHidden/>
          </w:rPr>
          <w:instrText xml:space="preserve"> PAGEREF _Toc459723263 \h </w:instrText>
        </w:r>
        <w:r w:rsidR="003F08E5">
          <w:rPr>
            <w:noProof/>
            <w:webHidden/>
          </w:rPr>
        </w:r>
        <w:r w:rsidR="003F08E5">
          <w:rPr>
            <w:noProof/>
            <w:webHidden/>
          </w:rPr>
          <w:fldChar w:fldCharType="separate"/>
        </w:r>
        <w:r w:rsidR="003F08E5">
          <w:rPr>
            <w:noProof/>
            <w:webHidden/>
          </w:rPr>
          <w:t>6</w:t>
        </w:r>
        <w:r w:rsidR="003F08E5">
          <w:rPr>
            <w:noProof/>
            <w:webHidden/>
          </w:rPr>
          <w:fldChar w:fldCharType="end"/>
        </w:r>
      </w:hyperlink>
    </w:p>
    <w:p w:rsidR="003F08E5" w:rsidRDefault="00990E2D">
      <w:pPr>
        <w:pStyle w:val="Obsah1"/>
        <w:tabs>
          <w:tab w:val="left" w:pos="442"/>
          <w:tab w:val="right" w:leader="dot" w:pos="9204"/>
        </w:tabs>
        <w:rPr>
          <w:rFonts w:eastAsiaTheme="minorEastAsia"/>
          <w:b w:val="0"/>
          <w:noProof/>
          <w:lang w:eastAsia="cs-CZ"/>
        </w:rPr>
      </w:pPr>
      <w:hyperlink w:anchor="_Toc459723264" w:history="1">
        <w:r w:rsidR="003F08E5" w:rsidRPr="003A2E72">
          <w:rPr>
            <w:rStyle w:val="Hypertextovodkaz"/>
            <w:noProof/>
          </w:rPr>
          <w:t>2</w:t>
        </w:r>
        <w:r w:rsidR="003F08E5">
          <w:rPr>
            <w:rFonts w:eastAsiaTheme="minorEastAsia"/>
            <w:b w:val="0"/>
            <w:noProof/>
            <w:lang w:eastAsia="cs-CZ"/>
          </w:rPr>
          <w:tab/>
        </w:r>
        <w:r w:rsidR="003F08E5" w:rsidRPr="003A2E72">
          <w:rPr>
            <w:rStyle w:val="Hypertextovodkaz"/>
            <w:noProof/>
          </w:rPr>
          <w:t>Systém podpory bezpečnostního výzkumu v ČR</w:t>
        </w:r>
        <w:r w:rsidR="003F08E5">
          <w:rPr>
            <w:noProof/>
            <w:webHidden/>
          </w:rPr>
          <w:tab/>
        </w:r>
        <w:r w:rsidR="003F08E5">
          <w:rPr>
            <w:noProof/>
            <w:webHidden/>
          </w:rPr>
          <w:fldChar w:fldCharType="begin"/>
        </w:r>
        <w:r w:rsidR="003F08E5">
          <w:rPr>
            <w:noProof/>
            <w:webHidden/>
          </w:rPr>
          <w:instrText xml:space="preserve"> PAGEREF _Toc459723264 \h </w:instrText>
        </w:r>
        <w:r w:rsidR="003F08E5">
          <w:rPr>
            <w:noProof/>
            <w:webHidden/>
          </w:rPr>
        </w:r>
        <w:r w:rsidR="003F08E5">
          <w:rPr>
            <w:noProof/>
            <w:webHidden/>
          </w:rPr>
          <w:fldChar w:fldCharType="separate"/>
        </w:r>
        <w:r w:rsidR="003F08E5">
          <w:rPr>
            <w:noProof/>
            <w:webHidden/>
          </w:rPr>
          <w:t>6</w:t>
        </w:r>
        <w:r w:rsidR="003F08E5">
          <w:rPr>
            <w:noProof/>
            <w:webHidden/>
          </w:rPr>
          <w:fldChar w:fldCharType="end"/>
        </w:r>
      </w:hyperlink>
    </w:p>
    <w:p w:rsidR="003F08E5" w:rsidRDefault="00990E2D">
      <w:pPr>
        <w:pStyle w:val="Obsah2"/>
        <w:tabs>
          <w:tab w:val="left" w:pos="880"/>
          <w:tab w:val="right" w:leader="dot" w:pos="9204"/>
        </w:tabs>
        <w:rPr>
          <w:rFonts w:eastAsiaTheme="minorEastAsia"/>
          <w:b w:val="0"/>
          <w:noProof/>
          <w:lang w:eastAsia="cs-CZ"/>
        </w:rPr>
      </w:pPr>
      <w:hyperlink w:anchor="_Toc459723265" w:history="1">
        <w:r w:rsidR="003F08E5" w:rsidRPr="003A2E72">
          <w:rPr>
            <w:rStyle w:val="Hypertextovodkaz"/>
            <w:noProof/>
          </w:rPr>
          <w:t>2.1</w:t>
        </w:r>
        <w:r w:rsidR="003F08E5">
          <w:rPr>
            <w:rFonts w:eastAsiaTheme="minorEastAsia"/>
            <w:b w:val="0"/>
            <w:noProof/>
            <w:lang w:eastAsia="cs-CZ"/>
          </w:rPr>
          <w:tab/>
        </w:r>
        <w:r w:rsidR="003F08E5" w:rsidRPr="003A2E72">
          <w:rPr>
            <w:rStyle w:val="Hypertextovodkaz"/>
            <w:noProof/>
          </w:rPr>
          <w:t>Systém veřejné podpory bezpečnostního výzkumu a její strategické zaměření</w:t>
        </w:r>
        <w:r w:rsidR="003F08E5">
          <w:rPr>
            <w:noProof/>
            <w:webHidden/>
          </w:rPr>
          <w:tab/>
        </w:r>
        <w:r w:rsidR="003F08E5">
          <w:rPr>
            <w:noProof/>
            <w:webHidden/>
          </w:rPr>
          <w:fldChar w:fldCharType="begin"/>
        </w:r>
        <w:r w:rsidR="003F08E5">
          <w:rPr>
            <w:noProof/>
            <w:webHidden/>
          </w:rPr>
          <w:instrText xml:space="preserve"> PAGEREF _Toc459723265 \h </w:instrText>
        </w:r>
        <w:r w:rsidR="003F08E5">
          <w:rPr>
            <w:noProof/>
            <w:webHidden/>
          </w:rPr>
        </w:r>
        <w:r w:rsidR="003F08E5">
          <w:rPr>
            <w:noProof/>
            <w:webHidden/>
          </w:rPr>
          <w:fldChar w:fldCharType="separate"/>
        </w:r>
        <w:r w:rsidR="003F08E5">
          <w:rPr>
            <w:noProof/>
            <w:webHidden/>
          </w:rPr>
          <w:t>7</w:t>
        </w:r>
        <w:r w:rsidR="003F08E5">
          <w:rPr>
            <w:noProof/>
            <w:webHidden/>
          </w:rPr>
          <w:fldChar w:fldCharType="end"/>
        </w:r>
      </w:hyperlink>
    </w:p>
    <w:p w:rsidR="003F08E5" w:rsidRDefault="00990E2D">
      <w:pPr>
        <w:pStyle w:val="Obsah2"/>
        <w:tabs>
          <w:tab w:val="left" w:pos="880"/>
          <w:tab w:val="right" w:leader="dot" w:pos="9204"/>
        </w:tabs>
        <w:rPr>
          <w:rFonts w:eastAsiaTheme="minorEastAsia"/>
          <w:b w:val="0"/>
          <w:noProof/>
          <w:lang w:eastAsia="cs-CZ"/>
        </w:rPr>
      </w:pPr>
      <w:hyperlink w:anchor="_Toc459723266" w:history="1">
        <w:r w:rsidR="003F08E5" w:rsidRPr="003A2E72">
          <w:rPr>
            <w:rStyle w:val="Hypertextovodkaz"/>
            <w:noProof/>
          </w:rPr>
          <w:t>2.2</w:t>
        </w:r>
        <w:r w:rsidR="003F08E5">
          <w:rPr>
            <w:rFonts w:eastAsiaTheme="minorEastAsia"/>
            <w:b w:val="0"/>
            <w:noProof/>
            <w:lang w:eastAsia="cs-CZ"/>
          </w:rPr>
          <w:tab/>
        </w:r>
        <w:r w:rsidR="003F08E5" w:rsidRPr="003A2E72">
          <w:rPr>
            <w:rStyle w:val="Hypertextovodkaz"/>
            <w:noProof/>
          </w:rPr>
          <w:t>Veřejná podpora bezpečnostního výzkumu v letech 2010 - 2015</w:t>
        </w:r>
        <w:r w:rsidR="003F08E5">
          <w:rPr>
            <w:noProof/>
            <w:webHidden/>
          </w:rPr>
          <w:tab/>
        </w:r>
        <w:r w:rsidR="003F08E5">
          <w:rPr>
            <w:noProof/>
            <w:webHidden/>
          </w:rPr>
          <w:fldChar w:fldCharType="begin"/>
        </w:r>
        <w:r w:rsidR="003F08E5">
          <w:rPr>
            <w:noProof/>
            <w:webHidden/>
          </w:rPr>
          <w:instrText xml:space="preserve"> PAGEREF _Toc459723266 \h </w:instrText>
        </w:r>
        <w:r w:rsidR="003F08E5">
          <w:rPr>
            <w:noProof/>
            <w:webHidden/>
          </w:rPr>
        </w:r>
        <w:r w:rsidR="003F08E5">
          <w:rPr>
            <w:noProof/>
            <w:webHidden/>
          </w:rPr>
          <w:fldChar w:fldCharType="separate"/>
        </w:r>
        <w:r w:rsidR="003F08E5">
          <w:rPr>
            <w:noProof/>
            <w:webHidden/>
          </w:rPr>
          <w:t>11</w:t>
        </w:r>
        <w:r w:rsidR="003F08E5">
          <w:rPr>
            <w:noProof/>
            <w:webHidden/>
          </w:rPr>
          <w:fldChar w:fldCharType="end"/>
        </w:r>
      </w:hyperlink>
    </w:p>
    <w:p w:rsidR="003F08E5" w:rsidRDefault="00990E2D">
      <w:pPr>
        <w:pStyle w:val="Obsah3"/>
        <w:rPr>
          <w:rFonts w:eastAsiaTheme="minorEastAsia"/>
          <w:noProof/>
          <w:lang w:eastAsia="cs-CZ"/>
        </w:rPr>
      </w:pPr>
      <w:hyperlink w:anchor="_Toc459723267" w:history="1">
        <w:r w:rsidR="003F08E5" w:rsidRPr="003A2E72">
          <w:rPr>
            <w:rStyle w:val="Hypertextovodkaz"/>
            <w:rFonts w:eastAsiaTheme="majorEastAsia"/>
            <w:noProof/>
          </w:rPr>
          <w:t>2.2.1</w:t>
        </w:r>
        <w:r w:rsidR="003F08E5">
          <w:rPr>
            <w:rFonts w:eastAsiaTheme="minorEastAsia"/>
            <w:noProof/>
            <w:lang w:eastAsia="cs-CZ"/>
          </w:rPr>
          <w:tab/>
        </w:r>
        <w:r w:rsidR="003F08E5" w:rsidRPr="003A2E72">
          <w:rPr>
            <w:rStyle w:val="Hypertextovodkaz"/>
            <w:rFonts w:eastAsiaTheme="majorEastAsia"/>
            <w:noProof/>
          </w:rPr>
          <w:t>Podpora poskytovaná Ministerstvem vnitra</w:t>
        </w:r>
        <w:r w:rsidR="003F08E5">
          <w:rPr>
            <w:noProof/>
            <w:webHidden/>
          </w:rPr>
          <w:tab/>
        </w:r>
        <w:r w:rsidR="003F08E5">
          <w:rPr>
            <w:noProof/>
            <w:webHidden/>
          </w:rPr>
          <w:fldChar w:fldCharType="begin"/>
        </w:r>
        <w:r w:rsidR="003F08E5">
          <w:rPr>
            <w:noProof/>
            <w:webHidden/>
          </w:rPr>
          <w:instrText xml:space="preserve"> PAGEREF _Toc459723267 \h </w:instrText>
        </w:r>
        <w:r w:rsidR="003F08E5">
          <w:rPr>
            <w:noProof/>
            <w:webHidden/>
          </w:rPr>
        </w:r>
        <w:r w:rsidR="003F08E5">
          <w:rPr>
            <w:noProof/>
            <w:webHidden/>
          </w:rPr>
          <w:fldChar w:fldCharType="separate"/>
        </w:r>
        <w:r w:rsidR="003F08E5">
          <w:rPr>
            <w:noProof/>
            <w:webHidden/>
          </w:rPr>
          <w:t>11</w:t>
        </w:r>
        <w:r w:rsidR="003F08E5">
          <w:rPr>
            <w:noProof/>
            <w:webHidden/>
          </w:rPr>
          <w:fldChar w:fldCharType="end"/>
        </w:r>
      </w:hyperlink>
    </w:p>
    <w:p w:rsidR="003F08E5" w:rsidRDefault="00990E2D">
      <w:pPr>
        <w:pStyle w:val="Obsah4"/>
        <w:tabs>
          <w:tab w:val="left" w:pos="1540"/>
          <w:tab w:val="right" w:leader="dot" w:pos="9204"/>
        </w:tabs>
        <w:rPr>
          <w:rFonts w:eastAsiaTheme="minorEastAsia"/>
          <w:noProof/>
          <w:sz w:val="22"/>
          <w:lang w:eastAsia="cs-CZ"/>
        </w:rPr>
      </w:pPr>
      <w:hyperlink w:anchor="_Toc459723268" w:history="1">
        <w:r w:rsidR="003F08E5" w:rsidRPr="003A2E72">
          <w:rPr>
            <w:rStyle w:val="Hypertextovodkaz"/>
            <w:rFonts w:eastAsiaTheme="majorEastAsia"/>
            <w:noProof/>
          </w:rPr>
          <w:t>2.2.1.1</w:t>
        </w:r>
        <w:r w:rsidR="003F08E5">
          <w:rPr>
            <w:rFonts w:eastAsiaTheme="minorEastAsia"/>
            <w:noProof/>
            <w:sz w:val="22"/>
            <w:lang w:eastAsia="cs-CZ"/>
          </w:rPr>
          <w:tab/>
        </w:r>
        <w:r w:rsidR="003F08E5" w:rsidRPr="003A2E72">
          <w:rPr>
            <w:rStyle w:val="Hypertextovodkaz"/>
            <w:rFonts w:eastAsiaTheme="majorEastAsia"/>
            <w:noProof/>
          </w:rPr>
          <w:t>Institucionální podpora VaV</w:t>
        </w:r>
        <w:r w:rsidR="003F08E5">
          <w:rPr>
            <w:noProof/>
            <w:webHidden/>
          </w:rPr>
          <w:tab/>
        </w:r>
        <w:r w:rsidR="003F08E5">
          <w:rPr>
            <w:noProof/>
            <w:webHidden/>
          </w:rPr>
          <w:fldChar w:fldCharType="begin"/>
        </w:r>
        <w:r w:rsidR="003F08E5">
          <w:rPr>
            <w:noProof/>
            <w:webHidden/>
          </w:rPr>
          <w:instrText xml:space="preserve"> PAGEREF _Toc459723268 \h </w:instrText>
        </w:r>
        <w:r w:rsidR="003F08E5">
          <w:rPr>
            <w:noProof/>
            <w:webHidden/>
          </w:rPr>
        </w:r>
        <w:r w:rsidR="003F08E5">
          <w:rPr>
            <w:noProof/>
            <w:webHidden/>
          </w:rPr>
          <w:fldChar w:fldCharType="separate"/>
        </w:r>
        <w:r w:rsidR="003F08E5">
          <w:rPr>
            <w:noProof/>
            <w:webHidden/>
          </w:rPr>
          <w:t>12</w:t>
        </w:r>
        <w:r w:rsidR="003F08E5">
          <w:rPr>
            <w:noProof/>
            <w:webHidden/>
          </w:rPr>
          <w:fldChar w:fldCharType="end"/>
        </w:r>
      </w:hyperlink>
    </w:p>
    <w:p w:rsidR="003F08E5" w:rsidRDefault="00990E2D">
      <w:pPr>
        <w:pStyle w:val="Obsah4"/>
        <w:tabs>
          <w:tab w:val="left" w:pos="1540"/>
          <w:tab w:val="right" w:leader="dot" w:pos="9204"/>
        </w:tabs>
        <w:rPr>
          <w:rFonts w:eastAsiaTheme="minorEastAsia"/>
          <w:noProof/>
          <w:sz w:val="22"/>
          <w:lang w:eastAsia="cs-CZ"/>
        </w:rPr>
      </w:pPr>
      <w:hyperlink w:anchor="_Toc459723269" w:history="1">
        <w:r w:rsidR="003F08E5" w:rsidRPr="003A2E72">
          <w:rPr>
            <w:rStyle w:val="Hypertextovodkaz"/>
            <w:rFonts w:eastAsiaTheme="majorEastAsia"/>
            <w:noProof/>
          </w:rPr>
          <w:t>2.2.1.2</w:t>
        </w:r>
        <w:r w:rsidR="003F08E5">
          <w:rPr>
            <w:rFonts w:eastAsiaTheme="minorEastAsia"/>
            <w:noProof/>
            <w:sz w:val="22"/>
            <w:lang w:eastAsia="cs-CZ"/>
          </w:rPr>
          <w:tab/>
        </w:r>
        <w:r w:rsidR="003F08E5" w:rsidRPr="003A2E72">
          <w:rPr>
            <w:rStyle w:val="Hypertextovodkaz"/>
            <w:rFonts w:eastAsiaTheme="majorEastAsia"/>
            <w:noProof/>
          </w:rPr>
          <w:t>Účelová podpora VaV</w:t>
        </w:r>
        <w:r w:rsidR="003F08E5">
          <w:rPr>
            <w:noProof/>
            <w:webHidden/>
          </w:rPr>
          <w:tab/>
        </w:r>
        <w:r w:rsidR="003F08E5">
          <w:rPr>
            <w:noProof/>
            <w:webHidden/>
          </w:rPr>
          <w:fldChar w:fldCharType="begin"/>
        </w:r>
        <w:r w:rsidR="003F08E5">
          <w:rPr>
            <w:noProof/>
            <w:webHidden/>
          </w:rPr>
          <w:instrText xml:space="preserve"> PAGEREF _Toc459723269 \h </w:instrText>
        </w:r>
        <w:r w:rsidR="003F08E5">
          <w:rPr>
            <w:noProof/>
            <w:webHidden/>
          </w:rPr>
        </w:r>
        <w:r w:rsidR="003F08E5">
          <w:rPr>
            <w:noProof/>
            <w:webHidden/>
          </w:rPr>
          <w:fldChar w:fldCharType="separate"/>
        </w:r>
        <w:r w:rsidR="003F08E5">
          <w:rPr>
            <w:noProof/>
            <w:webHidden/>
          </w:rPr>
          <w:t>13</w:t>
        </w:r>
        <w:r w:rsidR="003F08E5">
          <w:rPr>
            <w:noProof/>
            <w:webHidden/>
          </w:rPr>
          <w:fldChar w:fldCharType="end"/>
        </w:r>
      </w:hyperlink>
    </w:p>
    <w:p w:rsidR="003F08E5" w:rsidRDefault="00990E2D">
      <w:pPr>
        <w:pStyle w:val="Obsah3"/>
        <w:rPr>
          <w:rFonts w:eastAsiaTheme="minorEastAsia"/>
          <w:noProof/>
          <w:lang w:eastAsia="cs-CZ"/>
        </w:rPr>
      </w:pPr>
      <w:hyperlink w:anchor="_Toc459723270" w:history="1">
        <w:r w:rsidR="003F08E5" w:rsidRPr="003A2E72">
          <w:rPr>
            <w:rStyle w:val="Hypertextovodkaz"/>
            <w:noProof/>
          </w:rPr>
          <w:t>2.2.2</w:t>
        </w:r>
        <w:r w:rsidR="003F08E5">
          <w:rPr>
            <w:rFonts w:eastAsiaTheme="minorEastAsia"/>
            <w:noProof/>
            <w:lang w:eastAsia="cs-CZ"/>
          </w:rPr>
          <w:tab/>
        </w:r>
        <w:r w:rsidR="003F08E5" w:rsidRPr="003A2E72">
          <w:rPr>
            <w:rStyle w:val="Hypertextovodkaz"/>
            <w:noProof/>
          </w:rPr>
          <w:t>Příjemci veřejné podpory v programech bezpečnostního výzkumu MV</w:t>
        </w:r>
        <w:r w:rsidR="003F08E5">
          <w:rPr>
            <w:noProof/>
            <w:webHidden/>
          </w:rPr>
          <w:tab/>
        </w:r>
        <w:r w:rsidR="003F08E5">
          <w:rPr>
            <w:noProof/>
            <w:webHidden/>
          </w:rPr>
          <w:fldChar w:fldCharType="begin"/>
        </w:r>
        <w:r w:rsidR="003F08E5">
          <w:rPr>
            <w:noProof/>
            <w:webHidden/>
          </w:rPr>
          <w:instrText xml:space="preserve"> PAGEREF _Toc459723270 \h </w:instrText>
        </w:r>
        <w:r w:rsidR="003F08E5">
          <w:rPr>
            <w:noProof/>
            <w:webHidden/>
          </w:rPr>
        </w:r>
        <w:r w:rsidR="003F08E5">
          <w:rPr>
            <w:noProof/>
            <w:webHidden/>
          </w:rPr>
          <w:fldChar w:fldCharType="separate"/>
        </w:r>
        <w:r w:rsidR="003F08E5">
          <w:rPr>
            <w:noProof/>
            <w:webHidden/>
          </w:rPr>
          <w:t>19</w:t>
        </w:r>
        <w:r w:rsidR="003F08E5">
          <w:rPr>
            <w:noProof/>
            <w:webHidden/>
          </w:rPr>
          <w:fldChar w:fldCharType="end"/>
        </w:r>
      </w:hyperlink>
    </w:p>
    <w:p w:rsidR="003F08E5" w:rsidRDefault="00990E2D">
      <w:pPr>
        <w:pStyle w:val="Obsah4"/>
        <w:tabs>
          <w:tab w:val="left" w:pos="1540"/>
          <w:tab w:val="right" w:leader="dot" w:pos="9204"/>
        </w:tabs>
        <w:rPr>
          <w:rFonts w:eastAsiaTheme="minorEastAsia"/>
          <w:noProof/>
          <w:sz w:val="22"/>
          <w:lang w:eastAsia="cs-CZ"/>
        </w:rPr>
      </w:pPr>
      <w:hyperlink w:anchor="_Toc459723271" w:history="1">
        <w:r w:rsidR="003F08E5" w:rsidRPr="003A2E72">
          <w:rPr>
            <w:rStyle w:val="Hypertextovodkaz"/>
            <w:noProof/>
          </w:rPr>
          <w:t>2.2.2.1</w:t>
        </w:r>
        <w:r w:rsidR="003F08E5">
          <w:rPr>
            <w:rFonts w:eastAsiaTheme="minorEastAsia"/>
            <w:noProof/>
            <w:sz w:val="22"/>
            <w:lang w:eastAsia="cs-CZ"/>
          </w:rPr>
          <w:tab/>
        </w:r>
        <w:r w:rsidR="003F08E5" w:rsidRPr="003A2E72">
          <w:rPr>
            <w:rStyle w:val="Hypertextovodkaz"/>
            <w:noProof/>
          </w:rPr>
          <w:t>Veřejná podpora získaná organizačními jednotkami a institucemi v rozpočtové kapitole MV</w:t>
        </w:r>
        <w:r w:rsidR="003F08E5">
          <w:rPr>
            <w:noProof/>
            <w:webHidden/>
          </w:rPr>
          <w:tab/>
        </w:r>
        <w:r w:rsidR="003F08E5">
          <w:rPr>
            <w:noProof/>
            <w:webHidden/>
          </w:rPr>
          <w:fldChar w:fldCharType="begin"/>
        </w:r>
        <w:r w:rsidR="003F08E5">
          <w:rPr>
            <w:noProof/>
            <w:webHidden/>
          </w:rPr>
          <w:instrText xml:space="preserve"> PAGEREF _Toc459723271 \h </w:instrText>
        </w:r>
        <w:r w:rsidR="003F08E5">
          <w:rPr>
            <w:noProof/>
            <w:webHidden/>
          </w:rPr>
        </w:r>
        <w:r w:rsidR="003F08E5">
          <w:rPr>
            <w:noProof/>
            <w:webHidden/>
          </w:rPr>
          <w:fldChar w:fldCharType="separate"/>
        </w:r>
        <w:r w:rsidR="003F08E5">
          <w:rPr>
            <w:noProof/>
            <w:webHidden/>
          </w:rPr>
          <w:t>21</w:t>
        </w:r>
        <w:r w:rsidR="003F08E5">
          <w:rPr>
            <w:noProof/>
            <w:webHidden/>
          </w:rPr>
          <w:fldChar w:fldCharType="end"/>
        </w:r>
      </w:hyperlink>
    </w:p>
    <w:p w:rsidR="003F08E5" w:rsidRDefault="00990E2D">
      <w:pPr>
        <w:pStyle w:val="Obsah3"/>
        <w:rPr>
          <w:rFonts w:eastAsiaTheme="minorEastAsia"/>
          <w:noProof/>
          <w:lang w:eastAsia="cs-CZ"/>
        </w:rPr>
      </w:pPr>
      <w:hyperlink w:anchor="_Toc459723272" w:history="1">
        <w:r w:rsidR="003F08E5" w:rsidRPr="003A2E72">
          <w:rPr>
            <w:rStyle w:val="Hypertextovodkaz"/>
            <w:rFonts w:eastAsiaTheme="majorEastAsia"/>
            <w:noProof/>
          </w:rPr>
          <w:t>2.2.3</w:t>
        </w:r>
        <w:r w:rsidR="003F08E5">
          <w:rPr>
            <w:rFonts w:eastAsiaTheme="minorEastAsia"/>
            <w:noProof/>
            <w:lang w:eastAsia="cs-CZ"/>
          </w:rPr>
          <w:tab/>
        </w:r>
        <w:r w:rsidR="003F08E5" w:rsidRPr="003A2E72">
          <w:rPr>
            <w:rStyle w:val="Hypertextovodkaz"/>
            <w:rFonts w:eastAsiaTheme="majorEastAsia"/>
            <w:noProof/>
          </w:rPr>
          <w:t>Účast MV na programu BETA Technologické agentury ČR</w:t>
        </w:r>
        <w:r w:rsidR="003F08E5">
          <w:rPr>
            <w:noProof/>
            <w:webHidden/>
          </w:rPr>
          <w:tab/>
        </w:r>
        <w:r w:rsidR="003F08E5">
          <w:rPr>
            <w:noProof/>
            <w:webHidden/>
          </w:rPr>
          <w:fldChar w:fldCharType="begin"/>
        </w:r>
        <w:r w:rsidR="003F08E5">
          <w:rPr>
            <w:noProof/>
            <w:webHidden/>
          </w:rPr>
          <w:instrText xml:space="preserve"> PAGEREF _Toc459723272 \h </w:instrText>
        </w:r>
        <w:r w:rsidR="003F08E5">
          <w:rPr>
            <w:noProof/>
            <w:webHidden/>
          </w:rPr>
        </w:r>
        <w:r w:rsidR="003F08E5">
          <w:rPr>
            <w:noProof/>
            <w:webHidden/>
          </w:rPr>
          <w:fldChar w:fldCharType="separate"/>
        </w:r>
        <w:r w:rsidR="003F08E5">
          <w:rPr>
            <w:noProof/>
            <w:webHidden/>
          </w:rPr>
          <w:t>24</w:t>
        </w:r>
        <w:r w:rsidR="003F08E5">
          <w:rPr>
            <w:noProof/>
            <w:webHidden/>
          </w:rPr>
          <w:fldChar w:fldCharType="end"/>
        </w:r>
      </w:hyperlink>
    </w:p>
    <w:p w:rsidR="003F08E5" w:rsidRDefault="00990E2D">
      <w:pPr>
        <w:pStyle w:val="Obsah2"/>
        <w:tabs>
          <w:tab w:val="left" w:pos="880"/>
          <w:tab w:val="right" w:leader="dot" w:pos="9204"/>
        </w:tabs>
        <w:rPr>
          <w:rFonts w:eastAsiaTheme="minorEastAsia"/>
          <w:b w:val="0"/>
          <w:noProof/>
          <w:lang w:eastAsia="cs-CZ"/>
        </w:rPr>
      </w:pPr>
      <w:hyperlink w:anchor="_Toc459723273" w:history="1">
        <w:r w:rsidR="003F08E5" w:rsidRPr="003A2E72">
          <w:rPr>
            <w:rStyle w:val="Hypertextovodkaz"/>
            <w:noProof/>
          </w:rPr>
          <w:t>2.3</w:t>
        </w:r>
        <w:r w:rsidR="003F08E5">
          <w:rPr>
            <w:rFonts w:eastAsiaTheme="minorEastAsia"/>
            <w:b w:val="0"/>
            <w:noProof/>
            <w:lang w:eastAsia="cs-CZ"/>
          </w:rPr>
          <w:tab/>
        </w:r>
        <w:r w:rsidR="003F08E5" w:rsidRPr="003A2E72">
          <w:rPr>
            <w:rStyle w:val="Hypertextovodkaz"/>
            <w:noProof/>
          </w:rPr>
          <w:t>Překryvy a styčné plochy mezi systémem podpory bezpečnostního výzkumu MV a ostatními mechanismy podpory</w:t>
        </w:r>
        <w:r w:rsidR="003F08E5">
          <w:rPr>
            <w:noProof/>
            <w:webHidden/>
          </w:rPr>
          <w:tab/>
        </w:r>
        <w:r w:rsidR="003F08E5">
          <w:rPr>
            <w:noProof/>
            <w:webHidden/>
          </w:rPr>
          <w:fldChar w:fldCharType="begin"/>
        </w:r>
        <w:r w:rsidR="003F08E5">
          <w:rPr>
            <w:noProof/>
            <w:webHidden/>
          </w:rPr>
          <w:instrText xml:space="preserve"> PAGEREF _Toc459723273 \h </w:instrText>
        </w:r>
        <w:r w:rsidR="003F08E5">
          <w:rPr>
            <w:noProof/>
            <w:webHidden/>
          </w:rPr>
        </w:r>
        <w:r w:rsidR="003F08E5">
          <w:rPr>
            <w:noProof/>
            <w:webHidden/>
          </w:rPr>
          <w:fldChar w:fldCharType="separate"/>
        </w:r>
        <w:r w:rsidR="003F08E5">
          <w:rPr>
            <w:noProof/>
            <w:webHidden/>
          </w:rPr>
          <w:t>25</w:t>
        </w:r>
        <w:r w:rsidR="003F08E5">
          <w:rPr>
            <w:noProof/>
            <w:webHidden/>
          </w:rPr>
          <w:fldChar w:fldCharType="end"/>
        </w:r>
      </w:hyperlink>
    </w:p>
    <w:p w:rsidR="003F08E5" w:rsidRDefault="00990E2D">
      <w:pPr>
        <w:pStyle w:val="Obsah3"/>
        <w:rPr>
          <w:rFonts w:eastAsiaTheme="minorEastAsia"/>
          <w:noProof/>
          <w:lang w:eastAsia="cs-CZ"/>
        </w:rPr>
      </w:pPr>
      <w:hyperlink w:anchor="_Toc459723274" w:history="1">
        <w:r w:rsidR="003F08E5" w:rsidRPr="003A2E72">
          <w:rPr>
            <w:rStyle w:val="Hypertextovodkaz"/>
            <w:noProof/>
          </w:rPr>
          <w:t>2.3.1</w:t>
        </w:r>
        <w:r w:rsidR="003F08E5">
          <w:rPr>
            <w:rFonts w:eastAsiaTheme="minorEastAsia"/>
            <w:noProof/>
            <w:lang w:eastAsia="cs-CZ"/>
          </w:rPr>
          <w:tab/>
        </w:r>
        <w:r w:rsidR="003F08E5" w:rsidRPr="003A2E72">
          <w:rPr>
            <w:rStyle w:val="Hypertextovodkaz"/>
            <w:noProof/>
          </w:rPr>
          <w:t>Analýza projektů v Informačním systému výzkumu, experimentálního vývoje a inovací</w:t>
        </w:r>
        <w:r w:rsidR="003F08E5">
          <w:rPr>
            <w:noProof/>
            <w:webHidden/>
          </w:rPr>
          <w:tab/>
        </w:r>
        <w:r w:rsidR="003F08E5">
          <w:rPr>
            <w:noProof/>
            <w:webHidden/>
          </w:rPr>
          <w:fldChar w:fldCharType="begin"/>
        </w:r>
        <w:r w:rsidR="003F08E5">
          <w:rPr>
            <w:noProof/>
            <w:webHidden/>
          </w:rPr>
          <w:instrText xml:space="preserve"> PAGEREF _Toc459723274 \h </w:instrText>
        </w:r>
        <w:r w:rsidR="003F08E5">
          <w:rPr>
            <w:noProof/>
            <w:webHidden/>
          </w:rPr>
        </w:r>
        <w:r w:rsidR="003F08E5">
          <w:rPr>
            <w:noProof/>
            <w:webHidden/>
          </w:rPr>
          <w:fldChar w:fldCharType="separate"/>
        </w:r>
        <w:r w:rsidR="003F08E5">
          <w:rPr>
            <w:noProof/>
            <w:webHidden/>
          </w:rPr>
          <w:t>25</w:t>
        </w:r>
        <w:r w:rsidR="003F08E5">
          <w:rPr>
            <w:noProof/>
            <w:webHidden/>
          </w:rPr>
          <w:fldChar w:fldCharType="end"/>
        </w:r>
      </w:hyperlink>
    </w:p>
    <w:p w:rsidR="003F08E5" w:rsidRDefault="00990E2D">
      <w:pPr>
        <w:pStyle w:val="Obsah4"/>
        <w:tabs>
          <w:tab w:val="left" w:pos="1540"/>
          <w:tab w:val="right" w:leader="dot" w:pos="9204"/>
        </w:tabs>
        <w:rPr>
          <w:rFonts w:eastAsiaTheme="minorEastAsia"/>
          <w:noProof/>
          <w:sz w:val="22"/>
          <w:lang w:eastAsia="cs-CZ"/>
        </w:rPr>
      </w:pPr>
      <w:hyperlink w:anchor="_Toc459723275" w:history="1">
        <w:r w:rsidR="003F08E5" w:rsidRPr="003A2E72">
          <w:rPr>
            <w:rStyle w:val="Hypertextovodkaz"/>
            <w:noProof/>
          </w:rPr>
          <w:t>2.3.1.1</w:t>
        </w:r>
        <w:r w:rsidR="003F08E5">
          <w:rPr>
            <w:rFonts w:eastAsiaTheme="minorEastAsia"/>
            <w:noProof/>
            <w:sz w:val="22"/>
            <w:lang w:eastAsia="cs-CZ"/>
          </w:rPr>
          <w:tab/>
        </w:r>
        <w:r w:rsidR="003F08E5" w:rsidRPr="003A2E72">
          <w:rPr>
            <w:rStyle w:val="Hypertextovodkaz"/>
            <w:noProof/>
          </w:rPr>
          <w:t>Bezpečnostní problematika v programech Ministerstva průmyslu a obchodu, Ministerstva zemědělství a Technologické agentury ČR</w:t>
        </w:r>
        <w:r w:rsidR="003F08E5">
          <w:rPr>
            <w:noProof/>
            <w:webHidden/>
          </w:rPr>
          <w:tab/>
        </w:r>
        <w:r w:rsidR="003F08E5">
          <w:rPr>
            <w:noProof/>
            <w:webHidden/>
          </w:rPr>
          <w:fldChar w:fldCharType="begin"/>
        </w:r>
        <w:r w:rsidR="003F08E5">
          <w:rPr>
            <w:noProof/>
            <w:webHidden/>
          </w:rPr>
          <w:instrText xml:space="preserve"> PAGEREF _Toc459723275 \h </w:instrText>
        </w:r>
        <w:r w:rsidR="003F08E5">
          <w:rPr>
            <w:noProof/>
            <w:webHidden/>
          </w:rPr>
        </w:r>
        <w:r w:rsidR="003F08E5">
          <w:rPr>
            <w:noProof/>
            <w:webHidden/>
          </w:rPr>
          <w:fldChar w:fldCharType="separate"/>
        </w:r>
        <w:r w:rsidR="003F08E5">
          <w:rPr>
            <w:noProof/>
            <w:webHidden/>
          </w:rPr>
          <w:t>25</w:t>
        </w:r>
        <w:r w:rsidR="003F08E5">
          <w:rPr>
            <w:noProof/>
            <w:webHidden/>
          </w:rPr>
          <w:fldChar w:fldCharType="end"/>
        </w:r>
      </w:hyperlink>
    </w:p>
    <w:p w:rsidR="003F08E5" w:rsidRDefault="00990E2D">
      <w:pPr>
        <w:pStyle w:val="Obsah4"/>
        <w:tabs>
          <w:tab w:val="left" w:pos="1540"/>
          <w:tab w:val="right" w:leader="dot" w:pos="9204"/>
        </w:tabs>
        <w:rPr>
          <w:rFonts w:eastAsiaTheme="minorEastAsia"/>
          <w:noProof/>
          <w:sz w:val="22"/>
          <w:lang w:eastAsia="cs-CZ"/>
        </w:rPr>
      </w:pPr>
      <w:hyperlink w:anchor="_Toc459723276" w:history="1">
        <w:r w:rsidR="003F08E5" w:rsidRPr="003A2E72">
          <w:rPr>
            <w:rStyle w:val="Hypertextovodkaz"/>
            <w:noProof/>
          </w:rPr>
          <w:t>2.3.1.2</w:t>
        </w:r>
        <w:r w:rsidR="003F08E5">
          <w:rPr>
            <w:rFonts w:eastAsiaTheme="minorEastAsia"/>
            <w:noProof/>
            <w:sz w:val="22"/>
            <w:lang w:eastAsia="cs-CZ"/>
          </w:rPr>
          <w:tab/>
        </w:r>
        <w:r w:rsidR="003F08E5" w:rsidRPr="003A2E72">
          <w:rPr>
            <w:rStyle w:val="Hypertextovodkaz"/>
            <w:noProof/>
          </w:rPr>
          <w:t>Bezpečnostní problematika v projektech národních poskytovatelů účelového financování s využitím textové analýzy abstraktů</w:t>
        </w:r>
        <w:r w:rsidR="003F08E5">
          <w:rPr>
            <w:noProof/>
            <w:webHidden/>
          </w:rPr>
          <w:tab/>
        </w:r>
        <w:r w:rsidR="003F08E5">
          <w:rPr>
            <w:noProof/>
            <w:webHidden/>
          </w:rPr>
          <w:fldChar w:fldCharType="begin"/>
        </w:r>
        <w:r w:rsidR="003F08E5">
          <w:rPr>
            <w:noProof/>
            <w:webHidden/>
          </w:rPr>
          <w:instrText xml:space="preserve"> PAGEREF _Toc459723276 \h </w:instrText>
        </w:r>
        <w:r w:rsidR="003F08E5">
          <w:rPr>
            <w:noProof/>
            <w:webHidden/>
          </w:rPr>
        </w:r>
        <w:r w:rsidR="003F08E5">
          <w:rPr>
            <w:noProof/>
            <w:webHidden/>
          </w:rPr>
          <w:fldChar w:fldCharType="separate"/>
        </w:r>
        <w:r w:rsidR="003F08E5">
          <w:rPr>
            <w:noProof/>
            <w:webHidden/>
          </w:rPr>
          <w:t>26</w:t>
        </w:r>
        <w:r w:rsidR="003F08E5">
          <w:rPr>
            <w:noProof/>
            <w:webHidden/>
          </w:rPr>
          <w:fldChar w:fldCharType="end"/>
        </w:r>
      </w:hyperlink>
    </w:p>
    <w:p w:rsidR="003F08E5" w:rsidRDefault="00990E2D">
      <w:pPr>
        <w:pStyle w:val="Obsah3"/>
        <w:rPr>
          <w:rFonts w:eastAsiaTheme="minorEastAsia"/>
          <w:noProof/>
          <w:lang w:eastAsia="cs-CZ"/>
        </w:rPr>
      </w:pPr>
      <w:hyperlink w:anchor="_Toc459723277" w:history="1">
        <w:r w:rsidR="003F08E5" w:rsidRPr="003A2E72">
          <w:rPr>
            <w:rStyle w:val="Hypertextovodkaz"/>
            <w:noProof/>
          </w:rPr>
          <w:t>2.3.2</w:t>
        </w:r>
        <w:r w:rsidR="003F08E5">
          <w:rPr>
            <w:rFonts w:eastAsiaTheme="minorEastAsia"/>
            <w:noProof/>
            <w:lang w:eastAsia="cs-CZ"/>
          </w:rPr>
          <w:tab/>
        </w:r>
        <w:r w:rsidR="003F08E5" w:rsidRPr="003A2E72">
          <w:rPr>
            <w:rStyle w:val="Hypertextovodkaz"/>
            <w:noProof/>
          </w:rPr>
          <w:t>Analýza publikací v databázi Thomson Reuters Web of Science</w:t>
        </w:r>
        <w:r w:rsidR="003F08E5">
          <w:rPr>
            <w:noProof/>
            <w:webHidden/>
          </w:rPr>
          <w:tab/>
        </w:r>
        <w:r w:rsidR="003F08E5">
          <w:rPr>
            <w:noProof/>
            <w:webHidden/>
          </w:rPr>
          <w:fldChar w:fldCharType="begin"/>
        </w:r>
        <w:r w:rsidR="003F08E5">
          <w:rPr>
            <w:noProof/>
            <w:webHidden/>
          </w:rPr>
          <w:instrText xml:space="preserve"> PAGEREF _Toc459723277 \h </w:instrText>
        </w:r>
        <w:r w:rsidR="003F08E5">
          <w:rPr>
            <w:noProof/>
            <w:webHidden/>
          </w:rPr>
        </w:r>
        <w:r w:rsidR="003F08E5">
          <w:rPr>
            <w:noProof/>
            <w:webHidden/>
          </w:rPr>
          <w:fldChar w:fldCharType="separate"/>
        </w:r>
        <w:r w:rsidR="003F08E5">
          <w:rPr>
            <w:noProof/>
            <w:webHidden/>
          </w:rPr>
          <w:t>29</w:t>
        </w:r>
        <w:r w:rsidR="003F08E5">
          <w:rPr>
            <w:noProof/>
            <w:webHidden/>
          </w:rPr>
          <w:fldChar w:fldCharType="end"/>
        </w:r>
      </w:hyperlink>
    </w:p>
    <w:p w:rsidR="003F08E5" w:rsidRDefault="00990E2D">
      <w:pPr>
        <w:pStyle w:val="Obsah1"/>
        <w:tabs>
          <w:tab w:val="left" w:pos="442"/>
          <w:tab w:val="right" w:leader="dot" w:pos="9204"/>
        </w:tabs>
        <w:rPr>
          <w:rFonts w:eastAsiaTheme="minorEastAsia"/>
          <w:b w:val="0"/>
          <w:noProof/>
          <w:lang w:eastAsia="cs-CZ"/>
        </w:rPr>
      </w:pPr>
      <w:hyperlink w:anchor="_Toc459723278" w:history="1">
        <w:r w:rsidR="003F08E5" w:rsidRPr="003A2E72">
          <w:rPr>
            <w:rStyle w:val="Hypertextovodkaz"/>
            <w:noProof/>
          </w:rPr>
          <w:t>3</w:t>
        </w:r>
        <w:r w:rsidR="003F08E5">
          <w:rPr>
            <w:rFonts w:eastAsiaTheme="minorEastAsia"/>
            <w:b w:val="0"/>
            <w:noProof/>
            <w:lang w:eastAsia="cs-CZ"/>
          </w:rPr>
          <w:tab/>
        </w:r>
        <w:r w:rsidR="003F08E5" w:rsidRPr="003A2E72">
          <w:rPr>
            <w:rStyle w:val="Hypertextovodkaz"/>
            <w:noProof/>
          </w:rPr>
          <w:t>Trendy a silná témata bezpečnostního výzkumu v ČR</w:t>
        </w:r>
        <w:r w:rsidR="003F08E5">
          <w:rPr>
            <w:noProof/>
            <w:webHidden/>
          </w:rPr>
          <w:tab/>
        </w:r>
        <w:r w:rsidR="003F08E5">
          <w:rPr>
            <w:noProof/>
            <w:webHidden/>
          </w:rPr>
          <w:fldChar w:fldCharType="begin"/>
        </w:r>
        <w:r w:rsidR="003F08E5">
          <w:rPr>
            <w:noProof/>
            <w:webHidden/>
          </w:rPr>
          <w:instrText xml:space="preserve"> PAGEREF _Toc459723278 \h </w:instrText>
        </w:r>
        <w:r w:rsidR="003F08E5">
          <w:rPr>
            <w:noProof/>
            <w:webHidden/>
          </w:rPr>
        </w:r>
        <w:r w:rsidR="003F08E5">
          <w:rPr>
            <w:noProof/>
            <w:webHidden/>
          </w:rPr>
          <w:fldChar w:fldCharType="separate"/>
        </w:r>
        <w:r w:rsidR="003F08E5">
          <w:rPr>
            <w:noProof/>
            <w:webHidden/>
          </w:rPr>
          <w:t>35</w:t>
        </w:r>
        <w:r w:rsidR="003F08E5">
          <w:rPr>
            <w:noProof/>
            <w:webHidden/>
          </w:rPr>
          <w:fldChar w:fldCharType="end"/>
        </w:r>
      </w:hyperlink>
    </w:p>
    <w:p w:rsidR="003F08E5" w:rsidRDefault="00990E2D">
      <w:pPr>
        <w:pStyle w:val="Obsah2"/>
        <w:tabs>
          <w:tab w:val="left" w:pos="880"/>
          <w:tab w:val="right" w:leader="dot" w:pos="9204"/>
        </w:tabs>
        <w:rPr>
          <w:rFonts w:eastAsiaTheme="minorEastAsia"/>
          <w:b w:val="0"/>
          <w:noProof/>
          <w:lang w:eastAsia="cs-CZ"/>
        </w:rPr>
      </w:pPr>
      <w:hyperlink w:anchor="_Toc459723279" w:history="1">
        <w:r w:rsidR="003F08E5" w:rsidRPr="003A2E72">
          <w:rPr>
            <w:rStyle w:val="Hypertextovodkaz"/>
            <w:noProof/>
          </w:rPr>
          <w:t>3.1</w:t>
        </w:r>
        <w:r w:rsidR="003F08E5">
          <w:rPr>
            <w:rFonts w:eastAsiaTheme="minorEastAsia"/>
            <w:b w:val="0"/>
            <w:noProof/>
            <w:lang w:eastAsia="cs-CZ"/>
          </w:rPr>
          <w:tab/>
        </w:r>
        <w:r w:rsidR="003F08E5" w:rsidRPr="003A2E72">
          <w:rPr>
            <w:rStyle w:val="Hypertextovodkaz"/>
            <w:noProof/>
          </w:rPr>
          <w:t>Výsledky programů MV evidované v Rejstříku informací o výsledcích IS VaVaI</w:t>
        </w:r>
        <w:r w:rsidR="003F08E5">
          <w:rPr>
            <w:noProof/>
            <w:webHidden/>
          </w:rPr>
          <w:tab/>
        </w:r>
        <w:r w:rsidR="003F08E5">
          <w:rPr>
            <w:noProof/>
            <w:webHidden/>
          </w:rPr>
          <w:fldChar w:fldCharType="begin"/>
        </w:r>
        <w:r w:rsidR="003F08E5">
          <w:rPr>
            <w:noProof/>
            <w:webHidden/>
          </w:rPr>
          <w:instrText xml:space="preserve"> PAGEREF _Toc459723279 \h </w:instrText>
        </w:r>
        <w:r w:rsidR="003F08E5">
          <w:rPr>
            <w:noProof/>
            <w:webHidden/>
          </w:rPr>
        </w:r>
        <w:r w:rsidR="003F08E5">
          <w:rPr>
            <w:noProof/>
            <w:webHidden/>
          </w:rPr>
          <w:fldChar w:fldCharType="separate"/>
        </w:r>
        <w:r w:rsidR="003F08E5">
          <w:rPr>
            <w:noProof/>
            <w:webHidden/>
          </w:rPr>
          <w:t>35</w:t>
        </w:r>
        <w:r w:rsidR="003F08E5">
          <w:rPr>
            <w:noProof/>
            <w:webHidden/>
          </w:rPr>
          <w:fldChar w:fldCharType="end"/>
        </w:r>
      </w:hyperlink>
    </w:p>
    <w:p w:rsidR="003F08E5" w:rsidRDefault="00990E2D">
      <w:pPr>
        <w:pStyle w:val="Obsah2"/>
        <w:tabs>
          <w:tab w:val="left" w:pos="880"/>
          <w:tab w:val="right" w:leader="dot" w:pos="9204"/>
        </w:tabs>
        <w:rPr>
          <w:rFonts w:eastAsiaTheme="minorEastAsia"/>
          <w:b w:val="0"/>
          <w:noProof/>
          <w:lang w:eastAsia="cs-CZ"/>
        </w:rPr>
      </w:pPr>
      <w:hyperlink w:anchor="_Toc459723280" w:history="1">
        <w:r w:rsidR="003F08E5" w:rsidRPr="003A2E72">
          <w:rPr>
            <w:rStyle w:val="Hypertextovodkaz"/>
            <w:noProof/>
          </w:rPr>
          <w:t>3.2</w:t>
        </w:r>
        <w:r w:rsidR="003F08E5">
          <w:rPr>
            <w:rFonts w:eastAsiaTheme="minorEastAsia"/>
            <w:b w:val="0"/>
            <w:noProof/>
            <w:lang w:eastAsia="cs-CZ"/>
          </w:rPr>
          <w:tab/>
        </w:r>
        <w:r w:rsidR="003F08E5" w:rsidRPr="003A2E72">
          <w:rPr>
            <w:rStyle w:val="Hypertextovodkaz"/>
            <w:noProof/>
          </w:rPr>
          <w:t>Publikační výsledky</w:t>
        </w:r>
        <w:r w:rsidR="003F08E5">
          <w:rPr>
            <w:noProof/>
            <w:webHidden/>
          </w:rPr>
          <w:tab/>
        </w:r>
        <w:r w:rsidR="003F08E5">
          <w:rPr>
            <w:noProof/>
            <w:webHidden/>
          </w:rPr>
          <w:fldChar w:fldCharType="begin"/>
        </w:r>
        <w:r w:rsidR="003F08E5">
          <w:rPr>
            <w:noProof/>
            <w:webHidden/>
          </w:rPr>
          <w:instrText xml:space="preserve"> PAGEREF _Toc459723280 \h </w:instrText>
        </w:r>
        <w:r w:rsidR="003F08E5">
          <w:rPr>
            <w:noProof/>
            <w:webHidden/>
          </w:rPr>
        </w:r>
        <w:r w:rsidR="003F08E5">
          <w:rPr>
            <w:noProof/>
            <w:webHidden/>
          </w:rPr>
          <w:fldChar w:fldCharType="separate"/>
        </w:r>
        <w:r w:rsidR="003F08E5">
          <w:rPr>
            <w:noProof/>
            <w:webHidden/>
          </w:rPr>
          <w:t>36</w:t>
        </w:r>
        <w:r w:rsidR="003F08E5">
          <w:rPr>
            <w:noProof/>
            <w:webHidden/>
          </w:rPr>
          <w:fldChar w:fldCharType="end"/>
        </w:r>
      </w:hyperlink>
    </w:p>
    <w:p w:rsidR="003F08E5" w:rsidRDefault="00990E2D">
      <w:pPr>
        <w:pStyle w:val="Obsah3"/>
        <w:rPr>
          <w:rFonts w:eastAsiaTheme="minorEastAsia"/>
          <w:noProof/>
          <w:lang w:eastAsia="cs-CZ"/>
        </w:rPr>
      </w:pPr>
      <w:hyperlink w:anchor="_Toc459723281" w:history="1">
        <w:r w:rsidR="003F08E5" w:rsidRPr="003A2E72">
          <w:rPr>
            <w:rStyle w:val="Hypertextovodkaz"/>
            <w:noProof/>
          </w:rPr>
          <w:t>3.2.1</w:t>
        </w:r>
        <w:r w:rsidR="003F08E5">
          <w:rPr>
            <w:rFonts w:eastAsiaTheme="minorEastAsia"/>
            <w:noProof/>
            <w:lang w:eastAsia="cs-CZ"/>
          </w:rPr>
          <w:tab/>
        </w:r>
        <w:r w:rsidR="003F08E5" w:rsidRPr="003A2E72">
          <w:rPr>
            <w:rStyle w:val="Hypertextovodkaz"/>
            <w:noProof/>
          </w:rPr>
          <w:t>Zastoupení publikačních výsledků bezpečnostního výzkumu v impaktovaných časopisech a sbornících</w:t>
        </w:r>
        <w:r w:rsidR="003F08E5">
          <w:rPr>
            <w:noProof/>
            <w:webHidden/>
          </w:rPr>
          <w:tab/>
        </w:r>
        <w:r w:rsidR="003F08E5">
          <w:rPr>
            <w:noProof/>
            <w:webHidden/>
          </w:rPr>
          <w:fldChar w:fldCharType="begin"/>
        </w:r>
        <w:r w:rsidR="003F08E5">
          <w:rPr>
            <w:noProof/>
            <w:webHidden/>
          </w:rPr>
          <w:instrText xml:space="preserve"> PAGEREF _Toc459723281 \h </w:instrText>
        </w:r>
        <w:r w:rsidR="003F08E5">
          <w:rPr>
            <w:noProof/>
            <w:webHidden/>
          </w:rPr>
        </w:r>
        <w:r w:rsidR="003F08E5">
          <w:rPr>
            <w:noProof/>
            <w:webHidden/>
          </w:rPr>
          <w:fldChar w:fldCharType="separate"/>
        </w:r>
        <w:r w:rsidR="003F08E5">
          <w:rPr>
            <w:noProof/>
            <w:webHidden/>
          </w:rPr>
          <w:t>37</w:t>
        </w:r>
        <w:r w:rsidR="003F08E5">
          <w:rPr>
            <w:noProof/>
            <w:webHidden/>
          </w:rPr>
          <w:fldChar w:fldCharType="end"/>
        </w:r>
      </w:hyperlink>
    </w:p>
    <w:p w:rsidR="003F08E5" w:rsidRDefault="00990E2D">
      <w:pPr>
        <w:pStyle w:val="Obsah3"/>
        <w:rPr>
          <w:rFonts w:eastAsiaTheme="minorEastAsia"/>
          <w:noProof/>
          <w:lang w:eastAsia="cs-CZ"/>
        </w:rPr>
      </w:pPr>
      <w:hyperlink w:anchor="_Toc459723282" w:history="1">
        <w:r w:rsidR="003F08E5" w:rsidRPr="003A2E72">
          <w:rPr>
            <w:rStyle w:val="Hypertextovodkaz"/>
            <w:rFonts w:eastAsiaTheme="majorEastAsia"/>
            <w:noProof/>
          </w:rPr>
          <w:t>3.2.2</w:t>
        </w:r>
        <w:r w:rsidR="003F08E5">
          <w:rPr>
            <w:rFonts w:eastAsiaTheme="minorEastAsia"/>
            <w:noProof/>
            <w:lang w:eastAsia="cs-CZ"/>
          </w:rPr>
          <w:tab/>
        </w:r>
        <w:r w:rsidR="003F08E5" w:rsidRPr="003A2E72">
          <w:rPr>
            <w:rStyle w:val="Hypertextovodkaz"/>
            <w:rFonts w:eastAsiaTheme="majorEastAsia"/>
            <w:noProof/>
          </w:rPr>
          <w:t>Bibliometrická evaluace publikačních výstupů bezpečnostního výzkumu</w:t>
        </w:r>
        <w:r w:rsidR="003F08E5">
          <w:rPr>
            <w:noProof/>
            <w:webHidden/>
          </w:rPr>
          <w:tab/>
        </w:r>
        <w:r w:rsidR="003F08E5">
          <w:rPr>
            <w:noProof/>
            <w:webHidden/>
          </w:rPr>
          <w:fldChar w:fldCharType="begin"/>
        </w:r>
        <w:r w:rsidR="003F08E5">
          <w:rPr>
            <w:noProof/>
            <w:webHidden/>
          </w:rPr>
          <w:instrText xml:space="preserve"> PAGEREF _Toc459723282 \h </w:instrText>
        </w:r>
        <w:r w:rsidR="003F08E5">
          <w:rPr>
            <w:noProof/>
            <w:webHidden/>
          </w:rPr>
        </w:r>
        <w:r w:rsidR="003F08E5">
          <w:rPr>
            <w:noProof/>
            <w:webHidden/>
          </w:rPr>
          <w:fldChar w:fldCharType="separate"/>
        </w:r>
        <w:r w:rsidR="003F08E5">
          <w:rPr>
            <w:noProof/>
            <w:webHidden/>
          </w:rPr>
          <w:t>38</w:t>
        </w:r>
        <w:r w:rsidR="003F08E5">
          <w:rPr>
            <w:noProof/>
            <w:webHidden/>
          </w:rPr>
          <w:fldChar w:fldCharType="end"/>
        </w:r>
      </w:hyperlink>
    </w:p>
    <w:p w:rsidR="003F08E5" w:rsidRDefault="00990E2D">
      <w:pPr>
        <w:pStyle w:val="Obsah4"/>
        <w:tabs>
          <w:tab w:val="left" w:pos="1540"/>
          <w:tab w:val="right" w:leader="dot" w:pos="9204"/>
        </w:tabs>
        <w:rPr>
          <w:rFonts w:eastAsiaTheme="minorEastAsia"/>
          <w:noProof/>
          <w:sz w:val="22"/>
          <w:lang w:eastAsia="cs-CZ"/>
        </w:rPr>
      </w:pPr>
      <w:hyperlink w:anchor="_Toc459723283" w:history="1">
        <w:r w:rsidR="003F08E5" w:rsidRPr="003A2E72">
          <w:rPr>
            <w:rStyle w:val="Hypertextovodkaz"/>
            <w:noProof/>
          </w:rPr>
          <w:t>3.2.2.1</w:t>
        </w:r>
        <w:r w:rsidR="003F08E5">
          <w:rPr>
            <w:rFonts w:eastAsiaTheme="minorEastAsia"/>
            <w:noProof/>
            <w:sz w:val="22"/>
            <w:lang w:eastAsia="cs-CZ"/>
          </w:rPr>
          <w:tab/>
        </w:r>
        <w:r w:rsidR="003F08E5" w:rsidRPr="003A2E72">
          <w:rPr>
            <w:rStyle w:val="Hypertextovodkaz"/>
            <w:noProof/>
          </w:rPr>
          <w:t>Významní tvůrci publikačních výstupů</w:t>
        </w:r>
        <w:r w:rsidR="003F08E5">
          <w:rPr>
            <w:noProof/>
            <w:webHidden/>
          </w:rPr>
          <w:tab/>
        </w:r>
        <w:r w:rsidR="003F08E5">
          <w:rPr>
            <w:noProof/>
            <w:webHidden/>
          </w:rPr>
          <w:fldChar w:fldCharType="begin"/>
        </w:r>
        <w:r w:rsidR="003F08E5">
          <w:rPr>
            <w:noProof/>
            <w:webHidden/>
          </w:rPr>
          <w:instrText xml:space="preserve"> PAGEREF _Toc459723283 \h </w:instrText>
        </w:r>
        <w:r w:rsidR="003F08E5">
          <w:rPr>
            <w:noProof/>
            <w:webHidden/>
          </w:rPr>
        </w:r>
        <w:r w:rsidR="003F08E5">
          <w:rPr>
            <w:noProof/>
            <w:webHidden/>
          </w:rPr>
          <w:fldChar w:fldCharType="separate"/>
        </w:r>
        <w:r w:rsidR="003F08E5">
          <w:rPr>
            <w:noProof/>
            <w:webHidden/>
          </w:rPr>
          <w:t>39</w:t>
        </w:r>
        <w:r w:rsidR="003F08E5">
          <w:rPr>
            <w:noProof/>
            <w:webHidden/>
          </w:rPr>
          <w:fldChar w:fldCharType="end"/>
        </w:r>
      </w:hyperlink>
    </w:p>
    <w:p w:rsidR="003F08E5" w:rsidRDefault="00990E2D">
      <w:pPr>
        <w:pStyle w:val="Obsah2"/>
        <w:tabs>
          <w:tab w:val="left" w:pos="880"/>
          <w:tab w:val="right" w:leader="dot" w:pos="9204"/>
        </w:tabs>
        <w:rPr>
          <w:rFonts w:eastAsiaTheme="minorEastAsia"/>
          <w:b w:val="0"/>
          <w:noProof/>
          <w:lang w:eastAsia="cs-CZ"/>
        </w:rPr>
      </w:pPr>
      <w:hyperlink w:anchor="_Toc459723284" w:history="1">
        <w:r w:rsidR="003F08E5" w:rsidRPr="003A2E72">
          <w:rPr>
            <w:rStyle w:val="Hypertextovodkaz"/>
            <w:noProof/>
          </w:rPr>
          <w:t>3.3</w:t>
        </w:r>
        <w:r w:rsidR="003F08E5">
          <w:rPr>
            <w:rFonts w:eastAsiaTheme="minorEastAsia"/>
            <w:b w:val="0"/>
            <w:noProof/>
            <w:lang w:eastAsia="cs-CZ"/>
          </w:rPr>
          <w:tab/>
        </w:r>
        <w:r w:rsidR="003F08E5" w:rsidRPr="003A2E72">
          <w:rPr>
            <w:rStyle w:val="Hypertextovodkaz"/>
            <w:noProof/>
          </w:rPr>
          <w:t>Aplikačně zaměřené výsledky bezpečnostního výzkumu</w:t>
        </w:r>
        <w:r w:rsidR="003F08E5">
          <w:rPr>
            <w:noProof/>
            <w:webHidden/>
          </w:rPr>
          <w:tab/>
        </w:r>
        <w:r w:rsidR="003F08E5">
          <w:rPr>
            <w:noProof/>
            <w:webHidden/>
          </w:rPr>
          <w:fldChar w:fldCharType="begin"/>
        </w:r>
        <w:r w:rsidR="003F08E5">
          <w:rPr>
            <w:noProof/>
            <w:webHidden/>
          </w:rPr>
          <w:instrText xml:space="preserve"> PAGEREF _Toc459723284 \h </w:instrText>
        </w:r>
        <w:r w:rsidR="003F08E5">
          <w:rPr>
            <w:noProof/>
            <w:webHidden/>
          </w:rPr>
        </w:r>
        <w:r w:rsidR="003F08E5">
          <w:rPr>
            <w:noProof/>
            <w:webHidden/>
          </w:rPr>
          <w:fldChar w:fldCharType="separate"/>
        </w:r>
        <w:r w:rsidR="003F08E5">
          <w:rPr>
            <w:noProof/>
            <w:webHidden/>
          </w:rPr>
          <w:t>41</w:t>
        </w:r>
        <w:r w:rsidR="003F08E5">
          <w:rPr>
            <w:noProof/>
            <w:webHidden/>
          </w:rPr>
          <w:fldChar w:fldCharType="end"/>
        </w:r>
      </w:hyperlink>
    </w:p>
    <w:p w:rsidR="003F08E5" w:rsidRDefault="00990E2D">
      <w:pPr>
        <w:pStyle w:val="Obsah3"/>
        <w:rPr>
          <w:rFonts w:eastAsiaTheme="minorEastAsia"/>
          <w:noProof/>
          <w:lang w:eastAsia="cs-CZ"/>
        </w:rPr>
      </w:pPr>
      <w:hyperlink w:anchor="_Toc459723285" w:history="1">
        <w:r w:rsidR="003F08E5" w:rsidRPr="003A2E72">
          <w:rPr>
            <w:rStyle w:val="Hypertextovodkaz"/>
            <w:noProof/>
          </w:rPr>
          <w:t>3.3.1</w:t>
        </w:r>
        <w:r w:rsidR="003F08E5">
          <w:rPr>
            <w:rFonts w:eastAsiaTheme="minorEastAsia"/>
            <w:noProof/>
            <w:lang w:eastAsia="cs-CZ"/>
          </w:rPr>
          <w:tab/>
        </w:r>
        <w:r w:rsidR="003F08E5" w:rsidRPr="003A2E72">
          <w:rPr>
            <w:rStyle w:val="Hypertextovodkaz"/>
            <w:noProof/>
          </w:rPr>
          <w:t>Analýza aplikačně zaměřených výsledků vzniklých v programech MV</w:t>
        </w:r>
        <w:r w:rsidR="003F08E5">
          <w:rPr>
            <w:noProof/>
            <w:webHidden/>
          </w:rPr>
          <w:tab/>
        </w:r>
        <w:r w:rsidR="003F08E5">
          <w:rPr>
            <w:noProof/>
            <w:webHidden/>
          </w:rPr>
          <w:fldChar w:fldCharType="begin"/>
        </w:r>
        <w:r w:rsidR="003F08E5">
          <w:rPr>
            <w:noProof/>
            <w:webHidden/>
          </w:rPr>
          <w:instrText xml:space="preserve"> PAGEREF _Toc459723285 \h </w:instrText>
        </w:r>
        <w:r w:rsidR="003F08E5">
          <w:rPr>
            <w:noProof/>
            <w:webHidden/>
          </w:rPr>
        </w:r>
        <w:r w:rsidR="003F08E5">
          <w:rPr>
            <w:noProof/>
            <w:webHidden/>
          </w:rPr>
          <w:fldChar w:fldCharType="separate"/>
        </w:r>
        <w:r w:rsidR="003F08E5">
          <w:rPr>
            <w:noProof/>
            <w:webHidden/>
          </w:rPr>
          <w:t>42</w:t>
        </w:r>
        <w:r w:rsidR="003F08E5">
          <w:rPr>
            <w:noProof/>
            <w:webHidden/>
          </w:rPr>
          <w:fldChar w:fldCharType="end"/>
        </w:r>
      </w:hyperlink>
    </w:p>
    <w:p w:rsidR="003F08E5" w:rsidRDefault="00990E2D">
      <w:pPr>
        <w:pStyle w:val="Obsah3"/>
        <w:rPr>
          <w:rFonts w:eastAsiaTheme="minorEastAsia"/>
          <w:noProof/>
          <w:lang w:eastAsia="cs-CZ"/>
        </w:rPr>
      </w:pPr>
      <w:hyperlink w:anchor="_Toc459723286" w:history="1">
        <w:r w:rsidR="003F08E5" w:rsidRPr="003A2E72">
          <w:rPr>
            <w:rStyle w:val="Hypertextovodkaz"/>
            <w:noProof/>
          </w:rPr>
          <w:t>3.3.2</w:t>
        </w:r>
        <w:r w:rsidR="003F08E5">
          <w:rPr>
            <w:rFonts w:eastAsiaTheme="minorEastAsia"/>
            <w:noProof/>
            <w:lang w:eastAsia="cs-CZ"/>
          </w:rPr>
          <w:tab/>
        </w:r>
        <w:r w:rsidR="003F08E5" w:rsidRPr="003A2E72">
          <w:rPr>
            <w:rStyle w:val="Hypertextovodkaz"/>
            <w:noProof/>
          </w:rPr>
          <w:t>Analýza aplikačně zaměřených výsledků vzniklých v programech tematicky souvisejících s BV</w:t>
        </w:r>
        <w:r w:rsidR="003F08E5">
          <w:rPr>
            <w:noProof/>
            <w:webHidden/>
          </w:rPr>
          <w:tab/>
        </w:r>
        <w:r w:rsidR="003F08E5">
          <w:rPr>
            <w:noProof/>
            <w:webHidden/>
          </w:rPr>
          <w:fldChar w:fldCharType="begin"/>
        </w:r>
        <w:r w:rsidR="003F08E5">
          <w:rPr>
            <w:noProof/>
            <w:webHidden/>
          </w:rPr>
          <w:instrText xml:space="preserve"> PAGEREF _Toc459723286 \h </w:instrText>
        </w:r>
        <w:r w:rsidR="003F08E5">
          <w:rPr>
            <w:noProof/>
            <w:webHidden/>
          </w:rPr>
        </w:r>
        <w:r w:rsidR="003F08E5">
          <w:rPr>
            <w:noProof/>
            <w:webHidden/>
          </w:rPr>
          <w:fldChar w:fldCharType="separate"/>
        </w:r>
        <w:r w:rsidR="003F08E5">
          <w:rPr>
            <w:noProof/>
            <w:webHidden/>
          </w:rPr>
          <w:t>44</w:t>
        </w:r>
        <w:r w:rsidR="003F08E5">
          <w:rPr>
            <w:noProof/>
            <w:webHidden/>
          </w:rPr>
          <w:fldChar w:fldCharType="end"/>
        </w:r>
      </w:hyperlink>
    </w:p>
    <w:p w:rsidR="003F08E5" w:rsidRDefault="00990E2D">
      <w:pPr>
        <w:pStyle w:val="Obsah3"/>
        <w:rPr>
          <w:rFonts w:eastAsiaTheme="minorEastAsia"/>
          <w:noProof/>
          <w:lang w:eastAsia="cs-CZ"/>
        </w:rPr>
      </w:pPr>
      <w:hyperlink w:anchor="_Toc459723287" w:history="1">
        <w:r w:rsidR="003F08E5" w:rsidRPr="003A2E72">
          <w:rPr>
            <w:rStyle w:val="Hypertextovodkaz"/>
            <w:noProof/>
          </w:rPr>
          <w:t>3.3.3</w:t>
        </w:r>
        <w:r w:rsidR="003F08E5">
          <w:rPr>
            <w:rFonts w:eastAsiaTheme="minorEastAsia"/>
            <w:noProof/>
            <w:lang w:eastAsia="cs-CZ"/>
          </w:rPr>
          <w:tab/>
        </w:r>
        <w:r w:rsidR="003F08E5" w:rsidRPr="003A2E72">
          <w:rPr>
            <w:rStyle w:val="Hypertextovodkaz"/>
            <w:noProof/>
          </w:rPr>
          <w:t>Orientační analýza přihlášek subjektů z ČR v databázi Evropského patentového úřadu PATSTAT</w:t>
        </w:r>
        <w:r w:rsidR="003F08E5">
          <w:rPr>
            <w:noProof/>
            <w:webHidden/>
          </w:rPr>
          <w:tab/>
        </w:r>
        <w:r w:rsidR="003F08E5">
          <w:rPr>
            <w:noProof/>
            <w:webHidden/>
          </w:rPr>
          <w:fldChar w:fldCharType="begin"/>
        </w:r>
        <w:r w:rsidR="003F08E5">
          <w:rPr>
            <w:noProof/>
            <w:webHidden/>
          </w:rPr>
          <w:instrText xml:space="preserve"> PAGEREF _Toc459723287 \h </w:instrText>
        </w:r>
        <w:r w:rsidR="003F08E5">
          <w:rPr>
            <w:noProof/>
            <w:webHidden/>
          </w:rPr>
        </w:r>
        <w:r w:rsidR="003F08E5">
          <w:rPr>
            <w:noProof/>
            <w:webHidden/>
          </w:rPr>
          <w:fldChar w:fldCharType="separate"/>
        </w:r>
        <w:r w:rsidR="003F08E5">
          <w:rPr>
            <w:noProof/>
            <w:webHidden/>
          </w:rPr>
          <w:t>48</w:t>
        </w:r>
        <w:r w:rsidR="003F08E5">
          <w:rPr>
            <w:noProof/>
            <w:webHidden/>
          </w:rPr>
          <w:fldChar w:fldCharType="end"/>
        </w:r>
      </w:hyperlink>
    </w:p>
    <w:p w:rsidR="003F08E5" w:rsidRDefault="00990E2D">
      <w:pPr>
        <w:pStyle w:val="Obsah3"/>
        <w:rPr>
          <w:rFonts w:eastAsiaTheme="minorEastAsia"/>
          <w:noProof/>
          <w:lang w:eastAsia="cs-CZ"/>
        </w:rPr>
      </w:pPr>
      <w:hyperlink w:anchor="_Toc459723288" w:history="1">
        <w:r w:rsidR="003F08E5" w:rsidRPr="003A2E72">
          <w:rPr>
            <w:rStyle w:val="Hypertextovodkaz"/>
            <w:noProof/>
          </w:rPr>
          <w:t>3.3.4</w:t>
        </w:r>
        <w:r w:rsidR="003F08E5">
          <w:rPr>
            <w:rFonts w:eastAsiaTheme="minorEastAsia"/>
            <w:noProof/>
            <w:lang w:eastAsia="cs-CZ"/>
          </w:rPr>
          <w:tab/>
        </w:r>
        <w:r w:rsidR="003F08E5" w:rsidRPr="003A2E72">
          <w:rPr>
            <w:rStyle w:val="Hypertextovodkaz"/>
            <w:noProof/>
          </w:rPr>
          <w:t>Uplatňování aplikačně zaměřených výsledků bezpečnostního výzkumu</w:t>
        </w:r>
        <w:r w:rsidR="003F08E5">
          <w:rPr>
            <w:noProof/>
            <w:webHidden/>
          </w:rPr>
          <w:tab/>
        </w:r>
        <w:r w:rsidR="003F08E5">
          <w:rPr>
            <w:noProof/>
            <w:webHidden/>
          </w:rPr>
          <w:fldChar w:fldCharType="begin"/>
        </w:r>
        <w:r w:rsidR="003F08E5">
          <w:rPr>
            <w:noProof/>
            <w:webHidden/>
          </w:rPr>
          <w:instrText xml:space="preserve"> PAGEREF _Toc459723288 \h </w:instrText>
        </w:r>
        <w:r w:rsidR="003F08E5">
          <w:rPr>
            <w:noProof/>
            <w:webHidden/>
          </w:rPr>
        </w:r>
        <w:r w:rsidR="003F08E5">
          <w:rPr>
            <w:noProof/>
            <w:webHidden/>
          </w:rPr>
          <w:fldChar w:fldCharType="separate"/>
        </w:r>
        <w:r w:rsidR="003F08E5">
          <w:rPr>
            <w:noProof/>
            <w:webHidden/>
          </w:rPr>
          <w:t>50</w:t>
        </w:r>
        <w:r w:rsidR="003F08E5">
          <w:rPr>
            <w:noProof/>
            <w:webHidden/>
          </w:rPr>
          <w:fldChar w:fldCharType="end"/>
        </w:r>
      </w:hyperlink>
    </w:p>
    <w:p w:rsidR="003F08E5" w:rsidRDefault="00990E2D">
      <w:pPr>
        <w:pStyle w:val="Obsah2"/>
        <w:tabs>
          <w:tab w:val="left" w:pos="880"/>
          <w:tab w:val="right" w:leader="dot" w:pos="9204"/>
        </w:tabs>
        <w:rPr>
          <w:rFonts w:eastAsiaTheme="minorEastAsia"/>
          <w:b w:val="0"/>
          <w:noProof/>
          <w:lang w:eastAsia="cs-CZ"/>
        </w:rPr>
      </w:pPr>
      <w:hyperlink w:anchor="_Toc459723289" w:history="1">
        <w:r w:rsidR="003F08E5" w:rsidRPr="003A2E72">
          <w:rPr>
            <w:rStyle w:val="Hypertextovodkaz"/>
            <w:noProof/>
          </w:rPr>
          <w:t>3.4</w:t>
        </w:r>
        <w:r w:rsidR="003F08E5">
          <w:rPr>
            <w:rFonts w:eastAsiaTheme="minorEastAsia"/>
            <w:b w:val="0"/>
            <w:noProof/>
            <w:lang w:eastAsia="cs-CZ"/>
          </w:rPr>
          <w:tab/>
        </w:r>
        <w:r w:rsidR="003F08E5" w:rsidRPr="003A2E72">
          <w:rPr>
            <w:rStyle w:val="Hypertextovodkaz"/>
            <w:noProof/>
          </w:rPr>
          <w:t>Spolupráce mezi subjekty zapojenými v programech bezpečnostního výzkumu MV</w:t>
        </w:r>
        <w:r w:rsidR="003F08E5">
          <w:rPr>
            <w:noProof/>
            <w:webHidden/>
          </w:rPr>
          <w:tab/>
        </w:r>
        <w:r w:rsidR="003F08E5">
          <w:rPr>
            <w:noProof/>
            <w:webHidden/>
          </w:rPr>
          <w:fldChar w:fldCharType="begin"/>
        </w:r>
        <w:r w:rsidR="003F08E5">
          <w:rPr>
            <w:noProof/>
            <w:webHidden/>
          </w:rPr>
          <w:instrText xml:space="preserve"> PAGEREF _Toc459723289 \h </w:instrText>
        </w:r>
        <w:r w:rsidR="003F08E5">
          <w:rPr>
            <w:noProof/>
            <w:webHidden/>
          </w:rPr>
        </w:r>
        <w:r w:rsidR="003F08E5">
          <w:rPr>
            <w:noProof/>
            <w:webHidden/>
          </w:rPr>
          <w:fldChar w:fldCharType="separate"/>
        </w:r>
        <w:r w:rsidR="003F08E5">
          <w:rPr>
            <w:noProof/>
            <w:webHidden/>
          </w:rPr>
          <w:t>52</w:t>
        </w:r>
        <w:r w:rsidR="003F08E5">
          <w:rPr>
            <w:noProof/>
            <w:webHidden/>
          </w:rPr>
          <w:fldChar w:fldCharType="end"/>
        </w:r>
      </w:hyperlink>
    </w:p>
    <w:p w:rsidR="003F08E5" w:rsidRDefault="00990E2D">
      <w:pPr>
        <w:pStyle w:val="Obsah3"/>
        <w:rPr>
          <w:rFonts w:eastAsiaTheme="minorEastAsia"/>
          <w:noProof/>
          <w:lang w:eastAsia="cs-CZ"/>
        </w:rPr>
      </w:pPr>
      <w:hyperlink w:anchor="_Toc459723290" w:history="1">
        <w:r w:rsidR="003F08E5" w:rsidRPr="003A2E72">
          <w:rPr>
            <w:rStyle w:val="Hypertextovodkaz"/>
            <w:rFonts w:eastAsiaTheme="majorEastAsia"/>
            <w:noProof/>
          </w:rPr>
          <w:t>3.4.1</w:t>
        </w:r>
        <w:r w:rsidR="003F08E5">
          <w:rPr>
            <w:rFonts w:eastAsiaTheme="minorEastAsia"/>
            <w:noProof/>
            <w:lang w:eastAsia="cs-CZ"/>
          </w:rPr>
          <w:tab/>
        </w:r>
        <w:r w:rsidR="003F08E5" w:rsidRPr="003A2E72">
          <w:rPr>
            <w:rStyle w:val="Hypertextovodkaz"/>
            <w:rFonts w:eastAsiaTheme="majorEastAsia"/>
            <w:noProof/>
          </w:rPr>
          <w:t>Spoluúčast na projektech bezpečnostního výzkumu</w:t>
        </w:r>
        <w:r w:rsidR="003F08E5">
          <w:rPr>
            <w:noProof/>
            <w:webHidden/>
          </w:rPr>
          <w:tab/>
        </w:r>
        <w:r w:rsidR="003F08E5">
          <w:rPr>
            <w:noProof/>
            <w:webHidden/>
          </w:rPr>
          <w:fldChar w:fldCharType="begin"/>
        </w:r>
        <w:r w:rsidR="003F08E5">
          <w:rPr>
            <w:noProof/>
            <w:webHidden/>
          </w:rPr>
          <w:instrText xml:space="preserve"> PAGEREF _Toc459723290 \h </w:instrText>
        </w:r>
        <w:r w:rsidR="003F08E5">
          <w:rPr>
            <w:noProof/>
            <w:webHidden/>
          </w:rPr>
        </w:r>
        <w:r w:rsidR="003F08E5">
          <w:rPr>
            <w:noProof/>
            <w:webHidden/>
          </w:rPr>
          <w:fldChar w:fldCharType="separate"/>
        </w:r>
        <w:r w:rsidR="003F08E5">
          <w:rPr>
            <w:noProof/>
            <w:webHidden/>
          </w:rPr>
          <w:t>54</w:t>
        </w:r>
        <w:r w:rsidR="003F08E5">
          <w:rPr>
            <w:noProof/>
            <w:webHidden/>
          </w:rPr>
          <w:fldChar w:fldCharType="end"/>
        </w:r>
      </w:hyperlink>
    </w:p>
    <w:p w:rsidR="003F08E5" w:rsidRDefault="00990E2D">
      <w:pPr>
        <w:pStyle w:val="Obsah3"/>
        <w:rPr>
          <w:rFonts w:eastAsiaTheme="minorEastAsia"/>
          <w:noProof/>
          <w:lang w:eastAsia="cs-CZ"/>
        </w:rPr>
      </w:pPr>
      <w:hyperlink w:anchor="_Toc459723291" w:history="1">
        <w:r w:rsidR="003F08E5" w:rsidRPr="003A2E72">
          <w:rPr>
            <w:rStyle w:val="Hypertextovodkaz"/>
            <w:rFonts w:eastAsiaTheme="majorEastAsia"/>
            <w:noProof/>
          </w:rPr>
          <w:t>3.4.2</w:t>
        </w:r>
        <w:r w:rsidR="003F08E5">
          <w:rPr>
            <w:rFonts w:eastAsiaTheme="minorEastAsia"/>
            <w:noProof/>
            <w:lang w:eastAsia="cs-CZ"/>
          </w:rPr>
          <w:tab/>
        </w:r>
        <w:r w:rsidR="003F08E5" w:rsidRPr="003A2E72">
          <w:rPr>
            <w:rStyle w:val="Hypertextovodkaz"/>
            <w:rFonts w:eastAsiaTheme="majorEastAsia"/>
            <w:noProof/>
          </w:rPr>
          <w:t>Spoluautorství výsledků bezpečnostního výzkumu</w:t>
        </w:r>
        <w:r w:rsidR="003F08E5">
          <w:rPr>
            <w:noProof/>
            <w:webHidden/>
          </w:rPr>
          <w:tab/>
        </w:r>
        <w:r w:rsidR="003F08E5">
          <w:rPr>
            <w:noProof/>
            <w:webHidden/>
          </w:rPr>
          <w:fldChar w:fldCharType="begin"/>
        </w:r>
        <w:r w:rsidR="003F08E5">
          <w:rPr>
            <w:noProof/>
            <w:webHidden/>
          </w:rPr>
          <w:instrText xml:space="preserve"> PAGEREF _Toc459723291 \h </w:instrText>
        </w:r>
        <w:r w:rsidR="003F08E5">
          <w:rPr>
            <w:noProof/>
            <w:webHidden/>
          </w:rPr>
        </w:r>
        <w:r w:rsidR="003F08E5">
          <w:rPr>
            <w:noProof/>
            <w:webHidden/>
          </w:rPr>
          <w:fldChar w:fldCharType="separate"/>
        </w:r>
        <w:r w:rsidR="003F08E5">
          <w:rPr>
            <w:noProof/>
            <w:webHidden/>
          </w:rPr>
          <w:t>54</w:t>
        </w:r>
        <w:r w:rsidR="003F08E5">
          <w:rPr>
            <w:noProof/>
            <w:webHidden/>
          </w:rPr>
          <w:fldChar w:fldCharType="end"/>
        </w:r>
      </w:hyperlink>
    </w:p>
    <w:p w:rsidR="003F08E5" w:rsidRDefault="00990E2D">
      <w:pPr>
        <w:pStyle w:val="Obsah2"/>
        <w:tabs>
          <w:tab w:val="left" w:pos="880"/>
          <w:tab w:val="right" w:leader="dot" w:pos="9204"/>
        </w:tabs>
        <w:rPr>
          <w:rFonts w:eastAsiaTheme="minorEastAsia"/>
          <w:b w:val="0"/>
          <w:noProof/>
          <w:lang w:eastAsia="cs-CZ"/>
        </w:rPr>
      </w:pPr>
      <w:hyperlink w:anchor="_Toc459723292" w:history="1">
        <w:r w:rsidR="003F08E5" w:rsidRPr="003A2E72">
          <w:rPr>
            <w:rStyle w:val="Hypertextovodkaz"/>
            <w:rFonts w:ascii="Calibri" w:eastAsiaTheme="majorEastAsia" w:hAnsi="Calibri" w:cstheme="majorBidi"/>
            <w:bCs/>
            <w:noProof/>
            <w:lang w:eastAsia="cs-CZ"/>
          </w:rPr>
          <w:t>3.5</w:t>
        </w:r>
        <w:r w:rsidR="003F08E5">
          <w:rPr>
            <w:rFonts w:eastAsiaTheme="minorEastAsia"/>
            <w:b w:val="0"/>
            <w:noProof/>
            <w:lang w:eastAsia="cs-CZ"/>
          </w:rPr>
          <w:tab/>
        </w:r>
        <w:r w:rsidR="003F08E5" w:rsidRPr="003A2E72">
          <w:rPr>
            <w:rStyle w:val="Hypertextovodkaz"/>
            <w:rFonts w:ascii="Calibri" w:eastAsiaTheme="majorEastAsia" w:hAnsi="Calibri" w:cstheme="majorBidi"/>
            <w:bCs/>
            <w:noProof/>
            <w:lang w:eastAsia="cs-CZ"/>
          </w:rPr>
          <w:t>Mezinárodní spolupráce</w:t>
        </w:r>
        <w:r w:rsidR="003F08E5">
          <w:rPr>
            <w:noProof/>
            <w:webHidden/>
          </w:rPr>
          <w:tab/>
        </w:r>
        <w:r w:rsidR="003F08E5">
          <w:rPr>
            <w:noProof/>
            <w:webHidden/>
          </w:rPr>
          <w:fldChar w:fldCharType="begin"/>
        </w:r>
        <w:r w:rsidR="003F08E5">
          <w:rPr>
            <w:noProof/>
            <w:webHidden/>
          </w:rPr>
          <w:instrText xml:space="preserve"> PAGEREF _Toc459723292 \h </w:instrText>
        </w:r>
        <w:r w:rsidR="003F08E5">
          <w:rPr>
            <w:noProof/>
            <w:webHidden/>
          </w:rPr>
        </w:r>
        <w:r w:rsidR="003F08E5">
          <w:rPr>
            <w:noProof/>
            <w:webHidden/>
          </w:rPr>
          <w:fldChar w:fldCharType="separate"/>
        </w:r>
        <w:r w:rsidR="003F08E5">
          <w:rPr>
            <w:noProof/>
            <w:webHidden/>
          </w:rPr>
          <w:t>61</w:t>
        </w:r>
        <w:r w:rsidR="003F08E5">
          <w:rPr>
            <w:noProof/>
            <w:webHidden/>
          </w:rPr>
          <w:fldChar w:fldCharType="end"/>
        </w:r>
      </w:hyperlink>
    </w:p>
    <w:p w:rsidR="003F08E5" w:rsidRDefault="00990E2D">
      <w:pPr>
        <w:pStyle w:val="Obsah3"/>
        <w:rPr>
          <w:rFonts w:eastAsiaTheme="minorEastAsia"/>
          <w:noProof/>
          <w:lang w:eastAsia="cs-CZ"/>
        </w:rPr>
      </w:pPr>
      <w:hyperlink w:anchor="_Toc459723293" w:history="1">
        <w:r w:rsidR="003F08E5" w:rsidRPr="003A2E72">
          <w:rPr>
            <w:rStyle w:val="Hypertextovodkaz"/>
            <w:noProof/>
          </w:rPr>
          <w:t>3.5.1</w:t>
        </w:r>
        <w:r w:rsidR="003F08E5">
          <w:rPr>
            <w:rFonts w:eastAsiaTheme="minorEastAsia"/>
            <w:noProof/>
            <w:lang w:eastAsia="cs-CZ"/>
          </w:rPr>
          <w:tab/>
        </w:r>
        <w:r w:rsidR="003F08E5" w:rsidRPr="003A2E72">
          <w:rPr>
            <w:rStyle w:val="Hypertextovodkaz"/>
            <w:noProof/>
          </w:rPr>
          <w:t>Mezinárodní priority a veřejná podpora bezpečnostního výzkumu</w:t>
        </w:r>
        <w:r w:rsidR="003F08E5">
          <w:rPr>
            <w:noProof/>
            <w:webHidden/>
          </w:rPr>
          <w:tab/>
        </w:r>
        <w:r w:rsidR="003F08E5">
          <w:rPr>
            <w:noProof/>
            <w:webHidden/>
          </w:rPr>
          <w:fldChar w:fldCharType="begin"/>
        </w:r>
        <w:r w:rsidR="003F08E5">
          <w:rPr>
            <w:noProof/>
            <w:webHidden/>
          </w:rPr>
          <w:instrText xml:space="preserve"> PAGEREF _Toc459723293 \h </w:instrText>
        </w:r>
        <w:r w:rsidR="003F08E5">
          <w:rPr>
            <w:noProof/>
            <w:webHidden/>
          </w:rPr>
        </w:r>
        <w:r w:rsidR="003F08E5">
          <w:rPr>
            <w:noProof/>
            <w:webHidden/>
          </w:rPr>
          <w:fldChar w:fldCharType="separate"/>
        </w:r>
        <w:r w:rsidR="003F08E5">
          <w:rPr>
            <w:noProof/>
            <w:webHidden/>
          </w:rPr>
          <w:t>61</w:t>
        </w:r>
        <w:r w:rsidR="003F08E5">
          <w:rPr>
            <w:noProof/>
            <w:webHidden/>
          </w:rPr>
          <w:fldChar w:fldCharType="end"/>
        </w:r>
      </w:hyperlink>
    </w:p>
    <w:p w:rsidR="003F08E5" w:rsidRDefault="00990E2D">
      <w:pPr>
        <w:pStyle w:val="Obsah4"/>
        <w:tabs>
          <w:tab w:val="left" w:pos="1540"/>
          <w:tab w:val="right" w:leader="dot" w:pos="9204"/>
        </w:tabs>
        <w:rPr>
          <w:rFonts w:eastAsiaTheme="minorEastAsia"/>
          <w:noProof/>
          <w:sz w:val="22"/>
          <w:lang w:eastAsia="cs-CZ"/>
        </w:rPr>
      </w:pPr>
      <w:hyperlink w:anchor="_Toc459723294" w:history="1">
        <w:r w:rsidR="003F08E5" w:rsidRPr="003A2E72">
          <w:rPr>
            <w:rStyle w:val="Hypertextovodkaz"/>
            <w:noProof/>
          </w:rPr>
          <w:t>3.5.1.1</w:t>
        </w:r>
        <w:r w:rsidR="003F08E5">
          <w:rPr>
            <w:rFonts w:eastAsiaTheme="minorEastAsia"/>
            <w:noProof/>
            <w:sz w:val="22"/>
            <w:lang w:eastAsia="cs-CZ"/>
          </w:rPr>
          <w:tab/>
        </w:r>
        <w:r w:rsidR="003F08E5" w:rsidRPr="003A2E72">
          <w:rPr>
            <w:rStyle w:val="Hypertextovodkaz"/>
            <w:noProof/>
          </w:rPr>
          <w:t>Politiky EU související s bezpečnostním výzkumem a priority EU pro oblast bezpečnosti</w:t>
        </w:r>
        <w:r w:rsidR="003F08E5">
          <w:rPr>
            <w:noProof/>
            <w:webHidden/>
          </w:rPr>
          <w:tab/>
        </w:r>
        <w:r w:rsidR="003F08E5">
          <w:rPr>
            <w:noProof/>
            <w:webHidden/>
          </w:rPr>
          <w:fldChar w:fldCharType="begin"/>
        </w:r>
        <w:r w:rsidR="003F08E5">
          <w:rPr>
            <w:noProof/>
            <w:webHidden/>
          </w:rPr>
          <w:instrText xml:space="preserve"> PAGEREF _Toc459723294 \h </w:instrText>
        </w:r>
        <w:r w:rsidR="003F08E5">
          <w:rPr>
            <w:noProof/>
            <w:webHidden/>
          </w:rPr>
        </w:r>
        <w:r w:rsidR="003F08E5">
          <w:rPr>
            <w:noProof/>
            <w:webHidden/>
          </w:rPr>
          <w:fldChar w:fldCharType="separate"/>
        </w:r>
        <w:r w:rsidR="003F08E5">
          <w:rPr>
            <w:noProof/>
            <w:webHidden/>
          </w:rPr>
          <w:t>61</w:t>
        </w:r>
        <w:r w:rsidR="003F08E5">
          <w:rPr>
            <w:noProof/>
            <w:webHidden/>
          </w:rPr>
          <w:fldChar w:fldCharType="end"/>
        </w:r>
      </w:hyperlink>
    </w:p>
    <w:p w:rsidR="003F08E5" w:rsidRDefault="00990E2D">
      <w:pPr>
        <w:pStyle w:val="Obsah4"/>
        <w:tabs>
          <w:tab w:val="left" w:pos="1540"/>
          <w:tab w:val="right" w:leader="dot" w:pos="9204"/>
        </w:tabs>
        <w:rPr>
          <w:rFonts w:eastAsiaTheme="minorEastAsia"/>
          <w:noProof/>
          <w:sz w:val="22"/>
          <w:lang w:eastAsia="cs-CZ"/>
        </w:rPr>
      </w:pPr>
      <w:hyperlink w:anchor="_Toc459723295" w:history="1">
        <w:r w:rsidR="003F08E5" w:rsidRPr="003A2E72">
          <w:rPr>
            <w:rStyle w:val="Hypertextovodkaz"/>
            <w:noProof/>
          </w:rPr>
          <w:t>3.5.1.2</w:t>
        </w:r>
        <w:r w:rsidR="003F08E5">
          <w:rPr>
            <w:rFonts w:eastAsiaTheme="minorEastAsia"/>
            <w:noProof/>
            <w:sz w:val="22"/>
            <w:lang w:eastAsia="cs-CZ"/>
          </w:rPr>
          <w:tab/>
        </w:r>
        <w:r w:rsidR="003F08E5" w:rsidRPr="003A2E72">
          <w:rPr>
            <w:rStyle w:val="Hypertextovodkaz"/>
            <w:noProof/>
          </w:rPr>
          <w:t>Rámcové programy EU</w:t>
        </w:r>
        <w:r w:rsidR="003F08E5">
          <w:rPr>
            <w:noProof/>
            <w:webHidden/>
          </w:rPr>
          <w:tab/>
        </w:r>
        <w:r w:rsidR="003F08E5">
          <w:rPr>
            <w:noProof/>
            <w:webHidden/>
          </w:rPr>
          <w:fldChar w:fldCharType="begin"/>
        </w:r>
        <w:r w:rsidR="003F08E5">
          <w:rPr>
            <w:noProof/>
            <w:webHidden/>
          </w:rPr>
          <w:instrText xml:space="preserve"> PAGEREF _Toc459723295 \h </w:instrText>
        </w:r>
        <w:r w:rsidR="003F08E5">
          <w:rPr>
            <w:noProof/>
            <w:webHidden/>
          </w:rPr>
        </w:r>
        <w:r w:rsidR="003F08E5">
          <w:rPr>
            <w:noProof/>
            <w:webHidden/>
          </w:rPr>
          <w:fldChar w:fldCharType="separate"/>
        </w:r>
        <w:r w:rsidR="003F08E5">
          <w:rPr>
            <w:noProof/>
            <w:webHidden/>
          </w:rPr>
          <w:t>63</w:t>
        </w:r>
        <w:r w:rsidR="003F08E5">
          <w:rPr>
            <w:noProof/>
            <w:webHidden/>
          </w:rPr>
          <w:fldChar w:fldCharType="end"/>
        </w:r>
      </w:hyperlink>
    </w:p>
    <w:p w:rsidR="003F08E5" w:rsidRDefault="00990E2D">
      <w:pPr>
        <w:pStyle w:val="Obsah3"/>
        <w:rPr>
          <w:rFonts w:eastAsiaTheme="minorEastAsia"/>
          <w:noProof/>
          <w:lang w:eastAsia="cs-CZ"/>
        </w:rPr>
      </w:pPr>
      <w:hyperlink w:anchor="_Toc459723296" w:history="1">
        <w:r w:rsidR="003F08E5" w:rsidRPr="003A2E72">
          <w:rPr>
            <w:rStyle w:val="Hypertextovodkaz"/>
            <w:noProof/>
          </w:rPr>
          <w:t>3.5.2</w:t>
        </w:r>
        <w:r w:rsidR="003F08E5">
          <w:rPr>
            <w:rFonts w:eastAsiaTheme="minorEastAsia"/>
            <w:noProof/>
            <w:lang w:eastAsia="cs-CZ"/>
          </w:rPr>
          <w:tab/>
        </w:r>
        <w:r w:rsidR="003F08E5" w:rsidRPr="003A2E72">
          <w:rPr>
            <w:rStyle w:val="Hypertextovodkaz"/>
            <w:noProof/>
          </w:rPr>
          <w:t>Zapojení ČR do rámcových programů EU</w:t>
        </w:r>
        <w:r w:rsidR="003F08E5">
          <w:rPr>
            <w:noProof/>
            <w:webHidden/>
          </w:rPr>
          <w:tab/>
        </w:r>
        <w:r w:rsidR="003F08E5">
          <w:rPr>
            <w:noProof/>
            <w:webHidden/>
          </w:rPr>
          <w:fldChar w:fldCharType="begin"/>
        </w:r>
        <w:r w:rsidR="003F08E5">
          <w:rPr>
            <w:noProof/>
            <w:webHidden/>
          </w:rPr>
          <w:instrText xml:space="preserve"> PAGEREF _Toc459723296 \h </w:instrText>
        </w:r>
        <w:r w:rsidR="003F08E5">
          <w:rPr>
            <w:noProof/>
            <w:webHidden/>
          </w:rPr>
        </w:r>
        <w:r w:rsidR="003F08E5">
          <w:rPr>
            <w:noProof/>
            <w:webHidden/>
          </w:rPr>
          <w:fldChar w:fldCharType="separate"/>
        </w:r>
        <w:r w:rsidR="003F08E5">
          <w:rPr>
            <w:noProof/>
            <w:webHidden/>
          </w:rPr>
          <w:t>64</w:t>
        </w:r>
        <w:r w:rsidR="003F08E5">
          <w:rPr>
            <w:noProof/>
            <w:webHidden/>
          </w:rPr>
          <w:fldChar w:fldCharType="end"/>
        </w:r>
      </w:hyperlink>
    </w:p>
    <w:p w:rsidR="003F08E5" w:rsidRDefault="00990E2D">
      <w:pPr>
        <w:pStyle w:val="Obsah4"/>
        <w:tabs>
          <w:tab w:val="left" w:pos="1540"/>
          <w:tab w:val="right" w:leader="dot" w:pos="9204"/>
        </w:tabs>
        <w:rPr>
          <w:rFonts w:eastAsiaTheme="minorEastAsia"/>
          <w:noProof/>
          <w:sz w:val="22"/>
          <w:lang w:eastAsia="cs-CZ"/>
        </w:rPr>
      </w:pPr>
      <w:hyperlink w:anchor="_Toc459723297" w:history="1">
        <w:r w:rsidR="003F08E5" w:rsidRPr="003A2E72">
          <w:rPr>
            <w:rStyle w:val="Hypertextovodkaz"/>
            <w:noProof/>
          </w:rPr>
          <w:t>3.5.2.1</w:t>
        </w:r>
        <w:r w:rsidR="003F08E5">
          <w:rPr>
            <w:rFonts w:eastAsiaTheme="minorEastAsia"/>
            <w:noProof/>
            <w:sz w:val="22"/>
            <w:lang w:eastAsia="cs-CZ"/>
          </w:rPr>
          <w:tab/>
        </w:r>
        <w:r w:rsidR="003F08E5" w:rsidRPr="003A2E72">
          <w:rPr>
            <w:rStyle w:val="Hypertextovodkaz"/>
            <w:noProof/>
          </w:rPr>
          <w:t>Zapojení ČR do 7. rámcového programu a programu Horizont 2020</w:t>
        </w:r>
        <w:r w:rsidR="003F08E5">
          <w:rPr>
            <w:noProof/>
            <w:webHidden/>
          </w:rPr>
          <w:tab/>
        </w:r>
        <w:r w:rsidR="003F08E5">
          <w:rPr>
            <w:noProof/>
            <w:webHidden/>
          </w:rPr>
          <w:fldChar w:fldCharType="begin"/>
        </w:r>
        <w:r w:rsidR="003F08E5">
          <w:rPr>
            <w:noProof/>
            <w:webHidden/>
          </w:rPr>
          <w:instrText xml:space="preserve"> PAGEREF _Toc459723297 \h </w:instrText>
        </w:r>
        <w:r w:rsidR="003F08E5">
          <w:rPr>
            <w:noProof/>
            <w:webHidden/>
          </w:rPr>
        </w:r>
        <w:r w:rsidR="003F08E5">
          <w:rPr>
            <w:noProof/>
            <w:webHidden/>
          </w:rPr>
          <w:fldChar w:fldCharType="separate"/>
        </w:r>
        <w:r w:rsidR="003F08E5">
          <w:rPr>
            <w:noProof/>
            <w:webHidden/>
          </w:rPr>
          <w:t>65</w:t>
        </w:r>
        <w:r w:rsidR="003F08E5">
          <w:rPr>
            <w:noProof/>
            <w:webHidden/>
          </w:rPr>
          <w:fldChar w:fldCharType="end"/>
        </w:r>
      </w:hyperlink>
    </w:p>
    <w:p w:rsidR="003F08E5" w:rsidRDefault="00990E2D">
      <w:pPr>
        <w:pStyle w:val="Obsah4"/>
        <w:tabs>
          <w:tab w:val="left" w:pos="1540"/>
          <w:tab w:val="right" w:leader="dot" w:pos="9204"/>
        </w:tabs>
        <w:rPr>
          <w:rFonts w:eastAsiaTheme="minorEastAsia"/>
          <w:noProof/>
          <w:sz w:val="22"/>
          <w:lang w:eastAsia="cs-CZ"/>
        </w:rPr>
      </w:pPr>
      <w:hyperlink w:anchor="_Toc459723298" w:history="1">
        <w:r w:rsidR="003F08E5" w:rsidRPr="003A2E72">
          <w:rPr>
            <w:rStyle w:val="Hypertextovodkaz"/>
            <w:noProof/>
          </w:rPr>
          <w:t>3.5.2.2</w:t>
        </w:r>
        <w:r w:rsidR="003F08E5">
          <w:rPr>
            <w:rFonts w:eastAsiaTheme="minorEastAsia"/>
            <w:noProof/>
            <w:sz w:val="22"/>
            <w:lang w:eastAsia="cs-CZ"/>
          </w:rPr>
          <w:tab/>
        </w:r>
        <w:r w:rsidR="003F08E5" w:rsidRPr="003A2E72">
          <w:rPr>
            <w:rStyle w:val="Hypertextovodkaz"/>
            <w:noProof/>
          </w:rPr>
          <w:t>Oborové zaměření projektů s účastí ČR v 7. rámcovém programu</w:t>
        </w:r>
        <w:r w:rsidR="003F08E5">
          <w:rPr>
            <w:noProof/>
            <w:webHidden/>
          </w:rPr>
          <w:tab/>
        </w:r>
        <w:r w:rsidR="003F08E5">
          <w:rPr>
            <w:noProof/>
            <w:webHidden/>
          </w:rPr>
          <w:fldChar w:fldCharType="begin"/>
        </w:r>
        <w:r w:rsidR="003F08E5">
          <w:rPr>
            <w:noProof/>
            <w:webHidden/>
          </w:rPr>
          <w:instrText xml:space="preserve"> PAGEREF _Toc459723298 \h </w:instrText>
        </w:r>
        <w:r w:rsidR="003F08E5">
          <w:rPr>
            <w:noProof/>
            <w:webHidden/>
          </w:rPr>
        </w:r>
        <w:r w:rsidR="003F08E5">
          <w:rPr>
            <w:noProof/>
            <w:webHidden/>
          </w:rPr>
          <w:fldChar w:fldCharType="separate"/>
        </w:r>
        <w:r w:rsidR="003F08E5">
          <w:rPr>
            <w:noProof/>
            <w:webHidden/>
          </w:rPr>
          <w:t>68</w:t>
        </w:r>
        <w:r w:rsidR="003F08E5">
          <w:rPr>
            <w:noProof/>
            <w:webHidden/>
          </w:rPr>
          <w:fldChar w:fldCharType="end"/>
        </w:r>
      </w:hyperlink>
    </w:p>
    <w:p w:rsidR="003F08E5" w:rsidRDefault="00990E2D">
      <w:pPr>
        <w:pStyle w:val="Obsah4"/>
        <w:tabs>
          <w:tab w:val="left" w:pos="1540"/>
          <w:tab w:val="right" w:leader="dot" w:pos="9204"/>
        </w:tabs>
        <w:rPr>
          <w:rFonts w:eastAsiaTheme="minorEastAsia"/>
          <w:noProof/>
          <w:sz w:val="22"/>
          <w:lang w:eastAsia="cs-CZ"/>
        </w:rPr>
      </w:pPr>
      <w:hyperlink w:anchor="_Toc459723299" w:history="1">
        <w:r w:rsidR="003F08E5" w:rsidRPr="003A2E72">
          <w:rPr>
            <w:rStyle w:val="Hypertextovodkaz"/>
            <w:noProof/>
          </w:rPr>
          <w:t>3.5.2.3</w:t>
        </w:r>
        <w:r w:rsidR="003F08E5">
          <w:rPr>
            <w:rFonts w:eastAsiaTheme="minorEastAsia"/>
            <w:noProof/>
            <w:sz w:val="22"/>
            <w:lang w:eastAsia="cs-CZ"/>
          </w:rPr>
          <w:tab/>
        </w:r>
        <w:r w:rsidR="003F08E5" w:rsidRPr="003A2E72">
          <w:rPr>
            <w:rStyle w:val="Hypertextovodkaz"/>
            <w:noProof/>
          </w:rPr>
          <w:t>Oborové zaměření projektů s účastí ČR v programu Horizont 2020</w:t>
        </w:r>
        <w:r w:rsidR="003F08E5">
          <w:rPr>
            <w:noProof/>
            <w:webHidden/>
          </w:rPr>
          <w:tab/>
        </w:r>
        <w:r w:rsidR="003F08E5">
          <w:rPr>
            <w:noProof/>
            <w:webHidden/>
          </w:rPr>
          <w:fldChar w:fldCharType="begin"/>
        </w:r>
        <w:r w:rsidR="003F08E5">
          <w:rPr>
            <w:noProof/>
            <w:webHidden/>
          </w:rPr>
          <w:instrText xml:space="preserve"> PAGEREF _Toc459723299 \h </w:instrText>
        </w:r>
        <w:r w:rsidR="003F08E5">
          <w:rPr>
            <w:noProof/>
            <w:webHidden/>
          </w:rPr>
        </w:r>
        <w:r w:rsidR="003F08E5">
          <w:rPr>
            <w:noProof/>
            <w:webHidden/>
          </w:rPr>
          <w:fldChar w:fldCharType="separate"/>
        </w:r>
        <w:r w:rsidR="003F08E5">
          <w:rPr>
            <w:noProof/>
            <w:webHidden/>
          </w:rPr>
          <w:t>69</w:t>
        </w:r>
        <w:r w:rsidR="003F08E5">
          <w:rPr>
            <w:noProof/>
            <w:webHidden/>
          </w:rPr>
          <w:fldChar w:fldCharType="end"/>
        </w:r>
      </w:hyperlink>
    </w:p>
    <w:p w:rsidR="003F08E5" w:rsidRDefault="00990E2D">
      <w:pPr>
        <w:pStyle w:val="Obsah4"/>
        <w:tabs>
          <w:tab w:val="left" w:pos="1540"/>
          <w:tab w:val="right" w:leader="dot" w:pos="9204"/>
        </w:tabs>
        <w:rPr>
          <w:rFonts w:eastAsiaTheme="minorEastAsia"/>
          <w:noProof/>
          <w:sz w:val="22"/>
          <w:lang w:eastAsia="cs-CZ"/>
        </w:rPr>
      </w:pPr>
      <w:hyperlink w:anchor="_Toc459723300" w:history="1">
        <w:r w:rsidR="003F08E5" w:rsidRPr="003A2E72">
          <w:rPr>
            <w:rStyle w:val="Hypertextovodkaz"/>
            <w:noProof/>
          </w:rPr>
          <w:t>3.5.2.4</w:t>
        </w:r>
        <w:r w:rsidR="003F08E5">
          <w:rPr>
            <w:rFonts w:eastAsiaTheme="minorEastAsia"/>
            <w:noProof/>
            <w:sz w:val="22"/>
            <w:lang w:eastAsia="cs-CZ"/>
          </w:rPr>
          <w:tab/>
        </w:r>
        <w:r w:rsidR="003F08E5" w:rsidRPr="003A2E72">
          <w:rPr>
            <w:rStyle w:val="Hypertextovodkaz"/>
            <w:noProof/>
          </w:rPr>
          <w:t>Potenciál ČR pro mezinárodní spolupráci v bezpečnostním výzkumu</w:t>
        </w:r>
        <w:r w:rsidR="003F08E5">
          <w:rPr>
            <w:noProof/>
            <w:webHidden/>
          </w:rPr>
          <w:tab/>
        </w:r>
        <w:r w:rsidR="003F08E5">
          <w:rPr>
            <w:noProof/>
            <w:webHidden/>
          </w:rPr>
          <w:fldChar w:fldCharType="begin"/>
        </w:r>
        <w:r w:rsidR="003F08E5">
          <w:rPr>
            <w:noProof/>
            <w:webHidden/>
          </w:rPr>
          <w:instrText xml:space="preserve"> PAGEREF _Toc459723300 \h </w:instrText>
        </w:r>
        <w:r w:rsidR="003F08E5">
          <w:rPr>
            <w:noProof/>
            <w:webHidden/>
          </w:rPr>
        </w:r>
        <w:r w:rsidR="003F08E5">
          <w:rPr>
            <w:noProof/>
            <w:webHidden/>
          </w:rPr>
          <w:fldChar w:fldCharType="separate"/>
        </w:r>
        <w:r w:rsidR="003F08E5">
          <w:rPr>
            <w:noProof/>
            <w:webHidden/>
          </w:rPr>
          <w:t>71</w:t>
        </w:r>
        <w:r w:rsidR="003F08E5">
          <w:rPr>
            <w:noProof/>
            <w:webHidden/>
          </w:rPr>
          <w:fldChar w:fldCharType="end"/>
        </w:r>
      </w:hyperlink>
    </w:p>
    <w:p w:rsidR="003F08E5" w:rsidRDefault="00990E2D">
      <w:pPr>
        <w:pStyle w:val="Obsah4"/>
        <w:tabs>
          <w:tab w:val="left" w:pos="1540"/>
          <w:tab w:val="right" w:leader="dot" w:pos="9204"/>
        </w:tabs>
        <w:rPr>
          <w:rFonts w:eastAsiaTheme="minorEastAsia"/>
          <w:noProof/>
          <w:sz w:val="22"/>
          <w:lang w:eastAsia="cs-CZ"/>
        </w:rPr>
      </w:pPr>
      <w:hyperlink w:anchor="_Toc459723301" w:history="1">
        <w:r w:rsidR="003F08E5" w:rsidRPr="003A2E72">
          <w:rPr>
            <w:rStyle w:val="Hypertextovodkaz"/>
            <w:noProof/>
          </w:rPr>
          <w:t>3.5.2.5</w:t>
        </w:r>
        <w:r w:rsidR="003F08E5">
          <w:rPr>
            <w:rFonts w:eastAsiaTheme="minorEastAsia"/>
            <w:noProof/>
            <w:sz w:val="22"/>
            <w:lang w:eastAsia="cs-CZ"/>
          </w:rPr>
          <w:tab/>
        </w:r>
        <w:r w:rsidR="003F08E5" w:rsidRPr="003A2E72">
          <w:rPr>
            <w:rStyle w:val="Hypertextovodkaz"/>
            <w:noProof/>
          </w:rPr>
          <w:t>Subjekty z ČR zapojené do řešení projektů v 7. rámcovém programu a programu Horizont 2020</w:t>
        </w:r>
        <w:r w:rsidR="003F08E5">
          <w:rPr>
            <w:noProof/>
            <w:webHidden/>
          </w:rPr>
          <w:tab/>
        </w:r>
        <w:r w:rsidR="003F08E5">
          <w:rPr>
            <w:noProof/>
            <w:webHidden/>
          </w:rPr>
          <w:fldChar w:fldCharType="begin"/>
        </w:r>
        <w:r w:rsidR="003F08E5">
          <w:rPr>
            <w:noProof/>
            <w:webHidden/>
          </w:rPr>
          <w:instrText xml:space="preserve"> PAGEREF _Toc459723301 \h </w:instrText>
        </w:r>
        <w:r w:rsidR="003F08E5">
          <w:rPr>
            <w:noProof/>
            <w:webHidden/>
          </w:rPr>
        </w:r>
        <w:r w:rsidR="003F08E5">
          <w:rPr>
            <w:noProof/>
            <w:webHidden/>
          </w:rPr>
          <w:fldChar w:fldCharType="separate"/>
        </w:r>
        <w:r w:rsidR="003F08E5">
          <w:rPr>
            <w:noProof/>
            <w:webHidden/>
          </w:rPr>
          <w:t>74</w:t>
        </w:r>
        <w:r w:rsidR="003F08E5">
          <w:rPr>
            <w:noProof/>
            <w:webHidden/>
          </w:rPr>
          <w:fldChar w:fldCharType="end"/>
        </w:r>
      </w:hyperlink>
    </w:p>
    <w:p w:rsidR="003F08E5" w:rsidRDefault="00990E2D">
      <w:pPr>
        <w:pStyle w:val="Obsah4"/>
        <w:tabs>
          <w:tab w:val="left" w:pos="1540"/>
          <w:tab w:val="right" w:leader="dot" w:pos="9204"/>
        </w:tabs>
        <w:rPr>
          <w:rFonts w:eastAsiaTheme="minorEastAsia"/>
          <w:noProof/>
          <w:sz w:val="22"/>
          <w:lang w:eastAsia="cs-CZ"/>
        </w:rPr>
      </w:pPr>
      <w:hyperlink w:anchor="_Toc459723302" w:history="1">
        <w:r w:rsidR="003F08E5" w:rsidRPr="003A2E72">
          <w:rPr>
            <w:rStyle w:val="Hypertextovodkaz"/>
            <w:noProof/>
          </w:rPr>
          <w:t>3.5.2.6</w:t>
        </w:r>
        <w:r w:rsidR="003F08E5">
          <w:rPr>
            <w:rFonts w:eastAsiaTheme="minorEastAsia"/>
            <w:noProof/>
            <w:sz w:val="22"/>
            <w:lang w:eastAsia="cs-CZ"/>
          </w:rPr>
          <w:tab/>
        </w:r>
        <w:r w:rsidR="003F08E5" w:rsidRPr="003A2E72">
          <w:rPr>
            <w:rStyle w:val="Hypertextovodkaz"/>
            <w:noProof/>
          </w:rPr>
          <w:t>Mezinárodní spolupráce ČR v 7. rámcovém programu a programu Horizont 2020</w:t>
        </w:r>
        <w:r w:rsidR="003F08E5">
          <w:rPr>
            <w:noProof/>
            <w:webHidden/>
          </w:rPr>
          <w:tab/>
        </w:r>
        <w:r w:rsidR="003F08E5">
          <w:rPr>
            <w:noProof/>
            <w:webHidden/>
          </w:rPr>
          <w:fldChar w:fldCharType="begin"/>
        </w:r>
        <w:r w:rsidR="003F08E5">
          <w:rPr>
            <w:noProof/>
            <w:webHidden/>
          </w:rPr>
          <w:instrText xml:space="preserve"> PAGEREF _Toc459723302 \h </w:instrText>
        </w:r>
        <w:r w:rsidR="003F08E5">
          <w:rPr>
            <w:noProof/>
            <w:webHidden/>
          </w:rPr>
        </w:r>
        <w:r w:rsidR="003F08E5">
          <w:rPr>
            <w:noProof/>
            <w:webHidden/>
          </w:rPr>
          <w:fldChar w:fldCharType="separate"/>
        </w:r>
        <w:r w:rsidR="003F08E5">
          <w:rPr>
            <w:noProof/>
            <w:webHidden/>
          </w:rPr>
          <w:t>77</w:t>
        </w:r>
        <w:r w:rsidR="003F08E5">
          <w:rPr>
            <w:noProof/>
            <w:webHidden/>
          </w:rPr>
          <w:fldChar w:fldCharType="end"/>
        </w:r>
      </w:hyperlink>
    </w:p>
    <w:p w:rsidR="003F08E5" w:rsidRDefault="00990E2D">
      <w:pPr>
        <w:pStyle w:val="Obsah3"/>
        <w:rPr>
          <w:rFonts w:eastAsiaTheme="minorEastAsia"/>
          <w:noProof/>
          <w:lang w:eastAsia="cs-CZ"/>
        </w:rPr>
      </w:pPr>
      <w:hyperlink w:anchor="_Toc459723303" w:history="1">
        <w:r w:rsidR="003F08E5" w:rsidRPr="003A2E72">
          <w:rPr>
            <w:rStyle w:val="Hypertextovodkaz"/>
            <w:noProof/>
          </w:rPr>
          <w:t>3.5.3</w:t>
        </w:r>
        <w:r w:rsidR="003F08E5">
          <w:rPr>
            <w:rFonts w:eastAsiaTheme="minorEastAsia"/>
            <w:noProof/>
            <w:lang w:eastAsia="cs-CZ"/>
          </w:rPr>
          <w:tab/>
        </w:r>
        <w:r w:rsidR="003F08E5" w:rsidRPr="003A2E72">
          <w:rPr>
            <w:rStyle w:val="Hypertextovodkaz"/>
            <w:noProof/>
          </w:rPr>
          <w:t>Mezinárodní spolupráce v dalších programech</w:t>
        </w:r>
        <w:r w:rsidR="003F08E5">
          <w:rPr>
            <w:noProof/>
            <w:webHidden/>
          </w:rPr>
          <w:tab/>
        </w:r>
        <w:r w:rsidR="003F08E5">
          <w:rPr>
            <w:noProof/>
            <w:webHidden/>
          </w:rPr>
          <w:fldChar w:fldCharType="begin"/>
        </w:r>
        <w:r w:rsidR="003F08E5">
          <w:rPr>
            <w:noProof/>
            <w:webHidden/>
          </w:rPr>
          <w:instrText xml:space="preserve"> PAGEREF _Toc459723303 \h </w:instrText>
        </w:r>
        <w:r w:rsidR="003F08E5">
          <w:rPr>
            <w:noProof/>
            <w:webHidden/>
          </w:rPr>
        </w:r>
        <w:r w:rsidR="003F08E5">
          <w:rPr>
            <w:noProof/>
            <w:webHidden/>
          </w:rPr>
          <w:fldChar w:fldCharType="separate"/>
        </w:r>
        <w:r w:rsidR="003F08E5">
          <w:rPr>
            <w:noProof/>
            <w:webHidden/>
          </w:rPr>
          <w:t>79</w:t>
        </w:r>
        <w:r w:rsidR="003F08E5">
          <w:rPr>
            <w:noProof/>
            <w:webHidden/>
          </w:rPr>
          <w:fldChar w:fldCharType="end"/>
        </w:r>
      </w:hyperlink>
    </w:p>
    <w:p w:rsidR="003F08E5" w:rsidRDefault="00990E2D">
      <w:pPr>
        <w:pStyle w:val="Obsah3"/>
        <w:rPr>
          <w:rFonts w:eastAsiaTheme="minorEastAsia"/>
          <w:noProof/>
          <w:lang w:eastAsia="cs-CZ"/>
        </w:rPr>
      </w:pPr>
      <w:hyperlink w:anchor="_Toc459723304" w:history="1">
        <w:r w:rsidR="003F08E5" w:rsidRPr="003A2E72">
          <w:rPr>
            <w:rStyle w:val="Hypertextovodkaz"/>
            <w:noProof/>
          </w:rPr>
          <w:t>3.5.4</w:t>
        </w:r>
        <w:r w:rsidR="003F08E5">
          <w:rPr>
            <w:rFonts w:eastAsiaTheme="minorEastAsia"/>
            <w:noProof/>
            <w:lang w:eastAsia="cs-CZ"/>
          </w:rPr>
          <w:tab/>
        </w:r>
        <w:r w:rsidR="003F08E5" w:rsidRPr="003A2E72">
          <w:rPr>
            <w:rStyle w:val="Hypertextovodkaz"/>
            <w:noProof/>
          </w:rPr>
          <w:t>Mezinárodní spolupráce v tvorbě publikací v programech BV</w:t>
        </w:r>
        <w:r w:rsidR="003F08E5">
          <w:rPr>
            <w:noProof/>
            <w:webHidden/>
          </w:rPr>
          <w:tab/>
        </w:r>
        <w:r w:rsidR="003F08E5">
          <w:rPr>
            <w:noProof/>
            <w:webHidden/>
          </w:rPr>
          <w:fldChar w:fldCharType="begin"/>
        </w:r>
        <w:r w:rsidR="003F08E5">
          <w:rPr>
            <w:noProof/>
            <w:webHidden/>
          </w:rPr>
          <w:instrText xml:space="preserve"> PAGEREF _Toc459723304 \h </w:instrText>
        </w:r>
        <w:r w:rsidR="003F08E5">
          <w:rPr>
            <w:noProof/>
            <w:webHidden/>
          </w:rPr>
        </w:r>
        <w:r w:rsidR="003F08E5">
          <w:rPr>
            <w:noProof/>
            <w:webHidden/>
          </w:rPr>
          <w:fldChar w:fldCharType="separate"/>
        </w:r>
        <w:r w:rsidR="003F08E5">
          <w:rPr>
            <w:noProof/>
            <w:webHidden/>
          </w:rPr>
          <w:t>82</w:t>
        </w:r>
        <w:r w:rsidR="003F08E5">
          <w:rPr>
            <w:noProof/>
            <w:webHidden/>
          </w:rPr>
          <w:fldChar w:fldCharType="end"/>
        </w:r>
      </w:hyperlink>
    </w:p>
    <w:p w:rsidR="003F08E5" w:rsidRDefault="00990E2D">
      <w:pPr>
        <w:pStyle w:val="Obsah3"/>
        <w:rPr>
          <w:rFonts w:eastAsiaTheme="minorEastAsia"/>
          <w:noProof/>
          <w:lang w:eastAsia="cs-CZ"/>
        </w:rPr>
      </w:pPr>
      <w:hyperlink w:anchor="_Toc459723305" w:history="1">
        <w:r w:rsidR="003F08E5" w:rsidRPr="003A2E72">
          <w:rPr>
            <w:rStyle w:val="Hypertextovodkaz"/>
            <w:noProof/>
          </w:rPr>
          <w:t>3.5.5</w:t>
        </w:r>
        <w:r w:rsidR="003F08E5">
          <w:rPr>
            <w:rFonts w:eastAsiaTheme="minorEastAsia"/>
            <w:noProof/>
            <w:lang w:eastAsia="cs-CZ"/>
          </w:rPr>
          <w:tab/>
        </w:r>
        <w:r w:rsidR="003F08E5" w:rsidRPr="003A2E72">
          <w:rPr>
            <w:rStyle w:val="Hypertextovodkaz"/>
            <w:noProof/>
          </w:rPr>
          <w:t>Úspěšnost zapojení do mezinárodních výzkumných programů a překážky mezinárodní spolupráce</w:t>
        </w:r>
        <w:r w:rsidR="003F08E5">
          <w:rPr>
            <w:noProof/>
            <w:webHidden/>
          </w:rPr>
          <w:tab/>
        </w:r>
        <w:r w:rsidR="003F08E5">
          <w:rPr>
            <w:noProof/>
            <w:webHidden/>
          </w:rPr>
          <w:fldChar w:fldCharType="begin"/>
        </w:r>
        <w:r w:rsidR="003F08E5">
          <w:rPr>
            <w:noProof/>
            <w:webHidden/>
          </w:rPr>
          <w:instrText xml:space="preserve"> PAGEREF _Toc459723305 \h </w:instrText>
        </w:r>
        <w:r w:rsidR="003F08E5">
          <w:rPr>
            <w:noProof/>
            <w:webHidden/>
          </w:rPr>
        </w:r>
        <w:r w:rsidR="003F08E5">
          <w:rPr>
            <w:noProof/>
            <w:webHidden/>
          </w:rPr>
          <w:fldChar w:fldCharType="separate"/>
        </w:r>
        <w:r w:rsidR="003F08E5">
          <w:rPr>
            <w:noProof/>
            <w:webHidden/>
          </w:rPr>
          <w:t>85</w:t>
        </w:r>
        <w:r w:rsidR="003F08E5">
          <w:rPr>
            <w:noProof/>
            <w:webHidden/>
          </w:rPr>
          <w:fldChar w:fldCharType="end"/>
        </w:r>
      </w:hyperlink>
    </w:p>
    <w:p w:rsidR="003F08E5" w:rsidRDefault="00990E2D">
      <w:pPr>
        <w:pStyle w:val="Obsah4"/>
        <w:tabs>
          <w:tab w:val="left" w:pos="1540"/>
          <w:tab w:val="right" w:leader="dot" w:pos="9204"/>
        </w:tabs>
        <w:rPr>
          <w:rFonts w:eastAsiaTheme="minorEastAsia"/>
          <w:noProof/>
          <w:sz w:val="22"/>
          <w:lang w:eastAsia="cs-CZ"/>
        </w:rPr>
      </w:pPr>
      <w:hyperlink w:anchor="_Toc459723306" w:history="1">
        <w:r w:rsidR="003F08E5" w:rsidRPr="003A2E72">
          <w:rPr>
            <w:rStyle w:val="Hypertextovodkaz"/>
            <w:noProof/>
          </w:rPr>
          <w:t>3.5.5.1</w:t>
        </w:r>
        <w:r w:rsidR="003F08E5">
          <w:rPr>
            <w:rFonts w:eastAsiaTheme="minorEastAsia"/>
            <w:noProof/>
            <w:sz w:val="22"/>
            <w:lang w:eastAsia="cs-CZ"/>
          </w:rPr>
          <w:tab/>
        </w:r>
        <w:r w:rsidR="003F08E5" w:rsidRPr="003A2E72">
          <w:rPr>
            <w:rStyle w:val="Hypertextovodkaz"/>
            <w:noProof/>
          </w:rPr>
          <w:t>Úspěšnost subjektů z ČR v rámcových programech EU</w:t>
        </w:r>
        <w:r w:rsidR="003F08E5">
          <w:rPr>
            <w:noProof/>
            <w:webHidden/>
          </w:rPr>
          <w:tab/>
        </w:r>
        <w:r w:rsidR="003F08E5">
          <w:rPr>
            <w:noProof/>
            <w:webHidden/>
          </w:rPr>
          <w:fldChar w:fldCharType="begin"/>
        </w:r>
        <w:r w:rsidR="003F08E5">
          <w:rPr>
            <w:noProof/>
            <w:webHidden/>
          </w:rPr>
          <w:instrText xml:space="preserve"> PAGEREF _Toc459723306 \h </w:instrText>
        </w:r>
        <w:r w:rsidR="003F08E5">
          <w:rPr>
            <w:noProof/>
            <w:webHidden/>
          </w:rPr>
        </w:r>
        <w:r w:rsidR="003F08E5">
          <w:rPr>
            <w:noProof/>
            <w:webHidden/>
          </w:rPr>
          <w:fldChar w:fldCharType="separate"/>
        </w:r>
        <w:r w:rsidR="003F08E5">
          <w:rPr>
            <w:noProof/>
            <w:webHidden/>
          </w:rPr>
          <w:t>85</w:t>
        </w:r>
        <w:r w:rsidR="003F08E5">
          <w:rPr>
            <w:noProof/>
            <w:webHidden/>
          </w:rPr>
          <w:fldChar w:fldCharType="end"/>
        </w:r>
      </w:hyperlink>
    </w:p>
    <w:p w:rsidR="003F08E5" w:rsidRDefault="00990E2D">
      <w:pPr>
        <w:pStyle w:val="Obsah4"/>
        <w:tabs>
          <w:tab w:val="left" w:pos="1540"/>
          <w:tab w:val="right" w:leader="dot" w:pos="9204"/>
        </w:tabs>
        <w:rPr>
          <w:rFonts w:eastAsiaTheme="minorEastAsia"/>
          <w:noProof/>
          <w:sz w:val="22"/>
          <w:lang w:eastAsia="cs-CZ"/>
        </w:rPr>
      </w:pPr>
      <w:hyperlink w:anchor="_Toc459723307" w:history="1">
        <w:r w:rsidR="003F08E5" w:rsidRPr="003A2E72">
          <w:rPr>
            <w:rStyle w:val="Hypertextovodkaz"/>
            <w:noProof/>
          </w:rPr>
          <w:t>3.5.5.2</w:t>
        </w:r>
        <w:r w:rsidR="003F08E5">
          <w:rPr>
            <w:rFonts w:eastAsiaTheme="minorEastAsia"/>
            <w:noProof/>
            <w:sz w:val="22"/>
            <w:lang w:eastAsia="cs-CZ"/>
          </w:rPr>
          <w:tab/>
        </w:r>
        <w:r w:rsidR="003F08E5" w:rsidRPr="003A2E72">
          <w:rPr>
            <w:rStyle w:val="Hypertextovodkaz"/>
            <w:noProof/>
          </w:rPr>
          <w:t>Zjištění z dotazníkového šetření mezi výzkumníky</w:t>
        </w:r>
        <w:r w:rsidR="003F08E5">
          <w:rPr>
            <w:noProof/>
            <w:webHidden/>
          </w:rPr>
          <w:tab/>
        </w:r>
        <w:r w:rsidR="003F08E5">
          <w:rPr>
            <w:noProof/>
            <w:webHidden/>
          </w:rPr>
          <w:fldChar w:fldCharType="begin"/>
        </w:r>
        <w:r w:rsidR="003F08E5">
          <w:rPr>
            <w:noProof/>
            <w:webHidden/>
          </w:rPr>
          <w:instrText xml:space="preserve"> PAGEREF _Toc459723307 \h </w:instrText>
        </w:r>
        <w:r w:rsidR="003F08E5">
          <w:rPr>
            <w:noProof/>
            <w:webHidden/>
          </w:rPr>
        </w:r>
        <w:r w:rsidR="003F08E5">
          <w:rPr>
            <w:noProof/>
            <w:webHidden/>
          </w:rPr>
          <w:fldChar w:fldCharType="separate"/>
        </w:r>
        <w:r w:rsidR="003F08E5">
          <w:rPr>
            <w:noProof/>
            <w:webHidden/>
          </w:rPr>
          <w:t>86</w:t>
        </w:r>
        <w:r w:rsidR="003F08E5">
          <w:rPr>
            <w:noProof/>
            <w:webHidden/>
          </w:rPr>
          <w:fldChar w:fldCharType="end"/>
        </w:r>
      </w:hyperlink>
    </w:p>
    <w:p w:rsidR="003F08E5" w:rsidRDefault="00990E2D">
      <w:pPr>
        <w:pStyle w:val="Obsah4"/>
        <w:tabs>
          <w:tab w:val="left" w:pos="1540"/>
          <w:tab w:val="right" w:leader="dot" w:pos="9204"/>
        </w:tabs>
        <w:rPr>
          <w:rFonts w:eastAsiaTheme="minorEastAsia"/>
          <w:noProof/>
          <w:sz w:val="22"/>
          <w:lang w:eastAsia="cs-CZ"/>
        </w:rPr>
      </w:pPr>
      <w:hyperlink w:anchor="_Toc459723308" w:history="1">
        <w:r w:rsidR="003F08E5" w:rsidRPr="003A2E72">
          <w:rPr>
            <w:rStyle w:val="Hypertextovodkaz"/>
            <w:noProof/>
          </w:rPr>
          <w:t>3.5.5.3</w:t>
        </w:r>
        <w:r w:rsidR="003F08E5">
          <w:rPr>
            <w:rFonts w:eastAsiaTheme="minorEastAsia"/>
            <w:noProof/>
            <w:sz w:val="22"/>
            <w:lang w:eastAsia="cs-CZ"/>
          </w:rPr>
          <w:tab/>
        </w:r>
        <w:r w:rsidR="003F08E5" w:rsidRPr="003A2E72">
          <w:rPr>
            <w:rStyle w:val="Hypertextovodkaz"/>
            <w:noProof/>
          </w:rPr>
          <w:t>Zjištění z expertního workshopu</w:t>
        </w:r>
        <w:r w:rsidR="003F08E5">
          <w:rPr>
            <w:noProof/>
            <w:webHidden/>
          </w:rPr>
          <w:tab/>
        </w:r>
        <w:r w:rsidR="003F08E5">
          <w:rPr>
            <w:noProof/>
            <w:webHidden/>
          </w:rPr>
          <w:fldChar w:fldCharType="begin"/>
        </w:r>
        <w:r w:rsidR="003F08E5">
          <w:rPr>
            <w:noProof/>
            <w:webHidden/>
          </w:rPr>
          <w:instrText xml:space="preserve"> PAGEREF _Toc459723308 \h </w:instrText>
        </w:r>
        <w:r w:rsidR="003F08E5">
          <w:rPr>
            <w:noProof/>
            <w:webHidden/>
          </w:rPr>
        </w:r>
        <w:r w:rsidR="003F08E5">
          <w:rPr>
            <w:noProof/>
            <w:webHidden/>
          </w:rPr>
          <w:fldChar w:fldCharType="separate"/>
        </w:r>
        <w:r w:rsidR="003F08E5">
          <w:rPr>
            <w:noProof/>
            <w:webHidden/>
          </w:rPr>
          <w:t>89</w:t>
        </w:r>
        <w:r w:rsidR="003F08E5">
          <w:rPr>
            <w:noProof/>
            <w:webHidden/>
          </w:rPr>
          <w:fldChar w:fldCharType="end"/>
        </w:r>
      </w:hyperlink>
    </w:p>
    <w:p w:rsidR="003F08E5" w:rsidRDefault="00990E2D">
      <w:pPr>
        <w:pStyle w:val="Obsah2"/>
        <w:tabs>
          <w:tab w:val="left" w:pos="880"/>
          <w:tab w:val="right" w:leader="dot" w:pos="9204"/>
        </w:tabs>
        <w:rPr>
          <w:rFonts w:eastAsiaTheme="minorEastAsia"/>
          <w:b w:val="0"/>
          <w:noProof/>
          <w:lang w:eastAsia="cs-CZ"/>
        </w:rPr>
      </w:pPr>
      <w:hyperlink w:anchor="_Toc459723309" w:history="1">
        <w:r w:rsidR="003F08E5" w:rsidRPr="003A2E72">
          <w:rPr>
            <w:rStyle w:val="Hypertextovodkaz"/>
            <w:noProof/>
          </w:rPr>
          <w:t>3.6</w:t>
        </w:r>
        <w:r w:rsidR="003F08E5">
          <w:rPr>
            <w:rFonts w:eastAsiaTheme="minorEastAsia"/>
            <w:b w:val="0"/>
            <w:noProof/>
            <w:lang w:eastAsia="cs-CZ"/>
          </w:rPr>
          <w:tab/>
        </w:r>
        <w:r w:rsidR="003F08E5" w:rsidRPr="003A2E72">
          <w:rPr>
            <w:rStyle w:val="Hypertextovodkaz"/>
            <w:noProof/>
          </w:rPr>
          <w:t>Silná a slabá témata pro bezpečnostní výzkum</w:t>
        </w:r>
        <w:r w:rsidR="003F08E5">
          <w:rPr>
            <w:noProof/>
            <w:webHidden/>
          </w:rPr>
          <w:tab/>
        </w:r>
        <w:r w:rsidR="003F08E5">
          <w:rPr>
            <w:noProof/>
            <w:webHidden/>
          </w:rPr>
          <w:fldChar w:fldCharType="begin"/>
        </w:r>
        <w:r w:rsidR="003F08E5">
          <w:rPr>
            <w:noProof/>
            <w:webHidden/>
          </w:rPr>
          <w:instrText xml:space="preserve"> PAGEREF _Toc459723309 \h </w:instrText>
        </w:r>
        <w:r w:rsidR="003F08E5">
          <w:rPr>
            <w:noProof/>
            <w:webHidden/>
          </w:rPr>
        </w:r>
        <w:r w:rsidR="003F08E5">
          <w:rPr>
            <w:noProof/>
            <w:webHidden/>
          </w:rPr>
          <w:fldChar w:fldCharType="separate"/>
        </w:r>
        <w:r w:rsidR="003F08E5">
          <w:rPr>
            <w:noProof/>
            <w:webHidden/>
          </w:rPr>
          <w:t>90</w:t>
        </w:r>
        <w:r w:rsidR="003F08E5">
          <w:rPr>
            <w:noProof/>
            <w:webHidden/>
          </w:rPr>
          <w:fldChar w:fldCharType="end"/>
        </w:r>
      </w:hyperlink>
    </w:p>
    <w:p w:rsidR="003F08E5" w:rsidRDefault="00990E2D">
      <w:pPr>
        <w:pStyle w:val="Obsah3"/>
        <w:rPr>
          <w:rFonts w:eastAsiaTheme="minorEastAsia"/>
          <w:noProof/>
          <w:lang w:eastAsia="cs-CZ"/>
        </w:rPr>
      </w:pPr>
      <w:hyperlink w:anchor="_Toc459723310" w:history="1">
        <w:r w:rsidR="003F08E5" w:rsidRPr="003A2E72">
          <w:rPr>
            <w:rStyle w:val="Hypertextovodkaz"/>
            <w:noProof/>
          </w:rPr>
          <w:t>3.6.1</w:t>
        </w:r>
        <w:r w:rsidR="003F08E5">
          <w:rPr>
            <w:rFonts w:eastAsiaTheme="minorEastAsia"/>
            <w:noProof/>
            <w:lang w:eastAsia="cs-CZ"/>
          </w:rPr>
          <w:tab/>
        </w:r>
        <w:r w:rsidR="003F08E5" w:rsidRPr="003A2E72">
          <w:rPr>
            <w:rStyle w:val="Hypertextovodkaz"/>
            <w:noProof/>
          </w:rPr>
          <w:t>Silná a slabá témata z analýzy financování a výsledků programů BV</w:t>
        </w:r>
        <w:r w:rsidR="003F08E5">
          <w:rPr>
            <w:noProof/>
            <w:webHidden/>
          </w:rPr>
          <w:tab/>
        </w:r>
        <w:r w:rsidR="003F08E5">
          <w:rPr>
            <w:noProof/>
            <w:webHidden/>
          </w:rPr>
          <w:fldChar w:fldCharType="begin"/>
        </w:r>
        <w:r w:rsidR="003F08E5">
          <w:rPr>
            <w:noProof/>
            <w:webHidden/>
          </w:rPr>
          <w:instrText xml:space="preserve"> PAGEREF _Toc459723310 \h </w:instrText>
        </w:r>
        <w:r w:rsidR="003F08E5">
          <w:rPr>
            <w:noProof/>
            <w:webHidden/>
          </w:rPr>
        </w:r>
        <w:r w:rsidR="003F08E5">
          <w:rPr>
            <w:noProof/>
            <w:webHidden/>
          </w:rPr>
          <w:fldChar w:fldCharType="separate"/>
        </w:r>
        <w:r w:rsidR="003F08E5">
          <w:rPr>
            <w:noProof/>
            <w:webHidden/>
          </w:rPr>
          <w:t>90</w:t>
        </w:r>
        <w:r w:rsidR="003F08E5">
          <w:rPr>
            <w:noProof/>
            <w:webHidden/>
          </w:rPr>
          <w:fldChar w:fldCharType="end"/>
        </w:r>
      </w:hyperlink>
    </w:p>
    <w:p w:rsidR="003F08E5" w:rsidRDefault="00990E2D">
      <w:pPr>
        <w:pStyle w:val="Obsah3"/>
        <w:rPr>
          <w:rFonts w:eastAsiaTheme="minorEastAsia"/>
          <w:noProof/>
          <w:lang w:eastAsia="cs-CZ"/>
        </w:rPr>
      </w:pPr>
      <w:hyperlink w:anchor="_Toc459723311" w:history="1">
        <w:r w:rsidR="003F08E5" w:rsidRPr="003A2E72">
          <w:rPr>
            <w:rStyle w:val="Hypertextovodkaz"/>
            <w:noProof/>
          </w:rPr>
          <w:t>3.6.2</w:t>
        </w:r>
        <w:r w:rsidR="003F08E5">
          <w:rPr>
            <w:rFonts w:eastAsiaTheme="minorEastAsia"/>
            <w:noProof/>
            <w:lang w:eastAsia="cs-CZ"/>
          </w:rPr>
          <w:tab/>
        </w:r>
        <w:r w:rsidR="003F08E5" w:rsidRPr="003A2E72">
          <w:rPr>
            <w:rStyle w:val="Hypertextovodkaz"/>
            <w:noProof/>
          </w:rPr>
          <w:t>Silná a slabá témata mezinárodní spolupráce</w:t>
        </w:r>
        <w:r w:rsidR="003F08E5">
          <w:rPr>
            <w:noProof/>
            <w:webHidden/>
          </w:rPr>
          <w:tab/>
        </w:r>
        <w:r w:rsidR="003F08E5">
          <w:rPr>
            <w:noProof/>
            <w:webHidden/>
          </w:rPr>
          <w:fldChar w:fldCharType="begin"/>
        </w:r>
        <w:r w:rsidR="003F08E5">
          <w:rPr>
            <w:noProof/>
            <w:webHidden/>
          </w:rPr>
          <w:instrText xml:space="preserve"> PAGEREF _Toc459723311 \h </w:instrText>
        </w:r>
        <w:r w:rsidR="003F08E5">
          <w:rPr>
            <w:noProof/>
            <w:webHidden/>
          </w:rPr>
        </w:r>
        <w:r w:rsidR="003F08E5">
          <w:rPr>
            <w:noProof/>
            <w:webHidden/>
          </w:rPr>
          <w:fldChar w:fldCharType="separate"/>
        </w:r>
        <w:r w:rsidR="003F08E5">
          <w:rPr>
            <w:noProof/>
            <w:webHidden/>
          </w:rPr>
          <w:t>92</w:t>
        </w:r>
        <w:r w:rsidR="003F08E5">
          <w:rPr>
            <w:noProof/>
            <w:webHidden/>
          </w:rPr>
          <w:fldChar w:fldCharType="end"/>
        </w:r>
      </w:hyperlink>
    </w:p>
    <w:p w:rsidR="003F08E5" w:rsidRDefault="00990E2D">
      <w:pPr>
        <w:pStyle w:val="Obsah3"/>
        <w:rPr>
          <w:rFonts w:eastAsiaTheme="minorEastAsia"/>
          <w:noProof/>
          <w:lang w:eastAsia="cs-CZ"/>
        </w:rPr>
      </w:pPr>
      <w:hyperlink w:anchor="_Toc459723312" w:history="1">
        <w:r w:rsidR="003F08E5" w:rsidRPr="003A2E72">
          <w:rPr>
            <w:rStyle w:val="Hypertextovodkaz"/>
            <w:noProof/>
          </w:rPr>
          <w:t>3.6.3</w:t>
        </w:r>
        <w:r w:rsidR="003F08E5">
          <w:rPr>
            <w:rFonts w:eastAsiaTheme="minorEastAsia"/>
            <w:noProof/>
            <w:lang w:eastAsia="cs-CZ"/>
          </w:rPr>
          <w:tab/>
        </w:r>
        <w:r w:rsidR="003F08E5" w:rsidRPr="003A2E72">
          <w:rPr>
            <w:rStyle w:val="Hypertextovodkaz"/>
            <w:noProof/>
          </w:rPr>
          <w:t>Zájmové oblasti vhodné pro mezinárodní spolupráci</w:t>
        </w:r>
        <w:r w:rsidR="003F08E5">
          <w:rPr>
            <w:noProof/>
            <w:webHidden/>
          </w:rPr>
          <w:tab/>
        </w:r>
        <w:r w:rsidR="003F08E5">
          <w:rPr>
            <w:noProof/>
            <w:webHidden/>
          </w:rPr>
          <w:fldChar w:fldCharType="begin"/>
        </w:r>
        <w:r w:rsidR="003F08E5">
          <w:rPr>
            <w:noProof/>
            <w:webHidden/>
          </w:rPr>
          <w:instrText xml:space="preserve"> PAGEREF _Toc459723312 \h </w:instrText>
        </w:r>
        <w:r w:rsidR="003F08E5">
          <w:rPr>
            <w:noProof/>
            <w:webHidden/>
          </w:rPr>
        </w:r>
        <w:r w:rsidR="003F08E5">
          <w:rPr>
            <w:noProof/>
            <w:webHidden/>
          </w:rPr>
          <w:fldChar w:fldCharType="separate"/>
        </w:r>
        <w:r w:rsidR="003F08E5">
          <w:rPr>
            <w:noProof/>
            <w:webHidden/>
          </w:rPr>
          <w:t>93</w:t>
        </w:r>
        <w:r w:rsidR="003F08E5">
          <w:rPr>
            <w:noProof/>
            <w:webHidden/>
          </w:rPr>
          <w:fldChar w:fldCharType="end"/>
        </w:r>
      </w:hyperlink>
    </w:p>
    <w:p w:rsidR="003F08E5" w:rsidRDefault="00990E2D">
      <w:pPr>
        <w:pStyle w:val="Obsah3"/>
        <w:rPr>
          <w:rFonts w:eastAsiaTheme="minorEastAsia"/>
          <w:noProof/>
          <w:lang w:eastAsia="cs-CZ"/>
        </w:rPr>
      </w:pPr>
      <w:hyperlink w:anchor="_Toc459723313" w:history="1">
        <w:r w:rsidR="003F08E5" w:rsidRPr="003A2E72">
          <w:rPr>
            <w:rStyle w:val="Hypertextovodkaz"/>
            <w:noProof/>
          </w:rPr>
          <w:t>3.6.4</w:t>
        </w:r>
        <w:r w:rsidR="003F08E5">
          <w:rPr>
            <w:rFonts w:eastAsiaTheme="minorEastAsia"/>
            <w:noProof/>
            <w:lang w:eastAsia="cs-CZ"/>
          </w:rPr>
          <w:tab/>
        </w:r>
        <w:r w:rsidR="003F08E5" w:rsidRPr="003A2E72">
          <w:rPr>
            <w:rStyle w:val="Hypertextovodkaz"/>
            <w:noProof/>
          </w:rPr>
          <w:t>Zájmové oblasti bezpečnosti</w:t>
        </w:r>
        <w:r w:rsidR="003F08E5">
          <w:rPr>
            <w:noProof/>
            <w:webHidden/>
          </w:rPr>
          <w:tab/>
        </w:r>
        <w:r w:rsidR="003F08E5">
          <w:rPr>
            <w:noProof/>
            <w:webHidden/>
          </w:rPr>
          <w:fldChar w:fldCharType="begin"/>
        </w:r>
        <w:r w:rsidR="003F08E5">
          <w:rPr>
            <w:noProof/>
            <w:webHidden/>
          </w:rPr>
          <w:instrText xml:space="preserve"> PAGEREF _Toc459723313 \h </w:instrText>
        </w:r>
        <w:r w:rsidR="003F08E5">
          <w:rPr>
            <w:noProof/>
            <w:webHidden/>
          </w:rPr>
        </w:r>
        <w:r w:rsidR="003F08E5">
          <w:rPr>
            <w:noProof/>
            <w:webHidden/>
          </w:rPr>
          <w:fldChar w:fldCharType="separate"/>
        </w:r>
        <w:r w:rsidR="003F08E5">
          <w:rPr>
            <w:noProof/>
            <w:webHidden/>
          </w:rPr>
          <w:t>94</w:t>
        </w:r>
        <w:r w:rsidR="003F08E5">
          <w:rPr>
            <w:noProof/>
            <w:webHidden/>
          </w:rPr>
          <w:fldChar w:fldCharType="end"/>
        </w:r>
      </w:hyperlink>
    </w:p>
    <w:p w:rsidR="003F08E5" w:rsidRDefault="00990E2D">
      <w:pPr>
        <w:pStyle w:val="Obsah3"/>
        <w:rPr>
          <w:rFonts w:eastAsiaTheme="minorEastAsia"/>
          <w:noProof/>
          <w:lang w:eastAsia="cs-CZ"/>
        </w:rPr>
      </w:pPr>
      <w:hyperlink w:anchor="_Toc459723314" w:history="1">
        <w:r w:rsidR="003F08E5" w:rsidRPr="003A2E72">
          <w:rPr>
            <w:rStyle w:val="Hypertextovodkaz"/>
            <w:noProof/>
          </w:rPr>
          <w:t>3.6.5</w:t>
        </w:r>
        <w:r w:rsidR="003F08E5">
          <w:rPr>
            <w:rFonts w:eastAsiaTheme="minorEastAsia"/>
            <w:noProof/>
            <w:lang w:eastAsia="cs-CZ"/>
          </w:rPr>
          <w:tab/>
        </w:r>
        <w:r w:rsidR="003F08E5" w:rsidRPr="003A2E72">
          <w:rPr>
            <w:rStyle w:val="Hypertextovodkaz"/>
            <w:noProof/>
          </w:rPr>
          <w:t>Využití silných oborů pro řešení očekávaných potřeb v oblasti v bezpečnosti</w:t>
        </w:r>
        <w:r w:rsidR="003F08E5">
          <w:rPr>
            <w:noProof/>
            <w:webHidden/>
          </w:rPr>
          <w:tab/>
        </w:r>
        <w:r w:rsidR="003F08E5">
          <w:rPr>
            <w:noProof/>
            <w:webHidden/>
          </w:rPr>
          <w:fldChar w:fldCharType="begin"/>
        </w:r>
        <w:r w:rsidR="003F08E5">
          <w:rPr>
            <w:noProof/>
            <w:webHidden/>
          </w:rPr>
          <w:instrText xml:space="preserve"> PAGEREF _Toc459723314 \h </w:instrText>
        </w:r>
        <w:r w:rsidR="003F08E5">
          <w:rPr>
            <w:noProof/>
            <w:webHidden/>
          </w:rPr>
        </w:r>
        <w:r w:rsidR="003F08E5">
          <w:rPr>
            <w:noProof/>
            <w:webHidden/>
          </w:rPr>
          <w:fldChar w:fldCharType="separate"/>
        </w:r>
        <w:r w:rsidR="003F08E5">
          <w:rPr>
            <w:noProof/>
            <w:webHidden/>
          </w:rPr>
          <w:t>101</w:t>
        </w:r>
        <w:r w:rsidR="003F08E5">
          <w:rPr>
            <w:noProof/>
            <w:webHidden/>
          </w:rPr>
          <w:fldChar w:fldCharType="end"/>
        </w:r>
      </w:hyperlink>
    </w:p>
    <w:p w:rsidR="003F08E5" w:rsidRDefault="00990E2D">
      <w:pPr>
        <w:pStyle w:val="Obsah2"/>
        <w:tabs>
          <w:tab w:val="left" w:pos="880"/>
          <w:tab w:val="right" w:leader="dot" w:pos="9204"/>
        </w:tabs>
        <w:rPr>
          <w:rFonts w:eastAsiaTheme="minorEastAsia"/>
          <w:b w:val="0"/>
          <w:noProof/>
          <w:lang w:eastAsia="cs-CZ"/>
        </w:rPr>
      </w:pPr>
      <w:hyperlink w:anchor="_Toc459723315" w:history="1">
        <w:r w:rsidR="003F08E5" w:rsidRPr="003A2E72">
          <w:rPr>
            <w:rStyle w:val="Hypertextovodkaz"/>
            <w:noProof/>
          </w:rPr>
          <w:t>3.7</w:t>
        </w:r>
        <w:r w:rsidR="003F08E5">
          <w:rPr>
            <w:rFonts w:eastAsiaTheme="minorEastAsia"/>
            <w:b w:val="0"/>
            <w:noProof/>
            <w:lang w:eastAsia="cs-CZ"/>
          </w:rPr>
          <w:tab/>
        </w:r>
        <w:r w:rsidR="003F08E5" w:rsidRPr="003A2E72">
          <w:rPr>
            <w:rStyle w:val="Hypertextovodkaz"/>
            <w:noProof/>
          </w:rPr>
          <w:t>Tematické trendy bezpečnostního výzkumu v silných oborech české vědy</w:t>
        </w:r>
        <w:r w:rsidR="003F08E5">
          <w:rPr>
            <w:noProof/>
            <w:webHidden/>
          </w:rPr>
          <w:tab/>
        </w:r>
        <w:r w:rsidR="003F08E5">
          <w:rPr>
            <w:noProof/>
            <w:webHidden/>
          </w:rPr>
          <w:fldChar w:fldCharType="begin"/>
        </w:r>
        <w:r w:rsidR="003F08E5">
          <w:rPr>
            <w:noProof/>
            <w:webHidden/>
          </w:rPr>
          <w:instrText xml:space="preserve"> PAGEREF _Toc459723315 \h </w:instrText>
        </w:r>
        <w:r w:rsidR="003F08E5">
          <w:rPr>
            <w:noProof/>
            <w:webHidden/>
          </w:rPr>
        </w:r>
        <w:r w:rsidR="003F08E5">
          <w:rPr>
            <w:noProof/>
            <w:webHidden/>
          </w:rPr>
          <w:fldChar w:fldCharType="separate"/>
        </w:r>
        <w:r w:rsidR="003F08E5">
          <w:rPr>
            <w:noProof/>
            <w:webHidden/>
          </w:rPr>
          <w:t>101</w:t>
        </w:r>
        <w:r w:rsidR="003F08E5">
          <w:rPr>
            <w:noProof/>
            <w:webHidden/>
          </w:rPr>
          <w:fldChar w:fldCharType="end"/>
        </w:r>
      </w:hyperlink>
    </w:p>
    <w:p w:rsidR="003F08E5" w:rsidRDefault="00990E2D">
      <w:pPr>
        <w:pStyle w:val="Obsah1"/>
        <w:tabs>
          <w:tab w:val="left" w:pos="442"/>
          <w:tab w:val="right" w:leader="dot" w:pos="9204"/>
        </w:tabs>
        <w:rPr>
          <w:rFonts w:eastAsiaTheme="minorEastAsia"/>
          <w:b w:val="0"/>
          <w:noProof/>
          <w:lang w:eastAsia="cs-CZ"/>
        </w:rPr>
      </w:pPr>
      <w:hyperlink w:anchor="_Toc459723316" w:history="1">
        <w:r w:rsidR="003F08E5" w:rsidRPr="003A2E72">
          <w:rPr>
            <w:rStyle w:val="Hypertextovodkaz"/>
            <w:noProof/>
            <w:lang w:eastAsia="cs-CZ"/>
          </w:rPr>
          <w:t>4</w:t>
        </w:r>
        <w:r w:rsidR="003F08E5">
          <w:rPr>
            <w:rFonts w:eastAsiaTheme="minorEastAsia"/>
            <w:b w:val="0"/>
            <w:noProof/>
            <w:lang w:eastAsia="cs-CZ"/>
          </w:rPr>
          <w:tab/>
        </w:r>
        <w:r w:rsidR="003F08E5" w:rsidRPr="003A2E72">
          <w:rPr>
            <w:rStyle w:val="Hypertextovodkaz"/>
            <w:noProof/>
            <w:lang w:eastAsia="cs-CZ"/>
          </w:rPr>
          <w:t>Lidské zdroje</w:t>
        </w:r>
        <w:r w:rsidR="003F08E5">
          <w:rPr>
            <w:noProof/>
            <w:webHidden/>
          </w:rPr>
          <w:tab/>
        </w:r>
        <w:r w:rsidR="003F08E5">
          <w:rPr>
            <w:noProof/>
            <w:webHidden/>
          </w:rPr>
          <w:fldChar w:fldCharType="begin"/>
        </w:r>
        <w:r w:rsidR="003F08E5">
          <w:rPr>
            <w:noProof/>
            <w:webHidden/>
          </w:rPr>
          <w:instrText xml:space="preserve"> PAGEREF _Toc459723316 \h </w:instrText>
        </w:r>
        <w:r w:rsidR="003F08E5">
          <w:rPr>
            <w:noProof/>
            <w:webHidden/>
          </w:rPr>
        </w:r>
        <w:r w:rsidR="003F08E5">
          <w:rPr>
            <w:noProof/>
            <w:webHidden/>
          </w:rPr>
          <w:fldChar w:fldCharType="separate"/>
        </w:r>
        <w:r w:rsidR="003F08E5">
          <w:rPr>
            <w:noProof/>
            <w:webHidden/>
          </w:rPr>
          <w:t>104</w:t>
        </w:r>
        <w:r w:rsidR="003F08E5">
          <w:rPr>
            <w:noProof/>
            <w:webHidden/>
          </w:rPr>
          <w:fldChar w:fldCharType="end"/>
        </w:r>
      </w:hyperlink>
    </w:p>
    <w:p w:rsidR="003F08E5" w:rsidRDefault="00990E2D">
      <w:pPr>
        <w:pStyle w:val="Obsah2"/>
        <w:tabs>
          <w:tab w:val="left" w:pos="880"/>
          <w:tab w:val="right" w:leader="dot" w:pos="9204"/>
        </w:tabs>
        <w:rPr>
          <w:rFonts w:eastAsiaTheme="minorEastAsia"/>
          <w:b w:val="0"/>
          <w:noProof/>
          <w:lang w:eastAsia="cs-CZ"/>
        </w:rPr>
      </w:pPr>
      <w:hyperlink w:anchor="_Toc459723317" w:history="1">
        <w:r w:rsidR="003F08E5" w:rsidRPr="003A2E72">
          <w:rPr>
            <w:rStyle w:val="Hypertextovodkaz"/>
            <w:noProof/>
          </w:rPr>
          <w:t>4.1</w:t>
        </w:r>
        <w:r w:rsidR="003F08E5">
          <w:rPr>
            <w:rFonts w:eastAsiaTheme="minorEastAsia"/>
            <w:b w:val="0"/>
            <w:noProof/>
            <w:lang w:eastAsia="cs-CZ"/>
          </w:rPr>
          <w:tab/>
        </w:r>
        <w:r w:rsidR="003F08E5" w:rsidRPr="003A2E72">
          <w:rPr>
            <w:rStyle w:val="Hypertextovodkaz"/>
            <w:noProof/>
          </w:rPr>
          <w:t>Analýza lidských zdrojů pro bezpečnostní výzkum</w:t>
        </w:r>
        <w:r w:rsidR="003F08E5">
          <w:rPr>
            <w:noProof/>
            <w:webHidden/>
          </w:rPr>
          <w:tab/>
        </w:r>
        <w:r w:rsidR="003F08E5">
          <w:rPr>
            <w:noProof/>
            <w:webHidden/>
          </w:rPr>
          <w:fldChar w:fldCharType="begin"/>
        </w:r>
        <w:r w:rsidR="003F08E5">
          <w:rPr>
            <w:noProof/>
            <w:webHidden/>
          </w:rPr>
          <w:instrText xml:space="preserve"> PAGEREF _Toc459723317 \h </w:instrText>
        </w:r>
        <w:r w:rsidR="003F08E5">
          <w:rPr>
            <w:noProof/>
            <w:webHidden/>
          </w:rPr>
        </w:r>
        <w:r w:rsidR="003F08E5">
          <w:rPr>
            <w:noProof/>
            <w:webHidden/>
          </w:rPr>
          <w:fldChar w:fldCharType="separate"/>
        </w:r>
        <w:r w:rsidR="003F08E5">
          <w:rPr>
            <w:noProof/>
            <w:webHidden/>
          </w:rPr>
          <w:t>104</w:t>
        </w:r>
        <w:r w:rsidR="003F08E5">
          <w:rPr>
            <w:noProof/>
            <w:webHidden/>
          </w:rPr>
          <w:fldChar w:fldCharType="end"/>
        </w:r>
      </w:hyperlink>
    </w:p>
    <w:p w:rsidR="003F08E5" w:rsidRDefault="00990E2D">
      <w:pPr>
        <w:pStyle w:val="Obsah2"/>
        <w:tabs>
          <w:tab w:val="left" w:pos="880"/>
          <w:tab w:val="right" w:leader="dot" w:pos="9204"/>
        </w:tabs>
        <w:rPr>
          <w:rFonts w:eastAsiaTheme="minorEastAsia"/>
          <w:b w:val="0"/>
          <w:noProof/>
          <w:lang w:eastAsia="cs-CZ"/>
        </w:rPr>
      </w:pPr>
      <w:hyperlink w:anchor="_Toc459723318" w:history="1">
        <w:r w:rsidR="003F08E5" w:rsidRPr="003A2E72">
          <w:rPr>
            <w:rStyle w:val="Hypertextovodkaz"/>
            <w:noProof/>
          </w:rPr>
          <w:t>4.2</w:t>
        </w:r>
        <w:r w:rsidR="003F08E5">
          <w:rPr>
            <w:rFonts w:eastAsiaTheme="minorEastAsia"/>
            <w:b w:val="0"/>
            <w:noProof/>
            <w:lang w:eastAsia="cs-CZ"/>
          </w:rPr>
          <w:tab/>
        </w:r>
        <w:r w:rsidR="003F08E5" w:rsidRPr="003A2E72">
          <w:rPr>
            <w:rStyle w:val="Hypertextovodkaz"/>
            <w:noProof/>
          </w:rPr>
          <w:t>Potřeby lidských zdrojů pro bezpečnostní výzkum</w:t>
        </w:r>
        <w:r w:rsidR="003F08E5">
          <w:rPr>
            <w:noProof/>
            <w:webHidden/>
          </w:rPr>
          <w:tab/>
        </w:r>
        <w:r w:rsidR="003F08E5">
          <w:rPr>
            <w:noProof/>
            <w:webHidden/>
          </w:rPr>
          <w:fldChar w:fldCharType="begin"/>
        </w:r>
        <w:r w:rsidR="003F08E5">
          <w:rPr>
            <w:noProof/>
            <w:webHidden/>
          </w:rPr>
          <w:instrText xml:space="preserve"> PAGEREF _Toc459723318 \h </w:instrText>
        </w:r>
        <w:r w:rsidR="003F08E5">
          <w:rPr>
            <w:noProof/>
            <w:webHidden/>
          </w:rPr>
        </w:r>
        <w:r w:rsidR="003F08E5">
          <w:rPr>
            <w:noProof/>
            <w:webHidden/>
          </w:rPr>
          <w:fldChar w:fldCharType="separate"/>
        </w:r>
        <w:r w:rsidR="003F08E5">
          <w:rPr>
            <w:noProof/>
            <w:webHidden/>
          </w:rPr>
          <w:t>106</w:t>
        </w:r>
        <w:r w:rsidR="003F08E5">
          <w:rPr>
            <w:noProof/>
            <w:webHidden/>
          </w:rPr>
          <w:fldChar w:fldCharType="end"/>
        </w:r>
      </w:hyperlink>
    </w:p>
    <w:p w:rsidR="003F08E5" w:rsidRDefault="00990E2D">
      <w:pPr>
        <w:pStyle w:val="Obsah1"/>
        <w:tabs>
          <w:tab w:val="left" w:pos="442"/>
          <w:tab w:val="right" w:leader="dot" w:pos="9204"/>
        </w:tabs>
        <w:rPr>
          <w:rFonts w:eastAsiaTheme="minorEastAsia"/>
          <w:b w:val="0"/>
          <w:noProof/>
          <w:lang w:eastAsia="cs-CZ"/>
        </w:rPr>
      </w:pPr>
      <w:hyperlink w:anchor="_Toc459723319" w:history="1">
        <w:r w:rsidR="003F08E5" w:rsidRPr="003A2E72">
          <w:rPr>
            <w:rStyle w:val="Hypertextovodkaz"/>
            <w:noProof/>
            <w:lang w:eastAsia="cs-CZ"/>
          </w:rPr>
          <w:t>5</w:t>
        </w:r>
        <w:r w:rsidR="003F08E5">
          <w:rPr>
            <w:rFonts w:eastAsiaTheme="minorEastAsia"/>
            <w:b w:val="0"/>
            <w:noProof/>
            <w:lang w:eastAsia="cs-CZ"/>
          </w:rPr>
          <w:tab/>
        </w:r>
        <w:r w:rsidR="003F08E5" w:rsidRPr="003A2E72">
          <w:rPr>
            <w:rStyle w:val="Hypertextovodkaz"/>
            <w:noProof/>
            <w:lang w:eastAsia="cs-CZ"/>
          </w:rPr>
          <w:t>Potenciál</w:t>
        </w:r>
        <w:r w:rsidR="003F08E5" w:rsidRPr="003A2E72">
          <w:rPr>
            <w:rStyle w:val="Hypertextovodkaz"/>
            <w:noProof/>
          </w:rPr>
          <w:t xml:space="preserve"> </w:t>
        </w:r>
        <w:r w:rsidR="003F08E5" w:rsidRPr="003A2E72">
          <w:rPr>
            <w:rStyle w:val="Hypertextovodkaz"/>
            <w:noProof/>
            <w:lang w:eastAsia="cs-CZ"/>
          </w:rPr>
          <w:t>specializovaných výzkumných a zkušebních kapacit pro zapojení do bezpečnostního výzkumu</w:t>
        </w:r>
        <w:r w:rsidR="003F08E5">
          <w:rPr>
            <w:noProof/>
            <w:webHidden/>
          </w:rPr>
          <w:tab/>
        </w:r>
        <w:r w:rsidR="003F08E5">
          <w:rPr>
            <w:noProof/>
            <w:webHidden/>
          </w:rPr>
          <w:fldChar w:fldCharType="begin"/>
        </w:r>
        <w:r w:rsidR="003F08E5">
          <w:rPr>
            <w:noProof/>
            <w:webHidden/>
          </w:rPr>
          <w:instrText xml:space="preserve"> PAGEREF _Toc459723319 \h </w:instrText>
        </w:r>
        <w:r w:rsidR="003F08E5">
          <w:rPr>
            <w:noProof/>
            <w:webHidden/>
          </w:rPr>
        </w:r>
        <w:r w:rsidR="003F08E5">
          <w:rPr>
            <w:noProof/>
            <w:webHidden/>
          </w:rPr>
          <w:fldChar w:fldCharType="separate"/>
        </w:r>
        <w:r w:rsidR="003F08E5">
          <w:rPr>
            <w:noProof/>
            <w:webHidden/>
          </w:rPr>
          <w:t>109</w:t>
        </w:r>
        <w:r w:rsidR="003F08E5">
          <w:rPr>
            <w:noProof/>
            <w:webHidden/>
          </w:rPr>
          <w:fldChar w:fldCharType="end"/>
        </w:r>
      </w:hyperlink>
    </w:p>
    <w:p w:rsidR="003F08E5" w:rsidRDefault="00990E2D">
      <w:pPr>
        <w:pStyle w:val="Obsah2"/>
        <w:tabs>
          <w:tab w:val="left" w:pos="880"/>
          <w:tab w:val="right" w:leader="dot" w:pos="9204"/>
        </w:tabs>
        <w:rPr>
          <w:rFonts w:eastAsiaTheme="minorEastAsia"/>
          <w:b w:val="0"/>
          <w:noProof/>
          <w:lang w:eastAsia="cs-CZ"/>
        </w:rPr>
      </w:pPr>
      <w:hyperlink w:anchor="_Toc459723320" w:history="1">
        <w:r w:rsidR="003F08E5" w:rsidRPr="003A2E72">
          <w:rPr>
            <w:rStyle w:val="Hypertextovodkaz"/>
            <w:noProof/>
          </w:rPr>
          <w:t>5.1</w:t>
        </w:r>
        <w:r w:rsidR="003F08E5">
          <w:rPr>
            <w:rFonts w:eastAsiaTheme="minorEastAsia"/>
            <w:b w:val="0"/>
            <w:noProof/>
            <w:lang w:eastAsia="cs-CZ"/>
          </w:rPr>
          <w:tab/>
        </w:r>
        <w:r w:rsidR="003F08E5" w:rsidRPr="003A2E72">
          <w:rPr>
            <w:rStyle w:val="Hypertextovodkaz"/>
            <w:noProof/>
          </w:rPr>
          <w:t>Potenciál subjektů již zapojených do bezpečnostního výzkumu</w:t>
        </w:r>
        <w:r w:rsidR="003F08E5">
          <w:rPr>
            <w:noProof/>
            <w:webHidden/>
          </w:rPr>
          <w:tab/>
        </w:r>
        <w:r w:rsidR="003F08E5">
          <w:rPr>
            <w:noProof/>
            <w:webHidden/>
          </w:rPr>
          <w:fldChar w:fldCharType="begin"/>
        </w:r>
        <w:r w:rsidR="003F08E5">
          <w:rPr>
            <w:noProof/>
            <w:webHidden/>
          </w:rPr>
          <w:instrText xml:space="preserve"> PAGEREF _Toc459723320 \h </w:instrText>
        </w:r>
        <w:r w:rsidR="003F08E5">
          <w:rPr>
            <w:noProof/>
            <w:webHidden/>
          </w:rPr>
        </w:r>
        <w:r w:rsidR="003F08E5">
          <w:rPr>
            <w:noProof/>
            <w:webHidden/>
          </w:rPr>
          <w:fldChar w:fldCharType="separate"/>
        </w:r>
        <w:r w:rsidR="003F08E5">
          <w:rPr>
            <w:noProof/>
            <w:webHidden/>
          </w:rPr>
          <w:t>110</w:t>
        </w:r>
        <w:r w:rsidR="003F08E5">
          <w:rPr>
            <w:noProof/>
            <w:webHidden/>
          </w:rPr>
          <w:fldChar w:fldCharType="end"/>
        </w:r>
      </w:hyperlink>
    </w:p>
    <w:p w:rsidR="003F08E5" w:rsidRDefault="00990E2D">
      <w:pPr>
        <w:pStyle w:val="Obsah3"/>
        <w:rPr>
          <w:rFonts w:eastAsiaTheme="minorEastAsia"/>
          <w:noProof/>
          <w:lang w:eastAsia="cs-CZ"/>
        </w:rPr>
      </w:pPr>
      <w:hyperlink w:anchor="_Toc459723321" w:history="1">
        <w:r w:rsidR="003F08E5" w:rsidRPr="003A2E72">
          <w:rPr>
            <w:rStyle w:val="Hypertextovodkaz"/>
            <w:noProof/>
          </w:rPr>
          <w:t>5.1.1</w:t>
        </w:r>
        <w:r w:rsidR="003F08E5">
          <w:rPr>
            <w:rFonts w:eastAsiaTheme="minorEastAsia"/>
            <w:noProof/>
            <w:lang w:eastAsia="cs-CZ"/>
          </w:rPr>
          <w:tab/>
        </w:r>
        <w:r w:rsidR="003F08E5" w:rsidRPr="003A2E72">
          <w:rPr>
            <w:rStyle w:val="Hypertextovodkaz"/>
            <w:noProof/>
          </w:rPr>
          <w:t>Výzkumné organizace</w:t>
        </w:r>
        <w:r w:rsidR="003F08E5">
          <w:rPr>
            <w:noProof/>
            <w:webHidden/>
          </w:rPr>
          <w:tab/>
        </w:r>
        <w:r w:rsidR="003F08E5">
          <w:rPr>
            <w:noProof/>
            <w:webHidden/>
          </w:rPr>
          <w:fldChar w:fldCharType="begin"/>
        </w:r>
        <w:r w:rsidR="003F08E5">
          <w:rPr>
            <w:noProof/>
            <w:webHidden/>
          </w:rPr>
          <w:instrText xml:space="preserve"> PAGEREF _Toc459723321 \h </w:instrText>
        </w:r>
        <w:r w:rsidR="003F08E5">
          <w:rPr>
            <w:noProof/>
            <w:webHidden/>
          </w:rPr>
        </w:r>
        <w:r w:rsidR="003F08E5">
          <w:rPr>
            <w:noProof/>
            <w:webHidden/>
          </w:rPr>
          <w:fldChar w:fldCharType="separate"/>
        </w:r>
        <w:r w:rsidR="003F08E5">
          <w:rPr>
            <w:noProof/>
            <w:webHidden/>
          </w:rPr>
          <w:t>113</w:t>
        </w:r>
        <w:r w:rsidR="003F08E5">
          <w:rPr>
            <w:noProof/>
            <w:webHidden/>
          </w:rPr>
          <w:fldChar w:fldCharType="end"/>
        </w:r>
      </w:hyperlink>
    </w:p>
    <w:p w:rsidR="003F08E5" w:rsidRDefault="00990E2D">
      <w:pPr>
        <w:pStyle w:val="Obsah3"/>
        <w:rPr>
          <w:rFonts w:eastAsiaTheme="minorEastAsia"/>
          <w:noProof/>
          <w:lang w:eastAsia="cs-CZ"/>
        </w:rPr>
      </w:pPr>
      <w:hyperlink w:anchor="_Toc459723322" w:history="1">
        <w:r w:rsidR="003F08E5" w:rsidRPr="003A2E72">
          <w:rPr>
            <w:rStyle w:val="Hypertextovodkaz"/>
            <w:noProof/>
          </w:rPr>
          <w:t>5.1.2</w:t>
        </w:r>
        <w:r w:rsidR="003F08E5">
          <w:rPr>
            <w:rFonts w:eastAsiaTheme="minorEastAsia"/>
            <w:noProof/>
            <w:lang w:eastAsia="cs-CZ"/>
          </w:rPr>
          <w:tab/>
        </w:r>
        <w:r w:rsidR="003F08E5" w:rsidRPr="003A2E72">
          <w:rPr>
            <w:rStyle w:val="Hypertextovodkaz"/>
            <w:noProof/>
          </w:rPr>
          <w:t>Organizační složky státu</w:t>
        </w:r>
        <w:r w:rsidR="003F08E5">
          <w:rPr>
            <w:noProof/>
            <w:webHidden/>
          </w:rPr>
          <w:tab/>
        </w:r>
        <w:r w:rsidR="003F08E5">
          <w:rPr>
            <w:noProof/>
            <w:webHidden/>
          </w:rPr>
          <w:fldChar w:fldCharType="begin"/>
        </w:r>
        <w:r w:rsidR="003F08E5">
          <w:rPr>
            <w:noProof/>
            <w:webHidden/>
          </w:rPr>
          <w:instrText xml:space="preserve"> PAGEREF _Toc459723322 \h </w:instrText>
        </w:r>
        <w:r w:rsidR="003F08E5">
          <w:rPr>
            <w:noProof/>
            <w:webHidden/>
          </w:rPr>
        </w:r>
        <w:r w:rsidR="003F08E5">
          <w:rPr>
            <w:noProof/>
            <w:webHidden/>
          </w:rPr>
          <w:fldChar w:fldCharType="separate"/>
        </w:r>
        <w:r w:rsidR="003F08E5">
          <w:rPr>
            <w:noProof/>
            <w:webHidden/>
          </w:rPr>
          <w:t>116</w:t>
        </w:r>
        <w:r w:rsidR="003F08E5">
          <w:rPr>
            <w:noProof/>
            <w:webHidden/>
          </w:rPr>
          <w:fldChar w:fldCharType="end"/>
        </w:r>
      </w:hyperlink>
    </w:p>
    <w:p w:rsidR="003F08E5" w:rsidRDefault="00990E2D">
      <w:pPr>
        <w:pStyle w:val="Obsah3"/>
        <w:rPr>
          <w:rFonts w:eastAsiaTheme="minorEastAsia"/>
          <w:noProof/>
          <w:lang w:eastAsia="cs-CZ"/>
        </w:rPr>
      </w:pPr>
      <w:hyperlink w:anchor="_Toc459723323" w:history="1">
        <w:r w:rsidR="003F08E5" w:rsidRPr="003A2E72">
          <w:rPr>
            <w:rStyle w:val="Hypertextovodkaz"/>
            <w:noProof/>
          </w:rPr>
          <w:t>5.1.3</w:t>
        </w:r>
        <w:r w:rsidR="003F08E5">
          <w:rPr>
            <w:rFonts w:eastAsiaTheme="minorEastAsia"/>
            <w:noProof/>
            <w:lang w:eastAsia="cs-CZ"/>
          </w:rPr>
          <w:tab/>
        </w:r>
        <w:r w:rsidR="003F08E5" w:rsidRPr="003A2E72">
          <w:rPr>
            <w:rStyle w:val="Hypertextovodkaz"/>
            <w:noProof/>
          </w:rPr>
          <w:t>Podniky</w:t>
        </w:r>
        <w:r w:rsidR="003F08E5">
          <w:rPr>
            <w:noProof/>
            <w:webHidden/>
          </w:rPr>
          <w:tab/>
        </w:r>
        <w:r w:rsidR="003F08E5">
          <w:rPr>
            <w:noProof/>
            <w:webHidden/>
          </w:rPr>
          <w:fldChar w:fldCharType="begin"/>
        </w:r>
        <w:r w:rsidR="003F08E5">
          <w:rPr>
            <w:noProof/>
            <w:webHidden/>
          </w:rPr>
          <w:instrText xml:space="preserve"> PAGEREF _Toc459723323 \h </w:instrText>
        </w:r>
        <w:r w:rsidR="003F08E5">
          <w:rPr>
            <w:noProof/>
            <w:webHidden/>
          </w:rPr>
        </w:r>
        <w:r w:rsidR="003F08E5">
          <w:rPr>
            <w:noProof/>
            <w:webHidden/>
          </w:rPr>
          <w:fldChar w:fldCharType="separate"/>
        </w:r>
        <w:r w:rsidR="003F08E5">
          <w:rPr>
            <w:noProof/>
            <w:webHidden/>
          </w:rPr>
          <w:t>117</w:t>
        </w:r>
        <w:r w:rsidR="003F08E5">
          <w:rPr>
            <w:noProof/>
            <w:webHidden/>
          </w:rPr>
          <w:fldChar w:fldCharType="end"/>
        </w:r>
      </w:hyperlink>
    </w:p>
    <w:p w:rsidR="003F08E5" w:rsidRDefault="00990E2D">
      <w:pPr>
        <w:pStyle w:val="Obsah2"/>
        <w:tabs>
          <w:tab w:val="left" w:pos="880"/>
          <w:tab w:val="right" w:leader="dot" w:pos="9204"/>
        </w:tabs>
        <w:rPr>
          <w:rFonts w:eastAsiaTheme="minorEastAsia"/>
          <w:b w:val="0"/>
          <w:noProof/>
          <w:lang w:eastAsia="cs-CZ"/>
        </w:rPr>
      </w:pPr>
      <w:hyperlink w:anchor="_Toc459723324" w:history="1">
        <w:r w:rsidR="003F08E5" w:rsidRPr="003A2E72">
          <w:rPr>
            <w:rStyle w:val="Hypertextovodkaz"/>
            <w:noProof/>
          </w:rPr>
          <w:t>5.2</w:t>
        </w:r>
        <w:r w:rsidR="003F08E5">
          <w:rPr>
            <w:rFonts w:eastAsiaTheme="minorEastAsia"/>
            <w:b w:val="0"/>
            <w:noProof/>
            <w:lang w:eastAsia="cs-CZ"/>
          </w:rPr>
          <w:tab/>
        </w:r>
        <w:r w:rsidR="003F08E5" w:rsidRPr="003A2E72">
          <w:rPr>
            <w:rStyle w:val="Hypertextovodkaz"/>
            <w:noProof/>
          </w:rPr>
          <w:t>Potenciál subjektů, které zatím nebyly do programů bezpečnostního výzkumu zapojeny</w:t>
        </w:r>
        <w:r w:rsidR="003F08E5">
          <w:rPr>
            <w:noProof/>
            <w:webHidden/>
          </w:rPr>
          <w:tab/>
        </w:r>
        <w:r w:rsidR="003F08E5">
          <w:rPr>
            <w:noProof/>
            <w:webHidden/>
          </w:rPr>
          <w:fldChar w:fldCharType="begin"/>
        </w:r>
        <w:r w:rsidR="003F08E5">
          <w:rPr>
            <w:noProof/>
            <w:webHidden/>
          </w:rPr>
          <w:instrText xml:space="preserve"> PAGEREF _Toc459723324 \h </w:instrText>
        </w:r>
        <w:r w:rsidR="003F08E5">
          <w:rPr>
            <w:noProof/>
            <w:webHidden/>
          </w:rPr>
        </w:r>
        <w:r w:rsidR="003F08E5">
          <w:rPr>
            <w:noProof/>
            <w:webHidden/>
          </w:rPr>
          <w:fldChar w:fldCharType="separate"/>
        </w:r>
        <w:r w:rsidR="003F08E5">
          <w:rPr>
            <w:noProof/>
            <w:webHidden/>
          </w:rPr>
          <w:t>119</w:t>
        </w:r>
        <w:r w:rsidR="003F08E5">
          <w:rPr>
            <w:noProof/>
            <w:webHidden/>
          </w:rPr>
          <w:fldChar w:fldCharType="end"/>
        </w:r>
      </w:hyperlink>
    </w:p>
    <w:p w:rsidR="003F08E5" w:rsidRDefault="00990E2D">
      <w:pPr>
        <w:pStyle w:val="Obsah3"/>
        <w:rPr>
          <w:rFonts w:eastAsiaTheme="minorEastAsia"/>
          <w:noProof/>
          <w:lang w:eastAsia="cs-CZ"/>
        </w:rPr>
      </w:pPr>
      <w:hyperlink w:anchor="_Toc459723325" w:history="1">
        <w:r w:rsidR="003F08E5" w:rsidRPr="003A2E72">
          <w:rPr>
            <w:rStyle w:val="Hypertextovodkaz"/>
            <w:noProof/>
          </w:rPr>
          <w:t>5.2.1</w:t>
        </w:r>
        <w:r w:rsidR="003F08E5">
          <w:rPr>
            <w:rFonts w:eastAsiaTheme="minorEastAsia"/>
            <w:noProof/>
            <w:lang w:eastAsia="cs-CZ"/>
          </w:rPr>
          <w:tab/>
        </w:r>
        <w:r w:rsidR="003F08E5" w:rsidRPr="003A2E72">
          <w:rPr>
            <w:rStyle w:val="Hypertextovodkaz"/>
            <w:noProof/>
          </w:rPr>
          <w:t>Subjekty s publikačními výstupy souvisejícími s problematikou bezpečnosti</w:t>
        </w:r>
        <w:r w:rsidR="003F08E5">
          <w:rPr>
            <w:noProof/>
            <w:webHidden/>
          </w:rPr>
          <w:tab/>
        </w:r>
        <w:r w:rsidR="003F08E5">
          <w:rPr>
            <w:noProof/>
            <w:webHidden/>
          </w:rPr>
          <w:fldChar w:fldCharType="begin"/>
        </w:r>
        <w:r w:rsidR="003F08E5">
          <w:rPr>
            <w:noProof/>
            <w:webHidden/>
          </w:rPr>
          <w:instrText xml:space="preserve"> PAGEREF _Toc459723325 \h </w:instrText>
        </w:r>
        <w:r w:rsidR="003F08E5">
          <w:rPr>
            <w:noProof/>
            <w:webHidden/>
          </w:rPr>
        </w:r>
        <w:r w:rsidR="003F08E5">
          <w:rPr>
            <w:noProof/>
            <w:webHidden/>
          </w:rPr>
          <w:fldChar w:fldCharType="separate"/>
        </w:r>
        <w:r w:rsidR="003F08E5">
          <w:rPr>
            <w:noProof/>
            <w:webHidden/>
          </w:rPr>
          <w:t>119</w:t>
        </w:r>
        <w:r w:rsidR="003F08E5">
          <w:rPr>
            <w:noProof/>
            <w:webHidden/>
          </w:rPr>
          <w:fldChar w:fldCharType="end"/>
        </w:r>
      </w:hyperlink>
    </w:p>
    <w:p w:rsidR="003F08E5" w:rsidRDefault="00990E2D">
      <w:pPr>
        <w:pStyle w:val="Obsah3"/>
        <w:rPr>
          <w:rFonts w:eastAsiaTheme="minorEastAsia"/>
          <w:noProof/>
          <w:lang w:eastAsia="cs-CZ"/>
        </w:rPr>
      </w:pPr>
      <w:hyperlink w:anchor="_Toc459723326" w:history="1">
        <w:r w:rsidR="003F08E5" w:rsidRPr="003A2E72">
          <w:rPr>
            <w:rStyle w:val="Hypertextovodkaz"/>
            <w:noProof/>
          </w:rPr>
          <w:t>5.2.2</w:t>
        </w:r>
        <w:r w:rsidR="003F08E5">
          <w:rPr>
            <w:rFonts w:eastAsiaTheme="minorEastAsia"/>
            <w:noProof/>
            <w:lang w:eastAsia="cs-CZ"/>
          </w:rPr>
          <w:tab/>
        </w:r>
        <w:r w:rsidR="003F08E5" w:rsidRPr="003A2E72">
          <w:rPr>
            <w:rStyle w:val="Hypertextovodkaz"/>
            <w:noProof/>
          </w:rPr>
          <w:t>Subjekty s aplikačně zaměřenými výstupy s uplatněním v bezpečnosti</w:t>
        </w:r>
        <w:r w:rsidR="003F08E5">
          <w:rPr>
            <w:noProof/>
            <w:webHidden/>
          </w:rPr>
          <w:tab/>
        </w:r>
        <w:r w:rsidR="003F08E5">
          <w:rPr>
            <w:noProof/>
            <w:webHidden/>
          </w:rPr>
          <w:fldChar w:fldCharType="begin"/>
        </w:r>
        <w:r w:rsidR="003F08E5">
          <w:rPr>
            <w:noProof/>
            <w:webHidden/>
          </w:rPr>
          <w:instrText xml:space="preserve"> PAGEREF _Toc459723326 \h </w:instrText>
        </w:r>
        <w:r w:rsidR="003F08E5">
          <w:rPr>
            <w:noProof/>
            <w:webHidden/>
          </w:rPr>
        </w:r>
        <w:r w:rsidR="003F08E5">
          <w:rPr>
            <w:noProof/>
            <w:webHidden/>
          </w:rPr>
          <w:fldChar w:fldCharType="separate"/>
        </w:r>
        <w:r w:rsidR="003F08E5">
          <w:rPr>
            <w:noProof/>
            <w:webHidden/>
          </w:rPr>
          <w:t>121</w:t>
        </w:r>
        <w:r w:rsidR="003F08E5">
          <w:rPr>
            <w:noProof/>
            <w:webHidden/>
          </w:rPr>
          <w:fldChar w:fldCharType="end"/>
        </w:r>
      </w:hyperlink>
    </w:p>
    <w:p w:rsidR="003F08E5" w:rsidRDefault="00990E2D">
      <w:pPr>
        <w:pStyle w:val="Obsah3"/>
        <w:rPr>
          <w:rFonts w:eastAsiaTheme="minorEastAsia"/>
          <w:noProof/>
          <w:lang w:eastAsia="cs-CZ"/>
        </w:rPr>
      </w:pPr>
      <w:hyperlink w:anchor="_Toc459723327" w:history="1">
        <w:r w:rsidR="003F08E5" w:rsidRPr="003A2E72">
          <w:rPr>
            <w:rStyle w:val="Hypertextovodkaz"/>
            <w:noProof/>
          </w:rPr>
          <w:t>5.2.3</w:t>
        </w:r>
        <w:r w:rsidR="003F08E5">
          <w:rPr>
            <w:rFonts w:eastAsiaTheme="minorEastAsia"/>
            <w:noProof/>
            <w:lang w:eastAsia="cs-CZ"/>
          </w:rPr>
          <w:tab/>
        </w:r>
        <w:r w:rsidR="003F08E5" w:rsidRPr="003A2E72">
          <w:rPr>
            <w:rStyle w:val="Hypertextovodkaz"/>
            <w:noProof/>
          </w:rPr>
          <w:t>Subjekty zapojené do bezpečnostně zaměřených projektů v programech jiných poskytovatelů</w:t>
        </w:r>
        <w:r w:rsidR="003F08E5">
          <w:rPr>
            <w:noProof/>
            <w:webHidden/>
          </w:rPr>
          <w:tab/>
        </w:r>
        <w:r w:rsidR="003F08E5">
          <w:rPr>
            <w:noProof/>
            <w:webHidden/>
          </w:rPr>
          <w:fldChar w:fldCharType="begin"/>
        </w:r>
        <w:r w:rsidR="003F08E5">
          <w:rPr>
            <w:noProof/>
            <w:webHidden/>
          </w:rPr>
          <w:instrText xml:space="preserve"> PAGEREF _Toc459723327 \h </w:instrText>
        </w:r>
        <w:r w:rsidR="003F08E5">
          <w:rPr>
            <w:noProof/>
            <w:webHidden/>
          </w:rPr>
        </w:r>
        <w:r w:rsidR="003F08E5">
          <w:rPr>
            <w:noProof/>
            <w:webHidden/>
          </w:rPr>
          <w:fldChar w:fldCharType="separate"/>
        </w:r>
        <w:r w:rsidR="003F08E5">
          <w:rPr>
            <w:noProof/>
            <w:webHidden/>
          </w:rPr>
          <w:t>122</w:t>
        </w:r>
        <w:r w:rsidR="003F08E5">
          <w:rPr>
            <w:noProof/>
            <w:webHidden/>
          </w:rPr>
          <w:fldChar w:fldCharType="end"/>
        </w:r>
      </w:hyperlink>
    </w:p>
    <w:p w:rsidR="003F08E5" w:rsidRDefault="00990E2D">
      <w:pPr>
        <w:pStyle w:val="Obsah3"/>
        <w:rPr>
          <w:rFonts w:eastAsiaTheme="minorEastAsia"/>
          <w:noProof/>
          <w:lang w:eastAsia="cs-CZ"/>
        </w:rPr>
      </w:pPr>
      <w:hyperlink w:anchor="_Toc459723328" w:history="1">
        <w:r w:rsidR="003F08E5" w:rsidRPr="003A2E72">
          <w:rPr>
            <w:rStyle w:val="Hypertextovodkaz"/>
            <w:rFonts w:eastAsiaTheme="majorEastAsia"/>
            <w:noProof/>
          </w:rPr>
          <w:t>5.2.4</w:t>
        </w:r>
        <w:r w:rsidR="003F08E5">
          <w:rPr>
            <w:rFonts w:eastAsiaTheme="minorEastAsia"/>
            <w:noProof/>
            <w:lang w:eastAsia="cs-CZ"/>
          </w:rPr>
          <w:tab/>
        </w:r>
        <w:r w:rsidR="003F08E5" w:rsidRPr="003A2E72">
          <w:rPr>
            <w:rStyle w:val="Hypertextovodkaz"/>
            <w:rFonts w:eastAsiaTheme="majorEastAsia"/>
            <w:noProof/>
          </w:rPr>
          <w:t>Výzkumná centra podpořená z OP VaVpI</w:t>
        </w:r>
        <w:r w:rsidR="003F08E5">
          <w:rPr>
            <w:noProof/>
            <w:webHidden/>
          </w:rPr>
          <w:tab/>
        </w:r>
        <w:r w:rsidR="003F08E5">
          <w:rPr>
            <w:noProof/>
            <w:webHidden/>
          </w:rPr>
          <w:fldChar w:fldCharType="begin"/>
        </w:r>
        <w:r w:rsidR="003F08E5">
          <w:rPr>
            <w:noProof/>
            <w:webHidden/>
          </w:rPr>
          <w:instrText xml:space="preserve"> PAGEREF _Toc459723328 \h </w:instrText>
        </w:r>
        <w:r w:rsidR="003F08E5">
          <w:rPr>
            <w:noProof/>
            <w:webHidden/>
          </w:rPr>
        </w:r>
        <w:r w:rsidR="003F08E5">
          <w:rPr>
            <w:noProof/>
            <w:webHidden/>
          </w:rPr>
          <w:fldChar w:fldCharType="separate"/>
        </w:r>
        <w:r w:rsidR="003F08E5">
          <w:rPr>
            <w:noProof/>
            <w:webHidden/>
          </w:rPr>
          <w:t>125</w:t>
        </w:r>
        <w:r w:rsidR="003F08E5">
          <w:rPr>
            <w:noProof/>
            <w:webHidden/>
          </w:rPr>
          <w:fldChar w:fldCharType="end"/>
        </w:r>
      </w:hyperlink>
    </w:p>
    <w:p w:rsidR="003F08E5" w:rsidRDefault="00990E2D">
      <w:pPr>
        <w:pStyle w:val="Obsah4"/>
        <w:tabs>
          <w:tab w:val="left" w:pos="1540"/>
          <w:tab w:val="right" w:leader="dot" w:pos="9204"/>
        </w:tabs>
        <w:rPr>
          <w:rFonts w:eastAsiaTheme="minorEastAsia"/>
          <w:noProof/>
          <w:sz w:val="22"/>
          <w:lang w:eastAsia="cs-CZ"/>
        </w:rPr>
      </w:pPr>
      <w:hyperlink w:anchor="_Toc459723329" w:history="1">
        <w:r w:rsidR="003F08E5" w:rsidRPr="003A2E72">
          <w:rPr>
            <w:rStyle w:val="Hypertextovodkaz"/>
            <w:noProof/>
          </w:rPr>
          <w:t>5.2.4.1</w:t>
        </w:r>
        <w:r w:rsidR="003F08E5">
          <w:rPr>
            <w:rFonts w:eastAsiaTheme="minorEastAsia"/>
            <w:noProof/>
            <w:sz w:val="22"/>
            <w:lang w:eastAsia="cs-CZ"/>
          </w:rPr>
          <w:tab/>
        </w:r>
        <w:r w:rsidR="003F08E5" w:rsidRPr="003A2E72">
          <w:rPr>
            <w:rStyle w:val="Hypertextovodkaz"/>
            <w:noProof/>
          </w:rPr>
          <w:t>Evropská centra excelence</w:t>
        </w:r>
        <w:r w:rsidR="003F08E5">
          <w:rPr>
            <w:noProof/>
            <w:webHidden/>
          </w:rPr>
          <w:tab/>
        </w:r>
        <w:r w:rsidR="003F08E5">
          <w:rPr>
            <w:noProof/>
            <w:webHidden/>
          </w:rPr>
          <w:fldChar w:fldCharType="begin"/>
        </w:r>
        <w:r w:rsidR="003F08E5">
          <w:rPr>
            <w:noProof/>
            <w:webHidden/>
          </w:rPr>
          <w:instrText xml:space="preserve"> PAGEREF _Toc459723329 \h </w:instrText>
        </w:r>
        <w:r w:rsidR="003F08E5">
          <w:rPr>
            <w:noProof/>
            <w:webHidden/>
          </w:rPr>
        </w:r>
        <w:r w:rsidR="003F08E5">
          <w:rPr>
            <w:noProof/>
            <w:webHidden/>
          </w:rPr>
          <w:fldChar w:fldCharType="separate"/>
        </w:r>
        <w:r w:rsidR="003F08E5">
          <w:rPr>
            <w:noProof/>
            <w:webHidden/>
          </w:rPr>
          <w:t>126</w:t>
        </w:r>
        <w:r w:rsidR="003F08E5">
          <w:rPr>
            <w:noProof/>
            <w:webHidden/>
          </w:rPr>
          <w:fldChar w:fldCharType="end"/>
        </w:r>
      </w:hyperlink>
    </w:p>
    <w:p w:rsidR="003F08E5" w:rsidRDefault="00990E2D">
      <w:pPr>
        <w:pStyle w:val="Obsah4"/>
        <w:tabs>
          <w:tab w:val="left" w:pos="1540"/>
          <w:tab w:val="right" w:leader="dot" w:pos="9204"/>
        </w:tabs>
        <w:rPr>
          <w:rFonts w:eastAsiaTheme="minorEastAsia"/>
          <w:noProof/>
          <w:sz w:val="22"/>
          <w:lang w:eastAsia="cs-CZ"/>
        </w:rPr>
      </w:pPr>
      <w:hyperlink w:anchor="_Toc459723330" w:history="1">
        <w:r w:rsidR="003F08E5" w:rsidRPr="003A2E72">
          <w:rPr>
            <w:rStyle w:val="Hypertextovodkaz"/>
            <w:noProof/>
          </w:rPr>
          <w:t>5.2.4.2</w:t>
        </w:r>
        <w:r w:rsidR="003F08E5">
          <w:rPr>
            <w:rFonts w:eastAsiaTheme="minorEastAsia"/>
            <w:noProof/>
            <w:sz w:val="22"/>
            <w:lang w:eastAsia="cs-CZ"/>
          </w:rPr>
          <w:tab/>
        </w:r>
        <w:r w:rsidR="003F08E5" w:rsidRPr="003A2E72">
          <w:rPr>
            <w:rStyle w:val="Hypertextovodkaz"/>
            <w:noProof/>
          </w:rPr>
          <w:t>Regionální centra VaV</w:t>
        </w:r>
        <w:r w:rsidR="003F08E5">
          <w:rPr>
            <w:noProof/>
            <w:webHidden/>
          </w:rPr>
          <w:tab/>
        </w:r>
        <w:r w:rsidR="003F08E5">
          <w:rPr>
            <w:noProof/>
            <w:webHidden/>
          </w:rPr>
          <w:fldChar w:fldCharType="begin"/>
        </w:r>
        <w:r w:rsidR="003F08E5">
          <w:rPr>
            <w:noProof/>
            <w:webHidden/>
          </w:rPr>
          <w:instrText xml:space="preserve"> PAGEREF _Toc459723330 \h </w:instrText>
        </w:r>
        <w:r w:rsidR="003F08E5">
          <w:rPr>
            <w:noProof/>
            <w:webHidden/>
          </w:rPr>
        </w:r>
        <w:r w:rsidR="003F08E5">
          <w:rPr>
            <w:noProof/>
            <w:webHidden/>
          </w:rPr>
          <w:fldChar w:fldCharType="separate"/>
        </w:r>
        <w:r w:rsidR="003F08E5">
          <w:rPr>
            <w:noProof/>
            <w:webHidden/>
          </w:rPr>
          <w:t>128</w:t>
        </w:r>
        <w:r w:rsidR="003F08E5">
          <w:rPr>
            <w:noProof/>
            <w:webHidden/>
          </w:rPr>
          <w:fldChar w:fldCharType="end"/>
        </w:r>
      </w:hyperlink>
    </w:p>
    <w:p w:rsidR="003F08E5" w:rsidRDefault="00990E2D">
      <w:pPr>
        <w:pStyle w:val="Obsah3"/>
        <w:rPr>
          <w:rFonts w:eastAsiaTheme="minorEastAsia"/>
          <w:noProof/>
          <w:lang w:eastAsia="cs-CZ"/>
        </w:rPr>
      </w:pPr>
      <w:hyperlink w:anchor="_Toc459723331" w:history="1">
        <w:r w:rsidR="003F08E5" w:rsidRPr="003A2E72">
          <w:rPr>
            <w:rStyle w:val="Hypertextovodkaz"/>
            <w:rFonts w:eastAsiaTheme="majorEastAsia"/>
            <w:noProof/>
          </w:rPr>
          <w:t>5.2.5</w:t>
        </w:r>
        <w:r w:rsidR="003F08E5">
          <w:rPr>
            <w:rFonts w:eastAsiaTheme="minorEastAsia"/>
            <w:noProof/>
            <w:lang w:eastAsia="cs-CZ"/>
          </w:rPr>
          <w:tab/>
        </w:r>
        <w:r w:rsidR="003F08E5" w:rsidRPr="003A2E72">
          <w:rPr>
            <w:rStyle w:val="Hypertextovodkaz"/>
            <w:rFonts w:eastAsiaTheme="majorEastAsia"/>
            <w:noProof/>
          </w:rPr>
          <w:t>Infrastruktura pro výzkum, vývoj a inovace</w:t>
        </w:r>
        <w:r w:rsidR="003F08E5">
          <w:rPr>
            <w:noProof/>
            <w:webHidden/>
          </w:rPr>
          <w:tab/>
        </w:r>
        <w:r w:rsidR="003F08E5">
          <w:rPr>
            <w:noProof/>
            <w:webHidden/>
          </w:rPr>
          <w:fldChar w:fldCharType="begin"/>
        </w:r>
        <w:r w:rsidR="003F08E5">
          <w:rPr>
            <w:noProof/>
            <w:webHidden/>
          </w:rPr>
          <w:instrText xml:space="preserve"> PAGEREF _Toc459723331 \h </w:instrText>
        </w:r>
        <w:r w:rsidR="003F08E5">
          <w:rPr>
            <w:noProof/>
            <w:webHidden/>
          </w:rPr>
        </w:r>
        <w:r w:rsidR="003F08E5">
          <w:rPr>
            <w:noProof/>
            <w:webHidden/>
          </w:rPr>
          <w:fldChar w:fldCharType="separate"/>
        </w:r>
        <w:r w:rsidR="003F08E5">
          <w:rPr>
            <w:noProof/>
            <w:webHidden/>
          </w:rPr>
          <w:t>132</w:t>
        </w:r>
        <w:r w:rsidR="003F08E5">
          <w:rPr>
            <w:noProof/>
            <w:webHidden/>
          </w:rPr>
          <w:fldChar w:fldCharType="end"/>
        </w:r>
      </w:hyperlink>
    </w:p>
    <w:p w:rsidR="003F08E5" w:rsidRDefault="00990E2D">
      <w:pPr>
        <w:pStyle w:val="Obsah3"/>
        <w:rPr>
          <w:rFonts w:eastAsiaTheme="minorEastAsia"/>
          <w:noProof/>
          <w:lang w:eastAsia="cs-CZ"/>
        </w:rPr>
      </w:pPr>
      <w:hyperlink w:anchor="_Toc459723332" w:history="1">
        <w:r w:rsidR="003F08E5" w:rsidRPr="003A2E72">
          <w:rPr>
            <w:rStyle w:val="Hypertextovodkaz"/>
            <w:rFonts w:eastAsiaTheme="majorEastAsia"/>
            <w:noProof/>
          </w:rPr>
          <w:t>5.2.6</w:t>
        </w:r>
        <w:r w:rsidR="003F08E5">
          <w:rPr>
            <w:rFonts w:eastAsiaTheme="minorEastAsia"/>
            <w:noProof/>
            <w:lang w:eastAsia="cs-CZ"/>
          </w:rPr>
          <w:tab/>
        </w:r>
        <w:r w:rsidR="003F08E5" w:rsidRPr="003A2E72">
          <w:rPr>
            <w:rStyle w:val="Hypertextovodkaz"/>
            <w:rFonts w:eastAsiaTheme="majorEastAsia"/>
            <w:noProof/>
          </w:rPr>
          <w:t>Další subjekty s potenciálem pro zapojení do bezpečnostního výzkumu</w:t>
        </w:r>
        <w:r w:rsidR="003F08E5">
          <w:rPr>
            <w:noProof/>
            <w:webHidden/>
          </w:rPr>
          <w:tab/>
        </w:r>
        <w:r w:rsidR="003F08E5">
          <w:rPr>
            <w:noProof/>
            <w:webHidden/>
          </w:rPr>
          <w:fldChar w:fldCharType="begin"/>
        </w:r>
        <w:r w:rsidR="003F08E5">
          <w:rPr>
            <w:noProof/>
            <w:webHidden/>
          </w:rPr>
          <w:instrText xml:space="preserve"> PAGEREF _Toc459723332 \h </w:instrText>
        </w:r>
        <w:r w:rsidR="003F08E5">
          <w:rPr>
            <w:noProof/>
            <w:webHidden/>
          </w:rPr>
        </w:r>
        <w:r w:rsidR="003F08E5">
          <w:rPr>
            <w:noProof/>
            <w:webHidden/>
          </w:rPr>
          <w:fldChar w:fldCharType="separate"/>
        </w:r>
        <w:r w:rsidR="003F08E5">
          <w:rPr>
            <w:noProof/>
            <w:webHidden/>
          </w:rPr>
          <w:t>134</w:t>
        </w:r>
        <w:r w:rsidR="003F08E5">
          <w:rPr>
            <w:noProof/>
            <w:webHidden/>
          </w:rPr>
          <w:fldChar w:fldCharType="end"/>
        </w:r>
      </w:hyperlink>
    </w:p>
    <w:p w:rsidR="003F08E5" w:rsidRDefault="00990E2D">
      <w:pPr>
        <w:pStyle w:val="Obsah2"/>
        <w:tabs>
          <w:tab w:val="left" w:pos="880"/>
          <w:tab w:val="right" w:leader="dot" w:pos="9204"/>
        </w:tabs>
        <w:rPr>
          <w:rFonts w:eastAsiaTheme="minorEastAsia"/>
          <w:b w:val="0"/>
          <w:noProof/>
          <w:lang w:eastAsia="cs-CZ"/>
        </w:rPr>
      </w:pPr>
      <w:hyperlink w:anchor="_Toc459723333" w:history="1">
        <w:r w:rsidR="003F08E5" w:rsidRPr="003A2E72">
          <w:rPr>
            <w:rStyle w:val="Hypertextovodkaz"/>
            <w:noProof/>
          </w:rPr>
          <w:t>5.3</w:t>
        </w:r>
        <w:r w:rsidR="003F08E5">
          <w:rPr>
            <w:rFonts w:eastAsiaTheme="minorEastAsia"/>
            <w:b w:val="0"/>
            <w:noProof/>
            <w:lang w:eastAsia="cs-CZ"/>
          </w:rPr>
          <w:tab/>
        </w:r>
        <w:r w:rsidR="003F08E5" w:rsidRPr="003A2E72">
          <w:rPr>
            <w:rStyle w:val="Hypertextovodkaz"/>
            <w:noProof/>
          </w:rPr>
          <w:t>Potenciál subjektů, které působí v oblasti zkušebnictví, analýz, testování, certifikací</w:t>
        </w:r>
        <w:r w:rsidR="003F08E5">
          <w:rPr>
            <w:noProof/>
            <w:webHidden/>
          </w:rPr>
          <w:tab/>
        </w:r>
        <w:r w:rsidR="003F08E5">
          <w:rPr>
            <w:noProof/>
            <w:webHidden/>
          </w:rPr>
          <w:fldChar w:fldCharType="begin"/>
        </w:r>
        <w:r w:rsidR="003F08E5">
          <w:rPr>
            <w:noProof/>
            <w:webHidden/>
          </w:rPr>
          <w:instrText xml:space="preserve"> PAGEREF _Toc459723333 \h </w:instrText>
        </w:r>
        <w:r w:rsidR="003F08E5">
          <w:rPr>
            <w:noProof/>
            <w:webHidden/>
          </w:rPr>
        </w:r>
        <w:r w:rsidR="003F08E5">
          <w:rPr>
            <w:noProof/>
            <w:webHidden/>
          </w:rPr>
          <w:fldChar w:fldCharType="separate"/>
        </w:r>
        <w:r w:rsidR="003F08E5">
          <w:rPr>
            <w:noProof/>
            <w:webHidden/>
          </w:rPr>
          <w:t>137</w:t>
        </w:r>
        <w:r w:rsidR="003F08E5">
          <w:rPr>
            <w:noProof/>
            <w:webHidden/>
          </w:rPr>
          <w:fldChar w:fldCharType="end"/>
        </w:r>
      </w:hyperlink>
    </w:p>
    <w:p w:rsidR="003F08E5" w:rsidRDefault="00990E2D">
      <w:pPr>
        <w:pStyle w:val="Obsah3"/>
        <w:rPr>
          <w:rFonts w:eastAsiaTheme="minorEastAsia"/>
          <w:noProof/>
          <w:lang w:eastAsia="cs-CZ"/>
        </w:rPr>
      </w:pPr>
      <w:hyperlink w:anchor="_Toc459723334" w:history="1">
        <w:r w:rsidR="003F08E5" w:rsidRPr="003A2E72">
          <w:rPr>
            <w:rStyle w:val="Hypertextovodkaz"/>
            <w:noProof/>
          </w:rPr>
          <w:t>5.3.1</w:t>
        </w:r>
        <w:r w:rsidR="003F08E5">
          <w:rPr>
            <w:rFonts w:eastAsiaTheme="minorEastAsia"/>
            <w:noProof/>
            <w:lang w:eastAsia="cs-CZ"/>
          </w:rPr>
          <w:tab/>
        </w:r>
        <w:r w:rsidR="003F08E5" w:rsidRPr="003A2E72">
          <w:rPr>
            <w:rStyle w:val="Hypertextovodkaz"/>
            <w:noProof/>
          </w:rPr>
          <w:t>Forenzní pracoviště a laboratoře, soudní a znalecké ústavy apod.</w:t>
        </w:r>
        <w:r w:rsidR="003F08E5">
          <w:rPr>
            <w:noProof/>
            <w:webHidden/>
          </w:rPr>
          <w:tab/>
        </w:r>
        <w:r w:rsidR="003F08E5">
          <w:rPr>
            <w:noProof/>
            <w:webHidden/>
          </w:rPr>
          <w:fldChar w:fldCharType="begin"/>
        </w:r>
        <w:r w:rsidR="003F08E5">
          <w:rPr>
            <w:noProof/>
            <w:webHidden/>
          </w:rPr>
          <w:instrText xml:space="preserve"> PAGEREF _Toc459723334 \h </w:instrText>
        </w:r>
        <w:r w:rsidR="003F08E5">
          <w:rPr>
            <w:noProof/>
            <w:webHidden/>
          </w:rPr>
        </w:r>
        <w:r w:rsidR="003F08E5">
          <w:rPr>
            <w:noProof/>
            <w:webHidden/>
          </w:rPr>
          <w:fldChar w:fldCharType="separate"/>
        </w:r>
        <w:r w:rsidR="003F08E5">
          <w:rPr>
            <w:noProof/>
            <w:webHidden/>
          </w:rPr>
          <w:t>137</w:t>
        </w:r>
        <w:r w:rsidR="003F08E5">
          <w:rPr>
            <w:noProof/>
            <w:webHidden/>
          </w:rPr>
          <w:fldChar w:fldCharType="end"/>
        </w:r>
      </w:hyperlink>
    </w:p>
    <w:p w:rsidR="003F08E5" w:rsidRDefault="00990E2D">
      <w:pPr>
        <w:pStyle w:val="Obsah3"/>
        <w:rPr>
          <w:rFonts w:eastAsiaTheme="minorEastAsia"/>
          <w:noProof/>
          <w:lang w:eastAsia="cs-CZ"/>
        </w:rPr>
      </w:pPr>
      <w:hyperlink w:anchor="_Toc459723335" w:history="1">
        <w:r w:rsidR="003F08E5" w:rsidRPr="003A2E72">
          <w:rPr>
            <w:rStyle w:val="Hypertextovodkaz"/>
            <w:noProof/>
          </w:rPr>
          <w:t>5.3.2</w:t>
        </w:r>
        <w:r w:rsidR="003F08E5">
          <w:rPr>
            <w:rFonts w:eastAsiaTheme="minorEastAsia"/>
            <w:noProof/>
            <w:lang w:eastAsia="cs-CZ"/>
          </w:rPr>
          <w:tab/>
        </w:r>
        <w:r w:rsidR="003F08E5" w:rsidRPr="003A2E72">
          <w:rPr>
            <w:rStyle w:val="Hypertextovodkaz"/>
            <w:noProof/>
          </w:rPr>
          <w:t>Státní úřady a jejich součásti, technické a zkušební ústavy, zkušební a experimentální polygony, instituce zabývající se problematikou bezpečnosti</w:t>
        </w:r>
        <w:r w:rsidR="003F08E5">
          <w:rPr>
            <w:noProof/>
            <w:webHidden/>
          </w:rPr>
          <w:tab/>
        </w:r>
        <w:r w:rsidR="003F08E5">
          <w:rPr>
            <w:noProof/>
            <w:webHidden/>
          </w:rPr>
          <w:fldChar w:fldCharType="begin"/>
        </w:r>
        <w:r w:rsidR="003F08E5">
          <w:rPr>
            <w:noProof/>
            <w:webHidden/>
          </w:rPr>
          <w:instrText xml:space="preserve"> PAGEREF _Toc459723335 \h </w:instrText>
        </w:r>
        <w:r w:rsidR="003F08E5">
          <w:rPr>
            <w:noProof/>
            <w:webHidden/>
          </w:rPr>
        </w:r>
        <w:r w:rsidR="003F08E5">
          <w:rPr>
            <w:noProof/>
            <w:webHidden/>
          </w:rPr>
          <w:fldChar w:fldCharType="separate"/>
        </w:r>
        <w:r w:rsidR="003F08E5">
          <w:rPr>
            <w:noProof/>
            <w:webHidden/>
          </w:rPr>
          <w:t>139</w:t>
        </w:r>
        <w:r w:rsidR="003F08E5">
          <w:rPr>
            <w:noProof/>
            <w:webHidden/>
          </w:rPr>
          <w:fldChar w:fldCharType="end"/>
        </w:r>
      </w:hyperlink>
    </w:p>
    <w:p w:rsidR="003F08E5" w:rsidRDefault="00990E2D">
      <w:pPr>
        <w:pStyle w:val="Obsah3"/>
        <w:rPr>
          <w:rFonts w:eastAsiaTheme="minorEastAsia"/>
          <w:noProof/>
          <w:lang w:eastAsia="cs-CZ"/>
        </w:rPr>
      </w:pPr>
      <w:hyperlink w:anchor="_Toc459723336" w:history="1">
        <w:r w:rsidR="003F08E5" w:rsidRPr="003A2E72">
          <w:rPr>
            <w:rStyle w:val="Hypertextovodkaz"/>
            <w:noProof/>
          </w:rPr>
          <w:t>5.3.3</w:t>
        </w:r>
        <w:r w:rsidR="003F08E5">
          <w:rPr>
            <w:rFonts w:eastAsiaTheme="minorEastAsia"/>
            <w:noProof/>
            <w:lang w:eastAsia="cs-CZ"/>
          </w:rPr>
          <w:tab/>
        </w:r>
        <w:r w:rsidR="003F08E5" w:rsidRPr="003A2E72">
          <w:rPr>
            <w:rStyle w:val="Hypertextovodkaz"/>
            <w:noProof/>
          </w:rPr>
          <w:t>Výzkumná pracoviště provádějící služby v oblasti zkušebnictví</w:t>
        </w:r>
        <w:r w:rsidR="003F08E5">
          <w:rPr>
            <w:noProof/>
            <w:webHidden/>
          </w:rPr>
          <w:tab/>
        </w:r>
        <w:r w:rsidR="003F08E5">
          <w:rPr>
            <w:noProof/>
            <w:webHidden/>
          </w:rPr>
          <w:fldChar w:fldCharType="begin"/>
        </w:r>
        <w:r w:rsidR="003F08E5">
          <w:rPr>
            <w:noProof/>
            <w:webHidden/>
          </w:rPr>
          <w:instrText xml:space="preserve"> PAGEREF _Toc459723336 \h </w:instrText>
        </w:r>
        <w:r w:rsidR="003F08E5">
          <w:rPr>
            <w:noProof/>
            <w:webHidden/>
          </w:rPr>
        </w:r>
        <w:r w:rsidR="003F08E5">
          <w:rPr>
            <w:noProof/>
            <w:webHidden/>
          </w:rPr>
          <w:fldChar w:fldCharType="separate"/>
        </w:r>
        <w:r w:rsidR="003F08E5">
          <w:rPr>
            <w:noProof/>
            <w:webHidden/>
          </w:rPr>
          <w:t>141</w:t>
        </w:r>
        <w:r w:rsidR="003F08E5">
          <w:rPr>
            <w:noProof/>
            <w:webHidden/>
          </w:rPr>
          <w:fldChar w:fldCharType="end"/>
        </w:r>
      </w:hyperlink>
    </w:p>
    <w:p w:rsidR="003F08E5" w:rsidRDefault="00990E2D">
      <w:pPr>
        <w:pStyle w:val="Obsah3"/>
        <w:rPr>
          <w:rFonts w:eastAsiaTheme="minorEastAsia"/>
          <w:noProof/>
          <w:lang w:eastAsia="cs-CZ"/>
        </w:rPr>
      </w:pPr>
      <w:hyperlink w:anchor="_Toc459723337" w:history="1">
        <w:r w:rsidR="003F08E5" w:rsidRPr="003A2E72">
          <w:rPr>
            <w:rStyle w:val="Hypertextovodkaz"/>
            <w:noProof/>
          </w:rPr>
          <w:t>5.3.4</w:t>
        </w:r>
        <w:r w:rsidR="003F08E5">
          <w:rPr>
            <w:rFonts w:eastAsiaTheme="minorEastAsia"/>
            <w:noProof/>
            <w:lang w:eastAsia="cs-CZ"/>
          </w:rPr>
          <w:tab/>
        </w:r>
        <w:r w:rsidR="003F08E5" w:rsidRPr="003A2E72">
          <w:rPr>
            <w:rStyle w:val="Hypertextovodkaz"/>
            <w:noProof/>
          </w:rPr>
          <w:t>Podniky provádějící služby v oblasti zkušebnictví</w:t>
        </w:r>
        <w:r w:rsidR="003F08E5">
          <w:rPr>
            <w:noProof/>
            <w:webHidden/>
          </w:rPr>
          <w:tab/>
        </w:r>
        <w:r w:rsidR="003F08E5">
          <w:rPr>
            <w:noProof/>
            <w:webHidden/>
          </w:rPr>
          <w:fldChar w:fldCharType="begin"/>
        </w:r>
        <w:r w:rsidR="003F08E5">
          <w:rPr>
            <w:noProof/>
            <w:webHidden/>
          </w:rPr>
          <w:instrText xml:space="preserve"> PAGEREF _Toc459723337 \h </w:instrText>
        </w:r>
        <w:r w:rsidR="003F08E5">
          <w:rPr>
            <w:noProof/>
            <w:webHidden/>
          </w:rPr>
        </w:r>
        <w:r w:rsidR="003F08E5">
          <w:rPr>
            <w:noProof/>
            <w:webHidden/>
          </w:rPr>
          <w:fldChar w:fldCharType="separate"/>
        </w:r>
        <w:r w:rsidR="003F08E5">
          <w:rPr>
            <w:noProof/>
            <w:webHidden/>
          </w:rPr>
          <w:t>142</w:t>
        </w:r>
        <w:r w:rsidR="003F08E5">
          <w:rPr>
            <w:noProof/>
            <w:webHidden/>
          </w:rPr>
          <w:fldChar w:fldCharType="end"/>
        </w:r>
      </w:hyperlink>
    </w:p>
    <w:p w:rsidR="003F08E5" w:rsidRDefault="00990E2D">
      <w:pPr>
        <w:pStyle w:val="Obsah3"/>
        <w:rPr>
          <w:rFonts w:eastAsiaTheme="minorEastAsia"/>
          <w:noProof/>
          <w:lang w:eastAsia="cs-CZ"/>
        </w:rPr>
      </w:pPr>
      <w:hyperlink w:anchor="_Toc459723338" w:history="1">
        <w:r w:rsidR="003F08E5" w:rsidRPr="003A2E72">
          <w:rPr>
            <w:rStyle w:val="Hypertextovodkaz"/>
            <w:noProof/>
          </w:rPr>
          <w:t>5.3.5</w:t>
        </w:r>
        <w:r w:rsidR="003F08E5">
          <w:rPr>
            <w:rFonts w:eastAsiaTheme="minorEastAsia"/>
            <w:noProof/>
            <w:lang w:eastAsia="cs-CZ"/>
          </w:rPr>
          <w:tab/>
        </w:r>
        <w:r w:rsidR="003F08E5" w:rsidRPr="003A2E72">
          <w:rPr>
            <w:rStyle w:val="Hypertextovodkaz"/>
            <w:noProof/>
          </w:rPr>
          <w:t>Využití specializovaných kapacit výzkumné a testovací infrastruktury</w:t>
        </w:r>
        <w:r w:rsidR="003F08E5">
          <w:rPr>
            <w:noProof/>
            <w:webHidden/>
          </w:rPr>
          <w:tab/>
        </w:r>
        <w:r w:rsidR="003F08E5">
          <w:rPr>
            <w:noProof/>
            <w:webHidden/>
          </w:rPr>
          <w:fldChar w:fldCharType="begin"/>
        </w:r>
        <w:r w:rsidR="003F08E5">
          <w:rPr>
            <w:noProof/>
            <w:webHidden/>
          </w:rPr>
          <w:instrText xml:space="preserve"> PAGEREF _Toc459723338 \h </w:instrText>
        </w:r>
        <w:r w:rsidR="003F08E5">
          <w:rPr>
            <w:noProof/>
            <w:webHidden/>
          </w:rPr>
        </w:r>
        <w:r w:rsidR="003F08E5">
          <w:rPr>
            <w:noProof/>
            <w:webHidden/>
          </w:rPr>
          <w:fldChar w:fldCharType="separate"/>
        </w:r>
        <w:r w:rsidR="003F08E5">
          <w:rPr>
            <w:noProof/>
            <w:webHidden/>
          </w:rPr>
          <w:t>144</w:t>
        </w:r>
        <w:r w:rsidR="003F08E5">
          <w:rPr>
            <w:noProof/>
            <w:webHidden/>
          </w:rPr>
          <w:fldChar w:fldCharType="end"/>
        </w:r>
      </w:hyperlink>
    </w:p>
    <w:p w:rsidR="003F08E5" w:rsidRDefault="00990E2D">
      <w:pPr>
        <w:pStyle w:val="Obsah1"/>
        <w:tabs>
          <w:tab w:val="left" w:pos="442"/>
          <w:tab w:val="right" w:leader="dot" w:pos="9204"/>
        </w:tabs>
        <w:rPr>
          <w:rFonts w:eastAsiaTheme="minorEastAsia"/>
          <w:b w:val="0"/>
          <w:noProof/>
          <w:lang w:eastAsia="cs-CZ"/>
        </w:rPr>
      </w:pPr>
      <w:hyperlink w:anchor="_Toc459723339" w:history="1">
        <w:r w:rsidR="003F08E5" w:rsidRPr="003A2E72">
          <w:rPr>
            <w:rStyle w:val="Hypertextovodkaz"/>
            <w:noProof/>
            <w:lang w:eastAsia="cs-CZ"/>
          </w:rPr>
          <w:t>6</w:t>
        </w:r>
        <w:r w:rsidR="003F08E5">
          <w:rPr>
            <w:rFonts w:eastAsiaTheme="minorEastAsia"/>
            <w:b w:val="0"/>
            <w:noProof/>
            <w:lang w:eastAsia="cs-CZ"/>
          </w:rPr>
          <w:tab/>
        </w:r>
        <w:r w:rsidR="003F08E5" w:rsidRPr="003A2E72">
          <w:rPr>
            <w:rStyle w:val="Hypertextovodkaz"/>
            <w:noProof/>
            <w:lang w:eastAsia="cs-CZ"/>
          </w:rPr>
          <w:t>Kompetence výzkumných organizací</w:t>
        </w:r>
        <w:r w:rsidR="003F08E5">
          <w:rPr>
            <w:noProof/>
            <w:webHidden/>
          </w:rPr>
          <w:tab/>
        </w:r>
        <w:r w:rsidR="003F08E5">
          <w:rPr>
            <w:noProof/>
            <w:webHidden/>
          </w:rPr>
          <w:fldChar w:fldCharType="begin"/>
        </w:r>
        <w:r w:rsidR="003F08E5">
          <w:rPr>
            <w:noProof/>
            <w:webHidden/>
          </w:rPr>
          <w:instrText xml:space="preserve"> PAGEREF _Toc459723339 \h </w:instrText>
        </w:r>
        <w:r w:rsidR="003F08E5">
          <w:rPr>
            <w:noProof/>
            <w:webHidden/>
          </w:rPr>
        </w:r>
        <w:r w:rsidR="003F08E5">
          <w:rPr>
            <w:noProof/>
            <w:webHidden/>
          </w:rPr>
          <w:fldChar w:fldCharType="separate"/>
        </w:r>
        <w:r w:rsidR="003F08E5">
          <w:rPr>
            <w:noProof/>
            <w:webHidden/>
          </w:rPr>
          <w:t>146</w:t>
        </w:r>
        <w:r w:rsidR="003F08E5">
          <w:rPr>
            <w:noProof/>
            <w:webHidden/>
          </w:rPr>
          <w:fldChar w:fldCharType="end"/>
        </w:r>
      </w:hyperlink>
    </w:p>
    <w:p w:rsidR="003F08E5" w:rsidRDefault="00990E2D">
      <w:pPr>
        <w:pStyle w:val="Obsah2"/>
        <w:tabs>
          <w:tab w:val="left" w:pos="880"/>
          <w:tab w:val="right" w:leader="dot" w:pos="9204"/>
        </w:tabs>
        <w:rPr>
          <w:rFonts w:eastAsiaTheme="minorEastAsia"/>
          <w:b w:val="0"/>
          <w:noProof/>
          <w:lang w:eastAsia="cs-CZ"/>
        </w:rPr>
      </w:pPr>
      <w:hyperlink w:anchor="_Toc459723340" w:history="1">
        <w:r w:rsidR="003F08E5" w:rsidRPr="003A2E72">
          <w:rPr>
            <w:rStyle w:val="Hypertextovodkaz"/>
            <w:noProof/>
          </w:rPr>
          <w:t>6.1</w:t>
        </w:r>
        <w:r w:rsidR="003F08E5">
          <w:rPr>
            <w:rFonts w:eastAsiaTheme="minorEastAsia"/>
            <w:b w:val="0"/>
            <w:noProof/>
            <w:lang w:eastAsia="cs-CZ"/>
          </w:rPr>
          <w:tab/>
        </w:r>
        <w:r w:rsidR="003F08E5" w:rsidRPr="003A2E72">
          <w:rPr>
            <w:rStyle w:val="Hypertextovodkaz"/>
            <w:noProof/>
          </w:rPr>
          <w:t>Transfer znalostí</w:t>
        </w:r>
        <w:r w:rsidR="003F08E5">
          <w:rPr>
            <w:noProof/>
            <w:webHidden/>
          </w:rPr>
          <w:tab/>
        </w:r>
        <w:r w:rsidR="003F08E5">
          <w:rPr>
            <w:noProof/>
            <w:webHidden/>
          </w:rPr>
          <w:fldChar w:fldCharType="begin"/>
        </w:r>
        <w:r w:rsidR="003F08E5">
          <w:rPr>
            <w:noProof/>
            <w:webHidden/>
          </w:rPr>
          <w:instrText xml:space="preserve"> PAGEREF _Toc459723340 \h </w:instrText>
        </w:r>
        <w:r w:rsidR="003F08E5">
          <w:rPr>
            <w:noProof/>
            <w:webHidden/>
          </w:rPr>
        </w:r>
        <w:r w:rsidR="003F08E5">
          <w:rPr>
            <w:noProof/>
            <w:webHidden/>
          </w:rPr>
          <w:fldChar w:fldCharType="separate"/>
        </w:r>
        <w:r w:rsidR="003F08E5">
          <w:rPr>
            <w:noProof/>
            <w:webHidden/>
          </w:rPr>
          <w:t>146</w:t>
        </w:r>
        <w:r w:rsidR="003F08E5">
          <w:rPr>
            <w:noProof/>
            <w:webHidden/>
          </w:rPr>
          <w:fldChar w:fldCharType="end"/>
        </w:r>
      </w:hyperlink>
    </w:p>
    <w:p w:rsidR="003F08E5" w:rsidRDefault="00990E2D">
      <w:pPr>
        <w:pStyle w:val="Obsah2"/>
        <w:tabs>
          <w:tab w:val="left" w:pos="880"/>
          <w:tab w:val="right" w:leader="dot" w:pos="9204"/>
        </w:tabs>
        <w:rPr>
          <w:rFonts w:eastAsiaTheme="minorEastAsia"/>
          <w:b w:val="0"/>
          <w:noProof/>
          <w:lang w:eastAsia="cs-CZ"/>
        </w:rPr>
      </w:pPr>
      <w:hyperlink w:anchor="_Toc459723341" w:history="1">
        <w:r w:rsidR="003F08E5" w:rsidRPr="003A2E72">
          <w:rPr>
            <w:rStyle w:val="Hypertextovodkaz"/>
            <w:noProof/>
          </w:rPr>
          <w:t>6.2</w:t>
        </w:r>
        <w:r w:rsidR="003F08E5">
          <w:rPr>
            <w:rFonts w:eastAsiaTheme="minorEastAsia"/>
            <w:b w:val="0"/>
            <w:noProof/>
            <w:lang w:eastAsia="cs-CZ"/>
          </w:rPr>
          <w:tab/>
        </w:r>
        <w:r w:rsidR="003F08E5" w:rsidRPr="003A2E72">
          <w:rPr>
            <w:rStyle w:val="Hypertextovodkaz"/>
            <w:noProof/>
          </w:rPr>
          <w:t>Využití systému podpory bezpečnostního výzkumu</w:t>
        </w:r>
        <w:r w:rsidR="003F08E5">
          <w:rPr>
            <w:noProof/>
            <w:webHidden/>
          </w:rPr>
          <w:tab/>
        </w:r>
        <w:r w:rsidR="003F08E5">
          <w:rPr>
            <w:noProof/>
            <w:webHidden/>
          </w:rPr>
          <w:fldChar w:fldCharType="begin"/>
        </w:r>
        <w:r w:rsidR="003F08E5">
          <w:rPr>
            <w:noProof/>
            <w:webHidden/>
          </w:rPr>
          <w:instrText xml:space="preserve"> PAGEREF _Toc459723341 \h </w:instrText>
        </w:r>
        <w:r w:rsidR="003F08E5">
          <w:rPr>
            <w:noProof/>
            <w:webHidden/>
          </w:rPr>
        </w:r>
        <w:r w:rsidR="003F08E5">
          <w:rPr>
            <w:noProof/>
            <w:webHidden/>
          </w:rPr>
          <w:fldChar w:fldCharType="separate"/>
        </w:r>
        <w:r w:rsidR="003F08E5">
          <w:rPr>
            <w:noProof/>
            <w:webHidden/>
          </w:rPr>
          <w:t>148</w:t>
        </w:r>
        <w:r w:rsidR="003F08E5">
          <w:rPr>
            <w:noProof/>
            <w:webHidden/>
          </w:rPr>
          <w:fldChar w:fldCharType="end"/>
        </w:r>
      </w:hyperlink>
    </w:p>
    <w:p w:rsidR="003F08E5" w:rsidRDefault="00990E2D">
      <w:pPr>
        <w:pStyle w:val="Obsah3"/>
        <w:rPr>
          <w:rFonts w:eastAsiaTheme="minorEastAsia"/>
          <w:noProof/>
          <w:lang w:eastAsia="cs-CZ"/>
        </w:rPr>
      </w:pPr>
      <w:hyperlink w:anchor="_Toc459723342" w:history="1">
        <w:r w:rsidR="003F08E5" w:rsidRPr="003A2E72">
          <w:rPr>
            <w:rStyle w:val="Hypertextovodkaz"/>
            <w:noProof/>
          </w:rPr>
          <w:t>6.2.1</w:t>
        </w:r>
        <w:r w:rsidR="003F08E5">
          <w:rPr>
            <w:rFonts w:eastAsiaTheme="minorEastAsia"/>
            <w:noProof/>
            <w:lang w:eastAsia="cs-CZ"/>
          </w:rPr>
          <w:tab/>
        </w:r>
        <w:r w:rsidR="003F08E5" w:rsidRPr="003A2E72">
          <w:rPr>
            <w:rStyle w:val="Hypertextovodkaz"/>
            <w:noProof/>
          </w:rPr>
          <w:t>Zjištění z dotazníkového šetření mezi výzkumníky</w:t>
        </w:r>
        <w:r w:rsidR="003F08E5">
          <w:rPr>
            <w:noProof/>
            <w:webHidden/>
          </w:rPr>
          <w:tab/>
        </w:r>
        <w:r w:rsidR="003F08E5">
          <w:rPr>
            <w:noProof/>
            <w:webHidden/>
          </w:rPr>
          <w:fldChar w:fldCharType="begin"/>
        </w:r>
        <w:r w:rsidR="003F08E5">
          <w:rPr>
            <w:noProof/>
            <w:webHidden/>
          </w:rPr>
          <w:instrText xml:space="preserve"> PAGEREF _Toc459723342 \h </w:instrText>
        </w:r>
        <w:r w:rsidR="003F08E5">
          <w:rPr>
            <w:noProof/>
            <w:webHidden/>
          </w:rPr>
        </w:r>
        <w:r w:rsidR="003F08E5">
          <w:rPr>
            <w:noProof/>
            <w:webHidden/>
          </w:rPr>
          <w:fldChar w:fldCharType="separate"/>
        </w:r>
        <w:r w:rsidR="003F08E5">
          <w:rPr>
            <w:noProof/>
            <w:webHidden/>
          </w:rPr>
          <w:t>148</w:t>
        </w:r>
        <w:r w:rsidR="003F08E5">
          <w:rPr>
            <w:noProof/>
            <w:webHidden/>
          </w:rPr>
          <w:fldChar w:fldCharType="end"/>
        </w:r>
      </w:hyperlink>
    </w:p>
    <w:p w:rsidR="003F08E5" w:rsidRDefault="00990E2D">
      <w:pPr>
        <w:pStyle w:val="Obsah3"/>
        <w:rPr>
          <w:rFonts w:eastAsiaTheme="minorEastAsia"/>
          <w:noProof/>
          <w:lang w:eastAsia="cs-CZ"/>
        </w:rPr>
      </w:pPr>
      <w:hyperlink w:anchor="_Toc459723343" w:history="1">
        <w:r w:rsidR="003F08E5" w:rsidRPr="003A2E72">
          <w:rPr>
            <w:rStyle w:val="Hypertextovodkaz"/>
            <w:noProof/>
          </w:rPr>
          <w:t>6.2.2</w:t>
        </w:r>
        <w:r w:rsidR="003F08E5">
          <w:rPr>
            <w:rFonts w:eastAsiaTheme="minorEastAsia"/>
            <w:noProof/>
            <w:lang w:eastAsia="cs-CZ"/>
          </w:rPr>
          <w:tab/>
        </w:r>
        <w:r w:rsidR="003F08E5" w:rsidRPr="003A2E72">
          <w:rPr>
            <w:rStyle w:val="Hypertextovodkaz"/>
            <w:noProof/>
          </w:rPr>
          <w:t>Zjištění z expertního workshopu</w:t>
        </w:r>
        <w:r w:rsidR="003F08E5">
          <w:rPr>
            <w:noProof/>
            <w:webHidden/>
          </w:rPr>
          <w:tab/>
        </w:r>
        <w:r w:rsidR="003F08E5">
          <w:rPr>
            <w:noProof/>
            <w:webHidden/>
          </w:rPr>
          <w:fldChar w:fldCharType="begin"/>
        </w:r>
        <w:r w:rsidR="003F08E5">
          <w:rPr>
            <w:noProof/>
            <w:webHidden/>
          </w:rPr>
          <w:instrText xml:space="preserve"> PAGEREF _Toc459723343 \h </w:instrText>
        </w:r>
        <w:r w:rsidR="003F08E5">
          <w:rPr>
            <w:noProof/>
            <w:webHidden/>
          </w:rPr>
        </w:r>
        <w:r w:rsidR="003F08E5">
          <w:rPr>
            <w:noProof/>
            <w:webHidden/>
          </w:rPr>
          <w:fldChar w:fldCharType="separate"/>
        </w:r>
        <w:r w:rsidR="003F08E5">
          <w:rPr>
            <w:noProof/>
            <w:webHidden/>
          </w:rPr>
          <w:t>150</w:t>
        </w:r>
        <w:r w:rsidR="003F08E5">
          <w:rPr>
            <w:noProof/>
            <w:webHidden/>
          </w:rPr>
          <w:fldChar w:fldCharType="end"/>
        </w:r>
      </w:hyperlink>
    </w:p>
    <w:p w:rsidR="003F08E5" w:rsidRDefault="00990E2D">
      <w:pPr>
        <w:pStyle w:val="Obsah1"/>
        <w:tabs>
          <w:tab w:val="left" w:pos="442"/>
          <w:tab w:val="right" w:leader="dot" w:pos="9204"/>
        </w:tabs>
        <w:rPr>
          <w:rFonts w:eastAsiaTheme="minorEastAsia"/>
          <w:b w:val="0"/>
          <w:noProof/>
          <w:lang w:eastAsia="cs-CZ"/>
        </w:rPr>
      </w:pPr>
      <w:hyperlink w:anchor="_Toc459723344" w:history="1">
        <w:r w:rsidR="003F08E5" w:rsidRPr="003A2E72">
          <w:rPr>
            <w:rStyle w:val="Hypertextovodkaz"/>
            <w:noProof/>
            <w:lang w:eastAsia="cs-CZ"/>
          </w:rPr>
          <w:t>7</w:t>
        </w:r>
        <w:r w:rsidR="003F08E5">
          <w:rPr>
            <w:rFonts w:eastAsiaTheme="minorEastAsia"/>
            <w:b w:val="0"/>
            <w:noProof/>
            <w:lang w:eastAsia="cs-CZ"/>
          </w:rPr>
          <w:tab/>
        </w:r>
        <w:r w:rsidR="003F08E5" w:rsidRPr="003A2E72">
          <w:rPr>
            <w:rStyle w:val="Hypertextovodkaz"/>
            <w:noProof/>
          </w:rPr>
          <w:t>Přehledné</w:t>
        </w:r>
        <w:r w:rsidR="003F08E5" w:rsidRPr="003A2E72">
          <w:rPr>
            <w:rStyle w:val="Hypertextovodkaz"/>
            <w:noProof/>
            <w:lang w:eastAsia="cs-CZ"/>
          </w:rPr>
          <w:t xml:space="preserve"> shrnutí závěrů souhrnné výzkumné zprávy</w:t>
        </w:r>
        <w:r w:rsidR="003F08E5">
          <w:rPr>
            <w:noProof/>
            <w:webHidden/>
          </w:rPr>
          <w:tab/>
        </w:r>
        <w:r w:rsidR="003F08E5">
          <w:rPr>
            <w:noProof/>
            <w:webHidden/>
          </w:rPr>
          <w:fldChar w:fldCharType="begin"/>
        </w:r>
        <w:r w:rsidR="003F08E5">
          <w:rPr>
            <w:noProof/>
            <w:webHidden/>
          </w:rPr>
          <w:instrText xml:space="preserve"> PAGEREF _Toc459723344 \h </w:instrText>
        </w:r>
        <w:r w:rsidR="003F08E5">
          <w:rPr>
            <w:noProof/>
            <w:webHidden/>
          </w:rPr>
        </w:r>
        <w:r w:rsidR="003F08E5">
          <w:rPr>
            <w:noProof/>
            <w:webHidden/>
          </w:rPr>
          <w:fldChar w:fldCharType="separate"/>
        </w:r>
        <w:r w:rsidR="003F08E5">
          <w:rPr>
            <w:noProof/>
            <w:webHidden/>
          </w:rPr>
          <w:t>152</w:t>
        </w:r>
        <w:r w:rsidR="003F08E5">
          <w:rPr>
            <w:noProof/>
            <w:webHidden/>
          </w:rPr>
          <w:fldChar w:fldCharType="end"/>
        </w:r>
      </w:hyperlink>
    </w:p>
    <w:p w:rsidR="003F08E5" w:rsidRDefault="00990E2D">
      <w:pPr>
        <w:pStyle w:val="Obsah2"/>
        <w:tabs>
          <w:tab w:val="left" w:pos="880"/>
          <w:tab w:val="right" w:leader="dot" w:pos="9204"/>
        </w:tabs>
        <w:rPr>
          <w:rFonts w:eastAsiaTheme="minorEastAsia"/>
          <w:b w:val="0"/>
          <w:noProof/>
          <w:lang w:eastAsia="cs-CZ"/>
        </w:rPr>
      </w:pPr>
      <w:hyperlink w:anchor="_Toc459723345" w:history="1">
        <w:r w:rsidR="003F08E5" w:rsidRPr="003A2E72">
          <w:rPr>
            <w:rStyle w:val="Hypertextovodkaz"/>
            <w:noProof/>
          </w:rPr>
          <w:t>7.1</w:t>
        </w:r>
        <w:r w:rsidR="003F08E5">
          <w:rPr>
            <w:rFonts w:eastAsiaTheme="minorEastAsia"/>
            <w:b w:val="0"/>
            <w:noProof/>
            <w:lang w:eastAsia="cs-CZ"/>
          </w:rPr>
          <w:tab/>
        </w:r>
        <w:r w:rsidR="003F08E5" w:rsidRPr="003A2E72">
          <w:rPr>
            <w:rStyle w:val="Hypertextovodkaz"/>
            <w:noProof/>
          </w:rPr>
          <w:t>Podpora bezpečnostního výzkumu v ČR</w:t>
        </w:r>
        <w:r w:rsidR="003F08E5">
          <w:rPr>
            <w:noProof/>
            <w:webHidden/>
          </w:rPr>
          <w:tab/>
        </w:r>
        <w:r w:rsidR="003F08E5">
          <w:rPr>
            <w:noProof/>
            <w:webHidden/>
          </w:rPr>
          <w:fldChar w:fldCharType="begin"/>
        </w:r>
        <w:r w:rsidR="003F08E5">
          <w:rPr>
            <w:noProof/>
            <w:webHidden/>
          </w:rPr>
          <w:instrText xml:space="preserve"> PAGEREF _Toc459723345 \h </w:instrText>
        </w:r>
        <w:r w:rsidR="003F08E5">
          <w:rPr>
            <w:noProof/>
            <w:webHidden/>
          </w:rPr>
        </w:r>
        <w:r w:rsidR="003F08E5">
          <w:rPr>
            <w:noProof/>
            <w:webHidden/>
          </w:rPr>
          <w:fldChar w:fldCharType="separate"/>
        </w:r>
        <w:r w:rsidR="003F08E5">
          <w:rPr>
            <w:noProof/>
            <w:webHidden/>
          </w:rPr>
          <w:t>152</w:t>
        </w:r>
        <w:r w:rsidR="003F08E5">
          <w:rPr>
            <w:noProof/>
            <w:webHidden/>
          </w:rPr>
          <w:fldChar w:fldCharType="end"/>
        </w:r>
      </w:hyperlink>
    </w:p>
    <w:p w:rsidR="003F08E5" w:rsidRDefault="00990E2D">
      <w:pPr>
        <w:pStyle w:val="Obsah2"/>
        <w:tabs>
          <w:tab w:val="left" w:pos="880"/>
          <w:tab w:val="right" w:leader="dot" w:pos="9204"/>
        </w:tabs>
        <w:rPr>
          <w:rFonts w:eastAsiaTheme="minorEastAsia"/>
          <w:b w:val="0"/>
          <w:noProof/>
          <w:lang w:eastAsia="cs-CZ"/>
        </w:rPr>
      </w:pPr>
      <w:hyperlink w:anchor="_Toc459723346" w:history="1">
        <w:r w:rsidR="003F08E5" w:rsidRPr="003A2E72">
          <w:rPr>
            <w:rStyle w:val="Hypertextovodkaz"/>
            <w:noProof/>
          </w:rPr>
          <w:t>7.2</w:t>
        </w:r>
        <w:r w:rsidR="003F08E5">
          <w:rPr>
            <w:rFonts w:eastAsiaTheme="minorEastAsia"/>
            <w:b w:val="0"/>
            <w:noProof/>
            <w:lang w:eastAsia="cs-CZ"/>
          </w:rPr>
          <w:tab/>
        </w:r>
        <w:r w:rsidR="003F08E5" w:rsidRPr="003A2E72">
          <w:rPr>
            <w:rStyle w:val="Hypertextovodkaz"/>
            <w:noProof/>
          </w:rPr>
          <w:t>Výsledky bezpečnostního výzkumu</w:t>
        </w:r>
        <w:r w:rsidR="003F08E5">
          <w:rPr>
            <w:noProof/>
            <w:webHidden/>
          </w:rPr>
          <w:tab/>
        </w:r>
        <w:r w:rsidR="003F08E5">
          <w:rPr>
            <w:noProof/>
            <w:webHidden/>
          </w:rPr>
          <w:fldChar w:fldCharType="begin"/>
        </w:r>
        <w:r w:rsidR="003F08E5">
          <w:rPr>
            <w:noProof/>
            <w:webHidden/>
          </w:rPr>
          <w:instrText xml:space="preserve"> PAGEREF _Toc459723346 \h </w:instrText>
        </w:r>
        <w:r w:rsidR="003F08E5">
          <w:rPr>
            <w:noProof/>
            <w:webHidden/>
          </w:rPr>
        </w:r>
        <w:r w:rsidR="003F08E5">
          <w:rPr>
            <w:noProof/>
            <w:webHidden/>
          </w:rPr>
          <w:fldChar w:fldCharType="separate"/>
        </w:r>
        <w:r w:rsidR="003F08E5">
          <w:rPr>
            <w:noProof/>
            <w:webHidden/>
          </w:rPr>
          <w:t>155</w:t>
        </w:r>
        <w:r w:rsidR="003F08E5">
          <w:rPr>
            <w:noProof/>
            <w:webHidden/>
          </w:rPr>
          <w:fldChar w:fldCharType="end"/>
        </w:r>
      </w:hyperlink>
    </w:p>
    <w:p w:rsidR="003F08E5" w:rsidRDefault="00990E2D">
      <w:pPr>
        <w:pStyle w:val="Obsah2"/>
        <w:tabs>
          <w:tab w:val="left" w:pos="880"/>
          <w:tab w:val="right" w:leader="dot" w:pos="9204"/>
        </w:tabs>
        <w:rPr>
          <w:rFonts w:eastAsiaTheme="minorEastAsia"/>
          <w:b w:val="0"/>
          <w:noProof/>
          <w:lang w:eastAsia="cs-CZ"/>
        </w:rPr>
      </w:pPr>
      <w:hyperlink w:anchor="_Toc459723347" w:history="1">
        <w:r w:rsidR="003F08E5" w:rsidRPr="003A2E72">
          <w:rPr>
            <w:rStyle w:val="Hypertextovodkaz"/>
            <w:noProof/>
          </w:rPr>
          <w:t>7.3</w:t>
        </w:r>
        <w:r w:rsidR="003F08E5">
          <w:rPr>
            <w:rFonts w:eastAsiaTheme="minorEastAsia"/>
            <w:b w:val="0"/>
            <w:noProof/>
            <w:lang w:eastAsia="cs-CZ"/>
          </w:rPr>
          <w:tab/>
        </w:r>
        <w:r w:rsidR="003F08E5" w:rsidRPr="003A2E72">
          <w:rPr>
            <w:rStyle w:val="Hypertextovodkaz"/>
            <w:noProof/>
          </w:rPr>
          <w:t>Lidské zdroje pro bezpečnostní výzkum</w:t>
        </w:r>
        <w:r w:rsidR="003F08E5">
          <w:rPr>
            <w:noProof/>
            <w:webHidden/>
          </w:rPr>
          <w:tab/>
        </w:r>
        <w:r w:rsidR="003F08E5">
          <w:rPr>
            <w:noProof/>
            <w:webHidden/>
          </w:rPr>
          <w:fldChar w:fldCharType="begin"/>
        </w:r>
        <w:r w:rsidR="003F08E5">
          <w:rPr>
            <w:noProof/>
            <w:webHidden/>
          </w:rPr>
          <w:instrText xml:space="preserve"> PAGEREF _Toc459723347 \h </w:instrText>
        </w:r>
        <w:r w:rsidR="003F08E5">
          <w:rPr>
            <w:noProof/>
            <w:webHidden/>
          </w:rPr>
        </w:r>
        <w:r w:rsidR="003F08E5">
          <w:rPr>
            <w:noProof/>
            <w:webHidden/>
          </w:rPr>
          <w:fldChar w:fldCharType="separate"/>
        </w:r>
        <w:r w:rsidR="003F08E5">
          <w:rPr>
            <w:noProof/>
            <w:webHidden/>
          </w:rPr>
          <w:t>156</w:t>
        </w:r>
        <w:r w:rsidR="003F08E5">
          <w:rPr>
            <w:noProof/>
            <w:webHidden/>
          </w:rPr>
          <w:fldChar w:fldCharType="end"/>
        </w:r>
      </w:hyperlink>
    </w:p>
    <w:p w:rsidR="003F08E5" w:rsidRDefault="00990E2D">
      <w:pPr>
        <w:pStyle w:val="Obsah2"/>
        <w:tabs>
          <w:tab w:val="left" w:pos="880"/>
          <w:tab w:val="right" w:leader="dot" w:pos="9204"/>
        </w:tabs>
        <w:rPr>
          <w:rFonts w:eastAsiaTheme="minorEastAsia"/>
          <w:b w:val="0"/>
          <w:noProof/>
          <w:lang w:eastAsia="cs-CZ"/>
        </w:rPr>
      </w:pPr>
      <w:hyperlink w:anchor="_Toc459723348" w:history="1">
        <w:r w:rsidR="003F08E5" w:rsidRPr="003A2E72">
          <w:rPr>
            <w:rStyle w:val="Hypertextovodkaz"/>
            <w:noProof/>
          </w:rPr>
          <w:t>7.4</w:t>
        </w:r>
        <w:r w:rsidR="003F08E5">
          <w:rPr>
            <w:rFonts w:eastAsiaTheme="minorEastAsia"/>
            <w:b w:val="0"/>
            <w:noProof/>
            <w:lang w:eastAsia="cs-CZ"/>
          </w:rPr>
          <w:tab/>
        </w:r>
        <w:r w:rsidR="003F08E5" w:rsidRPr="003A2E72">
          <w:rPr>
            <w:rStyle w:val="Hypertextovodkaz"/>
            <w:noProof/>
          </w:rPr>
          <w:t>Využívání systému podpory bezpečnostního výzkumu  a kompetence výzkumných organizací pro transfer znalostí</w:t>
        </w:r>
        <w:r w:rsidR="003F08E5">
          <w:rPr>
            <w:noProof/>
            <w:webHidden/>
          </w:rPr>
          <w:tab/>
        </w:r>
        <w:r w:rsidR="003F08E5">
          <w:rPr>
            <w:noProof/>
            <w:webHidden/>
          </w:rPr>
          <w:fldChar w:fldCharType="begin"/>
        </w:r>
        <w:r w:rsidR="003F08E5">
          <w:rPr>
            <w:noProof/>
            <w:webHidden/>
          </w:rPr>
          <w:instrText xml:space="preserve"> PAGEREF _Toc459723348 \h </w:instrText>
        </w:r>
        <w:r w:rsidR="003F08E5">
          <w:rPr>
            <w:noProof/>
            <w:webHidden/>
          </w:rPr>
        </w:r>
        <w:r w:rsidR="003F08E5">
          <w:rPr>
            <w:noProof/>
            <w:webHidden/>
          </w:rPr>
          <w:fldChar w:fldCharType="separate"/>
        </w:r>
        <w:r w:rsidR="003F08E5">
          <w:rPr>
            <w:noProof/>
            <w:webHidden/>
          </w:rPr>
          <w:t>158</w:t>
        </w:r>
        <w:r w:rsidR="003F08E5">
          <w:rPr>
            <w:noProof/>
            <w:webHidden/>
          </w:rPr>
          <w:fldChar w:fldCharType="end"/>
        </w:r>
      </w:hyperlink>
    </w:p>
    <w:p w:rsidR="003F08E5" w:rsidRDefault="00990E2D">
      <w:pPr>
        <w:pStyle w:val="Obsah2"/>
        <w:tabs>
          <w:tab w:val="left" w:pos="880"/>
          <w:tab w:val="right" w:leader="dot" w:pos="9204"/>
        </w:tabs>
        <w:rPr>
          <w:rFonts w:eastAsiaTheme="minorEastAsia"/>
          <w:b w:val="0"/>
          <w:noProof/>
          <w:lang w:eastAsia="cs-CZ"/>
        </w:rPr>
      </w:pPr>
      <w:hyperlink w:anchor="_Toc459723349" w:history="1">
        <w:r w:rsidR="003F08E5" w:rsidRPr="003A2E72">
          <w:rPr>
            <w:rStyle w:val="Hypertextovodkaz"/>
            <w:noProof/>
          </w:rPr>
          <w:t>7.5</w:t>
        </w:r>
        <w:r w:rsidR="003F08E5">
          <w:rPr>
            <w:rFonts w:eastAsiaTheme="minorEastAsia"/>
            <w:b w:val="0"/>
            <w:noProof/>
            <w:lang w:eastAsia="cs-CZ"/>
          </w:rPr>
          <w:tab/>
        </w:r>
        <w:r w:rsidR="003F08E5" w:rsidRPr="003A2E72">
          <w:rPr>
            <w:rStyle w:val="Hypertextovodkaz"/>
            <w:noProof/>
          </w:rPr>
          <w:t>Mezinárodní spolupráce v bezpečnostně zaměřeném výzkumu</w:t>
        </w:r>
        <w:r w:rsidR="003F08E5">
          <w:rPr>
            <w:noProof/>
            <w:webHidden/>
          </w:rPr>
          <w:tab/>
        </w:r>
        <w:r w:rsidR="003F08E5">
          <w:rPr>
            <w:noProof/>
            <w:webHidden/>
          </w:rPr>
          <w:fldChar w:fldCharType="begin"/>
        </w:r>
        <w:r w:rsidR="003F08E5">
          <w:rPr>
            <w:noProof/>
            <w:webHidden/>
          </w:rPr>
          <w:instrText xml:space="preserve"> PAGEREF _Toc459723349 \h </w:instrText>
        </w:r>
        <w:r w:rsidR="003F08E5">
          <w:rPr>
            <w:noProof/>
            <w:webHidden/>
          </w:rPr>
        </w:r>
        <w:r w:rsidR="003F08E5">
          <w:rPr>
            <w:noProof/>
            <w:webHidden/>
          </w:rPr>
          <w:fldChar w:fldCharType="separate"/>
        </w:r>
        <w:r w:rsidR="003F08E5">
          <w:rPr>
            <w:noProof/>
            <w:webHidden/>
          </w:rPr>
          <w:t>160</w:t>
        </w:r>
        <w:r w:rsidR="003F08E5">
          <w:rPr>
            <w:noProof/>
            <w:webHidden/>
          </w:rPr>
          <w:fldChar w:fldCharType="end"/>
        </w:r>
      </w:hyperlink>
    </w:p>
    <w:p w:rsidR="003F08E5" w:rsidRDefault="00990E2D">
      <w:pPr>
        <w:pStyle w:val="Obsah2"/>
        <w:tabs>
          <w:tab w:val="left" w:pos="880"/>
          <w:tab w:val="right" w:leader="dot" w:pos="9204"/>
        </w:tabs>
        <w:rPr>
          <w:rFonts w:eastAsiaTheme="minorEastAsia"/>
          <w:b w:val="0"/>
          <w:noProof/>
          <w:lang w:eastAsia="cs-CZ"/>
        </w:rPr>
      </w:pPr>
      <w:hyperlink w:anchor="_Toc459723350" w:history="1">
        <w:r w:rsidR="003F08E5" w:rsidRPr="003A2E72">
          <w:rPr>
            <w:rStyle w:val="Hypertextovodkaz"/>
            <w:noProof/>
          </w:rPr>
          <w:t>7.6</w:t>
        </w:r>
        <w:r w:rsidR="003F08E5">
          <w:rPr>
            <w:rFonts w:eastAsiaTheme="minorEastAsia"/>
            <w:b w:val="0"/>
            <w:noProof/>
            <w:lang w:eastAsia="cs-CZ"/>
          </w:rPr>
          <w:tab/>
        </w:r>
        <w:r w:rsidR="003F08E5" w:rsidRPr="003A2E72">
          <w:rPr>
            <w:rStyle w:val="Hypertextovodkaz"/>
            <w:noProof/>
          </w:rPr>
          <w:t>Potenciál specializovaných kapacit výzkumných a zkušebních kapacit v ČR pro zapojení do bezpečnostního výzkumu</w:t>
        </w:r>
        <w:r w:rsidR="003F08E5">
          <w:rPr>
            <w:noProof/>
            <w:webHidden/>
          </w:rPr>
          <w:tab/>
        </w:r>
        <w:r w:rsidR="003F08E5">
          <w:rPr>
            <w:noProof/>
            <w:webHidden/>
          </w:rPr>
          <w:fldChar w:fldCharType="begin"/>
        </w:r>
        <w:r w:rsidR="003F08E5">
          <w:rPr>
            <w:noProof/>
            <w:webHidden/>
          </w:rPr>
          <w:instrText xml:space="preserve"> PAGEREF _Toc459723350 \h </w:instrText>
        </w:r>
        <w:r w:rsidR="003F08E5">
          <w:rPr>
            <w:noProof/>
            <w:webHidden/>
          </w:rPr>
        </w:r>
        <w:r w:rsidR="003F08E5">
          <w:rPr>
            <w:noProof/>
            <w:webHidden/>
          </w:rPr>
          <w:fldChar w:fldCharType="separate"/>
        </w:r>
        <w:r w:rsidR="003F08E5">
          <w:rPr>
            <w:noProof/>
            <w:webHidden/>
          </w:rPr>
          <w:t>162</w:t>
        </w:r>
        <w:r w:rsidR="003F08E5">
          <w:rPr>
            <w:noProof/>
            <w:webHidden/>
          </w:rPr>
          <w:fldChar w:fldCharType="end"/>
        </w:r>
      </w:hyperlink>
    </w:p>
    <w:p w:rsidR="003F08E5" w:rsidRDefault="00990E2D">
      <w:pPr>
        <w:pStyle w:val="Obsah1"/>
        <w:tabs>
          <w:tab w:val="left" w:pos="442"/>
          <w:tab w:val="right" w:leader="dot" w:pos="9204"/>
        </w:tabs>
        <w:rPr>
          <w:rFonts w:eastAsiaTheme="minorEastAsia"/>
          <w:b w:val="0"/>
          <w:noProof/>
          <w:lang w:eastAsia="cs-CZ"/>
        </w:rPr>
      </w:pPr>
      <w:hyperlink w:anchor="_Toc459723351" w:history="1">
        <w:r w:rsidR="003F08E5" w:rsidRPr="003A2E72">
          <w:rPr>
            <w:rStyle w:val="Hypertextovodkaz"/>
            <w:noProof/>
            <w:lang w:eastAsia="cs-CZ"/>
          </w:rPr>
          <w:t>8</w:t>
        </w:r>
        <w:r w:rsidR="003F08E5">
          <w:rPr>
            <w:rFonts w:eastAsiaTheme="minorEastAsia"/>
            <w:b w:val="0"/>
            <w:noProof/>
            <w:lang w:eastAsia="cs-CZ"/>
          </w:rPr>
          <w:tab/>
        </w:r>
        <w:r w:rsidR="003F08E5" w:rsidRPr="003A2E72">
          <w:rPr>
            <w:rStyle w:val="Hypertextovodkaz"/>
            <w:noProof/>
            <w:lang w:eastAsia="cs-CZ"/>
          </w:rPr>
          <w:t>Hlavní informační zdroje</w:t>
        </w:r>
        <w:r w:rsidR="003F08E5">
          <w:rPr>
            <w:noProof/>
            <w:webHidden/>
          </w:rPr>
          <w:tab/>
        </w:r>
        <w:r w:rsidR="003F08E5">
          <w:rPr>
            <w:noProof/>
            <w:webHidden/>
          </w:rPr>
          <w:fldChar w:fldCharType="begin"/>
        </w:r>
        <w:r w:rsidR="003F08E5">
          <w:rPr>
            <w:noProof/>
            <w:webHidden/>
          </w:rPr>
          <w:instrText xml:space="preserve"> PAGEREF _Toc459723351 \h </w:instrText>
        </w:r>
        <w:r w:rsidR="003F08E5">
          <w:rPr>
            <w:noProof/>
            <w:webHidden/>
          </w:rPr>
        </w:r>
        <w:r w:rsidR="003F08E5">
          <w:rPr>
            <w:noProof/>
            <w:webHidden/>
          </w:rPr>
          <w:fldChar w:fldCharType="separate"/>
        </w:r>
        <w:r w:rsidR="003F08E5">
          <w:rPr>
            <w:noProof/>
            <w:webHidden/>
          </w:rPr>
          <w:t>165</w:t>
        </w:r>
        <w:r w:rsidR="003F08E5">
          <w:rPr>
            <w:noProof/>
            <w:webHidden/>
          </w:rPr>
          <w:fldChar w:fldCharType="end"/>
        </w:r>
      </w:hyperlink>
    </w:p>
    <w:p w:rsidR="00D07982" w:rsidRDefault="00F00D5B">
      <w:pPr>
        <w:spacing w:before="0" w:after="200" w:line="276" w:lineRule="auto"/>
        <w:jc w:val="left"/>
      </w:pPr>
      <w:r>
        <w:rPr>
          <w:sz w:val="24"/>
        </w:rPr>
        <w:fldChar w:fldCharType="end"/>
      </w:r>
      <w:r w:rsidR="00D07982">
        <w:br w:type="page"/>
      </w:r>
    </w:p>
    <w:p w:rsidR="00D1019A" w:rsidRDefault="00D1019A" w:rsidP="0099712C">
      <w:pPr>
        <w:pStyle w:val="Nadpis1"/>
      </w:pPr>
      <w:bookmarkStart w:id="3" w:name="_Ref450557409"/>
      <w:bookmarkStart w:id="4" w:name="_Toc459723263"/>
      <w:r w:rsidRPr="00D1019A">
        <w:lastRenderedPageBreak/>
        <w:t>Úvod</w:t>
      </w:r>
      <w:bookmarkEnd w:id="3"/>
      <w:bookmarkEnd w:id="4"/>
    </w:p>
    <w:p w:rsidR="000432A3" w:rsidRDefault="001242DF" w:rsidP="001242DF">
      <w:bookmarkStart w:id="5" w:name="_Ref451693138"/>
      <w:r>
        <w:t xml:space="preserve">Současné prostředí bezpečnostního výzkumu v ČR představuje rozvětvený komplex bezpečnostních a záchranných sborů a dalších koncových uživatelů výsledků výzkumu, </w:t>
      </w:r>
      <w:r w:rsidR="003A5C2E">
        <w:t xml:space="preserve">podniků, </w:t>
      </w:r>
      <w:r>
        <w:t xml:space="preserve">výzkumných organizací, poskytovatelů veřejné podpory a tvůrců politik, v jehož centru se nachází Ministerstvo vnitra jakožto nositel klíčové řídící a koordinační role.  </w:t>
      </w:r>
      <w:r w:rsidR="007914BF">
        <w:t xml:space="preserve">Všichni tito aktéři se pohybují a spolupracují ve vysoce proměnlivé a do značné míry nepředvídatelné oblasti, jejíž dynamiku určuje na jedné straně překotný vývoj lokálních i globálních bezpečnostních hrozeb a na druhé straně rychlý vývoj nových vědních poznatků a technologií. Na strategické řízení </w:t>
      </w:r>
      <w:r w:rsidR="00740062">
        <w:t>systému bezpečnostního výzkumu a jeho podpory z veřejných zdrojů jsou tak kladeny vpravdě vysoké nároky.</w:t>
      </w:r>
    </w:p>
    <w:p w:rsidR="001242DF" w:rsidRDefault="001242DF" w:rsidP="001242DF">
      <w:r>
        <w:t xml:space="preserve">Cílem projektu Analytická podpora koncepčního rozvoje bezpečnostního výzkumu, v jehož rámci byla zpracována tato studie, je </w:t>
      </w:r>
      <w:r w:rsidR="00413FB9">
        <w:t xml:space="preserve">za pomoci analytických nástrojů a dat z období 2010-2015 zmapovat stávávající stav prostředí bezpečnostního výzkumu v České republice včetně jeho silných a slabých stránek a vytvořit tak fundované informační zázemí pro přípravu strategických dokumentů rozvoje systému </w:t>
      </w:r>
      <w:r w:rsidR="007914BF">
        <w:t xml:space="preserve">podpory </w:t>
      </w:r>
      <w:r w:rsidR="00413FB9">
        <w:t xml:space="preserve">bezpečnostního výzkumu pro období po roce 2017. </w:t>
      </w:r>
    </w:p>
    <w:p w:rsidR="00C133DF" w:rsidRDefault="00C133DF" w:rsidP="001242DF">
      <w:r>
        <w:t xml:space="preserve">Zadavatelem studie je </w:t>
      </w:r>
      <w:r w:rsidR="0066468F">
        <w:t>odbor</w:t>
      </w:r>
      <w:r>
        <w:t xml:space="preserve"> bezpečnostního výzkumu a policejního vzdělávání MV ČR, kter</w:t>
      </w:r>
      <w:r w:rsidR="008E5456">
        <w:t>ý</w:t>
      </w:r>
      <w:r>
        <w:t xml:space="preserve"> </w:t>
      </w:r>
      <w:r w:rsidR="0066468F" w:rsidRPr="0066468F">
        <w:t xml:space="preserve">v návaznosti na </w:t>
      </w:r>
      <w:r w:rsidR="0066468F" w:rsidRPr="00655D52">
        <w:t>Reform</w:t>
      </w:r>
      <w:r w:rsidR="0066468F">
        <w:t>u</w:t>
      </w:r>
      <w:r w:rsidR="0066468F" w:rsidRPr="00655D52">
        <w:t xml:space="preserve"> systému výzkumu, vývoje a inovací v</w:t>
      </w:r>
      <w:r w:rsidR="0066468F">
        <w:t> </w:t>
      </w:r>
      <w:r w:rsidR="0066468F" w:rsidRPr="00655D52">
        <w:t>Č</w:t>
      </w:r>
      <w:r w:rsidR="0066468F">
        <w:t xml:space="preserve">R </w:t>
      </w:r>
      <w:r w:rsidR="0066468F">
        <w:fldChar w:fldCharType="begin"/>
      </w:r>
      <w:r w:rsidR="0066468F">
        <w:instrText xml:space="preserve"> REF _Ref450222326 \r \h </w:instrText>
      </w:r>
      <w:r w:rsidR="0066468F">
        <w:fldChar w:fldCharType="separate"/>
      </w:r>
      <w:r w:rsidR="003F08E5">
        <w:t>[2]</w:t>
      </w:r>
      <w:r w:rsidR="0066468F">
        <w:fldChar w:fldCharType="end"/>
      </w:r>
      <w:r w:rsidR="0066468F" w:rsidRPr="0066468F">
        <w:t xml:space="preserve"> z roku 2008 podporuje a koordinuje bezpečnostní </w:t>
      </w:r>
      <w:r w:rsidR="0066468F">
        <w:t>výzkum a vývoj (</w:t>
      </w:r>
      <w:r w:rsidR="0066468F" w:rsidRPr="0066468F">
        <w:t>VaV</w:t>
      </w:r>
      <w:r w:rsidR="0066468F">
        <w:t>)</w:t>
      </w:r>
      <w:r w:rsidR="0066468F" w:rsidRPr="0066468F">
        <w:t xml:space="preserve"> v rámci své rozpočtové kapitoly</w:t>
      </w:r>
      <w:r w:rsidR="008E5456">
        <w:t>,</w:t>
      </w:r>
      <w:r w:rsidR="0066468F" w:rsidRPr="0066468F">
        <w:t xml:space="preserve"> a </w:t>
      </w:r>
      <w:r>
        <w:t xml:space="preserve">má </w:t>
      </w:r>
      <w:r w:rsidR="0066468F">
        <w:t xml:space="preserve">tak </w:t>
      </w:r>
      <w:r>
        <w:t xml:space="preserve">s koordinací systému bezpečnostního výzkumu na národní úrovni dlouholeté zkušenosti. Jeho požadavky na jednotlivé části studie byly proto </w:t>
      </w:r>
      <w:r w:rsidR="000432A3">
        <w:t xml:space="preserve">od samého počátku velmi přesně zacíleny na konkrétní témata a možné varianty jejich řešení. Pracovníci výše jmenovaného odboru rovněž svou informační podporou v průběhu řešení projektu významnou měrou přispěli k výsledné podobě této studie a dalších souvisejících materiálů. </w:t>
      </w:r>
    </w:p>
    <w:p w:rsidR="00740062" w:rsidRDefault="00740062" w:rsidP="00740062">
      <w:r>
        <w:t xml:space="preserve">Pro analytickou část projektu byly využity databáze Informační systém výzkumu, experimentálního vývoje a inovací (IS VaV), informační databáze o projektech evropských rámcových programů E-CORDA, publikační databáze Web of Science Thomson Routers (WoS) a patentová databáze EPO PATSTAT. </w:t>
      </w:r>
    </w:p>
    <w:p w:rsidR="00740062" w:rsidRDefault="00740062" w:rsidP="00740062">
      <w:r>
        <w:t xml:space="preserve">Součástí sběru informací bylo rovněž dotazníkové šetření, v jehož rámci byli osloveni vybraní řešitelé projektů bezpečnostního výzkumu v období 2010-2015 a zástupci dalších výzkumných organizací, které se již na bezpečnostním výzkumu podílejí nebo u nichž byl identifikován potenciál se do bezpečnostního výzkumu nějakým způsobem zapojit. </w:t>
      </w:r>
    </w:p>
    <w:p w:rsidR="00740062" w:rsidRDefault="00740062" w:rsidP="00740062">
      <w:r>
        <w:t>A v neposlední řadě se v materiálu odrážejí také poznatky práce patnáctičlenného expertního panelu organizované formou dvoufázového korespondenčního a prezenčního workshopu.</w:t>
      </w:r>
      <w:r w:rsidR="00347A3B">
        <w:t xml:space="preserve"> </w:t>
      </w:r>
      <w:r>
        <w:t>Autoři</w:t>
      </w:r>
      <w:r w:rsidR="00F927C4">
        <w:t xml:space="preserve"> zprávy</w:t>
      </w:r>
      <w:r>
        <w:t xml:space="preserve"> tímto velmi děkují všem zúčastněným respondentům a expertů</w:t>
      </w:r>
      <w:r w:rsidR="00F927C4">
        <w:t>m</w:t>
      </w:r>
      <w:r>
        <w:t xml:space="preserve"> </w:t>
      </w:r>
      <w:r w:rsidR="00F927C4">
        <w:t xml:space="preserve">a věří, že zde předkládaný materiál přinese užitek nejen zadavateli, ale i širokému spektru výzkumníků a uživatelů výsledků bezpečnostního výzkumu a jejich prostřednictvím nakonec i nejširší veřejnosti. </w:t>
      </w:r>
    </w:p>
    <w:p w:rsidR="00D1019A" w:rsidRDefault="0057397D" w:rsidP="0057397D">
      <w:pPr>
        <w:pStyle w:val="Nadpis1"/>
      </w:pPr>
      <w:bookmarkStart w:id="6" w:name="_Ref454358665"/>
      <w:bookmarkStart w:id="7" w:name="_Ref454359871"/>
      <w:bookmarkStart w:id="8" w:name="_Ref454359893"/>
      <w:bookmarkStart w:id="9" w:name="_Ref454359896"/>
      <w:bookmarkStart w:id="10" w:name="_Toc459723264"/>
      <w:r w:rsidRPr="0057397D">
        <w:t>Systém podpory bezpečnostního výzkumu</w:t>
      </w:r>
      <w:r w:rsidR="00362A64">
        <w:t xml:space="preserve"> v ČR</w:t>
      </w:r>
      <w:bookmarkEnd w:id="5"/>
      <w:bookmarkEnd w:id="6"/>
      <w:bookmarkEnd w:id="7"/>
      <w:bookmarkEnd w:id="8"/>
      <w:bookmarkEnd w:id="9"/>
      <w:bookmarkEnd w:id="10"/>
    </w:p>
    <w:p w:rsidR="00ED38DB" w:rsidRDefault="003A742D" w:rsidP="00E022BD">
      <w:r>
        <w:t>C</w:t>
      </w:r>
      <w:r w:rsidR="00E022BD">
        <w:t xml:space="preserve">ílem této kapitoly je poskytnout kvantitativní údaje o veřejné podpoře bezpečnostního výzkumu </w:t>
      </w:r>
      <w:r w:rsidR="00CC1B04">
        <w:t>(dále jen BV)</w:t>
      </w:r>
      <w:r>
        <w:t xml:space="preserve"> </w:t>
      </w:r>
      <w:r w:rsidR="00E022BD">
        <w:t>poskytované v letech 2010 až 2015</w:t>
      </w:r>
      <w:r>
        <w:t xml:space="preserve">. </w:t>
      </w:r>
      <w:r w:rsidR="009427C5">
        <w:t>V prvé části (kap.</w:t>
      </w:r>
      <w:r w:rsidR="007C31AF">
        <w:t xml:space="preserve"> </w:t>
      </w:r>
      <w:r w:rsidR="007C31AF">
        <w:fldChar w:fldCharType="begin"/>
      </w:r>
      <w:r w:rsidR="007C31AF">
        <w:instrText xml:space="preserve"> REF _Ref450057672 \r \h </w:instrText>
      </w:r>
      <w:r w:rsidR="007C31AF">
        <w:fldChar w:fldCharType="separate"/>
      </w:r>
      <w:r w:rsidR="003F08E5">
        <w:t>2.1</w:t>
      </w:r>
      <w:r w:rsidR="007C31AF">
        <w:fldChar w:fldCharType="end"/>
      </w:r>
      <w:r w:rsidR="009427C5">
        <w:t xml:space="preserve">) je nejprve stručně popsán systém podpory </w:t>
      </w:r>
      <w:r w:rsidR="00331C55">
        <w:t xml:space="preserve">a strategické zaměření </w:t>
      </w:r>
      <w:r w:rsidR="009427C5">
        <w:t>BV</w:t>
      </w:r>
      <w:r w:rsidR="00331C55">
        <w:t xml:space="preserve">. </w:t>
      </w:r>
      <w:r w:rsidR="00DA197A">
        <w:t>V</w:t>
      </w:r>
      <w:r w:rsidR="00331C55">
        <w:t> další kapitole (</w:t>
      </w:r>
      <w:r w:rsidR="00DA197A">
        <w:t xml:space="preserve">kap. </w:t>
      </w:r>
      <w:r w:rsidR="00DA197A">
        <w:fldChar w:fldCharType="begin"/>
      </w:r>
      <w:r w:rsidR="00DA197A">
        <w:instrText xml:space="preserve"> REF _Ref450057958 \r \h </w:instrText>
      </w:r>
      <w:r w:rsidR="00DA197A">
        <w:fldChar w:fldCharType="separate"/>
      </w:r>
      <w:r w:rsidR="003F08E5">
        <w:t>2.2</w:t>
      </w:r>
      <w:r w:rsidR="00DA197A">
        <w:fldChar w:fldCharType="end"/>
      </w:r>
      <w:r w:rsidR="00331C55">
        <w:t>)</w:t>
      </w:r>
      <w:r w:rsidR="00DA197A">
        <w:t xml:space="preserve"> je analyzována veřejná podpora poskytovaná </w:t>
      </w:r>
      <w:r w:rsidR="00331C55">
        <w:t xml:space="preserve">Ministerstvem vnitra ČR (dále jen MV) </w:t>
      </w:r>
      <w:r w:rsidR="00DA197A">
        <w:t>v letech 2010 až 2015</w:t>
      </w:r>
      <w:r w:rsidR="00ED38DB">
        <w:t xml:space="preserve"> (kap. </w:t>
      </w:r>
      <w:r w:rsidR="00ED38DB">
        <w:fldChar w:fldCharType="begin"/>
      </w:r>
      <w:r w:rsidR="00ED38DB">
        <w:instrText xml:space="preserve"> REF _Ref451692670 \r \h </w:instrText>
      </w:r>
      <w:r w:rsidR="00ED38DB">
        <w:fldChar w:fldCharType="separate"/>
      </w:r>
      <w:r w:rsidR="003F08E5">
        <w:t>2.2.1</w:t>
      </w:r>
      <w:r w:rsidR="00ED38DB">
        <w:fldChar w:fldCharType="end"/>
      </w:r>
      <w:r w:rsidR="00ED38DB">
        <w:t>)</w:t>
      </w:r>
      <w:r w:rsidR="00DA197A">
        <w:t xml:space="preserve">. Nejprve je stručně charakterizována institucionální podpora, kterou MV v tomto období poskytovalo </w:t>
      </w:r>
      <w:r w:rsidR="00E61C3C">
        <w:t xml:space="preserve">výzkumným organizacím (VO), </w:t>
      </w:r>
      <w:r w:rsidR="00E61C3C" w:rsidRPr="00C82566">
        <w:t>které se bezpečnostním výzkumem přednostně zabývají</w:t>
      </w:r>
      <w:r w:rsidR="00E61C3C">
        <w:t xml:space="preserve"> </w:t>
      </w:r>
      <w:r w:rsidR="00DA197A">
        <w:t xml:space="preserve">(kap. </w:t>
      </w:r>
      <w:r w:rsidR="00DA197A">
        <w:fldChar w:fldCharType="begin"/>
      </w:r>
      <w:r w:rsidR="00DA197A">
        <w:instrText xml:space="preserve"> REF _Ref450223233 \r \h </w:instrText>
      </w:r>
      <w:r w:rsidR="00DA197A">
        <w:fldChar w:fldCharType="separate"/>
      </w:r>
      <w:r w:rsidR="003F08E5">
        <w:t>2.2.1.1</w:t>
      </w:r>
      <w:r w:rsidR="00DA197A">
        <w:fldChar w:fldCharType="end"/>
      </w:r>
      <w:r w:rsidR="00DA197A">
        <w:t>)</w:t>
      </w:r>
      <w:r w:rsidR="00E61C3C">
        <w:t xml:space="preserve">. </w:t>
      </w:r>
      <w:r>
        <w:t xml:space="preserve">Hlavní pozornost je věnována programům účelové podpory </w:t>
      </w:r>
      <w:r w:rsidR="00331C55">
        <w:t>implementovaných</w:t>
      </w:r>
      <w:r>
        <w:t xml:space="preserve"> MV</w:t>
      </w:r>
      <w:r w:rsidR="00E022BD">
        <w:t xml:space="preserve">, </w:t>
      </w:r>
      <w:r>
        <w:t>které v</w:t>
      </w:r>
      <w:r w:rsidR="00DA197A">
        <w:t> období</w:t>
      </w:r>
      <w:r>
        <w:t xml:space="preserve"> </w:t>
      </w:r>
      <w:r w:rsidR="00E61C3C">
        <w:t xml:space="preserve">2010 </w:t>
      </w:r>
      <w:r w:rsidR="00331C55">
        <w:t>až</w:t>
      </w:r>
      <w:r w:rsidR="00E61C3C">
        <w:t xml:space="preserve"> 2015 </w:t>
      </w:r>
      <w:r>
        <w:t xml:space="preserve">tvořily nejvýznamnější zdroj </w:t>
      </w:r>
      <w:r w:rsidR="009427C5">
        <w:t>veřejných prostředků pro BV</w:t>
      </w:r>
      <w:r w:rsidR="00DA197A">
        <w:t xml:space="preserve"> </w:t>
      </w:r>
      <w:r w:rsidR="00E61C3C">
        <w:t>(</w:t>
      </w:r>
      <w:r w:rsidR="00E61C3C">
        <w:fldChar w:fldCharType="begin"/>
      </w:r>
      <w:r w:rsidR="00E61C3C">
        <w:instrText xml:space="preserve"> REF _Ref450223528 \r \h </w:instrText>
      </w:r>
      <w:r w:rsidR="00E61C3C">
        <w:fldChar w:fldCharType="separate"/>
      </w:r>
      <w:r w:rsidR="003F08E5">
        <w:t>2.2.1.2</w:t>
      </w:r>
      <w:r w:rsidR="00E61C3C">
        <w:fldChar w:fldCharType="end"/>
      </w:r>
      <w:r w:rsidR="00E61C3C">
        <w:t>)</w:t>
      </w:r>
      <w:r w:rsidR="009427C5">
        <w:t>.</w:t>
      </w:r>
      <w:r w:rsidR="0028075A">
        <w:t xml:space="preserve"> </w:t>
      </w:r>
      <w:r w:rsidR="00ED38DB">
        <w:t>Přehled institucí, které získávaly veřejnou podporu z uvedených programů MV</w:t>
      </w:r>
      <w:r w:rsidR="00D523CB">
        <w:t>,</w:t>
      </w:r>
      <w:r w:rsidR="00FB2FB0">
        <w:t xml:space="preserve"> </w:t>
      </w:r>
      <w:r w:rsidR="00ED38DB">
        <w:t xml:space="preserve">je podán v kapitole </w:t>
      </w:r>
      <w:r w:rsidR="00ED38DB">
        <w:fldChar w:fldCharType="begin"/>
      </w:r>
      <w:r w:rsidR="00ED38DB">
        <w:instrText xml:space="preserve"> REF _Ref451692618 \r \h </w:instrText>
      </w:r>
      <w:r w:rsidR="00ED38DB">
        <w:fldChar w:fldCharType="separate"/>
      </w:r>
      <w:r w:rsidR="003F08E5">
        <w:t>2.2.2</w:t>
      </w:r>
      <w:r w:rsidR="00ED38DB">
        <w:fldChar w:fldCharType="end"/>
      </w:r>
      <w:r w:rsidR="00ED38DB">
        <w:t xml:space="preserve">. Detailnější pozornost </w:t>
      </w:r>
      <w:r w:rsidR="00ED38DB">
        <w:lastRenderedPageBreak/>
        <w:t xml:space="preserve">byla věnována řešitelským organizacím, které jsou organizačními složkami MV, případně jsou podporovány z rozpočtové kapitoly MV. </w:t>
      </w:r>
    </w:p>
    <w:p w:rsidR="00ED38DB" w:rsidRDefault="00ED38DB" w:rsidP="00E022BD">
      <w:r>
        <w:t xml:space="preserve">V kap. </w:t>
      </w:r>
      <w:r>
        <w:fldChar w:fldCharType="begin"/>
      </w:r>
      <w:r>
        <w:instrText xml:space="preserve"> REF _Ref451522783 \r \h </w:instrText>
      </w:r>
      <w:r>
        <w:fldChar w:fldCharType="separate"/>
      </w:r>
      <w:r w:rsidR="003F08E5">
        <w:t>2.2.3</w:t>
      </w:r>
      <w:r>
        <w:fldChar w:fldCharType="end"/>
      </w:r>
      <w:r>
        <w:t xml:space="preserve"> jsou uvedeny informace o účasti MV </w:t>
      </w:r>
      <w:r w:rsidR="005C471B">
        <w:t>v</w:t>
      </w:r>
      <w:r w:rsidR="005C471B" w:rsidRPr="005C471B">
        <w:t xml:space="preserve"> programu veřejných zakázek ve výzkumu, experimentálním vývoji a inovacích pro potřeby státní správy BETA Technologické agentury Č</w:t>
      </w:r>
      <w:r w:rsidR="00331C55">
        <w:t>eské republiky</w:t>
      </w:r>
      <w:r w:rsidR="005C471B" w:rsidRPr="005C471B">
        <w:t xml:space="preserve"> (TA ČR)</w:t>
      </w:r>
      <w:r w:rsidR="005C471B">
        <w:t>.</w:t>
      </w:r>
      <w:r>
        <w:t xml:space="preserve"> </w:t>
      </w:r>
      <w:r w:rsidR="0028075A">
        <w:t xml:space="preserve">V souladu se zadáním jsou v další části </w:t>
      </w:r>
      <w:r>
        <w:t xml:space="preserve">této kapitoly </w:t>
      </w:r>
      <w:r w:rsidR="0028075A">
        <w:t xml:space="preserve">(kap. </w:t>
      </w:r>
      <w:r w:rsidR="0028075A">
        <w:fldChar w:fldCharType="begin"/>
      </w:r>
      <w:r w:rsidR="0028075A">
        <w:instrText xml:space="preserve"> REF _Ref450058157 \r \h </w:instrText>
      </w:r>
      <w:r w:rsidR="0028075A">
        <w:fldChar w:fldCharType="separate"/>
      </w:r>
      <w:r w:rsidR="003F08E5">
        <w:t>2.3</w:t>
      </w:r>
      <w:r w:rsidR="0028075A">
        <w:fldChar w:fldCharType="end"/>
      </w:r>
      <w:r w:rsidR="0028075A">
        <w:t xml:space="preserve">) </w:t>
      </w:r>
      <w:r>
        <w:t xml:space="preserve">také </w:t>
      </w:r>
      <w:r w:rsidR="0028075A">
        <w:t xml:space="preserve">analyzovány překryvy a styčné plochy </w:t>
      </w:r>
      <w:r w:rsidR="0028075A" w:rsidRPr="0028075A">
        <w:t>mezi systémem podpory bezpečnostního výzkumu MV a ostatními mechanismy podpory</w:t>
      </w:r>
      <w:r w:rsidR="0028075A">
        <w:t xml:space="preserve">. </w:t>
      </w:r>
      <w:r w:rsidR="00CC1B04">
        <w:t xml:space="preserve">Nejvýznamnějším </w:t>
      </w:r>
      <w:r w:rsidR="00E022BD">
        <w:t xml:space="preserve">zdrojem </w:t>
      </w:r>
      <w:r>
        <w:t xml:space="preserve">pro tuto analýzu </w:t>
      </w:r>
      <w:r w:rsidR="00CC1B04">
        <w:t xml:space="preserve">byl </w:t>
      </w:r>
      <w:r w:rsidR="00CC1B04" w:rsidRPr="00CC1B04">
        <w:t>Informační systém výzkumu, experimentálního vývoje a inovací</w:t>
      </w:r>
      <w:r w:rsidR="00CC1B04">
        <w:t xml:space="preserve"> (dále jen IS VaVaI) </w:t>
      </w:r>
      <w:r w:rsidR="00CC1B04">
        <w:fldChar w:fldCharType="begin"/>
      </w:r>
      <w:r w:rsidR="00CC1B04">
        <w:instrText xml:space="preserve"> REF _Ref450056553 \r \h </w:instrText>
      </w:r>
      <w:r w:rsidR="00CC1B04">
        <w:fldChar w:fldCharType="separate"/>
      </w:r>
      <w:r w:rsidR="003F08E5">
        <w:t>[10]</w:t>
      </w:r>
      <w:r w:rsidR="00CC1B04">
        <w:fldChar w:fldCharType="end"/>
      </w:r>
      <w:r w:rsidR="00E022BD">
        <w:t xml:space="preserve">, </w:t>
      </w:r>
      <w:r w:rsidR="00CC1B04">
        <w:t xml:space="preserve">ze </w:t>
      </w:r>
      <w:r w:rsidR="00E022BD">
        <w:t>kter</w:t>
      </w:r>
      <w:r w:rsidR="00CC1B04">
        <w:t xml:space="preserve">ého byly využity zejména </w:t>
      </w:r>
      <w:r w:rsidR="00E022BD">
        <w:t>údaje o programech</w:t>
      </w:r>
      <w:r w:rsidR="00CC1B04">
        <w:t xml:space="preserve"> účelové podpory VaV</w:t>
      </w:r>
      <w:r w:rsidR="00E022BD">
        <w:t xml:space="preserve">, </w:t>
      </w:r>
      <w:r w:rsidR="00CC1B04">
        <w:t xml:space="preserve">podpořených </w:t>
      </w:r>
      <w:r w:rsidR="00E022BD">
        <w:t>projektech, jejich financování a řešitelích.</w:t>
      </w:r>
      <w:r w:rsidR="00CC1B04">
        <w:t xml:space="preserve"> </w:t>
      </w:r>
    </w:p>
    <w:p w:rsidR="0057397D" w:rsidRDefault="00CC1B04" w:rsidP="00E022BD">
      <w:r>
        <w:t xml:space="preserve">V kapitole </w:t>
      </w:r>
      <w:r w:rsidR="003A5568">
        <w:fldChar w:fldCharType="begin"/>
      </w:r>
      <w:r w:rsidR="003A5568">
        <w:instrText xml:space="preserve"> REF _Ref454359871 \r \h </w:instrText>
      </w:r>
      <w:r w:rsidR="003A5568">
        <w:fldChar w:fldCharType="separate"/>
      </w:r>
      <w:r w:rsidR="003F08E5">
        <w:t>2</w:t>
      </w:r>
      <w:r w:rsidR="003A5568">
        <w:fldChar w:fldCharType="end"/>
      </w:r>
      <w:r w:rsidR="00AF10D6">
        <w:t xml:space="preserve"> </w:t>
      </w:r>
      <w:r>
        <w:t xml:space="preserve">jsou uvedeny </w:t>
      </w:r>
      <w:r w:rsidR="00347A3B">
        <w:t xml:space="preserve">pouze </w:t>
      </w:r>
      <w:r w:rsidR="00362A64">
        <w:t xml:space="preserve">hlavní </w:t>
      </w:r>
      <w:r>
        <w:t xml:space="preserve">závěry analýzy </w:t>
      </w:r>
      <w:r w:rsidR="00AF10D6">
        <w:t xml:space="preserve">financování BV </w:t>
      </w:r>
      <w:r>
        <w:t xml:space="preserve">a tabulky obsahující nejdůležitější informace o </w:t>
      </w:r>
      <w:r w:rsidR="00AF10D6">
        <w:t>charakteru veřejné podpory BV je jejích uživatelích</w:t>
      </w:r>
      <w:r>
        <w:t xml:space="preserve">. Úplné tabulkové přehledy </w:t>
      </w:r>
      <w:r w:rsidR="003A742D">
        <w:t>podpořených projektů BV a subjektů, které byly do projektů zapojeny, jsou uvedeny v samostatné příloze (soubor</w:t>
      </w:r>
      <w:r w:rsidR="00725616">
        <w:rPr>
          <w:rStyle w:val="Znakapoznpodarou"/>
        </w:rPr>
        <w:footnoteReference w:id="1"/>
      </w:r>
      <w:r w:rsidR="004A0FBC">
        <w:t xml:space="preserve"> </w:t>
      </w:r>
      <w:r w:rsidR="004A0FBC" w:rsidRPr="001A61CA">
        <w:t>BV_</w:t>
      </w:r>
      <w:r w:rsidR="00E224CD">
        <w:t>zpráva</w:t>
      </w:r>
      <w:r w:rsidR="004A0FBC" w:rsidRPr="001A61CA">
        <w:t>_datová příloha</w:t>
      </w:r>
      <w:r w:rsidR="00725616" w:rsidRPr="001A61CA">
        <w:t>.xlsx</w:t>
      </w:r>
      <w:r w:rsidR="00725616">
        <w:t>)</w:t>
      </w:r>
      <w:r w:rsidR="009A3406">
        <w:t xml:space="preserve">. Odkazy na tyto přílohy jsou v textu uvedeny </w:t>
      </w:r>
      <w:r w:rsidR="009A3406" w:rsidRPr="009A3406">
        <w:rPr>
          <w:i/>
        </w:rPr>
        <w:t>kurzívou</w:t>
      </w:r>
      <w:r w:rsidR="009A3406">
        <w:t>.</w:t>
      </w:r>
      <w:r>
        <w:t xml:space="preserve"> </w:t>
      </w:r>
      <w:r w:rsidR="0028075A">
        <w:t xml:space="preserve">V přehledech nejsou uvedeny programy a veřejné zakázky ve výzkumu v gesci Ministerstva </w:t>
      </w:r>
      <w:r w:rsidR="00362A64">
        <w:t>o</w:t>
      </w:r>
      <w:r w:rsidR="0028075A">
        <w:t xml:space="preserve">brany </w:t>
      </w:r>
      <w:r w:rsidR="00362A64">
        <w:t xml:space="preserve">(programy OD, OF, OV a OW) </w:t>
      </w:r>
      <w:r w:rsidR="0028075A">
        <w:t>a BIS spadající do tohoto časového období (program BI</w:t>
      </w:r>
      <w:r w:rsidR="00362A64">
        <w:t>)</w:t>
      </w:r>
      <w:r w:rsidR="0028075A">
        <w:t>.</w:t>
      </w:r>
      <w:bookmarkStart w:id="11" w:name="_GoBack"/>
      <w:bookmarkEnd w:id="11"/>
    </w:p>
    <w:p w:rsidR="0057397D" w:rsidRDefault="00655D52" w:rsidP="00186429">
      <w:pPr>
        <w:pStyle w:val="Nadpis2"/>
      </w:pPr>
      <w:bookmarkStart w:id="12" w:name="_Ref450057559"/>
      <w:bookmarkStart w:id="13" w:name="_Ref450057561"/>
      <w:bookmarkStart w:id="14" w:name="_Ref450057672"/>
      <w:bookmarkStart w:id="15" w:name="_Toc459723265"/>
      <w:r>
        <w:t>Systém veřejné podpory bezpečnostního výzkumu</w:t>
      </w:r>
      <w:bookmarkEnd w:id="12"/>
      <w:bookmarkEnd w:id="13"/>
      <w:bookmarkEnd w:id="14"/>
      <w:r w:rsidRPr="00655D52">
        <w:t xml:space="preserve"> </w:t>
      </w:r>
      <w:r>
        <w:t>a její strategické zaměření</w:t>
      </w:r>
      <w:bookmarkEnd w:id="15"/>
    </w:p>
    <w:p w:rsidR="0066468F" w:rsidRDefault="00C82566" w:rsidP="005400A6">
      <w:r w:rsidRPr="00C82566">
        <w:t>Základním strategickým dokumentem pro rozvoj bezpečnostního výzkumu v Č</w:t>
      </w:r>
      <w:r w:rsidR="00655D52">
        <w:t>R</w:t>
      </w:r>
      <w:r w:rsidRPr="00C82566">
        <w:t xml:space="preserve"> v</w:t>
      </w:r>
      <w:r w:rsidR="0066468F">
        <w:t>e</w:t>
      </w:r>
      <w:r w:rsidRPr="00C82566">
        <w:t> </w:t>
      </w:r>
      <w:r w:rsidR="0066468F">
        <w:t xml:space="preserve">sledovaném </w:t>
      </w:r>
      <w:r w:rsidRPr="00C82566">
        <w:t xml:space="preserve">období byla Meziresortní koncepce bezpečnostního výzkumu a vývoj ČR do roku 2015 </w:t>
      </w:r>
      <w:r w:rsidR="00655D52">
        <w:fldChar w:fldCharType="begin"/>
      </w:r>
      <w:r w:rsidR="00655D52">
        <w:instrText xml:space="preserve"> REF _Ref450057705 \r \h </w:instrText>
      </w:r>
      <w:r w:rsidR="00655D52">
        <w:fldChar w:fldCharType="separate"/>
      </w:r>
      <w:r w:rsidR="003F08E5">
        <w:t>[1]</w:t>
      </w:r>
      <w:r w:rsidR="00655D52">
        <w:fldChar w:fldCharType="end"/>
      </w:r>
      <w:r w:rsidR="00655D52">
        <w:t xml:space="preserve"> </w:t>
      </w:r>
      <w:r w:rsidRPr="00C82566">
        <w:t xml:space="preserve">(Koncepce 2015), schválená Usnesením vlády České republiky ze dne 27. června 2008 č. 743 jako nástroj </w:t>
      </w:r>
      <w:r w:rsidR="00655D52" w:rsidRPr="00655D52">
        <w:t>Reform</w:t>
      </w:r>
      <w:r w:rsidR="0066468F">
        <w:t>y</w:t>
      </w:r>
      <w:r w:rsidR="00655D52" w:rsidRPr="00655D52">
        <w:t xml:space="preserve"> systému výzkumu, vývoje a inovací v Č</w:t>
      </w:r>
      <w:r w:rsidR="00655D52">
        <w:t xml:space="preserve">R </w:t>
      </w:r>
      <w:r w:rsidR="00655D52">
        <w:fldChar w:fldCharType="begin"/>
      </w:r>
      <w:r w:rsidR="00655D52">
        <w:instrText xml:space="preserve"> REF _Ref450222326 \r \h </w:instrText>
      </w:r>
      <w:r w:rsidR="00655D52">
        <w:fldChar w:fldCharType="separate"/>
      </w:r>
      <w:r w:rsidR="003F08E5">
        <w:t>[2]</w:t>
      </w:r>
      <w:r w:rsidR="00655D52">
        <w:fldChar w:fldCharType="end"/>
      </w:r>
      <w:r w:rsidR="0066468F">
        <w:t xml:space="preserve"> (Reforma)</w:t>
      </w:r>
      <w:r w:rsidRPr="00C82566">
        <w:t>.</w:t>
      </w:r>
      <w:r w:rsidR="0066468F">
        <w:t xml:space="preserve"> Cílem Reformy bylo </w:t>
      </w:r>
      <w:r w:rsidR="0066468F" w:rsidRPr="0066468F">
        <w:t>zlepš</w:t>
      </w:r>
      <w:r w:rsidR="0066468F">
        <w:t>it</w:t>
      </w:r>
      <w:r w:rsidR="0066468F" w:rsidRPr="0066468F">
        <w:t xml:space="preserve"> řízení systému VaV a </w:t>
      </w:r>
      <w:r w:rsidR="0066468F">
        <w:t>z</w:t>
      </w:r>
      <w:r w:rsidR="0066468F" w:rsidRPr="0066468F">
        <w:t>efektivn</w:t>
      </w:r>
      <w:r w:rsidR="0066468F">
        <w:t>it</w:t>
      </w:r>
      <w:r w:rsidR="0066468F" w:rsidRPr="0066468F">
        <w:t xml:space="preserve"> systém veřejné podpory </w:t>
      </w:r>
      <w:r w:rsidR="0066468F">
        <w:t>výzkumu, vývoje a inovací (</w:t>
      </w:r>
      <w:r w:rsidR="0066468F" w:rsidRPr="0066468F">
        <w:t>VaVaI</w:t>
      </w:r>
      <w:r w:rsidR="0066468F">
        <w:t xml:space="preserve">). </w:t>
      </w:r>
      <w:r w:rsidR="0066468F" w:rsidRPr="0066468F">
        <w:t xml:space="preserve">Reforma </w:t>
      </w:r>
      <w:r w:rsidR="00D8477B">
        <w:t xml:space="preserve">také </w:t>
      </w:r>
      <w:r w:rsidR="0066468F">
        <w:t xml:space="preserve">učinila </w:t>
      </w:r>
      <w:r w:rsidR="0066468F" w:rsidRPr="0066468F">
        <w:t>významný krok ke snížení fragmentace veřejné podpory VaVaI v</w:t>
      </w:r>
      <w:r w:rsidR="008E5456">
        <w:t> </w:t>
      </w:r>
      <w:r w:rsidR="0066468F" w:rsidRPr="0066468F">
        <w:t>ČR</w:t>
      </w:r>
      <w:r w:rsidR="008E5456">
        <w:t>.</w:t>
      </w:r>
      <w:r w:rsidR="0066468F">
        <w:t xml:space="preserve"> </w:t>
      </w:r>
      <w:r w:rsidR="00D8477B">
        <w:t>MV se v souladu s Reformou stalo poskytovatelem institucionální podpory i účelové podpory VaV.</w:t>
      </w:r>
    </w:p>
    <w:p w:rsidR="00C82566" w:rsidRDefault="00C82566" w:rsidP="005400A6">
      <w:r w:rsidRPr="00C82566">
        <w:t xml:space="preserve">Bezpečnostní výzkum představoval významnou oblast veřejné podpory již před </w:t>
      </w:r>
      <w:r w:rsidR="0066468F">
        <w:t>R</w:t>
      </w:r>
      <w:r w:rsidRPr="00C82566">
        <w:t>eformou, avšak byl roztříštěn mezi řadu poskytovatelů, což snižovalo jeho efektivitu. Koncepce 2015 přiřkla klíčovou řídící a koordinační roli Ministerstvu vnitra ČR, které tuto roli plní prostřednictvím oddělení bezpečnostního výzkumu v rámci Odboru bezpečnostního výzkumu a policejního vzdělávání MV ČR a struktury poradních orgánů zastupujících celé spektrum aktérů aktivních v systému podpory bezpečnostního výzkumu (</w:t>
      </w:r>
      <w:r w:rsidR="005400A6">
        <w:fldChar w:fldCharType="begin"/>
      </w:r>
      <w:r w:rsidR="005400A6">
        <w:instrText xml:space="preserve"> REF  _Ref451521450 \* Lower \h  \* MERGEFORMAT </w:instrText>
      </w:r>
      <w:r w:rsidR="005400A6">
        <w:fldChar w:fldCharType="separate"/>
      </w:r>
      <w:r w:rsidR="003F08E5">
        <w:t xml:space="preserve">obr. </w:t>
      </w:r>
      <w:r w:rsidR="003F08E5">
        <w:rPr>
          <w:noProof/>
        </w:rPr>
        <w:t>1</w:t>
      </w:r>
      <w:r w:rsidR="005400A6">
        <w:fldChar w:fldCharType="end"/>
      </w:r>
      <w:r w:rsidRPr="00C82566">
        <w:t xml:space="preserve">). </w:t>
      </w:r>
    </w:p>
    <w:p w:rsidR="00D8477B" w:rsidRPr="00C82566" w:rsidRDefault="00D8477B" w:rsidP="00D8477B">
      <w:r w:rsidRPr="00C82566">
        <w:t xml:space="preserve">Koncepce 2015 chápe </w:t>
      </w:r>
      <w:r>
        <w:t>b</w:t>
      </w:r>
      <w:r w:rsidRPr="00C82566">
        <w:t>ezpečnostní výzkum v souladu s definicí ESRAB (European Security Research Advisory Board</w:t>
      </w:r>
      <w:r w:rsidRPr="00C82566">
        <w:rPr>
          <w:lang w:val="en-US"/>
        </w:rPr>
        <w:t xml:space="preserve">; </w:t>
      </w:r>
      <w:r w:rsidRPr="00C82566">
        <w:t xml:space="preserve">„Meeting the challenge: the European Security Research Agenda“, ESRAB report, září 2006) </w:t>
      </w:r>
      <w:r>
        <w:fldChar w:fldCharType="begin"/>
      </w:r>
      <w:r>
        <w:instrText xml:space="preserve"> REF _Ref451705319 \r \h </w:instrText>
      </w:r>
      <w:r>
        <w:fldChar w:fldCharType="separate"/>
      </w:r>
      <w:r w:rsidR="003F08E5">
        <w:t>[3]</w:t>
      </w:r>
      <w:r>
        <w:fldChar w:fldCharType="end"/>
      </w:r>
      <w:r>
        <w:t xml:space="preserve"> </w:t>
      </w:r>
      <w:r w:rsidRPr="00C82566">
        <w:t>jako „… výzkumné aktivity, jejichž cílem je identifikace, prevence, příprava a ochrana proti nezákonným jednáním nebo jednáním úmyslně poškozujícím evropské společenství, lidské bytosti, organizace nebo struktury, hmotné i nehmotné statky a infrastruktury včetně zmírnění důsledků a operační kontinuity po takovém jednání (také aplikovatelné v případě přirozených nebo průmyslových pohrom).“</w:t>
      </w:r>
    </w:p>
    <w:p w:rsidR="00D8477B" w:rsidRPr="00C82566" w:rsidRDefault="00D8477B" w:rsidP="00D8477B">
      <w:r w:rsidRPr="00C82566">
        <w:t>Koncepce 2015 se zabývala rovněž stanovením priorit bezpečnostního výzkumu, které pokrývaly následující základní oblasti:</w:t>
      </w:r>
    </w:p>
    <w:p w:rsidR="00D8477B" w:rsidRPr="00C82566" w:rsidRDefault="00D8477B" w:rsidP="00D8477B">
      <w:pPr>
        <w:numPr>
          <w:ilvl w:val="0"/>
          <w:numId w:val="11"/>
        </w:numPr>
        <w:spacing w:before="60" w:after="60" w:line="276" w:lineRule="auto"/>
        <w:ind w:left="714" w:hanging="357"/>
        <w:jc w:val="left"/>
      </w:pPr>
      <w:r>
        <w:t>B</w:t>
      </w:r>
      <w:r w:rsidRPr="00C82566">
        <w:t>ezpečnost občanů</w:t>
      </w:r>
      <w:r w:rsidRPr="00C82566">
        <w:rPr>
          <w:lang w:val="en-US"/>
        </w:rPr>
        <w:t>;</w:t>
      </w:r>
    </w:p>
    <w:p w:rsidR="00D8477B" w:rsidRPr="00C82566" w:rsidRDefault="00D8477B" w:rsidP="00D8477B">
      <w:pPr>
        <w:numPr>
          <w:ilvl w:val="0"/>
          <w:numId w:val="11"/>
        </w:numPr>
        <w:spacing w:before="60" w:after="60" w:line="276" w:lineRule="auto"/>
        <w:ind w:left="714" w:hanging="357"/>
        <w:jc w:val="left"/>
      </w:pPr>
      <w:r>
        <w:t>B</w:t>
      </w:r>
      <w:r w:rsidRPr="00C82566">
        <w:t>ezpečnost kritických infrastruktur;</w:t>
      </w:r>
    </w:p>
    <w:p w:rsidR="00D8477B" w:rsidRPr="00C82566" w:rsidRDefault="00D8477B" w:rsidP="00D8477B">
      <w:pPr>
        <w:numPr>
          <w:ilvl w:val="0"/>
          <w:numId w:val="11"/>
        </w:numPr>
        <w:spacing w:before="60" w:after="60" w:line="276" w:lineRule="auto"/>
        <w:ind w:left="714" w:hanging="357"/>
        <w:jc w:val="left"/>
      </w:pPr>
      <w:r>
        <w:t>K</w:t>
      </w:r>
      <w:r w:rsidRPr="00C82566">
        <w:t>rizový management.</w:t>
      </w:r>
    </w:p>
    <w:p w:rsidR="00D8477B" w:rsidRPr="00C82566" w:rsidRDefault="00D8477B" w:rsidP="00D8477B">
      <w:r w:rsidRPr="00C82566">
        <w:t>Dále byly stanoveny priority podpůrné (průřezové) ve vztahu k prioritám základním:</w:t>
      </w:r>
    </w:p>
    <w:p w:rsidR="00D8477B" w:rsidRPr="00C82566" w:rsidRDefault="00D8477B" w:rsidP="00D8477B">
      <w:pPr>
        <w:numPr>
          <w:ilvl w:val="0"/>
          <w:numId w:val="11"/>
        </w:numPr>
        <w:spacing w:before="60" w:after="60" w:line="276" w:lineRule="auto"/>
        <w:ind w:left="714" w:hanging="357"/>
        <w:jc w:val="left"/>
      </w:pPr>
      <w:r>
        <w:t>P</w:t>
      </w:r>
      <w:r w:rsidRPr="00C82566">
        <w:t>redikce a scénáře;</w:t>
      </w:r>
    </w:p>
    <w:p w:rsidR="00D8477B" w:rsidRPr="00C82566" w:rsidRDefault="00D8477B" w:rsidP="00D8477B">
      <w:pPr>
        <w:numPr>
          <w:ilvl w:val="0"/>
          <w:numId w:val="11"/>
        </w:numPr>
        <w:spacing w:before="60" w:after="60" w:line="276" w:lineRule="auto"/>
        <w:ind w:left="714" w:hanging="357"/>
        <w:jc w:val="left"/>
      </w:pPr>
      <w:r>
        <w:lastRenderedPageBreak/>
        <w:t>Si</w:t>
      </w:r>
      <w:r w:rsidRPr="00C82566">
        <w:t>tuační připravenost (informovanost);</w:t>
      </w:r>
    </w:p>
    <w:p w:rsidR="00D8477B" w:rsidRPr="00C82566" w:rsidRDefault="00D8477B" w:rsidP="00D8477B">
      <w:pPr>
        <w:numPr>
          <w:ilvl w:val="0"/>
          <w:numId w:val="11"/>
        </w:numPr>
        <w:spacing w:before="60" w:after="60" w:line="276" w:lineRule="auto"/>
        <w:ind w:left="714" w:hanging="357"/>
        <w:jc w:val="left"/>
      </w:pPr>
      <w:r>
        <w:t>I</w:t>
      </w:r>
      <w:r w:rsidRPr="00C82566">
        <w:t>dentifikace lidí a prostředků;</w:t>
      </w:r>
    </w:p>
    <w:p w:rsidR="00D8477B" w:rsidRPr="00C82566" w:rsidRDefault="00D8477B" w:rsidP="00D8477B">
      <w:pPr>
        <w:numPr>
          <w:ilvl w:val="0"/>
          <w:numId w:val="11"/>
        </w:numPr>
        <w:spacing w:before="60" w:after="60" w:line="276" w:lineRule="auto"/>
        <w:ind w:left="714" w:hanging="357"/>
        <w:jc w:val="left"/>
      </w:pPr>
      <w:r>
        <w:t>I</w:t>
      </w:r>
      <w:r w:rsidRPr="00C82566">
        <w:t>novace;</w:t>
      </w:r>
    </w:p>
    <w:p w:rsidR="00D8477B" w:rsidRPr="00C82566" w:rsidRDefault="00D8477B" w:rsidP="00D8477B">
      <w:pPr>
        <w:numPr>
          <w:ilvl w:val="0"/>
          <w:numId w:val="11"/>
        </w:numPr>
        <w:spacing w:before="60" w:after="60" w:line="276" w:lineRule="auto"/>
        <w:ind w:left="714" w:hanging="357"/>
        <w:jc w:val="left"/>
      </w:pPr>
      <w:r>
        <w:t>K</w:t>
      </w:r>
      <w:r w:rsidRPr="00C82566">
        <w:t>oordinace bezpečnostní výzkumné strategie a implementace mezi EU a členskými státy a relevantními institucemi a organizacemi EU a NATO.</w:t>
      </w:r>
    </w:p>
    <w:p w:rsidR="005400A6" w:rsidRPr="00C82566" w:rsidRDefault="005400A6" w:rsidP="005400A6"/>
    <w:p w:rsidR="005400A6" w:rsidRDefault="00C82566" w:rsidP="005400A6">
      <w:pPr>
        <w:keepNext/>
        <w:spacing w:before="0" w:after="200" w:line="276" w:lineRule="auto"/>
        <w:jc w:val="left"/>
      </w:pPr>
      <w:r w:rsidRPr="00C82566">
        <w:rPr>
          <w:rFonts w:ascii="Calibri" w:eastAsia="Times New Roman" w:hAnsi="Calibri" w:cs="Times New Roman"/>
          <w:noProof/>
          <w:lang w:eastAsia="cs-CZ"/>
        </w:rPr>
        <w:drawing>
          <wp:inline distT="0" distB="0" distL="0" distR="0" wp14:anchorId="061A383C" wp14:editId="36EC0620">
            <wp:extent cx="5731510" cy="3543300"/>
            <wp:effectExtent l="19050" t="19050" r="21590" b="19050"/>
            <wp:docPr id="69" name="Obrázek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struktura poradních orgánů.jpg"/>
                    <pic:cNvPicPr/>
                  </pic:nvPicPr>
                  <pic:blipFill>
                    <a:blip r:embed="rId14">
                      <a:extLst>
                        <a:ext uri="{28A0092B-C50C-407E-A947-70E740481C1C}">
                          <a14:useLocalDpi xmlns:a14="http://schemas.microsoft.com/office/drawing/2010/main" val="0"/>
                        </a:ext>
                      </a:extLst>
                    </a:blip>
                    <a:stretch>
                      <a:fillRect/>
                    </a:stretch>
                  </pic:blipFill>
                  <pic:spPr>
                    <a:xfrm>
                      <a:off x="0" y="0"/>
                      <a:ext cx="5731510" cy="3543300"/>
                    </a:xfrm>
                    <a:prstGeom prst="rect">
                      <a:avLst/>
                    </a:prstGeom>
                    <a:ln>
                      <a:solidFill>
                        <a:sysClr val="window" lastClr="FFFFFF">
                          <a:lumMod val="75000"/>
                        </a:sysClr>
                      </a:solidFill>
                    </a:ln>
                  </pic:spPr>
                </pic:pic>
              </a:graphicData>
            </a:graphic>
          </wp:inline>
        </w:drawing>
      </w:r>
    </w:p>
    <w:p w:rsidR="00C82566" w:rsidRPr="00C82566" w:rsidRDefault="005400A6" w:rsidP="005400A6">
      <w:pPr>
        <w:pStyle w:val="Titulek"/>
      </w:pPr>
      <w:bookmarkStart w:id="16" w:name="_Ref451521450"/>
      <w:r>
        <w:t xml:space="preserve">Obr. </w:t>
      </w:r>
      <w:r w:rsidR="00990E2D">
        <w:fldChar w:fldCharType="begin"/>
      </w:r>
      <w:r w:rsidR="00990E2D">
        <w:instrText xml:space="preserve"> SEQ Obr. \* ARABIC </w:instrText>
      </w:r>
      <w:r w:rsidR="00990E2D">
        <w:fldChar w:fldCharType="separate"/>
      </w:r>
      <w:r w:rsidR="003F08E5">
        <w:rPr>
          <w:noProof/>
        </w:rPr>
        <w:t>1</w:t>
      </w:r>
      <w:r w:rsidR="00990E2D">
        <w:rPr>
          <w:noProof/>
        </w:rPr>
        <w:fldChar w:fldCharType="end"/>
      </w:r>
      <w:bookmarkEnd w:id="16"/>
      <w:r>
        <w:tab/>
      </w:r>
      <w:r w:rsidRPr="005400A6">
        <w:t>Struktura poradních orgánů MV pro řízení a meziresortní koordinaci bezpečnostního výzkumu</w:t>
      </w:r>
      <w:r>
        <w:t xml:space="preserve">. </w:t>
      </w:r>
      <w:r w:rsidRPr="005400A6">
        <w:t>Zdroj: MV ČR</w:t>
      </w:r>
    </w:p>
    <w:p w:rsidR="00D8477B" w:rsidRDefault="00D8477B" w:rsidP="005400A6"/>
    <w:p w:rsidR="00C82566" w:rsidRPr="00C82566" w:rsidRDefault="00C82566" w:rsidP="005400A6">
      <w:r w:rsidRPr="00C82566">
        <w:t>Pozdější Národní priority orientovaného výzkumu, experimentálního vývoje a inovací platné na období do roku 2030 (schválené Usnesením vlády České republiky ze dne 19. července 2012 č. 552)</w:t>
      </w:r>
      <w:r w:rsidR="00655D52">
        <w:t xml:space="preserve"> </w:t>
      </w:r>
      <w:r w:rsidR="00655D52">
        <w:fldChar w:fldCharType="begin"/>
      </w:r>
      <w:r w:rsidR="00655D52">
        <w:instrText xml:space="preserve"> REF _Ref450221179 \r \h </w:instrText>
      </w:r>
      <w:r w:rsidR="00655D52">
        <w:fldChar w:fldCharType="separate"/>
      </w:r>
      <w:r w:rsidR="003F08E5">
        <w:t>[4]</w:t>
      </w:r>
      <w:r w:rsidR="00655D52">
        <w:fldChar w:fldCharType="end"/>
      </w:r>
      <w:r w:rsidRPr="00C82566">
        <w:t>, toto strategické zaměření v podstatě potvrdily (</w:t>
      </w:r>
      <w:r w:rsidR="005400A6">
        <w:t xml:space="preserve">viz </w:t>
      </w:r>
      <w:r w:rsidR="005400A6">
        <w:fldChar w:fldCharType="begin"/>
      </w:r>
      <w:r w:rsidR="005400A6">
        <w:instrText xml:space="preserve"> REF  _Ref451521563 \* Lower \h  \* MERGEFORMAT </w:instrText>
      </w:r>
      <w:r w:rsidR="005400A6">
        <w:fldChar w:fldCharType="separate"/>
      </w:r>
      <w:r w:rsidR="003F08E5">
        <w:t xml:space="preserve">tab. </w:t>
      </w:r>
      <w:r w:rsidR="003F08E5">
        <w:rPr>
          <w:noProof/>
        </w:rPr>
        <w:t>1</w:t>
      </w:r>
      <w:r w:rsidR="005400A6">
        <w:fldChar w:fldCharType="end"/>
      </w:r>
      <w:r w:rsidRPr="00C82566">
        <w:t xml:space="preserve">). </w:t>
      </w:r>
      <w:r w:rsidR="00655D52">
        <w:t>Přehled priorit BV na detailnější úrovni je uveden v samostatném přílohovém dokumentu.</w:t>
      </w:r>
    </w:p>
    <w:p w:rsidR="005400A6" w:rsidRDefault="005400A6" w:rsidP="005400A6">
      <w:pPr>
        <w:pStyle w:val="Titulek"/>
        <w:keepNext/>
      </w:pPr>
      <w:bookmarkStart w:id="17" w:name="_Ref451521563"/>
      <w:r>
        <w:t xml:space="preserve">Tab. </w:t>
      </w:r>
      <w:r w:rsidR="00990E2D">
        <w:fldChar w:fldCharType="begin"/>
      </w:r>
      <w:r w:rsidR="00990E2D">
        <w:instrText xml:space="preserve"> SEQ Tab. \* ARABIC </w:instrText>
      </w:r>
      <w:r w:rsidR="00990E2D">
        <w:fldChar w:fldCharType="separate"/>
      </w:r>
      <w:r w:rsidR="003F08E5">
        <w:rPr>
          <w:noProof/>
        </w:rPr>
        <w:t>1</w:t>
      </w:r>
      <w:r w:rsidR="00990E2D">
        <w:rPr>
          <w:noProof/>
        </w:rPr>
        <w:fldChar w:fldCharType="end"/>
      </w:r>
      <w:bookmarkEnd w:id="17"/>
      <w:r>
        <w:tab/>
      </w:r>
      <w:r w:rsidRPr="005400A6">
        <w:t>Struktura prioritní oblasti Rostoucí komplexita hrozeb, rizik a adaptace bezpečnostního systému ČR</w:t>
      </w:r>
      <w:r>
        <w:t xml:space="preserve">. </w:t>
      </w:r>
      <w:r w:rsidRPr="005400A6">
        <w:t>Z</w:t>
      </w:r>
      <w:r>
        <w:t>d</w:t>
      </w:r>
      <w:r w:rsidRPr="005400A6">
        <w:t>roj: Národní priority orientovaného výzkumu, experimentálního vývoje a inovací</w:t>
      </w:r>
      <w:r>
        <w:t xml:space="preserve"> </w:t>
      </w:r>
    </w:p>
    <w:tbl>
      <w:tblPr>
        <w:tblW w:w="0" w:type="auto"/>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ook w:val="00A0" w:firstRow="1" w:lastRow="0" w:firstColumn="1" w:lastColumn="0" w:noHBand="0" w:noVBand="0"/>
      </w:tblPr>
      <w:tblGrid>
        <w:gridCol w:w="2088"/>
        <w:gridCol w:w="2520"/>
        <w:gridCol w:w="4680"/>
      </w:tblGrid>
      <w:tr w:rsidR="00C82566" w:rsidRPr="00C82566" w:rsidTr="005400A6">
        <w:trPr>
          <w:trHeight w:val="284"/>
        </w:trPr>
        <w:tc>
          <w:tcPr>
            <w:tcW w:w="2088" w:type="dxa"/>
            <w:tcBorders>
              <w:top w:val="single" w:sz="8" w:space="0" w:color="auto"/>
              <w:bottom w:val="single" w:sz="8" w:space="0" w:color="auto"/>
            </w:tcBorders>
            <w:shd w:val="clear" w:color="auto" w:fill="F2DBDB"/>
            <w:vAlign w:val="center"/>
          </w:tcPr>
          <w:p w:rsidR="00C82566" w:rsidRPr="00C82566" w:rsidRDefault="00C82566" w:rsidP="005400A6">
            <w:pPr>
              <w:spacing w:line="276" w:lineRule="auto"/>
              <w:jc w:val="left"/>
              <w:rPr>
                <w:b/>
              </w:rPr>
            </w:pPr>
            <w:bookmarkStart w:id="18" w:name="OLE_LINK2"/>
            <w:r w:rsidRPr="00C82566">
              <w:rPr>
                <w:b/>
              </w:rPr>
              <w:t>Oblasti</w:t>
            </w:r>
          </w:p>
        </w:tc>
        <w:tc>
          <w:tcPr>
            <w:tcW w:w="2520" w:type="dxa"/>
            <w:tcBorders>
              <w:top w:val="single" w:sz="8" w:space="0" w:color="auto"/>
              <w:bottom w:val="single" w:sz="8" w:space="0" w:color="auto"/>
            </w:tcBorders>
            <w:shd w:val="clear" w:color="auto" w:fill="E5B8B7"/>
            <w:vAlign w:val="center"/>
          </w:tcPr>
          <w:p w:rsidR="00C82566" w:rsidRPr="00C82566" w:rsidRDefault="00C82566" w:rsidP="005400A6">
            <w:pPr>
              <w:spacing w:line="276" w:lineRule="auto"/>
              <w:jc w:val="left"/>
              <w:rPr>
                <w:b/>
              </w:rPr>
            </w:pPr>
            <w:r w:rsidRPr="00C82566">
              <w:rPr>
                <w:b/>
              </w:rPr>
              <w:t>Podoblasti</w:t>
            </w:r>
          </w:p>
        </w:tc>
        <w:tc>
          <w:tcPr>
            <w:tcW w:w="4680" w:type="dxa"/>
            <w:tcBorders>
              <w:top w:val="single" w:sz="8" w:space="0" w:color="auto"/>
              <w:bottom w:val="single" w:sz="8" w:space="0" w:color="auto"/>
            </w:tcBorders>
            <w:shd w:val="clear" w:color="auto" w:fill="F2DBDB"/>
            <w:vAlign w:val="center"/>
          </w:tcPr>
          <w:p w:rsidR="00C82566" w:rsidRPr="00C82566" w:rsidRDefault="00C82566" w:rsidP="005400A6">
            <w:pPr>
              <w:spacing w:line="276" w:lineRule="auto"/>
              <w:jc w:val="left"/>
              <w:rPr>
                <w:b/>
              </w:rPr>
            </w:pPr>
            <w:r w:rsidRPr="00C82566">
              <w:rPr>
                <w:b/>
              </w:rPr>
              <w:t>Prioritní dílčí cíle</w:t>
            </w:r>
          </w:p>
        </w:tc>
      </w:tr>
      <w:tr w:rsidR="00C82566" w:rsidRPr="00C82566" w:rsidTr="005400A6">
        <w:trPr>
          <w:trHeight w:hRule="exact" w:val="374"/>
        </w:trPr>
        <w:tc>
          <w:tcPr>
            <w:tcW w:w="2088" w:type="dxa"/>
            <w:vMerge w:val="restart"/>
            <w:tcBorders>
              <w:top w:val="single" w:sz="8" w:space="0" w:color="auto"/>
            </w:tcBorders>
            <w:shd w:val="clear" w:color="auto" w:fill="FFFFFF"/>
            <w:noWrap/>
            <w:vAlign w:val="center"/>
          </w:tcPr>
          <w:p w:rsidR="00C82566" w:rsidRPr="00C82566" w:rsidRDefault="00C82566" w:rsidP="00C82566">
            <w:pPr>
              <w:spacing w:before="0" w:after="200" w:line="276" w:lineRule="auto"/>
              <w:jc w:val="left"/>
              <w:rPr>
                <w:rFonts w:cs="Calibri"/>
                <w:sz w:val="20"/>
                <w:szCs w:val="20"/>
              </w:rPr>
            </w:pPr>
            <w:r w:rsidRPr="00C82566">
              <w:rPr>
                <w:rFonts w:cs="Calibri"/>
                <w:sz w:val="20"/>
                <w:szCs w:val="20"/>
              </w:rPr>
              <w:t>1. Bezpečnost občanů</w:t>
            </w:r>
          </w:p>
        </w:tc>
        <w:tc>
          <w:tcPr>
            <w:tcW w:w="2520" w:type="dxa"/>
            <w:vMerge w:val="restart"/>
            <w:tcBorders>
              <w:top w:val="single" w:sz="8" w:space="0" w:color="auto"/>
            </w:tcBorders>
            <w:shd w:val="clear" w:color="auto" w:fill="F2DBDB"/>
            <w:noWrap/>
            <w:vAlign w:val="center"/>
          </w:tcPr>
          <w:p w:rsidR="00C82566" w:rsidRPr="00C82566" w:rsidRDefault="00C82566" w:rsidP="00C82566">
            <w:pPr>
              <w:spacing w:before="0" w:after="200" w:line="276" w:lineRule="auto"/>
              <w:jc w:val="left"/>
              <w:rPr>
                <w:rFonts w:cs="Calibri"/>
                <w:sz w:val="20"/>
                <w:szCs w:val="20"/>
              </w:rPr>
            </w:pPr>
            <w:r w:rsidRPr="00C82566">
              <w:rPr>
                <w:rFonts w:cs="Calibri"/>
                <w:sz w:val="20"/>
                <w:szCs w:val="20"/>
              </w:rPr>
              <w:t>1.1 Ochrana obyvatelstva</w:t>
            </w:r>
          </w:p>
        </w:tc>
        <w:tc>
          <w:tcPr>
            <w:tcW w:w="4680" w:type="dxa"/>
            <w:tcBorders>
              <w:top w:val="single" w:sz="8" w:space="0" w:color="auto"/>
            </w:tcBorders>
            <w:shd w:val="clear" w:color="auto" w:fill="FFFFFF"/>
            <w:vAlign w:val="center"/>
          </w:tcPr>
          <w:p w:rsidR="00C82566" w:rsidRPr="00C82566" w:rsidRDefault="00C82566" w:rsidP="00C82566">
            <w:pPr>
              <w:spacing w:before="0" w:after="200" w:line="276" w:lineRule="auto"/>
              <w:jc w:val="left"/>
              <w:rPr>
                <w:rFonts w:cs="Calibri"/>
                <w:sz w:val="20"/>
                <w:szCs w:val="20"/>
              </w:rPr>
            </w:pPr>
            <w:r w:rsidRPr="00C82566">
              <w:rPr>
                <w:rFonts w:cs="Calibri"/>
                <w:sz w:val="20"/>
                <w:szCs w:val="20"/>
              </w:rPr>
              <w:t>1.1.1 Podpora opatření a úkolů ochrany obyvatelstva</w:t>
            </w:r>
          </w:p>
        </w:tc>
      </w:tr>
      <w:tr w:rsidR="00C82566" w:rsidRPr="00C82566" w:rsidTr="005400A6">
        <w:trPr>
          <w:trHeight w:hRule="exact" w:val="374"/>
        </w:trPr>
        <w:tc>
          <w:tcPr>
            <w:tcW w:w="2088" w:type="dxa"/>
            <w:vMerge/>
            <w:tcBorders>
              <w:top w:val="single" w:sz="8" w:space="0" w:color="auto"/>
            </w:tcBorders>
            <w:shd w:val="clear" w:color="auto" w:fill="FFFFFF"/>
            <w:noWrap/>
            <w:vAlign w:val="center"/>
          </w:tcPr>
          <w:p w:rsidR="00C82566" w:rsidRPr="00C82566" w:rsidRDefault="00C82566" w:rsidP="00C82566">
            <w:pPr>
              <w:spacing w:before="0" w:after="200" w:line="276" w:lineRule="auto"/>
              <w:jc w:val="left"/>
              <w:rPr>
                <w:rFonts w:cs="Calibri"/>
                <w:sz w:val="20"/>
                <w:szCs w:val="20"/>
              </w:rPr>
            </w:pPr>
          </w:p>
        </w:tc>
        <w:tc>
          <w:tcPr>
            <w:tcW w:w="2520" w:type="dxa"/>
            <w:vMerge/>
            <w:shd w:val="clear" w:color="auto" w:fill="F2DBDB"/>
            <w:noWrap/>
            <w:vAlign w:val="center"/>
          </w:tcPr>
          <w:p w:rsidR="00C82566" w:rsidRPr="00C82566" w:rsidRDefault="00C82566" w:rsidP="00C82566">
            <w:pPr>
              <w:spacing w:before="0" w:after="200" w:line="276" w:lineRule="auto"/>
              <w:jc w:val="left"/>
              <w:rPr>
                <w:rFonts w:cs="Calibri"/>
                <w:sz w:val="20"/>
                <w:szCs w:val="20"/>
              </w:rPr>
            </w:pPr>
          </w:p>
        </w:tc>
        <w:tc>
          <w:tcPr>
            <w:tcW w:w="4680" w:type="dxa"/>
            <w:tcBorders>
              <w:top w:val="single" w:sz="8" w:space="0" w:color="auto"/>
            </w:tcBorders>
            <w:shd w:val="clear" w:color="auto" w:fill="FFFFFF"/>
            <w:vAlign w:val="center"/>
          </w:tcPr>
          <w:p w:rsidR="00C82566" w:rsidRPr="00C82566" w:rsidRDefault="00C82566" w:rsidP="00C82566">
            <w:pPr>
              <w:spacing w:before="0" w:after="200" w:line="276" w:lineRule="auto"/>
              <w:jc w:val="left"/>
              <w:rPr>
                <w:rFonts w:cs="Calibri"/>
                <w:sz w:val="20"/>
                <w:szCs w:val="20"/>
              </w:rPr>
            </w:pPr>
            <w:r w:rsidRPr="00C82566">
              <w:rPr>
                <w:rFonts w:cs="Calibri"/>
                <w:sz w:val="20"/>
                <w:szCs w:val="20"/>
              </w:rPr>
              <w:t>1.1.2 Zdokonalování služeb a prostředků ochrany</w:t>
            </w:r>
          </w:p>
        </w:tc>
      </w:tr>
      <w:tr w:rsidR="00C82566" w:rsidRPr="00C82566" w:rsidTr="005400A6">
        <w:trPr>
          <w:trHeight w:hRule="exact" w:val="694"/>
        </w:trPr>
        <w:tc>
          <w:tcPr>
            <w:tcW w:w="2088" w:type="dxa"/>
            <w:vMerge/>
            <w:tcBorders>
              <w:top w:val="single" w:sz="8" w:space="0" w:color="auto"/>
            </w:tcBorders>
            <w:shd w:val="clear" w:color="auto" w:fill="FFFFFF"/>
            <w:noWrap/>
            <w:vAlign w:val="center"/>
          </w:tcPr>
          <w:p w:rsidR="00C82566" w:rsidRPr="00C82566" w:rsidRDefault="00C82566" w:rsidP="00C82566">
            <w:pPr>
              <w:spacing w:before="0" w:after="200" w:line="276" w:lineRule="auto"/>
              <w:jc w:val="left"/>
              <w:rPr>
                <w:rFonts w:cs="Calibri"/>
                <w:sz w:val="20"/>
                <w:szCs w:val="20"/>
              </w:rPr>
            </w:pPr>
          </w:p>
        </w:tc>
        <w:tc>
          <w:tcPr>
            <w:tcW w:w="2520" w:type="dxa"/>
            <w:vMerge/>
            <w:shd w:val="clear" w:color="auto" w:fill="F2DBDB"/>
            <w:noWrap/>
            <w:vAlign w:val="center"/>
          </w:tcPr>
          <w:p w:rsidR="00C82566" w:rsidRPr="00C82566" w:rsidRDefault="00C82566" w:rsidP="00C82566">
            <w:pPr>
              <w:spacing w:before="0" w:after="200" w:line="276" w:lineRule="auto"/>
              <w:jc w:val="left"/>
              <w:rPr>
                <w:rFonts w:cs="Calibri"/>
                <w:sz w:val="20"/>
                <w:szCs w:val="20"/>
              </w:rPr>
            </w:pPr>
          </w:p>
        </w:tc>
        <w:tc>
          <w:tcPr>
            <w:tcW w:w="4680" w:type="dxa"/>
            <w:tcBorders>
              <w:top w:val="single" w:sz="8" w:space="0" w:color="auto"/>
            </w:tcBorders>
            <w:shd w:val="clear" w:color="auto" w:fill="FFFFFF"/>
            <w:vAlign w:val="center"/>
          </w:tcPr>
          <w:p w:rsidR="00C82566" w:rsidRPr="00C82566" w:rsidRDefault="00C82566" w:rsidP="00C82566">
            <w:pPr>
              <w:spacing w:before="0" w:after="200" w:line="276" w:lineRule="auto"/>
              <w:jc w:val="left"/>
              <w:rPr>
                <w:rFonts w:cs="Calibri"/>
                <w:sz w:val="20"/>
                <w:szCs w:val="20"/>
              </w:rPr>
            </w:pPr>
            <w:r w:rsidRPr="00C82566">
              <w:rPr>
                <w:rFonts w:cs="Calibri"/>
                <w:sz w:val="20"/>
                <w:szCs w:val="20"/>
              </w:rPr>
              <w:t>1.1.3 Bezpečnost měst a obcí, informování, vzdělávání a motivace občanů</w:t>
            </w:r>
          </w:p>
        </w:tc>
      </w:tr>
      <w:tr w:rsidR="00C82566" w:rsidRPr="00C82566" w:rsidTr="005400A6">
        <w:trPr>
          <w:trHeight w:hRule="exact" w:val="897"/>
        </w:trPr>
        <w:tc>
          <w:tcPr>
            <w:tcW w:w="2088" w:type="dxa"/>
            <w:vMerge/>
            <w:shd w:val="clear" w:color="auto" w:fill="FFFFFF"/>
            <w:noWrap/>
            <w:vAlign w:val="center"/>
          </w:tcPr>
          <w:p w:rsidR="00C82566" w:rsidRPr="00C82566" w:rsidRDefault="00C82566" w:rsidP="00C82566">
            <w:pPr>
              <w:spacing w:before="0" w:after="200" w:line="276" w:lineRule="auto"/>
              <w:jc w:val="left"/>
              <w:rPr>
                <w:rFonts w:cs="Calibri"/>
                <w:sz w:val="20"/>
                <w:szCs w:val="20"/>
                <w:highlight w:val="yellow"/>
              </w:rPr>
            </w:pPr>
          </w:p>
        </w:tc>
        <w:tc>
          <w:tcPr>
            <w:tcW w:w="2520" w:type="dxa"/>
            <w:vMerge w:val="restart"/>
            <w:shd w:val="clear" w:color="auto" w:fill="F2DBDB"/>
            <w:noWrap/>
            <w:vAlign w:val="center"/>
          </w:tcPr>
          <w:p w:rsidR="00C82566" w:rsidRPr="00C82566" w:rsidRDefault="00C82566" w:rsidP="00C82566">
            <w:pPr>
              <w:spacing w:before="0" w:after="200" w:line="276" w:lineRule="auto"/>
              <w:jc w:val="left"/>
              <w:rPr>
                <w:rFonts w:cs="Calibri"/>
                <w:sz w:val="20"/>
                <w:szCs w:val="20"/>
                <w:highlight w:val="yellow"/>
              </w:rPr>
            </w:pPr>
            <w:r w:rsidRPr="00C82566">
              <w:rPr>
                <w:rFonts w:cs="Calibri"/>
                <w:sz w:val="20"/>
                <w:szCs w:val="20"/>
              </w:rPr>
              <w:t>1.2 Ochrana před kriminalitou, extremismem a terorismem</w:t>
            </w:r>
          </w:p>
        </w:tc>
        <w:tc>
          <w:tcPr>
            <w:tcW w:w="4680" w:type="dxa"/>
            <w:shd w:val="clear" w:color="auto" w:fill="FFFFFF"/>
            <w:vAlign w:val="center"/>
          </w:tcPr>
          <w:p w:rsidR="00C82566" w:rsidRPr="00C82566" w:rsidRDefault="00C82566" w:rsidP="00C82566">
            <w:pPr>
              <w:spacing w:before="0" w:after="200" w:line="276" w:lineRule="auto"/>
              <w:jc w:val="left"/>
              <w:rPr>
                <w:rFonts w:cs="Calibri"/>
                <w:sz w:val="20"/>
                <w:szCs w:val="20"/>
              </w:rPr>
            </w:pPr>
            <w:r w:rsidRPr="00C82566">
              <w:rPr>
                <w:rFonts w:cs="Calibri"/>
                <w:sz w:val="20"/>
                <w:szCs w:val="20"/>
              </w:rPr>
              <w:t>1.2.1 Vytváření účinných metod analýzy druhů a rozšíření kriminality a implementace efektivních nástrojů jejího potlačování</w:t>
            </w:r>
          </w:p>
        </w:tc>
      </w:tr>
      <w:tr w:rsidR="00C82566" w:rsidRPr="00C82566" w:rsidTr="005400A6">
        <w:trPr>
          <w:trHeight w:hRule="exact" w:val="707"/>
        </w:trPr>
        <w:tc>
          <w:tcPr>
            <w:tcW w:w="2088" w:type="dxa"/>
            <w:vMerge/>
            <w:shd w:val="clear" w:color="auto" w:fill="FFFFFF"/>
            <w:noWrap/>
            <w:vAlign w:val="center"/>
          </w:tcPr>
          <w:p w:rsidR="00C82566" w:rsidRPr="00C82566" w:rsidRDefault="00C82566" w:rsidP="00C82566">
            <w:pPr>
              <w:spacing w:before="0" w:after="200" w:line="276" w:lineRule="auto"/>
              <w:jc w:val="left"/>
              <w:rPr>
                <w:rFonts w:cs="Calibri"/>
                <w:sz w:val="20"/>
                <w:szCs w:val="20"/>
                <w:highlight w:val="yellow"/>
              </w:rPr>
            </w:pPr>
          </w:p>
        </w:tc>
        <w:tc>
          <w:tcPr>
            <w:tcW w:w="2520" w:type="dxa"/>
            <w:vMerge/>
            <w:shd w:val="clear" w:color="auto" w:fill="F2DBDB"/>
            <w:noWrap/>
            <w:vAlign w:val="center"/>
          </w:tcPr>
          <w:p w:rsidR="00C82566" w:rsidRPr="00C82566" w:rsidRDefault="00C82566" w:rsidP="00C82566">
            <w:pPr>
              <w:spacing w:before="0" w:after="200" w:line="276" w:lineRule="auto"/>
              <w:jc w:val="left"/>
              <w:rPr>
                <w:rFonts w:cs="Calibri"/>
                <w:sz w:val="20"/>
                <w:szCs w:val="20"/>
                <w:highlight w:val="yellow"/>
              </w:rPr>
            </w:pPr>
          </w:p>
        </w:tc>
        <w:tc>
          <w:tcPr>
            <w:tcW w:w="4680" w:type="dxa"/>
            <w:shd w:val="clear" w:color="auto" w:fill="FFFFFF"/>
            <w:vAlign w:val="center"/>
          </w:tcPr>
          <w:p w:rsidR="00C82566" w:rsidRPr="00C82566" w:rsidRDefault="00C82566" w:rsidP="00C82566">
            <w:pPr>
              <w:spacing w:before="0" w:after="200" w:line="276" w:lineRule="auto"/>
              <w:jc w:val="left"/>
              <w:rPr>
                <w:rFonts w:cs="Calibri"/>
                <w:sz w:val="20"/>
                <w:szCs w:val="20"/>
              </w:rPr>
            </w:pPr>
            <w:r w:rsidRPr="00C82566">
              <w:rPr>
                <w:rFonts w:cs="Calibri"/>
                <w:sz w:val="20"/>
                <w:szCs w:val="20"/>
              </w:rPr>
              <w:t>1.2.2 Minimalizace kybernetické kriminality a zneužívání informací</w:t>
            </w:r>
          </w:p>
        </w:tc>
      </w:tr>
      <w:tr w:rsidR="00C82566" w:rsidRPr="00C82566" w:rsidTr="005400A6">
        <w:trPr>
          <w:trHeight w:hRule="exact" w:val="627"/>
        </w:trPr>
        <w:tc>
          <w:tcPr>
            <w:tcW w:w="2088" w:type="dxa"/>
            <w:vMerge w:val="restart"/>
            <w:shd w:val="clear" w:color="auto" w:fill="FFFFFF"/>
            <w:noWrap/>
            <w:vAlign w:val="center"/>
          </w:tcPr>
          <w:p w:rsidR="00C82566" w:rsidRPr="00C82566" w:rsidRDefault="00C82566" w:rsidP="00C82566">
            <w:pPr>
              <w:spacing w:before="0" w:after="200" w:line="276" w:lineRule="auto"/>
              <w:jc w:val="left"/>
              <w:rPr>
                <w:rFonts w:cs="Calibri"/>
                <w:sz w:val="20"/>
                <w:szCs w:val="20"/>
              </w:rPr>
            </w:pPr>
            <w:r w:rsidRPr="00C82566">
              <w:rPr>
                <w:rFonts w:cs="Calibri"/>
                <w:sz w:val="20"/>
                <w:szCs w:val="20"/>
              </w:rPr>
              <w:t>2. Bezpečnost kritických infrastruktur a zdrojů</w:t>
            </w:r>
          </w:p>
        </w:tc>
        <w:tc>
          <w:tcPr>
            <w:tcW w:w="2520" w:type="dxa"/>
            <w:vMerge w:val="restart"/>
            <w:shd w:val="clear" w:color="auto" w:fill="F2DBDB"/>
            <w:noWrap/>
            <w:vAlign w:val="center"/>
          </w:tcPr>
          <w:p w:rsidR="00C82566" w:rsidRPr="00C82566" w:rsidRDefault="00C82566" w:rsidP="00C82566">
            <w:pPr>
              <w:spacing w:before="0" w:after="200" w:line="276" w:lineRule="auto"/>
              <w:jc w:val="left"/>
              <w:rPr>
                <w:rFonts w:cs="Calibri"/>
                <w:sz w:val="20"/>
                <w:szCs w:val="20"/>
              </w:rPr>
            </w:pPr>
            <w:r w:rsidRPr="00C82566">
              <w:rPr>
                <w:rFonts w:cs="Calibri"/>
                <w:sz w:val="20"/>
                <w:szCs w:val="20"/>
              </w:rPr>
              <w:t xml:space="preserve">2.1 Ochrana, odolnost a obnova kritických infrastruktur  </w:t>
            </w:r>
          </w:p>
        </w:tc>
        <w:tc>
          <w:tcPr>
            <w:tcW w:w="4680" w:type="dxa"/>
            <w:shd w:val="clear" w:color="auto" w:fill="FFFFFF"/>
            <w:vAlign w:val="center"/>
          </w:tcPr>
          <w:p w:rsidR="00C82566" w:rsidRPr="00C82566" w:rsidRDefault="00C82566" w:rsidP="00C82566">
            <w:pPr>
              <w:spacing w:before="0" w:after="200" w:line="276" w:lineRule="auto"/>
              <w:jc w:val="left"/>
              <w:rPr>
                <w:rFonts w:cs="Calibri"/>
                <w:sz w:val="20"/>
                <w:szCs w:val="20"/>
              </w:rPr>
            </w:pPr>
            <w:r w:rsidRPr="00C82566">
              <w:rPr>
                <w:rFonts w:cs="Calibri"/>
                <w:sz w:val="20"/>
                <w:szCs w:val="20"/>
              </w:rPr>
              <w:t>2.1.1 Rozvoj alternativních a nouzových krizových procesů</w:t>
            </w:r>
          </w:p>
        </w:tc>
      </w:tr>
      <w:tr w:rsidR="00C82566" w:rsidRPr="00C82566" w:rsidTr="005400A6">
        <w:trPr>
          <w:trHeight w:hRule="exact" w:val="374"/>
        </w:trPr>
        <w:tc>
          <w:tcPr>
            <w:tcW w:w="2088" w:type="dxa"/>
            <w:vMerge/>
            <w:shd w:val="clear" w:color="auto" w:fill="FFFFFF"/>
            <w:noWrap/>
            <w:vAlign w:val="center"/>
          </w:tcPr>
          <w:p w:rsidR="00C82566" w:rsidRPr="00C82566" w:rsidRDefault="00C82566" w:rsidP="00C82566">
            <w:pPr>
              <w:spacing w:before="0" w:after="200" w:line="276" w:lineRule="auto"/>
              <w:jc w:val="left"/>
              <w:rPr>
                <w:rFonts w:cs="Calibri"/>
                <w:sz w:val="20"/>
                <w:szCs w:val="20"/>
              </w:rPr>
            </w:pPr>
          </w:p>
        </w:tc>
        <w:tc>
          <w:tcPr>
            <w:tcW w:w="2520" w:type="dxa"/>
            <w:vMerge/>
            <w:shd w:val="clear" w:color="auto" w:fill="F2DBDB"/>
            <w:noWrap/>
            <w:vAlign w:val="center"/>
          </w:tcPr>
          <w:p w:rsidR="00C82566" w:rsidRPr="00C82566" w:rsidRDefault="00C82566" w:rsidP="00C82566">
            <w:pPr>
              <w:spacing w:before="0" w:after="200" w:line="276" w:lineRule="auto"/>
              <w:jc w:val="left"/>
              <w:rPr>
                <w:rFonts w:cs="Calibri"/>
                <w:sz w:val="20"/>
                <w:szCs w:val="20"/>
              </w:rPr>
            </w:pPr>
          </w:p>
        </w:tc>
        <w:tc>
          <w:tcPr>
            <w:tcW w:w="4680" w:type="dxa"/>
            <w:shd w:val="clear" w:color="auto" w:fill="FFFFFF"/>
            <w:vAlign w:val="center"/>
          </w:tcPr>
          <w:p w:rsidR="00C82566" w:rsidRPr="00C82566" w:rsidRDefault="00C82566" w:rsidP="00C82566">
            <w:pPr>
              <w:spacing w:before="0" w:after="200" w:line="276" w:lineRule="auto"/>
              <w:jc w:val="left"/>
              <w:rPr>
                <w:rFonts w:cs="Calibri"/>
                <w:sz w:val="20"/>
                <w:szCs w:val="20"/>
              </w:rPr>
            </w:pPr>
            <w:r w:rsidRPr="00C82566">
              <w:rPr>
                <w:rFonts w:cs="Calibri"/>
                <w:sz w:val="20"/>
                <w:szCs w:val="20"/>
              </w:rPr>
              <w:t>2.1.2 Zvyšování odolnosti KI</w:t>
            </w:r>
          </w:p>
        </w:tc>
      </w:tr>
      <w:tr w:rsidR="00C82566" w:rsidRPr="00C82566" w:rsidTr="005400A6">
        <w:trPr>
          <w:trHeight w:hRule="exact" w:val="374"/>
        </w:trPr>
        <w:tc>
          <w:tcPr>
            <w:tcW w:w="2088" w:type="dxa"/>
            <w:vMerge/>
            <w:shd w:val="clear" w:color="auto" w:fill="FFFFFF"/>
            <w:noWrap/>
            <w:vAlign w:val="center"/>
          </w:tcPr>
          <w:p w:rsidR="00C82566" w:rsidRPr="00C82566" w:rsidRDefault="00C82566" w:rsidP="00C82566">
            <w:pPr>
              <w:spacing w:before="0" w:after="200" w:line="276" w:lineRule="auto"/>
              <w:jc w:val="left"/>
              <w:rPr>
                <w:rFonts w:cs="Calibri"/>
                <w:sz w:val="20"/>
                <w:szCs w:val="20"/>
              </w:rPr>
            </w:pPr>
          </w:p>
        </w:tc>
        <w:tc>
          <w:tcPr>
            <w:tcW w:w="2520" w:type="dxa"/>
            <w:vMerge/>
            <w:shd w:val="clear" w:color="auto" w:fill="F2DBDB"/>
            <w:noWrap/>
            <w:vAlign w:val="center"/>
          </w:tcPr>
          <w:p w:rsidR="00C82566" w:rsidRPr="00C82566" w:rsidRDefault="00C82566" w:rsidP="00C82566">
            <w:pPr>
              <w:spacing w:before="0" w:after="200" w:line="276" w:lineRule="auto"/>
              <w:jc w:val="left"/>
              <w:rPr>
                <w:rFonts w:cs="Calibri"/>
                <w:sz w:val="20"/>
                <w:szCs w:val="20"/>
              </w:rPr>
            </w:pPr>
          </w:p>
        </w:tc>
        <w:tc>
          <w:tcPr>
            <w:tcW w:w="4680" w:type="dxa"/>
            <w:shd w:val="clear" w:color="auto" w:fill="FFFFFF"/>
            <w:vAlign w:val="center"/>
          </w:tcPr>
          <w:p w:rsidR="00C82566" w:rsidRPr="00C82566" w:rsidRDefault="00C82566" w:rsidP="00C82566">
            <w:pPr>
              <w:spacing w:before="0" w:after="200" w:line="276" w:lineRule="auto"/>
              <w:jc w:val="left"/>
              <w:rPr>
                <w:rFonts w:cs="Calibri"/>
                <w:sz w:val="20"/>
                <w:szCs w:val="20"/>
              </w:rPr>
            </w:pPr>
            <w:r w:rsidRPr="00C82566">
              <w:rPr>
                <w:rFonts w:cs="Calibri"/>
                <w:sz w:val="20"/>
                <w:szCs w:val="20"/>
              </w:rPr>
              <w:t>2.1.3 Zajištění a rozvoj interoperability KI</w:t>
            </w:r>
          </w:p>
        </w:tc>
      </w:tr>
      <w:tr w:rsidR="00C82566" w:rsidRPr="00C82566" w:rsidTr="005400A6">
        <w:trPr>
          <w:trHeight w:hRule="exact" w:val="374"/>
        </w:trPr>
        <w:tc>
          <w:tcPr>
            <w:tcW w:w="2088" w:type="dxa"/>
            <w:vMerge/>
            <w:shd w:val="clear" w:color="auto" w:fill="FFFFFF"/>
            <w:noWrap/>
            <w:vAlign w:val="center"/>
          </w:tcPr>
          <w:p w:rsidR="00C82566" w:rsidRPr="00C82566" w:rsidRDefault="00C82566" w:rsidP="00C82566">
            <w:pPr>
              <w:spacing w:before="0" w:after="200" w:line="276" w:lineRule="auto"/>
              <w:jc w:val="left"/>
              <w:rPr>
                <w:rFonts w:cs="Calibri"/>
                <w:sz w:val="20"/>
                <w:szCs w:val="20"/>
              </w:rPr>
            </w:pPr>
          </w:p>
        </w:tc>
        <w:tc>
          <w:tcPr>
            <w:tcW w:w="2520" w:type="dxa"/>
            <w:vMerge/>
            <w:shd w:val="clear" w:color="auto" w:fill="F2DBDB"/>
            <w:noWrap/>
            <w:vAlign w:val="center"/>
          </w:tcPr>
          <w:p w:rsidR="00C82566" w:rsidRPr="00C82566" w:rsidRDefault="00C82566" w:rsidP="00C82566">
            <w:pPr>
              <w:spacing w:before="0" w:after="200" w:line="276" w:lineRule="auto"/>
              <w:jc w:val="left"/>
              <w:rPr>
                <w:rFonts w:cs="Calibri"/>
                <w:sz w:val="20"/>
                <w:szCs w:val="20"/>
              </w:rPr>
            </w:pPr>
          </w:p>
        </w:tc>
        <w:tc>
          <w:tcPr>
            <w:tcW w:w="4680" w:type="dxa"/>
            <w:shd w:val="clear" w:color="auto" w:fill="FFFFFF"/>
            <w:vAlign w:val="center"/>
          </w:tcPr>
          <w:p w:rsidR="00C82566" w:rsidRPr="00C82566" w:rsidRDefault="00C82566" w:rsidP="00C82566">
            <w:pPr>
              <w:spacing w:before="0" w:after="200" w:line="276" w:lineRule="auto"/>
              <w:jc w:val="left"/>
              <w:rPr>
                <w:rFonts w:cs="Calibri"/>
                <w:sz w:val="20"/>
                <w:szCs w:val="20"/>
              </w:rPr>
            </w:pPr>
            <w:r w:rsidRPr="00C82566">
              <w:rPr>
                <w:rFonts w:cs="Calibri"/>
                <w:sz w:val="20"/>
                <w:szCs w:val="20"/>
              </w:rPr>
              <w:t>2.1.4 Účinná detekce a identifikace hrozeb</w:t>
            </w:r>
          </w:p>
        </w:tc>
      </w:tr>
      <w:tr w:rsidR="00C82566" w:rsidRPr="00C82566" w:rsidTr="005400A6">
        <w:trPr>
          <w:trHeight w:hRule="exact" w:val="374"/>
        </w:trPr>
        <w:tc>
          <w:tcPr>
            <w:tcW w:w="2088" w:type="dxa"/>
            <w:vMerge/>
            <w:shd w:val="clear" w:color="auto" w:fill="FFFFFF"/>
            <w:noWrap/>
            <w:vAlign w:val="center"/>
          </w:tcPr>
          <w:p w:rsidR="00C82566" w:rsidRPr="00C82566" w:rsidRDefault="00C82566" w:rsidP="00C82566">
            <w:pPr>
              <w:spacing w:before="0" w:after="200" w:line="276" w:lineRule="auto"/>
              <w:jc w:val="left"/>
              <w:rPr>
                <w:rFonts w:cs="Calibri"/>
                <w:sz w:val="20"/>
                <w:szCs w:val="20"/>
              </w:rPr>
            </w:pPr>
          </w:p>
        </w:tc>
        <w:tc>
          <w:tcPr>
            <w:tcW w:w="2520" w:type="dxa"/>
            <w:vMerge/>
            <w:shd w:val="clear" w:color="auto" w:fill="F2DBDB"/>
            <w:noWrap/>
            <w:vAlign w:val="center"/>
          </w:tcPr>
          <w:p w:rsidR="00C82566" w:rsidRPr="00C82566" w:rsidRDefault="00C82566" w:rsidP="00C82566">
            <w:pPr>
              <w:spacing w:before="0" w:after="200" w:line="276" w:lineRule="auto"/>
              <w:jc w:val="left"/>
              <w:rPr>
                <w:rFonts w:cs="Calibri"/>
                <w:sz w:val="20"/>
                <w:szCs w:val="20"/>
              </w:rPr>
            </w:pPr>
          </w:p>
        </w:tc>
        <w:tc>
          <w:tcPr>
            <w:tcW w:w="4680" w:type="dxa"/>
            <w:shd w:val="clear" w:color="auto" w:fill="FFFFFF"/>
            <w:vAlign w:val="center"/>
          </w:tcPr>
          <w:p w:rsidR="00C82566" w:rsidRPr="00C82566" w:rsidRDefault="00C82566" w:rsidP="00C82566">
            <w:pPr>
              <w:spacing w:before="0" w:after="200" w:line="276" w:lineRule="auto"/>
              <w:jc w:val="left"/>
              <w:rPr>
                <w:rFonts w:cs="Calibri"/>
                <w:sz w:val="20"/>
                <w:szCs w:val="20"/>
              </w:rPr>
            </w:pPr>
            <w:r w:rsidRPr="00C82566">
              <w:rPr>
                <w:rFonts w:cs="Calibri"/>
                <w:sz w:val="20"/>
                <w:szCs w:val="20"/>
              </w:rPr>
              <w:t>2.1.5 Rozvoj ICT, telematiky a kybernetické ochrany KI</w:t>
            </w:r>
          </w:p>
        </w:tc>
      </w:tr>
      <w:tr w:rsidR="00C82566" w:rsidRPr="00C82566" w:rsidTr="005400A6">
        <w:trPr>
          <w:trHeight w:hRule="exact" w:val="374"/>
        </w:trPr>
        <w:tc>
          <w:tcPr>
            <w:tcW w:w="2088" w:type="dxa"/>
            <w:vMerge/>
            <w:shd w:val="clear" w:color="auto" w:fill="FFFFFF"/>
            <w:noWrap/>
            <w:vAlign w:val="center"/>
          </w:tcPr>
          <w:p w:rsidR="00C82566" w:rsidRPr="00C82566" w:rsidRDefault="00C82566" w:rsidP="00C82566">
            <w:pPr>
              <w:spacing w:before="0" w:after="200" w:line="276" w:lineRule="auto"/>
              <w:jc w:val="left"/>
              <w:rPr>
                <w:rFonts w:cs="Calibri"/>
                <w:sz w:val="20"/>
                <w:szCs w:val="20"/>
              </w:rPr>
            </w:pPr>
          </w:p>
        </w:tc>
        <w:tc>
          <w:tcPr>
            <w:tcW w:w="2520" w:type="dxa"/>
            <w:vMerge w:val="restart"/>
            <w:shd w:val="clear" w:color="auto" w:fill="F2DBDB"/>
            <w:noWrap/>
            <w:vAlign w:val="center"/>
          </w:tcPr>
          <w:p w:rsidR="00C82566" w:rsidRPr="00C82566" w:rsidRDefault="00C82566" w:rsidP="00C82566">
            <w:pPr>
              <w:spacing w:before="0" w:after="200" w:line="276" w:lineRule="auto"/>
              <w:jc w:val="left"/>
              <w:rPr>
                <w:rFonts w:cs="Calibri"/>
                <w:sz w:val="20"/>
                <w:szCs w:val="20"/>
              </w:rPr>
            </w:pPr>
            <w:r w:rsidRPr="00C82566">
              <w:rPr>
                <w:rFonts w:cs="Calibri"/>
                <w:sz w:val="20"/>
                <w:szCs w:val="20"/>
              </w:rPr>
              <w:t>2.2 Komunikace a vazby mezi kritickými infrastrukturami</w:t>
            </w:r>
          </w:p>
        </w:tc>
        <w:tc>
          <w:tcPr>
            <w:tcW w:w="4680" w:type="dxa"/>
            <w:shd w:val="clear" w:color="auto" w:fill="FFFFFF"/>
            <w:vAlign w:val="center"/>
          </w:tcPr>
          <w:p w:rsidR="00C82566" w:rsidRPr="00C82566" w:rsidRDefault="00C82566" w:rsidP="00C82566">
            <w:pPr>
              <w:spacing w:before="0" w:after="200" w:line="276" w:lineRule="auto"/>
              <w:jc w:val="left"/>
              <w:rPr>
                <w:rFonts w:cs="Calibri"/>
                <w:sz w:val="20"/>
                <w:szCs w:val="20"/>
              </w:rPr>
            </w:pPr>
            <w:r w:rsidRPr="00C82566">
              <w:rPr>
                <w:rFonts w:cs="Calibri"/>
                <w:sz w:val="20"/>
                <w:szCs w:val="20"/>
              </w:rPr>
              <w:t>2.2.1 Vzájemné závislosti systémů KI</w:t>
            </w:r>
          </w:p>
        </w:tc>
      </w:tr>
      <w:tr w:rsidR="00C82566" w:rsidRPr="00C82566" w:rsidTr="005400A6">
        <w:trPr>
          <w:trHeight w:hRule="exact" w:val="642"/>
        </w:trPr>
        <w:tc>
          <w:tcPr>
            <w:tcW w:w="2088" w:type="dxa"/>
            <w:vMerge/>
            <w:shd w:val="clear" w:color="auto" w:fill="FFFFFF"/>
            <w:noWrap/>
            <w:vAlign w:val="center"/>
          </w:tcPr>
          <w:p w:rsidR="00C82566" w:rsidRPr="00C82566" w:rsidRDefault="00C82566" w:rsidP="00C82566">
            <w:pPr>
              <w:spacing w:before="0" w:after="200" w:line="276" w:lineRule="auto"/>
              <w:jc w:val="left"/>
              <w:rPr>
                <w:rFonts w:cs="Calibri"/>
                <w:sz w:val="20"/>
                <w:szCs w:val="20"/>
                <w:highlight w:val="yellow"/>
              </w:rPr>
            </w:pPr>
          </w:p>
        </w:tc>
        <w:tc>
          <w:tcPr>
            <w:tcW w:w="2520" w:type="dxa"/>
            <w:vMerge/>
            <w:shd w:val="clear" w:color="auto" w:fill="F2DBDB"/>
            <w:noWrap/>
            <w:vAlign w:val="center"/>
          </w:tcPr>
          <w:p w:rsidR="00C82566" w:rsidRPr="00C82566" w:rsidRDefault="00C82566" w:rsidP="00C82566">
            <w:pPr>
              <w:spacing w:before="0" w:after="200" w:line="276" w:lineRule="auto"/>
              <w:jc w:val="left"/>
              <w:rPr>
                <w:rFonts w:cs="Calibri"/>
                <w:sz w:val="20"/>
                <w:szCs w:val="20"/>
                <w:highlight w:val="yellow"/>
              </w:rPr>
            </w:pPr>
          </w:p>
        </w:tc>
        <w:tc>
          <w:tcPr>
            <w:tcW w:w="4680" w:type="dxa"/>
            <w:shd w:val="clear" w:color="auto" w:fill="FFFFFF"/>
            <w:vAlign w:val="center"/>
          </w:tcPr>
          <w:p w:rsidR="00C82566" w:rsidRPr="00C82566" w:rsidRDefault="00C82566" w:rsidP="00C82566">
            <w:pPr>
              <w:spacing w:before="0" w:after="200" w:line="276" w:lineRule="auto"/>
              <w:jc w:val="left"/>
              <w:rPr>
                <w:rFonts w:cs="Calibri"/>
                <w:sz w:val="20"/>
                <w:szCs w:val="20"/>
              </w:rPr>
            </w:pPr>
            <w:r w:rsidRPr="00C82566">
              <w:rPr>
                <w:rFonts w:cs="Calibri"/>
                <w:sz w:val="20"/>
                <w:szCs w:val="20"/>
              </w:rPr>
              <w:t>2.2.2 Informační podpora pro detekci možných nepříznivých ovlivnění</w:t>
            </w:r>
          </w:p>
        </w:tc>
      </w:tr>
      <w:tr w:rsidR="00C82566" w:rsidRPr="00C82566" w:rsidTr="005400A6">
        <w:trPr>
          <w:trHeight w:hRule="exact" w:val="717"/>
        </w:trPr>
        <w:tc>
          <w:tcPr>
            <w:tcW w:w="2088" w:type="dxa"/>
            <w:vMerge w:val="restart"/>
            <w:shd w:val="clear" w:color="auto" w:fill="FFFFFF"/>
            <w:noWrap/>
            <w:vAlign w:val="center"/>
          </w:tcPr>
          <w:p w:rsidR="00C82566" w:rsidRPr="00C82566" w:rsidRDefault="00C82566" w:rsidP="00C82566">
            <w:pPr>
              <w:spacing w:before="0" w:after="200" w:line="276" w:lineRule="auto"/>
              <w:jc w:val="left"/>
              <w:rPr>
                <w:rFonts w:cs="Calibri"/>
                <w:sz w:val="20"/>
                <w:szCs w:val="20"/>
                <w:highlight w:val="yellow"/>
              </w:rPr>
            </w:pPr>
            <w:r w:rsidRPr="00C82566">
              <w:rPr>
                <w:rFonts w:cs="Calibri"/>
                <w:sz w:val="20"/>
                <w:szCs w:val="20"/>
              </w:rPr>
              <w:t>3. Krizové řízení a bezpečnostní politika</w:t>
            </w:r>
          </w:p>
        </w:tc>
        <w:tc>
          <w:tcPr>
            <w:tcW w:w="2520" w:type="dxa"/>
            <w:vMerge w:val="restart"/>
            <w:shd w:val="clear" w:color="auto" w:fill="F2DBDB"/>
            <w:noWrap/>
            <w:vAlign w:val="center"/>
          </w:tcPr>
          <w:p w:rsidR="00C82566" w:rsidRPr="00C82566" w:rsidRDefault="00C82566" w:rsidP="00C82566">
            <w:pPr>
              <w:spacing w:before="0" w:after="200" w:line="276" w:lineRule="auto"/>
              <w:jc w:val="left"/>
              <w:rPr>
                <w:rFonts w:cs="Calibri"/>
                <w:sz w:val="20"/>
                <w:szCs w:val="20"/>
                <w:highlight w:val="yellow"/>
              </w:rPr>
            </w:pPr>
            <w:r w:rsidRPr="00C82566">
              <w:rPr>
                <w:rFonts w:cs="Calibri"/>
                <w:sz w:val="20"/>
                <w:szCs w:val="20"/>
              </w:rPr>
              <w:t>3.1 Rozvoj bezpečnostní politiky státu a bezpečnostního systému ČR</w:t>
            </w:r>
          </w:p>
        </w:tc>
        <w:tc>
          <w:tcPr>
            <w:tcW w:w="4680" w:type="dxa"/>
            <w:shd w:val="clear" w:color="auto" w:fill="FFFFFF"/>
            <w:vAlign w:val="center"/>
          </w:tcPr>
          <w:p w:rsidR="00C82566" w:rsidRPr="00C82566" w:rsidRDefault="00C82566" w:rsidP="00C82566">
            <w:pPr>
              <w:spacing w:before="0" w:after="200" w:line="276" w:lineRule="auto"/>
              <w:jc w:val="left"/>
              <w:rPr>
                <w:rFonts w:cs="Calibri"/>
                <w:sz w:val="20"/>
                <w:szCs w:val="20"/>
              </w:rPr>
            </w:pPr>
            <w:r w:rsidRPr="00C82566">
              <w:rPr>
                <w:rFonts w:cs="Calibri"/>
                <w:sz w:val="20"/>
                <w:szCs w:val="20"/>
              </w:rPr>
              <w:t>3.1.1 Vyhodnocení efektivity strategických řídicích a hodnotících dokumentů v oblasti bezpečnosti</w:t>
            </w:r>
          </w:p>
        </w:tc>
      </w:tr>
      <w:tr w:rsidR="00C82566" w:rsidRPr="00C82566" w:rsidTr="005400A6">
        <w:trPr>
          <w:trHeight w:hRule="exact" w:val="889"/>
        </w:trPr>
        <w:tc>
          <w:tcPr>
            <w:tcW w:w="2088" w:type="dxa"/>
            <w:vMerge/>
            <w:shd w:val="clear" w:color="auto" w:fill="FFFFFF"/>
            <w:noWrap/>
            <w:vAlign w:val="center"/>
          </w:tcPr>
          <w:p w:rsidR="00C82566" w:rsidRPr="00C82566" w:rsidRDefault="00C82566" w:rsidP="00C82566">
            <w:pPr>
              <w:spacing w:before="0" w:after="200" w:line="276" w:lineRule="auto"/>
              <w:jc w:val="left"/>
              <w:rPr>
                <w:rFonts w:cs="Calibri"/>
                <w:sz w:val="20"/>
                <w:szCs w:val="20"/>
                <w:highlight w:val="yellow"/>
              </w:rPr>
            </w:pPr>
          </w:p>
        </w:tc>
        <w:tc>
          <w:tcPr>
            <w:tcW w:w="2520" w:type="dxa"/>
            <w:vMerge/>
            <w:shd w:val="clear" w:color="auto" w:fill="F2DBDB"/>
            <w:noWrap/>
            <w:vAlign w:val="center"/>
          </w:tcPr>
          <w:p w:rsidR="00C82566" w:rsidRPr="00C82566" w:rsidRDefault="00C82566" w:rsidP="00C82566">
            <w:pPr>
              <w:spacing w:before="0" w:after="200" w:line="276" w:lineRule="auto"/>
              <w:jc w:val="left"/>
              <w:rPr>
                <w:rFonts w:cs="Calibri"/>
                <w:sz w:val="20"/>
                <w:szCs w:val="20"/>
                <w:highlight w:val="yellow"/>
              </w:rPr>
            </w:pPr>
          </w:p>
        </w:tc>
        <w:tc>
          <w:tcPr>
            <w:tcW w:w="4680" w:type="dxa"/>
            <w:shd w:val="clear" w:color="auto" w:fill="FFFFFF"/>
            <w:vAlign w:val="center"/>
          </w:tcPr>
          <w:p w:rsidR="00C82566" w:rsidRPr="00C82566" w:rsidRDefault="00C82566" w:rsidP="00C82566">
            <w:pPr>
              <w:spacing w:before="0" w:after="200" w:line="276" w:lineRule="auto"/>
              <w:jc w:val="left"/>
              <w:rPr>
                <w:rFonts w:cs="Calibri"/>
                <w:sz w:val="20"/>
                <w:szCs w:val="20"/>
              </w:rPr>
            </w:pPr>
            <w:r w:rsidRPr="00C82566">
              <w:rPr>
                <w:rFonts w:cs="Calibri"/>
                <w:sz w:val="20"/>
                <w:szCs w:val="20"/>
              </w:rPr>
              <w:t>3.1.2 Podpora adaptability bezpečnostního systému ČR na změny v bezpečnostním prostředí a vznikající nové bezpečnostní hrozby</w:t>
            </w:r>
          </w:p>
        </w:tc>
      </w:tr>
      <w:tr w:rsidR="00C82566" w:rsidRPr="00C82566" w:rsidTr="005400A6">
        <w:trPr>
          <w:trHeight w:val="413"/>
        </w:trPr>
        <w:tc>
          <w:tcPr>
            <w:tcW w:w="2088" w:type="dxa"/>
            <w:vMerge/>
            <w:shd w:val="clear" w:color="auto" w:fill="FFFFFF"/>
            <w:noWrap/>
            <w:vAlign w:val="center"/>
          </w:tcPr>
          <w:p w:rsidR="00C82566" w:rsidRPr="00C82566" w:rsidRDefault="00C82566" w:rsidP="00C82566">
            <w:pPr>
              <w:spacing w:before="0" w:after="200" w:line="276" w:lineRule="auto"/>
              <w:jc w:val="left"/>
              <w:rPr>
                <w:rFonts w:cs="Calibri"/>
                <w:sz w:val="20"/>
                <w:szCs w:val="20"/>
                <w:highlight w:val="yellow"/>
              </w:rPr>
            </w:pPr>
          </w:p>
        </w:tc>
        <w:tc>
          <w:tcPr>
            <w:tcW w:w="2520" w:type="dxa"/>
            <w:vMerge w:val="restart"/>
            <w:shd w:val="clear" w:color="auto" w:fill="F2DBDB"/>
            <w:noWrap/>
            <w:vAlign w:val="center"/>
          </w:tcPr>
          <w:p w:rsidR="00C82566" w:rsidRPr="00C82566" w:rsidRDefault="00C82566" w:rsidP="00C82566">
            <w:pPr>
              <w:spacing w:before="0" w:after="200" w:line="276" w:lineRule="auto"/>
              <w:jc w:val="left"/>
              <w:rPr>
                <w:rFonts w:cs="Calibri"/>
                <w:sz w:val="20"/>
                <w:szCs w:val="20"/>
                <w:highlight w:val="yellow"/>
              </w:rPr>
            </w:pPr>
            <w:r w:rsidRPr="00C82566">
              <w:rPr>
                <w:rFonts w:cs="Calibri"/>
                <w:sz w:val="20"/>
                <w:szCs w:val="20"/>
              </w:rPr>
              <w:t>3.2 Hodnocení hrozeb a rizik, tvorba a rozvíjení scénářů, postupů a opatření</w:t>
            </w:r>
          </w:p>
        </w:tc>
        <w:tc>
          <w:tcPr>
            <w:tcW w:w="4680" w:type="dxa"/>
            <w:shd w:val="clear" w:color="auto" w:fill="FFFFFF"/>
            <w:vAlign w:val="center"/>
          </w:tcPr>
          <w:p w:rsidR="00C82566" w:rsidRPr="00C82566" w:rsidRDefault="00C82566" w:rsidP="00C82566">
            <w:pPr>
              <w:spacing w:before="0" w:after="200" w:line="276" w:lineRule="auto"/>
              <w:jc w:val="left"/>
              <w:rPr>
                <w:rFonts w:cs="Calibri"/>
                <w:sz w:val="20"/>
                <w:szCs w:val="20"/>
              </w:rPr>
            </w:pPr>
            <w:r w:rsidRPr="00C82566">
              <w:rPr>
                <w:rFonts w:cs="Calibri"/>
                <w:sz w:val="20"/>
                <w:szCs w:val="20"/>
              </w:rPr>
              <w:t>3.2.1 Analýza bezpečnostních hrozeb a tvorba scénářů vývoje bezpečnostní situace ve světě, Evropě a ČR</w:t>
            </w:r>
          </w:p>
        </w:tc>
      </w:tr>
      <w:tr w:rsidR="00C82566" w:rsidRPr="00C82566" w:rsidTr="005400A6">
        <w:trPr>
          <w:trHeight w:hRule="exact" w:val="412"/>
        </w:trPr>
        <w:tc>
          <w:tcPr>
            <w:tcW w:w="2088" w:type="dxa"/>
            <w:vMerge/>
            <w:shd w:val="clear" w:color="auto" w:fill="FFFFFF"/>
            <w:noWrap/>
            <w:vAlign w:val="center"/>
          </w:tcPr>
          <w:p w:rsidR="00C82566" w:rsidRPr="00C82566" w:rsidRDefault="00C82566" w:rsidP="00C82566">
            <w:pPr>
              <w:spacing w:before="0" w:after="200" w:line="276" w:lineRule="auto"/>
              <w:jc w:val="left"/>
              <w:rPr>
                <w:rFonts w:cs="Calibri"/>
                <w:sz w:val="20"/>
                <w:szCs w:val="20"/>
                <w:highlight w:val="yellow"/>
              </w:rPr>
            </w:pPr>
          </w:p>
        </w:tc>
        <w:tc>
          <w:tcPr>
            <w:tcW w:w="2520" w:type="dxa"/>
            <w:vMerge/>
            <w:shd w:val="clear" w:color="auto" w:fill="F2DBDB"/>
            <w:noWrap/>
            <w:vAlign w:val="center"/>
          </w:tcPr>
          <w:p w:rsidR="00C82566" w:rsidRPr="00C82566" w:rsidRDefault="00C82566" w:rsidP="00C82566">
            <w:pPr>
              <w:spacing w:before="0" w:after="200" w:line="276" w:lineRule="auto"/>
              <w:jc w:val="left"/>
              <w:rPr>
                <w:rFonts w:cs="Calibri"/>
                <w:sz w:val="20"/>
                <w:szCs w:val="20"/>
                <w:highlight w:val="yellow"/>
              </w:rPr>
            </w:pPr>
          </w:p>
        </w:tc>
        <w:tc>
          <w:tcPr>
            <w:tcW w:w="4680" w:type="dxa"/>
            <w:shd w:val="clear" w:color="auto" w:fill="FFFFFF"/>
            <w:vAlign w:val="center"/>
          </w:tcPr>
          <w:p w:rsidR="00C82566" w:rsidRPr="00C82566" w:rsidRDefault="00C82566" w:rsidP="00C82566">
            <w:pPr>
              <w:spacing w:before="0" w:after="200" w:line="276" w:lineRule="auto"/>
              <w:jc w:val="left"/>
              <w:rPr>
                <w:rFonts w:cs="Calibri"/>
                <w:sz w:val="20"/>
                <w:szCs w:val="20"/>
              </w:rPr>
            </w:pPr>
            <w:r w:rsidRPr="00C82566">
              <w:rPr>
                <w:rFonts w:cs="Calibri"/>
                <w:sz w:val="20"/>
                <w:szCs w:val="20"/>
              </w:rPr>
              <w:t>3.2.2 Podpora specifických oblastí bezpečnosti</w:t>
            </w:r>
          </w:p>
        </w:tc>
      </w:tr>
      <w:tr w:rsidR="00C82566" w:rsidRPr="00C82566" w:rsidTr="005400A6">
        <w:trPr>
          <w:trHeight w:val="267"/>
        </w:trPr>
        <w:tc>
          <w:tcPr>
            <w:tcW w:w="2088" w:type="dxa"/>
            <w:vMerge/>
            <w:shd w:val="clear" w:color="auto" w:fill="FFFFFF"/>
            <w:noWrap/>
            <w:vAlign w:val="center"/>
          </w:tcPr>
          <w:p w:rsidR="00C82566" w:rsidRPr="00C82566" w:rsidRDefault="00C82566" w:rsidP="00C82566">
            <w:pPr>
              <w:spacing w:before="0" w:after="200" w:line="276" w:lineRule="auto"/>
              <w:jc w:val="left"/>
              <w:rPr>
                <w:rFonts w:cs="Calibri"/>
                <w:sz w:val="20"/>
                <w:szCs w:val="20"/>
                <w:highlight w:val="yellow"/>
              </w:rPr>
            </w:pPr>
          </w:p>
        </w:tc>
        <w:tc>
          <w:tcPr>
            <w:tcW w:w="2520" w:type="dxa"/>
            <w:vMerge w:val="restart"/>
            <w:shd w:val="clear" w:color="auto" w:fill="F2DBDB"/>
            <w:noWrap/>
            <w:vAlign w:val="center"/>
          </w:tcPr>
          <w:p w:rsidR="00C82566" w:rsidRPr="00C82566" w:rsidRDefault="00C82566" w:rsidP="00C82566">
            <w:pPr>
              <w:spacing w:before="0" w:after="200" w:line="276" w:lineRule="auto"/>
              <w:jc w:val="left"/>
              <w:rPr>
                <w:rFonts w:cs="Calibri"/>
                <w:sz w:val="20"/>
                <w:szCs w:val="20"/>
                <w:highlight w:val="yellow"/>
              </w:rPr>
            </w:pPr>
            <w:r w:rsidRPr="00C82566">
              <w:rPr>
                <w:rFonts w:cs="Calibri"/>
                <w:sz w:val="20"/>
                <w:szCs w:val="20"/>
              </w:rPr>
              <w:t>3.3 Systémy analýzy, prevence, odezvy a obnovy</w:t>
            </w:r>
          </w:p>
        </w:tc>
        <w:tc>
          <w:tcPr>
            <w:tcW w:w="4680" w:type="dxa"/>
            <w:shd w:val="clear" w:color="auto" w:fill="FFFFFF"/>
            <w:vAlign w:val="center"/>
          </w:tcPr>
          <w:p w:rsidR="00C82566" w:rsidRPr="00C82566" w:rsidRDefault="00C82566" w:rsidP="00C82566">
            <w:pPr>
              <w:spacing w:before="0" w:after="200" w:line="276" w:lineRule="auto"/>
              <w:jc w:val="left"/>
              <w:rPr>
                <w:rFonts w:cs="Calibri"/>
                <w:sz w:val="20"/>
                <w:szCs w:val="20"/>
              </w:rPr>
            </w:pPr>
            <w:r w:rsidRPr="00C82566">
              <w:rPr>
                <w:rFonts w:cs="Calibri"/>
                <w:sz w:val="20"/>
                <w:szCs w:val="20"/>
              </w:rPr>
              <w:t>3.3.1 Zlepšení systémů získávání a třídění bezpečnostních informací</w:t>
            </w:r>
          </w:p>
        </w:tc>
      </w:tr>
      <w:tr w:rsidR="00C82566" w:rsidRPr="00C82566" w:rsidTr="005400A6">
        <w:trPr>
          <w:trHeight w:hRule="exact" w:val="394"/>
        </w:trPr>
        <w:tc>
          <w:tcPr>
            <w:tcW w:w="2088" w:type="dxa"/>
            <w:vMerge/>
            <w:shd w:val="clear" w:color="auto" w:fill="FFFFFF"/>
            <w:noWrap/>
            <w:vAlign w:val="center"/>
          </w:tcPr>
          <w:p w:rsidR="00C82566" w:rsidRPr="00C82566" w:rsidRDefault="00C82566" w:rsidP="00C82566">
            <w:pPr>
              <w:spacing w:before="0" w:after="200" w:line="276" w:lineRule="auto"/>
              <w:jc w:val="left"/>
              <w:rPr>
                <w:rFonts w:cs="Calibri"/>
                <w:sz w:val="20"/>
                <w:szCs w:val="20"/>
                <w:highlight w:val="yellow"/>
              </w:rPr>
            </w:pPr>
          </w:p>
        </w:tc>
        <w:tc>
          <w:tcPr>
            <w:tcW w:w="2520" w:type="dxa"/>
            <w:vMerge/>
            <w:shd w:val="clear" w:color="auto" w:fill="F2DBDB"/>
            <w:noWrap/>
            <w:vAlign w:val="center"/>
          </w:tcPr>
          <w:p w:rsidR="00C82566" w:rsidRPr="00C82566" w:rsidRDefault="00C82566" w:rsidP="00C82566">
            <w:pPr>
              <w:spacing w:before="0" w:after="200" w:line="276" w:lineRule="auto"/>
              <w:jc w:val="left"/>
              <w:rPr>
                <w:rFonts w:cs="Calibri"/>
                <w:sz w:val="20"/>
                <w:szCs w:val="20"/>
                <w:highlight w:val="yellow"/>
              </w:rPr>
            </w:pPr>
          </w:p>
        </w:tc>
        <w:tc>
          <w:tcPr>
            <w:tcW w:w="4680" w:type="dxa"/>
            <w:shd w:val="clear" w:color="auto" w:fill="FFFFFF"/>
            <w:vAlign w:val="center"/>
          </w:tcPr>
          <w:p w:rsidR="00C82566" w:rsidRPr="00C82566" w:rsidRDefault="00C82566" w:rsidP="00C82566">
            <w:pPr>
              <w:spacing w:before="0" w:after="200" w:line="276" w:lineRule="auto"/>
              <w:jc w:val="left"/>
              <w:rPr>
                <w:rFonts w:cs="Calibri"/>
                <w:sz w:val="20"/>
                <w:szCs w:val="20"/>
              </w:rPr>
            </w:pPr>
            <w:r w:rsidRPr="00C82566">
              <w:rPr>
                <w:rFonts w:cs="Calibri"/>
                <w:sz w:val="20"/>
                <w:szCs w:val="20"/>
              </w:rPr>
              <w:t>3.3.2 Analýza bezpečnostních informací</w:t>
            </w:r>
          </w:p>
        </w:tc>
      </w:tr>
      <w:tr w:rsidR="00C82566" w:rsidRPr="00C82566" w:rsidTr="005400A6">
        <w:trPr>
          <w:trHeight w:hRule="exact" w:val="693"/>
        </w:trPr>
        <w:tc>
          <w:tcPr>
            <w:tcW w:w="2088" w:type="dxa"/>
            <w:vMerge/>
            <w:shd w:val="clear" w:color="auto" w:fill="FFFFFF"/>
            <w:noWrap/>
            <w:vAlign w:val="center"/>
          </w:tcPr>
          <w:p w:rsidR="00C82566" w:rsidRPr="00C82566" w:rsidRDefault="00C82566" w:rsidP="00C82566">
            <w:pPr>
              <w:spacing w:before="0" w:after="200" w:line="276" w:lineRule="auto"/>
              <w:jc w:val="left"/>
              <w:rPr>
                <w:rFonts w:cs="Calibri"/>
                <w:sz w:val="20"/>
                <w:szCs w:val="20"/>
                <w:highlight w:val="yellow"/>
              </w:rPr>
            </w:pPr>
          </w:p>
        </w:tc>
        <w:tc>
          <w:tcPr>
            <w:tcW w:w="2520" w:type="dxa"/>
            <w:vMerge/>
            <w:shd w:val="clear" w:color="auto" w:fill="F2DBDB"/>
            <w:noWrap/>
            <w:vAlign w:val="center"/>
          </w:tcPr>
          <w:p w:rsidR="00C82566" w:rsidRPr="00C82566" w:rsidRDefault="00C82566" w:rsidP="00C82566">
            <w:pPr>
              <w:spacing w:before="0" w:after="200" w:line="276" w:lineRule="auto"/>
              <w:jc w:val="left"/>
              <w:rPr>
                <w:rFonts w:cs="Calibri"/>
                <w:sz w:val="20"/>
                <w:szCs w:val="20"/>
                <w:highlight w:val="yellow"/>
              </w:rPr>
            </w:pPr>
          </w:p>
        </w:tc>
        <w:tc>
          <w:tcPr>
            <w:tcW w:w="4680" w:type="dxa"/>
            <w:shd w:val="clear" w:color="auto" w:fill="FFFFFF"/>
            <w:vAlign w:val="center"/>
          </w:tcPr>
          <w:p w:rsidR="00C82566" w:rsidRPr="00C82566" w:rsidRDefault="00C82566" w:rsidP="00C82566">
            <w:pPr>
              <w:spacing w:before="0" w:after="200" w:line="276" w:lineRule="auto"/>
              <w:jc w:val="left"/>
              <w:rPr>
                <w:rFonts w:cs="Calibri"/>
                <w:sz w:val="20"/>
                <w:szCs w:val="20"/>
              </w:rPr>
            </w:pPr>
            <w:r w:rsidRPr="00C82566">
              <w:rPr>
                <w:rFonts w:cs="Calibri"/>
                <w:sz w:val="20"/>
                <w:szCs w:val="20"/>
              </w:rPr>
              <w:t xml:space="preserve">3.3.3 Zdokonalování účinnosti bezpečnostního systému a krizového řízení </w:t>
            </w:r>
          </w:p>
        </w:tc>
      </w:tr>
      <w:tr w:rsidR="00C82566" w:rsidRPr="00C82566" w:rsidTr="005400A6">
        <w:trPr>
          <w:trHeight w:hRule="exact" w:val="367"/>
        </w:trPr>
        <w:tc>
          <w:tcPr>
            <w:tcW w:w="2088" w:type="dxa"/>
            <w:vMerge/>
            <w:shd w:val="clear" w:color="auto" w:fill="FFFFFF"/>
            <w:noWrap/>
            <w:vAlign w:val="center"/>
          </w:tcPr>
          <w:p w:rsidR="00C82566" w:rsidRPr="00C82566" w:rsidRDefault="00C82566" w:rsidP="00C82566">
            <w:pPr>
              <w:spacing w:before="0" w:after="200" w:line="276" w:lineRule="auto"/>
              <w:jc w:val="left"/>
              <w:rPr>
                <w:rFonts w:cs="Calibri"/>
                <w:sz w:val="20"/>
                <w:szCs w:val="20"/>
                <w:highlight w:val="yellow"/>
              </w:rPr>
            </w:pPr>
          </w:p>
        </w:tc>
        <w:tc>
          <w:tcPr>
            <w:tcW w:w="2520" w:type="dxa"/>
            <w:vMerge/>
            <w:shd w:val="clear" w:color="auto" w:fill="F2DBDB"/>
            <w:noWrap/>
            <w:vAlign w:val="center"/>
          </w:tcPr>
          <w:p w:rsidR="00C82566" w:rsidRPr="00C82566" w:rsidRDefault="00C82566" w:rsidP="00C82566">
            <w:pPr>
              <w:spacing w:before="0" w:after="200" w:line="276" w:lineRule="auto"/>
              <w:jc w:val="left"/>
              <w:rPr>
                <w:rFonts w:cs="Calibri"/>
                <w:sz w:val="20"/>
                <w:szCs w:val="20"/>
                <w:highlight w:val="yellow"/>
              </w:rPr>
            </w:pPr>
          </w:p>
        </w:tc>
        <w:tc>
          <w:tcPr>
            <w:tcW w:w="4680" w:type="dxa"/>
            <w:shd w:val="clear" w:color="auto" w:fill="FFFFFF"/>
            <w:vAlign w:val="center"/>
          </w:tcPr>
          <w:p w:rsidR="00C82566" w:rsidRPr="00C82566" w:rsidRDefault="00C82566" w:rsidP="00C82566">
            <w:pPr>
              <w:spacing w:before="0" w:after="200" w:line="276" w:lineRule="auto"/>
              <w:jc w:val="left"/>
              <w:rPr>
                <w:rFonts w:cs="Calibri"/>
                <w:sz w:val="20"/>
                <w:szCs w:val="20"/>
              </w:rPr>
            </w:pPr>
            <w:r w:rsidRPr="00C82566">
              <w:rPr>
                <w:rFonts w:cs="Calibri"/>
                <w:sz w:val="20"/>
                <w:szCs w:val="20"/>
              </w:rPr>
              <w:t>3.3.4 Zdokonalení systémů pro podporu obnovy</w:t>
            </w:r>
          </w:p>
        </w:tc>
      </w:tr>
      <w:tr w:rsidR="00C82566" w:rsidRPr="00C82566" w:rsidTr="005400A6">
        <w:trPr>
          <w:trHeight w:hRule="exact" w:val="1114"/>
        </w:trPr>
        <w:tc>
          <w:tcPr>
            <w:tcW w:w="2088" w:type="dxa"/>
            <w:vMerge/>
            <w:shd w:val="clear" w:color="auto" w:fill="FFFFFF"/>
            <w:noWrap/>
            <w:vAlign w:val="center"/>
          </w:tcPr>
          <w:p w:rsidR="00C82566" w:rsidRPr="00C82566" w:rsidRDefault="00C82566" w:rsidP="00C82566">
            <w:pPr>
              <w:spacing w:before="0" w:after="200" w:line="276" w:lineRule="auto"/>
              <w:jc w:val="left"/>
              <w:rPr>
                <w:rFonts w:cs="Calibri"/>
                <w:sz w:val="20"/>
                <w:szCs w:val="20"/>
                <w:highlight w:val="yellow"/>
              </w:rPr>
            </w:pPr>
          </w:p>
        </w:tc>
        <w:tc>
          <w:tcPr>
            <w:tcW w:w="2520" w:type="dxa"/>
            <w:shd w:val="clear" w:color="auto" w:fill="F2DBDB"/>
            <w:noWrap/>
            <w:vAlign w:val="center"/>
          </w:tcPr>
          <w:p w:rsidR="00C82566" w:rsidRPr="00C82566" w:rsidRDefault="00C82566" w:rsidP="00C82566">
            <w:pPr>
              <w:spacing w:before="0" w:after="200" w:line="276" w:lineRule="auto"/>
              <w:jc w:val="left"/>
              <w:rPr>
                <w:rFonts w:cs="Calibri"/>
                <w:sz w:val="20"/>
                <w:szCs w:val="20"/>
                <w:highlight w:val="yellow"/>
              </w:rPr>
            </w:pPr>
            <w:r w:rsidRPr="00C82566">
              <w:rPr>
                <w:rFonts w:cs="Calibri"/>
                <w:sz w:val="20"/>
                <w:szCs w:val="20"/>
              </w:rPr>
              <w:t>3.4 Legislativní a právní problémy</w:t>
            </w:r>
          </w:p>
        </w:tc>
        <w:tc>
          <w:tcPr>
            <w:tcW w:w="4680" w:type="dxa"/>
            <w:shd w:val="clear" w:color="auto" w:fill="FFFFFF"/>
            <w:vAlign w:val="center"/>
          </w:tcPr>
          <w:p w:rsidR="00C82566" w:rsidRPr="00C82566" w:rsidRDefault="00C82566" w:rsidP="00C82566">
            <w:pPr>
              <w:spacing w:before="0" w:after="200" w:line="276" w:lineRule="auto"/>
              <w:jc w:val="left"/>
              <w:rPr>
                <w:rFonts w:cs="Calibri"/>
                <w:sz w:val="20"/>
                <w:szCs w:val="20"/>
              </w:rPr>
            </w:pPr>
            <w:r w:rsidRPr="00C82566">
              <w:rPr>
                <w:rFonts w:cs="Calibri"/>
                <w:sz w:val="20"/>
                <w:szCs w:val="20"/>
              </w:rPr>
              <w:t xml:space="preserve">3.4.1 Legislativní postupy a opatření v případě ohrožení vnitřní bezpečnosti státu, mimořádných přírodních a antropogenních událostí a krizových situací </w:t>
            </w:r>
          </w:p>
        </w:tc>
      </w:tr>
      <w:tr w:rsidR="00C82566" w:rsidRPr="00C82566" w:rsidTr="005400A6">
        <w:trPr>
          <w:trHeight w:hRule="exact" w:val="374"/>
        </w:trPr>
        <w:tc>
          <w:tcPr>
            <w:tcW w:w="2088" w:type="dxa"/>
            <w:vMerge w:val="restart"/>
            <w:shd w:val="clear" w:color="auto" w:fill="FFFFFF"/>
            <w:noWrap/>
            <w:vAlign w:val="center"/>
          </w:tcPr>
          <w:p w:rsidR="00C82566" w:rsidRPr="00C82566" w:rsidRDefault="00C82566" w:rsidP="00C82566">
            <w:pPr>
              <w:spacing w:before="0" w:after="200" w:line="276" w:lineRule="auto"/>
              <w:jc w:val="left"/>
              <w:rPr>
                <w:rFonts w:cs="Calibri"/>
                <w:sz w:val="20"/>
                <w:szCs w:val="20"/>
              </w:rPr>
            </w:pPr>
            <w:r w:rsidRPr="00C82566">
              <w:rPr>
                <w:rFonts w:cs="Calibri"/>
                <w:sz w:val="20"/>
                <w:szCs w:val="20"/>
              </w:rPr>
              <w:t xml:space="preserve">4. Obrana, obranyschopnost a nasazení ozbrojených sil </w:t>
            </w:r>
          </w:p>
        </w:tc>
        <w:tc>
          <w:tcPr>
            <w:tcW w:w="2520" w:type="dxa"/>
            <w:vMerge w:val="restart"/>
            <w:shd w:val="clear" w:color="auto" w:fill="F2DBDB"/>
            <w:noWrap/>
            <w:vAlign w:val="center"/>
          </w:tcPr>
          <w:p w:rsidR="00C82566" w:rsidRPr="00C82566" w:rsidRDefault="00C82566" w:rsidP="00C82566">
            <w:pPr>
              <w:spacing w:before="0" w:after="200" w:line="276" w:lineRule="auto"/>
              <w:jc w:val="left"/>
              <w:rPr>
                <w:rFonts w:cs="Calibri"/>
                <w:sz w:val="20"/>
                <w:szCs w:val="20"/>
              </w:rPr>
            </w:pPr>
            <w:r w:rsidRPr="00C82566">
              <w:rPr>
                <w:rFonts w:cs="Calibri"/>
                <w:sz w:val="20"/>
                <w:szCs w:val="20"/>
              </w:rPr>
              <w:t>4.1 Rozvoj schopností ozbrojených sil</w:t>
            </w:r>
          </w:p>
        </w:tc>
        <w:tc>
          <w:tcPr>
            <w:tcW w:w="4680" w:type="dxa"/>
            <w:shd w:val="clear" w:color="auto" w:fill="FFFFFF"/>
            <w:vAlign w:val="center"/>
          </w:tcPr>
          <w:p w:rsidR="00C82566" w:rsidRPr="00C82566" w:rsidRDefault="00C82566" w:rsidP="00C82566">
            <w:pPr>
              <w:spacing w:before="0" w:after="200" w:line="276" w:lineRule="auto"/>
              <w:jc w:val="left"/>
              <w:rPr>
                <w:rFonts w:cs="Calibri"/>
                <w:sz w:val="20"/>
                <w:szCs w:val="20"/>
              </w:rPr>
            </w:pPr>
            <w:r w:rsidRPr="00C82566">
              <w:rPr>
                <w:rFonts w:cs="Calibri"/>
                <w:sz w:val="20"/>
                <w:szCs w:val="20"/>
              </w:rPr>
              <w:t>4.1.1 Vývoj nových zbraňových a obranných systémů</w:t>
            </w:r>
          </w:p>
        </w:tc>
      </w:tr>
      <w:tr w:rsidR="00C82566" w:rsidRPr="00C82566" w:rsidTr="005400A6">
        <w:trPr>
          <w:trHeight w:hRule="exact" w:val="374"/>
        </w:trPr>
        <w:tc>
          <w:tcPr>
            <w:tcW w:w="2088" w:type="dxa"/>
            <w:vMerge/>
            <w:shd w:val="clear" w:color="auto" w:fill="FFFFFF"/>
            <w:noWrap/>
            <w:vAlign w:val="center"/>
          </w:tcPr>
          <w:p w:rsidR="00C82566" w:rsidRPr="00C82566" w:rsidRDefault="00C82566" w:rsidP="00C82566">
            <w:pPr>
              <w:spacing w:before="0" w:after="200" w:line="276" w:lineRule="auto"/>
              <w:jc w:val="left"/>
              <w:rPr>
                <w:rFonts w:cs="Calibri"/>
                <w:sz w:val="20"/>
                <w:szCs w:val="20"/>
              </w:rPr>
            </w:pPr>
          </w:p>
        </w:tc>
        <w:tc>
          <w:tcPr>
            <w:tcW w:w="2520" w:type="dxa"/>
            <w:vMerge/>
            <w:shd w:val="clear" w:color="auto" w:fill="F2DBDB"/>
            <w:noWrap/>
            <w:vAlign w:val="center"/>
          </w:tcPr>
          <w:p w:rsidR="00C82566" w:rsidRPr="00C82566" w:rsidRDefault="00C82566" w:rsidP="00C82566">
            <w:pPr>
              <w:spacing w:before="0" w:after="200" w:line="276" w:lineRule="auto"/>
              <w:jc w:val="left"/>
              <w:rPr>
                <w:rFonts w:cs="Calibri"/>
                <w:sz w:val="20"/>
                <w:szCs w:val="20"/>
              </w:rPr>
            </w:pPr>
          </w:p>
        </w:tc>
        <w:tc>
          <w:tcPr>
            <w:tcW w:w="4680" w:type="dxa"/>
            <w:shd w:val="clear" w:color="auto" w:fill="FFFFFF"/>
            <w:vAlign w:val="center"/>
          </w:tcPr>
          <w:p w:rsidR="00C82566" w:rsidRPr="00C82566" w:rsidRDefault="00C82566" w:rsidP="00C82566">
            <w:pPr>
              <w:spacing w:before="0" w:after="200" w:line="276" w:lineRule="auto"/>
              <w:jc w:val="left"/>
              <w:rPr>
                <w:rFonts w:cs="Calibri"/>
                <w:sz w:val="20"/>
                <w:szCs w:val="20"/>
              </w:rPr>
            </w:pPr>
            <w:r w:rsidRPr="00C82566">
              <w:rPr>
                <w:rFonts w:cs="Calibri"/>
                <w:sz w:val="20"/>
                <w:szCs w:val="20"/>
              </w:rPr>
              <w:t>4.1.2 Příprava, mobilita a udržitelnost sil</w:t>
            </w:r>
          </w:p>
        </w:tc>
      </w:tr>
      <w:tr w:rsidR="00C82566" w:rsidRPr="00C82566" w:rsidTr="005400A6">
        <w:trPr>
          <w:trHeight w:hRule="exact" w:val="374"/>
        </w:trPr>
        <w:tc>
          <w:tcPr>
            <w:tcW w:w="2088" w:type="dxa"/>
            <w:vMerge/>
            <w:tcBorders>
              <w:bottom w:val="single" w:sz="8" w:space="0" w:color="auto"/>
            </w:tcBorders>
            <w:shd w:val="clear" w:color="auto" w:fill="FFFFFF"/>
            <w:noWrap/>
            <w:vAlign w:val="center"/>
          </w:tcPr>
          <w:p w:rsidR="00C82566" w:rsidRPr="00C82566" w:rsidRDefault="00C82566" w:rsidP="00C82566">
            <w:pPr>
              <w:spacing w:before="0" w:after="200" w:line="276" w:lineRule="auto"/>
              <w:jc w:val="left"/>
              <w:rPr>
                <w:rFonts w:cs="Calibri"/>
                <w:sz w:val="20"/>
                <w:szCs w:val="20"/>
              </w:rPr>
            </w:pPr>
          </w:p>
        </w:tc>
        <w:tc>
          <w:tcPr>
            <w:tcW w:w="2520" w:type="dxa"/>
            <w:vMerge/>
            <w:tcBorders>
              <w:bottom w:val="single" w:sz="8" w:space="0" w:color="auto"/>
            </w:tcBorders>
            <w:shd w:val="clear" w:color="auto" w:fill="F2DBDB"/>
            <w:noWrap/>
            <w:vAlign w:val="center"/>
          </w:tcPr>
          <w:p w:rsidR="00C82566" w:rsidRPr="00C82566" w:rsidRDefault="00C82566" w:rsidP="00C82566">
            <w:pPr>
              <w:spacing w:before="0" w:after="200" w:line="276" w:lineRule="auto"/>
              <w:jc w:val="left"/>
              <w:rPr>
                <w:rFonts w:cs="Calibri"/>
                <w:sz w:val="20"/>
                <w:szCs w:val="20"/>
              </w:rPr>
            </w:pPr>
          </w:p>
        </w:tc>
        <w:tc>
          <w:tcPr>
            <w:tcW w:w="4680" w:type="dxa"/>
            <w:tcBorders>
              <w:bottom w:val="single" w:sz="8" w:space="0" w:color="auto"/>
            </w:tcBorders>
            <w:shd w:val="clear" w:color="auto" w:fill="FFFFFF"/>
            <w:vAlign w:val="center"/>
          </w:tcPr>
          <w:p w:rsidR="00C82566" w:rsidRPr="00C82566" w:rsidRDefault="00C82566" w:rsidP="00C82566">
            <w:pPr>
              <w:spacing w:before="0" w:after="200" w:line="276" w:lineRule="auto"/>
              <w:jc w:val="left"/>
              <w:rPr>
                <w:rFonts w:cs="Calibri"/>
                <w:sz w:val="20"/>
                <w:szCs w:val="20"/>
              </w:rPr>
            </w:pPr>
            <w:r w:rsidRPr="00C82566">
              <w:rPr>
                <w:rFonts w:cs="Calibri"/>
                <w:sz w:val="20"/>
                <w:szCs w:val="20"/>
              </w:rPr>
              <w:t>4.1.3 Podpora velení a řízení</w:t>
            </w:r>
          </w:p>
        </w:tc>
      </w:tr>
      <w:tr w:rsidR="00C82566" w:rsidRPr="00C82566" w:rsidTr="005400A6">
        <w:trPr>
          <w:trHeight w:hRule="exact" w:val="651"/>
        </w:trPr>
        <w:tc>
          <w:tcPr>
            <w:tcW w:w="2088" w:type="dxa"/>
            <w:vMerge/>
            <w:tcBorders>
              <w:bottom w:val="single" w:sz="8" w:space="0" w:color="auto"/>
            </w:tcBorders>
            <w:shd w:val="clear" w:color="auto" w:fill="FFFFFF"/>
            <w:noWrap/>
            <w:vAlign w:val="center"/>
          </w:tcPr>
          <w:p w:rsidR="00C82566" w:rsidRPr="00C82566" w:rsidRDefault="00C82566" w:rsidP="00C82566">
            <w:pPr>
              <w:spacing w:before="0" w:after="200" w:line="276" w:lineRule="auto"/>
              <w:jc w:val="left"/>
              <w:rPr>
                <w:rFonts w:cs="Calibri"/>
                <w:sz w:val="20"/>
                <w:szCs w:val="20"/>
              </w:rPr>
            </w:pPr>
          </w:p>
        </w:tc>
        <w:tc>
          <w:tcPr>
            <w:tcW w:w="2520" w:type="dxa"/>
            <w:vMerge/>
            <w:tcBorders>
              <w:bottom w:val="single" w:sz="8" w:space="0" w:color="auto"/>
            </w:tcBorders>
            <w:shd w:val="clear" w:color="auto" w:fill="F2DBDB"/>
            <w:noWrap/>
            <w:vAlign w:val="center"/>
          </w:tcPr>
          <w:p w:rsidR="00C82566" w:rsidRPr="00C82566" w:rsidRDefault="00C82566" w:rsidP="00C82566">
            <w:pPr>
              <w:spacing w:before="0" w:after="200" w:line="276" w:lineRule="auto"/>
              <w:jc w:val="left"/>
              <w:rPr>
                <w:rFonts w:cs="Calibri"/>
                <w:sz w:val="20"/>
                <w:szCs w:val="20"/>
              </w:rPr>
            </w:pPr>
          </w:p>
        </w:tc>
        <w:tc>
          <w:tcPr>
            <w:tcW w:w="4680" w:type="dxa"/>
            <w:tcBorders>
              <w:bottom w:val="single" w:sz="8" w:space="0" w:color="auto"/>
            </w:tcBorders>
            <w:shd w:val="clear" w:color="auto" w:fill="FFFFFF"/>
            <w:vAlign w:val="center"/>
          </w:tcPr>
          <w:p w:rsidR="00C82566" w:rsidRPr="00C82566" w:rsidRDefault="00C82566" w:rsidP="00C82566">
            <w:pPr>
              <w:spacing w:before="0" w:after="200" w:line="276" w:lineRule="auto"/>
              <w:jc w:val="left"/>
              <w:rPr>
                <w:rFonts w:cs="Calibri"/>
                <w:sz w:val="20"/>
                <w:szCs w:val="20"/>
              </w:rPr>
            </w:pPr>
            <w:r w:rsidRPr="00C82566">
              <w:rPr>
                <w:rFonts w:cs="Calibri"/>
                <w:sz w:val="20"/>
                <w:szCs w:val="20"/>
              </w:rPr>
              <w:t>4.1.4 Rozvoj komunikačních a informačních systémů a kybernetická obrana</w:t>
            </w:r>
          </w:p>
        </w:tc>
      </w:tr>
      <w:bookmarkEnd w:id="18"/>
    </w:tbl>
    <w:p w:rsidR="00C82566" w:rsidRPr="00C82566" w:rsidRDefault="00C82566" w:rsidP="00C82566">
      <w:pPr>
        <w:spacing w:before="0" w:after="200" w:line="276" w:lineRule="auto"/>
        <w:jc w:val="left"/>
      </w:pPr>
    </w:p>
    <w:p w:rsidR="00C82566" w:rsidRPr="00C82566" w:rsidRDefault="00C82566" w:rsidP="001E0D08">
      <w:r w:rsidRPr="00C82566">
        <w:t>Ministerstvo vnitra je v souladu s Koncepcí 2015 poskytovatelem institucionální podpory VaV pro výzkumné instituce, které se bezpečnostním výzkumem přednostně zabývají (</w:t>
      </w:r>
      <w:r w:rsidR="00DA197A">
        <w:fldChar w:fldCharType="begin"/>
      </w:r>
      <w:r w:rsidR="00DA197A">
        <w:instrText xml:space="preserve"> REF  _Ref451522034 \* Lower \h  \* MERGEFORMAT </w:instrText>
      </w:r>
      <w:r w:rsidR="00DA197A">
        <w:fldChar w:fldCharType="separate"/>
      </w:r>
      <w:r w:rsidR="003F08E5">
        <w:t xml:space="preserve">tab. </w:t>
      </w:r>
      <w:r w:rsidR="003F08E5">
        <w:rPr>
          <w:noProof/>
        </w:rPr>
        <w:t>2</w:t>
      </w:r>
      <w:r w:rsidR="00DA197A">
        <w:fldChar w:fldCharType="end"/>
      </w:r>
      <w:r w:rsidRPr="00C82566">
        <w:t>) a dále poskytovatelem účelové podpory VaV v rámci průřezových výzkumných programů v oblasti bezpečnostního výzkumu</w:t>
      </w:r>
      <w:r w:rsidR="001E0D08">
        <w:t xml:space="preserve">. V období 2010  2015 byla možné čerpat podporu z celkem pěti programů </w:t>
      </w:r>
      <w:r w:rsidR="001E0D08">
        <w:lastRenderedPageBreak/>
        <w:t>BV. Nejvýznamnějšími programy byly Bezpečnostní výzkum pro potřeby státu v letech 2010 až 2015 (VF) a Program bezpečnostního výzkumu České republiky 2010-2015</w:t>
      </w:r>
      <w:r w:rsidR="001E0D08" w:rsidRPr="00C82566">
        <w:t xml:space="preserve"> </w:t>
      </w:r>
      <w:r w:rsidR="001E0D08">
        <w:t xml:space="preserve">(VG). Cíle těchto programů jsou uvedeny v </w:t>
      </w:r>
      <w:r w:rsidR="00DA197A">
        <w:fldChar w:fldCharType="begin"/>
      </w:r>
      <w:r w:rsidR="00DA197A">
        <w:instrText xml:space="preserve"> REF  _Ref451522054 \* Lower \h  \* MERGEFORMAT </w:instrText>
      </w:r>
      <w:r w:rsidR="00DA197A">
        <w:fldChar w:fldCharType="separate"/>
      </w:r>
      <w:r w:rsidR="003F08E5">
        <w:t xml:space="preserve">tab. </w:t>
      </w:r>
      <w:r w:rsidR="003F08E5">
        <w:rPr>
          <w:noProof/>
        </w:rPr>
        <w:t>3</w:t>
      </w:r>
      <w:r w:rsidR="00DA197A">
        <w:fldChar w:fldCharType="end"/>
      </w:r>
      <w:r w:rsidRPr="00C82566">
        <w:t>.</w:t>
      </w:r>
    </w:p>
    <w:p w:rsidR="005400A6" w:rsidRDefault="005400A6" w:rsidP="005400A6">
      <w:pPr>
        <w:pStyle w:val="Titulek"/>
        <w:keepNext/>
      </w:pPr>
      <w:bookmarkStart w:id="19" w:name="_Ref451522034"/>
      <w:r>
        <w:t xml:space="preserve">Tab. </w:t>
      </w:r>
      <w:r w:rsidR="00990E2D">
        <w:fldChar w:fldCharType="begin"/>
      </w:r>
      <w:r w:rsidR="00990E2D">
        <w:instrText xml:space="preserve"> SEQ Tab. \* ARABIC </w:instrText>
      </w:r>
      <w:r w:rsidR="00990E2D">
        <w:fldChar w:fldCharType="separate"/>
      </w:r>
      <w:r w:rsidR="003F08E5">
        <w:rPr>
          <w:noProof/>
        </w:rPr>
        <w:t>2</w:t>
      </w:r>
      <w:r w:rsidR="00990E2D">
        <w:rPr>
          <w:noProof/>
        </w:rPr>
        <w:fldChar w:fldCharType="end"/>
      </w:r>
      <w:bookmarkEnd w:id="19"/>
      <w:r>
        <w:tab/>
      </w:r>
      <w:r w:rsidRPr="005400A6">
        <w:t>Příjemci institucionální podpory poskytované MV</w:t>
      </w:r>
    </w:p>
    <w:tbl>
      <w:tblPr>
        <w:tblStyle w:val="Mkatabulky6"/>
        <w:tblW w:w="0" w:type="auto"/>
        <w:shd w:val="clear" w:color="auto" w:fill="F2F2F2" w:themeFill="background1" w:themeFillShade="F2"/>
        <w:tblLook w:val="04A0" w:firstRow="1" w:lastRow="0" w:firstColumn="1" w:lastColumn="0" w:noHBand="0" w:noVBand="1"/>
      </w:tblPr>
      <w:tblGrid>
        <w:gridCol w:w="9212"/>
      </w:tblGrid>
      <w:tr w:rsidR="00C82566" w:rsidRPr="00C82566" w:rsidTr="00DA197A">
        <w:trPr>
          <w:trHeight w:val="2350"/>
        </w:trPr>
        <w:tc>
          <w:tcPr>
            <w:tcW w:w="9212" w:type="dxa"/>
            <w:shd w:val="clear" w:color="auto" w:fill="F2F2F2" w:themeFill="background1" w:themeFillShade="F2"/>
          </w:tcPr>
          <w:p w:rsidR="00C82566" w:rsidRPr="00C82566" w:rsidRDefault="00C82566" w:rsidP="004F74B7">
            <w:pPr>
              <w:numPr>
                <w:ilvl w:val="0"/>
                <w:numId w:val="12"/>
              </w:numPr>
              <w:spacing w:after="60"/>
              <w:ind w:left="714" w:hanging="357"/>
              <w:jc w:val="left"/>
              <w:rPr>
                <w:rFonts w:ascii="Calibri" w:eastAsia="Times New Roman" w:hAnsi="Calibri" w:cs="Times New Roman"/>
              </w:rPr>
            </w:pPr>
            <w:r w:rsidRPr="00C82566">
              <w:rPr>
                <w:rFonts w:ascii="Calibri" w:eastAsia="Times New Roman" w:hAnsi="Calibri" w:cs="Times New Roman"/>
              </w:rPr>
              <w:t>Policejní akademi</w:t>
            </w:r>
            <w:r w:rsidR="00193E93">
              <w:rPr>
                <w:rFonts w:ascii="Calibri" w:eastAsia="Times New Roman" w:hAnsi="Calibri" w:cs="Times New Roman"/>
              </w:rPr>
              <w:t>e</w:t>
            </w:r>
            <w:r w:rsidRPr="00C82566">
              <w:rPr>
                <w:rFonts w:ascii="Calibri" w:eastAsia="Times New Roman" w:hAnsi="Calibri" w:cs="Times New Roman"/>
              </w:rPr>
              <w:t xml:space="preserve"> ČR v Praze</w:t>
            </w:r>
          </w:p>
          <w:p w:rsidR="00C82566" w:rsidRPr="00C82566" w:rsidRDefault="00C82566" w:rsidP="004F74B7">
            <w:pPr>
              <w:numPr>
                <w:ilvl w:val="0"/>
                <w:numId w:val="12"/>
              </w:numPr>
              <w:spacing w:before="60" w:after="60"/>
              <w:ind w:left="714" w:hanging="357"/>
              <w:jc w:val="left"/>
              <w:rPr>
                <w:rFonts w:ascii="Calibri" w:eastAsia="Times New Roman" w:hAnsi="Calibri" w:cs="Times New Roman"/>
              </w:rPr>
            </w:pPr>
            <w:r w:rsidRPr="00C82566">
              <w:rPr>
                <w:rFonts w:ascii="Calibri" w:eastAsia="Times New Roman" w:hAnsi="Calibri" w:cs="Times New Roman"/>
              </w:rPr>
              <w:t>Kriminalistický ústav Praha</w:t>
            </w:r>
          </w:p>
          <w:p w:rsidR="00C82566" w:rsidRPr="00C82566" w:rsidRDefault="00C82566" w:rsidP="004F74B7">
            <w:pPr>
              <w:numPr>
                <w:ilvl w:val="0"/>
                <w:numId w:val="12"/>
              </w:numPr>
              <w:spacing w:before="60" w:after="60"/>
              <w:ind w:left="714" w:hanging="357"/>
              <w:jc w:val="left"/>
              <w:rPr>
                <w:rFonts w:ascii="Calibri" w:eastAsia="Times New Roman" w:hAnsi="Calibri" w:cs="Times New Roman"/>
              </w:rPr>
            </w:pPr>
            <w:r w:rsidRPr="00C82566">
              <w:rPr>
                <w:rFonts w:ascii="Calibri" w:eastAsia="Times New Roman" w:hAnsi="Calibri" w:cs="Times New Roman"/>
              </w:rPr>
              <w:t xml:space="preserve">Státní ústav jaderné, chemické a biologické ochrany, v.v.i. </w:t>
            </w:r>
          </w:p>
          <w:p w:rsidR="00C82566" w:rsidRPr="00C82566" w:rsidRDefault="00C82566" w:rsidP="004F74B7">
            <w:pPr>
              <w:numPr>
                <w:ilvl w:val="0"/>
                <w:numId w:val="12"/>
              </w:numPr>
              <w:spacing w:before="60" w:after="60"/>
              <w:ind w:left="714" w:hanging="357"/>
              <w:jc w:val="left"/>
              <w:rPr>
                <w:rFonts w:ascii="Calibri" w:eastAsia="Times New Roman" w:hAnsi="Calibri" w:cs="Times New Roman"/>
              </w:rPr>
            </w:pPr>
            <w:r w:rsidRPr="00C82566">
              <w:rPr>
                <w:rFonts w:ascii="Calibri" w:eastAsia="Times New Roman" w:hAnsi="Calibri" w:cs="Times New Roman"/>
              </w:rPr>
              <w:t xml:space="preserve">Státní ústav radiační ochrany, v.v.i. </w:t>
            </w:r>
          </w:p>
          <w:p w:rsidR="00C82566" w:rsidRPr="00C82566" w:rsidRDefault="00C82566" w:rsidP="004F74B7">
            <w:pPr>
              <w:numPr>
                <w:ilvl w:val="0"/>
                <w:numId w:val="12"/>
              </w:numPr>
              <w:spacing w:before="60" w:after="60"/>
              <w:ind w:left="714" w:hanging="357"/>
              <w:jc w:val="left"/>
              <w:rPr>
                <w:rFonts w:ascii="Calibri" w:eastAsia="Times New Roman" w:hAnsi="Calibri" w:cs="Times New Roman"/>
              </w:rPr>
            </w:pPr>
            <w:r w:rsidRPr="00C82566">
              <w:rPr>
                <w:rFonts w:ascii="Calibri" w:eastAsia="Times New Roman" w:hAnsi="Calibri" w:cs="Times New Roman"/>
              </w:rPr>
              <w:t>Institut pro kriminologii a sociální prevenci (M</w:t>
            </w:r>
            <w:r w:rsidR="00D3405D">
              <w:rPr>
                <w:rFonts w:ascii="Calibri" w:eastAsia="Times New Roman" w:hAnsi="Calibri" w:cs="Times New Roman"/>
              </w:rPr>
              <w:t>inisterstvo spravedlnosti</w:t>
            </w:r>
            <w:r w:rsidRPr="00C82566">
              <w:rPr>
                <w:rFonts w:ascii="Calibri" w:eastAsia="Times New Roman" w:hAnsi="Calibri" w:cs="Times New Roman"/>
              </w:rPr>
              <w:t>)</w:t>
            </w:r>
          </w:p>
          <w:p w:rsidR="00C82566" w:rsidRPr="00C82566" w:rsidRDefault="00C82566" w:rsidP="004F74B7">
            <w:pPr>
              <w:numPr>
                <w:ilvl w:val="0"/>
                <w:numId w:val="12"/>
              </w:numPr>
              <w:spacing w:before="60" w:after="60"/>
              <w:ind w:left="714" w:hanging="357"/>
              <w:jc w:val="left"/>
              <w:rPr>
                <w:rFonts w:ascii="Calibri" w:eastAsia="Times New Roman" w:hAnsi="Calibri" w:cs="Times New Roman"/>
              </w:rPr>
            </w:pPr>
            <w:r w:rsidRPr="00C82566">
              <w:rPr>
                <w:rFonts w:ascii="Calibri" w:eastAsia="Times New Roman" w:hAnsi="Calibri" w:cs="Times New Roman"/>
              </w:rPr>
              <w:t>Institut ochrany obyvatelstva Lázně Bohdaneč</w:t>
            </w:r>
          </w:p>
          <w:p w:rsidR="00C82566" w:rsidRPr="00C82566" w:rsidRDefault="00C82566" w:rsidP="004F74B7">
            <w:pPr>
              <w:numPr>
                <w:ilvl w:val="0"/>
                <w:numId w:val="12"/>
              </w:numPr>
              <w:spacing w:before="60" w:after="60"/>
              <w:ind w:left="714" w:hanging="357"/>
              <w:jc w:val="left"/>
              <w:rPr>
                <w:rFonts w:ascii="Calibri" w:eastAsia="Times New Roman" w:hAnsi="Calibri" w:cs="Times New Roman"/>
              </w:rPr>
            </w:pPr>
            <w:r w:rsidRPr="00C82566">
              <w:rPr>
                <w:rFonts w:ascii="Calibri" w:eastAsia="Times New Roman" w:hAnsi="Calibri" w:cs="Times New Roman"/>
              </w:rPr>
              <w:t>Technický ústav požární ochrany</w:t>
            </w:r>
          </w:p>
          <w:p w:rsidR="00C82566" w:rsidRPr="00C82566" w:rsidRDefault="00FF08DE" w:rsidP="004F74B7">
            <w:pPr>
              <w:numPr>
                <w:ilvl w:val="0"/>
                <w:numId w:val="12"/>
              </w:numPr>
              <w:spacing w:before="60"/>
              <w:ind w:left="714" w:hanging="357"/>
              <w:jc w:val="left"/>
              <w:rPr>
                <w:rFonts w:ascii="Calibri" w:eastAsia="Times New Roman" w:hAnsi="Calibri" w:cs="Times New Roman"/>
              </w:rPr>
            </w:pPr>
            <w:r>
              <w:rPr>
                <w:rFonts w:ascii="Calibri" w:eastAsia="Times New Roman" w:hAnsi="Calibri" w:cs="Times New Roman"/>
              </w:rPr>
              <w:t>Národní archiv</w:t>
            </w:r>
          </w:p>
        </w:tc>
      </w:tr>
    </w:tbl>
    <w:p w:rsidR="00C82566" w:rsidRPr="00C82566" w:rsidRDefault="00C82566" w:rsidP="00C82566">
      <w:pPr>
        <w:spacing w:before="0" w:after="200" w:line="276" w:lineRule="auto"/>
        <w:jc w:val="left"/>
        <w:rPr>
          <w:b/>
        </w:rPr>
      </w:pPr>
    </w:p>
    <w:p w:rsidR="00DA197A" w:rsidRDefault="00DA197A" w:rsidP="00DA197A">
      <w:pPr>
        <w:pStyle w:val="Titulek"/>
        <w:keepNext/>
      </w:pPr>
      <w:bookmarkStart w:id="20" w:name="_Ref451522054"/>
      <w:r>
        <w:t xml:space="preserve">Tab. </w:t>
      </w:r>
      <w:r w:rsidR="00990E2D">
        <w:fldChar w:fldCharType="begin"/>
      </w:r>
      <w:r w:rsidR="00990E2D">
        <w:instrText xml:space="preserve"> SEQ Tab. \* ARABIC </w:instrText>
      </w:r>
      <w:r w:rsidR="00990E2D">
        <w:fldChar w:fldCharType="separate"/>
      </w:r>
      <w:r w:rsidR="003F08E5">
        <w:rPr>
          <w:noProof/>
        </w:rPr>
        <w:t>3</w:t>
      </w:r>
      <w:r w:rsidR="00990E2D">
        <w:rPr>
          <w:noProof/>
        </w:rPr>
        <w:fldChar w:fldCharType="end"/>
      </w:r>
      <w:bookmarkEnd w:id="20"/>
      <w:r>
        <w:tab/>
      </w:r>
      <w:r w:rsidRPr="00DA197A">
        <w:t>Klíčové výzkumné programy MV v období 2010-2015</w:t>
      </w:r>
      <w:r>
        <w:t>. Zdroj: IS VaVaI</w:t>
      </w:r>
    </w:p>
    <w:tbl>
      <w:tblPr>
        <w:tblStyle w:val="Mkatabulky6"/>
        <w:tblW w:w="0" w:type="auto"/>
        <w:shd w:val="clear" w:color="auto" w:fill="F2F2F2" w:themeFill="background1" w:themeFillShade="F2"/>
        <w:tblLook w:val="04A0" w:firstRow="1" w:lastRow="0" w:firstColumn="1" w:lastColumn="0" w:noHBand="0" w:noVBand="1"/>
      </w:tblPr>
      <w:tblGrid>
        <w:gridCol w:w="9212"/>
      </w:tblGrid>
      <w:tr w:rsidR="001E0D08" w:rsidRPr="00C82566" w:rsidTr="00E2310A">
        <w:tc>
          <w:tcPr>
            <w:tcW w:w="9212" w:type="dxa"/>
            <w:shd w:val="clear" w:color="auto" w:fill="BFBFBF" w:themeFill="background1" w:themeFillShade="BF"/>
          </w:tcPr>
          <w:p w:rsidR="001E0D08" w:rsidRPr="00DA197A" w:rsidRDefault="001E0D08" w:rsidP="00E2310A">
            <w:pPr>
              <w:spacing w:before="60" w:after="60"/>
              <w:jc w:val="left"/>
            </w:pPr>
            <w:r w:rsidRPr="00DA197A">
              <w:t>VF - Bezpečnostní výzkum pro potřeby státu v letech 2010 až 2015</w:t>
            </w:r>
          </w:p>
        </w:tc>
      </w:tr>
      <w:tr w:rsidR="001E0D08" w:rsidRPr="00C82566" w:rsidTr="00E2310A">
        <w:tc>
          <w:tcPr>
            <w:tcW w:w="9212" w:type="dxa"/>
            <w:shd w:val="clear" w:color="auto" w:fill="F2F2F2" w:themeFill="background1" w:themeFillShade="F2"/>
          </w:tcPr>
          <w:p w:rsidR="001E0D08" w:rsidRPr="00C82566" w:rsidRDefault="001E0D08" w:rsidP="00E2310A">
            <w:r w:rsidRPr="00C82566">
              <w:t>Program byl realizován formou veřejných zakázek. Při tvorbě programu se vycházelo z potřeb nových poznatků, postupů a metod jejich šíření a zejména jejich využití v bezpečnostní praxi při zajišťování významných úkolů spojených s vnitřní bezpečností státu a jeho obyvatel. Cíl Programu byl stanoven na základě výzkumných potřeb jednotlivých resortů a ostatních státních institucí, které v rámci svěřené působnosti plní úkoly v oblasti vnitřní bezpečnosti a ochrany obyvatelstva České republiky. Jednotlivé výzkumné projekty byly hrazeny ve výši 100 % uznaných nákladů z veřejných prostředků. Jediným uživatelem výsledků výzkumu je stát, tj. příslušný orgán státní správy, který své výzkumné potřeby požadoval realizovat. Uchazeči o účelovou podporu byly výzkumné organizace a podniky s prokazatelnou praxí, výsledky ve výzkumu a vývoji a s dostatečným počtem výzkumných kapacit.</w:t>
            </w:r>
          </w:p>
        </w:tc>
      </w:tr>
      <w:tr w:rsidR="00DA197A" w:rsidRPr="00C82566" w:rsidTr="00DA197A">
        <w:tc>
          <w:tcPr>
            <w:tcW w:w="9212" w:type="dxa"/>
            <w:shd w:val="clear" w:color="auto" w:fill="BFBFBF" w:themeFill="background1" w:themeFillShade="BF"/>
          </w:tcPr>
          <w:p w:rsidR="00DA197A" w:rsidRPr="00DA197A" w:rsidRDefault="00DA197A" w:rsidP="00DA197A">
            <w:pPr>
              <w:spacing w:before="60" w:after="60"/>
              <w:jc w:val="left"/>
            </w:pPr>
            <w:r w:rsidRPr="00DA197A">
              <w:t>VG - Program bezpečnostního výzkumu České republiky 2010-2015</w:t>
            </w:r>
          </w:p>
        </w:tc>
      </w:tr>
      <w:tr w:rsidR="00C82566" w:rsidRPr="00C82566" w:rsidTr="00DA197A">
        <w:tc>
          <w:tcPr>
            <w:tcW w:w="9212" w:type="dxa"/>
            <w:shd w:val="clear" w:color="auto" w:fill="F2F2F2" w:themeFill="background1" w:themeFillShade="F2"/>
          </w:tcPr>
          <w:p w:rsidR="00C82566" w:rsidRPr="00C82566" w:rsidRDefault="00C82566" w:rsidP="00DA197A">
            <w:pPr>
              <w:rPr>
                <w:b/>
              </w:rPr>
            </w:pPr>
            <w:r w:rsidRPr="00C82566">
              <w:t>Program byl realizován veřejnou soutěží a byl navržen z důvodu potřebnosti zvýšení bezpečnosti státu a občanů s využitím nových technologií, poznatků a dalších výsledků aplikovaného výzkumu v oblasti identifikace, prevence a ochrany proti nezákonným jednáním poškozujícím občany ČR, organizace nebo struktury, statky, infrastruktury a proti přirozeným nebo průmyslovým pohromám. Uživateli výsledků Programu byly organizační složky státu nebo územní samosprávné celky, právnické nebo fyzické osoby. Příjemci podpory z Programu byly výzkumné organizace, malé, střední nebo velké podniky, případně inovační uskupení.</w:t>
            </w:r>
          </w:p>
        </w:tc>
      </w:tr>
    </w:tbl>
    <w:p w:rsidR="00C82566" w:rsidRPr="00C82566" w:rsidRDefault="00C82566" w:rsidP="00C82566">
      <w:pPr>
        <w:spacing w:before="0" w:after="200" w:line="276" w:lineRule="auto"/>
        <w:jc w:val="left"/>
        <w:rPr>
          <w:b/>
        </w:rPr>
      </w:pPr>
    </w:p>
    <w:p w:rsidR="00C82566" w:rsidRPr="00C82566" w:rsidRDefault="00C82566" w:rsidP="005400A6">
      <w:r w:rsidRPr="00C82566">
        <w:t xml:space="preserve">V době zpracování této studie probíhá na MV příprava návrhu nové Meziresortní koncepce bezpečnostního výzkumu ČR (tzv. Koncepce 2017+), k jejímuž formování má tato studie napomoci. </w:t>
      </w:r>
    </w:p>
    <w:p w:rsidR="00C82566" w:rsidRDefault="00C82566" w:rsidP="00C82566"/>
    <w:p w:rsidR="00FD4910" w:rsidRPr="00C82566" w:rsidRDefault="00FD4910" w:rsidP="00C82566"/>
    <w:p w:rsidR="00186429" w:rsidRDefault="001E0D08" w:rsidP="00186429">
      <w:pPr>
        <w:pStyle w:val="Nadpis2"/>
      </w:pPr>
      <w:bookmarkStart w:id="21" w:name="_Ref450057958"/>
      <w:bookmarkStart w:id="22" w:name="_Toc459723266"/>
      <w:r>
        <w:lastRenderedPageBreak/>
        <w:t>V</w:t>
      </w:r>
      <w:r w:rsidR="00186429">
        <w:t>eřejn</w:t>
      </w:r>
      <w:r>
        <w:t>á</w:t>
      </w:r>
      <w:r w:rsidR="00186429">
        <w:t xml:space="preserve"> podpor</w:t>
      </w:r>
      <w:r>
        <w:t>a</w:t>
      </w:r>
      <w:r w:rsidR="00186429">
        <w:t xml:space="preserve"> bezpečnostní</w:t>
      </w:r>
      <w:r>
        <w:t>ho</w:t>
      </w:r>
      <w:r w:rsidR="00186429">
        <w:t xml:space="preserve"> výzkum</w:t>
      </w:r>
      <w:r>
        <w:t>u v letech 2010 - 2015</w:t>
      </w:r>
      <w:bookmarkEnd w:id="21"/>
      <w:bookmarkEnd w:id="22"/>
    </w:p>
    <w:tbl>
      <w:tblPr>
        <w:tblW w:w="0" w:type="auto"/>
        <w:tblBorders>
          <w:top w:val="single" w:sz="4" w:space="0" w:color="auto"/>
          <w:left w:val="single" w:sz="4" w:space="0" w:color="auto"/>
          <w:bottom w:val="single" w:sz="4" w:space="0" w:color="auto"/>
          <w:right w:val="single" w:sz="4" w:space="0" w:color="auto"/>
        </w:tblBorders>
        <w:shd w:val="clear" w:color="auto" w:fill="F2F2F2" w:themeFill="background1" w:themeFillShade="F2"/>
        <w:tblLook w:val="04A0" w:firstRow="1" w:lastRow="0" w:firstColumn="1" w:lastColumn="0" w:noHBand="0" w:noVBand="1"/>
      </w:tblPr>
      <w:tblGrid>
        <w:gridCol w:w="9354"/>
      </w:tblGrid>
      <w:tr w:rsidR="001111DE" w:rsidTr="00347A3B">
        <w:tc>
          <w:tcPr>
            <w:tcW w:w="9354" w:type="dxa"/>
            <w:shd w:val="clear" w:color="auto" w:fill="F2F2F2" w:themeFill="background1" w:themeFillShade="F2"/>
          </w:tcPr>
          <w:p w:rsidR="001111DE" w:rsidRDefault="001111DE" w:rsidP="00347A3B">
            <w:r w:rsidRPr="00E04A05">
              <w:t xml:space="preserve">Nejvýznamnějším poskytovatelem veřejné podpory </w:t>
            </w:r>
            <w:r>
              <w:t xml:space="preserve">bezpečnostního výzkumu </w:t>
            </w:r>
            <w:r w:rsidRPr="00E04A05">
              <w:t>bylo</w:t>
            </w:r>
            <w:r>
              <w:t xml:space="preserve"> Ministerstvo vnitra (</w:t>
            </w:r>
            <w:r w:rsidRPr="00E04A05">
              <w:t>MV</w:t>
            </w:r>
            <w:r>
              <w:t>)</w:t>
            </w:r>
            <w:r w:rsidRPr="00E04A05">
              <w:t xml:space="preserve">, které v období 2010 </w:t>
            </w:r>
            <w:r>
              <w:t>–</w:t>
            </w:r>
            <w:r w:rsidRPr="00E04A05">
              <w:t xml:space="preserve"> 2015</w:t>
            </w:r>
            <w:r>
              <w:t xml:space="preserve"> </w:t>
            </w:r>
            <w:r w:rsidRPr="00E04A05">
              <w:t>poskyto</w:t>
            </w:r>
            <w:r>
              <w:t>va</w:t>
            </w:r>
            <w:r w:rsidRPr="00E04A05">
              <w:t>l</w:t>
            </w:r>
            <w:r>
              <w:t>o</w:t>
            </w:r>
            <w:r w:rsidRPr="00E04A05">
              <w:t xml:space="preserve"> institucionální podpor</w:t>
            </w:r>
            <w:r>
              <w:t>u</w:t>
            </w:r>
            <w:r w:rsidRPr="00E04A05">
              <w:t xml:space="preserve"> na rozvoj </w:t>
            </w:r>
            <w:r>
              <w:t>výzkumným organizací (</w:t>
            </w:r>
            <w:r w:rsidRPr="00E04A05">
              <w:t>VO</w:t>
            </w:r>
            <w:r>
              <w:t>)</w:t>
            </w:r>
            <w:r w:rsidRPr="00E04A05">
              <w:t xml:space="preserve"> i účelov</w:t>
            </w:r>
            <w:r>
              <w:t>ou</w:t>
            </w:r>
            <w:r w:rsidRPr="00E04A05">
              <w:t xml:space="preserve"> podpor</w:t>
            </w:r>
            <w:r>
              <w:t>u</w:t>
            </w:r>
            <w:r w:rsidRPr="00E04A05">
              <w:t xml:space="preserve"> </w:t>
            </w:r>
            <w:r>
              <w:t>pro výzkum a vývoj (</w:t>
            </w:r>
            <w:r w:rsidRPr="00E04A05">
              <w:t>VaV</w:t>
            </w:r>
            <w:r>
              <w:t>)</w:t>
            </w:r>
            <w:r w:rsidRPr="00E04A05">
              <w:t xml:space="preserve"> prostřednictvím programů bezpečnostního výzkumu</w:t>
            </w:r>
            <w:r>
              <w:t xml:space="preserve"> (</w:t>
            </w:r>
            <w:r w:rsidRPr="00E04A05">
              <w:t>BV</w:t>
            </w:r>
            <w:r>
              <w:t>)</w:t>
            </w:r>
            <w:r w:rsidRPr="00E04A05">
              <w:t>.</w:t>
            </w:r>
            <w:r>
              <w:t xml:space="preserve"> Institucionální podpora byla poskytována celkem osmi VO a její celková výše v uvedeném období dosáhla téměř 300 mil. Kč. K realizaci BV přispěly také některé programy VaV, které byly implementovány dalšími poskytovateli účelové podpory</w:t>
            </w:r>
            <w:r w:rsidR="00051F4A">
              <w:t>, a to zejména Technologickou agenturou ČR. Celková podpora, která byla z těchto programů poskytnuta na řešení projektů týkajících se problematiky bezpečnosti, přesáhla 2,3 mld. Kč.</w:t>
            </w:r>
          </w:p>
        </w:tc>
      </w:tr>
    </w:tbl>
    <w:p w:rsidR="00BC7166" w:rsidRDefault="00967DEC" w:rsidP="000D0A67">
      <w:r>
        <w:t xml:space="preserve">Nejvýznamnějším poskytovatelem </w:t>
      </w:r>
      <w:r w:rsidR="00AC0A09">
        <w:t xml:space="preserve">veřejné podpory BV </w:t>
      </w:r>
      <w:r>
        <w:t xml:space="preserve">bylo MV, které v uvedeném období </w:t>
      </w:r>
      <w:r w:rsidR="00C536F0">
        <w:t xml:space="preserve">v souladu </w:t>
      </w:r>
      <w:r w:rsidR="00C536F0" w:rsidRPr="00C536F0">
        <w:t>Reform</w:t>
      </w:r>
      <w:r w:rsidR="00C536F0">
        <w:t>ou</w:t>
      </w:r>
      <w:r w:rsidR="00C536F0" w:rsidRPr="00C536F0">
        <w:t xml:space="preserve"> systému výzkumu, vývoje a inovací v Č</w:t>
      </w:r>
      <w:r w:rsidR="001E0D08">
        <w:t>R</w:t>
      </w:r>
      <w:r w:rsidR="00C536F0">
        <w:t xml:space="preserve"> </w:t>
      </w:r>
      <w:r w:rsidR="00AC0A09">
        <w:fldChar w:fldCharType="begin"/>
      </w:r>
      <w:r w:rsidR="00AC0A09">
        <w:instrText xml:space="preserve"> REF _Ref450222326 \r \h </w:instrText>
      </w:r>
      <w:r w:rsidR="00AC0A09">
        <w:fldChar w:fldCharType="separate"/>
      </w:r>
      <w:r w:rsidR="003F08E5">
        <w:t>[2]</w:t>
      </w:r>
      <w:r w:rsidR="00AC0A09">
        <w:fldChar w:fldCharType="end"/>
      </w:r>
      <w:r w:rsidR="00AC0A09">
        <w:t xml:space="preserve"> bylo poskytovatelem institucionální </w:t>
      </w:r>
      <w:r w:rsidR="00BC7166">
        <w:t xml:space="preserve">podpory na </w:t>
      </w:r>
      <w:r w:rsidR="00BC7166" w:rsidRPr="00BC7166">
        <w:t xml:space="preserve">rozvoj </w:t>
      </w:r>
      <w:r w:rsidR="00BC7166">
        <w:t xml:space="preserve">VO </w:t>
      </w:r>
      <w:r w:rsidR="001E0D08">
        <w:t>i</w:t>
      </w:r>
      <w:r w:rsidR="00AC0A09">
        <w:t xml:space="preserve"> účelové podpory VaV</w:t>
      </w:r>
      <w:r w:rsidR="00BC7166">
        <w:t xml:space="preserve"> prostřednictvím programů bezpečnostního výzkumu.</w:t>
      </w:r>
    </w:p>
    <w:p w:rsidR="000D0A67" w:rsidRDefault="00AC0A09" w:rsidP="000D0A67">
      <w:r>
        <w:t xml:space="preserve">Institucionální podpora </w:t>
      </w:r>
      <w:r w:rsidR="00BC7166">
        <w:t xml:space="preserve">byla v uvedeném období poskytována celkem </w:t>
      </w:r>
      <w:r>
        <w:t>osm</w:t>
      </w:r>
      <w:r w:rsidR="00BC7166">
        <w:t>i</w:t>
      </w:r>
      <w:r>
        <w:t xml:space="preserve"> </w:t>
      </w:r>
      <w:r w:rsidR="001E0D08">
        <w:t>VO</w:t>
      </w:r>
      <w:r w:rsidR="00BC7166">
        <w:t xml:space="preserve"> a její celková výše</w:t>
      </w:r>
      <w:r w:rsidR="001E0D08">
        <w:t xml:space="preserve"> v letech 2010 až 2015 </w:t>
      </w:r>
      <w:r w:rsidR="007F18CF">
        <w:t>dosáhla přibližně 300 mil. Kč</w:t>
      </w:r>
      <w:r w:rsidR="00BC7166">
        <w:t>.</w:t>
      </w:r>
      <w:r w:rsidR="001F52F1">
        <w:t xml:space="preserve"> Účelová podpora byla </w:t>
      </w:r>
      <w:r w:rsidR="00FA631A">
        <w:t xml:space="preserve">poskytována prostřednictvím pěti programů bezpečnostního výzkumu. Celková výše účelové podpory poskytnutá MV v letech 2010 – 2015 </w:t>
      </w:r>
      <w:r w:rsidR="004979F8">
        <w:t>do</w:t>
      </w:r>
      <w:r w:rsidR="00FA631A">
        <w:t xml:space="preserve">sáhla </w:t>
      </w:r>
      <w:r w:rsidR="004979F8">
        <w:t xml:space="preserve">téměř 2,5 mld. Kč (v průměru přes 400 mil. Kč ročně). Podrobnější informace </w:t>
      </w:r>
      <w:r w:rsidR="007F18CF">
        <w:t xml:space="preserve">o institucionální a účelové podpoře poskytované z rozpočtové kapitoly MV a o příjemcích této podpory jsou uvedeny v kap. </w:t>
      </w:r>
      <w:r w:rsidR="007F18CF">
        <w:fldChar w:fldCharType="begin"/>
      </w:r>
      <w:r w:rsidR="007F18CF">
        <w:instrText xml:space="preserve"> REF _Ref450223233 \r \h </w:instrText>
      </w:r>
      <w:r w:rsidR="007F18CF">
        <w:fldChar w:fldCharType="separate"/>
      </w:r>
      <w:r w:rsidR="003F08E5">
        <w:t>2.2.1.1</w:t>
      </w:r>
      <w:r w:rsidR="007F18CF">
        <w:fldChar w:fldCharType="end"/>
      </w:r>
      <w:r w:rsidR="007F18CF">
        <w:t xml:space="preserve"> a </w:t>
      </w:r>
      <w:r w:rsidR="004979F8">
        <w:t xml:space="preserve">kap. </w:t>
      </w:r>
      <w:r w:rsidR="004979F8">
        <w:fldChar w:fldCharType="begin"/>
      </w:r>
      <w:r w:rsidR="004979F8">
        <w:instrText xml:space="preserve"> REF _Ref450223528 \r \h </w:instrText>
      </w:r>
      <w:r w:rsidR="004979F8">
        <w:fldChar w:fldCharType="separate"/>
      </w:r>
      <w:r w:rsidR="003F08E5">
        <w:t>2.2.1.2</w:t>
      </w:r>
      <w:r w:rsidR="004979F8">
        <w:fldChar w:fldCharType="end"/>
      </w:r>
      <w:r w:rsidR="004979F8">
        <w:t>.</w:t>
      </w:r>
    </w:p>
    <w:p w:rsidR="001F52F1" w:rsidRDefault="004979F8" w:rsidP="000D0A67">
      <w:r>
        <w:t xml:space="preserve">K realizaci bezpečnostně zaměřeného VaV přispěly také některé programy VaV, které byly implementovány dalšími poskytovateli účelové podpory. Nejvýznamnější podíl projektů, které </w:t>
      </w:r>
      <w:r w:rsidR="00B74772">
        <w:t xml:space="preserve">se tematicky překrývaly s </w:t>
      </w:r>
      <w:r>
        <w:t>bezpečnost</w:t>
      </w:r>
      <w:r w:rsidR="00B74772">
        <w:t>ní problematikou</w:t>
      </w:r>
      <w:r w:rsidR="00A41C17">
        <w:t>,</w:t>
      </w:r>
      <w:r>
        <w:t xml:space="preserve"> byl v programech TA ČR</w:t>
      </w:r>
      <w:r w:rsidR="008B6E4A">
        <w:t xml:space="preserve"> (1,03 mld. Kč)</w:t>
      </w:r>
      <w:r>
        <w:t xml:space="preserve">. Z analýzy zpracované v kap. </w:t>
      </w:r>
      <w:r>
        <w:fldChar w:fldCharType="begin"/>
      </w:r>
      <w:r>
        <w:instrText xml:space="preserve"> REF _Ref450223844 \r \h </w:instrText>
      </w:r>
      <w:r>
        <w:fldChar w:fldCharType="separate"/>
      </w:r>
      <w:r w:rsidR="003F08E5">
        <w:t>2.3</w:t>
      </w:r>
      <w:r>
        <w:fldChar w:fldCharType="end"/>
      </w:r>
      <w:r w:rsidR="008B6E4A">
        <w:t xml:space="preserve"> </w:t>
      </w:r>
      <w:r>
        <w:t>vyplývá, že celkov</w:t>
      </w:r>
      <w:r w:rsidR="001A61CA">
        <w:t>á</w:t>
      </w:r>
      <w:r>
        <w:t xml:space="preserve"> podpora poskytnutá na řešení takto zaměřených projektů v období 2010 – 2015 přesáhla</w:t>
      </w:r>
      <w:r w:rsidR="008B6E4A">
        <w:t xml:space="preserve"> </w:t>
      </w:r>
      <w:r w:rsidR="008B6E4A" w:rsidRPr="008B6E4A">
        <w:t>2</w:t>
      </w:r>
      <w:r w:rsidR="008B6E4A">
        <w:t>,</w:t>
      </w:r>
      <w:r w:rsidR="008B6E4A" w:rsidRPr="008B6E4A">
        <w:t xml:space="preserve">3 mld. Kč (bez započtení projektů velkých infrastruktur). </w:t>
      </w:r>
      <w:r>
        <w:t xml:space="preserve"> Bezpečnostně zaměřené proje</w:t>
      </w:r>
      <w:r w:rsidR="004F440C">
        <w:t>k</w:t>
      </w:r>
      <w:r>
        <w:t>ty, r</w:t>
      </w:r>
      <w:r w:rsidR="004F440C">
        <w:t xml:space="preserve">esp. projekty, jejichž výsledky měly bezpečnostní charakter nebo přispívaly ke zvýšení bezpečnosti, byly také řešeny v programech </w:t>
      </w:r>
      <w:r w:rsidR="001A61CA">
        <w:t xml:space="preserve">MŠMT, GA ČR, Ministerstva obrany, </w:t>
      </w:r>
      <w:r w:rsidR="004F440C">
        <w:t>Ministerstva průmyslu a obchodu (MPO)</w:t>
      </w:r>
      <w:r w:rsidR="009443C4">
        <w:t>,</w:t>
      </w:r>
      <w:r w:rsidR="004F440C">
        <w:t xml:space="preserve"> Ministerstva </w:t>
      </w:r>
      <w:r w:rsidR="00B74772">
        <w:t>zdravotnictví</w:t>
      </w:r>
      <w:r w:rsidR="009443C4">
        <w:t>, MŠMT</w:t>
      </w:r>
      <w:r w:rsidR="008B6E4A">
        <w:t>,</w:t>
      </w:r>
      <w:r w:rsidR="009443C4">
        <w:t xml:space="preserve"> GA ČR</w:t>
      </w:r>
      <w:r w:rsidR="001A61CA">
        <w:t xml:space="preserve"> </w:t>
      </w:r>
      <w:r w:rsidR="008B6E4A">
        <w:t>a Ministerstva zemědělství.</w:t>
      </w:r>
    </w:p>
    <w:p w:rsidR="00BC7166" w:rsidRDefault="00BC7166" w:rsidP="003B3188">
      <w:pPr>
        <w:pStyle w:val="Nadpis3"/>
        <w:rPr>
          <w:rFonts w:eastAsiaTheme="majorEastAsia"/>
        </w:rPr>
      </w:pPr>
      <w:bookmarkStart w:id="23" w:name="_Ref451692670"/>
      <w:bookmarkStart w:id="24" w:name="_Toc459723267"/>
      <w:bookmarkStart w:id="25" w:name="_Toc449959755"/>
      <w:r>
        <w:rPr>
          <w:rFonts w:eastAsiaTheme="majorEastAsia"/>
        </w:rPr>
        <w:t>Podpora poskytovaná Ministerstvem vnitra</w:t>
      </w:r>
      <w:bookmarkEnd w:id="23"/>
      <w:bookmarkEnd w:id="24"/>
    </w:p>
    <w:tbl>
      <w:tblPr>
        <w:tblW w:w="0" w:type="auto"/>
        <w:tblBorders>
          <w:top w:val="single" w:sz="4" w:space="0" w:color="auto"/>
          <w:left w:val="single" w:sz="4" w:space="0" w:color="auto"/>
          <w:bottom w:val="single" w:sz="4" w:space="0" w:color="auto"/>
          <w:right w:val="single" w:sz="4" w:space="0" w:color="auto"/>
        </w:tblBorders>
        <w:shd w:val="clear" w:color="auto" w:fill="F2F2F2" w:themeFill="background1" w:themeFillShade="F2"/>
        <w:tblLook w:val="04A0" w:firstRow="1" w:lastRow="0" w:firstColumn="1" w:lastColumn="0" w:noHBand="0" w:noVBand="1"/>
      </w:tblPr>
      <w:tblGrid>
        <w:gridCol w:w="9354"/>
      </w:tblGrid>
      <w:tr w:rsidR="001111DE" w:rsidTr="00347A3B">
        <w:tc>
          <w:tcPr>
            <w:tcW w:w="9354" w:type="dxa"/>
            <w:shd w:val="clear" w:color="auto" w:fill="F2F2F2" w:themeFill="background1" w:themeFillShade="F2"/>
          </w:tcPr>
          <w:p w:rsidR="001111DE" w:rsidRDefault="001111DE" w:rsidP="001111DE">
            <w:r>
              <w:t>MV v období 2010 – 2015 realizovalo celkem pět programů</w:t>
            </w:r>
            <w:r w:rsidR="00051F4A">
              <w:t xml:space="preserve"> (dále jen programy BV)</w:t>
            </w:r>
            <w:r>
              <w:t xml:space="preserve"> – dobíhající programy </w:t>
            </w:r>
            <w:r w:rsidRPr="00E04A05">
              <w:t>Program bez</w:t>
            </w:r>
            <w:r>
              <w:t>pečnostního výzkumu 2006 – 2010 (VD) a Resortní výzkum a vývoj 2007 – 2011 (VE), Bezpečnostní výzkum pro potřeby státu v letech 2010 až 2015 (VF), Program bezpečnostního výzkumu České republiky 2010 – 2015 (VG) a začínající program Bezpečnostní výzkum České republiky 2015-2020 (VI). C</w:t>
            </w:r>
            <w:r w:rsidRPr="00706554">
              <w:t>elkový rozpočet řešených projektů přesáhl 2,7 mld. Kč</w:t>
            </w:r>
            <w:r>
              <w:t xml:space="preserve">. MV na řešení projektů poskytlo téměř 2,5 mld. Kč, zbývající část rozpočtu projektů pocházela z jiných zdrojů </w:t>
            </w:r>
            <w:r w:rsidRPr="00706554">
              <w:t>(přibližně 260 mil. Kč</w:t>
            </w:r>
            <w:r>
              <w:t xml:space="preserve">). </w:t>
            </w:r>
          </w:p>
          <w:p w:rsidR="001111DE" w:rsidRDefault="001111DE" w:rsidP="001111DE">
            <w:r>
              <w:t>Výdaje MV na programy BV od roku 2010 narůstaly. Maximální výše dosáhly v roce 201</w:t>
            </w:r>
            <w:r w:rsidR="004369D5">
              <w:t>4</w:t>
            </w:r>
            <w:r>
              <w:t xml:space="preserve">, kdy MV poskytlo na řešení projektů přibližně </w:t>
            </w:r>
            <w:r w:rsidR="004369D5">
              <w:t>567</w:t>
            </w:r>
            <w:r>
              <w:t xml:space="preserve"> mil. Kč. Od tohoto roku roční výdaje na BV poskytnuté MV klesají. Největší část podpory BV byla poskytována prostřednictvím Programu bezpečnostního výzkumu České republiky 2010 – 2015 (VG).</w:t>
            </w:r>
          </w:p>
          <w:p w:rsidR="001111DE" w:rsidRDefault="001111DE" w:rsidP="001111DE">
            <w:r w:rsidRPr="005378F2">
              <w:t>V již ukončených programech (VD, VE, VF, VG) byl nejvíce podporován obor J - Průmysl, následovaný obory A - Společenskovědní obory, kde jejich nejvýznamnější část tvoří obor AQ -  Bezpečnost a ochrana zdraví, člověk – stroj. Dalšími poměrně silně podporovanými obory jsou C - Chemie, D - Vědy o Zemi a I - Informatika.</w:t>
            </w:r>
          </w:p>
          <w:p w:rsidR="001111DE" w:rsidRDefault="001111DE" w:rsidP="00977E2E">
            <w:r>
              <w:t>N</w:t>
            </w:r>
            <w:r w:rsidRPr="005378F2">
              <w:t xml:space="preserve">ejvětší část </w:t>
            </w:r>
            <w:r>
              <w:t xml:space="preserve">podpořených projektů </w:t>
            </w:r>
            <w:r w:rsidRPr="005378F2">
              <w:t xml:space="preserve">tvořily projekty s rozpočtem </w:t>
            </w:r>
            <w:r>
              <w:t>1</w:t>
            </w:r>
            <w:r w:rsidRPr="005378F2">
              <w:t>0 až 20 mil. Kč</w:t>
            </w:r>
            <w:r>
              <w:t>, které</w:t>
            </w:r>
            <w:r w:rsidRPr="00EB3CE9">
              <w:t xml:space="preserve"> lze považovat za přijatelně velké umožňující realizovat VaV v dostatečném rozsahu z hlediska splnění výzkumných cílů</w:t>
            </w:r>
            <w:r>
              <w:t>, včetně</w:t>
            </w:r>
            <w:r w:rsidRPr="00EB3CE9">
              <w:t xml:space="preserve"> technologicky zaměřených projektů</w:t>
            </w:r>
            <w:r w:rsidRPr="005378F2">
              <w:t>.</w:t>
            </w:r>
            <w:r>
              <w:t xml:space="preserve"> </w:t>
            </w:r>
            <w:r w:rsidRPr="00EB3CE9">
              <w:t xml:space="preserve">Malé projekty s rozsahem do 5 mil. Kč byly řešeny </w:t>
            </w:r>
            <w:r w:rsidRPr="00EB3CE9">
              <w:lastRenderedPageBreak/>
              <w:t>nejvíce v širším oboru společenských věd (A). Jedná se zpravidla o projekty, ve kterých byly zpracovávány analýzy apod., pro které by tyto částky měly být dostačující.</w:t>
            </w:r>
            <w:r>
              <w:t xml:space="preserve"> Pouze dva</w:t>
            </w:r>
            <w:r w:rsidRPr="00AE1AAE">
              <w:t xml:space="preserve"> projekty byly v rozsahu 80 </w:t>
            </w:r>
            <w:r>
              <w:t>až</w:t>
            </w:r>
            <w:r w:rsidRPr="00AE1AAE">
              <w:t xml:space="preserve"> 120 mil Kč</w:t>
            </w:r>
            <w:r>
              <w:t xml:space="preserve">, což </w:t>
            </w:r>
            <w:r w:rsidRPr="00EB3CE9">
              <w:t xml:space="preserve">může znamenat, že pouze výjimečně jsou řešeny projekty </w:t>
            </w:r>
            <w:r w:rsidR="00977E2E">
              <w:t xml:space="preserve">většího rozsahu </w:t>
            </w:r>
            <w:r w:rsidRPr="00EB3CE9">
              <w:t>vyžadující náročný VaV.</w:t>
            </w:r>
            <w:r>
              <w:t xml:space="preserve"> </w:t>
            </w:r>
          </w:p>
        </w:tc>
      </w:tr>
    </w:tbl>
    <w:p w:rsidR="00BC7166" w:rsidRDefault="00BC7166" w:rsidP="001F52F1">
      <w:pPr>
        <w:pStyle w:val="Nadpis4"/>
        <w:rPr>
          <w:rFonts w:eastAsiaTheme="majorEastAsia"/>
        </w:rPr>
      </w:pPr>
      <w:bookmarkStart w:id="26" w:name="_Ref450223233"/>
      <w:bookmarkStart w:id="27" w:name="_Toc459723268"/>
      <w:r>
        <w:rPr>
          <w:rFonts w:eastAsiaTheme="majorEastAsia"/>
        </w:rPr>
        <w:lastRenderedPageBreak/>
        <w:t>Institucionální podpora VaV</w:t>
      </w:r>
      <w:bookmarkEnd w:id="26"/>
      <w:bookmarkEnd w:id="27"/>
    </w:p>
    <w:p w:rsidR="002E13C9" w:rsidRDefault="002E13C9" w:rsidP="002E13C9">
      <w:r>
        <w:t xml:space="preserve">V současné době poskytuje MV </w:t>
      </w:r>
      <w:r w:rsidR="00BB4419">
        <w:t xml:space="preserve">v souladu s Reformou systému výzkumu, vývoje a inovací v ČR </w:t>
      </w:r>
      <w:r w:rsidR="00FF08DE">
        <w:fldChar w:fldCharType="begin"/>
      </w:r>
      <w:r w:rsidR="00FF08DE">
        <w:instrText xml:space="preserve"> REF _Ref450222326 \r \h </w:instrText>
      </w:r>
      <w:r w:rsidR="00FF08DE">
        <w:fldChar w:fldCharType="separate"/>
      </w:r>
      <w:r w:rsidR="003F08E5">
        <w:t>[2]</w:t>
      </w:r>
      <w:r w:rsidR="00FF08DE">
        <w:fldChar w:fldCharType="end"/>
      </w:r>
      <w:r w:rsidR="00FF08DE">
        <w:t xml:space="preserve"> </w:t>
      </w:r>
      <w:r>
        <w:t xml:space="preserve">institucionální podporu </w:t>
      </w:r>
      <w:r w:rsidR="00BB4419">
        <w:t xml:space="preserve">na rozvoj výzkumných organizací </w:t>
      </w:r>
      <w:r w:rsidR="00FF08DE">
        <w:t xml:space="preserve">následující </w:t>
      </w:r>
      <w:r w:rsidR="00BB4419">
        <w:t>institucím</w:t>
      </w:r>
      <w:r>
        <w:rPr>
          <w:rStyle w:val="Znakapoznpodarou"/>
        </w:rPr>
        <w:footnoteReference w:id="2"/>
      </w:r>
      <w:r>
        <w:t xml:space="preserve">: </w:t>
      </w:r>
    </w:p>
    <w:p w:rsidR="002E13C9" w:rsidRDefault="002E13C9" w:rsidP="004F74B7">
      <w:pPr>
        <w:pStyle w:val="Odstavecseseznamem"/>
        <w:numPr>
          <w:ilvl w:val="0"/>
          <w:numId w:val="7"/>
        </w:numPr>
        <w:ind w:left="714" w:hanging="357"/>
        <w:contextualSpacing w:val="0"/>
      </w:pPr>
      <w:r>
        <w:t xml:space="preserve">Policie ČR - Kriminalistický ústav Praha (KÚP), který je specializovaným výzkumným pracovištěm zabezpečujícím komplexní rozvoj kriminalistických oborů. </w:t>
      </w:r>
    </w:p>
    <w:p w:rsidR="002E13C9" w:rsidRDefault="002E13C9" w:rsidP="004F74B7">
      <w:pPr>
        <w:pStyle w:val="Odstavecseseznamem"/>
        <w:numPr>
          <w:ilvl w:val="0"/>
          <w:numId w:val="7"/>
        </w:numPr>
        <w:ind w:left="714" w:hanging="357"/>
        <w:contextualSpacing w:val="0"/>
      </w:pPr>
      <w:r>
        <w:t xml:space="preserve">MV - Generální ředitelství Hasičského záchranného sboru ČR, Institut ochrany obyvatelstva Lázně Bohdaneč (GŘ HZS ČR - IOOLB), je specializovaným výzkumným pracovištěm pro oblast civilního nouzového plánování, krizového řízení a integrovaného záchranného systému. </w:t>
      </w:r>
    </w:p>
    <w:p w:rsidR="002E13C9" w:rsidRDefault="002E13C9" w:rsidP="004F74B7">
      <w:pPr>
        <w:pStyle w:val="Odstavecseseznamem"/>
        <w:numPr>
          <w:ilvl w:val="0"/>
          <w:numId w:val="7"/>
        </w:numPr>
        <w:ind w:left="714" w:hanging="357"/>
        <w:contextualSpacing w:val="0"/>
      </w:pPr>
      <w:r>
        <w:t>MV - Generální ředitelství Hasičského záchranného sboru ČR, Technický ústav požární ochrany (GŘ HZS ČR - TÚPO, je specializovaným výzkumným pracovištěm na úseku požární ochrany v oblasti předcházení a likvidace požárů a následného zjišťování příčin jejich vzniku.</w:t>
      </w:r>
    </w:p>
    <w:p w:rsidR="002E13C9" w:rsidRDefault="002E13C9" w:rsidP="004F74B7">
      <w:pPr>
        <w:pStyle w:val="Odstavecseseznamem"/>
        <w:numPr>
          <w:ilvl w:val="0"/>
          <w:numId w:val="7"/>
        </w:numPr>
        <w:ind w:left="714" w:hanging="357"/>
        <w:contextualSpacing w:val="0"/>
      </w:pPr>
      <w:r>
        <w:t>Policejní akademie ČR v Praze (PA ČR) je státní VŠ univerzitního typu vůči které vykonává MV působnosti podle zákona o vysokých školách.</w:t>
      </w:r>
    </w:p>
    <w:p w:rsidR="002E13C9" w:rsidRDefault="002E13C9" w:rsidP="004F74B7">
      <w:pPr>
        <w:pStyle w:val="Odstavecseseznamem"/>
        <w:numPr>
          <w:ilvl w:val="0"/>
          <w:numId w:val="7"/>
        </w:numPr>
        <w:ind w:left="714" w:hanging="357"/>
        <w:contextualSpacing w:val="0"/>
      </w:pPr>
      <w:r>
        <w:t>Institut pro kriminologii a sociální prevenci (IKSP) je teoretickým, analytickým a výzkumným pracovištěm zřízeným je Ministerstvem spravedlnosti ČR.</w:t>
      </w:r>
    </w:p>
    <w:p w:rsidR="002E13C9" w:rsidRDefault="002E13C9" w:rsidP="004F74B7">
      <w:pPr>
        <w:pStyle w:val="Odstavecseseznamem"/>
        <w:numPr>
          <w:ilvl w:val="0"/>
          <w:numId w:val="7"/>
        </w:numPr>
        <w:ind w:left="714" w:hanging="357"/>
        <w:contextualSpacing w:val="0"/>
      </w:pPr>
      <w:r>
        <w:t xml:space="preserve">Státní ústav radiační ochrany, v.v.i. (SÚRO) zřízený Státním úřadem pro jadernou bezpečnost, který plní úkoly především pro svého zřizovatele a zapojuje se do řešení mezinárodních (evropských) projektů. </w:t>
      </w:r>
    </w:p>
    <w:p w:rsidR="002E13C9" w:rsidRDefault="002E13C9" w:rsidP="004F74B7">
      <w:pPr>
        <w:pStyle w:val="Odstavecseseznamem"/>
        <w:numPr>
          <w:ilvl w:val="0"/>
          <w:numId w:val="7"/>
        </w:numPr>
        <w:ind w:left="714" w:hanging="357"/>
        <w:contextualSpacing w:val="0"/>
      </w:pPr>
      <w:r>
        <w:t>Státní ústav jaderné, chemické a biologické ochrany, v.v.i. (</w:t>
      </w:r>
      <w:r w:rsidRPr="005816DC">
        <w:t>SÚJCHBO</w:t>
      </w:r>
      <w:r>
        <w:t xml:space="preserve">), který byl zřízen Státním úřadem pro jadernou bezpečnost, se zabývá metodami a postupy při detekci a identifikaci zneužitelných chemických, biologických, radiologických a jaderných látek (CBRN), dekontaminací a možnostmi ochrany před účinky CBRN látek. </w:t>
      </w:r>
    </w:p>
    <w:p w:rsidR="002E13C9" w:rsidRDefault="002E13C9" w:rsidP="004F74B7">
      <w:pPr>
        <w:pStyle w:val="Odstavecseseznamem"/>
        <w:numPr>
          <w:ilvl w:val="0"/>
          <w:numId w:val="7"/>
        </w:numPr>
        <w:ind w:left="714" w:hanging="357"/>
        <w:contextualSpacing w:val="0"/>
      </w:pPr>
      <w:r>
        <w:t>Národní archiv zřízený MV provádí výzkum v oblasti archivnictví, pomocných věd historických a v příbuzných vědních oborech.</w:t>
      </w:r>
    </w:p>
    <w:p w:rsidR="00FF08DE" w:rsidRPr="002E13C9" w:rsidRDefault="00BB4419" w:rsidP="00FF08DE">
      <w:r>
        <w:t xml:space="preserve">Přehled institucionální podpory přidělené MV těmto institucím ve sledovaném období 2010 – 2015 je uveden v </w:t>
      </w:r>
      <w:r w:rsidR="00FF08DE">
        <w:fldChar w:fldCharType="begin"/>
      </w:r>
      <w:r w:rsidR="00FF08DE">
        <w:instrText xml:space="preserve"> REF  _Ref453592974 \* Lower \h  \* MERGEFORMAT </w:instrText>
      </w:r>
      <w:r w:rsidR="00FF08DE">
        <w:fldChar w:fldCharType="separate"/>
      </w:r>
      <w:r w:rsidR="003F08E5">
        <w:t xml:space="preserve">tab. </w:t>
      </w:r>
      <w:r w:rsidR="003F08E5">
        <w:rPr>
          <w:noProof/>
        </w:rPr>
        <w:t>4</w:t>
      </w:r>
      <w:r w:rsidR="00FF08DE">
        <w:fldChar w:fldCharType="end"/>
      </w:r>
      <w:r>
        <w:t>.</w:t>
      </w:r>
      <w:r w:rsidR="00FF08DE">
        <w:t xml:space="preserve"> V období 2010 až 2015 MV rozdělilo téměř 300 mil. Kč institucionální podpory na rozvoj VO. Výše institucionální podpory se zvýšila z 32 mil. Kč v roce 2010 na 55 mil. Kč v letech 2014 a 2015. Nejvyšší institucionální podporu získal Institut ochrany obyvatelstva Lázně Bohdaneč, nejnižší institucionální naopak získal </w:t>
      </w:r>
      <w:r w:rsidR="00FF08DE" w:rsidRPr="00FF08DE">
        <w:t>Technický ústav požární ochrany</w:t>
      </w:r>
      <w:r w:rsidR="00FF08DE">
        <w:t xml:space="preserve"> GŘ HZS. </w:t>
      </w:r>
    </w:p>
    <w:p w:rsidR="00BB4419" w:rsidRDefault="00BB4419" w:rsidP="00BB4419">
      <w:pPr>
        <w:pStyle w:val="Titulek"/>
        <w:keepNext/>
      </w:pPr>
      <w:bookmarkStart w:id="28" w:name="_Ref453592974"/>
      <w:r>
        <w:t xml:space="preserve">Tab. </w:t>
      </w:r>
      <w:r w:rsidR="00990E2D">
        <w:fldChar w:fldCharType="begin"/>
      </w:r>
      <w:r w:rsidR="00990E2D">
        <w:instrText xml:space="preserve"> SEQ Tab. \* ARABIC </w:instrText>
      </w:r>
      <w:r w:rsidR="00990E2D">
        <w:fldChar w:fldCharType="separate"/>
      </w:r>
      <w:r w:rsidR="003F08E5">
        <w:rPr>
          <w:noProof/>
        </w:rPr>
        <w:t>4</w:t>
      </w:r>
      <w:r w:rsidR="00990E2D">
        <w:rPr>
          <w:noProof/>
        </w:rPr>
        <w:fldChar w:fldCharType="end"/>
      </w:r>
      <w:bookmarkEnd w:id="28"/>
      <w:r>
        <w:tab/>
      </w:r>
      <w:r w:rsidRPr="00BB4419">
        <w:t>Ins</w:t>
      </w:r>
      <w:r>
        <w:t>t</w:t>
      </w:r>
      <w:r w:rsidRPr="00BB4419">
        <w:t xml:space="preserve">itucionální podpora na rozvoj výzkumných organizací poskytovaná MV v letech 2010 </w:t>
      </w:r>
      <w:r w:rsidR="00FF08DE">
        <w:t>–</w:t>
      </w:r>
      <w:r w:rsidRPr="00BB4419">
        <w:t xml:space="preserve"> 2015. Zdroj:  MV</w:t>
      </w:r>
    </w:p>
    <w:tbl>
      <w:tblPr>
        <w:tblW w:w="8520" w:type="dxa"/>
        <w:jc w:val="center"/>
        <w:tblInd w:w="55" w:type="dxa"/>
        <w:tblCellMar>
          <w:left w:w="70" w:type="dxa"/>
          <w:right w:w="70" w:type="dxa"/>
        </w:tblCellMar>
        <w:tblLook w:val="04A0" w:firstRow="1" w:lastRow="0" w:firstColumn="1" w:lastColumn="0" w:noHBand="0" w:noVBand="1"/>
      </w:tblPr>
      <w:tblGrid>
        <w:gridCol w:w="2060"/>
        <w:gridCol w:w="862"/>
        <w:gridCol w:w="862"/>
        <w:gridCol w:w="862"/>
        <w:gridCol w:w="862"/>
        <w:gridCol w:w="862"/>
        <w:gridCol w:w="862"/>
        <w:gridCol w:w="1288"/>
      </w:tblGrid>
      <w:tr w:rsidR="00FF08DE" w:rsidRPr="00FF08DE" w:rsidTr="00FF08DE">
        <w:trPr>
          <w:trHeight w:val="375"/>
          <w:jc w:val="center"/>
        </w:trPr>
        <w:tc>
          <w:tcPr>
            <w:tcW w:w="2060" w:type="dxa"/>
            <w:vMerge w:val="restart"/>
            <w:tcBorders>
              <w:top w:val="single" w:sz="4" w:space="0" w:color="auto"/>
              <w:left w:val="nil"/>
              <w:bottom w:val="single" w:sz="4" w:space="0" w:color="000000"/>
              <w:right w:val="nil"/>
            </w:tcBorders>
            <w:shd w:val="clear" w:color="000000" w:fill="D9D9D9"/>
            <w:noWrap/>
            <w:vAlign w:val="center"/>
            <w:hideMark/>
          </w:tcPr>
          <w:p w:rsidR="00FF08DE" w:rsidRPr="00FF08DE" w:rsidRDefault="00FF08DE" w:rsidP="00FF08DE">
            <w:pPr>
              <w:spacing w:before="0" w:after="0"/>
              <w:jc w:val="left"/>
              <w:rPr>
                <w:rFonts w:ascii="Calibri" w:eastAsia="Times New Roman" w:hAnsi="Calibri" w:cs="Times New Roman"/>
                <w:b/>
                <w:bCs/>
                <w:color w:val="000000"/>
                <w:sz w:val="20"/>
                <w:szCs w:val="20"/>
                <w:lang w:eastAsia="cs-CZ"/>
              </w:rPr>
            </w:pPr>
            <w:r w:rsidRPr="00FF08DE">
              <w:rPr>
                <w:rFonts w:ascii="Calibri" w:eastAsia="Times New Roman" w:hAnsi="Calibri" w:cs="Times New Roman"/>
                <w:b/>
                <w:bCs/>
                <w:color w:val="000000"/>
                <w:sz w:val="20"/>
                <w:szCs w:val="20"/>
                <w:lang w:eastAsia="cs-CZ"/>
              </w:rPr>
              <w:t>Výzkumná organizace</w:t>
            </w:r>
          </w:p>
        </w:tc>
        <w:tc>
          <w:tcPr>
            <w:tcW w:w="6460" w:type="dxa"/>
            <w:gridSpan w:val="7"/>
            <w:tcBorders>
              <w:top w:val="single" w:sz="4" w:space="0" w:color="auto"/>
              <w:left w:val="nil"/>
              <w:bottom w:val="nil"/>
              <w:right w:val="nil"/>
            </w:tcBorders>
            <w:shd w:val="clear" w:color="000000" w:fill="D9D9D9"/>
            <w:noWrap/>
            <w:vAlign w:val="center"/>
            <w:hideMark/>
          </w:tcPr>
          <w:p w:rsidR="00FF08DE" w:rsidRPr="00FF08DE" w:rsidRDefault="00FF08DE" w:rsidP="00FF08DE">
            <w:pPr>
              <w:spacing w:before="0" w:after="0"/>
              <w:jc w:val="center"/>
              <w:rPr>
                <w:rFonts w:ascii="Calibri" w:eastAsia="Times New Roman" w:hAnsi="Calibri" w:cs="Times New Roman"/>
                <w:b/>
                <w:bCs/>
                <w:color w:val="000000"/>
                <w:sz w:val="20"/>
                <w:szCs w:val="20"/>
                <w:lang w:eastAsia="cs-CZ"/>
              </w:rPr>
            </w:pPr>
            <w:r w:rsidRPr="00FF08DE">
              <w:rPr>
                <w:rFonts w:ascii="Calibri" w:eastAsia="Times New Roman" w:hAnsi="Calibri" w:cs="Times New Roman"/>
                <w:b/>
                <w:bCs/>
                <w:color w:val="000000"/>
                <w:sz w:val="20"/>
                <w:szCs w:val="20"/>
                <w:lang w:eastAsia="cs-CZ"/>
              </w:rPr>
              <w:t>Institucionální podpora na rozvoj výzkumných organizací (ti. Kč)</w:t>
            </w:r>
          </w:p>
        </w:tc>
      </w:tr>
      <w:tr w:rsidR="00FF08DE" w:rsidRPr="00FF08DE" w:rsidTr="00FF08DE">
        <w:trPr>
          <w:trHeight w:val="405"/>
          <w:jc w:val="center"/>
        </w:trPr>
        <w:tc>
          <w:tcPr>
            <w:tcW w:w="2060" w:type="dxa"/>
            <w:vMerge/>
            <w:tcBorders>
              <w:top w:val="single" w:sz="4" w:space="0" w:color="auto"/>
              <w:left w:val="nil"/>
              <w:bottom w:val="single" w:sz="4" w:space="0" w:color="000000"/>
              <w:right w:val="nil"/>
            </w:tcBorders>
            <w:vAlign w:val="center"/>
            <w:hideMark/>
          </w:tcPr>
          <w:p w:rsidR="00FF08DE" w:rsidRPr="00FF08DE" w:rsidRDefault="00FF08DE" w:rsidP="00FF08DE">
            <w:pPr>
              <w:spacing w:before="0" w:after="0"/>
              <w:jc w:val="left"/>
              <w:rPr>
                <w:rFonts w:ascii="Calibri" w:eastAsia="Times New Roman" w:hAnsi="Calibri" w:cs="Times New Roman"/>
                <w:b/>
                <w:bCs/>
                <w:color w:val="000000"/>
                <w:sz w:val="20"/>
                <w:szCs w:val="20"/>
                <w:lang w:eastAsia="cs-CZ"/>
              </w:rPr>
            </w:pPr>
          </w:p>
        </w:tc>
        <w:tc>
          <w:tcPr>
            <w:tcW w:w="862" w:type="dxa"/>
            <w:tcBorders>
              <w:top w:val="nil"/>
              <w:left w:val="nil"/>
              <w:bottom w:val="single" w:sz="4" w:space="0" w:color="auto"/>
              <w:right w:val="nil"/>
            </w:tcBorders>
            <w:shd w:val="clear" w:color="000000" w:fill="D9D9D9"/>
            <w:noWrap/>
            <w:vAlign w:val="center"/>
            <w:hideMark/>
          </w:tcPr>
          <w:p w:rsidR="00FF08DE" w:rsidRPr="00FF08DE" w:rsidRDefault="00FF08DE" w:rsidP="00FF08DE">
            <w:pPr>
              <w:spacing w:before="0" w:after="0"/>
              <w:jc w:val="center"/>
              <w:rPr>
                <w:rFonts w:ascii="Calibri" w:eastAsia="Times New Roman" w:hAnsi="Calibri" w:cs="Times New Roman"/>
                <w:b/>
                <w:bCs/>
                <w:color w:val="000000"/>
                <w:sz w:val="20"/>
                <w:szCs w:val="20"/>
                <w:lang w:eastAsia="cs-CZ"/>
              </w:rPr>
            </w:pPr>
            <w:r w:rsidRPr="00FF08DE">
              <w:rPr>
                <w:rFonts w:ascii="Calibri" w:eastAsia="Times New Roman" w:hAnsi="Calibri" w:cs="Times New Roman"/>
                <w:b/>
                <w:bCs/>
                <w:color w:val="000000"/>
                <w:sz w:val="20"/>
                <w:szCs w:val="20"/>
                <w:lang w:eastAsia="cs-CZ"/>
              </w:rPr>
              <w:t>2010</w:t>
            </w:r>
          </w:p>
        </w:tc>
        <w:tc>
          <w:tcPr>
            <w:tcW w:w="862" w:type="dxa"/>
            <w:tcBorders>
              <w:top w:val="nil"/>
              <w:left w:val="nil"/>
              <w:bottom w:val="single" w:sz="4" w:space="0" w:color="auto"/>
              <w:right w:val="nil"/>
            </w:tcBorders>
            <w:shd w:val="clear" w:color="000000" w:fill="D9D9D9"/>
            <w:noWrap/>
            <w:vAlign w:val="center"/>
            <w:hideMark/>
          </w:tcPr>
          <w:p w:rsidR="00FF08DE" w:rsidRPr="00FF08DE" w:rsidRDefault="00FF08DE" w:rsidP="00FF08DE">
            <w:pPr>
              <w:spacing w:before="0" w:after="0"/>
              <w:jc w:val="center"/>
              <w:rPr>
                <w:rFonts w:ascii="Calibri" w:eastAsia="Times New Roman" w:hAnsi="Calibri" w:cs="Times New Roman"/>
                <w:b/>
                <w:bCs/>
                <w:color w:val="000000"/>
                <w:sz w:val="20"/>
                <w:szCs w:val="20"/>
                <w:lang w:eastAsia="cs-CZ"/>
              </w:rPr>
            </w:pPr>
            <w:r w:rsidRPr="00FF08DE">
              <w:rPr>
                <w:rFonts w:ascii="Calibri" w:eastAsia="Times New Roman" w:hAnsi="Calibri" w:cs="Times New Roman"/>
                <w:b/>
                <w:bCs/>
                <w:color w:val="000000"/>
                <w:sz w:val="20"/>
                <w:szCs w:val="20"/>
                <w:lang w:eastAsia="cs-CZ"/>
              </w:rPr>
              <w:t>2011</w:t>
            </w:r>
          </w:p>
        </w:tc>
        <w:tc>
          <w:tcPr>
            <w:tcW w:w="862" w:type="dxa"/>
            <w:tcBorders>
              <w:top w:val="nil"/>
              <w:left w:val="nil"/>
              <w:bottom w:val="single" w:sz="4" w:space="0" w:color="auto"/>
              <w:right w:val="nil"/>
            </w:tcBorders>
            <w:shd w:val="clear" w:color="000000" w:fill="D9D9D9"/>
            <w:noWrap/>
            <w:vAlign w:val="center"/>
            <w:hideMark/>
          </w:tcPr>
          <w:p w:rsidR="00FF08DE" w:rsidRPr="00FF08DE" w:rsidRDefault="00FF08DE" w:rsidP="00FF08DE">
            <w:pPr>
              <w:spacing w:before="0" w:after="0"/>
              <w:jc w:val="center"/>
              <w:rPr>
                <w:rFonts w:ascii="Calibri" w:eastAsia="Times New Roman" w:hAnsi="Calibri" w:cs="Times New Roman"/>
                <w:b/>
                <w:bCs/>
                <w:color w:val="000000"/>
                <w:sz w:val="20"/>
                <w:szCs w:val="20"/>
                <w:lang w:eastAsia="cs-CZ"/>
              </w:rPr>
            </w:pPr>
            <w:r w:rsidRPr="00FF08DE">
              <w:rPr>
                <w:rFonts w:ascii="Calibri" w:eastAsia="Times New Roman" w:hAnsi="Calibri" w:cs="Times New Roman"/>
                <w:b/>
                <w:bCs/>
                <w:color w:val="000000"/>
                <w:sz w:val="20"/>
                <w:szCs w:val="20"/>
                <w:lang w:eastAsia="cs-CZ"/>
              </w:rPr>
              <w:t>2012</w:t>
            </w:r>
          </w:p>
        </w:tc>
        <w:tc>
          <w:tcPr>
            <w:tcW w:w="862" w:type="dxa"/>
            <w:tcBorders>
              <w:top w:val="nil"/>
              <w:left w:val="nil"/>
              <w:bottom w:val="single" w:sz="4" w:space="0" w:color="auto"/>
              <w:right w:val="nil"/>
            </w:tcBorders>
            <w:shd w:val="clear" w:color="000000" w:fill="D9D9D9"/>
            <w:noWrap/>
            <w:vAlign w:val="center"/>
            <w:hideMark/>
          </w:tcPr>
          <w:p w:rsidR="00FF08DE" w:rsidRPr="00FF08DE" w:rsidRDefault="00FF08DE" w:rsidP="00FF08DE">
            <w:pPr>
              <w:spacing w:before="0" w:after="0"/>
              <w:jc w:val="center"/>
              <w:rPr>
                <w:rFonts w:ascii="Calibri" w:eastAsia="Times New Roman" w:hAnsi="Calibri" w:cs="Times New Roman"/>
                <w:b/>
                <w:bCs/>
                <w:color w:val="000000"/>
                <w:sz w:val="20"/>
                <w:szCs w:val="20"/>
                <w:lang w:eastAsia="cs-CZ"/>
              </w:rPr>
            </w:pPr>
            <w:r w:rsidRPr="00FF08DE">
              <w:rPr>
                <w:rFonts w:ascii="Calibri" w:eastAsia="Times New Roman" w:hAnsi="Calibri" w:cs="Times New Roman"/>
                <w:b/>
                <w:bCs/>
                <w:color w:val="000000"/>
                <w:sz w:val="20"/>
                <w:szCs w:val="20"/>
                <w:lang w:eastAsia="cs-CZ"/>
              </w:rPr>
              <w:t>2013</w:t>
            </w:r>
          </w:p>
        </w:tc>
        <w:tc>
          <w:tcPr>
            <w:tcW w:w="862" w:type="dxa"/>
            <w:tcBorders>
              <w:top w:val="nil"/>
              <w:left w:val="nil"/>
              <w:bottom w:val="single" w:sz="4" w:space="0" w:color="auto"/>
              <w:right w:val="nil"/>
            </w:tcBorders>
            <w:shd w:val="clear" w:color="000000" w:fill="D9D9D9"/>
            <w:noWrap/>
            <w:vAlign w:val="center"/>
            <w:hideMark/>
          </w:tcPr>
          <w:p w:rsidR="00FF08DE" w:rsidRPr="00FF08DE" w:rsidRDefault="00FF08DE" w:rsidP="00FF08DE">
            <w:pPr>
              <w:spacing w:before="0" w:after="0"/>
              <w:jc w:val="center"/>
              <w:rPr>
                <w:rFonts w:ascii="Calibri" w:eastAsia="Times New Roman" w:hAnsi="Calibri" w:cs="Times New Roman"/>
                <w:b/>
                <w:bCs/>
                <w:color w:val="000000"/>
                <w:sz w:val="20"/>
                <w:szCs w:val="20"/>
                <w:lang w:eastAsia="cs-CZ"/>
              </w:rPr>
            </w:pPr>
            <w:r w:rsidRPr="00FF08DE">
              <w:rPr>
                <w:rFonts w:ascii="Calibri" w:eastAsia="Times New Roman" w:hAnsi="Calibri" w:cs="Times New Roman"/>
                <w:b/>
                <w:bCs/>
                <w:color w:val="000000"/>
                <w:sz w:val="20"/>
                <w:szCs w:val="20"/>
                <w:lang w:eastAsia="cs-CZ"/>
              </w:rPr>
              <w:t>2014</w:t>
            </w:r>
          </w:p>
        </w:tc>
        <w:tc>
          <w:tcPr>
            <w:tcW w:w="862" w:type="dxa"/>
            <w:tcBorders>
              <w:top w:val="nil"/>
              <w:left w:val="nil"/>
              <w:bottom w:val="single" w:sz="4" w:space="0" w:color="auto"/>
              <w:right w:val="nil"/>
            </w:tcBorders>
            <w:shd w:val="clear" w:color="000000" w:fill="D9D9D9"/>
            <w:noWrap/>
            <w:vAlign w:val="center"/>
            <w:hideMark/>
          </w:tcPr>
          <w:p w:rsidR="00FF08DE" w:rsidRPr="00FF08DE" w:rsidRDefault="00FF08DE" w:rsidP="00FF08DE">
            <w:pPr>
              <w:spacing w:before="0" w:after="0"/>
              <w:jc w:val="center"/>
              <w:rPr>
                <w:rFonts w:ascii="Calibri" w:eastAsia="Times New Roman" w:hAnsi="Calibri" w:cs="Times New Roman"/>
                <w:b/>
                <w:bCs/>
                <w:color w:val="000000"/>
                <w:sz w:val="20"/>
                <w:szCs w:val="20"/>
                <w:lang w:eastAsia="cs-CZ"/>
              </w:rPr>
            </w:pPr>
            <w:r w:rsidRPr="00FF08DE">
              <w:rPr>
                <w:rFonts w:ascii="Calibri" w:eastAsia="Times New Roman" w:hAnsi="Calibri" w:cs="Times New Roman"/>
                <w:b/>
                <w:bCs/>
                <w:color w:val="000000"/>
                <w:sz w:val="20"/>
                <w:szCs w:val="20"/>
                <w:lang w:eastAsia="cs-CZ"/>
              </w:rPr>
              <w:t>2015</w:t>
            </w:r>
          </w:p>
        </w:tc>
        <w:tc>
          <w:tcPr>
            <w:tcW w:w="1288" w:type="dxa"/>
            <w:tcBorders>
              <w:top w:val="nil"/>
              <w:left w:val="nil"/>
              <w:bottom w:val="single" w:sz="4" w:space="0" w:color="auto"/>
              <w:right w:val="nil"/>
            </w:tcBorders>
            <w:shd w:val="clear" w:color="000000" w:fill="D9D9D9"/>
            <w:noWrap/>
            <w:vAlign w:val="center"/>
            <w:hideMark/>
          </w:tcPr>
          <w:p w:rsidR="00FF08DE" w:rsidRPr="00FF08DE" w:rsidRDefault="00FF08DE" w:rsidP="00FF08DE">
            <w:pPr>
              <w:spacing w:before="0" w:after="0"/>
              <w:jc w:val="center"/>
              <w:rPr>
                <w:rFonts w:ascii="Calibri" w:eastAsia="Times New Roman" w:hAnsi="Calibri" w:cs="Times New Roman"/>
                <w:b/>
                <w:bCs/>
                <w:color w:val="000000"/>
                <w:sz w:val="20"/>
                <w:szCs w:val="20"/>
                <w:lang w:eastAsia="cs-CZ"/>
              </w:rPr>
            </w:pPr>
            <w:r w:rsidRPr="00FF08DE">
              <w:rPr>
                <w:rFonts w:ascii="Calibri" w:eastAsia="Times New Roman" w:hAnsi="Calibri" w:cs="Times New Roman"/>
                <w:b/>
                <w:bCs/>
                <w:color w:val="000000"/>
                <w:sz w:val="20"/>
                <w:szCs w:val="20"/>
                <w:lang w:eastAsia="cs-CZ"/>
              </w:rPr>
              <w:t>2010 - 2015</w:t>
            </w:r>
          </w:p>
        </w:tc>
      </w:tr>
      <w:tr w:rsidR="00FF08DE" w:rsidRPr="00FF08DE" w:rsidTr="00FF08DE">
        <w:trPr>
          <w:trHeight w:val="255"/>
          <w:jc w:val="center"/>
        </w:trPr>
        <w:tc>
          <w:tcPr>
            <w:tcW w:w="2060" w:type="dxa"/>
            <w:tcBorders>
              <w:top w:val="nil"/>
              <w:left w:val="nil"/>
              <w:bottom w:val="nil"/>
              <w:right w:val="nil"/>
            </w:tcBorders>
            <w:shd w:val="clear" w:color="auto" w:fill="auto"/>
            <w:noWrap/>
            <w:vAlign w:val="center"/>
            <w:hideMark/>
          </w:tcPr>
          <w:p w:rsidR="00FF08DE" w:rsidRPr="00FF08DE" w:rsidRDefault="00FF08DE" w:rsidP="00FF08DE">
            <w:pPr>
              <w:spacing w:before="0" w:after="0"/>
              <w:jc w:val="left"/>
              <w:rPr>
                <w:rFonts w:ascii="Calibri" w:eastAsia="Times New Roman" w:hAnsi="Calibri" w:cs="Times New Roman"/>
                <w:color w:val="000000"/>
                <w:sz w:val="20"/>
                <w:szCs w:val="20"/>
                <w:lang w:eastAsia="cs-CZ"/>
              </w:rPr>
            </w:pPr>
            <w:r w:rsidRPr="00FF08DE">
              <w:rPr>
                <w:rFonts w:ascii="Calibri" w:eastAsia="Times New Roman" w:hAnsi="Calibri" w:cs="Times New Roman"/>
                <w:color w:val="000000"/>
                <w:sz w:val="20"/>
                <w:szCs w:val="20"/>
                <w:lang w:eastAsia="cs-CZ"/>
              </w:rPr>
              <w:t>KÚP</w:t>
            </w:r>
          </w:p>
        </w:tc>
        <w:tc>
          <w:tcPr>
            <w:tcW w:w="862" w:type="dxa"/>
            <w:tcBorders>
              <w:top w:val="nil"/>
              <w:left w:val="nil"/>
              <w:bottom w:val="nil"/>
              <w:right w:val="nil"/>
            </w:tcBorders>
            <w:shd w:val="clear" w:color="auto" w:fill="auto"/>
            <w:noWrap/>
            <w:vAlign w:val="center"/>
            <w:hideMark/>
          </w:tcPr>
          <w:p w:rsidR="00FF08DE" w:rsidRPr="00FF08DE" w:rsidRDefault="00FF08DE" w:rsidP="00FF08DE">
            <w:pPr>
              <w:spacing w:before="0" w:after="0"/>
              <w:jc w:val="right"/>
              <w:rPr>
                <w:rFonts w:ascii="Calibri" w:eastAsia="Times New Roman" w:hAnsi="Calibri" w:cs="Times New Roman"/>
                <w:color w:val="000000"/>
                <w:sz w:val="20"/>
                <w:szCs w:val="20"/>
                <w:lang w:eastAsia="cs-CZ"/>
              </w:rPr>
            </w:pPr>
            <w:r w:rsidRPr="00FF08DE">
              <w:rPr>
                <w:rFonts w:ascii="Calibri" w:eastAsia="Times New Roman" w:hAnsi="Calibri" w:cs="Times New Roman"/>
                <w:color w:val="000000"/>
                <w:sz w:val="20"/>
                <w:szCs w:val="20"/>
                <w:lang w:eastAsia="cs-CZ"/>
              </w:rPr>
              <w:t>9 065</w:t>
            </w:r>
          </w:p>
        </w:tc>
        <w:tc>
          <w:tcPr>
            <w:tcW w:w="862" w:type="dxa"/>
            <w:tcBorders>
              <w:top w:val="nil"/>
              <w:left w:val="nil"/>
              <w:bottom w:val="nil"/>
              <w:right w:val="nil"/>
            </w:tcBorders>
            <w:shd w:val="clear" w:color="auto" w:fill="auto"/>
            <w:noWrap/>
            <w:vAlign w:val="center"/>
            <w:hideMark/>
          </w:tcPr>
          <w:p w:rsidR="00FF08DE" w:rsidRPr="00FF08DE" w:rsidRDefault="00FF08DE" w:rsidP="00FF08DE">
            <w:pPr>
              <w:spacing w:before="0" w:after="0"/>
              <w:jc w:val="right"/>
              <w:rPr>
                <w:rFonts w:ascii="Calibri" w:eastAsia="Times New Roman" w:hAnsi="Calibri" w:cs="Times New Roman"/>
                <w:color w:val="000000"/>
                <w:sz w:val="20"/>
                <w:szCs w:val="20"/>
                <w:lang w:eastAsia="cs-CZ"/>
              </w:rPr>
            </w:pPr>
            <w:r w:rsidRPr="00FF08DE">
              <w:rPr>
                <w:rFonts w:ascii="Calibri" w:eastAsia="Times New Roman" w:hAnsi="Calibri" w:cs="Times New Roman"/>
                <w:color w:val="000000"/>
                <w:sz w:val="20"/>
                <w:szCs w:val="20"/>
                <w:lang w:eastAsia="cs-CZ"/>
              </w:rPr>
              <w:t>1 104</w:t>
            </w:r>
          </w:p>
        </w:tc>
        <w:tc>
          <w:tcPr>
            <w:tcW w:w="862" w:type="dxa"/>
            <w:tcBorders>
              <w:top w:val="nil"/>
              <w:left w:val="nil"/>
              <w:bottom w:val="nil"/>
              <w:right w:val="nil"/>
            </w:tcBorders>
            <w:shd w:val="clear" w:color="auto" w:fill="auto"/>
            <w:noWrap/>
            <w:vAlign w:val="center"/>
            <w:hideMark/>
          </w:tcPr>
          <w:p w:rsidR="00FF08DE" w:rsidRPr="00FF08DE" w:rsidRDefault="00FF08DE" w:rsidP="00FF08DE">
            <w:pPr>
              <w:spacing w:before="0" w:after="0"/>
              <w:jc w:val="right"/>
              <w:rPr>
                <w:rFonts w:ascii="Calibri" w:eastAsia="Times New Roman" w:hAnsi="Calibri" w:cs="Times New Roman"/>
                <w:color w:val="000000"/>
                <w:sz w:val="20"/>
                <w:szCs w:val="20"/>
                <w:lang w:eastAsia="cs-CZ"/>
              </w:rPr>
            </w:pPr>
            <w:r w:rsidRPr="00FF08DE">
              <w:rPr>
                <w:rFonts w:ascii="Calibri" w:eastAsia="Times New Roman" w:hAnsi="Calibri" w:cs="Times New Roman"/>
                <w:color w:val="000000"/>
                <w:sz w:val="20"/>
                <w:szCs w:val="20"/>
                <w:lang w:eastAsia="cs-CZ"/>
              </w:rPr>
              <w:t>3 870</w:t>
            </w:r>
          </w:p>
        </w:tc>
        <w:tc>
          <w:tcPr>
            <w:tcW w:w="862" w:type="dxa"/>
            <w:tcBorders>
              <w:top w:val="nil"/>
              <w:left w:val="nil"/>
              <w:bottom w:val="nil"/>
              <w:right w:val="nil"/>
            </w:tcBorders>
            <w:shd w:val="clear" w:color="auto" w:fill="auto"/>
            <w:noWrap/>
            <w:vAlign w:val="center"/>
            <w:hideMark/>
          </w:tcPr>
          <w:p w:rsidR="00FF08DE" w:rsidRPr="00FF08DE" w:rsidRDefault="00FF08DE" w:rsidP="00FF08DE">
            <w:pPr>
              <w:spacing w:before="0" w:after="0"/>
              <w:jc w:val="right"/>
              <w:rPr>
                <w:rFonts w:ascii="Calibri" w:eastAsia="Times New Roman" w:hAnsi="Calibri" w:cs="Times New Roman"/>
                <w:color w:val="000000"/>
                <w:sz w:val="20"/>
                <w:szCs w:val="20"/>
                <w:lang w:eastAsia="cs-CZ"/>
              </w:rPr>
            </w:pPr>
            <w:r w:rsidRPr="00FF08DE">
              <w:rPr>
                <w:rFonts w:ascii="Calibri" w:eastAsia="Times New Roman" w:hAnsi="Calibri" w:cs="Times New Roman"/>
                <w:color w:val="000000"/>
                <w:sz w:val="20"/>
                <w:szCs w:val="20"/>
                <w:lang w:eastAsia="cs-CZ"/>
              </w:rPr>
              <w:t>4 009</w:t>
            </w:r>
          </w:p>
        </w:tc>
        <w:tc>
          <w:tcPr>
            <w:tcW w:w="862" w:type="dxa"/>
            <w:tcBorders>
              <w:top w:val="nil"/>
              <w:left w:val="nil"/>
              <w:bottom w:val="nil"/>
              <w:right w:val="nil"/>
            </w:tcBorders>
            <w:shd w:val="clear" w:color="auto" w:fill="auto"/>
            <w:noWrap/>
            <w:vAlign w:val="center"/>
            <w:hideMark/>
          </w:tcPr>
          <w:p w:rsidR="00FF08DE" w:rsidRPr="00FF08DE" w:rsidRDefault="00FF08DE" w:rsidP="00FF08DE">
            <w:pPr>
              <w:spacing w:before="0" w:after="0"/>
              <w:jc w:val="right"/>
              <w:rPr>
                <w:rFonts w:ascii="Calibri" w:eastAsia="Times New Roman" w:hAnsi="Calibri" w:cs="Times New Roman"/>
                <w:color w:val="000000"/>
                <w:sz w:val="20"/>
                <w:szCs w:val="20"/>
                <w:lang w:eastAsia="cs-CZ"/>
              </w:rPr>
            </w:pPr>
            <w:r w:rsidRPr="00FF08DE">
              <w:rPr>
                <w:rFonts w:ascii="Calibri" w:eastAsia="Times New Roman" w:hAnsi="Calibri" w:cs="Times New Roman"/>
                <w:color w:val="000000"/>
                <w:sz w:val="20"/>
                <w:szCs w:val="20"/>
                <w:lang w:eastAsia="cs-CZ"/>
              </w:rPr>
              <w:t>4 901</w:t>
            </w:r>
          </w:p>
        </w:tc>
        <w:tc>
          <w:tcPr>
            <w:tcW w:w="862" w:type="dxa"/>
            <w:tcBorders>
              <w:top w:val="nil"/>
              <w:left w:val="nil"/>
              <w:bottom w:val="nil"/>
              <w:right w:val="nil"/>
            </w:tcBorders>
            <w:shd w:val="clear" w:color="auto" w:fill="auto"/>
            <w:noWrap/>
            <w:vAlign w:val="center"/>
            <w:hideMark/>
          </w:tcPr>
          <w:p w:rsidR="00FF08DE" w:rsidRPr="00FF08DE" w:rsidRDefault="00FF08DE" w:rsidP="00FF08DE">
            <w:pPr>
              <w:spacing w:before="0" w:after="0"/>
              <w:jc w:val="right"/>
              <w:rPr>
                <w:rFonts w:ascii="Calibri" w:eastAsia="Times New Roman" w:hAnsi="Calibri" w:cs="Times New Roman"/>
                <w:color w:val="000000"/>
                <w:sz w:val="20"/>
                <w:szCs w:val="20"/>
                <w:lang w:eastAsia="cs-CZ"/>
              </w:rPr>
            </w:pPr>
            <w:r w:rsidRPr="00FF08DE">
              <w:rPr>
                <w:rFonts w:ascii="Calibri" w:eastAsia="Times New Roman" w:hAnsi="Calibri" w:cs="Times New Roman"/>
                <w:color w:val="000000"/>
                <w:sz w:val="20"/>
                <w:szCs w:val="20"/>
                <w:lang w:eastAsia="cs-CZ"/>
              </w:rPr>
              <w:t>6 031</w:t>
            </w:r>
          </w:p>
        </w:tc>
        <w:tc>
          <w:tcPr>
            <w:tcW w:w="1288" w:type="dxa"/>
            <w:tcBorders>
              <w:top w:val="nil"/>
              <w:left w:val="nil"/>
              <w:bottom w:val="nil"/>
              <w:right w:val="nil"/>
            </w:tcBorders>
            <w:shd w:val="clear" w:color="000000" w:fill="F2F2F2"/>
            <w:noWrap/>
            <w:vAlign w:val="center"/>
            <w:hideMark/>
          </w:tcPr>
          <w:p w:rsidR="00FF08DE" w:rsidRPr="00FF08DE" w:rsidRDefault="00FF08DE" w:rsidP="00FF08DE">
            <w:pPr>
              <w:spacing w:before="0" w:after="0"/>
              <w:ind w:right="251"/>
              <w:jc w:val="right"/>
              <w:rPr>
                <w:rFonts w:ascii="Calibri" w:eastAsia="Times New Roman" w:hAnsi="Calibri" w:cs="Times New Roman"/>
                <w:b/>
                <w:bCs/>
                <w:color w:val="000000"/>
                <w:sz w:val="20"/>
                <w:szCs w:val="20"/>
                <w:lang w:eastAsia="cs-CZ"/>
              </w:rPr>
            </w:pPr>
            <w:r w:rsidRPr="00FF08DE">
              <w:rPr>
                <w:rFonts w:ascii="Calibri" w:eastAsia="Times New Roman" w:hAnsi="Calibri" w:cs="Times New Roman"/>
                <w:b/>
                <w:bCs/>
                <w:color w:val="000000"/>
                <w:sz w:val="20"/>
                <w:szCs w:val="20"/>
                <w:lang w:eastAsia="cs-CZ"/>
              </w:rPr>
              <w:t>28 980</w:t>
            </w:r>
          </w:p>
        </w:tc>
      </w:tr>
      <w:tr w:rsidR="00FF08DE" w:rsidRPr="00FF08DE" w:rsidTr="00FF08DE">
        <w:trPr>
          <w:trHeight w:val="255"/>
          <w:jc w:val="center"/>
        </w:trPr>
        <w:tc>
          <w:tcPr>
            <w:tcW w:w="2060" w:type="dxa"/>
            <w:tcBorders>
              <w:top w:val="nil"/>
              <w:left w:val="nil"/>
              <w:bottom w:val="nil"/>
              <w:right w:val="nil"/>
            </w:tcBorders>
            <w:shd w:val="clear" w:color="auto" w:fill="auto"/>
            <w:noWrap/>
            <w:vAlign w:val="center"/>
            <w:hideMark/>
          </w:tcPr>
          <w:p w:rsidR="00FF08DE" w:rsidRPr="00FF08DE" w:rsidRDefault="00FF08DE" w:rsidP="00FF08DE">
            <w:pPr>
              <w:spacing w:before="0" w:after="0"/>
              <w:jc w:val="left"/>
              <w:rPr>
                <w:rFonts w:ascii="Calibri" w:eastAsia="Times New Roman" w:hAnsi="Calibri" w:cs="Times New Roman"/>
                <w:color w:val="000000"/>
                <w:sz w:val="20"/>
                <w:szCs w:val="20"/>
                <w:lang w:eastAsia="cs-CZ"/>
              </w:rPr>
            </w:pPr>
            <w:r w:rsidRPr="00FF08DE">
              <w:rPr>
                <w:rFonts w:ascii="Calibri" w:eastAsia="Times New Roman" w:hAnsi="Calibri" w:cs="Times New Roman"/>
                <w:color w:val="000000"/>
                <w:sz w:val="20"/>
                <w:szCs w:val="20"/>
                <w:lang w:eastAsia="cs-CZ"/>
              </w:rPr>
              <w:t>MV GŘ HZS - IOOLB</w:t>
            </w:r>
          </w:p>
        </w:tc>
        <w:tc>
          <w:tcPr>
            <w:tcW w:w="862" w:type="dxa"/>
            <w:tcBorders>
              <w:top w:val="nil"/>
              <w:left w:val="nil"/>
              <w:bottom w:val="nil"/>
              <w:right w:val="nil"/>
            </w:tcBorders>
            <w:shd w:val="clear" w:color="auto" w:fill="auto"/>
            <w:noWrap/>
            <w:vAlign w:val="center"/>
            <w:hideMark/>
          </w:tcPr>
          <w:p w:rsidR="00FF08DE" w:rsidRPr="00FF08DE" w:rsidRDefault="00FF08DE" w:rsidP="00FF08DE">
            <w:pPr>
              <w:spacing w:before="0" w:after="0"/>
              <w:jc w:val="right"/>
              <w:rPr>
                <w:rFonts w:ascii="Calibri" w:eastAsia="Times New Roman" w:hAnsi="Calibri" w:cs="Times New Roman"/>
                <w:color w:val="000000"/>
                <w:sz w:val="20"/>
                <w:szCs w:val="20"/>
                <w:lang w:eastAsia="cs-CZ"/>
              </w:rPr>
            </w:pPr>
            <w:r w:rsidRPr="00FF08DE">
              <w:rPr>
                <w:rFonts w:ascii="Calibri" w:eastAsia="Times New Roman" w:hAnsi="Calibri" w:cs="Times New Roman"/>
                <w:color w:val="000000"/>
                <w:sz w:val="20"/>
                <w:szCs w:val="20"/>
                <w:lang w:eastAsia="cs-CZ"/>
              </w:rPr>
              <w:t>4 783</w:t>
            </w:r>
          </w:p>
        </w:tc>
        <w:tc>
          <w:tcPr>
            <w:tcW w:w="862" w:type="dxa"/>
            <w:tcBorders>
              <w:top w:val="nil"/>
              <w:left w:val="nil"/>
              <w:bottom w:val="nil"/>
              <w:right w:val="nil"/>
            </w:tcBorders>
            <w:shd w:val="clear" w:color="auto" w:fill="auto"/>
            <w:noWrap/>
            <w:vAlign w:val="center"/>
            <w:hideMark/>
          </w:tcPr>
          <w:p w:rsidR="00FF08DE" w:rsidRPr="00FF08DE" w:rsidRDefault="00FF08DE" w:rsidP="00FF08DE">
            <w:pPr>
              <w:spacing w:before="0" w:after="0"/>
              <w:jc w:val="right"/>
              <w:rPr>
                <w:rFonts w:ascii="Calibri" w:eastAsia="Times New Roman" w:hAnsi="Calibri" w:cs="Times New Roman"/>
                <w:color w:val="000000"/>
                <w:sz w:val="20"/>
                <w:szCs w:val="20"/>
                <w:lang w:eastAsia="cs-CZ"/>
              </w:rPr>
            </w:pPr>
            <w:r w:rsidRPr="00FF08DE">
              <w:rPr>
                <w:rFonts w:ascii="Calibri" w:eastAsia="Times New Roman" w:hAnsi="Calibri" w:cs="Times New Roman"/>
                <w:color w:val="000000"/>
                <w:sz w:val="20"/>
                <w:szCs w:val="20"/>
                <w:lang w:eastAsia="cs-CZ"/>
              </w:rPr>
              <w:t>14 422</w:t>
            </w:r>
          </w:p>
        </w:tc>
        <w:tc>
          <w:tcPr>
            <w:tcW w:w="862" w:type="dxa"/>
            <w:tcBorders>
              <w:top w:val="nil"/>
              <w:left w:val="nil"/>
              <w:bottom w:val="nil"/>
              <w:right w:val="nil"/>
            </w:tcBorders>
            <w:shd w:val="clear" w:color="auto" w:fill="auto"/>
            <w:noWrap/>
            <w:vAlign w:val="center"/>
            <w:hideMark/>
          </w:tcPr>
          <w:p w:rsidR="00FF08DE" w:rsidRPr="00FF08DE" w:rsidRDefault="00FF08DE" w:rsidP="00FF08DE">
            <w:pPr>
              <w:spacing w:before="0" w:after="0"/>
              <w:jc w:val="right"/>
              <w:rPr>
                <w:rFonts w:ascii="Calibri" w:eastAsia="Times New Roman" w:hAnsi="Calibri" w:cs="Times New Roman"/>
                <w:color w:val="000000"/>
                <w:sz w:val="20"/>
                <w:szCs w:val="20"/>
                <w:lang w:eastAsia="cs-CZ"/>
              </w:rPr>
            </w:pPr>
            <w:r w:rsidRPr="00FF08DE">
              <w:rPr>
                <w:rFonts w:ascii="Calibri" w:eastAsia="Times New Roman" w:hAnsi="Calibri" w:cs="Times New Roman"/>
                <w:color w:val="000000"/>
                <w:sz w:val="20"/>
                <w:szCs w:val="20"/>
                <w:lang w:eastAsia="cs-CZ"/>
              </w:rPr>
              <w:t>11 526</w:t>
            </w:r>
          </w:p>
        </w:tc>
        <w:tc>
          <w:tcPr>
            <w:tcW w:w="862" w:type="dxa"/>
            <w:tcBorders>
              <w:top w:val="nil"/>
              <w:left w:val="nil"/>
              <w:bottom w:val="nil"/>
              <w:right w:val="nil"/>
            </w:tcBorders>
            <w:shd w:val="clear" w:color="auto" w:fill="auto"/>
            <w:noWrap/>
            <w:vAlign w:val="center"/>
            <w:hideMark/>
          </w:tcPr>
          <w:p w:rsidR="00FF08DE" w:rsidRPr="00FF08DE" w:rsidRDefault="00FF08DE" w:rsidP="00FF08DE">
            <w:pPr>
              <w:spacing w:before="0" w:after="0"/>
              <w:jc w:val="right"/>
              <w:rPr>
                <w:rFonts w:ascii="Calibri" w:eastAsia="Times New Roman" w:hAnsi="Calibri" w:cs="Times New Roman"/>
                <w:color w:val="000000"/>
                <w:sz w:val="20"/>
                <w:szCs w:val="20"/>
                <w:lang w:eastAsia="cs-CZ"/>
              </w:rPr>
            </w:pPr>
            <w:r w:rsidRPr="00FF08DE">
              <w:rPr>
                <w:rFonts w:ascii="Calibri" w:eastAsia="Times New Roman" w:hAnsi="Calibri" w:cs="Times New Roman"/>
                <w:color w:val="000000"/>
                <w:sz w:val="20"/>
                <w:szCs w:val="20"/>
                <w:lang w:eastAsia="cs-CZ"/>
              </w:rPr>
              <w:t>13 323</w:t>
            </w:r>
          </w:p>
        </w:tc>
        <w:tc>
          <w:tcPr>
            <w:tcW w:w="862" w:type="dxa"/>
            <w:tcBorders>
              <w:top w:val="nil"/>
              <w:left w:val="nil"/>
              <w:bottom w:val="nil"/>
              <w:right w:val="nil"/>
            </w:tcBorders>
            <w:shd w:val="clear" w:color="auto" w:fill="auto"/>
            <w:noWrap/>
            <w:vAlign w:val="center"/>
            <w:hideMark/>
          </w:tcPr>
          <w:p w:rsidR="00FF08DE" w:rsidRPr="00FF08DE" w:rsidRDefault="00FF08DE" w:rsidP="00FF08DE">
            <w:pPr>
              <w:spacing w:before="0" w:after="0"/>
              <w:jc w:val="right"/>
              <w:rPr>
                <w:rFonts w:ascii="Calibri" w:eastAsia="Times New Roman" w:hAnsi="Calibri" w:cs="Times New Roman"/>
                <w:color w:val="000000"/>
                <w:sz w:val="20"/>
                <w:szCs w:val="20"/>
                <w:lang w:eastAsia="cs-CZ"/>
              </w:rPr>
            </w:pPr>
            <w:r w:rsidRPr="00FF08DE">
              <w:rPr>
                <w:rFonts w:ascii="Calibri" w:eastAsia="Times New Roman" w:hAnsi="Calibri" w:cs="Times New Roman"/>
                <w:color w:val="000000"/>
                <w:sz w:val="20"/>
                <w:szCs w:val="20"/>
                <w:lang w:eastAsia="cs-CZ"/>
              </w:rPr>
              <w:t>10 412</w:t>
            </w:r>
          </w:p>
        </w:tc>
        <w:tc>
          <w:tcPr>
            <w:tcW w:w="862" w:type="dxa"/>
            <w:tcBorders>
              <w:top w:val="nil"/>
              <w:left w:val="nil"/>
              <w:bottom w:val="nil"/>
              <w:right w:val="nil"/>
            </w:tcBorders>
            <w:shd w:val="clear" w:color="auto" w:fill="auto"/>
            <w:noWrap/>
            <w:vAlign w:val="center"/>
            <w:hideMark/>
          </w:tcPr>
          <w:p w:rsidR="00FF08DE" w:rsidRPr="00FF08DE" w:rsidRDefault="00FF08DE" w:rsidP="00FF08DE">
            <w:pPr>
              <w:spacing w:before="0" w:after="0"/>
              <w:jc w:val="right"/>
              <w:rPr>
                <w:rFonts w:ascii="Calibri" w:eastAsia="Times New Roman" w:hAnsi="Calibri" w:cs="Times New Roman"/>
                <w:color w:val="000000"/>
                <w:sz w:val="20"/>
                <w:szCs w:val="20"/>
                <w:lang w:eastAsia="cs-CZ"/>
              </w:rPr>
            </w:pPr>
            <w:r w:rsidRPr="00FF08DE">
              <w:rPr>
                <w:rFonts w:ascii="Calibri" w:eastAsia="Times New Roman" w:hAnsi="Calibri" w:cs="Times New Roman"/>
                <w:color w:val="000000"/>
                <w:sz w:val="20"/>
                <w:szCs w:val="20"/>
                <w:lang w:eastAsia="cs-CZ"/>
              </w:rPr>
              <w:t>9 452</w:t>
            </w:r>
          </w:p>
        </w:tc>
        <w:tc>
          <w:tcPr>
            <w:tcW w:w="1288" w:type="dxa"/>
            <w:tcBorders>
              <w:top w:val="nil"/>
              <w:left w:val="nil"/>
              <w:bottom w:val="nil"/>
              <w:right w:val="nil"/>
            </w:tcBorders>
            <w:shd w:val="clear" w:color="000000" w:fill="F2F2F2"/>
            <w:noWrap/>
            <w:vAlign w:val="center"/>
            <w:hideMark/>
          </w:tcPr>
          <w:p w:rsidR="00FF08DE" w:rsidRPr="00FF08DE" w:rsidRDefault="00FF08DE" w:rsidP="00FF08DE">
            <w:pPr>
              <w:spacing w:before="0" w:after="0"/>
              <w:ind w:right="251"/>
              <w:jc w:val="right"/>
              <w:rPr>
                <w:rFonts w:ascii="Calibri" w:eastAsia="Times New Roman" w:hAnsi="Calibri" w:cs="Times New Roman"/>
                <w:b/>
                <w:bCs/>
                <w:color w:val="000000"/>
                <w:sz w:val="20"/>
                <w:szCs w:val="20"/>
                <w:lang w:eastAsia="cs-CZ"/>
              </w:rPr>
            </w:pPr>
            <w:r w:rsidRPr="00FF08DE">
              <w:rPr>
                <w:rFonts w:ascii="Calibri" w:eastAsia="Times New Roman" w:hAnsi="Calibri" w:cs="Times New Roman"/>
                <w:b/>
                <w:bCs/>
                <w:color w:val="000000"/>
                <w:sz w:val="20"/>
                <w:szCs w:val="20"/>
                <w:lang w:eastAsia="cs-CZ"/>
              </w:rPr>
              <w:t>63 918</w:t>
            </w:r>
          </w:p>
        </w:tc>
      </w:tr>
      <w:tr w:rsidR="00FF08DE" w:rsidRPr="00FF08DE" w:rsidTr="00FF08DE">
        <w:trPr>
          <w:trHeight w:val="255"/>
          <w:jc w:val="center"/>
        </w:trPr>
        <w:tc>
          <w:tcPr>
            <w:tcW w:w="2060" w:type="dxa"/>
            <w:tcBorders>
              <w:top w:val="nil"/>
              <w:left w:val="nil"/>
              <w:bottom w:val="nil"/>
              <w:right w:val="nil"/>
            </w:tcBorders>
            <w:shd w:val="clear" w:color="auto" w:fill="auto"/>
            <w:noWrap/>
            <w:vAlign w:val="center"/>
            <w:hideMark/>
          </w:tcPr>
          <w:p w:rsidR="00FF08DE" w:rsidRPr="00FF08DE" w:rsidRDefault="00FF08DE" w:rsidP="00FF08DE">
            <w:pPr>
              <w:spacing w:before="0" w:after="0"/>
              <w:jc w:val="left"/>
              <w:rPr>
                <w:rFonts w:ascii="Calibri" w:eastAsia="Times New Roman" w:hAnsi="Calibri" w:cs="Times New Roman"/>
                <w:color w:val="000000"/>
                <w:sz w:val="20"/>
                <w:szCs w:val="20"/>
                <w:lang w:eastAsia="cs-CZ"/>
              </w:rPr>
            </w:pPr>
            <w:r w:rsidRPr="00FF08DE">
              <w:rPr>
                <w:rFonts w:ascii="Calibri" w:eastAsia="Times New Roman" w:hAnsi="Calibri" w:cs="Times New Roman"/>
                <w:color w:val="000000"/>
                <w:sz w:val="20"/>
                <w:szCs w:val="20"/>
                <w:lang w:eastAsia="cs-CZ"/>
              </w:rPr>
              <w:t>MV GŘ HZS - TÚPO</w:t>
            </w:r>
          </w:p>
        </w:tc>
        <w:tc>
          <w:tcPr>
            <w:tcW w:w="862" w:type="dxa"/>
            <w:tcBorders>
              <w:top w:val="nil"/>
              <w:left w:val="nil"/>
              <w:bottom w:val="nil"/>
              <w:right w:val="nil"/>
            </w:tcBorders>
            <w:shd w:val="clear" w:color="auto" w:fill="auto"/>
            <w:noWrap/>
            <w:vAlign w:val="center"/>
            <w:hideMark/>
          </w:tcPr>
          <w:p w:rsidR="00FF08DE" w:rsidRPr="00FF08DE" w:rsidRDefault="00FF08DE" w:rsidP="00FF08DE">
            <w:pPr>
              <w:spacing w:before="0" w:after="0"/>
              <w:jc w:val="right"/>
              <w:rPr>
                <w:rFonts w:ascii="Calibri" w:eastAsia="Times New Roman" w:hAnsi="Calibri" w:cs="Times New Roman"/>
                <w:color w:val="000000"/>
                <w:sz w:val="20"/>
                <w:szCs w:val="20"/>
                <w:lang w:eastAsia="cs-CZ"/>
              </w:rPr>
            </w:pPr>
            <w:r w:rsidRPr="00FF08DE">
              <w:rPr>
                <w:rFonts w:ascii="Calibri" w:eastAsia="Times New Roman" w:hAnsi="Calibri" w:cs="Times New Roman"/>
                <w:color w:val="000000"/>
                <w:sz w:val="20"/>
                <w:szCs w:val="20"/>
                <w:lang w:eastAsia="cs-CZ"/>
              </w:rPr>
              <w:t>114</w:t>
            </w:r>
          </w:p>
        </w:tc>
        <w:tc>
          <w:tcPr>
            <w:tcW w:w="862" w:type="dxa"/>
            <w:tcBorders>
              <w:top w:val="nil"/>
              <w:left w:val="nil"/>
              <w:bottom w:val="nil"/>
              <w:right w:val="nil"/>
            </w:tcBorders>
            <w:shd w:val="clear" w:color="auto" w:fill="auto"/>
            <w:noWrap/>
            <w:vAlign w:val="center"/>
            <w:hideMark/>
          </w:tcPr>
          <w:p w:rsidR="00FF08DE" w:rsidRPr="00FF08DE" w:rsidRDefault="00FF08DE" w:rsidP="00FF08DE">
            <w:pPr>
              <w:spacing w:before="0" w:after="0"/>
              <w:jc w:val="right"/>
              <w:rPr>
                <w:rFonts w:ascii="Calibri" w:eastAsia="Times New Roman" w:hAnsi="Calibri" w:cs="Times New Roman"/>
                <w:color w:val="000000"/>
                <w:sz w:val="20"/>
                <w:szCs w:val="20"/>
                <w:lang w:eastAsia="cs-CZ"/>
              </w:rPr>
            </w:pPr>
            <w:r w:rsidRPr="00FF08DE">
              <w:rPr>
                <w:rFonts w:ascii="Calibri" w:eastAsia="Times New Roman" w:hAnsi="Calibri" w:cs="Times New Roman"/>
                <w:color w:val="000000"/>
                <w:sz w:val="20"/>
                <w:szCs w:val="20"/>
                <w:lang w:eastAsia="cs-CZ"/>
              </w:rPr>
              <w:t>78</w:t>
            </w:r>
          </w:p>
        </w:tc>
        <w:tc>
          <w:tcPr>
            <w:tcW w:w="862" w:type="dxa"/>
            <w:tcBorders>
              <w:top w:val="nil"/>
              <w:left w:val="nil"/>
              <w:bottom w:val="nil"/>
              <w:right w:val="nil"/>
            </w:tcBorders>
            <w:shd w:val="clear" w:color="auto" w:fill="auto"/>
            <w:noWrap/>
            <w:vAlign w:val="center"/>
            <w:hideMark/>
          </w:tcPr>
          <w:p w:rsidR="00FF08DE" w:rsidRPr="00FF08DE" w:rsidRDefault="00FF08DE" w:rsidP="00FF08DE">
            <w:pPr>
              <w:spacing w:before="0" w:after="0"/>
              <w:jc w:val="right"/>
              <w:rPr>
                <w:rFonts w:ascii="Calibri" w:eastAsia="Times New Roman" w:hAnsi="Calibri" w:cs="Times New Roman"/>
                <w:color w:val="000000"/>
                <w:sz w:val="20"/>
                <w:szCs w:val="20"/>
                <w:lang w:eastAsia="cs-CZ"/>
              </w:rPr>
            </w:pPr>
            <w:r w:rsidRPr="00FF08DE">
              <w:rPr>
                <w:rFonts w:ascii="Calibri" w:eastAsia="Times New Roman" w:hAnsi="Calibri" w:cs="Times New Roman"/>
                <w:color w:val="000000"/>
                <w:sz w:val="20"/>
                <w:szCs w:val="20"/>
                <w:lang w:eastAsia="cs-CZ"/>
              </w:rPr>
              <w:t>2 431</w:t>
            </w:r>
          </w:p>
        </w:tc>
        <w:tc>
          <w:tcPr>
            <w:tcW w:w="862" w:type="dxa"/>
            <w:tcBorders>
              <w:top w:val="nil"/>
              <w:left w:val="nil"/>
              <w:bottom w:val="nil"/>
              <w:right w:val="nil"/>
            </w:tcBorders>
            <w:shd w:val="clear" w:color="auto" w:fill="auto"/>
            <w:noWrap/>
            <w:vAlign w:val="center"/>
            <w:hideMark/>
          </w:tcPr>
          <w:p w:rsidR="00FF08DE" w:rsidRPr="00FF08DE" w:rsidRDefault="00FF08DE" w:rsidP="00FF08DE">
            <w:pPr>
              <w:spacing w:before="0" w:after="0"/>
              <w:jc w:val="right"/>
              <w:rPr>
                <w:rFonts w:ascii="Calibri" w:eastAsia="Times New Roman" w:hAnsi="Calibri" w:cs="Times New Roman"/>
                <w:color w:val="000000"/>
                <w:sz w:val="20"/>
                <w:szCs w:val="20"/>
                <w:lang w:eastAsia="cs-CZ"/>
              </w:rPr>
            </w:pPr>
            <w:r w:rsidRPr="00FF08DE">
              <w:rPr>
                <w:rFonts w:ascii="Calibri" w:eastAsia="Times New Roman" w:hAnsi="Calibri" w:cs="Times New Roman"/>
                <w:color w:val="000000"/>
                <w:sz w:val="20"/>
                <w:szCs w:val="20"/>
                <w:lang w:eastAsia="cs-CZ"/>
              </w:rPr>
              <w:t>2 230</w:t>
            </w:r>
          </w:p>
        </w:tc>
        <w:tc>
          <w:tcPr>
            <w:tcW w:w="862" w:type="dxa"/>
            <w:tcBorders>
              <w:top w:val="nil"/>
              <w:left w:val="nil"/>
              <w:bottom w:val="nil"/>
              <w:right w:val="nil"/>
            </w:tcBorders>
            <w:shd w:val="clear" w:color="auto" w:fill="auto"/>
            <w:noWrap/>
            <w:vAlign w:val="center"/>
            <w:hideMark/>
          </w:tcPr>
          <w:p w:rsidR="00FF08DE" w:rsidRPr="00FF08DE" w:rsidRDefault="00FF08DE" w:rsidP="00FF08DE">
            <w:pPr>
              <w:spacing w:before="0" w:after="0"/>
              <w:jc w:val="right"/>
              <w:rPr>
                <w:rFonts w:ascii="Calibri" w:eastAsia="Times New Roman" w:hAnsi="Calibri" w:cs="Times New Roman"/>
                <w:color w:val="000000"/>
                <w:sz w:val="20"/>
                <w:szCs w:val="20"/>
                <w:lang w:eastAsia="cs-CZ"/>
              </w:rPr>
            </w:pPr>
            <w:r w:rsidRPr="00FF08DE">
              <w:rPr>
                <w:rFonts w:ascii="Calibri" w:eastAsia="Times New Roman" w:hAnsi="Calibri" w:cs="Times New Roman"/>
                <w:color w:val="000000"/>
                <w:sz w:val="20"/>
                <w:szCs w:val="20"/>
                <w:lang w:eastAsia="cs-CZ"/>
              </w:rPr>
              <w:t>2 740</w:t>
            </w:r>
          </w:p>
        </w:tc>
        <w:tc>
          <w:tcPr>
            <w:tcW w:w="862" w:type="dxa"/>
            <w:tcBorders>
              <w:top w:val="nil"/>
              <w:left w:val="nil"/>
              <w:bottom w:val="nil"/>
              <w:right w:val="nil"/>
            </w:tcBorders>
            <w:shd w:val="clear" w:color="auto" w:fill="auto"/>
            <w:noWrap/>
            <w:vAlign w:val="center"/>
            <w:hideMark/>
          </w:tcPr>
          <w:p w:rsidR="00FF08DE" w:rsidRPr="00FF08DE" w:rsidRDefault="00FF08DE" w:rsidP="00FF08DE">
            <w:pPr>
              <w:spacing w:before="0" w:after="0"/>
              <w:jc w:val="right"/>
              <w:rPr>
                <w:rFonts w:ascii="Calibri" w:eastAsia="Times New Roman" w:hAnsi="Calibri" w:cs="Times New Roman"/>
                <w:color w:val="000000"/>
                <w:sz w:val="20"/>
                <w:szCs w:val="20"/>
                <w:lang w:eastAsia="cs-CZ"/>
              </w:rPr>
            </w:pPr>
            <w:r w:rsidRPr="00FF08DE">
              <w:rPr>
                <w:rFonts w:ascii="Calibri" w:eastAsia="Times New Roman" w:hAnsi="Calibri" w:cs="Times New Roman"/>
                <w:color w:val="000000"/>
                <w:sz w:val="20"/>
                <w:szCs w:val="20"/>
                <w:lang w:eastAsia="cs-CZ"/>
              </w:rPr>
              <w:t>2 928</w:t>
            </w:r>
          </w:p>
        </w:tc>
        <w:tc>
          <w:tcPr>
            <w:tcW w:w="1288" w:type="dxa"/>
            <w:tcBorders>
              <w:top w:val="nil"/>
              <w:left w:val="nil"/>
              <w:bottom w:val="nil"/>
              <w:right w:val="nil"/>
            </w:tcBorders>
            <w:shd w:val="clear" w:color="000000" w:fill="F2F2F2"/>
            <w:noWrap/>
            <w:vAlign w:val="center"/>
            <w:hideMark/>
          </w:tcPr>
          <w:p w:rsidR="00FF08DE" w:rsidRPr="00FF08DE" w:rsidRDefault="00FF08DE" w:rsidP="00FF08DE">
            <w:pPr>
              <w:spacing w:before="0" w:after="0"/>
              <w:ind w:right="251"/>
              <w:jc w:val="right"/>
              <w:rPr>
                <w:rFonts w:ascii="Calibri" w:eastAsia="Times New Roman" w:hAnsi="Calibri" w:cs="Times New Roman"/>
                <w:b/>
                <w:bCs/>
                <w:color w:val="000000"/>
                <w:sz w:val="20"/>
                <w:szCs w:val="20"/>
                <w:lang w:eastAsia="cs-CZ"/>
              </w:rPr>
            </w:pPr>
            <w:r w:rsidRPr="00FF08DE">
              <w:rPr>
                <w:rFonts w:ascii="Calibri" w:eastAsia="Times New Roman" w:hAnsi="Calibri" w:cs="Times New Roman"/>
                <w:b/>
                <w:bCs/>
                <w:color w:val="000000"/>
                <w:sz w:val="20"/>
                <w:szCs w:val="20"/>
                <w:lang w:eastAsia="cs-CZ"/>
              </w:rPr>
              <w:t>10 521</w:t>
            </w:r>
          </w:p>
        </w:tc>
      </w:tr>
      <w:tr w:rsidR="00FF08DE" w:rsidRPr="00FF08DE" w:rsidTr="00FF08DE">
        <w:trPr>
          <w:trHeight w:val="255"/>
          <w:jc w:val="center"/>
        </w:trPr>
        <w:tc>
          <w:tcPr>
            <w:tcW w:w="2060" w:type="dxa"/>
            <w:tcBorders>
              <w:top w:val="nil"/>
              <w:left w:val="nil"/>
              <w:bottom w:val="single" w:sz="4" w:space="0" w:color="auto"/>
              <w:right w:val="nil"/>
            </w:tcBorders>
            <w:shd w:val="clear" w:color="auto" w:fill="auto"/>
            <w:noWrap/>
            <w:vAlign w:val="center"/>
            <w:hideMark/>
          </w:tcPr>
          <w:p w:rsidR="00FF08DE" w:rsidRPr="00FF08DE" w:rsidRDefault="00FF08DE" w:rsidP="00FF08DE">
            <w:pPr>
              <w:spacing w:before="0" w:after="0"/>
              <w:jc w:val="left"/>
              <w:rPr>
                <w:rFonts w:ascii="Calibri" w:eastAsia="Times New Roman" w:hAnsi="Calibri" w:cs="Times New Roman"/>
                <w:color w:val="000000"/>
                <w:sz w:val="20"/>
                <w:szCs w:val="20"/>
                <w:lang w:eastAsia="cs-CZ"/>
              </w:rPr>
            </w:pPr>
            <w:r w:rsidRPr="00FF08DE">
              <w:rPr>
                <w:rFonts w:ascii="Calibri" w:eastAsia="Times New Roman" w:hAnsi="Calibri" w:cs="Times New Roman"/>
                <w:color w:val="000000"/>
                <w:sz w:val="20"/>
                <w:szCs w:val="20"/>
                <w:lang w:eastAsia="cs-CZ"/>
              </w:rPr>
              <w:t>PA ČR</w:t>
            </w:r>
          </w:p>
        </w:tc>
        <w:tc>
          <w:tcPr>
            <w:tcW w:w="862" w:type="dxa"/>
            <w:tcBorders>
              <w:top w:val="nil"/>
              <w:left w:val="nil"/>
              <w:bottom w:val="single" w:sz="4" w:space="0" w:color="auto"/>
              <w:right w:val="nil"/>
            </w:tcBorders>
            <w:shd w:val="clear" w:color="auto" w:fill="auto"/>
            <w:noWrap/>
            <w:vAlign w:val="center"/>
            <w:hideMark/>
          </w:tcPr>
          <w:p w:rsidR="00FF08DE" w:rsidRPr="00FF08DE" w:rsidRDefault="00FF08DE" w:rsidP="00FF08DE">
            <w:pPr>
              <w:spacing w:before="0" w:after="0"/>
              <w:jc w:val="right"/>
              <w:rPr>
                <w:rFonts w:ascii="Calibri" w:eastAsia="Times New Roman" w:hAnsi="Calibri" w:cs="Times New Roman"/>
                <w:color w:val="000000"/>
                <w:sz w:val="20"/>
                <w:szCs w:val="20"/>
                <w:lang w:eastAsia="cs-CZ"/>
              </w:rPr>
            </w:pPr>
            <w:r w:rsidRPr="00FF08DE">
              <w:rPr>
                <w:rFonts w:ascii="Calibri" w:eastAsia="Times New Roman" w:hAnsi="Calibri" w:cs="Times New Roman"/>
                <w:color w:val="000000"/>
                <w:sz w:val="20"/>
                <w:szCs w:val="20"/>
                <w:lang w:eastAsia="cs-CZ"/>
              </w:rPr>
              <w:t>2 562</w:t>
            </w:r>
          </w:p>
        </w:tc>
        <w:tc>
          <w:tcPr>
            <w:tcW w:w="862" w:type="dxa"/>
            <w:tcBorders>
              <w:top w:val="nil"/>
              <w:left w:val="nil"/>
              <w:bottom w:val="single" w:sz="4" w:space="0" w:color="auto"/>
              <w:right w:val="nil"/>
            </w:tcBorders>
            <w:shd w:val="clear" w:color="auto" w:fill="auto"/>
            <w:noWrap/>
            <w:vAlign w:val="center"/>
            <w:hideMark/>
          </w:tcPr>
          <w:p w:rsidR="00FF08DE" w:rsidRPr="00FF08DE" w:rsidRDefault="00FF08DE" w:rsidP="00FF08DE">
            <w:pPr>
              <w:spacing w:before="0" w:after="0"/>
              <w:jc w:val="right"/>
              <w:rPr>
                <w:rFonts w:ascii="Calibri" w:eastAsia="Times New Roman" w:hAnsi="Calibri" w:cs="Times New Roman"/>
                <w:color w:val="000000"/>
                <w:sz w:val="20"/>
                <w:szCs w:val="20"/>
                <w:lang w:eastAsia="cs-CZ"/>
              </w:rPr>
            </w:pPr>
            <w:r w:rsidRPr="00FF08DE">
              <w:rPr>
                <w:rFonts w:ascii="Calibri" w:eastAsia="Times New Roman" w:hAnsi="Calibri" w:cs="Times New Roman"/>
                <w:color w:val="000000"/>
                <w:sz w:val="20"/>
                <w:szCs w:val="20"/>
                <w:lang w:eastAsia="cs-CZ"/>
              </w:rPr>
              <w:t>7 995</w:t>
            </w:r>
          </w:p>
        </w:tc>
        <w:tc>
          <w:tcPr>
            <w:tcW w:w="862" w:type="dxa"/>
            <w:tcBorders>
              <w:top w:val="nil"/>
              <w:left w:val="nil"/>
              <w:bottom w:val="single" w:sz="4" w:space="0" w:color="auto"/>
              <w:right w:val="nil"/>
            </w:tcBorders>
            <w:shd w:val="clear" w:color="auto" w:fill="auto"/>
            <w:noWrap/>
            <w:vAlign w:val="center"/>
            <w:hideMark/>
          </w:tcPr>
          <w:p w:rsidR="00FF08DE" w:rsidRPr="00FF08DE" w:rsidRDefault="00FF08DE" w:rsidP="00FF08DE">
            <w:pPr>
              <w:spacing w:before="0" w:after="0"/>
              <w:jc w:val="right"/>
              <w:rPr>
                <w:rFonts w:ascii="Calibri" w:eastAsia="Times New Roman" w:hAnsi="Calibri" w:cs="Times New Roman"/>
                <w:color w:val="000000"/>
                <w:sz w:val="20"/>
                <w:szCs w:val="20"/>
                <w:lang w:eastAsia="cs-CZ"/>
              </w:rPr>
            </w:pPr>
            <w:r w:rsidRPr="00FF08DE">
              <w:rPr>
                <w:rFonts w:ascii="Calibri" w:eastAsia="Times New Roman" w:hAnsi="Calibri" w:cs="Times New Roman"/>
                <w:color w:val="000000"/>
                <w:sz w:val="20"/>
                <w:szCs w:val="20"/>
                <w:lang w:eastAsia="cs-CZ"/>
              </w:rPr>
              <w:t>7 451</w:t>
            </w:r>
          </w:p>
        </w:tc>
        <w:tc>
          <w:tcPr>
            <w:tcW w:w="862" w:type="dxa"/>
            <w:tcBorders>
              <w:top w:val="nil"/>
              <w:left w:val="nil"/>
              <w:bottom w:val="single" w:sz="4" w:space="0" w:color="auto"/>
              <w:right w:val="nil"/>
            </w:tcBorders>
            <w:shd w:val="clear" w:color="auto" w:fill="auto"/>
            <w:noWrap/>
            <w:vAlign w:val="center"/>
            <w:hideMark/>
          </w:tcPr>
          <w:p w:rsidR="00FF08DE" w:rsidRPr="00FF08DE" w:rsidRDefault="00FF08DE" w:rsidP="00FF08DE">
            <w:pPr>
              <w:spacing w:before="0" w:after="0"/>
              <w:jc w:val="right"/>
              <w:rPr>
                <w:rFonts w:ascii="Calibri" w:eastAsia="Times New Roman" w:hAnsi="Calibri" w:cs="Times New Roman"/>
                <w:color w:val="000000"/>
                <w:sz w:val="20"/>
                <w:szCs w:val="20"/>
                <w:lang w:eastAsia="cs-CZ"/>
              </w:rPr>
            </w:pPr>
            <w:r w:rsidRPr="00FF08DE">
              <w:rPr>
                <w:rFonts w:ascii="Calibri" w:eastAsia="Times New Roman" w:hAnsi="Calibri" w:cs="Times New Roman"/>
                <w:color w:val="000000"/>
                <w:sz w:val="20"/>
                <w:szCs w:val="20"/>
                <w:lang w:eastAsia="cs-CZ"/>
              </w:rPr>
              <w:t>7 977</w:t>
            </w:r>
          </w:p>
        </w:tc>
        <w:tc>
          <w:tcPr>
            <w:tcW w:w="862" w:type="dxa"/>
            <w:tcBorders>
              <w:top w:val="nil"/>
              <w:left w:val="nil"/>
              <w:bottom w:val="single" w:sz="4" w:space="0" w:color="auto"/>
              <w:right w:val="nil"/>
            </w:tcBorders>
            <w:shd w:val="clear" w:color="auto" w:fill="auto"/>
            <w:noWrap/>
            <w:vAlign w:val="center"/>
            <w:hideMark/>
          </w:tcPr>
          <w:p w:rsidR="00FF08DE" w:rsidRPr="00FF08DE" w:rsidRDefault="00FF08DE" w:rsidP="00FF08DE">
            <w:pPr>
              <w:spacing w:before="0" w:after="0"/>
              <w:jc w:val="right"/>
              <w:rPr>
                <w:rFonts w:ascii="Calibri" w:eastAsia="Times New Roman" w:hAnsi="Calibri" w:cs="Times New Roman"/>
                <w:color w:val="000000"/>
                <w:sz w:val="20"/>
                <w:szCs w:val="20"/>
                <w:lang w:eastAsia="cs-CZ"/>
              </w:rPr>
            </w:pPr>
            <w:r w:rsidRPr="00FF08DE">
              <w:rPr>
                <w:rFonts w:ascii="Calibri" w:eastAsia="Times New Roman" w:hAnsi="Calibri" w:cs="Times New Roman"/>
                <w:color w:val="000000"/>
                <w:sz w:val="20"/>
                <w:szCs w:val="20"/>
                <w:lang w:eastAsia="cs-CZ"/>
              </w:rPr>
              <w:t>8 716</w:t>
            </w:r>
          </w:p>
        </w:tc>
        <w:tc>
          <w:tcPr>
            <w:tcW w:w="862" w:type="dxa"/>
            <w:tcBorders>
              <w:top w:val="nil"/>
              <w:left w:val="nil"/>
              <w:bottom w:val="single" w:sz="4" w:space="0" w:color="auto"/>
              <w:right w:val="nil"/>
            </w:tcBorders>
            <w:shd w:val="clear" w:color="auto" w:fill="auto"/>
            <w:noWrap/>
            <w:vAlign w:val="center"/>
            <w:hideMark/>
          </w:tcPr>
          <w:p w:rsidR="00FF08DE" w:rsidRPr="00FF08DE" w:rsidRDefault="00FF08DE" w:rsidP="00FF08DE">
            <w:pPr>
              <w:spacing w:before="0" w:after="0"/>
              <w:jc w:val="right"/>
              <w:rPr>
                <w:rFonts w:ascii="Calibri" w:eastAsia="Times New Roman" w:hAnsi="Calibri" w:cs="Times New Roman"/>
                <w:color w:val="000000"/>
                <w:sz w:val="20"/>
                <w:szCs w:val="20"/>
                <w:lang w:eastAsia="cs-CZ"/>
              </w:rPr>
            </w:pPr>
            <w:r w:rsidRPr="00FF08DE">
              <w:rPr>
                <w:rFonts w:ascii="Calibri" w:eastAsia="Times New Roman" w:hAnsi="Calibri" w:cs="Times New Roman"/>
                <w:color w:val="000000"/>
                <w:sz w:val="20"/>
                <w:szCs w:val="20"/>
                <w:lang w:eastAsia="cs-CZ"/>
              </w:rPr>
              <w:t>6 342</w:t>
            </w:r>
          </w:p>
        </w:tc>
        <w:tc>
          <w:tcPr>
            <w:tcW w:w="1288" w:type="dxa"/>
            <w:tcBorders>
              <w:top w:val="nil"/>
              <w:left w:val="nil"/>
              <w:bottom w:val="single" w:sz="4" w:space="0" w:color="auto"/>
              <w:right w:val="nil"/>
            </w:tcBorders>
            <w:shd w:val="clear" w:color="000000" w:fill="F2F2F2"/>
            <w:noWrap/>
            <w:vAlign w:val="center"/>
            <w:hideMark/>
          </w:tcPr>
          <w:p w:rsidR="00FF08DE" w:rsidRPr="00FF08DE" w:rsidRDefault="00FF08DE" w:rsidP="00FF08DE">
            <w:pPr>
              <w:spacing w:before="0" w:after="0"/>
              <w:ind w:right="251"/>
              <w:jc w:val="right"/>
              <w:rPr>
                <w:rFonts w:ascii="Calibri" w:eastAsia="Times New Roman" w:hAnsi="Calibri" w:cs="Times New Roman"/>
                <w:b/>
                <w:bCs/>
                <w:color w:val="000000"/>
                <w:sz w:val="20"/>
                <w:szCs w:val="20"/>
                <w:lang w:eastAsia="cs-CZ"/>
              </w:rPr>
            </w:pPr>
            <w:r w:rsidRPr="00FF08DE">
              <w:rPr>
                <w:rFonts w:ascii="Calibri" w:eastAsia="Times New Roman" w:hAnsi="Calibri" w:cs="Times New Roman"/>
                <w:b/>
                <w:bCs/>
                <w:color w:val="000000"/>
                <w:sz w:val="20"/>
                <w:szCs w:val="20"/>
                <w:lang w:eastAsia="cs-CZ"/>
              </w:rPr>
              <w:t>41 043</w:t>
            </w:r>
          </w:p>
        </w:tc>
      </w:tr>
      <w:tr w:rsidR="00FF08DE" w:rsidRPr="00FF08DE" w:rsidTr="00FF08DE">
        <w:trPr>
          <w:trHeight w:val="255"/>
          <w:jc w:val="center"/>
        </w:trPr>
        <w:tc>
          <w:tcPr>
            <w:tcW w:w="2060" w:type="dxa"/>
            <w:tcBorders>
              <w:top w:val="nil"/>
              <w:left w:val="nil"/>
              <w:bottom w:val="nil"/>
              <w:right w:val="nil"/>
            </w:tcBorders>
            <w:shd w:val="clear" w:color="auto" w:fill="auto"/>
            <w:noWrap/>
            <w:vAlign w:val="center"/>
            <w:hideMark/>
          </w:tcPr>
          <w:p w:rsidR="00FF08DE" w:rsidRPr="00FF08DE" w:rsidRDefault="00FF08DE" w:rsidP="00FF08DE">
            <w:pPr>
              <w:spacing w:before="0" w:after="0"/>
              <w:jc w:val="left"/>
              <w:rPr>
                <w:rFonts w:ascii="Calibri" w:eastAsia="Times New Roman" w:hAnsi="Calibri" w:cs="Times New Roman"/>
                <w:color w:val="000000"/>
                <w:sz w:val="20"/>
                <w:szCs w:val="20"/>
                <w:lang w:eastAsia="cs-CZ"/>
              </w:rPr>
            </w:pPr>
            <w:r w:rsidRPr="00FF08DE">
              <w:rPr>
                <w:rFonts w:ascii="Calibri" w:eastAsia="Times New Roman" w:hAnsi="Calibri" w:cs="Times New Roman"/>
                <w:color w:val="000000"/>
                <w:sz w:val="20"/>
                <w:szCs w:val="20"/>
                <w:lang w:eastAsia="cs-CZ"/>
              </w:rPr>
              <w:t>IKSP</w:t>
            </w:r>
          </w:p>
        </w:tc>
        <w:tc>
          <w:tcPr>
            <w:tcW w:w="862" w:type="dxa"/>
            <w:tcBorders>
              <w:top w:val="nil"/>
              <w:left w:val="nil"/>
              <w:bottom w:val="nil"/>
              <w:right w:val="nil"/>
            </w:tcBorders>
            <w:shd w:val="clear" w:color="auto" w:fill="auto"/>
            <w:noWrap/>
            <w:vAlign w:val="center"/>
            <w:hideMark/>
          </w:tcPr>
          <w:p w:rsidR="00FF08DE" w:rsidRPr="00FF08DE" w:rsidRDefault="00FF08DE" w:rsidP="00FF08DE">
            <w:pPr>
              <w:spacing w:before="0" w:after="0"/>
              <w:jc w:val="right"/>
              <w:rPr>
                <w:rFonts w:ascii="Calibri" w:eastAsia="Times New Roman" w:hAnsi="Calibri" w:cs="Times New Roman"/>
                <w:color w:val="000000"/>
                <w:sz w:val="20"/>
                <w:szCs w:val="20"/>
                <w:lang w:eastAsia="cs-CZ"/>
              </w:rPr>
            </w:pPr>
            <w:r w:rsidRPr="00FF08DE">
              <w:rPr>
                <w:rFonts w:ascii="Calibri" w:eastAsia="Times New Roman" w:hAnsi="Calibri" w:cs="Times New Roman"/>
                <w:color w:val="000000"/>
                <w:sz w:val="20"/>
                <w:szCs w:val="20"/>
                <w:lang w:eastAsia="cs-CZ"/>
              </w:rPr>
              <w:t>7 088</w:t>
            </w:r>
          </w:p>
        </w:tc>
        <w:tc>
          <w:tcPr>
            <w:tcW w:w="862" w:type="dxa"/>
            <w:tcBorders>
              <w:top w:val="nil"/>
              <w:left w:val="nil"/>
              <w:bottom w:val="nil"/>
              <w:right w:val="nil"/>
            </w:tcBorders>
            <w:shd w:val="clear" w:color="auto" w:fill="auto"/>
            <w:noWrap/>
            <w:vAlign w:val="center"/>
            <w:hideMark/>
          </w:tcPr>
          <w:p w:rsidR="00FF08DE" w:rsidRPr="00FF08DE" w:rsidRDefault="00FF08DE" w:rsidP="00FF08DE">
            <w:pPr>
              <w:spacing w:before="0" w:after="0"/>
              <w:jc w:val="right"/>
              <w:rPr>
                <w:rFonts w:ascii="Calibri" w:eastAsia="Times New Roman" w:hAnsi="Calibri" w:cs="Times New Roman"/>
                <w:color w:val="000000"/>
                <w:sz w:val="20"/>
                <w:szCs w:val="20"/>
                <w:lang w:eastAsia="cs-CZ"/>
              </w:rPr>
            </w:pPr>
            <w:r w:rsidRPr="00FF08DE">
              <w:rPr>
                <w:rFonts w:ascii="Calibri" w:eastAsia="Times New Roman" w:hAnsi="Calibri" w:cs="Times New Roman"/>
                <w:color w:val="000000"/>
                <w:sz w:val="20"/>
                <w:szCs w:val="20"/>
                <w:lang w:eastAsia="cs-CZ"/>
              </w:rPr>
              <w:t>4 969</w:t>
            </w:r>
          </w:p>
        </w:tc>
        <w:tc>
          <w:tcPr>
            <w:tcW w:w="862" w:type="dxa"/>
            <w:tcBorders>
              <w:top w:val="nil"/>
              <w:left w:val="nil"/>
              <w:bottom w:val="nil"/>
              <w:right w:val="nil"/>
            </w:tcBorders>
            <w:shd w:val="clear" w:color="auto" w:fill="auto"/>
            <w:noWrap/>
            <w:vAlign w:val="center"/>
            <w:hideMark/>
          </w:tcPr>
          <w:p w:rsidR="00FF08DE" w:rsidRPr="00FF08DE" w:rsidRDefault="00FF08DE" w:rsidP="00FF08DE">
            <w:pPr>
              <w:spacing w:before="0" w:after="0"/>
              <w:jc w:val="right"/>
              <w:rPr>
                <w:rFonts w:ascii="Calibri" w:eastAsia="Times New Roman" w:hAnsi="Calibri" w:cs="Times New Roman"/>
                <w:color w:val="000000"/>
                <w:sz w:val="20"/>
                <w:szCs w:val="20"/>
                <w:lang w:eastAsia="cs-CZ"/>
              </w:rPr>
            </w:pPr>
            <w:r w:rsidRPr="00FF08DE">
              <w:rPr>
                <w:rFonts w:ascii="Calibri" w:eastAsia="Times New Roman" w:hAnsi="Calibri" w:cs="Times New Roman"/>
                <w:color w:val="000000"/>
                <w:sz w:val="20"/>
                <w:szCs w:val="20"/>
                <w:lang w:eastAsia="cs-CZ"/>
              </w:rPr>
              <w:t>3 240</w:t>
            </w:r>
          </w:p>
        </w:tc>
        <w:tc>
          <w:tcPr>
            <w:tcW w:w="862" w:type="dxa"/>
            <w:tcBorders>
              <w:top w:val="nil"/>
              <w:left w:val="nil"/>
              <w:bottom w:val="nil"/>
              <w:right w:val="nil"/>
            </w:tcBorders>
            <w:shd w:val="clear" w:color="auto" w:fill="auto"/>
            <w:noWrap/>
            <w:vAlign w:val="center"/>
            <w:hideMark/>
          </w:tcPr>
          <w:p w:rsidR="00FF08DE" w:rsidRPr="00FF08DE" w:rsidRDefault="00FF08DE" w:rsidP="00FF08DE">
            <w:pPr>
              <w:spacing w:before="0" w:after="0"/>
              <w:jc w:val="right"/>
              <w:rPr>
                <w:rFonts w:ascii="Calibri" w:eastAsia="Times New Roman" w:hAnsi="Calibri" w:cs="Times New Roman"/>
                <w:color w:val="000000"/>
                <w:sz w:val="20"/>
                <w:szCs w:val="20"/>
                <w:lang w:eastAsia="cs-CZ"/>
              </w:rPr>
            </w:pPr>
            <w:r w:rsidRPr="00FF08DE">
              <w:rPr>
                <w:rFonts w:ascii="Calibri" w:eastAsia="Times New Roman" w:hAnsi="Calibri" w:cs="Times New Roman"/>
                <w:color w:val="000000"/>
                <w:sz w:val="20"/>
                <w:szCs w:val="20"/>
                <w:lang w:eastAsia="cs-CZ"/>
              </w:rPr>
              <w:t>4 830</w:t>
            </w:r>
          </w:p>
        </w:tc>
        <w:tc>
          <w:tcPr>
            <w:tcW w:w="862" w:type="dxa"/>
            <w:tcBorders>
              <w:top w:val="nil"/>
              <w:left w:val="nil"/>
              <w:bottom w:val="nil"/>
              <w:right w:val="nil"/>
            </w:tcBorders>
            <w:shd w:val="clear" w:color="auto" w:fill="auto"/>
            <w:noWrap/>
            <w:vAlign w:val="center"/>
            <w:hideMark/>
          </w:tcPr>
          <w:p w:rsidR="00FF08DE" w:rsidRPr="00FF08DE" w:rsidRDefault="00FF08DE" w:rsidP="00FF08DE">
            <w:pPr>
              <w:spacing w:before="0" w:after="0"/>
              <w:jc w:val="right"/>
              <w:rPr>
                <w:rFonts w:ascii="Calibri" w:eastAsia="Times New Roman" w:hAnsi="Calibri" w:cs="Times New Roman"/>
                <w:color w:val="000000"/>
                <w:sz w:val="20"/>
                <w:szCs w:val="20"/>
                <w:lang w:eastAsia="cs-CZ"/>
              </w:rPr>
            </w:pPr>
            <w:r w:rsidRPr="00FF08DE">
              <w:rPr>
                <w:rFonts w:ascii="Calibri" w:eastAsia="Times New Roman" w:hAnsi="Calibri" w:cs="Times New Roman"/>
                <w:color w:val="000000"/>
                <w:sz w:val="20"/>
                <w:szCs w:val="20"/>
                <w:lang w:eastAsia="cs-CZ"/>
              </w:rPr>
              <w:t>6 562</w:t>
            </w:r>
          </w:p>
        </w:tc>
        <w:tc>
          <w:tcPr>
            <w:tcW w:w="862" w:type="dxa"/>
            <w:tcBorders>
              <w:top w:val="nil"/>
              <w:left w:val="nil"/>
              <w:bottom w:val="nil"/>
              <w:right w:val="nil"/>
            </w:tcBorders>
            <w:shd w:val="clear" w:color="auto" w:fill="auto"/>
            <w:noWrap/>
            <w:vAlign w:val="center"/>
            <w:hideMark/>
          </w:tcPr>
          <w:p w:rsidR="00FF08DE" w:rsidRPr="00FF08DE" w:rsidRDefault="00FF08DE" w:rsidP="00FF08DE">
            <w:pPr>
              <w:spacing w:before="0" w:after="0"/>
              <w:jc w:val="right"/>
              <w:rPr>
                <w:rFonts w:ascii="Calibri" w:eastAsia="Times New Roman" w:hAnsi="Calibri" w:cs="Times New Roman"/>
                <w:color w:val="000000"/>
                <w:sz w:val="20"/>
                <w:szCs w:val="20"/>
                <w:lang w:eastAsia="cs-CZ"/>
              </w:rPr>
            </w:pPr>
            <w:r w:rsidRPr="00FF08DE">
              <w:rPr>
                <w:rFonts w:ascii="Calibri" w:eastAsia="Times New Roman" w:hAnsi="Calibri" w:cs="Times New Roman"/>
                <w:color w:val="000000"/>
                <w:sz w:val="20"/>
                <w:szCs w:val="20"/>
                <w:lang w:eastAsia="cs-CZ"/>
              </w:rPr>
              <w:t>6 181</w:t>
            </w:r>
          </w:p>
        </w:tc>
        <w:tc>
          <w:tcPr>
            <w:tcW w:w="1288" w:type="dxa"/>
            <w:tcBorders>
              <w:top w:val="nil"/>
              <w:left w:val="nil"/>
              <w:bottom w:val="nil"/>
              <w:right w:val="nil"/>
            </w:tcBorders>
            <w:shd w:val="clear" w:color="000000" w:fill="F2F2F2"/>
            <w:noWrap/>
            <w:vAlign w:val="center"/>
            <w:hideMark/>
          </w:tcPr>
          <w:p w:rsidR="00FF08DE" w:rsidRPr="00FF08DE" w:rsidRDefault="00FF08DE" w:rsidP="00FF08DE">
            <w:pPr>
              <w:spacing w:before="0" w:after="0"/>
              <w:ind w:right="251"/>
              <w:jc w:val="right"/>
              <w:rPr>
                <w:rFonts w:ascii="Calibri" w:eastAsia="Times New Roman" w:hAnsi="Calibri" w:cs="Times New Roman"/>
                <w:b/>
                <w:bCs/>
                <w:color w:val="000000"/>
                <w:sz w:val="20"/>
                <w:szCs w:val="20"/>
                <w:lang w:eastAsia="cs-CZ"/>
              </w:rPr>
            </w:pPr>
            <w:r w:rsidRPr="00FF08DE">
              <w:rPr>
                <w:rFonts w:ascii="Calibri" w:eastAsia="Times New Roman" w:hAnsi="Calibri" w:cs="Times New Roman"/>
                <w:b/>
                <w:bCs/>
                <w:color w:val="000000"/>
                <w:sz w:val="20"/>
                <w:szCs w:val="20"/>
                <w:lang w:eastAsia="cs-CZ"/>
              </w:rPr>
              <w:t>32 870</w:t>
            </w:r>
          </w:p>
        </w:tc>
      </w:tr>
      <w:tr w:rsidR="00FF08DE" w:rsidRPr="00FF08DE" w:rsidTr="00FF08DE">
        <w:trPr>
          <w:trHeight w:val="255"/>
          <w:jc w:val="center"/>
        </w:trPr>
        <w:tc>
          <w:tcPr>
            <w:tcW w:w="2060" w:type="dxa"/>
            <w:tcBorders>
              <w:top w:val="nil"/>
              <w:left w:val="nil"/>
              <w:bottom w:val="nil"/>
              <w:right w:val="nil"/>
            </w:tcBorders>
            <w:shd w:val="clear" w:color="auto" w:fill="auto"/>
            <w:noWrap/>
            <w:vAlign w:val="center"/>
            <w:hideMark/>
          </w:tcPr>
          <w:p w:rsidR="00FF08DE" w:rsidRPr="00FF08DE" w:rsidRDefault="00FF08DE" w:rsidP="00FF08DE">
            <w:pPr>
              <w:spacing w:before="0" w:after="0"/>
              <w:jc w:val="left"/>
              <w:rPr>
                <w:rFonts w:ascii="Calibri" w:eastAsia="Times New Roman" w:hAnsi="Calibri" w:cs="Times New Roman"/>
                <w:color w:val="000000"/>
                <w:sz w:val="20"/>
                <w:szCs w:val="20"/>
                <w:lang w:eastAsia="cs-CZ"/>
              </w:rPr>
            </w:pPr>
            <w:r w:rsidRPr="00FF08DE">
              <w:rPr>
                <w:rFonts w:ascii="Calibri" w:eastAsia="Times New Roman" w:hAnsi="Calibri" w:cs="Times New Roman"/>
                <w:color w:val="000000"/>
                <w:sz w:val="20"/>
                <w:szCs w:val="20"/>
                <w:lang w:eastAsia="cs-CZ"/>
              </w:rPr>
              <w:lastRenderedPageBreak/>
              <w:t>SÚRO</w:t>
            </w:r>
          </w:p>
        </w:tc>
        <w:tc>
          <w:tcPr>
            <w:tcW w:w="862" w:type="dxa"/>
            <w:tcBorders>
              <w:top w:val="nil"/>
              <w:left w:val="nil"/>
              <w:bottom w:val="nil"/>
              <w:right w:val="nil"/>
            </w:tcBorders>
            <w:shd w:val="clear" w:color="auto" w:fill="auto"/>
            <w:noWrap/>
            <w:vAlign w:val="center"/>
            <w:hideMark/>
          </w:tcPr>
          <w:p w:rsidR="00FF08DE" w:rsidRPr="00FF08DE" w:rsidRDefault="00FF08DE" w:rsidP="00FF08DE">
            <w:pPr>
              <w:spacing w:before="0" w:after="0"/>
              <w:jc w:val="right"/>
              <w:rPr>
                <w:rFonts w:ascii="Calibri" w:eastAsia="Times New Roman" w:hAnsi="Calibri" w:cs="Times New Roman"/>
                <w:color w:val="000000"/>
                <w:sz w:val="20"/>
                <w:szCs w:val="20"/>
                <w:lang w:eastAsia="cs-CZ"/>
              </w:rPr>
            </w:pPr>
            <w:r w:rsidRPr="00FF08DE">
              <w:rPr>
                <w:rFonts w:ascii="Calibri" w:eastAsia="Times New Roman" w:hAnsi="Calibri" w:cs="Times New Roman"/>
                <w:color w:val="000000"/>
                <w:sz w:val="20"/>
                <w:szCs w:val="20"/>
                <w:lang w:eastAsia="cs-CZ"/>
              </w:rPr>
              <w:t>8 446</w:t>
            </w:r>
          </w:p>
        </w:tc>
        <w:tc>
          <w:tcPr>
            <w:tcW w:w="862" w:type="dxa"/>
            <w:tcBorders>
              <w:top w:val="nil"/>
              <w:left w:val="nil"/>
              <w:bottom w:val="nil"/>
              <w:right w:val="nil"/>
            </w:tcBorders>
            <w:shd w:val="clear" w:color="auto" w:fill="auto"/>
            <w:noWrap/>
            <w:vAlign w:val="center"/>
            <w:hideMark/>
          </w:tcPr>
          <w:p w:rsidR="00FF08DE" w:rsidRPr="00FF08DE" w:rsidRDefault="00FF08DE" w:rsidP="00FF08DE">
            <w:pPr>
              <w:spacing w:before="0" w:after="0"/>
              <w:jc w:val="right"/>
              <w:rPr>
                <w:rFonts w:ascii="Calibri" w:eastAsia="Times New Roman" w:hAnsi="Calibri" w:cs="Times New Roman"/>
                <w:color w:val="000000"/>
                <w:sz w:val="20"/>
                <w:szCs w:val="20"/>
                <w:lang w:eastAsia="cs-CZ"/>
              </w:rPr>
            </w:pPr>
            <w:r w:rsidRPr="00FF08DE">
              <w:rPr>
                <w:rFonts w:ascii="Calibri" w:eastAsia="Times New Roman" w:hAnsi="Calibri" w:cs="Times New Roman"/>
                <w:color w:val="000000"/>
                <w:sz w:val="20"/>
                <w:szCs w:val="20"/>
                <w:lang w:eastAsia="cs-CZ"/>
              </w:rPr>
              <w:t>9 368</w:t>
            </w:r>
          </w:p>
        </w:tc>
        <w:tc>
          <w:tcPr>
            <w:tcW w:w="862" w:type="dxa"/>
            <w:tcBorders>
              <w:top w:val="nil"/>
              <w:left w:val="nil"/>
              <w:bottom w:val="nil"/>
              <w:right w:val="nil"/>
            </w:tcBorders>
            <w:shd w:val="clear" w:color="auto" w:fill="auto"/>
            <w:noWrap/>
            <w:vAlign w:val="center"/>
            <w:hideMark/>
          </w:tcPr>
          <w:p w:rsidR="00FF08DE" w:rsidRPr="00FF08DE" w:rsidRDefault="00FF08DE" w:rsidP="00FF08DE">
            <w:pPr>
              <w:spacing w:before="0" w:after="0"/>
              <w:jc w:val="right"/>
              <w:rPr>
                <w:rFonts w:ascii="Calibri" w:eastAsia="Times New Roman" w:hAnsi="Calibri" w:cs="Times New Roman"/>
                <w:color w:val="000000"/>
                <w:sz w:val="20"/>
                <w:szCs w:val="20"/>
                <w:lang w:eastAsia="cs-CZ"/>
              </w:rPr>
            </w:pPr>
            <w:r w:rsidRPr="00FF08DE">
              <w:rPr>
                <w:rFonts w:ascii="Calibri" w:eastAsia="Times New Roman" w:hAnsi="Calibri" w:cs="Times New Roman"/>
                <w:color w:val="000000"/>
                <w:sz w:val="20"/>
                <w:szCs w:val="20"/>
                <w:lang w:eastAsia="cs-CZ"/>
              </w:rPr>
              <w:t>6 475</w:t>
            </w:r>
          </w:p>
        </w:tc>
        <w:tc>
          <w:tcPr>
            <w:tcW w:w="862" w:type="dxa"/>
            <w:tcBorders>
              <w:top w:val="nil"/>
              <w:left w:val="nil"/>
              <w:bottom w:val="nil"/>
              <w:right w:val="nil"/>
            </w:tcBorders>
            <w:shd w:val="clear" w:color="auto" w:fill="auto"/>
            <w:noWrap/>
            <w:vAlign w:val="center"/>
            <w:hideMark/>
          </w:tcPr>
          <w:p w:rsidR="00FF08DE" w:rsidRPr="00FF08DE" w:rsidRDefault="00FF08DE" w:rsidP="00FF08DE">
            <w:pPr>
              <w:spacing w:before="0" w:after="0"/>
              <w:jc w:val="right"/>
              <w:rPr>
                <w:rFonts w:ascii="Calibri" w:eastAsia="Times New Roman" w:hAnsi="Calibri" w:cs="Times New Roman"/>
                <w:color w:val="000000"/>
                <w:sz w:val="20"/>
                <w:szCs w:val="20"/>
                <w:lang w:eastAsia="cs-CZ"/>
              </w:rPr>
            </w:pPr>
            <w:r w:rsidRPr="00FF08DE">
              <w:rPr>
                <w:rFonts w:ascii="Calibri" w:eastAsia="Times New Roman" w:hAnsi="Calibri" w:cs="Times New Roman"/>
                <w:color w:val="000000"/>
                <w:sz w:val="20"/>
                <w:szCs w:val="20"/>
                <w:lang w:eastAsia="cs-CZ"/>
              </w:rPr>
              <w:t>7 330</w:t>
            </w:r>
          </w:p>
        </w:tc>
        <w:tc>
          <w:tcPr>
            <w:tcW w:w="862" w:type="dxa"/>
            <w:tcBorders>
              <w:top w:val="nil"/>
              <w:left w:val="nil"/>
              <w:bottom w:val="nil"/>
              <w:right w:val="nil"/>
            </w:tcBorders>
            <w:shd w:val="clear" w:color="auto" w:fill="auto"/>
            <w:noWrap/>
            <w:vAlign w:val="center"/>
            <w:hideMark/>
          </w:tcPr>
          <w:p w:rsidR="00FF08DE" w:rsidRPr="00FF08DE" w:rsidRDefault="00FF08DE" w:rsidP="00FF08DE">
            <w:pPr>
              <w:spacing w:before="0" w:after="0"/>
              <w:jc w:val="right"/>
              <w:rPr>
                <w:rFonts w:ascii="Calibri" w:eastAsia="Times New Roman" w:hAnsi="Calibri" w:cs="Times New Roman"/>
                <w:color w:val="000000"/>
                <w:sz w:val="20"/>
                <w:szCs w:val="20"/>
                <w:lang w:eastAsia="cs-CZ"/>
              </w:rPr>
            </w:pPr>
            <w:r w:rsidRPr="00FF08DE">
              <w:rPr>
                <w:rFonts w:ascii="Calibri" w:eastAsia="Times New Roman" w:hAnsi="Calibri" w:cs="Times New Roman"/>
                <w:color w:val="000000"/>
                <w:sz w:val="20"/>
                <w:szCs w:val="20"/>
                <w:lang w:eastAsia="cs-CZ"/>
              </w:rPr>
              <w:t>9 599</w:t>
            </w:r>
          </w:p>
        </w:tc>
        <w:tc>
          <w:tcPr>
            <w:tcW w:w="862" w:type="dxa"/>
            <w:tcBorders>
              <w:top w:val="nil"/>
              <w:left w:val="nil"/>
              <w:bottom w:val="nil"/>
              <w:right w:val="nil"/>
            </w:tcBorders>
            <w:shd w:val="clear" w:color="auto" w:fill="auto"/>
            <w:noWrap/>
            <w:vAlign w:val="center"/>
            <w:hideMark/>
          </w:tcPr>
          <w:p w:rsidR="00FF08DE" w:rsidRPr="00FF08DE" w:rsidRDefault="00FF08DE" w:rsidP="00FF08DE">
            <w:pPr>
              <w:spacing w:before="0" w:after="0"/>
              <w:jc w:val="right"/>
              <w:rPr>
                <w:rFonts w:ascii="Calibri" w:eastAsia="Times New Roman" w:hAnsi="Calibri" w:cs="Times New Roman"/>
                <w:color w:val="000000"/>
                <w:sz w:val="20"/>
                <w:szCs w:val="20"/>
                <w:lang w:eastAsia="cs-CZ"/>
              </w:rPr>
            </w:pPr>
            <w:r w:rsidRPr="00FF08DE">
              <w:rPr>
                <w:rFonts w:ascii="Calibri" w:eastAsia="Times New Roman" w:hAnsi="Calibri" w:cs="Times New Roman"/>
                <w:color w:val="000000"/>
                <w:sz w:val="20"/>
                <w:szCs w:val="20"/>
                <w:lang w:eastAsia="cs-CZ"/>
              </w:rPr>
              <w:t>11 527</w:t>
            </w:r>
          </w:p>
        </w:tc>
        <w:tc>
          <w:tcPr>
            <w:tcW w:w="1288" w:type="dxa"/>
            <w:tcBorders>
              <w:top w:val="nil"/>
              <w:left w:val="nil"/>
              <w:bottom w:val="nil"/>
              <w:right w:val="nil"/>
            </w:tcBorders>
            <w:shd w:val="clear" w:color="000000" w:fill="F2F2F2"/>
            <w:noWrap/>
            <w:vAlign w:val="center"/>
            <w:hideMark/>
          </w:tcPr>
          <w:p w:rsidR="00FF08DE" w:rsidRPr="00FF08DE" w:rsidRDefault="00FF08DE" w:rsidP="00FF08DE">
            <w:pPr>
              <w:spacing w:before="0" w:after="0"/>
              <w:ind w:right="251"/>
              <w:jc w:val="right"/>
              <w:rPr>
                <w:rFonts w:ascii="Calibri" w:eastAsia="Times New Roman" w:hAnsi="Calibri" w:cs="Times New Roman"/>
                <w:b/>
                <w:bCs/>
                <w:color w:val="000000"/>
                <w:sz w:val="20"/>
                <w:szCs w:val="20"/>
                <w:lang w:eastAsia="cs-CZ"/>
              </w:rPr>
            </w:pPr>
            <w:r w:rsidRPr="00FF08DE">
              <w:rPr>
                <w:rFonts w:ascii="Calibri" w:eastAsia="Times New Roman" w:hAnsi="Calibri" w:cs="Times New Roman"/>
                <w:b/>
                <w:bCs/>
                <w:color w:val="000000"/>
                <w:sz w:val="20"/>
                <w:szCs w:val="20"/>
                <w:lang w:eastAsia="cs-CZ"/>
              </w:rPr>
              <w:t>52 745</w:t>
            </w:r>
          </w:p>
        </w:tc>
      </w:tr>
      <w:tr w:rsidR="00FF08DE" w:rsidRPr="00FF08DE" w:rsidTr="00FF08DE">
        <w:trPr>
          <w:trHeight w:val="255"/>
          <w:jc w:val="center"/>
        </w:trPr>
        <w:tc>
          <w:tcPr>
            <w:tcW w:w="2060" w:type="dxa"/>
            <w:tcBorders>
              <w:top w:val="nil"/>
              <w:left w:val="nil"/>
              <w:bottom w:val="nil"/>
              <w:right w:val="nil"/>
            </w:tcBorders>
            <w:shd w:val="clear" w:color="auto" w:fill="auto"/>
            <w:noWrap/>
            <w:vAlign w:val="center"/>
            <w:hideMark/>
          </w:tcPr>
          <w:p w:rsidR="00FF08DE" w:rsidRPr="00FF08DE" w:rsidRDefault="00FF08DE" w:rsidP="00BE1F9E">
            <w:pPr>
              <w:spacing w:before="0" w:after="0"/>
              <w:jc w:val="left"/>
              <w:rPr>
                <w:rFonts w:ascii="Calibri" w:eastAsia="Times New Roman" w:hAnsi="Calibri" w:cs="Times New Roman"/>
                <w:color w:val="000000"/>
                <w:sz w:val="20"/>
                <w:szCs w:val="20"/>
                <w:lang w:eastAsia="cs-CZ"/>
              </w:rPr>
            </w:pPr>
            <w:r w:rsidRPr="00FF08DE">
              <w:rPr>
                <w:rFonts w:ascii="Calibri" w:eastAsia="Times New Roman" w:hAnsi="Calibri" w:cs="Times New Roman"/>
                <w:color w:val="000000"/>
                <w:sz w:val="20"/>
                <w:szCs w:val="20"/>
                <w:lang w:eastAsia="cs-CZ"/>
              </w:rPr>
              <w:t>SÚJ</w:t>
            </w:r>
            <w:r w:rsidR="00BE1F9E">
              <w:rPr>
                <w:rFonts w:ascii="Calibri" w:eastAsia="Times New Roman" w:hAnsi="Calibri" w:cs="Times New Roman"/>
                <w:color w:val="000000"/>
                <w:sz w:val="20"/>
                <w:szCs w:val="20"/>
                <w:lang w:eastAsia="cs-CZ"/>
              </w:rPr>
              <w:t>CH</w:t>
            </w:r>
            <w:r w:rsidRPr="00FF08DE">
              <w:rPr>
                <w:rFonts w:ascii="Calibri" w:eastAsia="Times New Roman" w:hAnsi="Calibri" w:cs="Times New Roman"/>
                <w:color w:val="000000"/>
                <w:sz w:val="20"/>
                <w:szCs w:val="20"/>
                <w:lang w:eastAsia="cs-CZ"/>
              </w:rPr>
              <w:t>BO</w:t>
            </w:r>
          </w:p>
        </w:tc>
        <w:tc>
          <w:tcPr>
            <w:tcW w:w="862" w:type="dxa"/>
            <w:tcBorders>
              <w:top w:val="nil"/>
              <w:left w:val="nil"/>
              <w:bottom w:val="nil"/>
              <w:right w:val="nil"/>
            </w:tcBorders>
            <w:shd w:val="clear" w:color="auto" w:fill="auto"/>
            <w:noWrap/>
            <w:vAlign w:val="center"/>
            <w:hideMark/>
          </w:tcPr>
          <w:p w:rsidR="00FF08DE" w:rsidRPr="00FF08DE" w:rsidRDefault="00FF08DE" w:rsidP="00FF08DE">
            <w:pPr>
              <w:spacing w:before="0" w:after="0"/>
              <w:jc w:val="right"/>
              <w:rPr>
                <w:rFonts w:ascii="Calibri" w:eastAsia="Times New Roman" w:hAnsi="Calibri" w:cs="Times New Roman"/>
                <w:color w:val="000000"/>
                <w:sz w:val="20"/>
                <w:szCs w:val="20"/>
                <w:lang w:eastAsia="cs-CZ"/>
              </w:rPr>
            </w:pPr>
            <w:r w:rsidRPr="00FF08DE">
              <w:rPr>
                <w:rFonts w:ascii="Calibri" w:eastAsia="Times New Roman" w:hAnsi="Calibri" w:cs="Times New Roman"/>
                <w:color w:val="000000"/>
                <w:sz w:val="20"/>
                <w:szCs w:val="20"/>
                <w:lang w:eastAsia="cs-CZ"/>
              </w:rPr>
              <w:t>0</w:t>
            </w:r>
          </w:p>
        </w:tc>
        <w:tc>
          <w:tcPr>
            <w:tcW w:w="862" w:type="dxa"/>
            <w:tcBorders>
              <w:top w:val="nil"/>
              <w:left w:val="nil"/>
              <w:bottom w:val="nil"/>
              <w:right w:val="nil"/>
            </w:tcBorders>
            <w:shd w:val="clear" w:color="auto" w:fill="auto"/>
            <w:noWrap/>
            <w:vAlign w:val="center"/>
            <w:hideMark/>
          </w:tcPr>
          <w:p w:rsidR="00FF08DE" w:rsidRPr="00FF08DE" w:rsidRDefault="00FF08DE" w:rsidP="00FF08DE">
            <w:pPr>
              <w:spacing w:before="0" w:after="0"/>
              <w:jc w:val="right"/>
              <w:rPr>
                <w:rFonts w:ascii="Calibri" w:eastAsia="Times New Roman" w:hAnsi="Calibri" w:cs="Times New Roman"/>
                <w:color w:val="000000"/>
                <w:sz w:val="20"/>
                <w:szCs w:val="20"/>
                <w:lang w:eastAsia="cs-CZ"/>
              </w:rPr>
            </w:pPr>
            <w:r w:rsidRPr="00FF08DE">
              <w:rPr>
                <w:rFonts w:ascii="Calibri" w:eastAsia="Times New Roman" w:hAnsi="Calibri" w:cs="Times New Roman"/>
                <w:color w:val="000000"/>
                <w:sz w:val="20"/>
                <w:szCs w:val="20"/>
                <w:lang w:eastAsia="cs-CZ"/>
              </w:rPr>
              <w:t>16 372</w:t>
            </w:r>
          </w:p>
        </w:tc>
        <w:tc>
          <w:tcPr>
            <w:tcW w:w="862" w:type="dxa"/>
            <w:tcBorders>
              <w:top w:val="nil"/>
              <w:left w:val="nil"/>
              <w:bottom w:val="nil"/>
              <w:right w:val="nil"/>
            </w:tcBorders>
            <w:shd w:val="clear" w:color="auto" w:fill="auto"/>
            <w:noWrap/>
            <w:vAlign w:val="center"/>
            <w:hideMark/>
          </w:tcPr>
          <w:p w:rsidR="00FF08DE" w:rsidRPr="00FF08DE" w:rsidRDefault="00FF08DE" w:rsidP="00FF08DE">
            <w:pPr>
              <w:spacing w:before="0" w:after="0"/>
              <w:jc w:val="right"/>
              <w:rPr>
                <w:rFonts w:ascii="Calibri" w:eastAsia="Times New Roman" w:hAnsi="Calibri" w:cs="Times New Roman"/>
                <w:color w:val="000000"/>
                <w:sz w:val="20"/>
                <w:szCs w:val="20"/>
                <w:lang w:eastAsia="cs-CZ"/>
              </w:rPr>
            </w:pPr>
            <w:r w:rsidRPr="00FF08DE">
              <w:rPr>
                <w:rFonts w:ascii="Calibri" w:eastAsia="Times New Roman" w:hAnsi="Calibri" w:cs="Times New Roman"/>
                <w:color w:val="000000"/>
                <w:sz w:val="20"/>
                <w:szCs w:val="20"/>
                <w:lang w:eastAsia="cs-CZ"/>
              </w:rPr>
              <w:t>9 508</w:t>
            </w:r>
          </w:p>
        </w:tc>
        <w:tc>
          <w:tcPr>
            <w:tcW w:w="862" w:type="dxa"/>
            <w:tcBorders>
              <w:top w:val="nil"/>
              <w:left w:val="nil"/>
              <w:bottom w:val="nil"/>
              <w:right w:val="nil"/>
            </w:tcBorders>
            <w:shd w:val="clear" w:color="auto" w:fill="auto"/>
            <w:noWrap/>
            <w:vAlign w:val="center"/>
            <w:hideMark/>
          </w:tcPr>
          <w:p w:rsidR="00FF08DE" w:rsidRPr="00FF08DE" w:rsidRDefault="00FF08DE" w:rsidP="00FF08DE">
            <w:pPr>
              <w:spacing w:before="0" w:after="0"/>
              <w:jc w:val="right"/>
              <w:rPr>
                <w:rFonts w:ascii="Calibri" w:eastAsia="Times New Roman" w:hAnsi="Calibri" w:cs="Times New Roman"/>
                <w:color w:val="000000"/>
                <w:sz w:val="20"/>
                <w:szCs w:val="20"/>
                <w:lang w:eastAsia="cs-CZ"/>
              </w:rPr>
            </w:pPr>
            <w:r w:rsidRPr="00FF08DE">
              <w:rPr>
                <w:rFonts w:ascii="Calibri" w:eastAsia="Times New Roman" w:hAnsi="Calibri" w:cs="Times New Roman"/>
                <w:color w:val="000000"/>
                <w:sz w:val="20"/>
                <w:szCs w:val="20"/>
                <w:lang w:eastAsia="cs-CZ"/>
              </w:rPr>
              <w:t>7 302</w:t>
            </w:r>
          </w:p>
        </w:tc>
        <w:tc>
          <w:tcPr>
            <w:tcW w:w="862" w:type="dxa"/>
            <w:tcBorders>
              <w:top w:val="nil"/>
              <w:left w:val="nil"/>
              <w:bottom w:val="nil"/>
              <w:right w:val="nil"/>
            </w:tcBorders>
            <w:shd w:val="clear" w:color="auto" w:fill="auto"/>
            <w:noWrap/>
            <w:vAlign w:val="center"/>
            <w:hideMark/>
          </w:tcPr>
          <w:p w:rsidR="00FF08DE" w:rsidRPr="00FF08DE" w:rsidRDefault="00FF08DE" w:rsidP="00FF08DE">
            <w:pPr>
              <w:spacing w:before="0" w:after="0"/>
              <w:jc w:val="right"/>
              <w:rPr>
                <w:rFonts w:ascii="Calibri" w:eastAsia="Times New Roman" w:hAnsi="Calibri" w:cs="Times New Roman"/>
                <w:color w:val="000000"/>
                <w:sz w:val="20"/>
                <w:szCs w:val="20"/>
                <w:lang w:eastAsia="cs-CZ"/>
              </w:rPr>
            </w:pPr>
            <w:r w:rsidRPr="00FF08DE">
              <w:rPr>
                <w:rFonts w:ascii="Calibri" w:eastAsia="Times New Roman" w:hAnsi="Calibri" w:cs="Times New Roman"/>
                <w:color w:val="000000"/>
                <w:sz w:val="20"/>
                <w:szCs w:val="20"/>
                <w:lang w:eastAsia="cs-CZ"/>
              </w:rPr>
              <w:t>6 128</w:t>
            </w:r>
          </w:p>
        </w:tc>
        <w:tc>
          <w:tcPr>
            <w:tcW w:w="862" w:type="dxa"/>
            <w:tcBorders>
              <w:top w:val="nil"/>
              <w:left w:val="nil"/>
              <w:bottom w:val="nil"/>
              <w:right w:val="nil"/>
            </w:tcBorders>
            <w:shd w:val="clear" w:color="auto" w:fill="auto"/>
            <w:noWrap/>
            <w:vAlign w:val="center"/>
            <w:hideMark/>
          </w:tcPr>
          <w:p w:rsidR="00FF08DE" w:rsidRPr="00FF08DE" w:rsidRDefault="00FF08DE" w:rsidP="00FF08DE">
            <w:pPr>
              <w:spacing w:before="0" w:after="0"/>
              <w:jc w:val="right"/>
              <w:rPr>
                <w:rFonts w:ascii="Calibri" w:eastAsia="Times New Roman" w:hAnsi="Calibri" w:cs="Times New Roman"/>
                <w:color w:val="000000"/>
                <w:sz w:val="20"/>
                <w:szCs w:val="20"/>
                <w:lang w:eastAsia="cs-CZ"/>
              </w:rPr>
            </w:pPr>
            <w:r w:rsidRPr="00FF08DE">
              <w:rPr>
                <w:rFonts w:ascii="Calibri" w:eastAsia="Times New Roman" w:hAnsi="Calibri" w:cs="Times New Roman"/>
                <w:color w:val="000000"/>
                <w:sz w:val="20"/>
                <w:szCs w:val="20"/>
                <w:lang w:eastAsia="cs-CZ"/>
              </w:rPr>
              <w:t>7 190</w:t>
            </w:r>
          </w:p>
        </w:tc>
        <w:tc>
          <w:tcPr>
            <w:tcW w:w="1288" w:type="dxa"/>
            <w:tcBorders>
              <w:top w:val="nil"/>
              <w:left w:val="nil"/>
              <w:bottom w:val="nil"/>
              <w:right w:val="nil"/>
            </w:tcBorders>
            <w:shd w:val="clear" w:color="000000" w:fill="F2F2F2"/>
            <w:noWrap/>
            <w:vAlign w:val="center"/>
            <w:hideMark/>
          </w:tcPr>
          <w:p w:rsidR="00FF08DE" w:rsidRPr="00FF08DE" w:rsidRDefault="00FF08DE" w:rsidP="00FF08DE">
            <w:pPr>
              <w:spacing w:before="0" w:after="0"/>
              <w:ind w:right="251"/>
              <w:jc w:val="right"/>
              <w:rPr>
                <w:rFonts w:ascii="Calibri" w:eastAsia="Times New Roman" w:hAnsi="Calibri" w:cs="Times New Roman"/>
                <w:b/>
                <w:bCs/>
                <w:color w:val="000000"/>
                <w:sz w:val="20"/>
                <w:szCs w:val="20"/>
                <w:lang w:eastAsia="cs-CZ"/>
              </w:rPr>
            </w:pPr>
            <w:r w:rsidRPr="00FF08DE">
              <w:rPr>
                <w:rFonts w:ascii="Calibri" w:eastAsia="Times New Roman" w:hAnsi="Calibri" w:cs="Times New Roman"/>
                <w:b/>
                <w:bCs/>
                <w:color w:val="000000"/>
                <w:sz w:val="20"/>
                <w:szCs w:val="20"/>
                <w:lang w:eastAsia="cs-CZ"/>
              </w:rPr>
              <w:t>46 500</w:t>
            </w:r>
          </w:p>
        </w:tc>
      </w:tr>
      <w:tr w:rsidR="00FF08DE" w:rsidRPr="00FF08DE" w:rsidTr="00FF08DE">
        <w:trPr>
          <w:trHeight w:val="255"/>
          <w:jc w:val="center"/>
        </w:trPr>
        <w:tc>
          <w:tcPr>
            <w:tcW w:w="2060" w:type="dxa"/>
            <w:tcBorders>
              <w:top w:val="nil"/>
              <w:left w:val="nil"/>
              <w:bottom w:val="single" w:sz="4" w:space="0" w:color="auto"/>
              <w:right w:val="nil"/>
            </w:tcBorders>
            <w:shd w:val="clear" w:color="auto" w:fill="auto"/>
            <w:noWrap/>
            <w:vAlign w:val="center"/>
            <w:hideMark/>
          </w:tcPr>
          <w:p w:rsidR="00FF08DE" w:rsidRPr="00FF08DE" w:rsidRDefault="00FF08DE" w:rsidP="00FF08DE">
            <w:pPr>
              <w:spacing w:before="0" w:after="0"/>
              <w:jc w:val="left"/>
              <w:rPr>
                <w:rFonts w:ascii="Calibri" w:eastAsia="Times New Roman" w:hAnsi="Calibri" w:cs="Times New Roman"/>
                <w:color w:val="000000"/>
                <w:sz w:val="20"/>
                <w:szCs w:val="20"/>
                <w:lang w:eastAsia="cs-CZ"/>
              </w:rPr>
            </w:pPr>
            <w:r w:rsidRPr="00FF08DE">
              <w:rPr>
                <w:rFonts w:ascii="Calibri" w:eastAsia="Times New Roman" w:hAnsi="Calibri" w:cs="Times New Roman"/>
                <w:color w:val="000000"/>
                <w:sz w:val="20"/>
                <w:szCs w:val="20"/>
                <w:lang w:eastAsia="cs-CZ"/>
              </w:rPr>
              <w:t>Národní archiv</w:t>
            </w:r>
          </w:p>
        </w:tc>
        <w:tc>
          <w:tcPr>
            <w:tcW w:w="862" w:type="dxa"/>
            <w:tcBorders>
              <w:top w:val="nil"/>
              <w:left w:val="nil"/>
              <w:bottom w:val="single" w:sz="4" w:space="0" w:color="auto"/>
              <w:right w:val="nil"/>
            </w:tcBorders>
            <w:shd w:val="clear" w:color="auto" w:fill="auto"/>
            <w:noWrap/>
            <w:vAlign w:val="center"/>
            <w:hideMark/>
          </w:tcPr>
          <w:p w:rsidR="00FF08DE" w:rsidRPr="00FF08DE" w:rsidRDefault="00FF08DE" w:rsidP="00FF08DE">
            <w:pPr>
              <w:spacing w:before="0" w:after="0"/>
              <w:jc w:val="right"/>
              <w:rPr>
                <w:rFonts w:ascii="Calibri" w:eastAsia="Times New Roman" w:hAnsi="Calibri" w:cs="Times New Roman"/>
                <w:color w:val="000000"/>
                <w:sz w:val="20"/>
                <w:szCs w:val="20"/>
                <w:lang w:eastAsia="cs-CZ"/>
              </w:rPr>
            </w:pPr>
            <w:r w:rsidRPr="00FF08DE">
              <w:rPr>
                <w:rFonts w:ascii="Calibri" w:eastAsia="Times New Roman" w:hAnsi="Calibri" w:cs="Times New Roman"/>
                <w:color w:val="000000"/>
                <w:sz w:val="20"/>
                <w:szCs w:val="20"/>
                <w:lang w:eastAsia="cs-CZ"/>
              </w:rPr>
              <w:t>0</w:t>
            </w:r>
          </w:p>
        </w:tc>
        <w:tc>
          <w:tcPr>
            <w:tcW w:w="862" w:type="dxa"/>
            <w:tcBorders>
              <w:top w:val="nil"/>
              <w:left w:val="nil"/>
              <w:bottom w:val="single" w:sz="4" w:space="0" w:color="auto"/>
              <w:right w:val="nil"/>
            </w:tcBorders>
            <w:shd w:val="clear" w:color="auto" w:fill="auto"/>
            <w:noWrap/>
            <w:vAlign w:val="center"/>
            <w:hideMark/>
          </w:tcPr>
          <w:p w:rsidR="00FF08DE" w:rsidRPr="00FF08DE" w:rsidRDefault="00FF08DE" w:rsidP="00FF08DE">
            <w:pPr>
              <w:spacing w:before="0" w:after="0"/>
              <w:jc w:val="right"/>
              <w:rPr>
                <w:rFonts w:ascii="Calibri" w:eastAsia="Times New Roman" w:hAnsi="Calibri" w:cs="Times New Roman"/>
                <w:color w:val="000000"/>
                <w:sz w:val="20"/>
                <w:szCs w:val="20"/>
                <w:lang w:eastAsia="cs-CZ"/>
              </w:rPr>
            </w:pPr>
            <w:r w:rsidRPr="00FF08DE">
              <w:rPr>
                <w:rFonts w:ascii="Calibri" w:eastAsia="Times New Roman" w:hAnsi="Calibri" w:cs="Times New Roman"/>
                <w:color w:val="000000"/>
                <w:sz w:val="20"/>
                <w:szCs w:val="20"/>
                <w:lang w:eastAsia="cs-CZ"/>
              </w:rPr>
              <w:t>155</w:t>
            </w:r>
          </w:p>
        </w:tc>
        <w:tc>
          <w:tcPr>
            <w:tcW w:w="862" w:type="dxa"/>
            <w:tcBorders>
              <w:top w:val="nil"/>
              <w:left w:val="nil"/>
              <w:bottom w:val="single" w:sz="4" w:space="0" w:color="auto"/>
              <w:right w:val="nil"/>
            </w:tcBorders>
            <w:shd w:val="clear" w:color="auto" w:fill="auto"/>
            <w:noWrap/>
            <w:vAlign w:val="center"/>
            <w:hideMark/>
          </w:tcPr>
          <w:p w:rsidR="00FF08DE" w:rsidRPr="00FF08DE" w:rsidRDefault="00FF08DE" w:rsidP="00FF08DE">
            <w:pPr>
              <w:spacing w:before="0" w:after="0"/>
              <w:jc w:val="right"/>
              <w:rPr>
                <w:rFonts w:ascii="Calibri" w:eastAsia="Times New Roman" w:hAnsi="Calibri" w:cs="Times New Roman"/>
                <w:color w:val="000000"/>
                <w:sz w:val="20"/>
                <w:szCs w:val="20"/>
                <w:lang w:eastAsia="cs-CZ"/>
              </w:rPr>
            </w:pPr>
            <w:r w:rsidRPr="00FF08DE">
              <w:rPr>
                <w:rFonts w:ascii="Calibri" w:eastAsia="Times New Roman" w:hAnsi="Calibri" w:cs="Times New Roman"/>
                <w:color w:val="000000"/>
                <w:sz w:val="20"/>
                <w:szCs w:val="20"/>
                <w:lang w:eastAsia="cs-CZ"/>
              </w:rPr>
              <w:t>5 501</w:t>
            </w:r>
          </w:p>
        </w:tc>
        <w:tc>
          <w:tcPr>
            <w:tcW w:w="862" w:type="dxa"/>
            <w:tcBorders>
              <w:top w:val="nil"/>
              <w:left w:val="nil"/>
              <w:bottom w:val="single" w:sz="4" w:space="0" w:color="auto"/>
              <w:right w:val="nil"/>
            </w:tcBorders>
            <w:shd w:val="clear" w:color="auto" w:fill="auto"/>
            <w:noWrap/>
            <w:vAlign w:val="center"/>
            <w:hideMark/>
          </w:tcPr>
          <w:p w:rsidR="00FF08DE" w:rsidRPr="00FF08DE" w:rsidRDefault="00FF08DE" w:rsidP="00FF08DE">
            <w:pPr>
              <w:spacing w:before="0" w:after="0"/>
              <w:jc w:val="right"/>
              <w:rPr>
                <w:rFonts w:ascii="Calibri" w:eastAsia="Times New Roman" w:hAnsi="Calibri" w:cs="Times New Roman"/>
                <w:color w:val="000000"/>
                <w:sz w:val="20"/>
                <w:szCs w:val="20"/>
                <w:lang w:eastAsia="cs-CZ"/>
              </w:rPr>
            </w:pPr>
            <w:r w:rsidRPr="00FF08DE">
              <w:rPr>
                <w:rFonts w:ascii="Calibri" w:eastAsia="Times New Roman" w:hAnsi="Calibri" w:cs="Times New Roman"/>
                <w:color w:val="000000"/>
                <w:sz w:val="20"/>
                <w:szCs w:val="20"/>
                <w:lang w:eastAsia="cs-CZ"/>
              </w:rPr>
              <w:t>5 456</w:t>
            </w:r>
          </w:p>
        </w:tc>
        <w:tc>
          <w:tcPr>
            <w:tcW w:w="862" w:type="dxa"/>
            <w:tcBorders>
              <w:top w:val="nil"/>
              <w:left w:val="nil"/>
              <w:bottom w:val="single" w:sz="4" w:space="0" w:color="auto"/>
              <w:right w:val="nil"/>
            </w:tcBorders>
            <w:shd w:val="clear" w:color="auto" w:fill="auto"/>
            <w:noWrap/>
            <w:vAlign w:val="center"/>
            <w:hideMark/>
          </w:tcPr>
          <w:p w:rsidR="00FF08DE" w:rsidRPr="00FF08DE" w:rsidRDefault="00FF08DE" w:rsidP="00FF08DE">
            <w:pPr>
              <w:spacing w:before="0" w:after="0"/>
              <w:jc w:val="right"/>
              <w:rPr>
                <w:rFonts w:ascii="Calibri" w:eastAsia="Times New Roman" w:hAnsi="Calibri" w:cs="Times New Roman"/>
                <w:color w:val="000000"/>
                <w:sz w:val="20"/>
                <w:szCs w:val="20"/>
                <w:lang w:eastAsia="cs-CZ"/>
              </w:rPr>
            </w:pPr>
            <w:r w:rsidRPr="00FF08DE">
              <w:rPr>
                <w:rFonts w:ascii="Calibri" w:eastAsia="Times New Roman" w:hAnsi="Calibri" w:cs="Times New Roman"/>
                <w:color w:val="000000"/>
                <w:sz w:val="20"/>
                <w:szCs w:val="20"/>
                <w:lang w:eastAsia="cs-CZ"/>
              </w:rPr>
              <w:t>6 101</w:t>
            </w:r>
          </w:p>
        </w:tc>
        <w:tc>
          <w:tcPr>
            <w:tcW w:w="862" w:type="dxa"/>
            <w:tcBorders>
              <w:top w:val="nil"/>
              <w:left w:val="nil"/>
              <w:bottom w:val="single" w:sz="4" w:space="0" w:color="auto"/>
              <w:right w:val="nil"/>
            </w:tcBorders>
            <w:shd w:val="clear" w:color="auto" w:fill="auto"/>
            <w:noWrap/>
            <w:vAlign w:val="center"/>
            <w:hideMark/>
          </w:tcPr>
          <w:p w:rsidR="00FF08DE" w:rsidRPr="00FF08DE" w:rsidRDefault="00FF08DE" w:rsidP="00FF08DE">
            <w:pPr>
              <w:spacing w:before="0" w:after="0"/>
              <w:jc w:val="right"/>
              <w:rPr>
                <w:rFonts w:ascii="Calibri" w:eastAsia="Times New Roman" w:hAnsi="Calibri" w:cs="Times New Roman"/>
                <w:color w:val="000000"/>
                <w:sz w:val="20"/>
                <w:szCs w:val="20"/>
                <w:lang w:eastAsia="cs-CZ"/>
              </w:rPr>
            </w:pPr>
            <w:r w:rsidRPr="00FF08DE">
              <w:rPr>
                <w:rFonts w:ascii="Calibri" w:eastAsia="Times New Roman" w:hAnsi="Calibri" w:cs="Times New Roman"/>
                <w:color w:val="000000"/>
                <w:sz w:val="20"/>
                <w:szCs w:val="20"/>
                <w:lang w:eastAsia="cs-CZ"/>
              </w:rPr>
              <w:t>5 508</w:t>
            </w:r>
          </w:p>
        </w:tc>
        <w:tc>
          <w:tcPr>
            <w:tcW w:w="1288" w:type="dxa"/>
            <w:tcBorders>
              <w:top w:val="nil"/>
              <w:left w:val="nil"/>
              <w:bottom w:val="nil"/>
              <w:right w:val="nil"/>
            </w:tcBorders>
            <w:shd w:val="clear" w:color="000000" w:fill="F2F2F2"/>
            <w:noWrap/>
            <w:vAlign w:val="center"/>
            <w:hideMark/>
          </w:tcPr>
          <w:p w:rsidR="00FF08DE" w:rsidRPr="00FF08DE" w:rsidRDefault="00FF08DE" w:rsidP="00FF08DE">
            <w:pPr>
              <w:spacing w:before="0" w:after="0"/>
              <w:ind w:right="251"/>
              <w:jc w:val="right"/>
              <w:rPr>
                <w:rFonts w:ascii="Calibri" w:eastAsia="Times New Roman" w:hAnsi="Calibri" w:cs="Times New Roman"/>
                <w:b/>
                <w:bCs/>
                <w:color w:val="000000"/>
                <w:sz w:val="20"/>
                <w:szCs w:val="20"/>
                <w:lang w:eastAsia="cs-CZ"/>
              </w:rPr>
            </w:pPr>
            <w:r w:rsidRPr="00FF08DE">
              <w:rPr>
                <w:rFonts w:ascii="Calibri" w:eastAsia="Times New Roman" w:hAnsi="Calibri" w:cs="Times New Roman"/>
                <w:b/>
                <w:bCs/>
                <w:color w:val="000000"/>
                <w:sz w:val="20"/>
                <w:szCs w:val="20"/>
                <w:lang w:eastAsia="cs-CZ"/>
              </w:rPr>
              <w:t>22 721</w:t>
            </w:r>
          </w:p>
        </w:tc>
      </w:tr>
      <w:tr w:rsidR="00FF08DE" w:rsidRPr="00FF08DE" w:rsidTr="00FF08DE">
        <w:trPr>
          <w:trHeight w:val="345"/>
          <w:jc w:val="center"/>
        </w:trPr>
        <w:tc>
          <w:tcPr>
            <w:tcW w:w="2060" w:type="dxa"/>
            <w:tcBorders>
              <w:top w:val="nil"/>
              <w:left w:val="nil"/>
              <w:bottom w:val="single" w:sz="4" w:space="0" w:color="auto"/>
              <w:right w:val="nil"/>
            </w:tcBorders>
            <w:shd w:val="clear" w:color="000000" w:fill="D9D9D9"/>
            <w:noWrap/>
            <w:vAlign w:val="center"/>
            <w:hideMark/>
          </w:tcPr>
          <w:p w:rsidR="00FF08DE" w:rsidRPr="00FF08DE" w:rsidRDefault="00FF08DE" w:rsidP="00FF08DE">
            <w:pPr>
              <w:spacing w:before="0" w:after="0"/>
              <w:jc w:val="left"/>
              <w:rPr>
                <w:rFonts w:ascii="Calibri" w:eastAsia="Times New Roman" w:hAnsi="Calibri" w:cs="Times New Roman"/>
                <w:b/>
                <w:bCs/>
                <w:color w:val="000000"/>
                <w:sz w:val="20"/>
                <w:szCs w:val="20"/>
                <w:lang w:eastAsia="cs-CZ"/>
              </w:rPr>
            </w:pPr>
            <w:r w:rsidRPr="00FF08DE">
              <w:rPr>
                <w:rFonts w:ascii="Calibri" w:eastAsia="Times New Roman" w:hAnsi="Calibri" w:cs="Times New Roman"/>
                <w:b/>
                <w:bCs/>
                <w:color w:val="000000"/>
                <w:sz w:val="20"/>
                <w:szCs w:val="20"/>
                <w:lang w:eastAsia="cs-CZ"/>
              </w:rPr>
              <w:t>Celkem</w:t>
            </w:r>
          </w:p>
        </w:tc>
        <w:tc>
          <w:tcPr>
            <w:tcW w:w="862" w:type="dxa"/>
            <w:tcBorders>
              <w:top w:val="nil"/>
              <w:left w:val="nil"/>
              <w:bottom w:val="single" w:sz="4" w:space="0" w:color="auto"/>
              <w:right w:val="nil"/>
            </w:tcBorders>
            <w:shd w:val="clear" w:color="000000" w:fill="D9D9D9"/>
            <w:noWrap/>
            <w:vAlign w:val="center"/>
            <w:hideMark/>
          </w:tcPr>
          <w:p w:rsidR="00FF08DE" w:rsidRPr="00FF08DE" w:rsidRDefault="00FF08DE" w:rsidP="00FF08DE">
            <w:pPr>
              <w:spacing w:before="0" w:after="0"/>
              <w:jc w:val="right"/>
              <w:rPr>
                <w:rFonts w:ascii="Calibri" w:eastAsia="Times New Roman" w:hAnsi="Calibri" w:cs="Times New Roman"/>
                <w:b/>
                <w:bCs/>
                <w:color w:val="000000"/>
                <w:sz w:val="20"/>
                <w:szCs w:val="20"/>
                <w:lang w:eastAsia="cs-CZ"/>
              </w:rPr>
            </w:pPr>
            <w:r w:rsidRPr="00FF08DE">
              <w:rPr>
                <w:rFonts w:ascii="Calibri" w:eastAsia="Times New Roman" w:hAnsi="Calibri" w:cs="Times New Roman"/>
                <w:b/>
                <w:bCs/>
                <w:color w:val="000000"/>
                <w:sz w:val="20"/>
                <w:szCs w:val="20"/>
                <w:lang w:eastAsia="cs-CZ"/>
              </w:rPr>
              <w:t>32 058</w:t>
            </w:r>
          </w:p>
        </w:tc>
        <w:tc>
          <w:tcPr>
            <w:tcW w:w="862" w:type="dxa"/>
            <w:tcBorders>
              <w:top w:val="nil"/>
              <w:left w:val="nil"/>
              <w:bottom w:val="single" w:sz="4" w:space="0" w:color="auto"/>
              <w:right w:val="nil"/>
            </w:tcBorders>
            <w:shd w:val="clear" w:color="000000" w:fill="D9D9D9"/>
            <w:noWrap/>
            <w:vAlign w:val="center"/>
            <w:hideMark/>
          </w:tcPr>
          <w:p w:rsidR="00FF08DE" w:rsidRPr="00FF08DE" w:rsidRDefault="00FF08DE" w:rsidP="00FF08DE">
            <w:pPr>
              <w:spacing w:before="0" w:after="0"/>
              <w:jc w:val="right"/>
              <w:rPr>
                <w:rFonts w:ascii="Calibri" w:eastAsia="Times New Roman" w:hAnsi="Calibri" w:cs="Times New Roman"/>
                <w:b/>
                <w:bCs/>
                <w:color w:val="000000"/>
                <w:sz w:val="20"/>
                <w:szCs w:val="20"/>
                <w:lang w:eastAsia="cs-CZ"/>
              </w:rPr>
            </w:pPr>
            <w:r w:rsidRPr="00FF08DE">
              <w:rPr>
                <w:rFonts w:ascii="Calibri" w:eastAsia="Times New Roman" w:hAnsi="Calibri" w:cs="Times New Roman"/>
                <w:b/>
                <w:bCs/>
                <w:color w:val="000000"/>
                <w:sz w:val="20"/>
                <w:szCs w:val="20"/>
                <w:lang w:eastAsia="cs-CZ"/>
              </w:rPr>
              <w:t>54 463</w:t>
            </w:r>
          </w:p>
        </w:tc>
        <w:tc>
          <w:tcPr>
            <w:tcW w:w="862" w:type="dxa"/>
            <w:tcBorders>
              <w:top w:val="nil"/>
              <w:left w:val="nil"/>
              <w:bottom w:val="single" w:sz="4" w:space="0" w:color="auto"/>
              <w:right w:val="nil"/>
            </w:tcBorders>
            <w:shd w:val="clear" w:color="000000" w:fill="D9D9D9"/>
            <w:noWrap/>
            <w:vAlign w:val="center"/>
            <w:hideMark/>
          </w:tcPr>
          <w:p w:rsidR="00FF08DE" w:rsidRPr="00FF08DE" w:rsidRDefault="00FF08DE" w:rsidP="00FF08DE">
            <w:pPr>
              <w:spacing w:before="0" w:after="0"/>
              <w:jc w:val="right"/>
              <w:rPr>
                <w:rFonts w:ascii="Calibri" w:eastAsia="Times New Roman" w:hAnsi="Calibri" w:cs="Times New Roman"/>
                <w:b/>
                <w:bCs/>
                <w:color w:val="000000"/>
                <w:sz w:val="20"/>
                <w:szCs w:val="20"/>
                <w:lang w:eastAsia="cs-CZ"/>
              </w:rPr>
            </w:pPr>
            <w:r w:rsidRPr="00FF08DE">
              <w:rPr>
                <w:rFonts w:ascii="Calibri" w:eastAsia="Times New Roman" w:hAnsi="Calibri" w:cs="Times New Roman"/>
                <w:b/>
                <w:bCs/>
                <w:color w:val="000000"/>
                <w:sz w:val="20"/>
                <w:szCs w:val="20"/>
                <w:lang w:eastAsia="cs-CZ"/>
              </w:rPr>
              <w:t>50 002</w:t>
            </w:r>
          </w:p>
        </w:tc>
        <w:tc>
          <w:tcPr>
            <w:tcW w:w="862" w:type="dxa"/>
            <w:tcBorders>
              <w:top w:val="nil"/>
              <w:left w:val="nil"/>
              <w:bottom w:val="single" w:sz="4" w:space="0" w:color="auto"/>
              <w:right w:val="nil"/>
            </w:tcBorders>
            <w:shd w:val="clear" w:color="000000" w:fill="D9D9D9"/>
            <w:noWrap/>
            <w:vAlign w:val="center"/>
            <w:hideMark/>
          </w:tcPr>
          <w:p w:rsidR="00FF08DE" w:rsidRPr="00FF08DE" w:rsidRDefault="00FF08DE" w:rsidP="00FF08DE">
            <w:pPr>
              <w:spacing w:before="0" w:after="0"/>
              <w:jc w:val="right"/>
              <w:rPr>
                <w:rFonts w:ascii="Calibri" w:eastAsia="Times New Roman" w:hAnsi="Calibri" w:cs="Times New Roman"/>
                <w:b/>
                <w:bCs/>
                <w:color w:val="000000"/>
                <w:sz w:val="20"/>
                <w:szCs w:val="20"/>
                <w:lang w:eastAsia="cs-CZ"/>
              </w:rPr>
            </w:pPr>
            <w:r w:rsidRPr="00FF08DE">
              <w:rPr>
                <w:rFonts w:ascii="Calibri" w:eastAsia="Times New Roman" w:hAnsi="Calibri" w:cs="Times New Roman"/>
                <w:b/>
                <w:bCs/>
                <w:color w:val="000000"/>
                <w:sz w:val="20"/>
                <w:szCs w:val="20"/>
                <w:lang w:eastAsia="cs-CZ"/>
              </w:rPr>
              <w:t>52 457</w:t>
            </w:r>
          </w:p>
        </w:tc>
        <w:tc>
          <w:tcPr>
            <w:tcW w:w="862" w:type="dxa"/>
            <w:tcBorders>
              <w:top w:val="nil"/>
              <w:left w:val="nil"/>
              <w:bottom w:val="single" w:sz="4" w:space="0" w:color="auto"/>
              <w:right w:val="nil"/>
            </w:tcBorders>
            <w:shd w:val="clear" w:color="000000" w:fill="D9D9D9"/>
            <w:noWrap/>
            <w:vAlign w:val="center"/>
            <w:hideMark/>
          </w:tcPr>
          <w:p w:rsidR="00FF08DE" w:rsidRPr="00FF08DE" w:rsidRDefault="00FF08DE" w:rsidP="00FF08DE">
            <w:pPr>
              <w:spacing w:before="0" w:after="0"/>
              <w:jc w:val="right"/>
              <w:rPr>
                <w:rFonts w:ascii="Calibri" w:eastAsia="Times New Roman" w:hAnsi="Calibri" w:cs="Times New Roman"/>
                <w:b/>
                <w:bCs/>
                <w:color w:val="000000"/>
                <w:sz w:val="20"/>
                <w:szCs w:val="20"/>
                <w:lang w:eastAsia="cs-CZ"/>
              </w:rPr>
            </w:pPr>
            <w:r w:rsidRPr="00FF08DE">
              <w:rPr>
                <w:rFonts w:ascii="Calibri" w:eastAsia="Times New Roman" w:hAnsi="Calibri" w:cs="Times New Roman"/>
                <w:b/>
                <w:bCs/>
                <w:color w:val="000000"/>
                <w:sz w:val="20"/>
                <w:szCs w:val="20"/>
                <w:lang w:eastAsia="cs-CZ"/>
              </w:rPr>
              <w:t>55 159</w:t>
            </w:r>
          </w:p>
        </w:tc>
        <w:tc>
          <w:tcPr>
            <w:tcW w:w="862" w:type="dxa"/>
            <w:tcBorders>
              <w:top w:val="nil"/>
              <w:left w:val="nil"/>
              <w:bottom w:val="single" w:sz="4" w:space="0" w:color="auto"/>
              <w:right w:val="nil"/>
            </w:tcBorders>
            <w:shd w:val="clear" w:color="000000" w:fill="D9D9D9"/>
            <w:noWrap/>
            <w:vAlign w:val="center"/>
            <w:hideMark/>
          </w:tcPr>
          <w:p w:rsidR="00FF08DE" w:rsidRPr="00FF08DE" w:rsidRDefault="00FF08DE" w:rsidP="00FF08DE">
            <w:pPr>
              <w:spacing w:before="0" w:after="0"/>
              <w:jc w:val="right"/>
              <w:rPr>
                <w:rFonts w:ascii="Calibri" w:eastAsia="Times New Roman" w:hAnsi="Calibri" w:cs="Times New Roman"/>
                <w:b/>
                <w:bCs/>
                <w:color w:val="000000"/>
                <w:sz w:val="20"/>
                <w:szCs w:val="20"/>
                <w:lang w:eastAsia="cs-CZ"/>
              </w:rPr>
            </w:pPr>
            <w:r w:rsidRPr="00FF08DE">
              <w:rPr>
                <w:rFonts w:ascii="Calibri" w:eastAsia="Times New Roman" w:hAnsi="Calibri" w:cs="Times New Roman"/>
                <w:b/>
                <w:bCs/>
                <w:color w:val="000000"/>
                <w:sz w:val="20"/>
                <w:szCs w:val="20"/>
                <w:lang w:eastAsia="cs-CZ"/>
              </w:rPr>
              <w:t>55 159</w:t>
            </w:r>
          </w:p>
        </w:tc>
        <w:tc>
          <w:tcPr>
            <w:tcW w:w="1288" w:type="dxa"/>
            <w:tcBorders>
              <w:top w:val="single" w:sz="4" w:space="0" w:color="auto"/>
              <w:left w:val="nil"/>
              <w:bottom w:val="single" w:sz="4" w:space="0" w:color="auto"/>
              <w:right w:val="nil"/>
            </w:tcBorders>
            <w:shd w:val="clear" w:color="000000" w:fill="D9D9D9"/>
            <w:noWrap/>
            <w:vAlign w:val="center"/>
            <w:hideMark/>
          </w:tcPr>
          <w:p w:rsidR="00FF08DE" w:rsidRPr="00FF08DE" w:rsidRDefault="00FF08DE" w:rsidP="00FF08DE">
            <w:pPr>
              <w:spacing w:before="0" w:after="0"/>
              <w:ind w:right="251"/>
              <w:jc w:val="right"/>
              <w:rPr>
                <w:rFonts w:ascii="Calibri" w:eastAsia="Times New Roman" w:hAnsi="Calibri" w:cs="Times New Roman"/>
                <w:b/>
                <w:bCs/>
                <w:color w:val="000000"/>
                <w:sz w:val="20"/>
                <w:szCs w:val="20"/>
                <w:lang w:eastAsia="cs-CZ"/>
              </w:rPr>
            </w:pPr>
            <w:r w:rsidRPr="00FF08DE">
              <w:rPr>
                <w:rFonts w:ascii="Calibri" w:eastAsia="Times New Roman" w:hAnsi="Calibri" w:cs="Times New Roman"/>
                <w:b/>
                <w:bCs/>
                <w:color w:val="000000"/>
                <w:sz w:val="20"/>
                <w:szCs w:val="20"/>
                <w:lang w:eastAsia="cs-CZ"/>
              </w:rPr>
              <w:t>299 298</w:t>
            </w:r>
          </w:p>
        </w:tc>
      </w:tr>
    </w:tbl>
    <w:p w:rsidR="001F52F1" w:rsidRPr="00BD73C9" w:rsidRDefault="001F52F1" w:rsidP="00BD73C9">
      <w:pPr>
        <w:rPr>
          <w:lang w:eastAsia="cs-CZ"/>
        </w:rPr>
      </w:pPr>
    </w:p>
    <w:p w:rsidR="003B3188" w:rsidRPr="00E022BD" w:rsidRDefault="000D0A67" w:rsidP="001F52F1">
      <w:pPr>
        <w:pStyle w:val="Nadpis4"/>
        <w:rPr>
          <w:rFonts w:eastAsiaTheme="majorEastAsia"/>
        </w:rPr>
      </w:pPr>
      <w:bookmarkStart w:id="29" w:name="_Ref450223528"/>
      <w:bookmarkStart w:id="30" w:name="_Toc459723269"/>
      <w:r>
        <w:rPr>
          <w:rFonts w:eastAsiaTheme="majorEastAsia"/>
        </w:rPr>
        <w:t xml:space="preserve">Účelová podpora </w:t>
      </w:r>
      <w:bookmarkEnd w:id="25"/>
      <w:r w:rsidR="00BC7166">
        <w:rPr>
          <w:rFonts w:eastAsiaTheme="majorEastAsia"/>
        </w:rPr>
        <w:t>VaV</w:t>
      </w:r>
      <w:bookmarkEnd w:id="29"/>
      <w:bookmarkEnd w:id="30"/>
    </w:p>
    <w:p w:rsidR="00787DC4" w:rsidRDefault="003A742D" w:rsidP="00787DC4">
      <w:r>
        <w:t>MV</w:t>
      </w:r>
      <w:r w:rsidR="008A404D">
        <w:t xml:space="preserve"> v </w:t>
      </w:r>
      <w:r w:rsidR="00033E35">
        <w:t>letech 2010 až 2015</w:t>
      </w:r>
      <w:r w:rsidR="008A404D">
        <w:t xml:space="preserve"> implementovalo </w:t>
      </w:r>
      <w:r w:rsidR="00BC7166">
        <w:t xml:space="preserve">celkem pět </w:t>
      </w:r>
      <w:r w:rsidR="008A404D">
        <w:t>program</w:t>
      </w:r>
      <w:r w:rsidR="00BC7166">
        <w:t>ů</w:t>
      </w:r>
      <w:r w:rsidR="008A404D">
        <w:t xml:space="preserve"> účelové podpory:</w:t>
      </w:r>
    </w:p>
    <w:p w:rsidR="00FC52A3" w:rsidRDefault="008A404D" w:rsidP="004F74B7">
      <w:pPr>
        <w:pStyle w:val="Odstavecseseznamem"/>
        <w:numPr>
          <w:ilvl w:val="0"/>
          <w:numId w:val="3"/>
        </w:numPr>
        <w:contextualSpacing w:val="0"/>
      </w:pPr>
      <w:r>
        <w:t>Program bezpečnostního výzkumu 2006</w:t>
      </w:r>
      <w:r w:rsidR="00FB2046">
        <w:t xml:space="preserve"> </w:t>
      </w:r>
      <w:r>
        <w:t>-</w:t>
      </w:r>
      <w:r w:rsidR="00FB2046">
        <w:t xml:space="preserve"> </w:t>
      </w:r>
      <w:r>
        <w:t>2010 (VD)</w:t>
      </w:r>
      <w:r w:rsidR="00B846C5">
        <w:t xml:space="preserve"> </w:t>
      </w:r>
      <w:r w:rsidR="00B846C5">
        <w:fldChar w:fldCharType="begin"/>
      </w:r>
      <w:r w:rsidR="00B846C5">
        <w:instrText xml:space="preserve"> REF _Ref451706810 \r \h </w:instrText>
      </w:r>
      <w:r w:rsidR="00B846C5">
        <w:fldChar w:fldCharType="separate"/>
      </w:r>
      <w:r w:rsidR="003F08E5">
        <w:t>[5]</w:t>
      </w:r>
      <w:r w:rsidR="00B846C5">
        <w:fldChar w:fldCharType="end"/>
      </w:r>
      <w:r w:rsidR="00FC52A3">
        <w:t xml:space="preserve">, jenž byl </w:t>
      </w:r>
      <w:r w:rsidR="00FC52A3" w:rsidRPr="00FC52A3">
        <w:t>zaměřen na prognózování, analýz</w:t>
      </w:r>
      <w:r w:rsidR="00FC52A3">
        <w:t>y</w:t>
      </w:r>
      <w:r w:rsidR="00FC52A3" w:rsidRPr="00FC52A3">
        <w:t>, vyhodnocování a možnou eliminaci nejzávažnějších hrozeb souvisejících se z</w:t>
      </w:r>
      <w:r w:rsidR="00FC52A3">
        <w:t>a</w:t>
      </w:r>
      <w:r w:rsidR="00FC52A3" w:rsidRPr="00FC52A3">
        <w:t>bezpečením základních funkcí státu, kritickou infrastrukturou, ochranou životů a zdraví</w:t>
      </w:r>
      <w:r w:rsidR="00B846C5">
        <w:t>m</w:t>
      </w:r>
      <w:r w:rsidR="00FC52A3" w:rsidRPr="00FC52A3">
        <w:t xml:space="preserve"> obyvatelstva ČR v případě vojenských a nevojenských krizových situací</w:t>
      </w:r>
      <w:r w:rsidR="00BA0314" w:rsidRPr="00BA0314">
        <w:t xml:space="preserve"> (kategorie Z - Veřejná zakázka ve výzkumu a vývoji)</w:t>
      </w:r>
      <w:r w:rsidR="00FC52A3" w:rsidRPr="00FC52A3">
        <w:t>.</w:t>
      </w:r>
    </w:p>
    <w:p w:rsidR="007A431B" w:rsidRDefault="00FC52A3" w:rsidP="004F74B7">
      <w:pPr>
        <w:pStyle w:val="Odstavecseseznamem"/>
        <w:numPr>
          <w:ilvl w:val="0"/>
          <w:numId w:val="3"/>
        </w:numPr>
        <w:contextualSpacing w:val="0"/>
      </w:pPr>
      <w:r w:rsidRPr="00FC52A3">
        <w:t>Resortní výzkum a vývoj 2007</w:t>
      </w:r>
      <w:r>
        <w:t xml:space="preserve"> – </w:t>
      </w:r>
      <w:r w:rsidRPr="00FC52A3">
        <w:t>2011</w:t>
      </w:r>
      <w:r>
        <w:t xml:space="preserve"> (VE)</w:t>
      </w:r>
      <w:r w:rsidR="00B846C5">
        <w:t xml:space="preserve"> </w:t>
      </w:r>
      <w:r w:rsidR="00B846C5">
        <w:fldChar w:fldCharType="begin"/>
      </w:r>
      <w:r w:rsidR="00B846C5">
        <w:instrText xml:space="preserve"> REF _Ref451706820 \r \h </w:instrText>
      </w:r>
      <w:r w:rsidR="00B846C5">
        <w:fldChar w:fldCharType="separate"/>
      </w:r>
      <w:r w:rsidR="003F08E5">
        <w:t>[6]</w:t>
      </w:r>
      <w:r w:rsidR="00B846C5">
        <w:fldChar w:fldCharType="end"/>
      </w:r>
      <w:r>
        <w:t xml:space="preserve">, kde byl financován VaV zaměřený na </w:t>
      </w:r>
      <w:r w:rsidRPr="00FC52A3">
        <w:t>fungování veřejné správy</w:t>
      </w:r>
      <w:r>
        <w:t xml:space="preserve">, </w:t>
      </w:r>
      <w:r w:rsidRPr="00FC52A3">
        <w:t>ochran</w:t>
      </w:r>
      <w:r>
        <w:t>u</w:t>
      </w:r>
      <w:r w:rsidRPr="00FC52A3">
        <w:t xml:space="preserve"> a zabezpečení archiválií</w:t>
      </w:r>
      <w:r>
        <w:t>,</w:t>
      </w:r>
      <w:r w:rsidRPr="00FC52A3">
        <w:t xml:space="preserve"> prevenc</w:t>
      </w:r>
      <w:r>
        <w:t>i</w:t>
      </w:r>
      <w:r w:rsidRPr="00FC52A3">
        <w:t xml:space="preserve"> trestné činnosti</w:t>
      </w:r>
      <w:r>
        <w:t>,</w:t>
      </w:r>
      <w:r w:rsidRPr="00FC52A3">
        <w:t xml:space="preserve"> odhalování latentní kriminality</w:t>
      </w:r>
      <w:r>
        <w:t xml:space="preserve"> a</w:t>
      </w:r>
      <w:r w:rsidRPr="00FC52A3">
        <w:t xml:space="preserve"> kriminalistick</w:t>
      </w:r>
      <w:r>
        <w:t>ou</w:t>
      </w:r>
      <w:r w:rsidRPr="00FC52A3">
        <w:t xml:space="preserve"> identifikac</w:t>
      </w:r>
      <w:r>
        <w:t>i</w:t>
      </w:r>
      <w:r w:rsidRPr="00FC52A3">
        <w:t xml:space="preserve"> osob</w:t>
      </w:r>
      <w:r w:rsidR="00BA0314">
        <w:t xml:space="preserve"> </w:t>
      </w:r>
      <w:r w:rsidR="00BA0314" w:rsidRPr="00BA0314">
        <w:t>(kategorie Z - Veřejná zakázka ve výzkumu a vývoji)</w:t>
      </w:r>
      <w:r>
        <w:t>.</w:t>
      </w:r>
    </w:p>
    <w:p w:rsidR="008A404D" w:rsidRDefault="008A404D" w:rsidP="004F74B7">
      <w:pPr>
        <w:pStyle w:val="Odstavecseseznamem"/>
        <w:numPr>
          <w:ilvl w:val="0"/>
          <w:numId w:val="3"/>
        </w:numPr>
        <w:contextualSpacing w:val="0"/>
      </w:pPr>
      <w:r>
        <w:t>Bezpečnostní výzkum pro potřeby státu v letech 2010 až 2015 (VF)</w:t>
      </w:r>
      <w:r w:rsidR="00B846C5">
        <w:t xml:space="preserve"> </w:t>
      </w:r>
      <w:r w:rsidR="00B846C5">
        <w:fldChar w:fldCharType="begin"/>
      </w:r>
      <w:r w:rsidR="00B846C5">
        <w:instrText xml:space="preserve"> REF _Ref451706827 \r \h </w:instrText>
      </w:r>
      <w:r w:rsidR="00B846C5">
        <w:fldChar w:fldCharType="separate"/>
      </w:r>
      <w:r w:rsidR="003F08E5">
        <w:t>[7]</w:t>
      </w:r>
      <w:r w:rsidR="00B846C5">
        <w:fldChar w:fldCharType="end"/>
      </w:r>
      <w:r w:rsidR="00FC52A3">
        <w:t xml:space="preserve">. Cílem programu bylo </w:t>
      </w:r>
      <w:r w:rsidR="00FC52A3" w:rsidRPr="00FC52A3">
        <w:t xml:space="preserve">dosažení </w:t>
      </w:r>
      <w:r w:rsidR="00FC52A3">
        <w:t>z</w:t>
      </w:r>
      <w:r w:rsidR="00FC52A3" w:rsidRPr="00FC52A3">
        <w:t xml:space="preserve">nalostní, technické a technologické úrovně, která umožní orgánům státní správy </w:t>
      </w:r>
      <w:r w:rsidR="009079D7">
        <w:t xml:space="preserve">plnícím </w:t>
      </w:r>
      <w:r w:rsidR="00FC52A3" w:rsidRPr="00FC52A3">
        <w:t>svěřené úkoly v oblasti vnitřní bezpečnosti a ochrany obyvatelstva Č</w:t>
      </w:r>
      <w:r w:rsidR="00FC52A3">
        <w:t>R</w:t>
      </w:r>
      <w:r w:rsidR="00FC52A3" w:rsidRPr="00FC52A3">
        <w:t xml:space="preserve"> navrhnout legislativní a organizační opatření, nové metody a nástroje ke zvýšení bezpečnosti státu a jeho obyvatel</w:t>
      </w:r>
      <w:r w:rsidR="009079D7">
        <w:t>,</w:t>
      </w:r>
      <w:r w:rsidR="00FC52A3" w:rsidRPr="00FC52A3">
        <w:t xml:space="preserve"> vyvinout moderní systém technických prostředků ke zvýšení účinnosti a efektivnosti procesů krizového řízení a ke zvýšení bezpečnosti kritických infrastruktur</w:t>
      </w:r>
      <w:r w:rsidR="00BA0314">
        <w:t xml:space="preserve"> </w:t>
      </w:r>
      <w:r w:rsidR="00BA0314" w:rsidRPr="00BA0314">
        <w:t>(kategorie Z - Veřejná zakázka ve výzkumu a vývoji)</w:t>
      </w:r>
      <w:r w:rsidR="00FC52A3" w:rsidRPr="00FC52A3">
        <w:t>.</w:t>
      </w:r>
    </w:p>
    <w:p w:rsidR="008A404D" w:rsidRDefault="008A404D" w:rsidP="004F74B7">
      <w:pPr>
        <w:pStyle w:val="Odstavecseseznamem"/>
        <w:numPr>
          <w:ilvl w:val="0"/>
          <w:numId w:val="3"/>
        </w:numPr>
        <w:contextualSpacing w:val="0"/>
      </w:pPr>
      <w:r>
        <w:t>Program bezpečnostního výzkumu České republiky 2010 – 2015 (VG)</w:t>
      </w:r>
      <w:r w:rsidR="00B846C5">
        <w:t xml:space="preserve"> </w:t>
      </w:r>
      <w:r w:rsidR="00B846C5">
        <w:fldChar w:fldCharType="begin"/>
      </w:r>
      <w:r w:rsidR="00B846C5">
        <w:instrText xml:space="preserve"> REF _Ref451706837 \r \h </w:instrText>
      </w:r>
      <w:r w:rsidR="00B846C5">
        <w:fldChar w:fldCharType="separate"/>
      </w:r>
      <w:r w:rsidR="003F08E5">
        <w:t>[8]</w:t>
      </w:r>
      <w:r w:rsidR="00B846C5">
        <w:fldChar w:fldCharType="end"/>
      </w:r>
      <w:r w:rsidR="00C35AFC">
        <w:t xml:space="preserve">, který byl zaměřen na </w:t>
      </w:r>
      <w:r w:rsidR="00C35AFC" w:rsidRPr="00C35AFC">
        <w:t>identifikac</w:t>
      </w:r>
      <w:r w:rsidR="00C35AFC">
        <w:t>i</w:t>
      </w:r>
      <w:r w:rsidR="00C35AFC" w:rsidRPr="00C35AFC">
        <w:t>, prevenc</w:t>
      </w:r>
      <w:r w:rsidR="00C35AFC">
        <w:t>i</w:t>
      </w:r>
      <w:r w:rsidR="00C35AFC" w:rsidRPr="00C35AFC">
        <w:t xml:space="preserve"> a ochran</w:t>
      </w:r>
      <w:r w:rsidR="00C35AFC">
        <w:t>u</w:t>
      </w:r>
      <w:r w:rsidR="00C35AFC" w:rsidRPr="00C35AFC">
        <w:t xml:space="preserve"> jak proti nezákonným útokům proti obyvatelům, organizacím, systémům, majetku a infrastruktuře Č</w:t>
      </w:r>
      <w:r w:rsidR="00C35AFC">
        <w:t>R</w:t>
      </w:r>
      <w:r w:rsidR="00C35AFC" w:rsidRPr="00C35AFC">
        <w:t>, tak proti přírodním a průmyslovým katastrofám</w:t>
      </w:r>
      <w:r w:rsidR="00C35AFC">
        <w:t>. V</w:t>
      </w:r>
      <w:r w:rsidR="00C35AFC" w:rsidRPr="00C35AFC">
        <w:t>ýsledkem programu b</w:t>
      </w:r>
      <w:r w:rsidR="00C35AFC">
        <w:t>yly</w:t>
      </w:r>
      <w:r w:rsidR="00C35AFC" w:rsidRPr="00C35AFC">
        <w:t xml:space="preserve"> </w:t>
      </w:r>
      <w:r w:rsidR="00C35AFC">
        <w:t xml:space="preserve">zejména </w:t>
      </w:r>
      <w:r w:rsidR="00C35AFC" w:rsidRPr="00C35AFC">
        <w:t>nové metody, nástroje a technologie</w:t>
      </w:r>
      <w:r w:rsidR="00BA0314">
        <w:t xml:space="preserve"> </w:t>
      </w:r>
      <w:r w:rsidR="00BA0314" w:rsidRPr="00BA0314">
        <w:t>(kategorie P – veřejná soutěž)</w:t>
      </w:r>
      <w:r w:rsidR="00C35AFC" w:rsidRPr="00C35AFC">
        <w:t>.</w:t>
      </w:r>
    </w:p>
    <w:p w:rsidR="008A404D" w:rsidRDefault="008A404D" w:rsidP="004F74B7">
      <w:pPr>
        <w:pStyle w:val="Odstavecseseznamem"/>
        <w:numPr>
          <w:ilvl w:val="0"/>
          <w:numId w:val="3"/>
        </w:numPr>
        <w:contextualSpacing w:val="0"/>
      </w:pPr>
      <w:r>
        <w:t>Bezpečnostní výzkum České republiky 2015-2</w:t>
      </w:r>
      <w:r w:rsidR="00BC3D03">
        <w:t>020 (VI)</w:t>
      </w:r>
      <w:r w:rsidR="00B846C5">
        <w:t xml:space="preserve"> </w:t>
      </w:r>
      <w:r w:rsidR="00B846C5">
        <w:fldChar w:fldCharType="begin"/>
      </w:r>
      <w:r w:rsidR="00B846C5">
        <w:instrText xml:space="preserve"> REF _Ref451706843 \r \h </w:instrText>
      </w:r>
      <w:r w:rsidR="00B846C5">
        <w:fldChar w:fldCharType="separate"/>
      </w:r>
      <w:r w:rsidR="003F08E5">
        <w:t>[9]</w:t>
      </w:r>
      <w:r w:rsidR="00B846C5">
        <w:fldChar w:fldCharType="end"/>
      </w:r>
      <w:r w:rsidR="00BC3D03">
        <w:t>, jehož c</w:t>
      </w:r>
      <w:r w:rsidR="00BC3D03" w:rsidRPr="00BC3D03">
        <w:t>ílem je zvýšení bezpečnosti státu a občanů s využitím nových technologií, poznatků a dalších výsledků aplikovaného výzkumu, experimentálního vývoje a inovací v oblasti identifikace, prevence a ochrany proti nezákonným jednáním, přirozeným nebo průmyslovým pohromám, poškozujícím občany ČR, organizace nebo struktury, statky a infrastruktury</w:t>
      </w:r>
      <w:r w:rsidR="00BA0314">
        <w:t xml:space="preserve"> </w:t>
      </w:r>
      <w:r w:rsidR="00BA0314" w:rsidRPr="00BA0314">
        <w:t>(kategorie P – veřejná soutěž)</w:t>
      </w:r>
      <w:r w:rsidR="00BC3D03">
        <w:t>.</w:t>
      </w:r>
    </w:p>
    <w:p w:rsidR="00E022BD" w:rsidRDefault="00BC3D03" w:rsidP="00787DC4">
      <w:r>
        <w:t>V analýze jsou zahrnuty k</w:t>
      </w:r>
      <w:r w:rsidR="00033E35">
        <w:t xml:space="preserve">ompletní údaje </w:t>
      </w:r>
      <w:r>
        <w:t xml:space="preserve">o veřejné podpoře poskytnuté v programech </w:t>
      </w:r>
      <w:r w:rsidR="00033E35">
        <w:t>VF a VG. Z</w:t>
      </w:r>
      <w:r>
        <w:t xml:space="preserve"> programu </w:t>
      </w:r>
      <w:r w:rsidR="00033E35">
        <w:t xml:space="preserve">VD je </w:t>
      </w:r>
      <w:r>
        <w:t xml:space="preserve">v analýze zahrnuta pouze veřejná </w:t>
      </w:r>
      <w:r w:rsidR="00033E35">
        <w:t>podpora</w:t>
      </w:r>
      <w:r>
        <w:t xml:space="preserve"> poskytnutá v roce</w:t>
      </w:r>
      <w:r w:rsidR="00033E35">
        <w:t xml:space="preserve"> 2010. </w:t>
      </w:r>
      <w:r w:rsidR="008A404D">
        <w:t>Z programu VI, který byl zahájen v roce 2015, jsou analýze uvedeny údaje o veřejné podpoře poskytnuté v roce 2015 a o</w:t>
      </w:r>
      <w:r w:rsidR="009427C5">
        <w:t xml:space="preserve"> plánovaných výdajích po roce 2015</w:t>
      </w:r>
      <w:r w:rsidR="008A404D">
        <w:t>.</w:t>
      </w:r>
      <w:r w:rsidR="00033E35">
        <w:t xml:space="preserve"> V analýze </w:t>
      </w:r>
      <w:r w:rsidR="00B846C5">
        <w:t xml:space="preserve">financování BV </w:t>
      </w:r>
      <w:r w:rsidR="00033E35">
        <w:t>se neobjevují údaje o programu VE, neboť v roce 201</w:t>
      </w:r>
      <w:r>
        <w:t>0</w:t>
      </w:r>
      <w:r w:rsidR="00033E35">
        <w:t xml:space="preserve"> a následujícíc</w:t>
      </w:r>
      <w:r>
        <w:t>h</w:t>
      </w:r>
      <w:r w:rsidR="00033E35">
        <w:t xml:space="preserve"> letech nebyla z tohoto programu poskytnuta žádná veřejn</w:t>
      </w:r>
      <w:r w:rsidR="0082727B">
        <w:t>á</w:t>
      </w:r>
      <w:r w:rsidR="00033E35">
        <w:t xml:space="preserve"> podpora.</w:t>
      </w:r>
    </w:p>
    <w:p w:rsidR="003B3188" w:rsidRDefault="003B3188" w:rsidP="00787DC4">
      <w:r>
        <w:t xml:space="preserve">V letech 2010 až 2015 bylo z výše uvedených programů MV poskytnuto na řešení projektů </w:t>
      </w:r>
      <w:r w:rsidR="00933825">
        <w:t xml:space="preserve">téměř 2,5 mld. Kč a </w:t>
      </w:r>
      <w:r w:rsidR="00706554">
        <w:t>c</w:t>
      </w:r>
      <w:r w:rsidR="00933825">
        <w:t xml:space="preserve">elkový rozpočet řešených projektů přesáhl 2,7 </w:t>
      </w:r>
      <w:r>
        <w:t>mld. Kč</w:t>
      </w:r>
      <w:r w:rsidR="00933825">
        <w:t xml:space="preserve"> (přibližně 260 mil. Kč pocházelo z jiných zdrojů</w:t>
      </w:r>
      <w:r w:rsidR="006162A2">
        <w:rPr>
          <w:rStyle w:val="Znakapoznpodarou"/>
        </w:rPr>
        <w:footnoteReference w:id="3"/>
      </w:r>
      <w:r w:rsidR="00933825">
        <w:t xml:space="preserve">). Vývoj </w:t>
      </w:r>
      <w:r w:rsidR="009443C4">
        <w:t>financování bezpečnostních programů</w:t>
      </w:r>
      <w:r w:rsidR="00933825">
        <w:t xml:space="preserve"> v uvedeném období je přehledně znázorněn na </w:t>
      </w:r>
      <w:r w:rsidR="000A4480">
        <w:fldChar w:fldCharType="begin"/>
      </w:r>
      <w:r w:rsidR="000A4480">
        <w:instrText xml:space="preserve"> REF  _Ref450148530 \* Lower \h  \* MERGEFORMAT </w:instrText>
      </w:r>
      <w:r w:rsidR="000A4480">
        <w:fldChar w:fldCharType="separate"/>
      </w:r>
      <w:r w:rsidR="003F08E5">
        <w:t xml:space="preserve">obr. </w:t>
      </w:r>
      <w:r w:rsidR="003F08E5">
        <w:rPr>
          <w:noProof/>
        </w:rPr>
        <w:t>2</w:t>
      </w:r>
      <w:r w:rsidR="000A4480">
        <w:fldChar w:fldCharType="end"/>
      </w:r>
      <w:r w:rsidR="000A4480">
        <w:t>.</w:t>
      </w:r>
    </w:p>
    <w:p w:rsidR="00AE30FD" w:rsidRDefault="00AE30FD" w:rsidP="003A7534">
      <w:pPr>
        <w:jc w:val="center"/>
      </w:pPr>
      <w:r>
        <w:rPr>
          <w:noProof/>
          <w:lang w:eastAsia="cs-CZ"/>
        </w:rPr>
        <w:lastRenderedPageBreak/>
        <w:drawing>
          <wp:inline distT="0" distB="0" distL="0" distR="0" wp14:anchorId="17B3D989" wp14:editId="69AD236D">
            <wp:extent cx="3944620" cy="3328670"/>
            <wp:effectExtent l="0" t="0" r="0" b="5080"/>
            <wp:docPr id="14"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944620" cy="3328670"/>
                    </a:xfrm>
                    <a:prstGeom prst="rect">
                      <a:avLst/>
                    </a:prstGeom>
                    <a:noFill/>
                  </pic:spPr>
                </pic:pic>
              </a:graphicData>
            </a:graphic>
          </wp:inline>
        </w:drawing>
      </w:r>
    </w:p>
    <w:p w:rsidR="006162A2" w:rsidRDefault="006162A2" w:rsidP="006162A2">
      <w:pPr>
        <w:pStyle w:val="Titulek"/>
      </w:pPr>
      <w:bookmarkStart w:id="31" w:name="_Ref450148530"/>
      <w:r>
        <w:t xml:space="preserve">Obr. </w:t>
      </w:r>
      <w:r w:rsidR="00990E2D">
        <w:fldChar w:fldCharType="begin"/>
      </w:r>
      <w:r w:rsidR="00990E2D">
        <w:instrText xml:space="preserve"> SEQ Obr. \* ARABIC </w:instrText>
      </w:r>
      <w:r w:rsidR="00990E2D">
        <w:fldChar w:fldCharType="separate"/>
      </w:r>
      <w:r w:rsidR="003F08E5">
        <w:rPr>
          <w:noProof/>
        </w:rPr>
        <w:t>2</w:t>
      </w:r>
      <w:r w:rsidR="00990E2D">
        <w:rPr>
          <w:noProof/>
        </w:rPr>
        <w:fldChar w:fldCharType="end"/>
      </w:r>
      <w:bookmarkEnd w:id="31"/>
      <w:r>
        <w:tab/>
      </w:r>
      <w:r w:rsidRPr="006162A2">
        <w:t>Výdaje na bezpečnostní výzkum v gesci MV v letech 2010 až 2020. Výdaje na každý projekt jsou rozděleny do jednotlivých roků trvání projektů (IS VaVaI Doplňková tabulka - výpis finančních údajů projektů po jednotlivých letech a účastnících). Pro léta 2016 – 2020 se jedná o podporu udělenou v první veřejné soutěži SMV02015BV001.</w:t>
      </w:r>
    </w:p>
    <w:p w:rsidR="00681D06" w:rsidRDefault="000A4480" w:rsidP="00E022BD">
      <w:r>
        <w:t>Z obrázku je patrné, že v</w:t>
      </w:r>
      <w:r w:rsidRPr="00E022BD">
        <w:t xml:space="preserve"> první polovině tohoto desetiletí výdaje na </w:t>
      </w:r>
      <w:r w:rsidR="00B846C5">
        <w:t>BV</w:t>
      </w:r>
      <w:r w:rsidRPr="00E022BD">
        <w:t xml:space="preserve"> v gesci MV strmě vzrostly. Mezi lety 2010 </w:t>
      </w:r>
      <w:r w:rsidR="003E2D47">
        <w:t xml:space="preserve">a 2011 </w:t>
      </w:r>
      <w:r w:rsidRPr="00E022BD">
        <w:t xml:space="preserve">(počátek financování </w:t>
      </w:r>
      <w:r w:rsidR="00681D06">
        <w:t xml:space="preserve">prostřednictvím </w:t>
      </w:r>
      <w:r w:rsidRPr="00E022BD">
        <w:t>program</w:t>
      </w:r>
      <w:r w:rsidR="00681D06">
        <w:t>ů</w:t>
      </w:r>
      <w:r w:rsidRPr="00E022BD">
        <w:t xml:space="preserve"> VG a VF) </w:t>
      </w:r>
      <w:r w:rsidR="00681D06">
        <w:t xml:space="preserve">vzrostly celkové náklady projektů téměř </w:t>
      </w:r>
      <w:r w:rsidRPr="00E022BD">
        <w:t>čtyřnásobn</w:t>
      </w:r>
      <w:r w:rsidR="00681D06">
        <w:t xml:space="preserve">ě. V následujících letech se nárůst zpomalil, mezi roky 2011 a 2012 celkové náklady vzrostly o </w:t>
      </w:r>
      <w:r w:rsidRPr="00E022BD">
        <w:t xml:space="preserve">28 </w:t>
      </w:r>
      <w:r w:rsidR="001E61C5">
        <w:t>%</w:t>
      </w:r>
      <w:r w:rsidR="00681D06">
        <w:t xml:space="preserve"> a mezi roky 2012 a 2013 přibližně o </w:t>
      </w:r>
      <w:r w:rsidRPr="00E022BD">
        <w:t>16</w:t>
      </w:r>
      <w:r w:rsidR="00681D06">
        <w:t xml:space="preserve"> </w:t>
      </w:r>
      <w:r w:rsidRPr="00E022BD">
        <w:t xml:space="preserve">%. V druhé polovině běhu programů VF a VG došlo k poklesu </w:t>
      </w:r>
      <w:r w:rsidR="009443C4">
        <w:t>veřejného financování</w:t>
      </w:r>
      <w:r w:rsidR="009443C4" w:rsidRPr="00E022BD">
        <w:t xml:space="preserve"> </w:t>
      </w:r>
      <w:r w:rsidRPr="00E022BD">
        <w:t>a v roce 2015 i se započtením počátku financování z programu VI se celkové náklady vrátily ke stavu roku 2011 (viz</w:t>
      </w:r>
      <w:r w:rsidR="00681D06">
        <w:t xml:space="preserve"> </w:t>
      </w:r>
      <w:r w:rsidR="00681D06">
        <w:fldChar w:fldCharType="begin"/>
      </w:r>
      <w:r w:rsidR="00681D06">
        <w:instrText xml:space="preserve"> REF  _Ref450148530 \* Lower \h  \* MERGEFORMAT </w:instrText>
      </w:r>
      <w:r w:rsidR="00681D06">
        <w:fldChar w:fldCharType="separate"/>
      </w:r>
      <w:r w:rsidR="003F08E5">
        <w:t xml:space="preserve">obr. </w:t>
      </w:r>
      <w:r w:rsidR="003F08E5">
        <w:rPr>
          <w:noProof/>
        </w:rPr>
        <w:t>2</w:t>
      </w:r>
      <w:r w:rsidR="00681D06">
        <w:fldChar w:fldCharType="end"/>
      </w:r>
      <w:r w:rsidRPr="00E022BD">
        <w:t>).</w:t>
      </w:r>
    </w:p>
    <w:p w:rsidR="002A6A0C" w:rsidRDefault="000A4480" w:rsidP="00E022BD">
      <w:r w:rsidRPr="00E022BD">
        <w:t>Ukončené financování programy VF a VG nebylo kompenzováno programem VI, v jehož prvním roce byla poskytnuta veřejná podpora ve výši přibližně 51 mil. Kč a v roce 2016 přibližně 217 mil Kč (celkem 292 mil Kč v soutěži SMV02015BV001). Na úroveň srovnatelnou s léty 2013 -2014 se podpora výzkumu vrátí až roce 2017</w:t>
      </w:r>
      <w:r w:rsidR="009A0BC1">
        <w:t>,</w:t>
      </w:r>
      <w:r w:rsidRPr="00E022BD">
        <w:t xml:space="preserve"> pokud bude dodržena plánovaná výše financování v</w:t>
      </w:r>
      <w:r w:rsidR="009A0BC1">
        <w:t>e</w:t>
      </w:r>
      <w:r w:rsidRPr="00E022BD">
        <w:t> druhé veřejné soutěži (SMV02017BV002).</w:t>
      </w:r>
    </w:p>
    <w:p w:rsidR="006162A2" w:rsidRDefault="002A6A0C" w:rsidP="00E022BD">
      <w:r>
        <w:t xml:space="preserve">Na </w:t>
      </w:r>
      <w:r>
        <w:fldChar w:fldCharType="begin"/>
      </w:r>
      <w:r>
        <w:instrText xml:space="preserve"> REF  _Ref450148530 \* Lower \h  \* MERGEFORMAT </w:instrText>
      </w:r>
      <w:r>
        <w:fldChar w:fldCharType="separate"/>
      </w:r>
      <w:r w:rsidR="003F08E5">
        <w:t xml:space="preserve">obr. </w:t>
      </w:r>
      <w:r w:rsidR="003F08E5">
        <w:rPr>
          <w:noProof/>
        </w:rPr>
        <w:t>2</w:t>
      </w:r>
      <w:r>
        <w:fldChar w:fldCharType="end"/>
      </w:r>
      <w:r>
        <w:t xml:space="preserve"> je také vidět, že </w:t>
      </w:r>
      <w:r w:rsidRPr="00E022BD">
        <w:t>kofinancování z jiných zdrojů je prakticky zanedbatelné</w:t>
      </w:r>
      <w:r>
        <w:t xml:space="preserve"> a naprostá většina celkových rozpočtů projektů je hrazena z veřejných zdrojů poskytovaných MV.</w:t>
      </w:r>
      <w:r w:rsidRPr="00E022BD">
        <w:t xml:space="preserve"> </w:t>
      </w:r>
      <w:r w:rsidR="000A4480" w:rsidRPr="00E022BD">
        <w:t>Podíl neveřejných zdrojů na financování bezpečnostního VaV byl</w:t>
      </w:r>
      <w:r w:rsidR="009A0BC1">
        <w:t xml:space="preserve"> většinou </w:t>
      </w:r>
      <w:r w:rsidR="000A4480" w:rsidRPr="00E022BD">
        <w:t xml:space="preserve">v rozsahu 5 </w:t>
      </w:r>
      <w:r>
        <w:t>až</w:t>
      </w:r>
      <w:r w:rsidR="000A4480" w:rsidRPr="00E022BD">
        <w:t xml:space="preserve"> 9 % celkových nákladů</w:t>
      </w:r>
      <w:r>
        <w:t xml:space="preserve"> projektů</w:t>
      </w:r>
      <w:r w:rsidR="000A4480" w:rsidRPr="00E022BD">
        <w:t xml:space="preserve">. </w:t>
      </w:r>
      <w:r w:rsidR="009A0BC1">
        <w:t xml:space="preserve">Výjimkou byly roky </w:t>
      </w:r>
      <w:r w:rsidR="009A0BC1" w:rsidRPr="00E022BD">
        <w:t>2012 a 2013</w:t>
      </w:r>
      <w:r w:rsidR="009A0BC1">
        <w:t xml:space="preserve">, kdy </w:t>
      </w:r>
      <w:r w:rsidR="000A4480" w:rsidRPr="00E022BD">
        <w:t xml:space="preserve">soukromé zdroje uhradily </w:t>
      </w:r>
      <w:r w:rsidR="009A0BC1">
        <w:t xml:space="preserve">zhruba </w:t>
      </w:r>
      <w:r w:rsidR="000A4480" w:rsidRPr="00E022BD">
        <w:t>12 a 15 % celkových ročních nákladů</w:t>
      </w:r>
      <w:r w:rsidR="009A0BC1">
        <w:t xml:space="preserve">. </w:t>
      </w:r>
      <w:r w:rsidR="000A4480" w:rsidRPr="00E022BD">
        <w:t>V dalších přehledech a statistikách jsou proto uváděny pouze vynaložené veřejné prostředky.</w:t>
      </w:r>
    </w:p>
    <w:p w:rsidR="004E5E1C" w:rsidRDefault="00E022BD" w:rsidP="00E022BD">
      <w:r w:rsidRPr="00E022BD">
        <w:t>Na</w:t>
      </w:r>
      <w:r w:rsidR="000C2BB8">
        <w:t xml:space="preserve"> </w:t>
      </w:r>
      <w:r w:rsidR="000C2BB8">
        <w:fldChar w:fldCharType="begin"/>
      </w:r>
      <w:r w:rsidR="000C2BB8">
        <w:instrText xml:space="preserve"> REF  _Ref450304952 \* Lower \h  \* MERGEFORMAT </w:instrText>
      </w:r>
      <w:r w:rsidR="000C2BB8">
        <w:fldChar w:fldCharType="separate"/>
      </w:r>
      <w:r w:rsidR="003F08E5">
        <w:t xml:space="preserve">obr. </w:t>
      </w:r>
      <w:r w:rsidR="003F08E5">
        <w:rPr>
          <w:noProof/>
        </w:rPr>
        <w:t>3</w:t>
      </w:r>
      <w:r w:rsidR="000C2BB8">
        <w:fldChar w:fldCharType="end"/>
      </w:r>
      <w:r w:rsidRPr="00E022BD">
        <w:t xml:space="preserve"> jsou uvedeny roční veřejné výdaje v jednotlivých programech. </w:t>
      </w:r>
      <w:r w:rsidR="000E0807">
        <w:t xml:space="preserve">Z obrázku je patrné, že největší finanční objem veřejné podpory byl poskytnut v rámci programu VG (2010 – 2015). </w:t>
      </w:r>
      <w:r w:rsidRPr="00E022BD">
        <w:t>Program VF</w:t>
      </w:r>
      <w:r w:rsidR="000E0807">
        <w:t xml:space="preserve">, který byl realizován ve stejném období, </w:t>
      </w:r>
      <w:r w:rsidRPr="00E022BD">
        <w:t>mě</w:t>
      </w:r>
      <w:r w:rsidR="000E0807">
        <w:t>l</w:t>
      </w:r>
      <w:r w:rsidRPr="00E022BD">
        <w:t xml:space="preserve"> spíše minoritní roli – tvořil přibližně dvě desetiny celkových veřejných výdajů v letech 2010 – 2015.</w:t>
      </w:r>
      <w:r w:rsidR="000E0807">
        <w:t xml:space="preserve"> Veřejná podpora z „dobíhajícího“ programu se na celkové podpoře poskytnuté v roce 2010 podílela zhruba</w:t>
      </w:r>
      <w:r w:rsidR="00122358">
        <w:t xml:space="preserve"> třetinou</w:t>
      </w:r>
      <w:r w:rsidR="000E0807">
        <w:t xml:space="preserve"> (zbývající část podpory byla </w:t>
      </w:r>
      <w:r w:rsidR="00122358">
        <w:t>přidělena z „nabíhajících“ programů VF a VG).</w:t>
      </w:r>
    </w:p>
    <w:p w:rsidR="004E5E1C" w:rsidRDefault="004E5E1C" w:rsidP="003A7534">
      <w:pPr>
        <w:jc w:val="center"/>
      </w:pPr>
      <w:r>
        <w:rPr>
          <w:noProof/>
          <w:lang w:eastAsia="cs-CZ"/>
        </w:rPr>
        <w:lastRenderedPageBreak/>
        <w:drawing>
          <wp:inline distT="0" distB="0" distL="0" distR="0" wp14:anchorId="3234F174" wp14:editId="341FB559">
            <wp:extent cx="4109085" cy="3853180"/>
            <wp:effectExtent l="0" t="0" r="5715" b="0"/>
            <wp:docPr id="24" name="Obráze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109085" cy="3853180"/>
                    </a:xfrm>
                    <a:prstGeom prst="rect">
                      <a:avLst/>
                    </a:prstGeom>
                    <a:noFill/>
                  </pic:spPr>
                </pic:pic>
              </a:graphicData>
            </a:graphic>
          </wp:inline>
        </w:drawing>
      </w:r>
    </w:p>
    <w:p w:rsidR="00122358" w:rsidRDefault="00122358" w:rsidP="00122358">
      <w:pPr>
        <w:pStyle w:val="Titulek"/>
      </w:pPr>
      <w:bookmarkStart w:id="32" w:name="_Ref450304952"/>
      <w:r>
        <w:t xml:space="preserve">Obr. </w:t>
      </w:r>
      <w:r w:rsidR="00990E2D">
        <w:fldChar w:fldCharType="begin"/>
      </w:r>
      <w:r w:rsidR="00990E2D">
        <w:instrText xml:space="preserve"> SEQ Obr. \* ARABIC</w:instrText>
      </w:r>
      <w:r w:rsidR="00990E2D">
        <w:instrText xml:space="preserve"> </w:instrText>
      </w:r>
      <w:r w:rsidR="00990E2D">
        <w:fldChar w:fldCharType="separate"/>
      </w:r>
      <w:r w:rsidR="003F08E5">
        <w:rPr>
          <w:noProof/>
        </w:rPr>
        <w:t>3</w:t>
      </w:r>
      <w:r w:rsidR="00990E2D">
        <w:rPr>
          <w:noProof/>
        </w:rPr>
        <w:fldChar w:fldCharType="end"/>
      </w:r>
      <w:bookmarkEnd w:id="32"/>
      <w:r>
        <w:tab/>
      </w:r>
      <w:r w:rsidRPr="000F59F5">
        <w:t xml:space="preserve">Veřejná podpora v programech bezpečnostního výzkumu VD, VF VG a VI v letech 2010 až 2020. Pro léta 2015 – 2020 se jedná o veřejné prostředky udělené v první veřejné soutěži v programu VI </w:t>
      </w:r>
      <w:r>
        <w:t>(</w:t>
      </w:r>
      <w:r w:rsidRPr="000F59F5">
        <w:t>SMV02015BV001</w:t>
      </w:r>
      <w:r>
        <w:t>). Zdroj: IS VaVaI</w:t>
      </w:r>
    </w:p>
    <w:p w:rsidR="000F59F5" w:rsidRDefault="00122358" w:rsidP="00E022BD">
      <w:r>
        <w:t xml:space="preserve">V roce 2015 </w:t>
      </w:r>
      <w:r w:rsidR="008C0301">
        <w:t xml:space="preserve">byl zahájen </w:t>
      </w:r>
      <w:r>
        <w:t>program VI</w:t>
      </w:r>
      <w:r w:rsidR="00EB3DC3">
        <w:t xml:space="preserve">, který se v tomto roce na finančním objemu účelové podpory BV podílel přibližně 13 % (viz </w:t>
      </w:r>
      <w:r w:rsidR="00EB3DC3">
        <w:fldChar w:fldCharType="begin"/>
      </w:r>
      <w:r w:rsidR="00EB3DC3">
        <w:instrText xml:space="preserve"> REF  _Ref450304952 \* Lower \h  \* MERGEFORMAT </w:instrText>
      </w:r>
      <w:r w:rsidR="00EB3DC3">
        <w:fldChar w:fldCharType="separate"/>
      </w:r>
      <w:r w:rsidR="003F08E5">
        <w:t xml:space="preserve">obr. </w:t>
      </w:r>
      <w:r w:rsidR="003F08E5">
        <w:rPr>
          <w:noProof/>
        </w:rPr>
        <w:t>3</w:t>
      </w:r>
      <w:r w:rsidR="00EB3DC3">
        <w:fldChar w:fldCharType="end"/>
      </w:r>
      <w:r w:rsidR="00EB3DC3">
        <w:t>)</w:t>
      </w:r>
      <w:r>
        <w:t>.</w:t>
      </w:r>
      <w:r w:rsidR="00EB3DC3">
        <w:t xml:space="preserve"> </w:t>
      </w:r>
      <w:r>
        <w:t xml:space="preserve">Maximální část podpory však bude z tohoto programu (resp. v jeho prvé soutěži </w:t>
      </w:r>
      <w:r w:rsidRPr="000F59F5">
        <w:t>SMV02015BV001</w:t>
      </w:r>
      <w:r>
        <w:t>) bude poskytnuta až v roce 2016</w:t>
      </w:r>
      <w:r w:rsidR="00E2310A">
        <w:t>,</w:t>
      </w:r>
      <w:r>
        <w:t xml:space="preserve"> a není tedy do další analýzy zahrnuta. </w:t>
      </w:r>
    </w:p>
    <w:p w:rsidR="000F59F5" w:rsidRDefault="000F59F5" w:rsidP="00E022BD">
      <w:r>
        <w:t xml:space="preserve">Významná část veřejných prostředků poskytnutá z uvedených programů MV v období od roku 2010 </w:t>
      </w:r>
      <w:r w:rsidR="001271C5">
        <w:t xml:space="preserve">do roku 2015 </w:t>
      </w:r>
      <w:r>
        <w:t xml:space="preserve">směřovala do </w:t>
      </w:r>
      <w:r w:rsidRPr="00E022BD">
        <w:t>organizační</w:t>
      </w:r>
      <w:r>
        <w:t>ch</w:t>
      </w:r>
      <w:r w:rsidRPr="00E022BD">
        <w:t xml:space="preserve"> jednot</w:t>
      </w:r>
      <w:r>
        <w:t>e</w:t>
      </w:r>
      <w:r w:rsidRPr="00E022BD">
        <w:t xml:space="preserve">k MV a </w:t>
      </w:r>
      <w:r>
        <w:t xml:space="preserve">do </w:t>
      </w:r>
      <w:r w:rsidRPr="00E022BD">
        <w:t>několika další</w:t>
      </w:r>
      <w:r>
        <w:t>ch VO, které získávají institucionální podporu z rozpočtové kapitoly MV</w:t>
      </w:r>
      <w:r w:rsidR="001271C5">
        <w:t xml:space="preserve">. Celková částka, kterou získaly tyto VO v letech 2010 – 2015, činila cca </w:t>
      </w:r>
      <w:r w:rsidR="002073CB">
        <w:t xml:space="preserve">340 </w:t>
      </w:r>
      <w:r w:rsidR="001271C5">
        <w:t>mil. Kč</w:t>
      </w:r>
      <w:r w:rsidR="002073CB">
        <w:rPr>
          <w:rStyle w:val="Znakapoznpodarou"/>
        </w:rPr>
        <w:footnoteReference w:id="4"/>
      </w:r>
      <w:r>
        <w:t xml:space="preserve"> (</w:t>
      </w:r>
      <w:r w:rsidR="001271C5">
        <w:t>podrobněji je o těchto VO pojednáno v kap.</w:t>
      </w:r>
      <w:r w:rsidR="0049413A">
        <w:t xml:space="preserve"> </w:t>
      </w:r>
      <w:r w:rsidR="0049413A">
        <w:fldChar w:fldCharType="begin"/>
      </w:r>
      <w:r w:rsidR="0049413A">
        <w:instrText xml:space="preserve"> REF _Ref451518104 \r \h </w:instrText>
      </w:r>
      <w:r w:rsidR="0049413A">
        <w:fldChar w:fldCharType="separate"/>
      </w:r>
      <w:r w:rsidR="003F08E5">
        <w:t>2.2.2.1</w:t>
      </w:r>
      <w:r w:rsidR="0049413A">
        <w:fldChar w:fldCharType="end"/>
      </w:r>
      <w:r w:rsidR="001271C5">
        <w:t xml:space="preserve">). </w:t>
      </w:r>
    </w:p>
    <w:p w:rsidR="00473C25" w:rsidRDefault="003B57E9" w:rsidP="001271C5">
      <w:r>
        <w:t>Rozdělení c</w:t>
      </w:r>
      <w:r w:rsidR="00E022BD" w:rsidRPr="00E022BD">
        <w:t xml:space="preserve">elková veřejná podpora </w:t>
      </w:r>
      <w:r w:rsidR="001271C5">
        <w:t>BV</w:t>
      </w:r>
      <w:r w:rsidR="00E022BD" w:rsidRPr="00E022BD">
        <w:t xml:space="preserve"> od roku 2010 </w:t>
      </w:r>
      <w:r w:rsidR="001271C5">
        <w:t>do roku 2015</w:t>
      </w:r>
      <w:r>
        <w:t xml:space="preserve">, včetně </w:t>
      </w:r>
      <w:r w:rsidR="001271C5">
        <w:t>podpor</w:t>
      </w:r>
      <w:r>
        <w:t>y</w:t>
      </w:r>
      <w:r w:rsidR="001271C5">
        <w:t xml:space="preserve"> poskytnut</w:t>
      </w:r>
      <w:r>
        <w:t>é</w:t>
      </w:r>
      <w:r w:rsidR="001271C5">
        <w:t xml:space="preserve"> </w:t>
      </w:r>
      <w:r>
        <w:t>v</w:t>
      </w:r>
      <w:r w:rsidR="001271C5">
        <w:t> dalších letech v první soutěži programu VI</w:t>
      </w:r>
      <w:r>
        <w:t>,</w:t>
      </w:r>
      <w:r w:rsidR="00E022BD" w:rsidRPr="00E022BD">
        <w:t xml:space="preserve"> </w:t>
      </w:r>
      <w:r w:rsidR="001271C5">
        <w:t xml:space="preserve">podle </w:t>
      </w:r>
      <w:r w:rsidR="00E022BD" w:rsidRPr="00E022BD">
        <w:t>v</w:t>
      </w:r>
      <w:r w:rsidR="004E246A">
        <w:t xml:space="preserve"> tzv. </w:t>
      </w:r>
      <w:r w:rsidR="00E022BD" w:rsidRPr="00E022BD">
        <w:t xml:space="preserve">širších VaV oborech </w:t>
      </w:r>
      <w:r w:rsidR="004E246A">
        <w:t>v klasifikaci oborů využívané v IS VaVaI</w:t>
      </w:r>
      <w:r>
        <w:rPr>
          <w:rStyle w:val="Znakapoznpodarou"/>
        </w:rPr>
        <w:footnoteReference w:id="5"/>
      </w:r>
      <w:r w:rsidR="004E246A">
        <w:t xml:space="preserve"> </w:t>
      </w:r>
      <w:r w:rsidR="00E022BD" w:rsidRPr="00E022BD">
        <w:t>je uvedena v</w:t>
      </w:r>
      <w:r w:rsidR="00771F32">
        <w:t xml:space="preserve"> </w:t>
      </w:r>
      <w:r w:rsidR="00771F32">
        <w:fldChar w:fldCharType="begin"/>
      </w:r>
      <w:r w:rsidR="00771F32">
        <w:instrText xml:space="preserve"> REF  _Ref450228677 \* Lower \h  \* MERGEFORMAT </w:instrText>
      </w:r>
      <w:r w:rsidR="00771F32">
        <w:fldChar w:fldCharType="separate"/>
      </w:r>
      <w:r w:rsidR="003F08E5">
        <w:t xml:space="preserve">tab. </w:t>
      </w:r>
      <w:r w:rsidR="003F08E5">
        <w:rPr>
          <w:noProof/>
        </w:rPr>
        <w:t>5</w:t>
      </w:r>
      <w:r w:rsidR="00771F32">
        <w:fldChar w:fldCharType="end"/>
      </w:r>
      <w:r w:rsidR="00E022BD" w:rsidRPr="00E022BD">
        <w:t>.</w:t>
      </w:r>
      <w:r w:rsidR="00771F32">
        <w:t xml:space="preserve"> V</w:t>
      </w:r>
      <w:r w:rsidR="00E022BD" w:rsidRPr="00E022BD">
        <w:t xml:space="preserve"> již ukončených programech (VD, VE, VF, VG) byl nejvíce podporován obor </w:t>
      </w:r>
      <w:r w:rsidR="00771F32">
        <w:t>J - P</w:t>
      </w:r>
      <w:r w:rsidR="00E022BD" w:rsidRPr="00E022BD">
        <w:t xml:space="preserve">růmysl, následovaný </w:t>
      </w:r>
      <w:r w:rsidR="00771F32">
        <w:t>obory A - S</w:t>
      </w:r>
      <w:r w:rsidR="00E022BD" w:rsidRPr="00E022BD">
        <w:t>polečenskovědní obory</w:t>
      </w:r>
      <w:r w:rsidR="00473C25">
        <w:t xml:space="preserve">, kde jejich nejvýznamnější část tvoří obor AQ -  </w:t>
      </w:r>
      <w:r w:rsidR="00473C25" w:rsidRPr="00473C25">
        <w:t>Bezpečnost a ochrana zdraví, člověk – stroj</w:t>
      </w:r>
      <w:r w:rsidR="00473C25">
        <w:t xml:space="preserve">. Dalšími poměrně silně podporovanými </w:t>
      </w:r>
      <w:r>
        <w:t xml:space="preserve">obory </w:t>
      </w:r>
      <w:r w:rsidR="00473C25">
        <w:t xml:space="preserve">jsou </w:t>
      </w:r>
      <w:r w:rsidR="00771F32">
        <w:t>C - C</w:t>
      </w:r>
      <w:r w:rsidR="00E022BD" w:rsidRPr="00E022BD">
        <w:t>hemi</w:t>
      </w:r>
      <w:r w:rsidR="00771F32">
        <w:t>e</w:t>
      </w:r>
      <w:r w:rsidR="00E022BD" w:rsidRPr="00E022BD">
        <w:t xml:space="preserve">, </w:t>
      </w:r>
      <w:r w:rsidR="00771F32">
        <w:t>D - V</w:t>
      </w:r>
      <w:r w:rsidR="00E022BD" w:rsidRPr="00E022BD">
        <w:t>ěd</w:t>
      </w:r>
      <w:r w:rsidR="00771F32">
        <w:t>y</w:t>
      </w:r>
      <w:r w:rsidR="00E022BD" w:rsidRPr="00E022BD">
        <w:t xml:space="preserve"> o Zemi a </w:t>
      </w:r>
      <w:r w:rsidR="00473C25">
        <w:t>I - I</w:t>
      </w:r>
      <w:r w:rsidR="00E022BD" w:rsidRPr="00E022BD">
        <w:t>nformatik</w:t>
      </w:r>
      <w:r w:rsidR="00473C25">
        <w:t>a</w:t>
      </w:r>
      <w:r w:rsidR="00E022BD" w:rsidRPr="00E022BD">
        <w:t xml:space="preserve">. </w:t>
      </w:r>
    </w:p>
    <w:p w:rsidR="00771F32" w:rsidRDefault="00771F32" w:rsidP="003A7534">
      <w:pPr>
        <w:pStyle w:val="Titulek"/>
        <w:keepNext/>
      </w:pPr>
      <w:bookmarkStart w:id="33" w:name="_Ref450228677"/>
      <w:r>
        <w:lastRenderedPageBreak/>
        <w:t xml:space="preserve">Tab. </w:t>
      </w:r>
      <w:r w:rsidR="00990E2D">
        <w:fldChar w:fldCharType="begin"/>
      </w:r>
      <w:r w:rsidR="00990E2D">
        <w:instrText xml:space="preserve"> SEQ Ta</w:instrText>
      </w:r>
      <w:r w:rsidR="00990E2D">
        <w:instrText xml:space="preserve">b. \* ARABIC </w:instrText>
      </w:r>
      <w:r w:rsidR="00990E2D">
        <w:fldChar w:fldCharType="separate"/>
      </w:r>
      <w:r w:rsidR="003F08E5">
        <w:rPr>
          <w:noProof/>
        </w:rPr>
        <w:t>5</w:t>
      </w:r>
      <w:r w:rsidR="00990E2D">
        <w:rPr>
          <w:noProof/>
        </w:rPr>
        <w:fldChar w:fldCharType="end"/>
      </w:r>
      <w:bookmarkEnd w:id="33"/>
      <w:r>
        <w:tab/>
      </w:r>
      <w:r w:rsidRPr="00771F32">
        <w:t>Veřejná podpora bezpečnostního výzkumu v letech 2010</w:t>
      </w:r>
      <w:r w:rsidR="004813FB">
        <w:t xml:space="preserve"> - 2020</w:t>
      </w:r>
      <w:r w:rsidRPr="00771F32">
        <w:t xml:space="preserve"> v širších vědních oborech (</w:t>
      </w:r>
      <w:r>
        <w:t>v </w:t>
      </w:r>
      <w:r w:rsidRPr="00771F32">
        <w:t>tis.</w:t>
      </w:r>
      <w:r>
        <w:t> </w:t>
      </w:r>
      <w:r w:rsidRPr="00771F32">
        <w:t>Kč)</w:t>
      </w:r>
      <w:r>
        <w:t>. Zdroj: IS VaVaI</w:t>
      </w:r>
    </w:p>
    <w:tbl>
      <w:tblPr>
        <w:tblW w:w="9533" w:type="dxa"/>
        <w:tblInd w:w="55" w:type="dxa"/>
        <w:tblCellMar>
          <w:left w:w="70" w:type="dxa"/>
          <w:right w:w="70" w:type="dxa"/>
        </w:tblCellMar>
        <w:tblLook w:val="04A0" w:firstRow="1" w:lastRow="0" w:firstColumn="1" w:lastColumn="0" w:noHBand="0" w:noVBand="1"/>
      </w:tblPr>
      <w:tblGrid>
        <w:gridCol w:w="967"/>
        <w:gridCol w:w="815"/>
        <w:gridCol w:w="815"/>
        <w:gridCol w:w="691"/>
        <w:gridCol w:w="941"/>
        <w:gridCol w:w="816"/>
        <w:gridCol w:w="815"/>
        <w:gridCol w:w="691"/>
        <w:gridCol w:w="670"/>
        <w:gridCol w:w="815"/>
        <w:gridCol w:w="763"/>
        <w:gridCol w:w="734"/>
      </w:tblGrid>
      <w:tr w:rsidR="004E5E1C" w:rsidRPr="004E5E1C" w:rsidTr="00E9137A">
        <w:trPr>
          <w:trHeight w:val="303"/>
        </w:trPr>
        <w:tc>
          <w:tcPr>
            <w:tcW w:w="967" w:type="dxa"/>
            <w:tcBorders>
              <w:top w:val="single" w:sz="8" w:space="0" w:color="auto"/>
              <w:left w:val="nil"/>
              <w:bottom w:val="single" w:sz="8" w:space="0" w:color="auto"/>
              <w:right w:val="nil"/>
            </w:tcBorders>
            <w:shd w:val="clear" w:color="000000" w:fill="BFBFBF"/>
            <w:noWrap/>
            <w:vAlign w:val="center"/>
            <w:hideMark/>
          </w:tcPr>
          <w:p w:rsidR="004E5E1C" w:rsidRPr="004E5E1C" w:rsidRDefault="004E5E1C" w:rsidP="003A7534">
            <w:pPr>
              <w:keepNext/>
              <w:spacing w:before="0" w:after="0"/>
              <w:jc w:val="center"/>
              <w:rPr>
                <w:rFonts w:ascii="Calibri" w:eastAsia="Times New Roman" w:hAnsi="Calibri" w:cs="Times New Roman"/>
                <w:color w:val="000000"/>
                <w:sz w:val="18"/>
                <w:szCs w:val="18"/>
                <w:lang w:eastAsia="cs-CZ"/>
              </w:rPr>
            </w:pPr>
          </w:p>
        </w:tc>
        <w:tc>
          <w:tcPr>
            <w:tcW w:w="8566" w:type="dxa"/>
            <w:gridSpan w:val="11"/>
            <w:tcBorders>
              <w:top w:val="single" w:sz="8" w:space="0" w:color="auto"/>
              <w:left w:val="nil"/>
              <w:bottom w:val="single" w:sz="8" w:space="0" w:color="auto"/>
              <w:right w:val="nil"/>
            </w:tcBorders>
            <w:shd w:val="clear" w:color="000000" w:fill="BFBFBF"/>
            <w:noWrap/>
            <w:vAlign w:val="center"/>
            <w:hideMark/>
          </w:tcPr>
          <w:p w:rsidR="004E5E1C" w:rsidRPr="004E5E1C" w:rsidRDefault="004E5E1C" w:rsidP="003A7534">
            <w:pPr>
              <w:keepNext/>
              <w:spacing w:before="0" w:after="0"/>
              <w:jc w:val="center"/>
              <w:rPr>
                <w:rFonts w:ascii="Calibri" w:eastAsia="Times New Roman" w:hAnsi="Calibri" w:cs="Times New Roman"/>
                <w:b/>
                <w:bCs/>
                <w:color w:val="000000"/>
                <w:sz w:val="18"/>
                <w:szCs w:val="18"/>
                <w:lang w:eastAsia="cs-CZ"/>
              </w:rPr>
            </w:pPr>
            <w:r w:rsidRPr="004E5E1C">
              <w:rPr>
                <w:rFonts w:ascii="Calibri" w:eastAsia="Times New Roman" w:hAnsi="Calibri" w:cs="Times New Roman"/>
                <w:b/>
                <w:bCs/>
                <w:color w:val="000000"/>
                <w:sz w:val="18"/>
                <w:szCs w:val="18"/>
                <w:lang w:eastAsia="cs-CZ"/>
              </w:rPr>
              <w:t>Veřejná podpora (tis. Kč)</w:t>
            </w:r>
          </w:p>
        </w:tc>
      </w:tr>
      <w:tr w:rsidR="004E5E1C" w:rsidRPr="004E5E1C" w:rsidTr="00E9137A">
        <w:trPr>
          <w:trHeight w:val="2046"/>
        </w:trPr>
        <w:tc>
          <w:tcPr>
            <w:tcW w:w="967" w:type="dxa"/>
            <w:tcBorders>
              <w:top w:val="nil"/>
              <w:left w:val="nil"/>
              <w:bottom w:val="single" w:sz="8" w:space="0" w:color="auto"/>
              <w:right w:val="nil"/>
            </w:tcBorders>
            <w:shd w:val="clear" w:color="000000" w:fill="F2F2F2"/>
            <w:noWrap/>
            <w:vAlign w:val="center"/>
            <w:hideMark/>
          </w:tcPr>
          <w:p w:rsidR="004E5E1C" w:rsidRPr="004E5E1C" w:rsidRDefault="004E5E1C" w:rsidP="004E5E1C">
            <w:pPr>
              <w:spacing w:before="0" w:after="0"/>
              <w:jc w:val="center"/>
              <w:rPr>
                <w:rFonts w:ascii="Calibri" w:eastAsia="Times New Roman" w:hAnsi="Calibri" w:cs="Times New Roman"/>
                <w:b/>
                <w:bCs/>
                <w:color w:val="000000"/>
                <w:sz w:val="18"/>
                <w:szCs w:val="18"/>
                <w:lang w:eastAsia="cs-CZ"/>
              </w:rPr>
            </w:pPr>
            <w:r w:rsidRPr="004E5E1C">
              <w:rPr>
                <w:rFonts w:ascii="Calibri" w:eastAsia="Times New Roman" w:hAnsi="Calibri" w:cs="Times New Roman"/>
                <w:b/>
                <w:bCs/>
                <w:color w:val="000000"/>
                <w:sz w:val="18"/>
                <w:szCs w:val="18"/>
                <w:lang w:eastAsia="cs-CZ"/>
              </w:rPr>
              <w:t> </w:t>
            </w:r>
          </w:p>
        </w:tc>
        <w:tc>
          <w:tcPr>
            <w:tcW w:w="815" w:type="dxa"/>
            <w:tcBorders>
              <w:top w:val="nil"/>
              <w:left w:val="nil"/>
              <w:bottom w:val="single" w:sz="8" w:space="0" w:color="auto"/>
              <w:right w:val="nil"/>
            </w:tcBorders>
            <w:shd w:val="clear" w:color="000000" w:fill="F2F2F2"/>
            <w:textDirection w:val="btLr"/>
            <w:vAlign w:val="center"/>
            <w:hideMark/>
          </w:tcPr>
          <w:p w:rsidR="004E5E1C" w:rsidRPr="004E5E1C" w:rsidRDefault="004E5E1C" w:rsidP="004E5E1C">
            <w:pPr>
              <w:spacing w:before="0" w:after="0"/>
              <w:jc w:val="center"/>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Společenské vědy (*)</w:t>
            </w:r>
          </w:p>
        </w:tc>
        <w:tc>
          <w:tcPr>
            <w:tcW w:w="815" w:type="dxa"/>
            <w:tcBorders>
              <w:top w:val="nil"/>
              <w:left w:val="nil"/>
              <w:bottom w:val="single" w:sz="8" w:space="0" w:color="auto"/>
              <w:right w:val="nil"/>
            </w:tcBorders>
            <w:shd w:val="clear" w:color="000000" w:fill="F2F2F2"/>
            <w:textDirection w:val="btLr"/>
            <w:vAlign w:val="center"/>
            <w:hideMark/>
          </w:tcPr>
          <w:p w:rsidR="004E5E1C" w:rsidRPr="004E5E1C" w:rsidRDefault="004E5E1C" w:rsidP="004E5E1C">
            <w:pPr>
              <w:spacing w:before="0" w:after="0"/>
              <w:jc w:val="center"/>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Bezpečnost a ochrana zdraví, člověk – stroj (*)</w:t>
            </w:r>
          </w:p>
        </w:tc>
        <w:tc>
          <w:tcPr>
            <w:tcW w:w="691" w:type="dxa"/>
            <w:tcBorders>
              <w:top w:val="nil"/>
              <w:left w:val="nil"/>
              <w:bottom w:val="single" w:sz="8" w:space="0" w:color="auto"/>
              <w:right w:val="nil"/>
            </w:tcBorders>
            <w:shd w:val="clear" w:color="000000" w:fill="F2F2F2"/>
            <w:textDirection w:val="btLr"/>
            <w:vAlign w:val="center"/>
            <w:hideMark/>
          </w:tcPr>
          <w:p w:rsidR="004E5E1C" w:rsidRPr="004E5E1C" w:rsidRDefault="004E5E1C" w:rsidP="004E5E1C">
            <w:pPr>
              <w:spacing w:before="0" w:after="0"/>
              <w:jc w:val="center"/>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Fyzika a matematika</w:t>
            </w:r>
          </w:p>
        </w:tc>
        <w:tc>
          <w:tcPr>
            <w:tcW w:w="941" w:type="dxa"/>
            <w:tcBorders>
              <w:top w:val="nil"/>
              <w:left w:val="nil"/>
              <w:bottom w:val="single" w:sz="8" w:space="0" w:color="auto"/>
              <w:right w:val="nil"/>
            </w:tcBorders>
            <w:shd w:val="clear" w:color="000000" w:fill="F2F2F2"/>
            <w:textDirection w:val="btLr"/>
            <w:vAlign w:val="center"/>
            <w:hideMark/>
          </w:tcPr>
          <w:p w:rsidR="004E5E1C" w:rsidRPr="004E5E1C" w:rsidRDefault="004E5E1C" w:rsidP="004E5E1C">
            <w:pPr>
              <w:spacing w:before="0" w:after="0"/>
              <w:jc w:val="center"/>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Chemie</w:t>
            </w:r>
          </w:p>
        </w:tc>
        <w:tc>
          <w:tcPr>
            <w:tcW w:w="816" w:type="dxa"/>
            <w:tcBorders>
              <w:top w:val="nil"/>
              <w:left w:val="nil"/>
              <w:bottom w:val="single" w:sz="8" w:space="0" w:color="auto"/>
              <w:right w:val="nil"/>
            </w:tcBorders>
            <w:shd w:val="clear" w:color="000000" w:fill="F2F2F2"/>
            <w:textDirection w:val="btLr"/>
            <w:vAlign w:val="center"/>
            <w:hideMark/>
          </w:tcPr>
          <w:p w:rsidR="004E5E1C" w:rsidRPr="004E5E1C" w:rsidRDefault="004E5E1C" w:rsidP="004E5E1C">
            <w:pPr>
              <w:spacing w:before="0" w:after="0"/>
              <w:jc w:val="center"/>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Vědy o zemi</w:t>
            </w:r>
          </w:p>
        </w:tc>
        <w:tc>
          <w:tcPr>
            <w:tcW w:w="815" w:type="dxa"/>
            <w:tcBorders>
              <w:top w:val="nil"/>
              <w:left w:val="nil"/>
              <w:bottom w:val="single" w:sz="8" w:space="0" w:color="auto"/>
              <w:right w:val="nil"/>
            </w:tcBorders>
            <w:shd w:val="clear" w:color="000000" w:fill="F2F2F2"/>
            <w:textDirection w:val="btLr"/>
            <w:vAlign w:val="center"/>
            <w:hideMark/>
          </w:tcPr>
          <w:p w:rsidR="004E5E1C" w:rsidRPr="004E5E1C" w:rsidRDefault="004E5E1C" w:rsidP="004E5E1C">
            <w:pPr>
              <w:spacing w:before="0" w:after="0"/>
              <w:jc w:val="center"/>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Biovědy</w:t>
            </w:r>
          </w:p>
        </w:tc>
        <w:tc>
          <w:tcPr>
            <w:tcW w:w="691" w:type="dxa"/>
            <w:tcBorders>
              <w:top w:val="nil"/>
              <w:left w:val="nil"/>
              <w:bottom w:val="single" w:sz="8" w:space="0" w:color="auto"/>
              <w:right w:val="nil"/>
            </w:tcBorders>
            <w:shd w:val="clear" w:color="000000" w:fill="F2F2F2"/>
            <w:textDirection w:val="btLr"/>
            <w:vAlign w:val="center"/>
            <w:hideMark/>
          </w:tcPr>
          <w:p w:rsidR="004E5E1C" w:rsidRPr="004E5E1C" w:rsidRDefault="004E5E1C" w:rsidP="004E5E1C">
            <w:pPr>
              <w:spacing w:before="0" w:after="0"/>
              <w:jc w:val="center"/>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Lékařské vědy</w:t>
            </w:r>
          </w:p>
        </w:tc>
        <w:tc>
          <w:tcPr>
            <w:tcW w:w="670" w:type="dxa"/>
            <w:tcBorders>
              <w:top w:val="nil"/>
              <w:left w:val="nil"/>
              <w:bottom w:val="single" w:sz="8" w:space="0" w:color="auto"/>
              <w:right w:val="nil"/>
            </w:tcBorders>
            <w:shd w:val="clear" w:color="000000" w:fill="F2F2F2"/>
            <w:textDirection w:val="btLr"/>
            <w:vAlign w:val="center"/>
            <w:hideMark/>
          </w:tcPr>
          <w:p w:rsidR="004E5E1C" w:rsidRPr="004E5E1C" w:rsidRDefault="004E5E1C" w:rsidP="004E5E1C">
            <w:pPr>
              <w:spacing w:before="0" w:after="0"/>
              <w:jc w:val="center"/>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Zemědělství</w:t>
            </w:r>
          </w:p>
        </w:tc>
        <w:tc>
          <w:tcPr>
            <w:tcW w:w="815" w:type="dxa"/>
            <w:tcBorders>
              <w:top w:val="nil"/>
              <w:left w:val="nil"/>
              <w:bottom w:val="single" w:sz="8" w:space="0" w:color="auto"/>
              <w:right w:val="nil"/>
            </w:tcBorders>
            <w:shd w:val="clear" w:color="000000" w:fill="F2F2F2"/>
            <w:textDirection w:val="btLr"/>
            <w:vAlign w:val="center"/>
            <w:hideMark/>
          </w:tcPr>
          <w:p w:rsidR="004E5E1C" w:rsidRPr="004E5E1C" w:rsidRDefault="004E5E1C" w:rsidP="004E5E1C">
            <w:pPr>
              <w:spacing w:before="0" w:after="0"/>
              <w:jc w:val="center"/>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Informatika</w:t>
            </w:r>
          </w:p>
        </w:tc>
        <w:tc>
          <w:tcPr>
            <w:tcW w:w="763" w:type="dxa"/>
            <w:tcBorders>
              <w:top w:val="nil"/>
              <w:left w:val="nil"/>
              <w:bottom w:val="single" w:sz="8" w:space="0" w:color="auto"/>
              <w:right w:val="nil"/>
            </w:tcBorders>
            <w:shd w:val="clear" w:color="000000" w:fill="F2F2F2"/>
            <w:textDirection w:val="btLr"/>
            <w:vAlign w:val="center"/>
            <w:hideMark/>
          </w:tcPr>
          <w:p w:rsidR="004E5E1C" w:rsidRPr="004E5E1C" w:rsidRDefault="004E5E1C" w:rsidP="004E5E1C">
            <w:pPr>
              <w:spacing w:before="0" w:after="0"/>
              <w:jc w:val="center"/>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Průmysl</w:t>
            </w:r>
          </w:p>
        </w:tc>
        <w:tc>
          <w:tcPr>
            <w:tcW w:w="734" w:type="dxa"/>
            <w:tcBorders>
              <w:top w:val="nil"/>
              <w:left w:val="nil"/>
              <w:bottom w:val="single" w:sz="8" w:space="0" w:color="auto"/>
              <w:right w:val="nil"/>
            </w:tcBorders>
            <w:shd w:val="clear" w:color="000000" w:fill="F2F2F2"/>
            <w:textDirection w:val="btLr"/>
            <w:vAlign w:val="center"/>
            <w:hideMark/>
          </w:tcPr>
          <w:p w:rsidR="004E5E1C" w:rsidRPr="004E5E1C" w:rsidRDefault="004E5E1C" w:rsidP="004E5E1C">
            <w:pPr>
              <w:spacing w:before="0" w:after="0"/>
              <w:jc w:val="center"/>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Vojenství</w:t>
            </w:r>
          </w:p>
        </w:tc>
      </w:tr>
      <w:tr w:rsidR="004E5E1C" w:rsidRPr="004E5E1C" w:rsidTr="00E9137A">
        <w:trPr>
          <w:trHeight w:val="303"/>
        </w:trPr>
        <w:tc>
          <w:tcPr>
            <w:tcW w:w="967" w:type="dxa"/>
            <w:tcBorders>
              <w:top w:val="nil"/>
              <w:left w:val="nil"/>
              <w:bottom w:val="single" w:sz="8" w:space="0" w:color="auto"/>
              <w:right w:val="nil"/>
            </w:tcBorders>
            <w:shd w:val="clear" w:color="000000" w:fill="D9D9D9"/>
            <w:noWrap/>
            <w:vAlign w:val="center"/>
            <w:hideMark/>
          </w:tcPr>
          <w:p w:rsidR="004E5E1C" w:rsidRPr="004E5E1C" w:rsidRDefault="004E5E1C" w:rsidP="004E5E1C">
            <w:pPr>
              <w:spacing w:before="0" w:after="0"/>
              <w:jc w:val="center"/>
              <w:rPr>
                <w:rFonts w:ascii="Calibri" w:eastAsia="Times New Roman" w:hAnsi="Calibri" w:cs="Times New Roman"/>
                <w:b/>
                <w:bCs/>
                <w:color w:val="000000"/>
                <w:sz w:val="18"/>
                <w:szCs w:val="18"/>
                <w:lang w:eastAsia="cs-CZ"/>
              </w:rPr>
            </w:pPr>
            <w:r w:rsidRPr="004E5E1C">
              <w:rPr>
                <w:rFonts w:ascii="Calibri" w:eastAsia="Times New Roman" w:hAnsi="Calibri" w:cs="Times New Roman"/>
                <w:b/>
                <w:bCs/>
                <w:color w:val="000000"/>
                <w:sz w:val="18"/>
                <w:szCs w:val="18"/>
                <w:lang w:eastAsia="cs-CZ"/>
              </w:rPr>
              <w:t>Rok</w:t>
            </w:r>
          </w:p>
        </w:tc>
        <w:tc>
          <w:tcPr>
            <w:tcW w:w="815" w:type="dxa"/>
            <w:tcBorders>
              <w:top w:val="nil"/>
              <w:left w:val="nil"/>
              <w:bottom w:val="single" w:sz="8" w:space="0" w:color="auto"/>
              <w:right w:val="nil"/>
            </w:tcBorders>
            <w:shd w:val="clear" w:color="000000" w:fill="D9D9D9"/>
            <w:noWrap/>
            <w:vAlign w:val="center"/>
            <w:hideMark/>
          </w:tcPr>
          <w:p w:rsidR="004E5E1C" w:rsidRPr="004E5E1C" w:rsidRDefault="004E5E1C" w:rsidP="004E5E1C">
            <w:pPr>
              <w:spacing w:before="0" w:after="0"/>
              <w:jc w:val="center"/>
              <w:rPr>
                <w:rFonts w:ascii="Calibri" w:eastAsia="Times New Roman" w:hAnsi="Calibri" w:cs="Times New Roman"/>
                <w:b/>
                <w:bCs/>
                <w:color w:val="000000"/>
                <w:sz w:val="18"/>
                <w:szCs w:val="18"/>
                <w:lang w:eastAsia="cs-CZ"/>
              </w:rPr>
            </w:pPr>
            <w:r w:rsidRPr="004E5E1C">
              <w:rPr>
                <w:rFonts w:ascii="Calibri" w:eastAsia="Times New Roman" w:hAnsi="Calibri" w:cs="Times New Roman"/>
                <w:b/>
                <w:bCs/>
                <w:color w:val="000000"/>
                <w:sz w:val="18"/>
                <w:szCs w:val="18"/>
                <w:lang w:eastAsia="cs-CZ"/>
              </w:rPr>
              <w:t>A</w:t>
            </w:r>
          </w:p>
        </w:tc>
        <w:tc>
          <w:tcPr>
            <w:tcW w:w="815" w:type="dxa"/>
            <w:tcBorders>
              <w:top w:val="nil"/>
              <w:left w:val="nil"/>
              <w:bottom w:val="single" w:sz="8" w:space="0" w:color="auto"/>
              <w:right w:val="nil"/>
            </w:tcBorders>
            <w:shd w:val="clear" w:color="000000" w:fill="D9D9D9"/>
            <w:noWrap/>
            <w:vAlign w:val="center"/>
            <w:hideMark/>
          </w:tcPr>
          <w:p w:rsidR="004E5E1C" w:rsidRPr="004E5E1C" w:rsidRDefault="004E5E1C" w:rsidP="004E5E1C">
            <w:pPr>
              <w:spacing w:before="0" w:after="0"/>
              <w:jc w:val="center"/>
              <w:rPr>
                <w:rFonts w:ascii="Calibri" w:eastAsia="Times New Roman" w:hAnsi="Calibri" w:cs="Times New Roman"/>
                <w:b/>
                <w:bCs/>
                <w:color w:val="000000"/>
                <w:sz w:val="18"/>
                <w:szCs w:val="18"/>
                <w:lang w:eastAsia="cs-CZ"/>
              </w:rPr>
            </w:pPr>
            <w:r w:rsidRPr="004E5E1C">
              <w:rPr>
                <w:rFonts w:ascii="Calibri" w:eastAsia="Times New Roman" w:hAnsi="Calibri" w:cs="Times New Roman"/>
                <w:b/>
                <w:bCs/>
                <w:color w:val="000000"/>
                <w:sz w:val="18"/>
                <w:szCs w:val="18"/>
                <w:lang w:eastAsia="cs-CZ"/>
              </w:rPr>
              <w:t>AQ</w:t>
            </w:r>
          </w:p>
        </w:tc>
        <w:tc>
          <w:tcPr>
            <w:tcW w:w="691" w:type="dxa"/>
            <w:tcBorders>
              <w:top w:val="nil"/>
              <w:left w:val="nil"/>
              <w:bottom w:val="single" w:sz="8" w:space="0" w:color="auto"/>
              <w:right w:val="nil"/>
            </w:tcBorders>
            <w:shd w:val="clear" w:color="000000" w:fill="D9D9D9"/>
            <w:noWrap/>
            <w:vAlign w:val="center"/>
            <w:hideMark/>
          </w:tcPr>
          <w:p w:rsidR="004E5E1C" w:rsidRPr="004E5E1C" w:rsidRDefault="004E5E1C" w:rsidP="004E5E1C">
            <w:pPr>
              <w:spacing w:before="0" w:after="0"/>
              <w:jc w:val="center"/>
              <w:rPr>
                <w:rFonts w:ascii="Calibri" w:eastAsia="Times New Roman" w:hAnsi="Calibri" w:cs="Times New Roman"/>
                <w:b/>
                <w:bCs/>
                <w:color w:val="000000"/>
                <w:sz w:val="18"/>
                <w:szCs w:val="18"/>
                <w:lang w:eastAsia="cs-CZ"/>
              </w:rPr>
            </w:pPr>
            <w:r w:rsidRPr="004E5E1C">
              <w:rPr>
                <w:rFonts w:ascii="Calibri" w:eastAsia="Times New Roman" w:hAnsi="Calibri" w:cs="Times New Roman"/>
                <w:b/>
                <w:bCs/>
                <w:color w:val="000000"/>
                <w:sz w:val="18"/>
                <w:szCs w:val="18"/>
                <w:lang w:eastAsia="cs-CZ"/>
              </w:rPr>
              <w:t>B</w:t>
            </w:r>
          </w:p>
        </w:tc>
        <w:tc>
          <w:tcPr>
            <w:tcW w:w="941" w:type="dxa"/>
            <w:tcBorders>
              <w:top w:val="nil"/>
              <w:left w:val="nil"/>
              <w:bottom w:val="single" w:sz="8" w:space="0" w:color="auto"/>
              <w:right w:val="nil"/>
            </w:tcBorders>
            <w:shd w:val="clear" w:color="000000" w:fill="D9D9D9"/>
            <w:noWrap/>
            <w:vAlign w:val="center"/>
            <w:hideMark/>
          </w:tcPr>
          <w:p w:rsidR="004E5E1C" w:rsidRPr="004E5E1C" w:rsidRDefault="004E5E1C" w:rsidP="004E5E1C">
            <w:pPr>
              <w:spacing w:before="0" w:after="0"/>
              <w:jc w:val="center"/>
              <w:rPr>
                <w:rFonts w:ascii="Calibri" w:eastAsia="Times New Roman" w:hAnsi="Calibri" w:cs="Times New Roman"/>
                <w:b/>
                <w:bCs/>
                <w:color w:val="000000"/>
                <w:sz w:val="18"/>
                <w:szCs w:val="18"/>
                <w:lang w:eastAsia="cs-CZ"/>
              </w:rPr>
            </w:pPr>
            <w:r w:rsidRPr="004E5E1C">
              <w:rPr>
                <w:rFonts w:ascii="Calibri" w:eastAsia="Times New Roman" w:hAnsi="Calibri" w:cs="Times New Roman"/>
                <w:b/>
                <w:bCs/>
                <w:color w:val="000000"/>
                <w:sz w:val="18"/>
                <w:szCs w:val="18"/>
                <w:lang w:eastAsia="cs-CZ"/>
              </w:rPr>
              <w:t>C</w:t>
            </w:r>
          </w:p>
        </w:tc>
        <w:tc>
          <w:tcPr>
            <w:tcW w:w="816" w:type="dxa"/>
            <w:tcBorders>
              <w:top w:val="nil"/>
              <w:left w:val="nil"/>
              <w:bottom w:val="single" w:sz="8" w:space="0" w:color="auto"/>
              <w:right w:val="nil"/>
            </w:tcBorders>
            <w:shd w:val="clear" w:color="000000" w:fill="D9D9D9"/>
            <w:noWrap/>
            <w:vAlign w:val="center"/>
            <w:hideMark/>
          </w:tcPr>
          <w:p w:rsidR="004E5E1C" w:rsidRPr="004E5E1C" w:rsidRDefault="004E5E1C" w:rsidP="004E5E1C">
            <w:pPr>
              <w:spacing w:before="0" w:after="0"/>
              <w:jc w:val="center"/>
              <w:rPr>
                <w:rFonts w:ascii="Calibri" w:eastAsia="Times New Roman" w:hAnsi="Calibri" w:cs="Times New Roman"/>
                <w:b/>
                <w:bCs/>
                <w:color w:val="000000"/>
                <w:sz w:val="18"/>
                <w:szCs w:val="18"/>
                <w:lang w:eastAsia="cs-CZ"/>
              </w:rPr>
            </w:pPr>
            <w:r w:rsidRPr="004E5E1C">
              <w:rPr>
                <w:rFonts w:ascii="Calibri" w:eastAsia="Times New Roman" w:hAnsi="Calibri" w:cs="Times New Roman"/>
                <w:b/>
                <w:bCs/>
                <w:color w:val="000000"/>
                <w:sz w:val="18"/>
                <w:szCs w:val="18"/>
                <w:lang w:eastAsia="cs-CZ"/>
              </w:rPr>
              <w:t>D</w:t>
            </w:r>
          </w:p>
        </w:tc>
        <w:tc>
          <w:tcPr>
            <w:tcW w:w="815" w:type="dxa"/>
            <w:tcBorders>
              <w:top w:val="nil"/>
              <w:left w:val="nil"/>
              <w:bottom w:val="single" w:sz="8" w:space="0" w:color="auto"/>
              <w:right w:val="nil"/>
            </w:tcBorders>
            <w:shd w:val="clear" w:color="000000" w:fill="D9D9D9"/>
            <w:noWrap/>
            <w:vAlign w:val="center"/>
            <w:hideMark/>
          </w:tcPr>
          <w:p w:rsidR="004E5E1C" w:rsidRPr="004E5E1C" w:rsidRDefault="004E5E1C" w:rsidP="004E5E1C">
            <w:pPr>
              <w:spacing w:before="0" w:after="0"/>
              <w:jc w:val="center"/>
              <w:rPr>
                <w:rFonts w:ascii="Calibri" w:eastAsia="Times New Roman" w:hAnsi="Calibri" w:cs="Times New Roman"/>
                <w:b/>
                <w:bCs/>
                <w:color w:val="000000"/>
                <w:sz w:val="18"/>
                <w:szCs w:val="18"/>
                <w:lang w:eastAsia="cs-CZ"/>
              </w:rPr>
            </w:pPr>
            <w:r w:rsidRPr="004E5E1C">
              <w:rPr>
                <w:rFonts w:ascii="Calibri" w:eastAsia="Times New Roman" w:hAnsi="Calibri" w:cs="Times New Roman"/>
                <w:b/>
                <w:bCs/>
                <w:color w:val="000000"/>
                <w:sz w:val="18"/>
                <w:szCs w:val="18"/>
                <w:lang w:eastAsia="cs-CZ"/>
              </w:rPr>
              <w:t>E</w:t>
            </w:r>
          </w:p>
        </w:tc>
        <w:tc>
          <w:tcPr>
            <w:tcW w:w="691" w:type="dxa"/>
            <w:tcBorders>
              <w:top w:val="nil"/>
              <w:left w:val="nil"/>
              <w:bottom w:val="single" w:sz="8" w:space="0" w:color="auto"/>
              <w:right w:val="nil"/>
            </w:tcBorders>
            <w:shd w:val="clear" w:color="000000" w:fill="D9D9D9"/>
            <w:noWrap/>
            <w:vAlign w:val="center"/>
            <w:hideMark/>
          </w:tcPr>
          <w:p w:rsidR="004E5E1C" w:rsidRPr="004E5E1C" w:rsidRDefault="004E5E1C" w:rsidP="004E5E1C">
            <w:pPr>
              <w:spacing w:before="0" w:after="0"/>
              <w:jc w:val="center"/>
              <w:rPr>
                <w:rFonts w:ascii="Calibri" w:eastAsia="Times New Roman" w:hAnsi="Calibri" w:cs="Times New Roman"/>
                <w:b/>
                <w:bCs/>
                <w:color w:val="000000"/>
                <w:sz w:val="18"/>
                <w:szCs w:val="18"/>
                <w:lang w:eastAsia="cs-CZ"/>
              </w:rPr>
            </w:pPr>
            <w:r w:rsidRPr="004E5E1C">
              <w:rPr>
                <w:rFonts w:ascii="Calibri" w:eastAsia="Times New Roman" w:hAnsi="Calibri" w:cs="Times New Roman"/>
                <w:b/>
                <w:bCs/>
                <w:color w:val="000000"/>
                <w:sz w:val="18"/>
                <w:szCs w:val="18"/>
                <w:lang w:eastAsia="cs-CZ"/>
              </w:rPr>
              <w:t>F</w:t>
            </w:r>
          </w:p>
        </w:tc>
        <w:tc>
          <w:tcPr>
            <w:tcW w:w="670" w:type="dxa"/>
            <w:tcBorders>
              <w:top w:val="nil"/>
              <w:left w:val="nil"/>
              <w:bottom w:val="single" w:sz="8" w:space="0" w:color="auto"/>
              <w:right w:val="nil"/>
            </w:tcBorders>
            <w:shd w:val="clear" w:color="000000" w:fill="D9D9D9"/>
            <w:noWrap/>
            <w:vAlign w:val="center"/>
            <w:hideMark/>
          </w:tcPr>
          <w:p w:rsidR="004E5E1C" w:rsidRPr="004E5E1C" w:rsidRDefault="004E5E1C" w:rsidP="004E5E1C">
            <w:pPr>
              <w:spacing w:before="0" w:after="0"/>
              <w:jc w:val="center"/>
              <w:rPr>
                <w:rFonts w:ascii="Calibri" w:eastAsia="Times New Roman" w:hAnsi="Calibri" w:cs="Times New Roman"/>
                <w:b/>
                <w:bCs/>
                <w:color w:val="000000"/>
                <w:sz w:val="18"/>
                <w:szCs w:val="18"/>
                <w:lang w:eastAsia="cs-CZ"/>
              </w:rPr>
            </w:pPr>
            <w:r w:rsidRPr="004E5E1C">
              <w:rPr>
                <w:rFonts w:ascii="Calibri" w:eastAsia="Times New Roman" w:hAnsi="Calibri" w:cs="Times New Roman"/>
                <w:b/>
                <w:bCs/>
                <w:color w:val="000000"/>
                <w:sz w:val="18"/>
                <w:szCs w:val="18"/>
                <w:lang w:eastAsia="cs-CZ"/>
              </w:rPr>
              <w:t>G</w:t>
            </w:r>
          </w:p>
        </w:tc>
        <w:tc>
          <w:tcPr>
            <w:tcW w:w="815" w:type="dxa"/>
            <w:tcBorders>
              <w:top w:val="nil"/>
              <w:left w:val="nil"/>
              <w:bottom w:val="single" w:sz="8" w:space="0" w:color="auto"/>
              <w:right w:val="nil"/>
            </w:tcBorders>
            <w:shd w:val="clear" w:color="000000" w:fill="D9D9D9"/>
            <w:noWrap/>
            <w:vAlign w:val="center"/>
            <w:hideMark/>
          </w:tcPr>
          <w:p w:rsidR="004E5E1C" w:rsidRPr="004E5E1C" w:rsidRDefault="004E5E1C" w:rsidP="004E5E1C">
            <w:pPr>
              <w:spacing w:before="0" w:after="0"/>
              <w:jc w:val="center"/>
              <w:rPr>
                <w:rFonts w:ascii="Calibri" w:eastAsia="Times New Roman" w:hAnsi="Calibri" w:cs="Times New Roman"/>
                <w:b/>
                <w:bCs/>
                <w:color w:val="000000"/>
                <w:sz w:val="18"/>
                <w:szCs w:val="18"/>
                <w:lang w:eastAsia="cs-CZ"/>
              </w:rPr>
            </w:pPr>
            <w:r w:rsidRPr="004E5E1C">
              <w:rPr>
                <w:rFonts w:ascii="Calibri" w:eastAsia="Times New Roman" w:hAnsi="Calibri" w:cs="Times New Roman"/>
                <w:b/>
                <w:bCs/>
                <w:color w:val="000000"/>
                <w:sz w:val="18"/>
                <w:szCs w:val="18"/>
                <w:lang w:eastAsia="cs-CZ"/>
              </w:rPr>
              <w:t>I</w:t>
            </w:r>
          </w:p>
        </w:tc>
        <w:tc>
          <w:tcPr>
            <w:tcW w:w="763" w:type="dxa"/>
            <w:tcBorders>
              <w:top w:val="nil"/>
              <w:left w:val="nil"/>
              <w:bottom w:val="single" w:sz="8" w:space="0" w:color="auto"/>
              <w:right w:val="nil"/>
            </w:tcBorders>
            <w:shd w:val="clear" w:color="000000" w:fill="D9D9D9"/>
            <w:noWrap/>
            <w:vAlign w:val="center"/>
            <w:hideMark/>
          </w:tcPr>
          <w:p w:rsidR="004E5E1C" w:rsidRPr="004E5E1C" w:rsidRDefault="004E5E1C" w:rsidP="004E5E1C">
            <w:pPr>
              <w:spacing w:before="0" w:after="0"/>
              <w:jc w:val="center"/>
              <w:rPr>
                <w:rFonts w:ascii="Calibri" w:eastAsia="Times New Roman" w:hAnsi="Calibri" w:cs="Times New Roman"/>
                <w:b/>
                <w:bCs/>
                <w:color w:val="000000"/>
                <w:sz w:val="18"/>
                <w:szCs w:val="18"/>
                <w:lang w:eastAsia="cs-CZ"/>
              </w:rPr>
            </w:pPr>
            <w:r w:rsidRPr="004E5E1C">
              <w:rPr>
                <w:rFonts w:ascii="Calibri" w:eastAsia="Times New Roman" w:hAnsi="Calibri" w:cs="Times New Roman"/>
                <w:b/>
                <w:bCs/>
                <w:color w:val="000000"/>
                <w:sz w:val="18"/>
                <w:szCs w:val="18"/>
                <w:lang w:eastAsia="cs-CZ"/>
              </w:rPr>
              <w:t>J</w:t>
            </w:r>
          </w:p>
        </w:tc>
        <w:tc>
          <w:tcPr>
            <w:tcW w:w="734" w:type="dxa"/>
            <w:tcBorders>
              <w:top w:val="nil"/>
              <w:left w:val="nil"/>
              <w:bottom w:val="single" w:sz="8" w:space="0" w:color="auto"/>
              <w:right w:val="nil"/>
            </w:tcBorders>
            <w:shd w:val="clear" w:color="000000" w:fill="D9D9D9"/>
            <w:noWrap/>
            <w:vAlign w:val="center"/>
            <w:hideMark/>
          </w:tcPr>
          <w:p w:rsidR="004E5E1C" w:rsidRPr="004E5E1C" w:rsidRDefault="004E5E1C" w:rsidP="004E5E1C">
            <w:pPr>
              <w:spacing w:before="0" w:after="0"/>
              <w:jc w:val="center"/>
              <w:rPr>
                <w:rFonts w:ascii="Calibri" w:eastAsia="Times New Roman" w:hAnsi="Calibri" w:cs="Times New Roman"/>
                <w:b/>
                <w:bCs/>
                <w:color w:val="000000"/>
                <w:sz w:val="18"/>
                <w:szCs w:val="18"/>
                <w:lang w:eastAsia="cs-CZ"/>
              </w:rPr>
            </w:pPr>
            <w:r w:rsidRPr="004E5E1C">
              <w:rPr>
                <w:rFonts w:ascii="Calibri" w:eastAsia="Times New Roman" w:hAnsi="Calibri" w:cs="Times New Roman"/>
                <w:b/>
                <w:bCs/>
                <w:color w:val="000000"/>
                <w:sz w:val="18"/>
                <w:szCs w:val="18"/>
                <w:lang w:eastAsia="cs-CZ"/>
              </w:rPr>
              <w:t>K</w:t>
            </w:r>
          </w:p>
        </w:tc>
      </w:tr>
      <w:tr w:rsidR="004E5E1C" w:rsidRPr="004E5E1C" w:rsidTr="00E9137A">
        <w:trPr>
          <w:trHeight w:val="288"/>
        </w:trPr>
        <w:tc>
          <w:tcPr>
            <w:tcW w:w="967"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center"/>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2010</w:t>
            </w:r>
          </w:p>
        </w:tc>
        <w:tc>
          <w:tcPr>
            <w:tcW w:w="815"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5 597</w:t>
            </w:r>
          </w:p>
        </w:tc>
        <w:tc>
          <w:tcPr>
            <w:tcW w:w="815"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14 681</w:t>
            </w:r>
          </w:p>
        </w:tc>
        <w:tc>
          <w:tcPr>
            <w:tcW w:w="691"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333</w:t>
            </w:r>
          </w:p>
        </w:tc>
        <w:tc>
          <w:tcPr>
            <w:tcW w:w="941"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8 083</w:t>
            </w:r>
          </w:p>
        </w:tc>
        <w:tc>
          <w:tcPr>
            <w:tcW w:w="816"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6 696</w:t>
            </w:r>
          </w:p>
        </w:tc>
        <w:tc>
          <w:tcPr>
            <w:tcW w:w="815"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12 319</w:t>
            </w:r>
          </w:p>
        </w:tc>
        <w:tc>
          <w:tcPr>
            <w:tcW w:w="691"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1 506</w:t>
            </w:r>
          </w:p>
        </w:tc>
        <w:tc>
          <w:tcPr>
            <w:tcW w:w="670"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7 990</w:t>
            </w:r>
          </w:p>
        </w:tc>
        <w:tc>
          <w:tcPr>
            <w:tcW w:w="815"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19 900</w:t>
            </w:r>
          </w:p>
        </w:tc>
        <w:tc>
          <w:tcPr>
            <w:tcW w:w="763"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15 943</w:t>
            </w:r>
          </w:p>
        </w:tc>
        <w:tc>
          <w:tcPr>
            <w:tcW w:w="734"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8 769</w:t>
            </w:r>
          </w:p>
        </w:tc>
      </w:tr>
      <w:tr w:rsidR="004E5E1C" w:rsidRPr="004E5E1C" w:rsidTr="00E9137A">
        <w:trPr>
          <w:trHeight w:val="288"/>
        </w:trPr>
        <w:tc>
          <w:tcPr>
            <w:tcW w:w="967"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center"/>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2011</w:t>
            </w:r>
          </w:p>
        </w:tc>
        <w:tc>
          <w:tcPr>
            <w:tcW w:w="815"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22 882</w:t>
            </w:r>
          </w:p>
        </w:tc>
        <w:tc>
          <w:tcPr>
            <w:tcW w:w="815"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39 128</w:t>
            </w:r>
          </w:p>
        </w:tc>
        <w:tc>
          <w:tcPr>
            <w:tcW w:w="691"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1 333</w:t>
            </w:r>
          </w:p>
        </w:tc>
        <w:tc>
          <w:tcPr>
            <w:tcW w:w="941"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92 329</w:t>
            </w:r>
          </w:p>
        </w:tc>
        <w:tc>
          <w:tcPr>
            <w:tcW w:w="816"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41 458</w:t>
            </w:r>
          </w:p>
        </w:tc>
        <w:tc>
          <w:tcPr>
            <w:tcW w:w="815"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11 936</w:t>
            </w:r>
          </w:p>
        </w:tc>
        <w:tc>
          <w:tcPr>
            <w:tcW w:w="691"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2 642</w:t>
            </w:r>
          </w:p>
        </w:tc>
        <w:tc>
          <w:tcPr>
            <w:tcW w:w="670"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10 639</w:t>
            </w:r>
          </w:p>
        </w:tc>
        <w:tc>
          <w:tcPr>
            <w:tcW w:w="815"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37 700</w:t>
            </w:r>
          </w:p>
        </w:tc>
        <w:tc>
          <w:tcPr>
            <w:tcW w:w="763"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74 106</w:t>
            </w:r>
          </w:p>
        </w:tc>
        <w:tc>
          <w:tcPr>
            <w:tcW w:w="734"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46 320</w:t>
            </w:r>
          </w:p>
        </w:tc>
      </w:tr>
      <w:tr w:rsidR="004E5E1C" w:rsidRPr="004E5E1C" w:rsidTr="00E9137A">
        <w:trPr>
          <w:trHeight w:val="288"/>
        </w:trPr>
        <w:tc>
          <w:tcPr>
            <w:tcW w:w="967"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center"/>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2012</w:t>
            </w:r>
          </w:p>
        </w:tc>
        <w:tc>
          <w:tcPr>
            <w:tcW w:w="815"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28 709</w:t>
            </w:r>
          </w:p>
        </w:tc>
        <w:tc>
          <w:tcPr>
            <w:tcW w:w="815"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51 139</w:t>
            </w:r>
          </w:p>
        </w:tc>
        <w:tc>
          <w:tcPr>
            <w:tcW w:w="691"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1 333</w:t>
            </w:r>
          </w:p>
        </w:tc>
        <w:tc>
          <w:tcPr>
            <w:tcW w:w="941"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81 242</w:t>
            </w:r>
          </w:p>
        </w:tc>
        <w:tc>
          <w:tcPr>
            <w:tcW w:w="816"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89 917</w:t>
            </w:r>
          </w:p>
        </w:tc>
        <w:tc>
          <w:tcPr>
            <w:tcW w:w="815"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17 718</w:t>
            </w:r>
          </w:p>
        </w:tc>
        <w:tc>
          <w:tcPr>
            <w:tcW w:w="691"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9 657</w:t>
            </w:r>
          </w:p>
        </w:tc>
        <w:tc>
          <w:tcPr>
            <w:tcW w:w="670"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10 389</w:t>
            </w:r>
          </w:p>
        </w:tc>
        <w:tc>
          <w:tcPr>
            <w:tcW w:w="815"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58 917</w:t>
            </w:r>
          </w:p>
        </w:tc>
        <w:tc>
          <w:tcPr>
            <w:tcW w:w="763"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94 663</w:t>
            </w:r>
          </w:p>
        </w:tc>
        <w:tc>
          <w:tcPr>
            <w:tcW w:w="734"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32 659</w:t>
            </w:r>
          </w:p>
        </w:tc>
      </w:tr>
      <w:tr w:rsidR="004E5E1C" w:rsidRPr="004E5E1C" w:rsidTr="00E9137A">
        <w:trPr>
          <w:trHeight w:val="288"/>
        </w:trPr>
        <w:tc>
          <w:tcPr>
            <w:tcW w:w="967"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center"/>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2013</w:t>
            </w:r>
          </w:p>
        </w:tc>
        <w:tc>
          <w:tcPr>
            <w:tcW w:w="815"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33 592</w:t>
            </w:r>
          </w:p>
        </w:tc>
        <w:tc>
          <w:tcPr>
            <w:tcW w:w="815"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57 950</w:t>
            </w:r>
          </w:p>
        </w:tc>
        <w:tc>
          <w:tcPr>
            <w:tcW w:w="691"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4 817</w:t>
            </w:r>
          </w:p>
        </w:tc>
        <w:tc>
          <w:tcPr>
            <w:tcW w:w="941"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70 452</w:t>
            </w:r>
          </w:p>
        </w:tc>
        <w:tc>
          <w:tcPr>
            <w:tcW w:w="816"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89 765</w:t>
            </w:r>
          </w:p>
        </w:tc>
        <w:tc>
          <w:tcPr>
            <w:tcW w:w="815"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18 164</w:t>
            </w:r>
          </w:p>
        </w:tc>
        <w:tc>
          <w:tcPr>
            <w:tcW w:w="691"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6 853</w:t>
            </w:r>
          </w:p>
        </w:tc>
        <w:tc>
          <w:tcPr>
            <w:tcW w:w="670"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9 706</w:t>
            </w:r>
          </w:p>
        </w:tc>
        <w:tc>
          <w:tcPr>
            <w:tcW w:w="815"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78 689</w:t>
            </w:r>
          </w:p>
        </w:tc>
        <w:tc>
          <w:tcPr>
            <w:tcW w:w="763"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134 893</w:t>
            </w:r>
          </w:p>
        </w:tc>
        <w:tc>
          <w:tcPr>
            <w:tcW w:w="734"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26 561</w:t>
            </w:r>
          </w:p>
        </w:tc>
      </w:tr>
      <w:tr w:rsidR="004E5E1C" w:rsidRPr="004E5E1C" w:rsidTr="00E9137A">
        <w:trPr>
          <w:trHeight w:val="288"/>
        </w:trPr>
        <w:tc>
          <w:tcPr>
            <w:tcW w:w="967"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center"/>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2014</w:t>
            </w:r>
          </w:p>
        </w:tc>
        <w:tc>
          <w:tcPr>
            <w:tcW w:w="815"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38 730</w:t>
            </w:r>
          </w:p>
        </w:tc>
        <w:tc>
          <w:tcPr>
            <w:tcW w:w="815"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62 108</w:t>
            </w:r>
          </w:p>
        </w:tc>
        <w:tc>
          <w:tcPr>
            <w:tcW w:w="691"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6 300</w:t>
            </w:r>
          </w:p>
        </w:tc>
        <w:tc>
          <w:tcPr>
            <w:tcW w:w="941"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66 756</w:t>
            </w:r>
          </w:p>
        </w:tc>
        <w:tc>
          <w:tcPr>
            <w:tcW w:w="816"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73 554</w:t>
            </w:r>
          </w:p>
        </w:tc>
        <w:tc>
          <w:tcPr>
            <w:tcW w:w="815"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23 962</w:t>
            </w:r>
          </w:p>
        </w:tc>
        <w:tc>
          <w:tcPr>
            <w:tcW w:w="691"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6 930</w:t>
            </w:r>
          </w:p>
        </w:tc>
        <w:tc>
          <w:tcPr>
            <w:tcW w:w="670"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8 915</w:t>
            </w:r>
          </w:p>
        </w:tc>
        <w:tc>
          <w:tcPr>
            <w:tcW w:w="815"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79 205</w:t>
            </w:r>
          </w:p>
        </w:tc>
        <w:tc>
          <w:tcPr>
            <w:tcW w:w="763"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173 105</w:t>
            </w:r>
          </w:p>
        </w:tc>
        <w:tc>
          <w:tcPr>
            <w:tcW w:w="734"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27 825</w:t>
            </w:r>
          </w:p>
        </w:tc>
      </w:tr>
      <w:tr w:rsidR="004E5E1C" w:rsidRPr="004E5E1C" w:rsidTr="00E9137A">
        <w:trPr>
          <w:trHeight w:val="303"/>
        </w:trPr>
        <w:tc>
          <w:tcPr>
            <w:tcW w:w="967" w:type="dxa"/>
            <w:tcBorders>
              <w:top w:val="nil"/>
              <w:left w:val="nil"/>
              <w:bottom w:val="single" w:sz="8" w:space="0" w:color="auto"/>
              <w:right w:val="nil"/>
            </w:tcBorders>
            <w:shd w:val="clear" w:color="auto" w:fill="auto"/>
            <w:noWrap/>
            <w:vAlign w:val="center"/>
            <w:hideMark/>
          </w:tcPr>
          <w:p w:rsidR="004E5E1C" w:rsidRPr="004E5E1C" w:rsidRDefault="004E5E1C" w:rsidP="004E5E1C">
            <w:pPr>
              <w:spacing w:before="0" w:after="0"/>
              <w:jc w:val="center"/>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2015</w:t>
            </w:r>
          </w:p>
        </w:tc>
        <w:tc>
          <w:tcPr>
            <w:tcW w:w="815" w:type="dxa"/>
            <w:tcBorders>
              <w:top w:val="nil"/>
              <w:left w:val="nil"/>
              <w:bottom w:val="single" w:sz="8" w:space="0" w:color="auto"/>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31 260</w:t>
            </w:r>
          </w:p>
        </w:tc>
        <w:tc>
          <w:tcPr>
            <w:tcW w:w="815" w:type="dxa"/>
            <w:tcBorders>
              <w:top w:val="nil"/>
              <w:left w:val="nil"/>
              <w:bottom w:val="single" w:sz="8" w:space="0" w:color="auto"/>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34 706</w:t>
            </w:r>
          </w:p>
        </w:tc>
        <w:tc>
          <w:tcPr>
            <w:tcW w:w="691" w:type="dxa"/>
            <w:tcBorders>
              <w:top w:val="nil"/>
              <w:left w:val="nil"/>
              <w:bottom w:val="single" w:sz="8" w:space="0" w:color="auto"/>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9 070</w:t>
            </w:r>
          </w:p>
        </w:tc>
        <w:tc>
          <w:tcPr>
            <w:tcW w:w="941" w:type="dxa"/>
            <w:tcBorders>
              <w:top w:val="nil"/>
              <w:left w:val="nil"/>
              <w:bottom w:val="single" w:sz="8" w:space="0" w:color="auto"/>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59 449</w:t>
            </w:r>
          </w:p>
        </w:tc>
        <w:tc>
          <w:tcPr>
            <w:tcW w:w="816" w:type="dxa"/>
            <w:tcBorders>
              <w:top w:val="nil"/>
              <w:left w:val="nil"/>
              <w:bottom w:val="single" w:sz="8" w:space="0" w:color="auto"/>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40 938</w:t>
            </w:r>
          </w:p>
        </w:tc>
        <w:tc>
          <w:tcPr>
            <w:tcW w:w="815" w:type="dxa"/>
            <w:tcBorders>
              <w:top w:val="nil"/>
              <w:left w:val="nil"/>
              <w:bottom w:val="single" w:sz="8" w:space="0" w:color="auto"/>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21 068</w:t>
            </w:r>
          </w:p>
        </w:tc>
        <w:tc>
          <w:tcPr>
            <w:tcW w:w="691" w:type="dxa"/>
            <w:tcBorders>
              <w:top w:val="nil"/>
              <w:left w:val="nil"/>
              <w:bottom w:val="single" w:sz="8" w:space="0" w:color="auto"/>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6 676</w:t>
            </w:r>
          </w:p>
        </w:tc>
        <w:tc>
          <w:tcPr>
            <w:tcW w:w="670" w:type="dxa"/>
            <w:tcBorders>
              <w:top w:val="nil"/>
              <w:left w:val="nil"/>
              <w:bottom w:val="single" w:sz="8" w:space="0" w:color="auto"/>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9 905</w:t>
            </w:r>
          </w:p>
        </w:tc>
        <w:tc>
          <w:tcPr>
            <w:tcW w:w="815" w:type="dxa"/>
            <w:tcBorders>
              <w:top w:val="nil"/>
              <w:left w:val="nil"/>
              <w:bottom w:val="single" w:sz="8" w:space="0" w:color="auto"/>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38 695</w:t>
            </w:r>
          </w:p>
        </w:tc>
        <w:tc>
          <w:tcPr>
            <w:tcW w:w="763" w:type="dxa"/>
            <w:tcBorders>
              <w:top w:val="nil"/>
              <w:left w:val="nil"/>
              <w:bottom w:val="single" w:sz="8" w:space="0" w:color="auto"/>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114 430</w:t>
            </w:r>
          </w:p>
        </w:tc>
        <w:tc>
          <w:tcPr>
            <w:tcW w:w="734" w:type="dxa"/>
            <w:tcBorders>
              <w:top w:val="nil"/>
              <w:left w:val="nil"/>
              <w:bottom w:val="single" w:sz="8" w:space="0" w:color="auto"/>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23 133</w:t>
            </w:r>
          </w:p>
        </w:tc>
      </w:tr>
      <w:tr w:rsidR="004E5E1C" w:rsidRPr="004E5E1C" w:rsidTr="00E9137A">
        <w:trPr>
          <w:trHeight w:val="303"/>
        </w:trPr>
        <w:tc>
          <w:tcPr>
            <w:tcW w:w="967" w:type="dxa"/>
            <w:tcBorders>
              <w:top w:val="nil"/>
              <w:left w:val="nil"/>
              <w:bottom w:val="single" w:sz="8" w:space="0" w:color="auto"/>
              <w:right w:val="nil"/>
            </w:tcBorders>
            <w:shd w:val="clear" w:color="000000" w:fill="F2F2F2"/>
            <w:noWrap/>
            <w:vAlign w:val="center"/>
            <w:hideMark/>
          </w:tcPr>
          <w:p w:rsidR="004E5E1C" w:rsidRPr="004E5E1C" w:rsidRDefault="004E5E1C" w:rsidP="004E5E1C">
            <w:pPr>
              <w:spacing w:before="0" w:after="0"/>
              <w:jc w:val="left"/>
              <w:rPr>
                <w:rFonts w:ascii="Calibri" w:eastAsia="Times New Roman" w:hAnsi="Calibri" w:cs="Times New Roman"/>
                <w:b/>
                <w:bCs/>
                <w:color w:val="000000"/>
                <w:sz w:val="18"/>
                <w:szCs w:val="18"/>
                <w:lang w:eastAsia="cs-CZ"/>
              </w:rPr>
            </w:pPr>
            <w:r w:rsidRPr="004E5E1C">
              <w:rPr>
                <w:rFonts w:ascii="Calibri" w:eastAsia="Times New Roman" w:hAnsi="Calibri" w:cs="Times New Roman"/>
                <w:b/>
                <w:bCs/>
                <w:color w:val="000000"/>
                <w:sz w:val="18"/>
                <w:szCs w:val="18"/>
                <w:lang w:eastAsia="cs-CZ"/>
              </w:rPr>
              <w:t>2010-2015</w:t>
            </w:r>
          </w:p>
        </w:tc>
        <w:tc>
          <w:tcPr>
            <w:tcW w:w="815" w:type="dxa"/>
            <w:tcBorders>
              <w:top w:val="nil"/>
              <w:left w:val="nil"/>
              <w:bottom w:val="single" w:sz="8" w:space="0" w:color="auto"/>
              <w:right w:val="nil"/>
            </w:tcBorders>
            <w:shd w:val="clear" w:color="000000" w:fill="F2F2F2"/>
            <w:noWrap/>
            <w:vAlign w:val="center"/>
            <w:hideMark/>
          </w:tcPr>
          <w:p w:rsidR="004E5E1C" w:rsidRPr="004E5E1C" w:rsidRDefault="004E5E1C" w:rsidP="004E5E1C">
            <w:pPr>
              <w:spacing w:before="0" w:after="0"/>
              <w:jc w:val="right"/>
              <w:rPr>
                <w:rFonts w:ascii="Calibri" w:eastAsia="Times New Roman" w:hAnsi="Calibri" w:cs="Times New Roman"/>
                <w:b/>
                <w:bCs/>
                <w:color w:val="000000"/>
                <w:sz w:val="18"/>
                <w:szCs w:val="18"/>
                <w:lang w:eastAsia="cs-CZ"/>
              </w:rPr>
            </w:pPr>
            <w:r w:rsidRPr="004E5E1C">
              <w:rPr>
                <w:rFonts w:ascii="Calibri" w:eastAsia="Times New Roman" w:hAnsi="Calibri" w:cs="Times New Roman"/>
                <w:b/>
                <w:bCs/>
                <w:color w:val="000000"/>
                <w:sz w:val="18"/>
                <w:szCs w:val="18"/>
                <w:lang w:eastAsia="cs-CZ"/>
              </w:rPr>
              <w:t>160 770</w:t>
            </w:r>
          </w:p>
        </w:tc>
        <w:tc>
          <w:tcPr>
            <w:tcW w:w="815" w:type="dxa"/>
            <w:tcBorders>
              <w:top w:val="nil"/>
              <w:left w:val="nil"/>
              <w:bottom w:val="single" w:sz="8" w:space="0" w:color="auto"/>
              <w:right w:val="nil"/>
            </w:tcBorders>
            <w:shd w:val="clear" w:color="000000" w:fill="F2F2F2"/>
            <w:noWrap/>
            <w:vAlign w:val="center"/>
            <w:hideMark/>
          </w:tcPr>
          <w:p w:rsidR="004E5E1C" w:rsidRPr="004E5E1C" w:rsidRDefault="004E5E1C" w:rsidP="004E5E1C">
            <w:pPr>
              <w:spacing w:before="0" w:after="0"/>
              <w:jc w:val="right"/>
              <w:rPr>
                <w:rFonts w:ascii="Calibri" w:eastAsia="Times New Roman" w:hAnsi="Calibri" w:cs="Times New Roman"/>
                <w:b/>
                <w:bCs/>
                <w:color w:val="000000"/>
                <w:sz w:val="18"/>
                <w:szCs w:val="18"/>
                <w:lang w:eastAsia="cs-CZ"/>
              </w:rPr>
            </w:pPr>
            <w:r w:rsidRPr="004E5E1C">
              <w:rPr>
                <w:rFonts w:ascii="Calibri" w:eastAsia="Times New Roman" w:hAnsi="Calibri" w:cs="Times New Roman"/>
                <w:b/>
                <w:bCs/>
                <w:color w:val="000000"/>
                <w:sz w:val="18"/>
                <w:szCs w:val="18"/>
                <w:lang w:eastAsia="cs-CZ"/>
              </w:rPr>
              <w:t>259 712</w:t>
            </w:r>
          </w:p>
        </w:tc>
        <w:tc>
          <w:tcPr>
            <w:tcW w:w="691" w:type="dxa"/>
            <w:tcBorders>
              <w:top w:val="nil"/>
              <w:left w:val="nil"/>
              <w:bottom w:val="single" w:sz="8" w:space="0" w:color="auto"/>
              <w:right w:val="nil"/>
            </w:tcBorders>
            <w:shd w:val="clear" w:color="000000" w:fill="F2F2F2"/>
            <w:noWrap/>
            <w:vAlign w:val="center"/>
            <w:hideMark/>
          </w:tcPr>
          <w:p w:rsidR="004E5E1C" w:rsidRPr="004E5E1C" w:rsidRDefault="004E5E1C" w:rsidP="004E5E1C">
            <w:pPr>
              <w:spacing w:before="0" w:after="0"/>
              <w:jc w:val="right"/>
              <w:rPr>
                <w:rFonts w:ascii="Calibri" w:eastAsia="Times New Roman" w:hAnsi="Calibri" w:cs="Times New Roman"/>
                <w:b/>
                <w:bCs/>
                <w:color w:val="000000"/>
                <w:sz w:val="18"/>
                <w:szCs w:val="18"/>
                <w:lang w:eastAsia="cs-CZ"/>
              </w:rPr>
            </w:pPr>
            <w:r w:rsidRPr="004E5E1C">
              <w:rPr>
                <w:rFonts w:ascii="Calibri" w:eastAsia="Times New Roman" w:hAnsi="Calibri" w:cs="Times New Roman"/>
                <w:b/>
                <w:bCs/>
                <w:color w:val="000000"/>
                <w:sz w:val="18"/>
                <w:szCs w:val="18"/>
                <w:lang w:eastAsia="cs-CZ"/>
              </w:rPr>
              <w:t>23 186</w:t>
            </w:r>
          </w:p>
        </w:tc>
        <w:tc>
          <w:tcPr>
            <w:tcW w:w="941" w:type="dxa"/>
            <w:tcBorders>
              <w:top w:val="nil"/>
              <w:left w:val="nil"/>
              <w:bottom w:val="single" w:sz="8" w:space="0" w:color="auto"/>
              <w:right w:val="nil"/>
            </w:tcBorders>
            <w:shd w:val="clear" w:color="000000" w:fill="F2F2F2"/>
            <w:noWrap/>
            <w:vAlign w:val="center"/>
            <w:hideMark/>
          </w:tcPr>
          <w:p w:rsidR="004E5E1C" w:rsidRPr="004E5E1C" w:rsidRDefault="004E5E1C" w:rsidP="004E5E1C">
            <w:pPr>
              <w:spacing w:before="0" w:after="0"/>
              <w:jc w:val="right"/>
              <w:rPr>
                <w:rFonts w:ascii="Calibri" w:eastAsia="Times New Roman" w:hAnsi="Calibri" w:cs="Times New Roman"/>
                <w:b/>
                <w:bCs/>
                <w:color w:val="000000"/>
                <w:sz w:val="18"/>
                <w:szCs w:val="18"/>
                <w:lang w:eastAsia="cs-CZ"/>
              </w:rPr>
            </w:pPr>
            <w:r w:rsidRPr="004E5E1C">
              <w:rPr>
                <w:rFonts w:ascii="Calibri" w:eastAsia="Times New Roman" w:hAnsi="Calibri" w:cs="Times New Roman"/>
                <w:b/>
                <w:bCs/>
                <w:color w:val="000000"/>
                <w:sz w:val="18"/>
                <w:szCs w:val="18"/>
                <w:lang w:eastAsia="cs-CZ"/>
              </w:rPr>
              <w:t>378 311</w:t>
            </w:r>
          </w:p>
        </w:tc>
        <w:tc>
          <w:tcPr>
            <w:tcW w:w="816" w:type="dxa"/>
            <w:tcBorders>
              <w:top w:val="nil"/>
              <w:left w:val="nil"/>
              <w:bottom w:val="single" w:sz="8" w:space="0" w:color="auto"/>
              <w:right w:val="nil"/>
            </w:tcBorders>
            <w:shd w:val="clear" w:color="000000" w:fill="F2F2F2"/>
            <w:noWrap/>
            <w:vAlign w:val="center"/>
            <w:hideMark/>
          </w:tcPr>
          <w:p w:rsidR="004E5E1C" w:rsidRPr="004E5E1C" w:rsidRDefault="004E5E1C" w:rsidP="004E5E1C">
            <w:pPr>
              <w:spacing w:before="0" w:after="0"/>
              <w:jc w:val="right"/>
              <w:rPr>
                <w:rFonts w:ascii="Calibri" w:eastAsia="Times New Roman" w:hAnsi="Calibri" w:cs="Times New Roman"/>
                <w:b/>
                <w:bCs/>
                <w:color w:val="000000"/>
                <w:sz w:val="18"/>
                <w:szCs w:val="18"/>
                <w:lang w:eastAsia="cs-CZ"/>
              </w:rPr>
            </w:pPr>
            <w:r w:rsidRPr="004E5E1C">
              <w:rPr>
                <w:rFonts w:ascii="Calibri" w:eastAsia="Times New Roman" w:hAnsi="Calibri" w:cs="Times New Roman"/>
                <w:b/>
                <w:bCs/>
                <w:color w:val="000000"/>
                <w:sz w:val="18"/>
                <w:szCs w:val="18"/>
                <w:lang w:eastAsia="cs-CZ"/>
              </w:rPr>
              <w:t>342 328</w:t>
            </w:r>
          </w:p>
        </w:tc>
        <w:tc>
          <w:tcPr>
            <w:tcW w:w="815" w:type="dxa"/>
            <w:tcBorders>
              <w:top w:val="nil"/>
              <w:left w:val="nil"/>
              <w:bottom w:val="single" w:sz="8" w:space="0" w:color="auto"/>
              <w:right w:val="nil"/>
            </w:tcBorders>
            <w:shd w:val="clear" w:color="000000" w:fill="F2F2F2"/>
            <w:noWrap/>
            <w:vAlign w:val="center"/>
            <w:hideMark/>
          </w:tcPr>
          <w:p w:rsidR="004E5E1C" w:rsidRPr="004E5E1C" w:rsidRDefault="004E5E1C" w:rsidP="004E5E1C">
            <w:pPr>
              <w:spacing w:before="0" w:after="0"/>
              <w:jc w:val="right"/>
              <w:rPr>
                <w:rFonts w:ascii="Calibri" w:eastAsia="Times New Roman" w:hAnsi="Calibri" w:cs="Times New Roman"/>
                <w:b/>
                <w:bCs/>
                <w:color w:val="000000"/>
                <w:sz w:val="18"/>
                <w:szCs w:val="18"/>
                <w:lang w:eastAsia="cs-CZ"/>
              </w:rPr>
            </w:pPr>
            <w:r w:rsidRPr="004E5E1C">
              <w:rPr>
                <w:rFonts w:ascii="Calibri" w:eastAsia="Times New Roman" w:hAnsi="Calibri" w:cs="Times New Roman"/>
                <w:b/>
                <w:bCs/>
                <w:color w:val="000000"/>
                <w:sz w:val="18"/>
                <w:szCs w:val="18"/>
                <w:lang w:eastAsia="cs-CZ"/>
              </w:rPr>
              <w:t>105 167</w:t>
            </w:r>
          </w:p>
        </w:tc>
        <w:tc>
          <w:tcPr>
            <w:tcW w:w="691" w:type="dxa"/>
            <w:tcBorders>
              <w:top w:val="nil"/>
              <w:left w:val="nil"/>
              <w:bottom w:val="single" w:sz="8" w:space="0" w:color="auto"/>
              <w:right w:val="nil"/>
            </w:tcBorders>
            <w:shd w:val="clear" w:color="000000" w:fill="F2F2F2"/>
            <w:noWrap/>
            <w:vAlign w:val="center"/>
            <w:hideMark/>
          </w:tcPr>
          <w:p w:rsidR="004E5E1C" w:rsidRPr="004E5E1C" w:rsidRDefault="004E5E1C" w:rsidP="004E5E1C">
            <w:pPr>
              <w:spacing w:before="0" w:after="0"/>
              <w:jc w:val="right"/>
              <w:rPr>
                <w:rFonts w:ascii="Calibri" w:eastAsia="Times New Roman" w:hAnsi="Calibri" w:cs="Times New Roman"/>
                <w:b/>
                <w:bCs/>
                <w:color w:val="000000"/>
                <w:sz w:val="18"/>
                <w:szCs w:val="18"/>
                <w:lang w:eastAsia="cs-CZ"/>
              </w:rPr>
            </w:pPr>
            <w:r w:rsidRPr="004E5E1C">
              <w:rPr>
                <w:rFonts w:ascii="Calibri" w:eastAsia="Times New Roman" w:hAnsi="Calibri" w:cs="Times New Roman"/>
                <w:b/>
                <w:bCs/>
                <w:color w:val="000000"/>
                <w:sz w:val="18"/>
                <w:szCs w:val="18"/>
                <w:lang w:eastAsia="cs-CZ"/>
              </w:rPr>
              <w:t>34 264</w:t>
            </w:r>
          </w:p>
        </w:tc>
        <w:tc>
          <w:tcPr>
            <w:tcW w:w="670" w:type="dxa"/>
            <w:tcBorders>
              <w:top w:val="nil"/>
              <w:left w:val="nil"/>
              <w:bottom w:val="single" w:sz="8" w:space="0" w:color="auto"/>
              <w:right w:val="nil"/>
            </w:tcBorders>
            <w:shd w:val="clear" w:color="000000" w:fill="F2F2F2"/>
            <w:noWrap/>
            <w:vAlign w:val="center"/>
            <w:hideMark/>
          </w:tcPr>
          <w:p w:rsidR="004E5E1C" w:rsidRPr="004E5E1C" w:rsidRDefault="004E5E1C" w:rsidP="004E5E1C">
            <w:pPr>
              <w:spacing w:before="0" w:after="0"/>
              <w:jc w:val="right"/>
              <w:rPr>
                <w:rFonts w:ascii="Calibri" w:eastAsia="Times New Roman" w:hAnsi="Calibri" w:cs="Times New Roman"/>
                <w:b/>
                <w:bCs/>
                <w:color w:val="000000"/>
                <w:sz w:val="18"/>
                <w:szCs w:val="18"/>
                <w:lang w:eastAsia="cs-CZ"/>
              </w:rPr>
            </w:pPr>
            <w:r w:rsidRPr="004E5E1C">
              <w:rPr>
                <w:rFonts w:ascii="Calibri" w:eastAsia="Times New Roman" w:hAnsi="Calibri" w:cs="Times New Roman"/>
                <w:b/>
                <w:bCs/>
                <w:color w:val="000000"/>
                <w:sz w:val="18"/>
                <w:szCs w:val="18"/>
                <w:lang w:eastAsia="cs-CZ"/>
              </w:rPr>
              <w:t>57 544</w:t>
            </w:r>
          </w:p>
        </w:tc>
        <w:tc>
          <w:tcPr>
            <w:tcW w:w="815" w:type="dxa"/>
            <w:tcBorders>
              <w:top w:val="nil"/>
              <w:left w:val="nil"/>
              <w:bottom w:val="single" w:sz="8" w:space="0" w:color="auto"/>
              <w:right w:val="nil"/>
            </w:tcBorders>
            <w:shd w:val="clear" w:color="000000" w:fill="F2F2F2"/>
            <w:noWrap/>
            <w:vAlign w:val="center"/>
            <w:hideMark/>
          </w:tcPr>
          <w:p w:rsidR="004E5E1C" w:rsidRPr="004E5E1C" w:rsidRDefault="004E5E1C" w:rsidP="004E5E1C">
            <w:pPr>
              <w:spacing w:before="0" w:after="0"/>
              <w:jc w:val="right"/>
              <w:rPr>
                <w:rFonts w:ascii="Calibri" w:eastAsia="Times New Roman" w:hAnsi="Calibri" w:cs="Times New Roman"/>
                <w:b/>
                <w:bCs/>
                <w:color w:val="000000"/>
                <w:sz w:val="18"/>
                <w:szCs w:val="18"/>
                <w:lang w:eastAsia="cs-CZ"/>
              </w:rPr>
            </w:pPr>
            <w:r w:rsidRPr="004E5E1C">
              <w:rPr>
                <w:rFonts w:ascii="Calibri" w:eastAsia="Times New Roman" w:hAnsi="Calibri" w:cs="Times New Roman"/>
                <w:b/>
                <w:bCs/>
                <w:color w:val="000000"/>
                <w:sz w:val="18"/>
                <w:szCs w:val="18"/>
                <w:lang w:eastAsia="cs-CZ"/>
              </w:rPr>
              <w:t>313 106</w:t>
            </w:r>
          </w:p>
        </w:tc>
        <w:tc>
          <w:tcPr>
            <w:tcW w:w="763" w:type="dxa"/>
            <w:tcBorders>
              <w:top w:val="nil"/>
              <w:left w:val="nil"/>
              <w:bottom w:val="single" w:sz="8" w:space="0" w:color="auto"/>
              <w:right w:val="nil"/>
            </w:tcBorders>
            <w:shd w:val="clear" w:color="000000" w:fill="F2F2F2"/>
            <w:noWrap/>
            <w:vAlign w:val="center"/>
            <w:hideMark/>
          </w:tcPr>
          <w:p w:rsidR="004E5E1C" w:rsidRPr="004E5E1C" w:rsidRDefault="004E5E1C" w:rsidP="004E5E1C">
            <w:pPr>
              <w:spacing w:before="0" w:after="0"/>
              <w:jc w:val="right"/>
              <w:rPr>
                <w:rFonts w:ascii="Calibri" w:eastAsia="Times New Roman" w:hAnsi="Calibri" w:cs="Times New Roman"/>
                <w:b/>
                <w:bCs/>
                <w:color w:val="000000"/>
                <w:sz w:val="18"/>
                <w:szCs w:val="18"/>
                <w:lang w:eastAsia="cs-CZ"/>
              </w:rPr>
            </w:pPr>
            <w:r w:rsidRPr="004E5E1C">
              <w:rPr>
                <w:rFonts w:ascii="Calibri" w:eastAsia="Times New Roman" w:hAnsi="Calibri" w:cs="Times New Roman"/>
                <w:b/>
                <w:bCs/>
                <w:color w:val="000000"/>
                <w:sz w:val="18"/>
                <w:szCs w:val="18"/>
                <w:lang w:eastAsia="cs-CZ"/>
              </w:rPr>
              <w:t>607 140</w:t>
            </w:r>
          </w:p>
        </w:tc>
        <w:tc>
          <w:tcPr>
            <w:tcW w:w="734" w:type="dxa"/>
            <w:tcBorders>
              <w:top w:val="nil"/>
              <w:left w:val="nil"/>
              <w:bottom w:val="single" w:sz="8" w:space="0" w:color="auto"/>
              <w:right w:val="nil"/>
            </w:tcBorders>
            <w:shd w:val="clear" w:color="000000" w:fill="F2F2F2"/>
            <w:noWrap/>
            <w:vAlign w:val="center"/>
            <w:hideMark/>
          </w:tcPr>
          <w:p w:rsidR="004E5E1C" w:rsidRPr="004E5E1C" w:rsidRDefault="004E5E1C" w:rsidP="004E5E1C">
            <w:pPr>
              <w:spacing w:before="0" w:after="0"/>
              <w:jc w:val="right"/>
              <w:rPr>
                <w:rFonts w:ascii="Calibri" w:eastAsia="Times New Roman" w:hAnsi="Calibri" w:cs="Times New Roman"/>
                <w:b/>
                <w:bCs/>
                <w:color w:val="000000"/>
                <w:sz w:val="18"/>
                <w:szCs w:val="18"/>
                <w:lang w:eastAsia="cs-CZ"/>
              </w:rPr>
            </w:pPr>
            <w:r w:rsidRPr="004E5E1C">
              <w:rPr>
                <w:rFonts w:ascii="Calibri" w:eastAsia="Times New Roman" w:hAnsi="Calibri" w:cs="Times New Roman"/>
                <w:b/>
                <w:bCs/>
                <w:color w:val="000000"/>
                <w:sz w:val="18"/>
                <w:szCs w:val="18"/>
                <w:lang w:eastAsia="cs-CZ"/>
              </w:rPr>
              <w:t>165 267</w:t>
            </w:r>
          </w:p>
        </w:tc>
      </w:tr>
      <w:tr w:rsidR="004E5E1C" w:rsidRPr="004E5E1C" w:rsidTr="00E9137A">
        <w:trPr>
          <w:trHeight w:val="288"/>
        </w:trPr>
        <w:tc>
          <w:tcPr>
            <w:tcW w:w="967"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center"/>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2016</w:t>
            </w:r>
          </w:p>
        </w:tc>
        <w:tc>
          <w:tcPr>
            <w:tcW w:w="815"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17 920</w:t>
            </w:r>
          </w:p>
        </w:tc>
        <w:tc>
          <w:tcPr>
            <w:tcW w:w="815"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26 110</w:t>
            </w:r>
          </w:p>
        </w:tc>
        <w:tc>
          <w:tcPr>
            <w:tcW w:w="691"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15 840</w:t>
            </w:r>
          </w:p>
        </w:tc>
        <w:tc>
          <w:tcPr>
            <w:tcW w:w="941"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65 066</w:t>
            </w:r>
          </w:p>
        </w:tc>
        <w:tc>
          <w:tcPr>
            <w:tcW w:w="816"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14 528</w:t>
            </w:r>
          </w:p>
        </w:tc>
        <w:tc>
          <w:tcPr>
            <w:tcW w:w="815"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6 340</w:t>
            </w:r>
          </w:p>
        </w:tc>
        <w:tc>
          <w:tcPr>
            <w:tcW w:w="691"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left"/>
              <w:rPr>
                <w:rFonts w:ascii="Calibri" w:eastAsia="Times New Roman" w:hAnsi="Calibri" w:cs="Times New Roman"/>
                <w:color w:val="000000"/>
                <w:lang w:eastAsia="cs-CZ"/>
              </w:rPr>
            </w:pPr>
          </w:p>
        </w:tc>
        <w:tc>
          <w:tcPr>
            <w:tcW w:w="670"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11 588</w:t>
            </w:r>
          </w:p>
        </w:tc>
        <w:tc>
          <w:tcPr>
            <w:tcW w:w="815"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9 446</w:t>
            </w:r>
          </w:p>
        </w:tc>
        <w:tc>
          <w:tcPr>
            <w:tcW w:w="763"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44 312</w:t>
            </w:r>
          </w:p>
        </w:tc>
        <w:tc>
          <w:tcPr>
            <w:tcW w:w="734"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19 458</w:t>
            </w:r>
          </w:p>
        </w:tc>
      </w:tr>
      <w:tr w:rsidR="004E5E1C" w:rsidRPr="004E5E1C" w:rsidTr="00E9137A">
        <w:trPr>
          <w:trHeight w:val="288"/>
        </w:trPr>
        <w:tc>
          <w:tcPr>
            <w:tcW w:w="967"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center"/>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2017</w:t>
            </w:r>
          </w:p>
        </w:tc>
        <w:tc>
          <w:tcPr>
            <w:tcW w:w="815"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13 518</w:t>
            </w:r>
          </w:p>
        </w:tc>
        <w:tc>
          <w:tcPr>
            <w:tcW w:w="815"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18 886</w:t>
            </w:r>
          </w:p>
        </w:tc>
        <w:tc>
          <w:tcPr>
            <w:tcW w:w="691"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14 672</w:t>
            </w:r>
          </w:p>
        </w:tc>
        <w:tc>
          <w:tcPr>
            <w:tcW w:w="941"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8 484</w:t>
            </w:r>
          </w:p>
        </w:tc>
        <w:tc>
          <w:tcPr>
            <w:tcW w:w="816"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7 332</w:t>
            </w:r>
          </w:p>
        </w:tc>
        <w:tc>
          <w:tcPr>
            <w:tcW w:w="815"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1 523</w:t>
            </w:r>
          </w:p>
        </w:tc>
        <w:tc>
          <w:tcPr>
            <w:tcW w:w="691"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left"/>
              <w:rPr>
                <w:rFonts w:ascii="Calibri" w:eastAsia="Times New Roman" w:hAnsi="Calibri" w:cs="Times New Roman"/>
                <w:color w:val="000000"/>
                <w:lang w:eastAsia="cs-CZ"/>
              </w:rPr>
            </w:pPr>
          </w:p>
        </w:tc>
        <w:tc>
          <w:tcPr>
            <w:tcW w:w="670"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9 450</w:t>
            </w:r>
          </w:p>
        </w:tc>
        <w:tc>
          <w:tcPr>
            <w:tcW w:w="815"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9 727</w:t>
            </w:r>
          </w:p>
        </w:tc>
        <w:tc>
          <w:tcPr>
            <w:tcW w:w="763"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43 855</w:t>
            </w:r>
          </w:p>
        </w:tc>
        <w:tc>
          <w:tcPr>
            <w:tcW w:w="734"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18 396</w:t>
            </w:r>
          </w:p>
        </w:tc>
      </w:tr>
      <w:tr w:rsidR="004E5E1C" w:rsidRPr="004E5E1C" w:rsidTr="00E9137A">
        <w:trPr>
          <w:trHeight w:val="288"/>
        </w:trPr>
        <w:tc>
          <w:tcPr>
            <w:tcW w:w="967"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center"/>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2018</w:t>
            </w:r>
          </w:p>
        </w:tc>
        <w:tc>
          <w:tcPr>
            <w:tcW w:w="815"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13 363</w:t>
            </w:r>
          </w:p>
        </w:tc>
        <w:tc>
          <w:tcPr>
            <w:tcW w:w="815"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17 933</w:t>
            </w:r>
          </w:p>
        </w:tc>
        <w:tc>
          <w:tcPr>
            <w:tcW w:w="691"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13 576</w:t>
            </w:r>
          </w:p>
        </w:tc>
        <w:tc>
          <w:tcPr>
            <w:tcW w:w="941"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7 852</w:t>
            </w:r>
          </w:p>
        </w:tc>
        <w:tc>
          <w:tcPr>
            <w:tcW w:w="816"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6 874</w:t>
            </w:r>
          </w:p>
        </w:tc>
        <w:tc>
          <w:tcPr>
            <w:tcW w:w="815"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1 545</w:t>
            </w:r>
          </w:p>
        </w:tc>
        <w:tc>
          <w:tcPr>
            <w:tcW w:w="691"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left"/>
              <w:rPr>
                <w:rFonts w:ascii="Calibri" w:eastAsia="Times New Roman" w:hAnsi="Calibri" w:cs="Times New Roman"/>
                <w:color w:val="000000"/>
                <w:lang w:eastAsia="cs-CZ"/>
              </w:rPr>
            </w:pPr>
          </w:p>
        </w:tc>
        <w:tc>
          <w:tcPr>
            <w:tcW w:w="670"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9 357</w:t>
            </w:r>
          </w:p>
        </w:tc>
        <w:tc>
          <w:tcPr>
            <w:tcW w:w="815"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9 285</w:t>
            </w:r>
          </w:p>
        </w:tc>
        <w:tc>
          <w:tcPr>
            <w:tcW w:w="763"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40 821</w:t>
            </w:r>
          </w:p>
        </w:tc>
        <w:tc>
          <w:tcPr>
            <w:tcW w:w="734"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17 866</w:t>
            </w:r>
          </w:p>
        </w:tc>
      </w:tr>
      <w:tr w:rsidR="004E5E1C" w:rsidRPr="004E5E1C" w:rsidTr="00E9137A">
        <w:trPr>
          <w:trHeight w:val="288"/>
        </w:trPr>
        <w:tc>
          <w:tcPr>
            <w:tcW w:w="967"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center"/>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2019</w:t>
            </w:r>
          </w:p>
        </w:tc>
        <w:tc>
          <w:tcPr>
            <w:tcW w:w="815"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5 403</w:t>
            </w:r>
          </w:p>
        </w:tc>
        <w:tc>
          <w:tcPr>
            <w:tcW w:w="815"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12 642</w:t>
            </w:r>
          </w:p>
        </w:tc>
        <w:tc>
          <w:tcPr>
            <w:tcW w:w="691"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5 126</w:t>
            </w:r>
          </w:p>
        </w:tc>
        <w:tc>
          <w:tcPr>
            <w:tcW w:w="941"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5 046</w:t>
            </w:r>
          </w:p>
        </w:tc>
        <w:tc>
          <w:tcPr>
            <w:tcW w:w="816"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1 316</w:t>
            </w:r>
          </w:p>
        </w:tc>
        <w:tc>
          <w:tcPr>
            <w:tcW w:w="815"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left"/>
              <w:rPr>
                <w:rFonts w:ascii="Calibri" w:eastAsia="Times New Roman" w:hAnsi="Calibri" w:cs="Times New Roman"/>
                <w:color w:val="000000"/>
                <w:lang w:eastAsia="cs-CZ"/>
              </w:rPr>
            </w:pPr>
          </w:p>
        </w:tc>
        <w:tc>
          <w:tcPr>
            <w:tcW w:w="691"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left"/>
              <w:rPr>
                <w:rFonts w:ascii="Calibri" w:eastAsia="Times New Roman" w:hAnsi="Calibri" w:cs="Times New Roman"/>
                <w:color w:val="000000"/>
                <w:lang w:eastAsia="cs-CZ"/>
              </w:rPr>
            </w:pPr>
          </w:p>
        </w:tc>
        <w:tc>
          <w:tcPr>
            <w:tcW w:w="670"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9 313</w:t>
            </w:r>
          </w:p>
        </w:tc>
        <w:tc>
          <w:tcPr>
            <w:tcW w:w="815"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4 976</w:t>
            </w:r>
          </w:p>
        </w:tc>
        <w:tc>
          <w:tcPr>
            <w:tcW w:w="763"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22 678</w:t>
            </w:r>
          </w:p>
        </w:tc>
        <w:tc>
          <w:tcPr>
            <w:tcW w:w="734"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17 891</w:t>
            </w:r>
          </w:p>
        </w:tc>
      </w:tr>
      <w:tr w:rsidR="004E5E1C" w:rsidRPr="004E5E1C" w:rsidTr="00E9137A">
        <w:trPr>
          <w:trHeight w:val="303"/>
        </w:trPr>
        <w:tc>
          <w:tcPr>
            <w:tcW w:w="967" w:type="dxa"/>
            <w:tcBorders>
              <w:top w:val="nil"/>
              <w:left w:val="nil"/>
              <w:bottom w:val="single" w:sz="8" w:space="0" w:color="auto"/>
              <w:right w:val="nil"/>
            </w:tcBorders>
            <w:shd w:val="clear" w:color="auto" w:fill="auto"/>
            <w:noWrap/>
            <w:vAlign w:val="center"/>
            <w:hideMark/>
          </w:tcPr>
          <w:p w:rsidR="004E5E1C" w:rsidRPr="004E5E1C" w:rsidRDefault="004E5E1C" w:rsidP="004E5E1C">
            <w:pPr>
              <w:spacing w:before="0" w:after="0"/>
              <w:jc w:val="center"/>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2020</w:t>
            </w:r>
          </w:p>
        </w:tc>
        <w:tc>
          <w:tcPr>
            <w:tcW w:w="815" w:type="dxa"/>
            <w:tcBorders>
              <w:top w:val="nil"/>
              <w:left w:val="nil"/>
              <w:bottom w:val="single" w:sz="8" w:space="0" w:color="auto"/>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2 014</w:t>
            </w:r>
          </w:p>
        </w:tc>
        <w:tc>
          <w:tcPr>
            <w:tcW w:w="815" w:type="dxa"/>
            <w:tcBorders>
              <w:top w:val="nil"/>
              <w:left w:val="nil"/>
              <w:bottom w:val="single" w:sz="8" w:space="0" w:color="auto"/>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4 669</w:t>
            </w:r>
          </w:p>
        </w:tc>
        <w:tc>
          <w:tcPr>
            <w:tcW w:w="691" w:type="dxa"/>
            <w:tcBorders>
              <w:top w:val="nil"/>
              <w:left w:val="nil"/>
              <w:bottom w:val="single" w:sz="8" w:space="0" w:color="auto"/>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2 116</w:t>
            </w:r>
          </w:p>
        </w:tc>
        <w:tc>
          <w:tcPr>
            <w:tcW w:w="941" w:type="dxa"/>
            <w:tcBorders>
              <w:top w:val="nil"/>
              <w:left w:val="nil"/>
              <w:bottom w:val="single" w:sz="8" w:space="0" w:color="auto"/>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3 991</w:t>
            </w:r>
          </w:p>
        </w:tc>
        <w:tc>
          <w:tcPr>
            <w:tcW w:w="816" w:type="dxa"/>
            <w:tcBorders>
              <w:top w:val="nil"/>
              <w:left w:val="nil"/>
              <w:bottom w:val="single" w:sz="8" w:space="0" w:color="auto"/>
              <w:right w:val="nil"/>
            </w:tcBorders>
            <w:shd w:val="clear" w:color="auto" w:fill="auto"/>
            <w:noWrap/>
            <w:vAlign w:val="center"/>
            <w:hideMark/>
          </w:tcPr>
          <w:p w:rsidR="004E5E1C" w:rsidRPr="004E5E1C" w:rsidRDefault="004E5E1C" w:rsidP="004E5E1C">
            <w:pPr>
              <w:spacing w:before="0" w:after="0"/>
              <w:jc w:val="left"/>
              <w:rPr>
                <w:rFonts w:ascii="Calibri" w:eastAsia="Times New Roman" w:hAnsi="Calibri" w:cs="Times New Roman"/>
                <w:color w:val="000000"/>
                <w:lang w:eastAsia="cs-CZ"/>
              </w:rPr>
            </w:pPr>
            <w:r w:rsidRPr="004E5E1C">
              <w:rPr>
                <w:rFonts w:ascii="Calibri" w:eastAsia="Times New Roman" w:hAnsi="Calibri" w:cs="Times New Roman"/>
                <w:color w:val="000000"/>
                <w:lang w:eastAsia="cs-CZ"/>
              </w:rPr>
              <w:t> </w:t>
            </w:r>
          </w:p>
        </w:tc>
        <w:tc>
          <w:tcPr>
            <w:tcW w:w="815" w:type="dxa"/>
            <w:tcBorders>
              <w:top w:val="nil"/>
              <w:left w:val="nil"/>
              <w:bottom w:val="single" w:sz="8" w:space="0" w:color="auto"/>
              <w:right w:val="nil"/>
            </w:tcBorders>
            <w:shd w:val="clear" w:color="auto" w:fill="auto"/>
            <w:noWrap/>
            <w:vAlign w:val="center"/>
            <w:hideMark/>
          </w:tcPr>
          <w:p w:rsidR="004E5E1C" w:rsidRPr="004E5E1C" w:rsidRDefault="004E5E1C" w:rsidP="004E5E1C">
            <w:pPr>
              <w:spacing w:before="0" w:after="0"/>
              <w:jc w:val="left"/>
              <w:rPr>
                <w:rFonts w:ascii="Calibri" w:eastAsia="Times New Roman" w:hAnsi="Calibri" w:cs="Times New Roman"/>
                <w:color w:val="000000"/>
                <w:lang w:eastAsia="cs-CZ"/>
              </w:rPr>
            </w:pPr>
            <w:r w:rsidRPr="004E5E1C">
              <w:rPr>
                <w:rFonts w:ascii="Calibri" w:eastAsia="Times New Roman" w:hAnsi="Calibri" w:cs="Times New Roman"/>
                <w:color w:val="000000"/>
                <w:lang w:eastAsia="cs-CZ"/>
              </w:rPr>
              <w:t> </w:t>
            </w:r>
          </w:p>
        </w:tc>
        <w:tc>
          <w:tcPr>
            <w:tcW w:w="691" w:type="dxa"/>
            <w:tcBorders>
              <w:top w:val="nil"/>
              <w:left w:val="nil"/>
              <w:bottom w:val="single" w:sz="8" w:space="0" w:color="auto"/>
              <w:right w:val="nil"/>
            </w:tcBorders>
            <w:shd w:val="clear" w:color="auto" w:fill="auto"/>
            <w:noWrap/>
            <w:vAlign w:val="center"/>
            <w:hideMark/>
          </w:tcPr>
          <w:p w:rsidR="004E5E1C" w:rsidRPr="004E5E1C" w:rsidRDefault="004E5E1C" w:rsidP="004E5E1C">
            <w:pPr>
              <w:spacing w:before="0" w:after="0"/>
              <w:jc w:val="left"/>
              <w:rPr>
                <w:rFonts w:ascii="Calibri" w:eastAsia="Times New Roman" w:hAnsi="Calibri" w:cs="Times New Roman"/>
                <w:color w:val="000000"/>
                <w:lang w:eastAsia="cs-CZ"/>
              </w:rPr>
            </w:pPr>
            <w:r w:rsidRPr="004E5E1C">
              <w:rPr>
                <w:rFonts w:ascii="Calibri" w:eastAsia="Times New Roman" w:hAnsi="Calibri" w:cs="Times New Roman"/>
                <w:color w:val="000000"/>
                <w:lang w:eastAsia="cs-CZ"/>
              </w:rPr>
              <w:t> </w:t>
            </w:r>
          </w:p>
        </w:tc>
        <w:tc>
          <w:tcPr>
            <w:tcW w:w="670" w:type="dxa"/>
            <w:tcBorders>
              <w:top w:val="nil"/>
              <w:left w:val="nil"/>
              <w:bottom w:val="single" w:sz="8" w:space="0" w:color="auto"/>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6 530</w:t>
            </w:r>
          </w:p>
        </w:tc>
        <w:tc>
          <w:tcPr>
            <w:tcW w:w="815" w:type="dxa"/>
            <w:tcBorders>
              <w:top w:val="nil"/>
              <w:left w:val="nil"/>
              <w:bottom w:val="single" w:sz="8" w:space="0" w:color="auto"/>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1 523</w:t>
            </w:r>
          </w:p>
        </w:tc>
        <w:tc>
          <w:tcPr>
            <w:tcW w:w="763" w:type="dxa"/>
            <w:tcBorders>
              <w:top w:val="nil"/>
              <w:left w:val="nil"/>
              <w:bottom w:val="single" w:sz="8" w:space="0" w:color="auto"/>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7 485</w:t>
            </w:r>
          </w:p>
        </w:tc>
        <w:tc>
          <w:tcPr>
            <w:tcW w:w="734" w:type="dxa"/>
            <w:tcBorders>
              <w:top w:val="nil"/>
              <w:left w:val="nil"/>
              <w:bottom w:val="single" w:sz="8" w:space="0" w:color="auto"/>
              <w:right w:val="nil"/>
            </w:tcBorders>
            <w:shd w:val="clear" w:color="auto" w:fill="auto"/>
            <w:noWrap/>
            <w:vAlign w:val="center"/>
            <w:hideMark/>
          </w:tcPr>
          <w:p w:rsidR="004E5E1C" w:rsidRPr="004E5E1C" w:rsidRDefault="004E5E1C" w:rsidP="004E5E1C">
            <w:pPr>
              <w:spacing w:before="0" w:after="0"/>
              <w:jc w:val="right"/>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15 732</w:t>
            </w:r>
          </w:p>
        </w:tc>
      </w:tr>
      <w:tr w:rsidR="004E5E1C" w:rsidRPr="004E5E1C" w:rsidTr="00E9137A">
        <w:trPr>
          <w:trHeight w:val="303"/>
        </w:trPr>
        <w:tc>
          <w:tcPr>
            <w:tcW w:w="967" w:type="dxa"/>
            <w:tcBorders>
              <w:top w:val="nil"/>
              <w:left w:val="nil"/>
              <w:bottom w:val="single" w:sz="8" w:space="0" w:color="auto"/>
              <w:right w:val="nil"/>
            </w:tcBorders>
            <w:shd w:val="clear" w:color="000000" w:fill="F2F2F2"/>
            <w:noWrap/>
            <w:vAlign w:val="center"/>
            <w:hideMark/>
          </w:tcPr>
          <w:p w:rsidR="004E5E1C" w:rsidRPr="004E5E1C" w:rsidRDefault="004E5E1C" w:rsidP="004E5E1C">
            <w:pPr>
              <w:spacing w:before="0" w:after="0"/>
              <w:jc w:val="left"/>
              <w:rPr>
                <w:rFonts w:ascii="Calibri" w:eastAsia="Times New Roman" w:hAnsi="Calibri" w:cs="Times New Roman"/>
                <w:b/>
                <w:bCs/>
                <w:color w:val="000000"/>
                <w:sz w:val="18"/>
                <w:szCs w:val="18"/>
                <w:lang w:eastAsia="cs-CZ"/>
              </w:rPr>
            </w:pPr>
            <w:r w:rsidRPr="004E5E1C">
              <w:rPr>
                <w:rFonts w:ascii="Calibri" w:eastAsia="Times New Roman" w:hAnsi="Calibri" w:cs="Times New Roman"/>
                <w:b/>
                <w:bCs/>
                <w:color w:val="000000"/>
                <w:sz w:val="18"/>
                <w:szCs w:val="18"/>
                <w:lang w:eastAsia="cs-CZ"/>
              </w:rPr>
              <w:t>2016-2020</w:t>
            </w:r>
          </w:p>
        </w:tc>
        <w:tc>
          <w:tcPr>
            <w:tcW w:w="815" w:type="dxa"/>
            <w:tcBorders>
              <w:top w:val="nil"/>
              <w:left w:val="nil"/>
              <w:bottom w:val="single" w:sz="8" w:space="0" w:color="auto"/>
              <w:right w:val="nil"/>
            </w:tcBorders>
            <w:shd w:val="clear" w:color="000000" w:fill="F2F2F2"/>
            <w:noWrap/>
            <w:vAlign w:val="center"/>
            <w:hideMark/>
          </w:tcPr>
          <w:p w:rsidR="004E5E1C" w:rsidRPr="004E5E1C" w:rsidRDefault="004E5E1C" w:rsidP="004E5E1C">
            <w:pPr>
              <w:spacing w:before="0" w:after="0"/>
              <w:jc w:val="right"/>
              <w:rPr>
                <w:rFonts w:ascii="Calibri" w:eastAsia="Times New Roman" w:hAnsi="Calibri" w:cs="Times New Roman"/>
                <w:b/>
                <w:bCs/>
                <w:color w:val="000000"/>
                <w:sz w:val="18"/>
                <w:szCs w:val="18"/>
                <w:lang w:eastAsia="cs-CZ"/>
              </w:rPr>
            </w:pPr>
            <w:r w:rsidRPr="004E5E1C">
              <w:rPr>
                <w:rFonts w:ascii="Calibri" w:eastAsia="Times New Roman" w:hAnsi="Calibri" w:cs="Times New Roman"/>
                <w:b/>
                <w:bCs/>
                <w:color w:val="000000"/>
                <w:sz w:val="18"/>
                <w:szCs w:val="18"/>
                <w:lang w:eastAsia="cs-CZ"/>
              </w:rPr>
              <w:t>52 218</w:t>
            </w:r>
          </w:p>
        </w:tc>
        <w:tc>
          <w:tcPr>
            <w:tcW w:w="815" w:type="dxa"/>
            <w:tcBorders>
              <w:top w:val="nil"/>
              <w:left w:val="nil"/>
              <w:bottom w:val="single" w:sz="8" w:space="0" w:color="auto"/>
              <w:right w:val="nil"/>
            </w:tcBorders>
            <w:shd w:val="clear" w:color="000000" w:fill="F2F2F2"/>
            <w:noWrap/>
            <w:vAlign w:val="center"/>
            <w:hideMark/>
          </w:tcPr>
          <w:p w:rsidR="004E5E1C" w:rsidRPr="004E5E1C" w:rsidRDefault="004E5E1C" w:rsidP="004E5E1C">
            <w:pPr>
              <w:spacing w:before="0" w:after="0"/>
              <w:jc w:val="right"/>
              <w:rPr>
                <w:rFonts w:ascii="Calibri" w:eastAsia="Times New Roman" w:hAnsi="Calibri" w:cs="Times New Roman"/>
                <w:b/>
                <w:bCs/>
                <w:color w:val="000000"/>
                <w:sz w:val="18"/>
                <w:szCs w:val="18"/>
                <w:lang w:eastAsia="cs-CZ"/>
              </w:rPr>
            </w:pPr>
            <w:r w:rsidRPr="004E5E1C">
              <w:rPr>
                <w:rFonts w:ascii="Calibri" w:eastAsia="Times New Roman" w:hAnsi="Calibri" w:cs="Times New Roman"/>
                <w:b/>
                <w:bCs/>
                <w:color w:val="000000"/>
                <w:sz w:val="18"/>
                <w:szCs w:val="18"/>
                <w:lang w:eastAsia="cs-CZ"/>
              </w:rPr>
              <w:t>80 240</w:t>
            </w:r>
          </w:p>
        </w:tc>
        <w:tc>
          <w:tcPr>
            <w:tcW w:w="691" w:type="dxa"/>
            <w:tcBorders>
              <w:top w:val="nil"/>
              <w:left w:val="nil"/>
              <w:bottom w:val="single" w:sz="8" w:space="0" w:color="auto"/>
              <w:right w:val="nil"/>
            </w:tcBorders>
            <w:shd w:val="clear" w:color="000000" w:fill="F2F2F2"/>
            <w:noWrap/>
            <w:vAlign w:val="center"/>
            <w:hideMark/>
          </w:tcPr>
          <w:p w:rsidR="004E5E1C" w:rsidRPr="004E5E1C" w:rsidRDefault="004E5E1C" w:rsidP="004E5E1C">
            <w:pPr>
              <w:spacing w:before="0" w:after="0"/>
              <w:jc w:val="right"/>
              <w:rPr>
                <w:rFonts w:ascii="Calibri" w:eastAsia="Times New Roman" w:hAnsi="Calibri" w:cs="Times New Roman"/>
                <w:b/>
                <w:bCs/>
                <w:color w:val="000000"/>
                <w:sz w:val="18"/>
                <w:szCs w:val="18"/>
                <w:lang w:eastAsia="cs-CZ"/>
              </w:rPr>
            </w:pPr>
            <w:r w:rsidRPr="004E5E1C">
              <w:rPr>
                <w:rFonts w:ascii="Calibri" w:eastAsia="Times New Roman" w:hAnsi="Calibri" w:cs="Times New Roman"/>
                <w:b/>
                <w:bCs/>
                <w:color w:val="000000"/>
                <w:sz w:val="18"/>
                <w:szCs w:val="18"/>
                <w:lang w:eastAsia="cs-CZ"/>
              </w:rPr>
              <w:t>51 330</w:t>
            </w:r>
          </w:p>
        </w:tc>
        <w:tc>
          <w:tcPr>
            <w:tcW w:w="941" w:type="dxa"/>
            <w:tcBorders>
              <w:top w:val="nil"/>
              <w:left w:val="nil"/>
              <w:bottom w:val="single" w:sz="8" w:space="0" w:color="auto"/>
              <w:right w:val="nil"/>
            </w:tcBorders>
            <w:shd w:val="clear" w:color="000000" w:fill="F2F2F2"/>
            <w:noWrap/>
            <w:vAlign w:val="center"/>
            <w:hideMark/>
          </w:tcPr>
          <w:p w:rsidR="004E5E1C" w:rsidRPr="004E5E1C" w:rsidRDefault="004E5E1C" w:rsidP="004E5E1C">
            <w:pPr>
              <w:spacing w:before="0" w:after="0"/>
              <w:jc w:val="right"/>
              <w:rPr>
                <w:rFonts w:ascii="Calibri" w:eastAsia="Times New Roman" w:hAnsi="Calibri" w:cs="Times New Roman"/>
                <w:b/>
                <w:bCs/>
                <w:color w:val="000000"/>
                <w:sz w:val="18"/>
                <w:szCs w:val="18"/>
                <w:lang w:eastAsia="cs-CZ"/>
              </w:rPr>
            </w:pPr>
            <w:r w:rsidRPr="004E5E1C">
              <w:rPr>
                <w:rFonts w:ascii="Calibri" w:eastAsia="Times New Roman" w:hAnsi="Calibri" w:cs="Times New Roman"/>
                <w:b/>
                <w:bCs/>
                <w:color w:val="000000"/>
                <w:sz w:val="18"/>
                <w:szCs w:val="18"/>
                <w:lang w:eastAsia="cs-CZ"/>
              </w:rPr>
              <w:t>90 439</w:t>
            </w:r>
          </w:p>
        </w:tc>
        <w:tc>
          <w:tcPr>
            <w:tcW w:w="816" w:type="dxa"/>
            <w:tcBorders>
              <w:top w:val="nil"/>
              <w:left w:val="nil"/>
              <w:bottom w:val="single" w:sz="8" w:space="0" w:color="auto"/>
              <w:right w:val="nil"/>
            </w:tcBorders>
            <w:shd w:val="clear" w:color="000000" w:fill="F2F2F2"/>
            <w:noWrap/>
            <w:vAlign w:val="center"/>
            <w:hideMark/>
          </w:tcPr>
          <w:p w:rsidR="004E5E1C" w:rsidRPr="004E5E1C" w:rsidRDefault="004E5E1C" w:rsidP="004E5E1C">
            <w:pPr>
              <w:spacing w:before="0" w:after="0"/>
              <w:jc w:val="right"/>
              <w:rPr>
                <w:rFonts w:ascii="Calibri" w:eastAsia="Times New Roman" w:hAnsi="Calibri" w:cs="Times New Roman"/>
                <w:b/>
                <w:bCs/>
                <w:color w:val="000000"/>
                <w:sz w:val="18"/>
                <w:szCs w:val="18"/>
                <w:lang w:eastAsia="cs-CZ"/>
              </w:rPr>
            </w:pPr>
            <w:r w:rsidRPr="004E5E1C">
              <w:rPr>
                <w:rFonts w:ascii="Calibri" w:eastAsia="Times New Roman" w:hAnsi="Calibri" w:cs="Times New Roman"/>
                <w:b/>
                <w:bCs/>
                <w:color w:val="000000"/>
                <w:sz w:val="18"/>
                <w:szCs w:val="18"/>
                <w:lang w:eastAsia="cs-CZ"/>
              </w:rPr>
              <w:t>30 050</w:t>
            </w:r>
          </w:p>
        </w:tc>
        <w:tc>
          <w:tcPr>
            <w:tcW w:w="815" w:type="dxa"/>
            <w:tcBorders>
              <w:top w:val="nil"/>
              <w:left w:val="nil"/>
              <w:bottom w:val="single" w:sz="8" w:space="0" w:color="auto"/>
              <w:right w:val="nil"/>
            </w:tcBorders>
            <w:shd w:val="clear" w:color="000000" w:fill="F2F2F2"/>
            <w:noWrap/>
            <w:vAlign w:val="center"/>
            <w:hideMark/>
          </w:tcPr>
          <w:p w:rsidR="004E5E1C" w:rsidRPr="004E5E1C" w:rsidRDefault="004E5E1C" w:rsidP="004E5E1C">
            <w:pPr>
              <w:spacing w:before="0" w:after="0"/>
              <w:jc w:val="right"/>
              <w:rPr>
                <w:rFonts w:ascii="Calibri" w:eastAsia="Times New Roman" w:hAnsi="Calibri" w:cs="Times New Roman"/>
                <w:b/>
                <w:bCs/>
                <w:color w:val="000000"/>
                <w:sz w:val="18"/>
                <w:szCs w:val="18"/>
                <w:lang w:eastAsia="cs-CZ"/>
              </w:rPr>
            </w:pPr>
            <w:r w:rsidRPr="004E5E1C">
              <w:rPr>
                <w:rFonts w:ascii="Calibri" w:eastAsia="Times New Roman" w:hAnsi="Calibri" w:cs="Times New Roman"/>
                <w:b/>
                <w:bCs/>
                <w:color w:val="000000"/>
                <w:sz w:val="18"/>
                <w:szCs w:val="18"/>
                <w:lang w:eastAsia="cs-CZ"/>
              </w:rPr>
              <w:t>9 408</w:t>
            </w:r>
          </w:p>
        </w:tc>
        <w:tc>
          <w:tcPr>
            <w:tcW w:w="691" w:type="dxa"/>
            <w:tcBorders>
              <w:top w:val="nil"/>
              <w:left w:val="nil"/>
              <w:bottom w:val="single" w:sz="8" w:space="0" w:color="auto"/>
              <w:right w:val="nil"/>
            </w:tcBorders>
            <w:shd w:val="clear" w:color="000000" w:fill="F2F2F2"/>
            <w:noWrap/>
            <w:vAlign w:val="center"/>
            <w:hideMark/>
          </w:tcPr>
          <w:p w:rsidR="004E5E1C" w:rsidRPr="004E5E1C" w:rsidRDefault="004E5E1C" w:rsidP="004E5E1C">
            <w:pPr>
              <w:spacing w:before="0" w:after="0"/>
              <w:jc w:val="left"/>
              <w:rPr>
                <w:rFonts w:ascii="Calibri" w:eastAsia="Times New Roman" w:hAnsi="Calibri" w:cs="Times New Roman"/>
                <w:b/>
                <w:bCs/>
                <w:color w:val="000000"/>
                <w:sz w:val="18"/>
                <w:szCs w:val="18"/>
                <w:lang w:eastAsia="cs-CZ"/>
              </w:rPr>
            </w:pPr>
            <w:r w:rsidRPr="004E5E1C">
              <w:rPr>
                <w:rFonts w:ascii="Calibri" w:eastAsia="Times New Roman" w:hAnsi="Calibri" w:cs="Times New Roman"/>
                <w:b/>
                <w:bCs/>
                <w:color w:val="000000"/>
                <w:sz w:val="18"/>
                <w:szCs w:val="18"/>
                <w:lang w:eastAsia="cs-CZ"/>
              </w:rPr>
              <w:t> </w:t>
            </w:r>
          </w:p>
        </w:tc>
        <w:tc>
          <w:tcPr>
            <w:tcW w:w="670" w:type="dxa"/>
            <w:tcBorders>
              <w:top w:val="nil"/>
              <w:left w:val="nil"/>
              <w:bottom w:val="single" w:sz="8" w:space="0" w:color="auto"/>
              <w:right w:val="nil"/>
            </w:tcBorders>
            <w:shd w:val="clear" w:color="000000" w:fill="F2F2F2"/>
            <w:noWrap/>
            <w:vAlign w:val="center"/>
            <w:hideMark/>
          </w:tcPr>
          <w:p w:rsidR="004E5E1C" w:rsidRPr="004E5E1C" w:rsidRDefault="004E5E1C" w:rsidP="004E5E1C">
            <w:pPr>
              <w:spacing w:before="0" w:after="0"/>
              <w:jc w:val="right"/>
              <w:rPr>
                <w:rFonts w:ascii="Calibri" w:eastAsia="Times New Roman" w:hAnsi="Calibri" w:cs="Times New Roman"/>
                <w:b/>
                <w:bCs/>
                <w:color w:val="000000"/>
                <w:sz w:val="18"/>
                <w:szCs w:val="18"/>
                <w:lang w:eastAsia="cs-CZ"/>
              </w:rPr>
            </w:pPr>
            <w:r w:rsidRPr="004E5E1C">
              <w:rPr>
                <w:rFonts w:ascii="Calibri" w:eastAsia="Times New Roman" w:hAnsi="Calibri" w:cs="Times New Roman"/>
                <w:b/>
                <w:bCs/>
                <w:color w:val="000000"/>
                <w:sz w:val="18"/>
                <w:szCs w:val="18"/>
                <w:lang w:eastAsia="cs-CZ"/>
              </w:rPr>
              <w:t>46 238</w:t>
            </w:r>
          </w:p>
        </w:tc>
        <w:tc>
          <w:tcPr>
            <w:tcW w:w="815" w:type="dxa"/>
            <w:tcBorders>
              <w:top w:val="nil"/>
              <w:left w:val="nil"/>
              <w:bottom w:val="single" w:sz="8" w:space="0" w:color="auto"/>
              <w:right w:val="nil"/>
            </w:tcBorders>
            <w:shd w:val="clear" w:color="000000" w:fill="F2F2F2"/>
            <w:noWrap/>
            <w:vAlign w:val="center"/>
            <w:hideMark/>
          </w:tcPr>
          <w:p w:rsidR="004E5E1C" w:rsidRPr="004E5E1C" w:rsidRDefault="004E5E1C" w:rsidP="004E5E1C">
            <w:pPr>
              <w:spacing w:before="0" w:after="0"/>
              <w:jc w:val="right"/>
              <w:rPr>
                <w:rFonts w:ascii="Calibri" w:eastAsia="Times New Roman" w:hAnsi="Calibri" w:cs="Times New Roman"/>
                <w:b/>
                <w:bCs/>
                <w:color w:val="000000"/>
                <w:sz w:val="18"/>
                <w:szCs w:val="18"/>
                <w:lang w:eastAsia="cs-CZ"/>
              </w:rPr>
            </w:pPr>
            <w:r w:rsidRPr="004E5E1C">
              <w:rPr>
                <w:rFonts w:ascii="Calibri" w:eastAsia="Times New Roman" w:hAnsi="Calibri" w:cs="Times New Roman"/>
                <w:b/>
                <w:bCs/>
                <w:color w:val="000000"/>
                <w:sz w:val="18"/>
                <w:szCs w:val="18"/>
                <w:lang w:eastAsia="cs-CZ"/>
              </w:rPr>
              <w:t>34 957</w:t>
            </w:r>
          </w:p>
        </w:tc>
        <w:tc>
          <w:tcPr>
            <w:tcW w:w="763" w:type="dxa"/>
            <w:tcBorders>
              <w:top w:val="nil"/>
              <w:left w:val="nil"/>
              <w:bottom w:val="single" w:sz="8" w:space="0" w:color="auto"/>
              <w:right w:val="nil"/>
            </w:tcBorders>
            <w:shd w:val="clear" w:color="000000" w:fill="F2F2F2"/>
            <w:noWrap/>
            <w:vAlign w:val="center"/>
            <w:hideMark/>
          </w:tcPr>
          <w:p w:rsidR="004E5E1C" w:rsidRPr="004E5E1C" w:rsidRDefault="004E5E1C" w:rsidP="004E5E1C">
            <w:pPr>
              <w:spacing w:before="0" w:after="0"/>
              <w:jc w:val="right"/>
              <w:rPr>
                <w:rFonts w:ascii="Calibri" w:eastAsia="Times New Roman" w:hAnsi="Calibri" w:cs="Times New Roman"/>
                <w:b/>
                <w:bCs/>
                <w:color w:val="000000"/>
                <w:sz w:val="18"/>
                <w:szCs w:val="18"/>
                <w:lang w:eastAsia="cs-CZ"/>
              </w:rPr>
            </w:pPr>
            <w:r w:rsidRPr="004E5E1C">
              <w:rPr>
                <w:rFonts w:ascii="Calibri" w:eastAsia="Times New Roman" w:hAnsi="Calibri" w:cs="Times New Roman"/>
                <w:b/>
                <w:bCs/>
                <w:color w:val="000000"/>
                <w:sz w:val="18"/>
                <w:szCs w:val="18"/>
                <w:lang w:eastAsia="cs-CZ"/>
              </w:rPr>
              <w:t>159 151</w:t>
            </w:r>
          </w:p>
        </w:tc>
        <w:tc>
          <w:tcPr>
            <w:tcW w:w="734" w:type="dxa"/>
            <w:tcBorders>
              <w:top w:val="nil"/>
              <w:left w:val="nil"/>
              <w:bottom w:val="single" w:sz="8" w:space="0" w:color="auto"/>
              <w:right w:val="nil"/>
            </w:tcBorders>
            <w:shd w:val="clear" w:color="000000" w:fill="F2F2F2"/>
            <w:noWrap/>
            <w:vAlign w:val="center"/>
            <w:hideMark/>
          </w:tcPr>
          <w:p w:rsidR="004E5E1C" w:rsidRPr="004E5E1C" w:rsidRDefault="004E5E1C" w:rsidP="004E5E1C">
            <w:pPr>
              <w:spacing w:before="0" w:after="0"/>
              <w:jc w:val="right"/>
              <w:rPr>
                <w:rFonts w:ascii="Calibri" w:eastAsia="Times New Roman" w:hAnsi="Calibri" w:cs="Times New Roman"/>
                <w:b/>
                <w:bCs/>
                <w:color w:val="000000"/>
                <w:sz w:val="18"/>
                <w:szCs w:val="18"/>
                <w:lang w:eastAsia="cs-CZ"/>
              </w:rPr>
            </w:pPr>
            <w:r w:rsidRPr="004E5E1C">
              <w:rPr>
                <w:rFonts w:ascii="Calibri" w:eastAsia="Times New Roman" w:hAnsi="Calibri" w:cs="Times New Roman"/>
                <w:b/>
                <w:bCs/>
                <w:color w:val="000000"/>
                <w:sz w:val="18"/>
                <w:szCs w:val="18"/>
                <w:lang w:eastAsia="cs-CZ"/>
              </w:rPr>
              <w:t>89 343</w:t>
            </w:r>
          </w:p>
        </w:tc>
      </w:tr>
    </w:tbl>
    <w:p w:rsidR="009F4045" w:rsidRDefault="004E246A" w:rsidP="003A7534">
      <w:pPr>
        <w:ind w:left="1134" w:hanging="1134"/>
        <w:rPr>
          <w:i/>
          <w:sz w:val="18"/>
          <w:szCs w:val="18"/>
        </w:rPr>
      </w:pPr>
      <w:r>
        <w:rPr>
          <w:i/>
          <w:sz w:val="18"/>
          <w:szCs w:val="18"/>
        </w:rPr>
        <w:t>Poznámka:</w:t>
      </w:r>
      <w:r w:rsidR="003A7534">
        <w:rPr>
          <w:i/>
          <w:sz w:val="18"/>
          <w:szCs w:val="18"/>
        </w:rPr>
        <w:t xml:space="preserve"> </w:t>
      </w:r>
      <w:r>
        <w:rPr>
          <w:i/>
          <w:sz w:val="18"/>
          <w:szCs w:val="18"/>
        </w:rPr>
        <w:t>(*)</w:t>
      </w:r>
      <w:r>
        <w:rPr>
          <w:i/>
          <w:sz w:val="18"/>
          <w:szCs w:val="18"/>
        </w:rPr>
        <w:tab/>
      </w:r>
      <w:r w:rsidR="009F4045" w:rsidRPr="009F4045">
        <w:rPr>
          <w:i/>
          <w:sz w:val="18"/>
          <w:szCs w:val="18"/>
        </w:rPr>
        <w:t xml:space="preserve">Z širšího oboru společenské vědy (A) je vyjmut obor AQ, </w:t>
      </w:r>
      <w:r w:rsidR="006561C3" w:rsidRPr="006561C3">
        <w:rPr>
          <w:i/>
          <w:sz w:val="18"/>
          <w:szCs w:val="18"/>
        </w:rPr>
        <w:t xml:space="preserve">jelikož k oboru AQ, jehož obsah není pevně usazen, </w:t>
      </w:r>
      <w:r w:rsidR="00FB7D79">
        <w:rPr>
          <w:i/>
          <w:sz w:val="18"/>
          <w:szCs w:val="18"/>
        </w:rPr>
        <w:t>jsou</w:t>
      </w:r>
      <w:r w:rsidR="006561C3" w:rsidRPr="006561C3">
        <w:rPr>
          <w:i/>
          <w:sz w:val="18"/>
          <w:szCs w:val="18"/>
        </w:rPr>
        <w:t xml:space="preserve"> přiřazována i výzkumná témata mimo rámec společenských věd </w:t>
      </w:r>
      <w:r w:rsidR="00CF1B3E">
        <w:rPr>
          <w:i/>
          <w:sz w:val="18"/>
          <w:szCs w:val="18"/>
        </w:rPr>
        <w:t>(například</w:t>
      </w:r>
      <w:r w:rsidR="009F4045" w:rsidRPr="009F4045">
        <w:rPr>
          <w:i/>
          <w:sz w:val="18"/>
          <w:szCs w:val="18"/>
        </w:rPr>
        <w:t xml:space="preserve"> studie týkající se rizik, ochrany před ZHN, analýzy rizik ve vztahu k</w:t>
      </w:r>
      <w:r w:rsidR="00FB7D79">
        <w:rPr>
          <w:i/>
          <w:sz w:val="18"/>
          <w:szCs w:val="18"/>
        </w:rPr>
        <w:t> </w:t>
      </w:r>
      <w:r w:rsidR="009F4045" w:rsidRPr="009F4045">
        <w:rPr>
          <w:i/>
          <w:sz w:val="18"/>
          <w:szCs w:val="18"/>
        </w:rPr>
        <w:t>terorismu</w:t>
      </w:r>
      <w:r w:rsidR="00FB7D79">
        <w:rPr>
          <w:i/>
          <w:sz w:val="18"/>
          <w:szCs w:val="18"/>
        </w:rPr>
        <w:t xml:space="preserve"> apod.)</w:t>
      </w:r>
      <w:r w:rsidR="009F4045" w:rsidRPr="009F4045">
        <w:rPr>
          <w:i/>
          <w:sz w:val="18"/>
          <w:szCs w:val="18"/>
        </w:rPr>
        <w:t>. Veřejná podpora víceletých projektů je rozložena na udaný počet let – informace je dostupná v doplňkových datových výstupech databáze CEP.</w:t>
      </w:r>
    </w:p>
    <w:p w:rsidR="003A7534" w:rsidRDefault="003A7534" w:rsidP="003A7534"/>
    <w:p w:rsidR="003A7534" w:rsidRDefault="003A7534" w:rsidP="003A7534">
      <w:r>
        <w:t xml:space="preserve">Do dalších oborů směřovaly výrazně menší objemy finančních prostředků. </w:t>
      </w:r>
      <w:r w:rsidRPr="00E022BD">
        <w:t xml:space="preserve">Nejméně podporovaným širším oborem byl obor </w:t>
      </w:r>
      <w:r>
        <w:t>B - F</w:t>
      </w:r>
      <w:r w:rsidRPr="00E022BD">
        <w:t xml:space="preserve">yzika a matematika. </w:t>
      </w:r>
      <w:r>
        <w:t>A</w:t>
      </w:r>
      <w:r w:rsidRPr="00E022BD">
        <w:t>plikovaný matematický výzkum</w:t>
      </w:r>
      <w:r>
        <w:t xml:space="preserve"> ale </w:t>
      </w:r>
      <w:r w:rsidRPr="00E022BD">
        <w:t xml:space="preserve">může být </w:t>
      </w:r>
      <w:r>
        <w:t xml:space="preserve">částečně </w:t>
      </w:r>
      <w:r w:rsidRPr="00E022BD">
        <w:t>obsažen</w:t>
      </w:r>
      <w:r>
        <w:t xml:space="preserve"> i</w:t>
      </w:r>
      <w:r w:rsidRPr="00E022BD">
        <w:t xml:space="preserve"> v oboru </w:t>
      </w:r>
      <w:r>
        <w:t>I – I</w:t>
      </w:r>
      <w:r w:rsidRPr="00E022BD">
        <w:t>nformatika</w:t>
      </w:r>
      <w:r>
        <w:t>. N</w:t>
      </w:r>
      <w:r w:rsidRPr="00E022BD">
        <w:t>ápadně nízké zastoupení fyzikálních</w:t>
      </w:r>
      <w:r w:rsidR="00CF1B3E">
        <w:t>,</w:t>
      </w:r>
      <w:r w:rsidRPr="00E022BD">
        <w:t xml:space="preserve"> </w:t>
      </w:r>
      <w:r w:rsidR="00CF1B3E" w:rsidRPr="00CF1B3E">
        <w:t>matemati</w:t>
      </w:r>
      <w:r w:rsidR="00CF1B3E">
        <w:t>ckých</w:t>
      </w:r>
      <w:r w:rsidR="00CF1B3E" w:rsidRPr="00CF1B3E">
        <w:t xml:space="preserve"> a lékařsk</w:t>
      </w:r>
      <w:r w:rsidR="00CF1B3E">
        <w:t>ých</w:t>
      </w:r>
      <w:r w:rsidR="00CF1B3E" w:rsidRPr="00CF1B3E">
        <w:t xml:space="preserve"> věd se může negativně projevit v jiných oborech BV, kde se tyto vědy uplatňují (například kryptologie, počítačová bezpečnost, pokročilé senzory či management rizik bioterorismu).</w:t>
      </w:r>
    </w:p>
    <w:p w:rsidR="003A7534" w:rsidRDefault="003A7534" w:rsidP="003A7534">
      <w:r>
        <w:t xml:space="preserve">Oborové rozdělení počtů projektů, které byly v letech 2010 až 2015 podpořeny v programech BV, rámcově odpovídá oborovému rozdělení veřejné podpory. Jak je patrné z </w:t>
      </w:r>
      <w:r>
        <w:fldChar w:fldCharType="begin"/>
      </w:r>
      <w:r>
        <w:instrText xml:space="preserve"> REF  _Ref450230945 \* Lower \h  \* MERGEFORMAT </w:instrText>
      </w:r>
      <w:r>
        <w:fldChar w:fldCharType="separate"/>
      </w:r>
      <w:r w:rsidR="003F08E5">
        <w:t xml:space="preserve">tab. </w:t>
      </w:r>
      <w:r w:rsidR="003F08E5">
        <w:rPr>
          <w:noProof/>
        </w:rPr>
        <w:t>6</w:t>
      </w:r>
      <w:r>
        <w:fldChar w:fldCharType="end"/>
      </w:r>
      <w:r>
        <w:t>, více než polovina řešených projektů spadá do oborů J – Průmysl (28 % projektů) a A – Společenské vědy, včetně oboru AQ (do oboru A spadá přibližně 15 % projektů, do oboru AQ přibližně 12 %).</w:t>
      </w:r>
      <w:r w:rsidRPr="00E022BD">
        <w:t xml:space="preserve"> </w:t>
      </w:r>
      <w:r>
        <w:t>Naopak, nejméně projektů svým zaměřením odpovídalo oborům L – Lékařské vědy, G – Zemědělství a B – Matematika a fyzika.</w:t>
      </w:r>
    </w:p>
    <w:p w:rsidR="003A7534" w:rsidRDefault="003A7534" w:rsidP="003A7534">
      <w:r>
        <w:t xml:space="preserve">Jak je patrné z </w:t>
      </w:r>
      <w:r>
        <w:fldChar w:fldCharType="begin"/>
      </w:r>
      <w:r>
        <w:instrText xml:space="preserve"> REF  _Ref450231499 \* Lower \h  \* MERGEFORMAT </w:instrText>
      </w:r>
      <w:r>
        <w:fldChar w:fldCharType="separate"/>
      </w:r>
      <w:r w:rsidR="003F08E5">
        <w:t xml:space="preserve">tab. </w:t>
      </w:r>
      <w:r w:rsidR="003F08E5">
        <w:rPr>
          <w:noProof/>
        </w:rPr>
        <w:t>7</w:t>
      </w:r>
      <w:r>
        <w:fldChar w:fldCharType="end"/>
      </w:r>
      <w:r>
        <w:t xml:space="preserve">, kde je uvedena průměrná podpora projektů BV v jednotlivých oborech, nejnižší průměrná velikost projektu byla v oboru A – Společenské vědy (s vyloučením oboru AQ). V ostatních oborech již nejsou rozdíly mezi průměrnou velikostí projektu (resp. průměrnou veřejnou podporou na projekt) příliš veliké, a to včetně oboru AQ - </w:t>
      </w:r>
      <w:r w:rsidRPr="0003637A">
        <w:t>Bezpečnost a ochrana zdraví, člověk – stroj</w:t>
      </w:r>
      <w:r>
        <w:t xml:space="preserve"> (viz </w:t>
      </w:r>
      <w:r>
        <w:fldChar w:fldCharType="begin"/>
      </w:r>
      <w:r>
        <w:instrText xml:space="preserve"> REF  _Ref450231499 \* Lower \h  \* MERGEFORMAT </w:instrText>
      </w:r>
      <w:r>
        <w:fldChar w:fldCharType="separate"/>
      </w:r>
      <w:r w:rsidR="003F08E5">
        <w:t xml:space="preserve">tab. </w:t>
      </w:r>
      <w:r w:rsidR="003F08E5">
        <w:rPr>
          <w:noProof/>
        </w:rPr>
        <w:t>7</w:t>
      </w:r>
      <w:r>
        <w:fldChar w:fldCharType="end"/>
      </w:r>
      <w:r>
        <w:t>).</w:t>
      </w:r>
    </w:p>
    <w:p w:rsidR="003A7534" w:rsidRPr="00E022BD" w:rsidRDefault="00CF1B3E" w:rsidP="003A7534">
      <w:pPr>
        <w:rPr>
          <w:i/>
          <w:sz w:val="18"/>
          <w:szCs w:val="18"/>
        </w:rPr>
      </w:pPr>
      <w:r>
        <w:t xml:space="preserve">Relativně vysokou podpora v </w:t>
      </w:r>
      <w:r w:rsidR="003A7534" w:rsidRPr="00E022BD">
        <w:t>program</w:t>
      </w:r>
      <w:r w:rsidR="003A7534">
        <w:t>ech</w:t>
      </w:r>
      <w:r w:rsidR="003A7534" w:rsidRPr="00E022BD">
        <w:t xml:space="preserve"> </w:t>
      </w:r>
      <w:r w:rsidR="003A7534">
        <w:t xml:space="preserve">BV </w:t>
      </w:r>
      <w:r>
        <w:t>směřovala do oblasti spole</w:t>
      </w:r>
      <w:r w:rsidR="003A7534" w:rsidRPr="00E022BD">
        <w:t>čensk</w:t>
      </w:r>
      <w:r>
        <w:t>ých</w:t>
      </w:r>
      <w:r w:rsidR="003A7534" w:rsidRPr="00E022BD">
        <w:t xml:space="preserve"> věd</w:t>
      </w:r>
      <w:r w:rsidR="003A7534">
        <w:t xml:space="preserve">, které </w:t>
      </w:r>
      <w:r w:rsidR="003A7534" w:rsidRPr="00E022BD">
        <w:t xml:space="preserve">obdržely v letech 2010 </w:t>
      </w:r>
      <w:r w:rsidR="003A7534">
        <w:t>až</w:t>
      </w:r>
      <w:r w:rsidR="003A7534" w:rsidRPr="00E022BD">
        <w:t xml:space="preserve"> 2015 téměř pětinu </w:t>
      </w:r>
      <w:r w:rsidR="003A7534">
        <w:t xml:space="preserve">celkové </w:t>
      </w:r>
      <w:r w:rsidR="003A7534" w:rsidRPr="00E022BD">
        <w:t>veřejné podpory</w:t>
      </w:r>
      <w:r w:rsidR="003A7534">
        <w:t xml:space="preserve"> přidělené v programech </w:t>
      </w:r>
      <w:r w:rsidR="003A7534" w:rsidRPr="00A41C17">
        <w:t xml:space="preserve">BV (tj. celý obor A, včetně oboru AQ). </w:t>
      </w:r>
      <w:r w:rsidR="003A7534" w:rsidRPr="008B6E4A">
        <w:t xml:space="preserve">Je však nutno vzít v </w:t>
      </w:r>
      <w:r w:rsidR="003A7534">
        <w:t>ú</w:t>
      </w:r>
      <w:r w:rsidR="003A7534" w:rsidRPr="008B6E4A">
        <w:t xml:space="preserve">vahu, </w:t>
      </w:r>
      <w:r w:rsidR="003A7534">
        <w:t>ž</w:t>
      </w:r>
      <w:r w:rsidR="003A7534" w:rsidRPr="008B6E4A">
        <w:t>e výzkumníci v bezpečnostní oblasti k původně či</w:t>
      </w:r>
      <w:r w:rsidR="003A7534">
        <w:t>s</w:t>
      </w:r>
      <w:r w:rsidR="003A7534" w:rsidRPr="008B6E4A">
        <w:t>tě společenskovědnímu podoboru AQ přiřazují i výzkum mající jasně přírodovědný nebo technický základ</w:t>
      </w:r>
      <w:r w:rsidR="003A7534">
        <w:t xml:space="preserve"> </w:t>
      </w:r>
      <w:r w:rsidR="003A7534">
        <w:lastRenderedPageBreak/>
        <w:t xml:space="preserve">(jedná se </w:t>
      </w:r>
      <w:r w:rsidR="003A7534" w:rsidRPr="008B6E4A">
        <w:t>např</w:t>
      </w:r>
      <w:r w:rsidR="003A7534">
        <w:t>íklad o</w:t>
      </w:r>
      <w:r w:rsidR="003A7534" w:rsidRPr="008B6E4A">
        <w:t xml:space="preserve"> ochran</w:t>
      </w:r>
      <w:r w:rsidR="003A7534">
        <w:t>u</w:t>
      </w:r>
      <w:r w:rsidR="003A7534" w:rsidRPr="008B6E4A">
        <w:t xml:space="preserve"> před ZHN, ochran</w:t>
      </w:r>
      <w:r w:rsidR="003A7534">
        <w:t>u</w:t>
      </w:r>
      <w:r w:rsidR="003A7534" w:rsidRPr="008B6E4A">
        <w:t xml:space="preserve"> pře</w:t>
      </w:r>
      <w:r w:rsidR="003A7534">
        <w:t>d</w:t>
      </w:r>
      <w:r w:rsidR="003A7534" w:rsidRPr="008B6E4A">
        <w:t xml:space="preserve"> toxickými vlivy prostředí, eliminac</w:t>
      </w:r>
      <w:r w:rsidR="003A7534">
        <w:t>i</w:t>
      </w:r>
      <w:r w:rsidR="003A7534" w:rsidRPr="008B6E4A">
        <w:t xml:space="preserve"> rizik prostředí apod.</w:t>
      </w:r>
      <w:r w:rsidR="003A7534">
        <w:t xml:space="preserve">). </w:t>
      </w:r>
      <w:r w:rsidR="003A7534" w:rsidRPr="00A41C17">
        <w:t>V první</w:t>
      </w:r>
      <w:r w:rsidR="003A7534" w:rsidRPr="00E022BD">
        <w:t xml:space="preserve"> soutěži nového VaV programu VI pro roky 2016 – 2020 je tento trend zachován – podpora společenskovědního výzkumu je na úrovni přibližně osmi desetin podpory al</w:t>
      </w:r>
      <w:r w:rsidR="003A7534" w:rsidRPr="002B0120">
        <w:t>okované oboru průmysl. Detailnější  přehledy oborové struktury a financování projektů jsou uvedeny v</w:t>
      </w:r>
      <w:r w:rsidR="003A7534" w:rsidRPr="0088518B">
        <w:t xml:space="preserve"> přílohách </w:t>
      </w:r>
      <w:r w:rsidR="003A7534" w:rsidRPr="002B0120">
        <w:rPr>
          <w:i/>
        </w:rPr>
        <w:t>P 1 – P 24</w:t>
      </w:r>
      <w:r w:rsidR="003A7534" w:rsidRPr="002B0120">
        <w:t>.</w:t>
      </w:r>
      <w:r w:rsidR="003A7534" w:rsidRPr="00E022BD">
        <w:t xml:space="preserve"> </w:t>
      </w:r>
    </w:p>
    <w:p w:rsidR="00900614" w:rsidRDefault="00900614" w:rsidP="00900614">
      <w:pPr>
        <w:pStyle w:val="Titulek"/>
        <w:keepNext/>
      </w:pPr>
      <w:bookmarkStart w:id="34" w:name="_Ref450230945"/>
      <w:r>
        <w:t xml:space="preserve">Tab. </w:t>
      </w:r>
      <w:r w:rsidR="00990E2D">
        <w:fldChar w:fldCharType="begin"/>
      </w:r>
      <w:r w:rsidR="00990E2D">
        <w:instrText xml:space="preserve"> SEQ Tab. \* ARABIC </w:instrText>
      </w:r>
      <w:r w:rsidR="00990E2D">
        <w:fldChar w:fldCharType="separate"/>
      </w:r>
      <w:r w:rsidR="003F08E5">
        <w:rPr>
          <w:noProof/>
        </w:rPr>
        <w:t>6</w:t>
      </w:r>
      <w:r w:rsidR="00990E2D">
        <w:rPr>
          <w:noProof/>
        </w:rPr>
        <w:fldChar w:fldCharType="end"/>
      </w:r>
      <w:bookmarkEnd w:id="34"/>
      <w:r>
        <w:tab/>
      </w:r>
      <w:r w:rsidRPr="00900614">
        <w:t>Počty udělených projektů v bezpečnostním výzkumu v letech 2010 – 2015</w:t>
      </w:r>
      <w:r w:rsidR="00155428">
        <w:rPr>
          <w:rStyle w:val="Znakapoznpodarou"/>
        </w:rPr>
        <w:footnoteReference w:id="6"/>
      </w:r>
      <w:r>
        <w:t>. Zdroj: IS VaVaI</w:t>
      </w:r>
    </w:p>
    <w:tbl>
      <w:tblPr>
        <w:tblW w:w="7451" w:type="dxa"/>
        <w:jc w:val="center"/>
        <w:tblInd w:w="55" w:type="dxa"/>
        <w:tblCellMar>
          <w:left w:w="70" w:type="dxa"/>
          <w:right w:w="70" w:type="dxa"/>
        </w:tblCellMar>
        <w:tblLook w:val="04A0" w:firstRow="1" w:lastRow="0" w:firstColumn="1" w:lastColumn="0" w:noHBand="0" w:noVBand="1"/>
      </w:tblPr>
      <w:tblGrid>
        <w:gridCol w:w="1291"/>
        <w:gridCol w:w="560"/>
        <w:gridCol w:w="560"/>
        <w:gridCol w:w="560"/>
        <w:gridCol w:w="560"/>
        <w:gridCol w:w="560"/>
        <w:gridCol w:w="560"/>
        <w:gridCol w:w="560"/>
        <w:gridCol w:w="560"/>
        <w:gridCol w:w="560"/>
        <w:gridCol w:w="560"/>
        <w:gridCol w:w="560"/>
      </w:tblGrid>
      <w:tr w:rsidR="004E5E1C" w:rsidRPr="004E5E1C" w:rsidTr="00E9137A">
        <w:trPr>
          <w:trHeight w:val="315"/>
          <w:jc w:val="center"/>
        </w:trPr>
        <w:tc>
          <w:tcPr>
            <w:tcW w:w="7451" w:type="dxa"/>
            <w:gridSpan w:val="12"/>
            <w:tcBorders>
              <w:top w:val="single" w:sz="8" w:space="0" w:color="auto"/>
              <w:left w:val="nil"/>
              <w:bottom w:val="single" w:sz="8" w:space="0" w:color="auto"/>
              <w:right w:val="nil"/>
            </w:tcBorders>
            <w:shd w:val="clear" w:color="000000" w:fill="D9D9D9"/>
            <w:noWrap/>
            <w:vAlign w:val="center"/>
            <w:hideMark/>
          </w:tcPr>
          <w:p w:rsidR="004E5E1C" w:rsidRPr="004E5E1C" w:rsidRDefault="004E5E1C" w:rsidP="004E5E1C">
            <w:pPr>
              <w:spacing w:before="0" w:after="0"/>
              <w:jc w:val="center"/>
              <w:rPr>
                <w:rFonts w:ascii="Calibri" w:eastAsia="Times New Roman" w:hAnsi="Calibri" w:cs="Times New Roman"/>
                <w:b/>
                <w:bCs/>
                <w:color w:val="000000"/>
                <w:sz w:val="18"/>
                <w:szCs w:val="18"/>
                <w:lang w:eastAsia="cs-CZ"/>
              </w:rPr>
            </w:pPr>
            <w:r w:rsidRPr="004E5E1C">
              <w:rPr>
                <w:rFonts w:ascii="Calibri" w:eastAsia="Times New Roman" w:hAnsi="Calibri" w:cs="Times New Roman"/>
                <w:b/>
                <w:bCs/>
                <w:color w:val="000000"/>
                <w:sz w:val="18"/>
                <w:szCs w:val="18"/>
                <w:lang w:eastAsia="cs-CZ"/>
              </w:rPr>
              <w:t>Počet zahájených projektů</w:t>
            </w:r>
          </w:p>
        </w:tc>
      </w:tr>
      <w:tr w:rsidR="004E5E1C" w:rsidRPr="004E5E1C" w:rsidTr="00E9137A">
        <w:trPr>
          <w:trHeight w:val="1965"/>
          <w:jc w:val="center"/>
        </w:trPr>
        <w:tc>
          <w:tcPr>
            <w:tcW w:w="1291" w:type="dxa"/>
            <w:tcBorders>
              <w:top w:val="nil"/>
              <w:left w:val="nil"/>
              <w:bottom w:val="single" w:sz="8" w:space="0" w:color="auto"/>
              <w:right w:val="nil"/>
            </w:tcBorders>
            <w:shd w:val="clear" w:color="000000" w:fill="F2F2F2"/>
            <w:vAlign w:val="center"/>
            <w:hideMark/>
          </w:tcPr>
          <w:p w:rsidR="004E5E1C" w:rsidRPr="004E5E1C" w:rsidRDefault="004E5E1C" w:rsidP="004E5E1C">
            <w:pPr>
              <w:spacing w:before="0" w:after="0"/>
              <w:jc w:val="center"/>
              <w:rPr>
                <w:rFonts w:ascii="Calibri" w:eastAsia="Times New Roman" w:hAnsi="Calibri" w:cs="Times New Roman"/>
                <w:b/>
                <w:bCs/>
                <w:color w:val="000000"/>
                <w:sz w:val="18"/>
                <w:szCs w:val="18"/>
                <w:lang w:eastAsia="cs-CZ"/>
              </w:rPr>
            </w:pPr>
            <w:r w:rsidRPr="004E5E1C">
              <w:rPr>
                <w:rFonts w:ascii="Calibri" w:eastAsia="Times New Roman" w:hAnsi="Calibri" w:cs="Times New Roman"/>
                <w:b/>
                <w:bCs/>
                <w:color w:val="000000"/>
                <w:sz w:val="18"/>
                <w:szCs w:val="18"/>
                <w:lang w:eastAsia="cs-CZ"/>
              </w:rPr>
              <w:t> </w:t>
            </w:r>
          </w:p>
        </w:tc>
        <w:tc>
          <w:tcPr>
            <w:tcW w:w="560" w:type="dxa"/>
            <w:tcBorders>
              <w:top w:val="nil"/>
              <w:left w:val="nil"/>
              <w:bottom w:val="single" w:sz="8" w:space="0" w:color="auto"/>
              <w:right w:val="nil"/>
            </w:tcBorders>
            <w:shd w:val="clear" w:color="000000" w:fill="F2F2F2"/>
            <w:textDirection w:val="btLr"/>
            <w:vAlign w:val="center"/>
            <w:hideMark/>
          </w:tcPr>
          <w:p w:rsidR="004E5E1C" w:rsidRPr="004E5E1C" w:rsidRDefault="004E5E1C" w:rsidP="004E5E1C">
            <w:pPr>
              <w:spacing w:before="0" w:after="0"/>
              <w:jc w:val="center"/>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Společenské vědy (*)</w:t>
            </w:r>
          </w:p>
        </w:tc>
        <w:tc>
          <w:tcPr>
            <w:tcW w:w="560" w:type="dxa"/>
            <w:tcBorders>
              <w:top w:val="nil"/>
              <w:left w:val="nil"/>
              <w:bottom w:val="single" w:sz="8" w:space="0" w:color="auto"/>
              <w:right w:val="nil"/>
            </w:tcBorders>
            <w:shd w:val="clear" w:color="000000" w:fill="F2F2F2"/>
            <w:textDirection w:val="btLr"/>
            <w:vAlign w:val="center"/>
            <w:hideMark/>
          </w:tcPr>
          <w:p w:rsidR="004E5E1C" w:rsidRPr="004E5E1C" w:rsidRDefault="004E5E1C" w:rsidP="004E5E1C">
            <w:pPr>
              <w:spacing w:before="0" w:after="0"/>
              <w:jc w:val="center"/>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Bezpečnost a ochrana zdraví, člověk – stroj (*)</w:t>
            </w:r>
          </w:p>
        </w:tc>
        <w:tc>
          <w:tcPr>
            <w:tcW w:w="560" w:type="dxa"/>
            <w:tcBorders>
              <w:top w:val="nil"/>
              <w:left w:val="nil"/>
              <w:bottom w:val="single" w:sz="8" w:space="0" w:color="auto"/>
              <w:right w:val="nil"/>
            </w:tcBorders>
            <w:shd w:val="clear" w:color="000000" w:fill="F2F2F2"/>
            <w:textDirection w:val="btLr"/>
            <w:vAlign w:val="center"/>
            <w:hideMark/>
          </w:tcPr>
          <w:p w:rsidR="004E5E1C" w:rsidRPr="004E5E1C" w:rsidRDefault="004E5E1C" w:rsidP="004E5E1C">
            <w:pPr>
              <w:spacing w:before="0" w:after="0"/>
              <w:jc w:val="center"/>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Fyzika a matematika</w:t>
            </w:r>
          </w:p>
        </w:tc>
        <w:tc>
          <w:tcPr>
            <w:tcW w:w="560" w:type="dxa"/>
            <w:tcBorders>
              <w:top w:val="nil"/>
              <w:left w:val="nil"/>
              <w:bottom w:val="single" w:sz="8" w:space="0" w:color="auto"/>
              <w:right w:val="nil"/>
            </w:tcBorders>
            <w:shd w:val="clear" w:color="000000" w:fill="F2F2F2"/>
            <w:textDirection w:val="btLr"/>
            <w:vAlign w:val="center"/>
            <w:hideMark/>
          </w:tcPr>
          <w:p w:rsidR="004E5E1C" w:rsidRPr="004E5E1C" w:rsidRDefault="004E5E1C" w:rsidP="004E5E1C">
            <w:pPr>
              <w:spacing w:before="0" w:after="0"/>
              <w:jc w:val="center"/>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Chemie</w:t>
            </w:r>
          </w:p>
        </w:tc>
        <w:tc>
          <w:tcPr>
            <w:tcW w:w="560" w:type="dxa"/>
            <w:tcBorders>
              <w:top w:val="nil"/>
              <w:left w:val="nil"/>
              <w:bottom w:val="single" w:sz="8" w:space="0" w:color="auto"/>
              <w:right w:val="nil"/>
            </w:tcBorders>
            <w:shd w:val="clear" w:color="000000" w:fill="F2F2F2"/>
            <w:textDirection w:val="btLr"/>
            <w:vAlign w:val="center"/>
            <w:hideMark/>
          </w:tcPr>
          <w:p w:rsidR="004E5E1C" w:rsidRPr="004E5E1C" w:rsidRDefault="004E5E1C" w:rsidP="004E5E1C">
            <w:pPr>
              <w:spacing w:before="0" w:after="0"/>
              <w:jc w:val="center"/>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Vědy o zemi</w:t>
            </w:r>
          </w:p>
        </w:tc>
        <w:tc>
          <w:tcPr>
            <w:tcW w:w="560" w:type="dxa"/>
            <w:tcBorders>
              <w:top w:val="nil"/>
              <w:left w:val="nil"/>
              <w:bottom w:val="single" w:sz="8" w:space="0" w:color="auto"/>
              <w:right w:val="nil"/>
            </w:tcBorders>
            <w:shd w:val="clear" w:color="000000" w:fill="F2F2F2"/>
            <w:textDirection w:val="btLr"/>
            <w:vAlign w:val="center"/>
            <w:hideMark/>
          </w:tcPr>
          <w:p w:rsidR="004E5E1C" w:rsidRPr="004E5E1C" w:rsidRDefault="004E5E1C" w:rsidP="004E5E1C">
            <w:pPr>
              <w:spacing w:before="0" w:after="0"/>
              <w:jc w:val="center"/>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Biovědy</w:t>
            </w:r>
          </w:p>
        </w:tc>
        <w:tc>
          <w:tcPr>
            <w:tcW w:w="560" w:type="dxa"/>
            <w:tcBorders>
              <w:top w:val="nil"/>
              <w:left w:val="nil"/>
              <w:bottom w:val="single" w:sz="8" w:space="0" w:color="auto"/>
              <w:right w:val="nil"/>
            </w:tcBorders>
            <w:shd w:val="clear" w:color="000000" w:fill="F2F2F2"/>
            <w:textDirection w:val="btLr"/>
            <w:vAlign w:val="center"/>
            <w:hideMark/>
          </w:tcPr>
          <w:p w:rsidR="004E5E1C" w:rsidRPr="004E5E1C" w:rsidRDefault="004E5E1C" w:rsidP="004E5E1C">
            <w:pPr>
              <w:spacing w:before="0" w:after="0"/>
              <w:jc w:val="center"/>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Lékařské vědy</w:t>
            </w:r>
          </w:p>
        </w:tc>
        <w:tc>
          <w:tcPr>
            <w:tcW w:w="560" w:type="dxa"/>
            <w:tcBorders>
              <w:top w:val="nil"/>
              <w:left w:val="nil"/>
              <w:bottom w:val="single" w:sz="8" w:space="0" w:color="auto"/>
              <w:right w:val="nil"/>
            </w:tcBorders>
            <w:shd w:val="clear" w:color="000000" w:fill="F2F2F2"/>
            <w:textDirection w:val="btLr"/>
            <w:vAlign w:val="center"/>
            <w:hideMark/>
          </w:tcPr>
          <w:p w:rsidR="004E5E1C" w:rsidRPr="004E5E1C" w:rsidRDefault="004E5E1C" w:rsidP="004E5E1C">
            <w:pPr>
              <w:spacing w:before="0" w:after="0"/>
              <w:jc w:val="center"/>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Zemědělství</w:t>
            </w:r>
          </w:p>
        </w:tc>
        <w:tc>
          <w:tcPr>
            <w:tcW w:w="560" w:type="dxa"/>
            <w:tcBorders>
              <w:top w:val="nil"/>
              <w:left w:val="nil"/>
              <w:bottom w:val="single" w:sz="8" w:space="0" w:color="auto"/>
              <w:right w:val="nil"/>
            </w:tcBorders>
            <w:shd w:val="clear" w:color="000000" w:fill="F2F2F2"/>
            <w:textDirection w:val="btLr"/>
            <w:vAlign w:val="center"/>
            <w:hideMark/>
          </w:tcPr>
          <w:p w:rsidR="004E5E1C" w:rsidRPr="004E5E1C" w:rsidRDefault="004E5E1C" w:rsidP="004E5E1C">
            <w:pPr>
              <w:spacing w:before="0" w:after="0"/>
              <w:jc w:val="center"/>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Informatika</w:t>
            </w:r>
          </w:p>
        </w:tc>
        <w:tc>
          <w:tcPr>
            <w:tcW w:w="560" w:type="dxa"/>
            <w:tcBorders>
              <w:top w:val="nil"/>
              <w:left w:val="nil"/>
              <w:bottom w:val="single" w:sz="8" w:space="0" w:color="auto"/>
              <w:right w:val="nil"/>
            </w:tcBorders>
            <w:shd w:val="clear" w:color="000000" w:fill="F2F2F2"/>
            <w:textDirection w:val="btLr"/>
            <w:vAlign w:val="center"/>
            <w:hideMark/>
          </w:tcPr>
          <w:p w:rsidR="004E5E1C" w:rsidRPr="004E5E1C" w:rsidRDefault="004E5E1C" w:rsidP="004E5E1C">
            <w:pPr>
              <w:spacing w:before="0" w:after="0"/>
              <w:jc w:val="center"/>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Průmysl</w:t>
            </w:r>
          </w:p>
        </w:tc>
        <w:tc>
          <w:tcPr>
            <w:tcW w:w="560" w:type="dxa"/>
            <w:tcBorders>
              <w:top w:val="nil"/>
              <w:left w:val="nil"/>
              <w:bottom w:val="single" w:sz="8" w:space="0" w:color="auto"/>
              <w:right w:val="nil"/>
            </w:tcBorders>
            <w:shd w:val="clear" w:color="000000" w:fill="F2F2F2"/>
            <w:textDirection w:val="btLr"/>
            <w:vAlign w:val="center"/>
            <w:hideMark/>
          </w:tcPr>
          <w:p w:rsidR="004E5E1C" w:rsidRPr="004E5E1C" w:rsidRDefault="004E5E1C" w:rsidP="004E5E1C">
            <w:pPr>
              <w:spacing w:before="0" w:after="0"/>
              <w:jc w:val="center"/>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Vojenství</w:t>
            </w:r>
          </w:p>
        </w:tc>
      </w:tr>
      <w:tr w:rsidR="004E5E1C" w:rsidRPr="004E5E1C" w:rsidTr="00E9137A">
        <w:trPr>
          <w:trHeight w:val="315"/>
          <w:jc w:val="center"/>
        </w:trPr>
        <w:tc>
          <w:tcPr>
            <w:tcW w:w="1291" w:type="dxa"/>
            <w:tcBorders>
              <w:top w:val="nil"/>
              <w:left w:val="nil"/>
              <w:bottom w:val="single" w:sz="8" w:space="0" w:color="auto"/>
              <w:right w:val="nil"/>
            </w:tcBorders>
            <w:shd w:val="clear" w:color="000000" w:fill="D9D9D9"/>
            <w:noWrap/>
            <w:vAlign w:val="center"/>
            <w:hideMark/>
          </w:tcPr>
          <w:p w:rsidR="004E5E1C" w:rsidRPr="004E5E1C" w:rsidRDefault="004E5E1C" w:rsidP="004E5E1C">
            <w:pPr>
              <w:spacing w:before="0" w:after="0"/>
              <w:jc w:val="center"/>
              <w:rPr>
                <w:rFonts w:ascii="Calibri" w:eastAsia="Times New Roman" w:hAnsi="Calibri" w:cs="Times New Roman"/>
                <w:b/>
                <w:bCs/>
                <w:color w:val="000000"/>
                <w:sz w:val="18"/>
                <w:szCs w:val="18"/>
                <w:lang w:eastAsia="cs-CZ"/>
              </w:rPr>
            </w:pPr>
            <w:r w:rsidRPr="004E5E1C">
              <w:rPr>
                <w:rFonts w:ascii="Calibri" w:eastAsia="Times New Roman" w:hAnsi="Calibri" w:cs="Times New Roman"/>
                <w:b/>
                <w:bCs/>
                <w:color w:val="000000"/>
                <w:sz w:val="18"/>
                <w:szCs w:val="18"/>
                <w:lang w:eastAsia="cs-CZ"/>
              </w:rPr>
              <w:t>Rok</w:t>
            </w:r>
          </w:p>
        </w:tc>
        <w:tc>
          <w:tcPr>
            <w:tcW w:w="560" w:type="dxa"/>
            <w:tcBorders>
              <w:top w:val="nil"/>
              <w:left w:val="nil"/>
              <w:bottom w:val="single" w:sz="8" w:space="0" w:color="auto"/>
              <w:right w:val="nil"/>
            </w:tcBorders>
            <w:shd w:val="clear" w:color="000000" w:fill="D9D9D9"/>
            <w:noWrap/>
            <w:vAlign w:val="center"/>
            <w:hideMark/>
          </w:tcPr>
          <w:p w:rsidR="004E5E1C" w:rsidRPr="004E5E1C" w:rsidRDefault="004E5E1C" w:rsidP="004E5E1C">
            <w:pPr>
              <w:spacing w:before="0" w:after="0"/>
              <w:jc w:val="center"/>
              <w:rPr>
                <w:rFonts w:ascii="Calibri" w:eastAsia="Times New Roman" w:hAnsi="Calibri" w:cs="Times New Roman"/>
                <w:b/>
                <w:bCs/>
                <w:color w:val="000000"/>
                <w:sz w:val="18"/>
                <w:szCs w:val="18"/>
                <w:lang w:eastAsia="cs-CZ"/>
              </w:rPr>
            </w:pPr>
            <w:r w:rsidRPr="004E5E1C">
              <w:rPr>
                <w:rFonts w:ascii="Calibri" w:eastAsia="Times New Roman" w:hAnsi="Calibri" w:cs="Times New Roman"/>
                <w:b/>
                <w:bCs/>
                <w:color w:val="000000"/>
                <w:sz w:val="18"/>
                <w:szCs w:val="18"/>
                <w:lang w:eastAsia="cs-CZ"/>
              </w:rPr>
              <w:t>A</w:t>
            </w:r>
          </w:p>
        </w:tc>
        <w:tc>
          <w:tcPr>
            <w:tcW w:w="560" w:type="dxa"/>
            <w:tcBorders>
              <w:top w:val="nil"/>
              <w:left w:val="nil"/>
              <w:bottom w:val="single" w:sz="8" w:space="0" w:color="auto"/>
              <w:right w:val="nil"/>
            </w:tcBorders>
            <w:shd w:val="clear" w:color="000000" w:fill="D9D9D9"/>
            <w:noWrap/>
            <w:vAlign w:val="center"/>
            <w:hideMark/>
          </w:tcPr>
          <w:p w:rsidR="004E5E1C" w:rsidRPr="004E5E1C" w:rsidRDefault="004E5E1C" w:rsidP="004E5E1C">
            <w:pPr>
              <w:spacing w:before="0" w:after="0"/>
              <w:jc w:val="center"/>
              <w:rPr>
                <w:rFonts w:ascii="Calibri" w:eastAsia="Times New Roman" w:hAnsi="Calibri" w:cs="Times New Roman"/>
                <w:b/>
                <w:bCs/>
                <w:color w:val="000000"/>
                <w:sz w:val="18"/>
                <w:szCs w:val="18"/>
                <w:lang w:eastAsia="cs-CZ"/>
              </w:rPr>
            </w:pPr>
            <w:r w:rsidRPr="004E5E1C">
              <w:rPr>
                <w:rFonts w:ascii="Calibri" w:eastAsia="Times New Roman" w:hAnsi="Calibri" w:cs="Times New Roman"/>
                <w:b/>
                <w:bCs/>
                <w:color w:val="000000"/>
                <w:sz w:val="18"/>
                <w:szCs w:val="18"/>
                <w:lang w:eastAsia="cs-CZ"/>
              </w:rPr>
              <w:t>AQ</w:t>
            </w:r>
          </w:p>
        </w:tc>
        <w:tc>
          <w:tcPr>
            <w:tcW w:w="560" w:type="dxa"/>
            <w:tcBorders>
              <w:top w:val="nil"/>
              <w:left w:val="nil"/>
              <w:bottom w:val="single" w:sz="8" w:space="0" w:color="auto"/>
              <w:right w:val="nil"/>
            </w:tcBorders>
            <w:shd w:val="clear" w:color="000000" w:fill="D9D9D9"/>
            <w:noWrap/>
            <w:vAlign w:val="center"/>
            <w:hideMark/>
          </w:tcPr>
          <w:p w:rsidR="004E5E1C" w:rsidRPr="004E5E1C" w:rsidRDefault="004E5E1C" w:rsidP="004E5E1C">
            <w:pPr>
              <w:spacing w:before="0" w:after="0"/>
              <w:jc w:val="center"/>
              <w:rPr>
                <w:rFonts w:ascii="Calibri" w:eastAsia="Times New Roman" w:hAnsi="Calibri" w:cs="Times New Roman"/>
                <w:b/>
                <w:bCs/>
                <w:color w:val="000000"/>
                <w:sz w:val="18"/>
                <w:szCs w:val="18"/>
                <w:lang w:eastAsia="cs-CZ"/>
              </w:rPr>
            </w:pPr>
            <w:r w:rsidRPr="004E5E1C">
              <w:rPr>
                <w:rFonts w:ascii="Calibri" w:eastAsia="Times New Roman" w:hAnsi="Calibri" w:cs="Times New Roman"/>
                <w:b/>
                <w:bCs/>
                <w:color w:val="000000"/>
                <w:sz w:val="18"/>
                <w:szCs w:val="18"/>
                <w:lang w:eastAsia="cs-CZ"/>
              </w:rPr>
              <w:t>B</w:t>
            </w:r>
          </w:p>
        </w:tc>
        <w:tc>
          <w:tcPr>
            <w:tcW w:w="560" w:type="dxa"/>
            <w:tcBorders>
              <w:top w:val="nil"/>
              <w:left w:val="nil"/>
              <w:bottom w:val="single" w:sz="8" w:space="0" w:color="auto"/>
              <w:right w:val="nil"/>
            </w:tcBorders>
            <w:shd w:val="clear" w:color="000000" w:fill="D9D9D9"/>
            <w:noWrap/>
            <w:vAlign w:val="center"/>
            <w:hideMark/>
          </w:tcPr>
          <w:p w:rsidR="004E5E1C" w:rsidRPr="004E5E1C" w:rsidRDefault="004E5E1C" w:rsidP="004E5E1C">
            <w:pPr>
              <w:spacing w:before="0" w:after="0"/>
              <w:jc w:val="center"/>
              <w:rPr>
                <w:rFonts w:ascii="Calibri" w:eastAsia="Times New Roman" w:hAnsi="Calibri" w:cs="Times New Roman"/>
                <w:b/>
                <w:bCs/>
                <w:color w:val="000000"/>
                <w:sz w:val="18"/>
                <w:szCs w:val="18"/>
                <w:lang w:eastAsia="cs-CZ"/>
              </w:rPr>
            </w:pPr>
            <w:r w:rsidRPr="004E5E1C">
              <w:rPr>
                <w:rFonts w:ascii="Calibri" w:eastAsia="Times New Roman" w:hAnsi="Calibri" w:cs="Times New Roman"/>
                <w:b/>
                <w:bCs/>
                <w:color w:val="000000"/>
                <w:sz w:val="18"/>
                <w:szCs w:val="18"/>
                <w:lang w:eastAsia="cs-CZ"/>
              </w:rPr>
              <w:t>C</w:t>
            </w:r>
          </w:p>
        </w:tc>
        <w:tc>
          <w:tcPr>
            <w:tcW w:w="560" w:type="dxa"/>
            <w:tcBorders>
              <w:top w:val="nil"/>
              <w:left w:val="nil"/>
              <w:bottom w:val="single" w:sz="8" w:space="0" w:color="auto"/>
              <w:right w:val="nil"/>
            </w:tcBorders>
            <w:shd w:val="clear" w:color="000000" w:fill="D9D9D9"/>
            <w:noWrap/>
            <w:vAlign w:val="center"/>
            <w:hideMark/>
          </w:tcPr>
          <w:p w:rsidR="004E5E1C" w:rsidRPr="004E5E1C" w:rsidRDefault="004E5E1C" w:rsidP="004E5E1C">
            <w:pPr>
              <w:spacing w:before="0" w:after="0"/>
              <w:jc w:val="center"/>
              <w:rPr>
                <w:rFonts w:ascii="Calibri" w:eastAsia="Times New Roman" w:hAnsi="Calibri" w:cs="Times New Roman"/>
                <w:b/>
                <w:bCs/>
                <w:color w:val="000000"/>
                <w:sz w:val="18"/>
                <w:szCs w:val="18"/>
                <w:lang w:eastAsia="cs-CZ"/>
              </w:rPr>
            </w:pPr>
            <w:r w:rsidRPr="004E5E1C">
              <w:rPr>
                <w:rFonts w:ascii="Calibri" w:eastAsia="Times New Roman" w:hAnsi="Calibri" w:cs="Times New Roman"/>
                <w:b/>
                <w:bCs/>
                <w:color w:val="000000"/>
                <w:sz w:val="18"/>
                <w:szCs w:val="18"/>
                <w:lang w:eastAsia="cs-CZ"/>
              </w:rPr>
              <w:t>D</w:t>
            </w:r>
          </w:p>
        </w:tc>
        <w:tc>
          <w:tcPr>
            <w:tcW w:w="560" w:type="dxa"/>
            <w:tcBorders>
              <w:top w:val="nil"/>
              <w:left w:val="nil"/>
              <w:bottom w:val="single" w:sz="8" w:space="0" w:color="auto"/>
              <w:right w:val="nil"/>
            </w:tcBorders>
            <w:shd w:val="clear" w:color="000000" w:fill="D9D9D9"/>
            <w:noWrap/>
            <w:vAlign w:val="center"/>
            <w:hideMark/>
          </w:tcPr>
          <w:p w:rsidR="004E5E1C" w:rsidRPr="004E5E1C" w:rsidRDefault="004E5E1C" w:rsidP="004E5E1C">
            <w:pPr>
              <w:spacing w:before="0" w:after="0"/>
              <w:jc w:val="center"/>
              <w:rPr>
                <w:rFonts w:ascii="Calibri" w:eastAsia="Times New Roman" w:hAnsi="Calibri" w:cs="Times New Roman"/>
                <w:b/>
                <w:bCs/>
                <w:color w:val="000000"/>
                <w:sz w:val="18"/>
                <w:szCs w:val="18"/>
                <w:lang w:eastAsia="cs-CZ"/>
              </w:rPr>
            </w:pPr>
            <w:r w:rsidRPr="004E5E1C">
              <w:rPr>
                <w:rFonts w:ascii="Calibri" w:eastAsia="Times New Roman" w:hAnsi="Calibri" w:cs="Times New Roman"/>
                <w:b/>
                <w:bCs/>
                <w:color w:val="000000"/>
                <w:sz w:val="18"/>
                <w:szCs w:val="18"/>
                <w:lang w:eastAsia="cs-CZ"/>
              </w:rPr>
              <w:t>E</w:t>
            </w:r>
          </w:p>
        </w:tc>
        <w:tc>
          <w:tcPr>
            <w:tcW w:w="560" w:type="dxa"/>
            <w:tcBorders>
              <w:top w:val="nil"/>
              <w:left w:val="nil"/>
              <w:bottom w:val="single" w:sz="8" w:space="0" w:color="auto"/>
              <w:right w:val="nil"/>
            </w:tcBorders>
            <w:shd w:val="clear" w:color="000000" w:fill="D9D9D9"/>
            <w:noWrap/>
            <w:vAlign w:val="center"/>
            <w:hideMark/>
          </w:tcPr>
          <w:p w:rsidR="004E5E1C" w:rsidRPr="004E5E1C" w:rsidRDefault="004E5E1C" w:rsidP="004E5E1C">
            <w:pPr>
              <w:spacing w:before="0" w:after="0"/>
              <w:jc w:val="center"/>
              <w:rPr>
                <w:rFonts w:ascii="Calibri" w:eastAsia="Times New Roman" w:hAnsi="Calibri" w:cs="Times New Roman"/>
                <w:b/>
                <w:bCs/>
                <w:color w:val="000000"/>
                <w:sz w:val="18"/>
                <w:szCs w:val="18"/>
                <w:lang w:eastAsia="cs-CZ"/>
              </w:rPr>
            </w:pPr>
            <w:r w:rsidRPr="004E5E1C">
              <w:rPr>
                <w:rFonts w:ascii="Calibri" w:eastAsia="Times New Roman" w:hAnsi="Calibri" w:cs="Times New Roman"/>
                <w:b/>
                <w:bCs/>
                <w:color w:val="000000"/>
                <w:sz w:val="18"/>
                <w:szCs w:val="18"/>
                <w:lang w:eastAsia="cs-CZ"/>
              </w:rPr>
              <w:t>F</w:t>
            </w:r>
          </w:p>
        </w:tc>
        <w:tc>
          <w:tcPr>
            <w:tcW w:w="560" w:type="dxa"/>
            <w:tcBorders>
              <w:top w:val="nil"/>
              <w:left w:val="nil"/>
              <w:bottom w:val="single" w:sz="8" w:space="0" w:color="auto"/>
              <w:right w:val="nil"/>
            </w:tcBorders>
            <w:shd w:val="clear" w:color="000000" w:fill="D9D9D9"/>
            <w:noWrap/>
            <w:vAlign w:val="center"/>
            <w:hideMark/>
          </w:tcPr>
          <w:p w:rsidR="004E5E1C" w:rsidRPr="004E5E1C" w:rsidRDefault="004E5E1C" w:rsidP="004E5E1C">
            <w:pPr>
              <w:spacing w:before="0" w:after="0"/>
              <w:jc w:val="center"/>
              <w:rPr>
                <w:rFonts w:ascii="Calibri" w:eastAsia="Times New Roman" w:hAnsi="Calibri" w:cs="Times New Roman"/>
                <w:b/>
                <w:bCs/>
                <w:color w:val="000000"/>
                <w:sz w:val="18"/>
                <w:szCs w:val="18"/>
                <w:lang w:eastAsia="cs-CZ"/>
              </w:rPr>
            </w:pPr>
            <w:r w:rsidRPr="004E5E1C">
              <w:rPr>
                <w:rFonts w:ascii="Calibri" w:eastAsia="Times New Roman" w:hAnsi="Calibri" w:cs="Times New Roman"/>
                <w:b/>
                <w:bCs/>
                <w:color w:val="000000"/>
                <w:sz w:val="18"/>
                <w:szCs w:val="18"/>
                <w:lang w:eastAsia="cs-CZ"/>
              </w:rPr>
              <w:t>G</w:t>
            </w:r>
          </w:p>
        </w:tc>
        <w:tc>
          <w:tcPr>
            <w:tcW w:w="560" w:type="dxa"/>
            <w:tcBorders>
              <w:top w:val="nil"/>
              <w:left w:val="nil"/>
              <w:bottom w:val="single" w:sz="8" w:space="0" w:color="auto"/>
              <w:right w:val="nil"/>
            </w:tcBorders>
            <w:shd w:val="clear" w:color="000000" w:fill="D9D9D9"/>
            <w:noWrap/>
            <w:vAlign w:val="center"/>
            <w:hideMark/>
          </w:tcPr>
          <w:p w:rsidR="004E5E1C" w:rsidRPr="004E5E1C" w:rsidRDefault="004E5E1C" w:rsidP="004E5E1C">
            <w:pPr>
              <w:spacing w:before="0" w:after="0"/>
              <w:jc w:val="center"/>
              <w:rPr>
                <w:rFonts w:ascii="Calibri" w:eastAsia="Times New Roman" w:hAnsi="Calibri" w:cs="Times New Roman"/>
                <w:b/>
                <w:bCs/>
                <w:color w:val="000000"/>
                <w:sz w:val="18"/>
                <w:szCs w:val="18"/>
                <w:lang w:eastAsia="cs-CZ"/>
              </w:rPr>
            </w:pPr>
            <w:r w:rsidRPr="004E5E1C">
              <w:rPr>
                <w:rFonts w:ascii="Calibri" w:eastAsia="Times New Roman" w:hAnsi="Calibri" w:cs="Times New Roman"/>
                <w:b/>
                <w:bCs/>
                <w:color w:val="000000"/>
                <w:sz w:val="18"/>
                <w:szCs w:val="18"/>
                <w:lang w:eastAsia="cs-CZ"/>
              </w:rPr>
              <w:t>I</w:t>
            </w:r>
          </w:p>
        </w:tc>
        <w:tc>
          <w:tcPr>
            <w:tcW w:w="560" w:type="dxa"/>
            <w:tcBorders>
              <w:top w:val="nil"/>
              <w:left w:val="nil"/>
              <w:bottom w:val="single" w:sz="8" w:space="0" w:color="auto"/>
              <w:right w:val="nil"/>
            </w:tcBorders>
            <w:shd w:val="clear" w:color="000000" w:fill="D9D9D9"/>
            <w:noWrap/>
            <w:vAlign w:val="center"/>
            <w:hideMark/>
          </w:tcPr>
          <w:p w:rsidR="004E5E1C" w:rsidRPr="004E5E1C" w:rsidRDefault="004E5E1C" w:rsidP="004E5E1C">
            <w:pPr>
              <w:spacing w:before="0" w:after="0"/>
              <w:jc w:val="center"/>
              <w:rPr>
                <w:rFonts w:ascii="Calibri" w:eastAsia="Times New Roman" w:hAnsi="Calibri" w:cs="Times New Roman"/>
                <w:b/>
                <w:bCs/>
                <w:color w:val="000000"/>
                <w:sz w:val="18"/>
                <w:szCs w:val="18"/>
                <w:lang w:eastAsia="cs-CZ"/>
              </w:rPr>
            </w:pPr>
            <w:r w:rsidRPr="004E5E1C">
              <w:rPr>
                <w:rFonts w:ascii="Calibri" w:eastAsia="Times New Roman" w:hAnsi="Calibri" w:cs="Times New Roman"/>
                <w:b/>
                <w:bCs/>
                <w:color w:val="000000"/>
                <w:sz w:val="18"/>
                <w:szCs w:val="18"/>
                <w:lang w:eastAsia="cs-CZ"/>
              </w:rPr>
              <w:t>J</w:t>
            </w:r>
          </w:p>
        </w:tc>
        <w:tc>
          <w:tcPr>
            <w:tcW w:w="560" w:type="dxa"/>
            <w:tcBorders>
              <w:top w:val="nil"/>
              <w:left w:val="nil"/>
              <w:bottom w:val="single" w:sz="8" w:space="0" w:color="auto"/>
              <w:right w:val="nil"/>
            </w:tcBorders>
            <w:shd w:val="clear" w:color="000000" w:fill="D9D9D9"/>
            <w:noWrap/>
            <w:vAlign w:val="center"/>
            <w:hideMark/>
          </w:tcPr>
          <w:p w:rsidR="004E5E1C" w:rsidRPr="004E5E1C" w:rsidRDefault="004E5E1C" w:rsidP="004E5E1C">
            <w:pPr>
              <w:spacing w:before="0" w:after="0"/>
              <w:jc w:val="center"/>
              <w:rPr>
                <w:rFonts w:ascii="Calibri" w:eastAsia="Times New Roman" w:hAnsi="Calibri" w:cs="Times New Roman"/>
                <w:b/>
                <w:bCs/>
                <w:color w:val="000000"/>
                <w:sz w:val="18"/>
                <w:szCs w:val="18"/>
                <w:lang w:eastAsia="cs-CZ"/>
              </w:rPr>
            </w:pPr>
            <w:r w:rsidRPr="004E5E1C">
              <w:rPr>
                <w:rFonts w:ascii="Calibri" w:eastAsia="Times New Roman" w:hAnsi="Calibri" w:cs="Times New Roman"/>
                <w:b/>
                <w:bCs/>
                <w:color w:val="000000"/>
                <w:sz w:val="18"/>
                <w:szCs w:val="18"/>
                <w:lang w:eastAsia="cs-CZ"/>
              </w:rPr>
              <w:t>K</w:t>
            </w:r>
          </w:p>
        </w:tc>
      </w:tr>
      <w:tr w:rsidR="004E5E1C" w:rsidRPr="004E5E1C" w:rsidTr="00E9137A">
        <w:trPr>
          <w:trHeight w:val="300"/>
          <w:jc w:val="center"/>
        </w:trPr>
        <w:tc>
          <w:tcPr>
            <w:tcW w:w="1291"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center"/>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2010</w:t>
            </w:r>
          </w:p>
        </w:tc>
        <w:tc>
          <w:tcPr>
            <w:tcW w:w="560"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center"/>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8</w:t>
            </w:r>
          </w:p>
        </w:tc>
        <w:tc>
          <w:tcPr>
            <w:tcW w:w="560"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center"/>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7</w:t>
            </w:r>
          </w:p>
        </w:tc>
        <w:tc>
          <w:tcPr>
            <w:tcW w:w="560"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center"/>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1</w:t>
            </w:r>
          </w:p>
        </w:tc>
        <w:tc>
          <w:tcPr>
            <w:tcW w:w="560"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center"/>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7</w:t>
            </w:r>
          </w:p>
        </w:tc>
        <w:tc>
          <w:tcPr>
            <w:tcW w:w="560"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center"/>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9</w:t>
            </w:r>
          </w:p>
        </w:tc>
        <w:tc>
          <w:tcPr>
            <w:tcW w:w="560"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center"/>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3</w:t>
            </w:r>
          </w:p>
        </w:tc>
        <w:tc>
          <w:tcPr>
            <w:tcW w:w="560"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center"/>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3</w:t>
            </w:r>
          </w:p>
        </w:tc>
        <w:tc>
          <w:tcPr>
            <w:tcW w:w="560"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center"/>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3</w:t>
            </w:r>
          </w:p>
        </w:tc>
        <w:tc>
          <w:tcPr>
            <w:tcW w:w="560"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center"/>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7</w:t>
            </w:r>
          </w:p>
        </w:tc>
        <w:tc>
          <w:tcPr>
            <w:tcW w:w="560"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center"/>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17</w:t>
            </w:r>
          </w:p>
        </w:tc>
        <w:tc>
          <w:tcPr>
            <w:tcW w:w="560"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center"/>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2</w:t>
            </w:r>
          </w:p>
        </w:tc>
      </w:tr>
      <w:tr w:rsidR="004E5E1C" w:rsidRPr="004E5E1C" w:rsidTr="00E9137A">
        <w:trPr>
          <w:trHeight w:val="300"/>
          <w:jc w:val="center"/>
        </w:trPr>
        <w:tc>
          <w:tcPr>
            <w:tcW w:w="1291"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center"/>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2011</w:t>
            </w:r>
          </w:p>
        </w:tc>
        <w:tc>
          <w:tcPr>
            <w:tcW w:w="560"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center"/>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4</w:t>
            </w:r>
          </w:p>
        </w:tc>
        <w:tc>
          <w:tcPr>
            <w:tcW w:w="560"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center"/>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6</w:t>
            </w:r>
          </w:p>
        </w:tc>
        <w:tc>
          <w:tcPr>
            <w:tcW w:w="560"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left"/>
              <w:rPr>
                <w:rFonts w:ascii="Calibri" w:eastAsia="Times New Roman" w:hAnsi="Calibri" w:cs="Times New Roman"/>
                <w:color w:val="000000"/>
                <w:lang w:eastAsia="cs-CZ"/>
              </w:rPr>
            </w:pPr>
          </w:p>
        </w:tc>
        <w:tc>
          <w:tcPr>
            <w:tcW w:w="560"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center"/>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4</w:t>
            </w:r>
          </w:p>
        </w:tc>
        <w:tc>
          <w:tcPr>
            <w:tcW w:w="560"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center"/>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2</w:t>
            </w:r>
          </w:p>
        </w:tc>
        <w:tc>
          <w:tcPr>
            <w:tcW w:w="560"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center"/>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2</w:t>
            </w:r>
          </w:p>
        </w:tc>
        <w:tc>
          <w:tcPr>
            <w:tcW w:w="560"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left"/>
              <w:rPr>
                <w:rFonts w:ascii="Calibri" w:eastAsia="Times New Roman" w:hAnsi="Calibri" w:cs="Times New Roman"/>
                <w:color w:val="000000"/>
                <w:lang w:eastAsia="cs-CZ"/>
              </w:rPr>
            </w:pPr>
          </w:p>
        </w:tc>
        <w:tc>
          <w:tcPr>
            <w:tcW w:w="560"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left"/>
              <w:rPr>
                <w:rFonts w:ascii="Calibri" w:eastAsia="Times New Roman" w:hAnsi="Calibri" w:cs="Times New Roman"/>
                <w:color w:val="000000"/>
                <w:lang w:eastAsia="cs-CZ"/>
              </w:rPr>
            </w:pPr>
          </w:p>
        </w:tc>
        <w:tc>
          <w:tcPr>
            <w:tcW w:w="560"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center"/>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1</w:t>
            </w:r>
          </w:p>
        </w:tc>
        <w:tc>
          <w:tcPr>
            <w:tcW w:w="560"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center"/>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4</w:t>
            </w:r>
          </w:p>
        </w:tc>
        <w:tc>
          <w:tcPr>
            <w:tcW w:w="560"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center"/>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1</w:t>
            </w:r>
          </w:p>
        </w:tc>
      </w:tr>
      <w:tr w:rsidR="004E5E1C" w:rsidRPr="004E5E1C" w:rsidTr="00E9137A">
        <w:trPr>
          <w:trHeight w:val="300"/>
          <w:jc w:val="center"/>
        </w:trPr>
        <w:tc>
          <w:tcPr>
            <w:tcW w:w="1291"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center"/>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2012</w:t>
            </w:r>
          </w:p>
        </w:tc>
        <w:tc>
          <w:tcPr>
            <w:tcW w:w="560"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center"/>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6</w:t>
            </w:r>
          </w:p>
        </w:tc>
        <w:tc>
          <w:tcPr>
            <w:tcW w:w="560"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center"/>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3</w:t>
            </w:r>
          </w:p>
        </w:tc>
        <w:tc>
          <w:tcPr>
            <w:tcW w:w="560"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left"/>
              <w:rPr>
                <w:rFonts w:ascii="Calibri" w:eastAsia="Times New Roman" w:hAnsi="Calibri" w:cs="Times New Roman"/>
                <w:color w:val="000000"/>
                <w:lang w:eastAsia="cs-CZ"/>
              </w:rPr>
            </w:pPr>
          </w:p>
        </w:tc>
        <w:tc>
          <w:tcPr>
            <w:tcW w:w="560"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center"/>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2</w:t>
            </w:r>
          </w:p>
        </w:tc>
        <w:tc>
          <w:tcPr>
            <w:tcW w:w="560"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center"/>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8</w:t>
            </w:r>
          </w:p>
        </w:tc>
        <w:tc>
          <w:tcPr>
            <w:tcW w:w="560"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center"/>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2</w:t>
            </w:r>
          </w:p>
        </w:tc>
        <w:tc>
          <w:tcPr>
            <w:tcW w:w="560"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center"/>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1</w:t>
            </w:r>
          </w:p>
        </w:tc>
        <w:tc>
          <w:tcPr>
            <w:tcW w:w="560"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left"/>
              <w:rPr>
                <w:rFonts w:ascii="Calibri" w:eastAsia="Times New Roman" w:hAnsi="Calibri" w:cs="Times New Roman"/>
                <w:color w:val="000000"/>
                <w:lang w:eastAsia="cs-CZ"/>
              </w:rPr>
            </w:pPr>
          </w:p>
        </w:tc>
        <w:tc>
          <w:tcPr>
            <w:tcW w:w="560"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center"/>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5</w:t>
            </w:r>
          </w:p>
        </w:tc>
        <w:tc>
          <w:tcPr>
            <w:tcW w:w="560"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center"/>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10</w:t>
            </w:r>
          </w:p>
        </w:tc>
        <w:tc>
          <w:tcPr>
            <w:tcW w:w="560"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center"/>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1</w:t>
            </w:r>
          </w:p>
        </w:tc>
      </w:tr>
      <w:tr w:rsidR="004E5E1C" w:rsidRPr="004E5E1C" w:rsidTr="00E9137A">
        <w:trPr>
          <w:trHeight w:val="300"/>
          <w:jc w:val="center"/>
        </w:trPr>
        <w:tc>
          <w:tcPr>
            <w:tcW w:w="1291"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center"/>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2013</w:t>
            </w:r>
          </w:p>
        </w:tc>
        <w:tc>
          <w:tcPr>
            <w:tcW w:w="560"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center"/>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5</w:t>
            </w:r>
          </w:p>
        </w:tc>
        <w:tc>
          <w:tcPr>
            <w:tcW w:w="560"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center"/>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6</w:t>
            </w:r>
          </w:p>
        </w:tc>
        <w:tc>
          <w:tcPr>
            <w:tcW w:w="560"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center"/>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1</w:t>
            </w:r>
          </w:p>
        </w:tc>
        <w:tc>
          <w:tcPr>
            <w:tcW w:w="560"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center"/>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1</w:t>
            </w:r>
          </w:p>
        </w:tc>
        <w:tc>
          <w:tcPr>
            <w:tcW w:w="560"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center"/>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3</w:t>
            </w:r>
          </w:p>
        </w:tc>
        <w:tc>
          <w:tcPr>
            <w:tcW w:w="560"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center"/>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1</w:t>
            </w:r>
          </w:p>
        </w:tc>
        <w:tc>
          <w:tcPr>
            <w:tcW w:w="560"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left"/>
              <w:rPr>
                <w:rFonts w:ascii="Calibri" w:eastAsia="Times New Roman" w:hAnsi="Calibri" w:cs="Times New Roman"/>
                <w:color w:val="000000"/>
                <w:lang w:eastAsia="cs-CZ"/>
              </w:rPr>
            </w:pPr>
          </w:p>
        </w:tc>
        <w:tc>
          <w:tcPr>
            <w:tcW w:w="560"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left"/>
              <w:rPr>
                <w:rFonts w:ascii="Calibri" w:eastAsia="Times New Roman" w:hAnsi="Calibri" w:cs="Times New Roman"/>
                <w:color w:val="000000"/>
                <w:lang w:eastAsia="cs-CZ"/>
              </w:rPr>
            </w:pPr>
          </w:p>
        </w:tc>
        <w:tc>
          <w:tcPr>
            <w:tcW w:w="560"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center"/>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7</w:t>
            </w:r>
          </w:p>
        </w:tc>
        <w:tc>
          <w:tcPr>
            <w:tcW w:w="560"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center"/>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14</w:t>
            </w:r>
          </w:p>
        </w:tc>
        <w:tc>
          <w:tcPr>
            <w:tcW w:w="560"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center"/>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1</w:t>
            </w:r>
          </w:p>
        </w:tc>
      </w:tr>
      <w:tr w:rsidR="004E5E1C" w:rsidRPr="004E5E1C" w:rsidTr="00E9137A">
        <w:trPr>
          <w:trHeight w:val="300"/>
          <w:jc w:val="center"/>
        </w:trPr>
        <w:tc>
          <w:tcPr>
            <w:tcW w:w="1291"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center"/>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2014</w:t>
            </w:r>
          </w:p>
        </w:tc>
        <w:tc>
          <w:tcPr>
            <w:tcW w:w="560"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center"/>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2</w:t>
            </w:r>
          </w:p>
        </w:tc>
        <w:tc>
          <w:tcPr>
            <w:tcW w:w="560"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left"/>
              <w:rPr>
                <w:rFonts w:ascii="Calibri" w:eastAsia="Times New Roman" w:hAnsi="Calibri" w:cs="Times New Roman"/>
                <w:color w:val="000000"/>
                <w:lang w:eastAsia="cs-CZ"/>
              </w:rPr>
            </w:pPr>
          </w:p>
        </w:tc>
        <w:tc>
          <w:tcPr>
            <w:tcW w:w="560"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left"/>
              <w:rPr>
                <w:rFonts w:ascii="Calibri" w:eastAsia="Times New Roman" w:hAnsi="Calibri" w:cs="Times New Roman"/>
                <w:color w:val="000000"/>
                <w:lang w:eastAsia="cs-CZ"/>
              </w:rPr>
            </w:pPr>
          </w:p>
        </w:tc>
        <w:tc>
          <w:tcPr>
            <w:tcW w:w="560"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center"/>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1</w:t>
            </w:r>
          </w:p>
        </w:tc>
        <w:tc>
          <w:tcPr>
            <w:tcW w:w="560"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left"/>
              <w:rPr>
                <w:rFonts w:ascii="Calibri" w:eastAsia="Times New Roman" w:hAnsi="Calibri" w:cs="Times New Roman"/>
                <w:color w:val="000000"/>
                <w:lang w:eastAsia="cs-CZ"/>
              </w:rPr>
            </w:pPr>
          </w:p>
        </w:tc>
        <w:tc>
          <w:tcPr>
            <w:tcW w:w="560"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left"/>
              <w:rPr>
                <w:rFonts w:ascii="Calibri" w:eastAsia="Times New Roman" w:hAnsi="Calibri" w:cs="Times New Roman"/>
                <w:color w:val="000000"/>
                <w:lang w:eastAsia="cs-CZ"/>
              </w:rPr>
            </w:pPr>
          </w:p>
        </w:tc>
        <w:tc>
          <w:tcPr>
            <w:tcW w:w="560"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left"/>
              <w:rPr>
                <w:rFonts w:ascii="Calibri" w:eastAsia="Times New Roman" w:hAnsi="Calibri" w:cs="Times New Roman"/>
                <w:color w:val="000000"/>
                <w:lang w:eastAsia="cs-CZ"/>
              </w:rPr>
            </w:pPr>
          </w:p>
        </w:tc>
        <w:tc>
          <w:tcPr>
            <w:tcW w:w="560"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left"/>
              <w:rPr>
                <w:rFonts w:ascii="Calibri" w:eastAsia="Times New Roman" w:hAnsi="Calibri" w:cs="Times New Roman"/>
                <w:color w:val="000000"/>
                <w:lang w:eastAsia="cs-CZ"/>
              </w:rPr>
            </w:pPr>
          </w:p>
        </w:tc>
        <w:tc>
          <w:tcPr>
            <w:tcW w:w="560"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center"/>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1</w:t>
            </w:r>
          </w:p>
        </w:tc>
        <w:tc>
          <w:tcPr>
            <w:tcW w:w="560"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center"/>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2</w:t>
            </w:r>
          </w:p>
        </w:tc>
        <w:tc>
          <w:tcPr>
            <w:tcW w:w="560" w:type="dxa"/>
            <w:tcBorders>
              <w:top w:val="nil"/>
              <w:left w:val="nil"/>
              <w:bottom w:val="nil"/>
              <w:right w:val="nil"/>
            </w:tcBorders>
            <w:shd w:val="clear" w:color="auto" w:fill="auto"/>
            <w:noWrap/>
            <w:vAlign w:val="center"/>
            <w:hideMark/>
          </w:tcPr>
          <w:p w:rsidR="004E5E1C" w:rsidRPr="004E5E1C" w:rsidRDefault="004E5E1C" w:rsidP="004E5E1C">
            <w:pPr>
              <w:spacing w:before="0" w:after="0"/>
              <w:jc w:val="left"/>
              <w:rPr>
                <w:rFonts w:ascii="Calibri" w:eastAsia="Times New Roman" w:hAnsi="Calibri" w:cs="Times New Roman"/>
                <w:color w:val="000000"/>
                <w:lang w:eastAsia="cs-CZ"/>
              </w:rPr>
            </w:pPr>
          </w:p>
        </w:tc>
      </w:tr>
      <w:tr w:rsidR="004E5E1C" w:rsidRPr="004E5E1C" w:rsidTr="00E9137A">
        <w:trPr>
          <w:trHeight w:val="315"/>
          <w:jc w:val="center"/>
        </w:trPr>
        <w:tc>
          <w:tcPr>
            <w:tcW w:w="1291" w:type="dxa"/>
            <w:tcBorders>
              <w:top w:val="nil"/>
              <w:left w:val="nil"/>
              <w:bottom w:val="single" w:sz="8" w:space="0" w:color="auto"/>
              <w:right w:val="nil"/>
            </w:tcBorders>
            <w:shd w:val="clear" w:color="auto" w:fill="auto"/>
            <w:noWrap/>
            <w:vAlign w:val="center"/>
            <w:hideMark/>
          </w:tcPr>
          <w:p w:rsidR="004E5E1C" w:rsidRPr="004E5E1C" w:rsidRDefault="004E5E1C" w:rsidP="004E5E1C">
            <w:pPr>
              <w:spacing w:before="0" w:after="0"/>
              <w:jc w:val="center"/>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2015</w:t>
            </w:r>
          </w:p>
        </w:tc>
        <w:tc>
          <w:tcPr>
            <w:tcW w:w="560" w:type="dxa"/>
            <w:tcBorders>
              <w:top w:val="nil"/>
              <w:left w:val="nil"/>
              <w:bottom w:val="single" w:sz="8" w:space="0" w:color="auto"/>
              <w:right w:val="nil"/>
            </w:tcBorders>
            <w:shd w:val="clear" w:color="auto" w:fill="auto"/>
            <w:noWrap/>
            <w:vAlign w:val="center"/>
            <w:hideMark/>
          </w:tcPr>
          <w:p w:rsidR="004E5E1C" w:rsidRPr="004E5E1C" w:rsidRDefault="004E5E1C" w:rsidP="004E5E1C">
            <w:pPr>
              <w:spacing w:before="0" w:after="0"/>
              <w:jc w:val="center"/>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8</w:t>
            </w:r>
          </w:p>
        </w:tc>
        <w:tc>
          <w:tcPr>
            <w:tcW w:w="560" w:type="dxa"/>
            <w:tcBorders>
              <w:top w:val="nil"/>
              <w:left w:val="nil"/>
              <w:bottom w:val="single" w:sz="8" w:space="0" w:color="auto"/>
              <w:right w:val="nil"/>
            </w:tcBorders>
            <w:shd w:val="clear" w:color="auto" w:fill="auto"/>
            <w:noWrap/>
            <w:vAlign w:val="center"/>
            <w:hideMark/>
          </w:tcPr>
          <w:p w:rsidR="004E5E1C" w:rsidRPr="004E5E1C" w:rsidRDefault="004E5E1C" w:rsidP="004E5E1C">
            <w:pPr>
              <w:spacing w:before="0" w:after="0"/>
              <w:jc w:val="center"/>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6</w:t>
            </w:r>
          </w:p>
        </w:tc>
        <w:tc>
          <w:tcPr>
            <w:tcW w:w="560" w:type="dxa"/>
            <w:tcBorders>
              <w:top w:val="nil"/>
              <w:left w:val="nil"/>
              <w:bottom w:val="single" w:sz="8" w:space="0" w:color="auto"/>
              <w:right w:val="nil"/>
            </w:tcBorders>
            <w:shd w:val="clear" w:color="auto" w:fill="auto"/>
            <w:noWrap/>
            <w:vAlign w:val="center"/>
            <w:hideMark/>
          </w:tcPr>
          <w:p w:rsidR="004E5E1C" w:rsidRPr="004E5E1C" w:rsidRDefault="004E5E1C" w:rsidP="004E5E1C">
            <w:pPr>
              <w:spacing w:before="0" w:after="0"/>
              <w:jc w:val="center"/>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3</w:t>
            </w:r>
          </w:p>
        </w:tc>
        <w:tc>
          <w:tcPr>
            <w:tcW w:w="560" w:type="dxa"/>
            <w:tcBorders>
              <w:top w:val="nil"/>
              <w:left w:val="nil"/>
              <w:bottom w:val="single" w:sz="8" w:space="0" w:color="auto"/>
              <w:right w:val="nil"/>
            </w:tcBorders>
            <w:shd w:val="clear" w:color="auto" w:fill="auto"/>
            <w:noWrap/>
            <w:vAlign w:val="center"/>
            <w:hideMark/>
          </w:tcPr>
          <w:p w:rsidR="004E5E1C" w:rsidRPr="004E5E1C" w:rsidRDefault="004E5E1C" w:rsidP="004E5E1C">
            <w:pPr>
              <w:spacing w:before="0" w:after="0"/>
              <w:jc w:val="center"/>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4</w:t>
            </w:r>
          </w:p>
        </w:tc>
        <w:tc>
          <w:tcPr>
            <w:tcW w:w="560" w:type="dxa"/>
            <w:tcBorders>
              <w:top w:val="nil"/>
              <w:left w:val="nil"/>
              <w:bottom w:val="single" w:sz="8" w:space="0" w:color="auto"/>
              <w:right w:val="nil"/>
            </w:tcBorders>
            <w:shd w:val="clear" w:color="auto" w:fill="auto"/>
            <w:noWrap/>
            <w:vAlign w:val="center"/>
            <w:hideMark/>
          </w:tcPr>
          <w:p w:rsidR="004E5E1C" w:rsidRPr="004E5E1C" w:rsidRDefault="004E5E1C" w:rsidP="004E5E1C">
            <w:pPr>
              <w:spacing w:before="0" w:after="0"/>
              <w:jc w:val="center"/>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2</w:t>
            </w:r>
          </w:p>
        </w:tc>
        <w:tc>
          <w:tcPr>
            <w:tcW w:w="560" w:type="dxa"/>
            <w:tcBorders>
              <w:top w:val="nil"/>
              <w:left w:val="nil"/>
              <w:bottom w:val="single" w:sz="8" w:space="0" w:color="auto"/>
              <w:right w:val="nil"/>
            </w:tcBorders>
            <w:shd w:val="clear" w:color="auto" w:fill="auto"/>
            <w:noWrap/>
            <w:vAlign w:val="center"/>
            <w:hideMark/>
          </w:tcPr>
          <w:p w:rsidR="004E5E1C" w:rsidRPr="004E5E1C" w:rsidRDefault="004E5E1C" w:rsidP="004E5E1C">
            <w:pPr>
              <w:spacing w:before="0" w:after="0"/>
              <w:jc w:val="center"/>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2</w:t>
            </w:r>
          </w:p>
        </w:tc>
        <w:tc>
          <w:tcPr>
            <w:tcW w:w="560" w:type="dxa"/>
            <w:tcBorders>
              <w:top w:val="nil"/>
              <w:left w:val="nil"/>
              <w:bottom w:val="single" w:sz="8" w:space="0" w:color="auto"/>
              <w:right w:val="nil"/>
            </w:tcBorders>
            <w:shd w:val="clear" w:color="auto" w:fill="auto"/>
            <w:noWrap/>
            <w:vAlign w:val="center"/>
            <w:hideMark/>
          </w:tcPr>
          <w:p w:rsidR="004E5E1C" w:rsidRPr="004E5E1C" w:rsidRDefault="004E5E1C" w:rsidP="004E5E1C">
            <w:pPr>
              <w:spacing w:before="0" w:after="0"/>
              <w:jc w:val="left"/>
              <w:rPr>
                <w:rFonts w:ascii="Calibri" w:eastAsia="Times New Roman" w:hAnsi="Calibri" w:cs="Times New Roman"/>
                <w:color w:val="000000"/>
                <w:lang w:eastAsia="cs-CZ"/>
              </w:rPr>
            </w:pPr>
            <w:r w:rsidRPr="004E5E1C">
              <w:rPr>
                <w:rFonts w:ascii="Calibri" w:eastAsia="Times New Roman" w:hAnsi="Calibri" w:cs="Times New Roman"/>
                <w:color w:val="000000"/>
                <w:lang w:eastAsia="cs-CZ"/>
              </w:rPr>
              <w:t> </w:t>
            </w:r>
          </w:p>
        </w:tc>
        <w:tc>
          <w:tcPr>
            <w:tcW w:w="560" w:type="dxa"/>
            <w:tcBorders>
              <w:top w:val="nil"/>
              <w:left w:val="nil"/>
              <w:bottom w:val="single" w:sz="8" w:space="0" w:color="auto"/>
              <w:right w:val="nil"/>
            </w:tcBorders>
            <w:shd w:val="clear" w:color="auto" w:fill="auto"/>
            <w:noWrap/>
            <w:vAlign w:val="center"/>
            <w:hideMark/>
          </w:tcPr>
          <w:p w:rsidR="004E5E1C" w:rsidRPr="004E5E1C" w:rsidRDefault="004E5E1C" w:rsidP="004E5E1C">
            <w:pPr>
              <w:spacing w:before="0" w:after="0"/>
              <w:jc w:val="center"/>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1</w:t>
            </w:r>
          </w:p>
        </w:tc>
        <w:tc>
          <w:tcPr>
            <w:tcW w:w="560" w:type="dxa"/>
            <w:tcBorders>
              <w:top w:val="nil"/>
              <w:left w:val="nil"/>
              <w:bottom w:val="single" w:sz="8" w:space="0" w:color="auto"/>
              <w:right w:val="nil"/>
            </w:tcBorders>
            <w:shd w:val="clear" w:color="auto" w:fill="auto"/>
            <w:noWrap/>
            <w:vAlign w:val="center"/>
            <w:hideMark/>
          </w:tcPr>
          <w:p w:rsidR="004E5E1C" w:rsidRPr="004E5E1C" w:rsidRDefault="004E5E1C" w:rsidP="004E5E1C">
            <w:pPr>
              <w:spacing w:before="0" w:after="0"/>
              <w:jc w:val="center"/>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3</w:t>
            </w:r>
          </w:p>
        </w:tc>
        <w:tc>
          <w:tcPr>
            <w:tcW w:w="560" w:type="dxa"/>
            <w:tcBorders>
              <w:top w:val="nil"/>
              <w:left w:val="nil"/>
              <w:bottom w:val="single" w:sz="8" w:space="0" w:color="auto"/>
              <w:right w:val="nil"/>
            </w:tcBorders>
            <w:shd w:val="clear" w:color="auto" w:fill="auto"/>
            <w:noWrap/>
            <w:vAlign w:val="center"/>
            <w:hideMark/>
          </w:tcPr>
          <w:p w:rsidR="004E5E1C" w:rsidRPr="004E5E1C" w:rsidRDefault="004E5E1C" w:rsidP="004E5E1C">
            <w:pPr>
              <w:spacing w:before="0" w:after="0"/>
              <w:jc w:val="center"/>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13</w:t>
            </w:r>
          </w:p>
        </w:tc>
        <w:tc>
          <w:tcPr>
            <w:tcW w:w="560" w:type="dxa"/>
            <w:tcBorders>
              <w:top w:val="nil"/>
              <w:left w:val="nil"/>
              <w:bottom w:val="single" w:sz="8" w:space="0" w:color="auto"/>
              <w:right w:val="nil"/>
            </w:tcBorders>
            <w:shd w:val="clear" w:color="auto" w:fill="auto"/>
            <w:noWrap/>
            <w:vAlign w:val="center"/>
            <w:hideMark/>
          </w:tcPr>
          <w:p w:rsidR="004E5E1C" w:rsidRPr="004E5E1C" w:rsidRDefault="004E5E1C" w:rsidP="004E5E1C">
            <w:pPr>
              <w:spacing w:before="0" w:after="0"/>
              <w:jc w:val="center"/>
              <w:rPr>
                <w:rFonts w:ascii="Calibri" w:eastAsia="Times New Roman" w:hAnsi="Calibri" w:cs="Times New Roman"/>
                <w:color w:val="000000"/>
                <w:sz w:val="18"/>
                <w:szCs w:val="18"/>
                <w:lang w:eastAsia="cs-CZ"/>
              </w:rPr>
            </w:pPr>
            <w:r w:rsidRPr="004E5E1C">
              <w:rPr>
                <w:rFonts w:ascii="Calibri" w:eastAsia="Times New Roman" w:hAnsi="Calibri" w:cs="Times New Roman"/>
                <w:color w:val="000000"/>
                <w:sz w:val="18"/>
                <w:szCs w:val="18"/>
                <w:lang w:eastAsia="cs-CZ"/>
              </w:rPr>
              <w:t>2</w:t>
            </w:r>
          </w:p>
        </w:tc>
      </w:tr>
      <w:tr w:rsidR="004E5E1C" w:rsidRPr="004E5E1C" w:rsidTr="00E9137A">
        <w:trPr>
          <w:trHeight w:val="315"/>
          <w:jc w:val="center"/>
        </w:trPr>
        <w:tc>
          <w:tcPr>
            <w:tcW w:w="1291" w:type="dxa"/>
            <w:tcBorders>
              <w:top w:val="nil"/>
              <w:left w:val="nil"/>
              <w:bottom w:val="single" w:sz="8" w:space="0" w:color="auto"/>
              <w:right w:val="nil"/>
            </w:tcBorders>
            <w:shd w:val="clear" w:color="000000" w:fill="D9D9D9"/>
            <w:noWrap/>
            <w:vAlign w:val="center"/>
            <w:hideMark/>
          </w:tcPr>
          <w:p w:rsidR="004E5E1C" w:rsidRPr="004E5E1C" w:rsidRDefault="004E5E1C" w:rsidP="004E5E1C">
            <w:pPr>
              <w:spacing w:before="0" w:after="0"/>
              <w:jc w:val="center"/>
              <w:rPr>
                <w:rFonts w:ascii="Calibri" w:eastAsia="Times New Roman" w:hAnsi="Calibri" w:cs="Times New Roman"/>
                <w:b/>
                <w:bCs/>
                <w:color w:val="000000"/>
                <w:sz w:val="18"/>
                <w:szCs w:val="18"/>
                <w:lang w:eastAsia="cs-CZ"/>
              </w:rPr>
            </w:pPr>
            <w:r w:rsidRPr="004E5E1C">
              <w:rPr>
                <w:rFonts w:ascii="Calibri" w:eastAsia="Times New Roman" w:hAnsi="Calibri" w:cs="Times New Roman"/>
                <w:b/>
                <w:bCs/>
                <w:color w:val="000000"/>
                <w:sz w:val="18"/>
                <w:szCs w:val="18"/>
                <w:lang w:eastAsia="cs-CZ"/>
              </w:rPr>
              <w:t>2010 - 2015</w:t>
            </w:r>
          </w:p>
        </w:tc>
        <w:tc>
          <w:tcPr>
            <w:tcW w:w="560" w:type="dxa"/>
            <w:tcBorders>
              <w:top w:val="nil"/>
              <w:left w:val="nil"/>
              <w:bottom w:val="single" w:sz="8" w:space="0" w:color="auto"/>
              <w:right w:val="nil"/>
            </w:tcBorders>
            <w:shd w:val="clear" w:color="000000" w:fill="D9D9D9"/>
            <w:noWrap/>
            <w:vAlign w:val="center"/>
            <w:hideMark/>
          </w:tcPr>
          <w:p w:rsidR="004E5E1C" w:rsidRPr="004E5E1C" w:rsidRDefault="004E5E1C" w:rsidP="004E5E1C">
            <w:pPr>
              <w:spacing w:before="0" w:after="0"/>
              <w:jc w:val="center"/>
              <w:rPr>
                <w:rFonts w:ascii="Calibri" w:eastAsia="Times New Roman" w:hAnsi="Calibri" w:cs="Times New Roman"/>
                <w:b/>
                <w:bCs/>
                <w:color w:val="000000"/>
                <w:sz w:val="18"/>
                <w:szCs w:val="18"/>
                <w:lang w:eastAsia="cs-CZ"/>
              </w:rPr>
            </w:pPr>
            <w:r w:rsidRPr="004E5E1C">
              <w:rPr>
                <w:rFonts w:ascii="Calibri" w:eastAsia="Times New Roman" w:hAnsi="Calibri" w:cs="Times New Roman"/>
                <w:b/>
                <w:bCs/>
                <w:color w:val="000000"/>
                <w:sz w:val="18"/>
                <w:szCs w:val="18"/>
                <w:lang w:eastAsia="cs-CZ"/>
              </w:rPr>
              <w:t>33</w:t>
            </w:r>
          </w:p>
        </w:tc>
        <w:tc>
          <w:tcPr>
            <w:tcW w:w="560" w:type="dxa"/>
            <w:tcBorders>
              <w:top w:val="nil"/>
              <w:left w:val="nil"/>
              <w:bottom w:val="single" w:sz="8" w:space="0" w:color="auto"/>
              <w:right w:val="nil"/>
            </w:tcBorders>
            <w:shd w:val="clear" w:color="000000" w:fill="D9D9D9"/>
            <w:noWrap/>
            <w:vAlign w:val="center"/>
            <w:hideMark/>
          </w:tcPr>
          <w:p w:rsidR="004E5E1C" w:rsidRPr="004E5E1C" w:rsidRDefault="004E5E1C" w:rsidP="004E5E1C">
            <w:pPr>
              <w:spacing w:before="0" w:after="0"/>
              <w:jc w:val="center"/>
              <w:rPr>
                <w:rFonts w:ascii="Calibri" w:eastAsia="Times New Roman" w:hAnsi="Calibri" w:cs="Times New Roman"/>
                <w:b/>
                <w:bCs/>
                <w:color w:val="000000"/>
                <w:sz w:val="18"/>
                <w:szCs w:val="18"/>
                <w:lang w:eastAsia="cs-CZ"/>
              </w:rPr>
            </w:pPr>
            <w:r w:rsidRPr="004E5E1C">
              <w:rPr>
                <w:rFonts w:ascii="Calibri" w:eastAsia="Times New Roman" w:hAnsi="Calibri" w:cs="Times New Roman"/>
                <w:b/>
                <w:bCs/>
                <w:color w:val="000000"/>
                <w:sz w:val="18"/>
                <w:szCs w:val="18"/>
                <w:lang w:eastAsia="cs-CZ"/>
              </w:rPr>
              <w:t>28</w:t>
            </w:r>
          </w:p>
        </w:tc>
        <w:tc>
          <w:tcPr>
            <w:tcW w:w="560" w:type="dxa"/>
            <w:tcBorders>
              <w:top w:val="nil"/>
              <w:left w:val="nil"/>
              <w:bottom w:val="single" w:sz="8" w:space="0" w:color="auto"/>
              <w:right w:val="nil"/>
            </w:tcBorders>
            <w:shd w:val="clear" w:color="000000" w:fill="D9D9D9"/>
            <w:noWrap/>
            <w:vAlign w:val="center"/>
            <w:hideMark/>
          </w:tcPr>
          <w:p w:rsidR="004E5E1C" w:rsidRPr="004E5E1C" w:rsidRDefault="004E5E1C" w:rsidP="004E5E1C">
            <w:pPr>
              <w:spacing w:before="0" w:after="0"/>
              <w:jc w:val="center"/>
              <w:rPr>
                <w:rFonts w:ascii="Calibri" w:eastAsia="Times New Roman" w:hAnsi="Calibri" w:cs="Times New Roman"/>
                <w:b/>
                <w:bCs/>
                <w:color w:val="000000"/>
                <w:sz w:val="18"/>
                <w:szCs w:val="18"/>
                <w:lang w:eastAsia="cs-CZ"/>
              </w:rPr>
            </w:pPr>
            <w:r w:rsidRPr="004E5E1C">
              <w:rPr>
                <w:rFonts w:ascii="Calibri" w:eastAsia="Times New Roman" w:hAnsi="Calibri" w:cs="Times New Roman"/>
                <w:b/>
                <w:bCs/>
                <w:color w:val="000000"/>
                <w:sz w:val="18"/>
                <w:szCs w:val="18"/>
                <w:lang w:eastAsia="cs-CZ"/>
              </w:rPr>
              <w:t>5</w:t>
            </w:r>
          </w:p>
        </w:tc>
        <w:tc>
          <w:tcPr>
            <w:tcW w:w="560" w:type="dxa"/>
            <w:tcBorders>
              <w:top w:val="nil"/>
              <w:left w:val="nil"/>
              <w:bottom w:val="single" w:sz="8" w:space="0" w:color="auto"/>
              <w:right w:val="nil"/>
            </w:tcBorders>
            <w:shd w:val="clear" w:color="000000" w:fill="D9D9D9"/>
            <w:noWrap/>
            <w:vAlign w:val="center"/>
            <w:hideMark/>
          </w:tcPr>
          <w:p w:rsidR="004E5E1C" w:rsidRPr="004E5E1C" w:rsidRDefault="004E5E1C" w:rsidP="004E5E1C">
            <w:pPr>
              <w:spacing w:before="0" w:after="0"/>
              <w:jc w:val="center"/>
              <w:rPr>
                <w:rFonts w:ascii="Calibri" w:eastAsia="Times New Roman" w:hAnsi="Calibri" w:cs="Times New Roman"/>
                <w:b/>
                <w:bCs/>
                <w:color w:val="000000"/>
                <w:sz w:val="18"/>
                <w:szCs w:val="18"/>
                <w:lang w:eastAsia="cs-CZ"/>
              </w:rPr>
            </w:pPr>
            <w:r w:rsidRPr="004E5E1C">
              <w:rPr>
                <w:rFonts w:ascii="Calibri" w:eastAsia="Times New Roman" w:hAnsi="Calibri" w:cs="Times New Roman"/>
                <w:b/>
                <w:bCs/>
                <w:color w:val="000000"/>
                <w:sz w:val="18"/>
                <w:szCs w:val="18"/>
                <w:lang w:eastAsia="cs-CZ"/>
              </w:rPr>
              <w:t>19</w:t>
            </w:r>
          </w:p>
        </w:tc>
        <w:tc>
          <w:tcPr>
            <w:tcW w:w="560" w:type="dxa"/>
            <w:tcBorders>
              <w:top w:val="nil"/>
              <w:left w:val="nil"/>
              <w:bottom w:val="single" w:sz="8" w:space="0" w:color="auto"/>
              <w:right w:val="nil"/>
            </w:tcBorders>
            <w:shd w:val="clear" w:color="000000" w:fill="D9D9D9"/>
            <w:noWrap/>
            <w:vAlign w:val="center"/>
            <w:hideMark/>
          </w:tcPr>
          <w:p w:rsidR="004E5E1C" w:rsidRPr="004E5E1C" w:rsidRDefault="004E5E1C" w:rsidP="004E5E1C">
            <w:pPr>
              <w:spacing w:before="0" w:after="0"/>
              <w:jc w:val="center"/>
              <w:rPr>
                <w:rFonts w:ascii="Calibri" w:eastAsia="Times New Roman" w:hAnsi="Calibri" w:cs="Times New Roman"/>
                <w:b/>
                <w:bCs/>
                <w:color w:val="000000"/>
                <w:sz w:val="18"/>
                <w:szCs w:val="18"/>
                <w:lang w:eastAsia="cs-CZ"/>
              </w:rPr>
            </w:pPr>
            <w:r w:rsidRPr="004E5E1C">
              <w:rPr>
                <w:rFonts w:ascii="Calibri" w:eastAsia="Times New Roman" w:hAnsi="Calibri" w:cs="Times New Roman"/>
                <w:b/>
                <w:bCs/>
                <w:color w:val="000000"/>
                <w:sz w:val="18"/>
                <w:szCs w:val="18"/>
                <w:lang w:eastAsia="cs-CZ"/>
              </w:rPr>
              <w:t>24</w:t>
            </w:r>
          </w:p>
        </w:tc>
        <w:tc>
          <w:tcPr>
            <w:tcW w:w="560" w:type="dxa"/>
            <w:tcBorders>
              <w:top w:val="nil"/>
              <w:left w:val="nil"/>
              <w:bottom w:val="single" w:sz="8" w:space="0" w:color="auto"/>
              <w:right w:val="nil"/>
            </w:tcBorders>
            <w:shd w:val="clear" w:color="000000" w:fill="D9D9D9"/>
            <w:noWrap/>
            <w:vAlign w:val="center"/>
            <w:hideMark/>
          </w:tcPr>
          <w:p w:rsidR="004E5E1C" w:rsidRPr="004E5E1C" w:rsidRDefault="004E5E1C" w:rsidP="004E5E1C">
            <w:pPr>
              <w:spacing w:before="0" w:after="0"/>
              <w:jc w:val="center"/>
              <w:rPr>
                <w:rFonts w:ascii="Calibri" w:eastAsia="Times New Roman" w:hAnsi="Calibri" w:cs="Times New Roman"/>
                <w:b/>
                <w:bCs/>
                <w:color w:val="000000"/>
                <w:sz w:val="18"/>
                <w:szCs w:val="18"/>
                <w:lang w:eastAsia="cs-CZ"/>
              </w:rPr>
            </w:pPr>
            <w:r w:rsidRPr="004E5E1C">
              <w:rPr>
                <w:rFonts w:ascii="Calibri" w:eastAsia="Times New Roman" w:hAnsi="Calibri" w:cs="Times New Roman"/>
                <w:b/>
                <w:bCs/>
                <w:color w:val="000000"/>
                <w:sz w:val="18"/>
                <w:szCs w:val="18"/>
                <w:lang w:eastAsia="cs-CZ"/>
              </w:rPr>
              <w:t>10</w:t>
            </w:r>
          </w:p>
        </w:tc>
        <w:tc>
          <w:tcPr>
            <w:tcW w:w="560" w:type="dxa"/>
            <w:tcBorders>
              <w:top w:val="nil"/>
              <w:left w:val="nil"/>
              <w:bottom w:val="single" w:sz="8" w:space="0" w:color="auto"/>
              <w:right w:val="nil"/>
            </w:tcBorders>
            <w:shd w:val="clear" w:color="000000" w:fill="D9D9D9"/>
            <w:noWrap/>
            <w:vAlign w:val="center"/>
            <w:hideMark/>
          </w:tcPr>
          <w:p w:rsidR="004E5E1C" w:rsidRPr="004E5E1C" w:rsidRDefault="004E5E1C" w:rsidP="004E5E1C">
            <w:pPr>
              <w:spacing w:before="0" w:after="0"/>
              <w:jc w:val="center"/>
              <w:rPr>
                <w:rFonts w:ascii="Calibri" w:eastAsia="Times New Roman" w:hAnsi="Calibri" w:cs="Times New Roman"/>
                <w:b/>
                <w:bCs/>
                <w:color w:val="000000"/>
                <w:sz w:val="18"/>
                <w:szCs w:val="18"/>
                <w:lang w:eastAsia="cs-CZ"/>
              </w:rPr>
            </w:pPr>
            <w:r w:rsidRPr="004E5E1C">
              <w:rPr>
                <w:rFonts w:ascii="Calibri" w:eastAsia="Times New Roman" w:hAnsi="Calibri" w:cs="Times New Roman"/>
                <w:b/>
                <w:bCs/>
                <w:color w:val="000000"/>
                <w:sz w:val="18"/>
                <w:szCs w:val="18"/>
                <w:lang w:eastAsia="cs-CZ"/>
              </w:rPr>
              <w:t>4</w:t>
            </w:r>
          </w:p>
        </w:tc>
        <w:tc>
          <w:tcPr>
            <w:tcW w:w="560" w:type="dxa"/>
            <w:tcBorders>
              <w:top w:val="nil"/>
              <w:left w:val="nil"/>
              <w:bottom w:val="single" w:sz="8" w:space="0" w:color="auto"/>
              <w:right w:val="nil"/>
            </w:tcBorders>
            <w:shd w:val="clear" w:color="000000" w:fill="D9D9D9"/>
            <w:noWrap/>
            <w:vAlign w:val="center"/>
            <w:hideMark/>
          </w:tcPr>
          <w:p w:rsidR="004E5E1C" w:rsidRPr="004E5E1C" w:rsidRDefault="004E5E1C" w:rsidP="004E5E1C">
            <w:pPr>
              <w:spacing w:before="0" w:after="0"/>
              <w:jc w:val="center"/>
              <w:rPr>
                <w:rFonts w:ascii="Calibri" w:eastAsia="Times New Roman" w:hAnsi="Calibri" w:cs="Times New Roman"/>
                <w:b/>
                <w:bCs/>
                <w:color w:val="000000"/>
                <w:sz w:val="18"/>
                <w:szCs w:val="18"/>
                <w:lang w:eastAsia="cs-CZ"/>
              </w:rPr>
            </w:pPr>
            <w:r w:rsidRPr="004E5E1C">
              <w:rPr>
                <w:rFonts w:ascii="Calibri" w:eastAsia="Times New Roman" w:hAnsi="Calibri" w:cs="Times New Roman"/>
                <w:b/>
                <w:bCs/>
                <w:color w:val="000000"/>
                <w:sz w:val="18"/>
                <w:szCs w:val="18"/>
                <w:lang w:eastAsia="cs-CZ"/>
              </w:rPr>
              <w:t>4</w:t>
            </w:r>
          </w:p>
        </w:tc>
        <w:tc>
          <w:tcPr>
            <w:tcW w:w="560" w:type="dxa"/>
            <w:tcBorders>
              <w:top w:val="nil"/>
              <w:left w:val="nil"/>
              <w:bottom w:val="single" w:sz="8" w:space="0" w:color="auto"/>
              <w:right w:val="nil"/>
            </w:tcBorders>
            <w:shd w:val="clear" w:color="000000" w:fill="D9D9D9"/>
            <w:noWrap/>
            <w:vAlign w:val="center"/>
            <w:hideMark/>
          </w:tcPr>
          <w:p w:rsidR="004E5E1C" w:rsidRPr="004E5E1C" w:rsidRDefault="004E5E1C" w:rsidP="004E5E1C">
            <w:pPr>
              <w:spacing w:before="0" w:after="0"/>
              <w:jc w:val="center"/>
              <w:rPr>
                <w:rFonts w:ascii="Calibri" w:eastAsia="Times New Roman" w:hAnsi="Calibri" w:cs="Times New Roman"/>
                <w:b/>
                <w:bCs/>
                <w:color w:val="000000"/>
                <w:sz w:val="18"/>
                <w:szCs w:val="18"/>
                <w:lang w:eastAsia="cs-CZ"/>
              </w:rPr>
            </w:pPr>
            <w:r w:rsidRPr="004E5E1C">
              <w:rPr>
                <w:rFonts w:ascii="Calibri" w:eastAsia="Times New Roman" w:hAnsi="Calibri" w:cs="Times New Roman"/>
                <w:b/>
                <w:bCs/>
                <w:color w:val="000000"/>
                <w:sz w:val="18"/>
                <w:szCs w:val="18"/>
                <w:lang w:eastAsia="cs-CZ"/>
              </w:rPr>
              <w:t>24</w:t>
            </w:r>
          </w:p>
        </w:tc>
        <w:tc>
          <w:tcPr>
            <w:tcW w:w="560" w:type="dxa"/>
            <w:tcBorders>
              <w:top w:val="nil"/>
              <w:left w:val="nil"/>
              <w:bottom w:val="single" w:sz="8" w:space="0" w:color="auto"/>
              <w:right w:val="nil"/>
            </w:tcBorders>
            <w:shd w:val="clear" w:color="000000" w:fill="D9D9D9"/>
            <w:noWrap/>
            <w:vAlign w:val="center"/>
            <w:hideMark/>
          </w:tcPr>
          <w:p w:rsidR="004E5E1C" w:rsidRPr="004E5E1C" w:rsidRDefault="004E5E1C" w:rsidP="004E5E1C">
            <w:pPr>
              <w:spacing w:before="0" w:after="0"/>
              <w:jc w:val="center"/>
              <w:rPr>
                <w:rFonts w:ascii="Calibri" w:eastAsia="Times New Roman" w:hAnsi="Calibri" w:cs="Times New Roman"/>
                <w:b/>
                <w:bCs/>
                <w:color w:val="000000"/>
                <w:sz w:val="18"/>
                <w:szCs w:val="18"/>
                <w:lang w:eastAsia="cs-CZ"/>
              </w:rPr>
            </w:pPr>
            <w:r w:rsidRPr="004E5E1C">
              <w:rPr>
                <w:rFonts w:ascii="Calibri" w:eastAsia="Times New Roman" w:hAnsi="Calibri" w:cs="Times New Roman"/>
                <w:b/>
                <w:bCs/>
                <w:color w:val="000000"/>
                <w:sz w:val="18"/>
                <w:szCs w:val="18"/>
                <w:lang w:eastAsia="cs-CZ"/>
              </w:rPr>
              <w:t>60</w:t>
            </w:r>
          </w:p>
        </w:tc>
        <w:tc>
          <w:tcPr>
            <w:tcW w:w="560" w:type="dxa"/>
            <w:tcBorders>
              <w:top w:val="nil"/>
              <w:left w:val="nil"/>
              <w:bottom w:val="single" w:sz="8" w:space="0" w:color="auto"/>
              <w:right w:val="nil"/>
            </w:tcBorders>
            <w:shd w:val="clear" w:color="000000" w:fill="D9D9D9"/>
            <w:noWrap/>
            <w:vAlign w:val="center"/>
            <w:hideMark/>
          </w:tcPr>
          <w:p w:rsidR="004E5E1C" w:rsidRPr="004E5E1C" w:rsidRDefault="004E5E1C" w:rsidP="004E5E1C">
            <w:pPr>
              <w:spacing w:before="0" w:after="0"/>
              <w:jc w:val="center"/>
              <w:rPr>
                <w:rFonts w:ascii="Calibri" w:eastAsia="Times New Roman" w:hAnsi="Calibri" w:cs="Times New Roman"/>
                <w:b/>
                <w:bCs/>
                <w:color w:val="000000"/>
                <w:sz w:val="18"/>
                <w:szCs w:val="18"/>
                <w:lang w:eastAsia="cs-CZ"/>
              </w:rPr>
            </w:pPr>
            <w:r w:rsidRPr="004E5E1C">
              <w:rPr>
                <w:rFonts w:ascii="Calibri" w:eastAsia="Times New Roman" w:hAnsi="Calibri" w:cs="Times New Roman"/>
                <w:b/>
                <w:bCs/>
                <w:color w:val="000000"/>
                <w:sz w:val="18"/>
                <w:szCs w:val="18"/>
                <w:lang w:eastAsia="cs-CZ"/>
              </w:rPr>
              <w:t>7</w:t>
            </w:r>
          </w:p>
        </w:tc>
      </w:tr>
    </w:tbl>
    <w:p w:rsidR="004E5E1C" w:rsidRPr="00E022BD" w:rsidRDefault="004E5E1C" w:rsidP="00E022BD"/>
    <w:p w:rsidR="00B55311" w:rsidRDefault="00B55311" w:rsidP="003A7534">
      <w:pPr>
        <w:pStyle w:val="Titulek"/>
        <w:keepNext/>
      </w:pPr>
      <w:bookmarkStart w:id="35" w:name="_Ref450231499"/>
      <w:r>
        <w:t xml:space="preserve">Tab. </w:t>
      </w:r>
      <w:r w:rsidR="00990E2D">
        <w:fldChar w:fldCharType="begin"/>
      </w:r>
      <w:r w:rsidR="00990E2D">
        <w:instrText xml:space="preserve"> SEQ Tab. \* ARABIC </w:instrText>
      </w:r>
      <w:r w:rsidR="00990E2D">
        <w:fldChar w:fldCharType="separate"/>
      </w:r>
      <w:r w:rsidR="003F08E5">
        <w:rPr>
          <w:noProof/>
        </w:rPr>
        <w:t>7</w:t>
      </w:r>
      <w:r w:rsidR="00990E2D">
        <w:rPr>
          <w:noProof/>
        </w:rPr>
        <w:fldChar w:fldCharType="end"/>
      </w:r>
      <w:bookmarkEnd w:id="35"/>
      <w:r>
        <w:tab/>
      </w:r>
      <w:r w:rsidRPr="00B55311">
        <w:t>Průměrná veřejná podpora na zahájený projekt v širších vědních oborech v letech 2010 – 2015 (tis. Kč)</w:t>
      </w:r>
      <w:r>
        <w:t>. Zdroj: IS VaVaI</w:t>
      </w:r>
    </w:p>
    <w:tbl>
      <w:tblPr>
        <w:tblW w:w="9020" w:type="dxa"/>
        <w:tblInd w:w="55" w:type="dxa"/>
        <w:tblCellMar>
          <w:left w:w="70" w:type="dxa"/>
          <w:right w:w="70" w:type="dxa"/>
        </w:tblCellMar>
        <w:tblLook w:val="04A0" w:firstRow="1" w:lastRow="0" w:firstColumn="1" w:lastColumn="0" w:noHBand="0" w:noVBand="1"/>
      </w:tblPr>
      <w:tblGrid>
        <w:gridCol w:w="660"/>
        <w:gridCol w:w="760"/>
        <w:gridCol w:w="760"/>
        <w:gridCol w:w="760"/>
        <w:gridCol w:w="760"/>
        <w:gridCol w:w="760"/>
        <w:gridCol w:w="760"/>
        <w:gridCol w:w="760"/>
        <w:gridCol w:w="760"/>
        <w:gridCol w:w="760"/>
        <w:gridCol w:w="760"/>
        <w:gridCol w:w="760"/>
      </w:tblGrid>
      <w:tr w:rsidR="00761200" w:rsidRPr="00761200" w:rsidTr="00761200">
        <w:trPr>
          <w:trHeight w:val="315"/>
        </w:trPr>
        <w:tc>
          <w:tcPr>
            <w:tcW w:w="9020" w:type="dxa"/>
            <w:gridSpan w:val="12"/>
            <w:tcBorders>
              <w:top w:val="single" w:sz="8" w:space="0" w:color="auto"/>
              <w:left w:val="nil"/>
              <w:bottom w:val="single" w:sz="8" w:space="0" w:color="auto"/>
              <w:right w:val="nil"/>
            </w:tcBorders>
            <w:shd w:val="clear" w:color="000000" w:fill="D9D9D9"/>
            <w:noWrap/>
            <w:vAlign w:val="center"/>
            <w:hideMark/>
          </w:tcPr>
          <w:p w:rsidR="00761200" w:rsidRPr="00761200" w:rsidRDefault="00761200" w:rsidP="003A7534">
            <w:pPr>
              <w:keepNext/>
              <w:spacing w:before="0" w:after="0"/>
              <w:jc w:val="center"/>
              <w:rPr>
                <w:rFonts w:ascii="Calibri" w:eastAsia="Times New Roman" w:hAnsi="Calibri" w:cs="Times New Roman"/>
                <w:b/>
                <w:bCs/>
                <w:color w:val="000000"/>
                <w:sz w:val="16"/>
                <w:szCs w:val="16"/>
                <w:lang w:eastAsia="cs-CZ"/>
              </w:rPr>
            </w:pPr>
            <w:r w:rsidRPr="00761200">
              <w:rPr>
                <w:rFonts w:ascii="Calibri" w:eastAsia="Times New Roman" w:hAnsi="Calibri" w:cs="Times New Roman"/>
                <w:b/>
                <w:bCs/>
                <w:color w:val="000000"/>
                <w:sz w:val="16"/>
                <w:szCs w:val="16"/>
                <w:lang w:eastAsia="cs-CZ"/>
              </w:rPr>
              <w:t>Průměrná veřejná podpora/zahájený projekt, tis. Kč</w:t>
            </w:r>
          </w:p>
        </w:tc>
      </w:tr>
      <w:tr w:rsidR="00761200" w:rsidRPr="00761200" w:rsidTr="00761200">
        <w:trPr>
          <w:trHeight w:val="2235"/>
        </w:trPr>
        <w:tc>
          <w:tcPr>
            <w:tcW w:w="660" w:type="dxa"/>
            <w:tcBorders>
              <w:top w:val="nil"/>
              <w:left w:val="nil"/>
              <w:bottom w:val="single" w:sz="8" w:space="0" w:color="auto"/>
              <w:right w:val="nil"/>
            </w:tcBorders>
            <w:shd w:val="clear" w:color="000000" w:fill="F2F2F2"/>
            <w:vAlign w:val="center"/>
            <w:hideMark/>
          </w:tcPr>
          <w:p w:rsidR="00761200" w:rsidRPr="00761200" w:rsidRDefault="00761200" w:rsidP="003A7534">
            <w:pPr>
              <w:keepNext/>
              <w:spacing w:before="0" w:after="0"/>
              <w:jc w:val="center"/>
              <w:rPr>
                <w:rFonts w:ascii="Calibri" w:eastAsia="Times New Roman" w:hAnsi="Calibri" w:cs="Times New Roman"/>
                <w:b/>
                <w:bCs/>
                <w:color w:val="000000"/>
                <w:sz w:val="18"/>
                <w:szCs w:val="18"/>
                <w:lang w:eastAsia="cs-CZ"/>
              </w:rPr>
            </w:pPr>
            <w:r w:rsidRPr="00761200">
              <w:rPr>
                <w:rFonts w:ascii="Calibri" w:eastAsia="Times New Roman" w:hAnsi="Calibri" w:cs="Times New Roman"/>
                <w:b/>
                <w:bCs/>
                <w:color w:val="000000"/>
                <w:sz w:val="18"/>
                <w:szCs w:val="18"/>
                <w:lang w:eastAsia="cs-CZ"/>
              </w:rPr>
              <w:t> </w:t>
            </w:r>
          </w:p>
        </w:tc>
        <w:tc>
          <w:tcPr>
            <w:tcW w:w="760" w:type="dxa"/>
            <w:tcBorders>
              <w:top w:val="nil"/>
              <w:left w:val="nil"/>
              <w:bottom w:val="single" w:sz="8" w:space="0" w:color="auto"/>
              <w:right w:val="nil"/>
            </w:tcBorders>
            <w:shd w:val="clear" w:color="000000" w:fill="F2F2F2"/>
            <w:textDirection w:val="btLr"/>
            <w:vAlign w:val="center"/>
            <w:hideMark/>
          </w:tcPr>
          <w:p w:rsidR="00761200" w:rsidRPr="00761200" w:rsidRDefault="00761200" w:rsidP="003A7534">
            <w:pPr>
              <w:keepNext/>
              <w:spacing w:before="0" w:after="0"/>
              <w:jc w:val="center"/>
              <w:rPr>
                <w:rFonts w:ascii="Calibri" w:eastAsia="Times New Roman" w:hAnsi="Calibri" w:cs="Times New Roman"/>
                <w:color w:val="000000"/>
                <w:sz w:val="18"/>
                <w:szCs w:val="18"/>
                <w:lang w:eastAsia="cs-CZ"/>
              </w:rPr>
            </w:pPr>
            <w:r w:rsidRPr="00761200">
              <w:rPr>
                <w:rFonts w:ascii="Calibri" w:eastAsia="Times New Roman" w:hAnsi="Calibri" w:cs="Times New Roman"/>
                <w:color w:val="000000"/>
                <w:sz w:val="18"/>
                <w:szCs w:val="18"/>
                <w:lang w:eastAsia="cs-CZ"/>
              </w:rPr>
              <w:t>Společenské vědy (*)</w:t>
            </w:r>
          </w:p>
        </w:tc>
        <w:tc>
          <w:tcPr>
            <w:tcW w:w="760" w:type="dxa"/>
            <w:tcBorders>
              <w:top w:val="nil"/>
              <w:left w:val="nil"/>
              <w:bottom w:val="single" w:sz="8" w:space="0" w:color="auto"/>
              <w:right w:val="nil"/>
            </w:tcBorders>
            <w:shd w:val="clear" w:color="000000" w:fill="F2F2F2"/>
            <w:textDirection w:val="btLr"/>
            <w:vAlign w:val="center"/>
            <w:hideMark/>
          </w:tcPr>
          <w:p w:rsidR="00761200" w:rsidRPr="00761200" w:rsidRDefault="00761200" w:rsidP="003A7534">
            <w:pPr>
              <w:keepNext/>
              <w:spacing w:before="0" w:after="0"/>
              <w:jc w:val="center"/>
              <w:rPr>
                <w:rFonts w:ascii="Calibri" w:eastAsia="Times New Roman" w:hAnsi="Calibri" w:cs="Times New Roman"/>
                <w:color w:val="000000"/>
                <w:sz w:val="18"/>
                <w:szCs w:val="18"/>
                <w:lang w:eastAsia="cs-CZ"/>
              </w:rPr>
            </w:pPr>
            <w:r w:rsidRPr="00761200">
              <w:rPr>
                <w:rFonts w:ascii="Calibri" w:eastAsia="Times New Roman" w:hAnsi="Calibri" w:cs="Times New Roman"/>
                <w:color w:val="000000"/>
                <w:sz w:val="18"/>
                <w:szCs w:val="18"/>
                <w:lang w:eastAsia="cs-CZ"/>
              </w:rPr>
              <w:t>Bezpečnost a ochrana zdraví, člověk – stroj (*)</w:t>
            </w:r>
          </w:p>
        </w:tc>
        <w:tc>
          <w:tcPr>
            <w:tcW w:w="760" w:type="dxa"/>
            <w:tcBorders>
              <w:top w:val="nil"/>
              <w:left w:val="nil"/>
              <w:bottom w:val="single" w:sz="8" w:space="0" w:color="auto"/>
              <w:right w:val="nil"/>
            </w:tcBorders>
            <w:shd w:val="clear" w:color="000000" w:fill="F2F2F2"/>
            <w:textDirection w:val="btLr"/>
            <w:vAlign w:val="center"/>
            <w:hideMark/>
          </w:tcPr>
          <w:p w:rsidR="00761200" w:rsidRPr="00761200" w:rsidRDefault="00761200" w:rsidP="003A7534">
            <w:pPr>
              <w:keepNext/>
              <w:spacing w:before="0" w:after="0"/>
              <w:jc w:val="center"/>
              <w:rPr>
                <w:rFonts w:ascii="Calibri" w:eastAsia="Times New Roman" w:hAnsi="Calibri" w:cs="Times New Roman"/>
                <w:color w:val="000000"/>
                <w:sz w:val="18"/>
                <w:szCs w:val="18"/>
                <w:lang w:eastAsia="cs-CZ"/>
              </w:rPr>
            </w:pPr>
            <w:r w:rsidRPr="00761200">
              <w:rPr>
                <w:rFonts w:ascii="Calibri" w:eastAsia="Times New Roman" w:hAnsi="Calibri" w:cs="Times New Roman"/>
                <w:color w:val="000000"/>
                <w:sz w:val="18"/>
                <w:szCs w:val="18"/>
                <w:lang w:eastAsia="cs-CZ"/>
              </w:rPr>
              <w:t>Fyzika a matematika</w:t>
            </w:r>
          </w:p>
        </w:tc>
        <w:tc>
          <w:tcPr>
            <w:tcW w:w="760" w:type="dxa"/>
            <w:tcBorders>
              <w:top w:val="nil"/>
              <w:left w:val="nil"/>
              <w:bottom w:val="single" w:sz="8" w:space="0" w:color="auto"/>
              <w:right w:val="nil"/>
            </w:tcBorders>
            <w:shd w:val="clear" w:color="000000" w:fill="F2F2F2"/>
            <w:textDirection w:val="btLr"/>
            <w:vAlign w:val="center"/>
            <w:hideMark/>
          </w:tcPr>
          <w:p w:rsidR="00761200" w:rsidRPr="00761200" w:rsidRDefault="00761200" w:rsidP="003A7534">
            <w:pPr>
              <w:keepNext/>
              <w:spacing w:before="0" w:after="0"/>
              <w:jc w:val="center"/>
              <w:rPr>
                <w:rFonts w:ascii="Calibri" w:eastAsia="Times New Roman" w:hAnsi="Calibri" w:cs="Times New Roman"/>
                <w:color w:val="000000"/>
                <w:sz w:val="18"/>
                <w:szCs w:val="18"/>
                <w:lang w:eastAsia="cs-CZ"/>
              </w:rPr>
            </w:pPr>
            <w:r w:rsidRPr="00761200">
              <w:rPr>
                <w:rFonts w:ascii="Calibri" w:eastAsia="Times New Roman" w:hAnsi="Calibri" w:cs="Times New Roman"/>
                <w:color w:val="000000"/>
                <w:sz w:val="18"/>
                <w:szCs w:val="18"/>
                <w:lang w:eastAsia="cs-CZ"/>
              </w:rPr>
              <w:t>Chemie</w:t>
            </w:r>
          </w:p>
        </w:tc>
        <w:tc>
          <w:tcPr>
            <w:tcW w:w="760" w:type="dxa"/>
            <w:tcBorders>
              <w:top w:val="nil"/>
              <w:left w:val="nil"/>
              <w:bottom w:val="single" w:sz="8" w:space="0" w:color="auto"/>
              <w:right w:val="nil"/>
            </w:tcBorders>
            <w:shd w:val="clear" w:color="000000" w:fill="F2F2F2"/>
            <w:textDirection w:val="btLr"/>
            <w:vAlign w:val="center"/>
            <w:hideMark/>
          </w:tcPr>
          <w:p w:rsidR="00761200" w:rsidRPr="00761200" w:rsidRDefault="00761200" w:rsidP="003A7534">
            <w:pPr>
              <w:keepNext/>
              <w:spacing w:before="0" w:after="0"/>
              <w:jc w:val="center"/>
              <w:rPr>
                <w:rFonts w:ascii="Calibri" w:eastAsia="Times New Roman" w:hAnsi="Calibri" w:cs="Times New Roman"/>
                <w:color w:val="000000"/>
                <w:sz w:val="18"/>
                <w:szCs w:val="18"/>
                <w:lang w:eastAsia="cs-CZ"/>
              </w:rPr>
            </w:pPr>
            <w:r w:rsidRPr="00761200">
              <w:rPr>
                <w:rFonts w:ascii="Calibri" w:eastAsia="Times New Roman" w:hAnsi="Calibri" w:cs="Times New Roman"/>
                <w:color w:val="000000"/>
                <w:sz w:val="18"/>
                <w:szCs w:val="18"/>
                <w:lang w:eastAsia="cs-CZ"/>
              </w:rPr>
              <w:t>Vědy o zemi</w:t>
            </w:r>
          </w:p>
        </w:tc>
        <w:tc>
          <w:tcPr>
            <w:tcW w:w="760" w:type="dxa"/>
            <w:tcBorders>
              <w:top w:val="nil"/>
              <w:left w:val="nil"/>
              <w:bottom w:val="single" w:sz="8" w:space="0" w:color="auto"/>
              <w:right w:val="nil"/>
            </w:tcBorders>
            <w:shd w:val="clear" w:color="000000" w:fill="F2F2F2"/>
            <w:textDirection w:val="btLr"/>
            <w:vAlign w:val="center"/>
            <w:hideMark/>
          </w:tcPr>
          <w:p w:rsidR="00761200" w:rsidRPr="00761200" w:rsidRDefault="00761200" w:rsidP="003A7534">
            <w:pPr>
              <w:keepNext/>
              <w:spacing w:before="0" w:after="0"/>
              <w:jc w:val="center"/>
              <w:rPr>
                <w:rFonts w:ascii="Calibri" w:eastAsia="Times New Roman" w:hAnsi="Calibri" w:cs="Times New Roman"/>
                <w:color w:val="000000"/>
                <w:sz w:val="18"/>
                <w:szCs w:val="18"/>
                <w:lang w:eastAsia="cs-CZ"/>
              </w:rPr>
            </w:pPr>
            <w:r w:rsidRPr="00761200">
              <w:rPr>
                <w:rFonts w:ascii="Calibri" w:eastAsia="Times New Roman" w:hAnsi="Calibri" w:cs="Times New Roman"/>
                <w:color w:val="000000"/>
                <w:sz w:val="18"/>
                <w:szCs w:val="18"/>
                <w:lang w:eastAsia="cs-CZ"/>
              </w:rPr>
              <w:t>Biovědy</w:t>
            </w:r>
          </w:p>
        </w:tc>
        <w:tc>
          <w:tcPr>
            <w:tcW w:w="760" w:type="dxa"/>
            <w:tcBorders>
              <w:top w:val="nil"/>
              <w:left w:val="nil"/>
              <w:bottom w:val="single" w:sz="8" w:space="0" w:color="auto"/>
              <w:right w:val="nil"/>
            </w:tcBorders>
            <w:shd w:val="clear" w:color="000000" w:fill="F2F2F2"/>
            <w:textDirection w:val="btLr"/>
            <w:vAlign w:val="center"/>
            <w:hideMark/>
          </w:tcPr>
          <w:p w:rsidR="00761200" w:rsidRPr="00761200" w:rsidRDefault="00761200" w:rsidP="003A7534">
            <w:pPr>
              <w:keepNext/>
              <w:spacing w:before="0" w:after="0"/>
              <w:jc w:val="center"/>
              <w:rPr>
                <w:rFonts w:ascii="Calibri" w:eastAsia="Times New Roman" w:hAnsi="Calibri" w:cs="Times New Roman"/>
                <w:color w:val="000000"/>
                <w:sz w:val="18"/>
                <w:szCs w:val="18"/>
                <w:lang w:eastAsia="cs-CZ"/>
              </w:rPr>
            </w:pPr>
            <w:r w:rsidRPr="00761200">
              <w:rPr>
                <w:rFonts w:ascii="Calibri" w:eastAsia="Times New Roman" w:hAnsi="Calibri" w:cs="Times New Roman"/>
                <w:color w:val="000000"/>
                <w:sz w:val="18"/>
                <w:szCs w:val="18"/>
                <w:lang w:eastAsia="cs-CZ"/>
              </w:rPr>
              <w:t>Lékařské vědy</w:t>
            </w:r>
          </w:p>
        </w:tc>
        <w:tc>
          <w:tcPr>
            <w:tcW w:w="760" w:type="dxa"/>
            <w:tcBorders>
              <w:top w:val="nil"/>
              <w:left w:val="nil"/>
              <w:bottom w:val="single" w:sz="8" w:space="0" w:color="auto"/>
              <w:right w:val="nil"/>
            </w:tcBorders>
            <w:shd w:val="clear" w:color="000000" w:fill="F2F2F2"/>
            <w:textDirection w:val="btLr"/>
            <w:vAlign w:val="center"/>
            <w:hideMark/>
          </w:tcPr>
          <w:p w:rsidR="00761200" w:rsidRPr="00761200" w:rsidRDefault="00761200" w:rsidP="003A7534">
            <w:pPr>
              <w:keepNext/>
              <w:spacing w:before="0" w:after="0"/>
              <w:jc w:val="center"/>
              <w:rPr>
                <w:rFonts w:ascii="Calibri" w:eastAsia="Times New Roman" w:hAnsi="Calibri" w:cs="Times New Roman"/>
                <w:color w:val="000000"/>
                <w:sz w:val="18"/>
                <w:szCs w:val="18"/>
                <w:lang w:eastAsia="cs-CZ"/>
              </w:rPr>
            </w:pPr>
            <w:r w:rsidRPr="00761200">
              <w:rPr>
                <w:rFonts w:ascii="Calibri" w:eastAsia="Times New Roman" w:hAnsi="Calibri" w:cs="Times New Roman"/>
                <w:color w:val="000000"/>
                <w:sz w:val="18"/>
                <w:szCs w:val="18"/>
                <w:lang w:eastAsia="cs-CZ"/>
              </w:rPr>
              <w:t>Zemědělství</w:t>
            </w:r>
          </w:p>
        </w:tc>
        <w:tc>
          <w:tcPr>
            <w:tcW w:w="760" w:type="dxa"/>
            <w:tcBorders>
              <w:top w:val="nil"/>
              <w:left w:val="nil"/>
              <w:bottom w:val="single" w:sz="8" w:space="0" w:color="auto"/>
              <w:right w:val="nil"/>
            </w:tcBorders>
            <w:shd w:val="clear" w:color="000000" w:fill="F2F2F2"/>
            <w:textDirection w:val="btLr"/>
            <w:vAlign w:val="center"/>
            <w:hideMark/>
          </w:tcPr>
          <w:p w:rsidR="00761200" w:rsidRPr="00761200" w:rsidRDefault="00761200" w:rsidP="003A7534">
            <w:pPr>
              <w:keepNext/>
              <w:spacing w:before="0" w:after="0"/>
              <w:jc w:val="center"/>
              <w:rPr>
                <w:rFonts w:ascii="Calibri" w:eastAsia="Times New Roman" w:hAnsi="Calibri" w:cs="Times New Roman"/>
                <w:color w:val="000000"/>
                <w:sz w:val="18"/>
                <w:szCs w:val="18"/>
                <w:lang w:eastAsia="cs-CZ"/>
              </w:rPr>
            </w:pPr>
            <w:r w:rsidRPr="00761200">
              <w:rPr>
                <w:rFonts w:ascii="Calibri" w:eastAsia="Times New Roman" w:hAnsi="Calibri" w:cs="Times New Roman"/>
                <w:color w:val="000000"/>
                <w:sz w:val="18"/>
                <w:szCs w:val="18"/>
                <w:lang w:eastAsia="cs-CZ"/>
              </w:rPr>
              <w:t>Informatika</w:t>
            </w:r>
          </w:p>
        </w:tc>
        <w:tc>
          <w:tcPr>
            <w:tcW w:w="760" w:type="dxa"/>
            <w:tcBorders>
              <w:top w:val="nil"/>
              <w:left w:val="nil"/>
              <w:bottom w:val="single" w:sz="8" w:space="0" w:color="auto"/>
              <w:right w:val="nil"/>
            </w:tcBorders>
            <w:shd w:val="clear" w:color="000000" w:fill="F2F2F2"/>
            <w:textDirection w:val="btLr"/>
            <w:vAlign w:val="center"/>
            <w:hideMark/>
          </w:tcPr>
          <w:p w:rsidR="00761200" w:rsidRPr="00761200" w:rsidRDefault="00761200" w:rsidP="003A7534">
            <w:pPr>
              <w:keepNext/>
              <w:spacing w:before="0" w:after="0"/>
              <w:jc w:val="center"/>
              <w:rPr>
                <w:rFonts w:ascii="Calibri" w:eastAsia="Times New Roman" w:hAnsi="Calibri" w:cs="Times New Roman"/>
                <w:color w:val="000000"/>
                <w:sz w:val="18"/>
                <w:szCs w:val="18"/>
                <w:lang w:eastAsia="cs-CZ"/>
              </w:rPr>
            </w:pPr>
            <w:r w:rsidRPr="00761200">
              <w:rPr>
                <w:rFonts w:ascii="Calibri" w:eastAsia="Times New Roman" w:hAnsi="Calibri" w:cs="Times New Roman"/>
                <w:color w:val="000000"/>
                <w:sz w:val="18"/>
                <w:szCs w:val="18"/>
                <w:lang w:eastAsia="cs-CZ"/>
              </w:rPr>
              <w:t>Průmysl</w:t>
            </w:r>
          </w:p>
        </w:tc>
        <w:tc>
          <w:tcPr>
            <w:tcW w:w="760" w:type="dxa"/>
            <w:tcBorders>
              <w:top w:val="nil"/>
              <w:left w:val="nil"/>
              <w:bottom w:val="single" w:sz="8" w:space="0" w:color="auto"/>
              <w:right w:val="nil"/>
            </w:tcBorders>
            <w:shd w:val="clear" w:color="000000" w:fill="F2F2F2"/>
            <w:textDirection w:val="btLr"/>
            <w:vAlign w:val="center"/>
            <w:hideMark/>
          </w:tcPr>
          <w:p w:rsidR="00761200" w:rsidRPr="00761200" w:rsidRDefault="00761200" w:rsidP="003A7534">
            <w:pPr>
              <w:keepNext/>
              <w:spacing w:before="0" w:after="0"/>
              <w:jc w:val="center"/>
              <w:rPr>
                <w:rFonts w:ascii="Calibri" w:eastAsia="Times New Roman" w:hAnsi="Calibri" w:cs="Times New Roman"/>
                <w:color w:val="000000"/>
                <w:sz w:val="18"/>
                <w:szCs w:val="18"/>
                <w:lang w:eastAsia="cs-CZ"/>
              </w:rPr>
            </w:pPr>
            <w:r w:rsidRPr="00761200">
              <w:rPr>
                <w:rFonts w:ascii="Calibri" w:eastAsia="Times New Roman" w:hAnsi="Calibri" w:cs="Times New Roman"/>
                <w:color w:val="000000"/>
                <w:sz w:val="18"/>
                <w:szCs w:val="18"/>
                <w:lang w:eastAsia="cs-CZ"/>
              </w:rPr>
              <w:t>Vojenství</w:t>
            </w:r>
          </w:p>
        </w:tc>
      </w:tr>
      <w:tr w:rsidR="00761200" w:rsidRPr="00761200" w:rsidTr="00761200">
        <w:trPr>
          <w:trHeight w:val="315"/>
        </w:trPr>
        <w:tc>
          <w:tcPr>
            <w:tcW w:w="660" w:type="dxa"/>
            <w:tcBorders>
              <w:top w:val="nil"/>
              <w:left w:val="nil"/>
              <w:bottom w:val="single" w:sz="8" w:space="0" w:color="auto"/>
              <w:right w:val="nil"/>
            </w:tcBorders>
            <w:shd w:val="clear" w:color="000000" w:fill="D9D9D9"/>
            <w:noWrap/>
            <w:vAlign w:val="center"/>
            <w:hideMark/>
          </w:tcPr>
          <w:p w:rsidR="00761200" w:rsidRPr="00761200" w:rsidRDefault="00761200" w:rsidP="00761200">
            <w:pPr>
              <w:spacing w:before="0" w:after="0"/>
              <w:jc w:val="center"/>
              <w:rPr>
                <w:rFonts w:ascii="Calibri" w:eastAsia="Times New Roman" w:hAnsi="Calibri" w:cs="Times New Roman"/>
                <w:b/>
                <w:bCs/>
                <w:color w:val="000000"/>
                <w:sz w:val="16"/>
                <w:szCs w:val="16"/>
                <w:lang w:eastAsia="cs-CZ"/>
              </w:rPr>
            </w:pPr>
            <w:r w:rsidRPr="00761200">
              <w:rPr>
                <w:rFonts w:ascii="Calibri" w:eastAsia="Times New Roman" w:hAnsi="Calibri" w:cs="Times New Roman"/>
                <w:b/>
                <w:bCs/>
                <w:color w:val="000000"/>
                <w:sz w:val="16"/>
                <w:szCs w:val="16"/>
                <w:lang w:eastAsia="cs-CZ"/>
              </w:rPr>
              <w:t>Rok</w:t>
            </w:r>
          </w:p>
        </w:tc>
        <w:tc>
          <w:tcPr>
            <w:tcW w:w="760" w:type="dxa"/>
            <w:tcBorders>
              <w:top w:val="nil"/>
              <w:left w:val="nil"/>
              <w:bottom w:val="single" w:sz="8" w:space="0" w:color="auto"/>
              <w:right w:val="nil"/>
            </w:tcBorders>
            <w:shd w:val="clear" w:color="000000" w:fill="D9D9D9"/>
            <w:noWrap/>
            <w:vAlign w:val="center"/>
            <w:hideMark/>
          </w:tcPr>
          <w:p w:rsidR="00761200" w:rsidRPr="00761200" w:rsidRDefault="00761200" w:rsidP="00761200">
            <w:pPr>
              <w:spacing w:before="0" w:after="0"/>
              <w:jc w:val="center"/>
              <w:rPr>
                <w:rFonts w:ascii="Calibri" w:eastAsia="Times New Roman" w:hAnsi="Calibri" w:cs="Times New Roman"/>
                <w:b/>
                <w:bCs/>
                <w:color w:val="000000"/>
                <w:sz w:val="16"/>
                <w:szCs w:val="16"/>
                <w:lang w:eastAsia="cs-CZ"/>
              </w:rPr>
            </w:pPr>
            <w:r w:rsidRPr="00761200">
              <w:rPr>
                <w:rFonts w:ascii="Calibri" w:eastAsia="Times New Roman" w:hAnsi="Calibri" w:cs="Times New Roman"/>
                <w:b/>
                <w:bCs/>
                <w:color w:val="000000"/>
                <w:sz w:val="16"/>
                <w:szCs w:val="16"/>
                <w:lang w:eastAsia="cs-CZ"/>
              </w:rPr>
              <w:t>A</w:t>
            </w:r>
          </w:p>
        </w:tc>
        <w:tc>
          <w:tcPr>
            <w:tcW w:w="760" w:type="dxa"/>
            <w:tcBorders>
              <w:top w:val="nil"/>
              <w:left w:val="nil"/>
              <w:bottom w:val="single" w:sz="8" w:space="0" w:color="auto"/>
              <w:right w:val="nil"/>
            </w:tcBorders>
            <w:shd w:val="clear" w:color="000000" w:fill="D9D9D9"/>
            <w:noWrap/>
            <w:vAlign w:val="center"/>
            <w:hideMark/>
          </w:tcPr>
          <w:p w:rsidR="00761200" w:rsidRPr="00761200" w:rsidRDefault="00761200" w:rsidP="00761200">
            <w:pPr>
              <w:spacing w:before="0" w:after="0"/>
              <w:jc w:val="center"/>
              <w:rPr>
                <w:rFonts w:ascii="Calibri" w:eastAsia="Times New Roman" w:hAnsi="Calibri" w:cs="Times New Roman"/>
                <w:b/>
                <w:bCs/>
                <w:color w:val="000000"/>
                <w:sz w:val="16"/>
                <w:szCs w:val="16"/>
                <w:lang w:eastAsia="cs-CZ"/>
              </w:rPr>
            </w:pPr>
            <w:r w:rsidRPr="00761200">
              <w:rPr>
                <w:rFonts w:ascii="Calibri" w:eastAsia="Times New Roman" w:hAnsi="Calibri" w:cs="Times New Roman"/>
                <w:b/>
                <w:bCs/>
                <w:color w:val="000000"/>
                <w:sz w:val="16"/>
                <w:szCs w:val="16"/>
                <w:lang w:eastAsia="cs-CZ"/>
              </w:rPr>
              <w:t>AQ</w:t>
            </w:r>
          </w:p>
        </w:tc>
        <w:tc>
          <w:tcPr>
            <w:tcW w:w="760" w:type="dxa"/>
            <w:tcBorders>
              <w:top w:val="nil"/>
              <w:left w:val="nil"/>
              <w:bottom w:val="single" w:sz="8" w:space="0" w:color="auto"/>
              <w:right w:val="nil"/>
            </w:tcBorders>
            <w:shd w:val="clear" w:color="000000" w:fill="D9D9D9"/>
            <w:noWrap/>
            <w:vAlign w:val="center"/>
            <w:hideMark/>
          </w:tcPr>
          <w:p w:rsidR="00761200" w:rsidRPr="00761200" w:rsidRDefault="00761200" w:rsidP="00761200">
            <w:pPr>
              <w:spacing w:before="0" w:after="0"/>
              <w:jc w:val="center"/>
              <w:rPr>
                <w:rFonts w:ascii="Calibri" w:eastAsia="Times New Roman" w:hAnsi="Calibri" w:cs="Times New Roman"/>
                <w:b/>
                <w:bCs/>
                <w:color w:val="000000"/>
                <w:sz w:val="16"/>
                <w:szCs w:val="16"/>
                <w:lang w:eastAsia="cs-CZ"/>
              </w:rPr>
            </w:pPr>
            <w:r w:rsidRPr="00761200">
              <w:rPr>
                <w:rFonts w:ascii="Calibri" w:eastAsia="Times New Roman" w:hAnsi="Calibri" w:cs="Times New Roman"/>
                <w:b/>
                <w:bCs/>
                <w:color w:val="000000"/>
                <w:sz w:val="16"/>
                <w:szCs w:val="16"/>
                <w:lang w:eastAsia="cs-CZ"/>
              </w:rPr>
              <w:t>B</w:t>
            </w:r>
          </w:p>
        </w:tc>
        <w:tc>
          <w:tcPr>
            <w:tcW w:w="760" w:type="dxa"/>
            <w:tcBorders>
              <w:top w:val="nil"/>
              <w:left w:val="nil"/>
              <w:bottom w:val="single" w:sz="8" w:space="0" w:color="auto"/>
              <w:right w:val="nil"/>
            </w:tcBorders>
            <w:shd w:val="clear" w:color="000000" w:fill="D9D9D9"/>
            <w:noWrap/>
            <w:vAlign w:val="center"/>
            <w:hideMark/>
          </w:tcPr>
          <w:p w:rsidR="00761200" w:rsidRPr="00761200" w:rsidRDefault="00761200" w:rsidP="00761200">
            <w:pPr>
              <w:spacing w:before="0" w:after="0"/>
              <w:jc w:val="center"/>
              <w:rPr>
                <w:rFonts w:ascii="Calibri" w:eastAsia="Times New Roman" w:hAnsi="Calibri" w:cs="Times New Roman"/>
                <w:b/>
                <w:bCs/>
                <w:color w:val="000000"/>
                <w:sz w:val="16"/>
                <w:szCs w:val="16"/>
                <w:lang w:eastAsia="cs-CZ"/>
              </w:rPr>
            </w:pPr>
            <w:r w:rsidRPr="00761200">
              <w:rPr>
                <w:rFonts w:ascii="Calibri" w:eastAsia="Times New Roman" w:hAnsi="Calibri" w:cs="Times New Roman"/>
                <w:b/>
                <w:bCs/>
                <w:color w:val="000000"/>
                <w:sz w:val="16"/>
                <w:szCs w:val="16"/>
                <w:lang w:eastAsia="cs-CZ"/>
              </w:rPr>
              <w:t>C</w:t>
            </w:r>
          </w:p>
        </w:tc>
        <w:tc>
          <w:tcPr>
            <w:tcW w:w="760" w:type="dxa"/>
            <w:tcBorders>
              <w:top w:val="nil"/>
              <w:left w:val="nil"/>
              <w:bottom w:val="single" w:sz="8" w:space="0" w:color="auto"/>
              <w:right w:val="nil"/>
            </w:tcBorders>
            <w:shd w:val="clear" w:color="000000" w:fill="D9D9D9"/>
            <w:noWrap/>
            <w:vAlign w:val="center"/>
            <w:hideMark/>
          </w:tcPr>
          <w:p w:rsidR="00761200" w:rsidRPr="00761200" w:rsidRDefault="00761200" w:rsidP="00761200">
            <w:pPr>
              <w:spacing w:before="0" w:after="0"/>
              <w:jc w:val="center"/>
              <w:rPr>
                <w:rFonts w:ascii="Calibri" w:eastAsia="Times New Roman" w:hAnsi="Calibri" w:cs="Times New Roman"/>
                <w:b/>
                <w:bCs/>
                <w:color w:val="000000"/>
                <w:sz w:val="16"/>
                <w:szCs w:val="16"/>
                <w:lang w:eastAsia="cs-CZ"/>
              </w:rPr>
            </w:pPr>
            <w:r w:rsidRPr="00761200">
              <w:rPr>
                <w:rFonts w:ascii="Calibri" w:eastAsia="Times New Roman" w:hAnsi="Calibri" w:cs="Times New Roman"/>
                <w:b/>
                <w:bCs/>
                <w:color w:val="000000"/>
                <w:sz w:val="16"/>
                <w:szCs w:val="16"/>
                <w:lang w:eastAsia="cs-CZ"/>
              </w:rPr>
              <w:t>D</w:t>
            </w:r>
          </w:p>
        </w:tc>
        <w:tc>
          <w:tcPr>
            <w:tcW w:w="760" w:type="dxa"/>
            <w:tcBorders>
              <w:top w:val="nil"/>
              <w:left w:val="nil"/>
              <w:bottom w:val="single" w:sz="8" w:space="0" w:color="auto"/>
              <w:right w:val="nil"/>
            </w:tcBorders>
            <w:shd w:val="clear" w:color="000000" w:fill="D9D9D9"/>
            <w:noWrap/>
            <w:vAlign w:val="center"/>
            <w:hideMark/>
          </w:tcPr>
          <w:p w:rsidR="00761200" w:rsidRPr="00761200" w:rsidRDefault="00761200" w:rsidP="00761200">
            <w:pPr>
              <w:spacing w:before="0" w:after="0"/>
              <w:jc w:val="center"/>
              <w:rPr>
                <w:rFonts w:ascii="Calibri" w:eastAsia="Times New Roman" w:hAnsi="Calibri" w:cs="Times New Roman"/>
                <w:b/>
                <w:bCs/>
                <w:color w:val="000000"/>
                <w:sz w:val="16"/>
                <w:szCs w:val="16"/>
                <w:lang w:eastAsia="cs-CZ"/>
              </w:rPr>
            </w:pPr>
            <w:r w:rsidRPr="00761200">
              <w:rPr>
                <w:rFonts w:ascii="Calibri" w:eastAsia="Times New Roman" w:hAnsi="Calibri" w:cs="Times New Roman"/>
                <w:b/>
                <w:bCs/>
                <w:color w:val="000000"/>
                <w:sz w:val="16"/>
                <w:szCs w:val="16"/>
                <w:lang w:eastAsia="cs-CZ"/>
              </w:rPr>
              <w:t>E</w:t>
            </w:r>
          </w:p>
        </w:tc>
        <w:tc>
          <w:tcPr>
            <w:tcW w:w="760" w:type="dxa"/>
            <w:tcBorders>
              <w:top w:val="nil"/>
              <w:left w:val="nil"/>
              <w:bottom w:val="single" w:sz="8" w:space="0" w:color="auto"/>
              <w:right w:val="nil"/>
            </w:tcBorders>
            <w:shd w:val="clear" w:color="000000" w:fill="D9D9D9"/>
            <w:noWrap/>
            <w:vAlign w:val="center"/>
            <w:hideMark/>
          </w:tcPr>
          <w:p w:rsidR="00761200" w:rsidRPr="00761200" w:rsidRDefault="00761200" w:rsidP="00761200">
            <w:pPr>
              <w:spacing w:before="0" w:after="0"/>
              <w:jc w:val="center"/>
              <w:rPr>
                <w:rFonts w:ascii="Calibri" w:eastAsia="Times New Roman" w:hAnsi="Calibri" w:cs="Times New Roman"/>
                <w:b/>
                <w:bCs/>
                <w:color w:val="000000"/>
                <w:sz w:val="16"/>
                <w:szCs w:val="16"/>
                <w:lang w:eastAsia="cs-CZ"/>
              </w:rPr>
            </w:pPr>
            <w:r w:rsidRPr="00761200">
              <w:rPr>
                <w:rFonts w:ascii="Calibri" w:eastAsia="Times New Roman" w:hAnsi="Calibri" w:cs="Times New Roman"/>
                <w:b/>
                <w:bCs/>
                <w:color w:val="000000"/>
                <w:sz w:val="16"/>
                <w:szCs w:val="16"/>
                <w:lang w:eastAsia="cs-CZ"/>
              </w:rPr>
              <w:t>F</w:t>
            </w:r>
          </w:p>
        </w:tc>
        <w:tc>
          <w:tcPr>
            <w:tcW w:w="760" w:type="dxa"/>
            <w:tcBorders>
              <w:top w:val="nil"/>
              <w:left w:val="nil"/>
              <w:bottom w:val="single" w:sz="8" w:space="0" w:color="auto"/>
              <w:right w:val="nil"/>
            </w:tcBorders>
            <w:shd w:val="clear" w:color="000000" w:fill="D9D9D9"/>
            <w:noWrap/>
            <w:vAlign w:val="center"/>
            <w:hideMark/>
          </w:tcPr>
          <w:p w:rsidR="00761200" w:rsidRPr="00761200" w:rsidRDefault="00761200" w:rsidP="00761200">
            <w:pPr>
              <w:spacing w:before="0" w:after="0"/>
              <w:jc w:val="center"/>
              <w:rPr>
                <w:rFonts w:ascii="Calibri" w:eastAsia="Times New Roman" w:hAnsi="Calibri" w:cs="Times New Roman"/>
                <w:b/>
                <w:bCs/>
                <w:color w:val="000000"/>
                <w:sz w:val="16"/>
                <w:szCs w:val="16"/>
                <w:lang w:eastAsia="cs-CZ"/>
              </w:rPr>
            </w:pPr>
            <w:r w:rsidRPr="00761200">
              <w:rPr>
                <w:rFonts w:ascii="Calibri" w:eastAsia="Times New Roman" w:hAnsi="Calibri" w:cs="Times New Roman"/>
                <w:b/>
                <w:bCs/>
                <w:color w:val="000000"/>
                <w:sz w:val="16"/>
                <w:szCs w:val="16"/>
                <w:lang w:eastAsia="cs-CZ"/>
              </w:rPr>
              <w:t>G</w:t>
            </w:r>
          </w:p>
        </w:tc>
        <w:tc>
          <w:tcPr>
            <w:tcW w:w="760" w:type="dxa"/>
            <w:tcBorders>
              <w:top w:val="nil"/>
              <w:left w:val="nil"/>
              <w:bottom w:val="single" w:sz="8" w:space="0" w:color="auto"/>
              <w:right w:val="nil"/>
            </w:tcBorders>
            <w:shd w:val="clear" w:color="000000" w:fill="D9D9D9"/>
            <w:noWrap/>
            <w:vAlign w:val="center"/>
            <w:hideMark/>
          </w:tcPr>
          <w:p w:rsidR="00761200" w:rsidRPr="00761200" w:rsidRDefault="00761200" w:rsidP="00761200">
            <w:pPr>
              <w:spacing w:before="0" w:after="0"/>
              <w:jc w:val="center"/>
              <w:rPr>
                <w:rFonts w:ascii="Calibri" w:eastAsia="Times New Roman" w:hAnsi="Calibri" w:cs="Times New Roman"/>
                <w:b/>
                <w:bCs/>
                <w:color w:val="000000"/>
                <w:sz w:val="16"/>
                <w:szCs w:val="16"/>
                <w:lang w:eastAsia="cs-CZ"/>
              </w:rPr>
            </w:pPr>
            <w:r w:rsidRPr="00761200">
              <w:rPr>
                <w:rFonts w:ascii="Calibri" w:eastAsia="Times New Roman" w:hAnsi="Calibri" w:cs="Times New Roman"/>
                <w:b/>
                <w:bCs/>
                <w:color w:val="000000"/>
                <w:sz w:val="16"/>
                <w:szCs w:val="16"/>
                <w:lang w:eastAsia="cs-CZ"/>
              </w:rPr>
              <w:t>I</w:t>
            </w:r>
          </w:p>
        </w:tc>
        <w:tc>
          <w:tcPr>
            <w:tcW w:w="760" w:type="dxa"/>
            <w:tcBorders>
              <w:top w:val="nil"/>
              <w:left w:val="nil"/>
              <w:bottom w:val="single" w:sz="8" w:space="0" w:color="auto"/>
              <w:right w:val="nil"/>
            </w:tcBorders>
            <w:shd w:val="clear" w:color="000000" w:fill="D9D9D9"/>
            <w:noWrap/>
            <w:vAlign w:val="center"/>
            <w:hideMark/>
          </w:tcPr>
          <w:p w:rsidR="00761200" w:rsidRPr="00761200" w:rsidRDefault="00761200" w:rsidP="00761200">
            <w:pPr>
              <w:spacing w:before="0" w:after="0"/>
              <w:jc w:val="center"/>
              <w:rPr>
                <w:rFonts w:ascii="Calibri" w:eastAsia="Times New Roman" w:hAnsi="Calibri" w:cs="Times New Roman"/>
                <w:b/>
                <w:bCs/>
                <w:color w:val="000000"/>
                <w:sz w:val="16"/>
                <w:szCs w:val="16"/>
                <w:lang w:eastAsia="cs-CZ"/>
              </w:rPr>
            </w:pPr>
            <w:r w:rsidRPr="00761200">
              <w:rPr>
                <w:rFonts w:ascii="Calibri" w:eastAsia="Times New Roman" w:hAnsi="Calibri" w:cs="Times New Roman"/>
                <w:b/>
                <w:bCs/>
                <w:color w:val="000000"/>
                <w:sz w:val="16"/>
                <w:szCs w:val="16"/>
                <w:lang w:eastAsia="cs-CZ"/>
              </w:rPr>
              <w:t>J</w:t>
            </w:r>
          </w:p>
        </w:tc>
        <w:tc>
          <w:tcPr>
            <w:tcW w:w="760" w:type="dxa"/>
            <w:tcBorders>
              <w:top w:val="nil"/>
              <w:left w:val="nil"/>
              <w:bottom w:val="single" w:sz="8" w:space="0" w:color="auto"/>
              <w:right w:val="nil"/>
            </w:tcBorders>
            <w:shd w:val="clear" w:color="000000" w:fill="D9D9D9"/>
            <w:noWrap/>
            <w:vAlign w:val="center"/>
            <w:hideMark/>
          </w:tcPr>
          <w:p w:rsidR="00761200" w:rsidRPr="00761200" w:rsidRDefault="00761200" w:rsidP="00761200">
            <w:pPr>
              <w:spacing w:before="0" w:after="0"/>
              <w:jc w:val="center"/>
              <w:rPr>
                <w:rFonts w:ascii="Calibri" w:eastAsia="Times New Roman" w:hAnsi="Calibri" w:cs="Times New Roman"/>
                <w:b/>
                <w:bCs/>
                <w:color w:val="000000"/>
                <w:sz w:val="16"/>
                <w:szCs w:val="16"/>
                <w:lang w:eastAsia="cs-CZ"/>
              </w:rPr>
            </w:pPr>
            <w:r w:rsidRPr="00761200">
              <w:rPr>
                <w:rFonts w:ascii="Calibri" w:eastAsia="Times New Roman" w:hAnsi="Calibri" w:cs="Times New Roman"/>
                <w:b/>
                <w:bCs/>
                <w:color w:val="000000"/>
                <w:sz w:val="16"/>
                <w:szCs w:val="16"/>
                <w:lang w:eastAsia="cs-CZ"/>
              </w:rPr>
              <w:t>K</w:t>
            </w:r>
          </w:p>
        </w:tc>
      </w:tr>
      <w:tr w:rsidR="00761200" w:rsidRPr="00761200" w:rsidTr="00761200">
        <w:trPr>
          <w:trHeight w:val="300"/>
        </w:trPr>
        <w:tc>
          <w:tcPr>
            <w:tcW w:w="660" w:type="dxa"/>
            <w:tcBorders>
              <w:top w:val="nil"/>
              <w:left w:val="nil"/>
              <w:bottom w:val="nil"/>
              <w:right w:val="nil"/>
            </w:tcBorders>
            <w:shd w:val="clear" w:color="auto" w:fill="auto"/>
            <w:noWrap/>
            <w:vAlign w:val="center"/>
            <w:hideMark/>
          </w:tcPr>
          <w:p w:rsidR="00761200" w:rsidRPr="00761200" w:rsidRDefault="00761200" w:rsidP="00761200">
            <w:pPr>
              <w:spacing w:before="0" w:after="0"/>
              <w:jc w:val="center"/>
              <w:rPr>
                <w:rFonts w:ascii="Calibri" w:eastAsia="Times New Roman" w:hAnsi="Calibri" w:cs="Times New Roman"/>
                <w:color w:val="000000"/>
                <w:sz w:val="16"/>
                <w:szCs w:val="16"/>
                <w:lang w:eastAsia="cs-CZ"/>
              </w:rPr>
            </w:pPr>
            <w:r w:rsidRPr="00761200">
              <w:rPr>
                <w:rFonts w:ascii="Calibri" w:eastAsia="Times New Roman" w:hAnsi="Calibri" w:cs="Times New Roman"/>
                <w:color w:val="000000"/>
                <w:sz w:val="16"/>
                <w:szCs w:val="16"/>
                <w:lang w:eastAsia="cs-CZ"/>
              </w:rPr>
              <w:t>2010</w:t>
            </w:r>
          </w:p>
        </w:tc>
        <w:tc>
          <w:tcPr>
            <w:tcW w:w="760" w:type="dxa"/>
            <w:tcBorders>
              <w:top w:val="nil"/>
              <w:left w:val="nil"/>
              <w:bottom w:val="nil"/>
              <w:right w:val="nil"/>
            </w:tcBorders>
            <w:shd w:val="clear" w:color="auto" w:fill="auto"/>
            <w:noWrap/>
            <w:vAlign w:val="center"/>
            <w:hideMark/>
          </w:tcPr>
          <w:p w:rsidR="00761200" w:rsidRPr="00761200" w:rsidRDefault="00761200" w:rsidP="00761200">
            <w:pPr>
              <w:spacing w:before="0" w:after="0"/>
              <w:jc w:val="right"/>
              <w:rPr>
                <w:rFonts w:ascii="Calibri" w:eastAsia="Times New Roman" w:hAnsi="Calibri" w:cs="Times New Roman"/>
                <w:color w:val="000000"/>
                <w:sz w:val="16"/>
                <w:szCs w:val="16"/>
                <w:lang w:eastAsia="cs-CZ"/>
              </w:rPr>
            </w:pPr>
            <w:r w:rsidRPr="00761200">
              <w:rPr>
                <w:rFonts w:ascii="Calibri" w:eastAsia="Times New Roman" w:hAnsi="Calibri" w:cs="Times New Roman"/>
                <w:color w:val="000000"/>
                <w:sz w:val="16"/>
                <w:szCs w:val="16"/>
                <w:lang w:eastAsia="cs-CZ"/>
              </w:rPr>
              <w:t>700</w:t>
            </w:r>
          </w:p>
        </w:tc>
        <w:tc>
          <w:tcPr>
            <w:tcW w:w="760" w:type="dxa"/>
            <w:tcBorders>
              <w:top w:val="nil"/>
              <w:left w:val="nil"/>
              <w:bottom w:val="nil"/>
              <w:right w:val="nil"/>
            </w:tcBorders>
            <w:shd w:val="clear" w:color="auto" w:fill="auto"/>
            <w:noWrap/>
            <w:vAlign w:val="center"/>
            <w:hideMark/>
          </w:tcPr>
          <w:p w:rsidR="00761200" w:rsidRPr="00761200" w:rsidRDefault="00761200" w:rsidP="00761200">
            <w:pPr>
              <w:spacing w:before="0" w:after="0"/>
              <w:jc w:val="right"/>
              <w:rPr>
                <w:rFonts w:ascii="Calibri" w:eastAsia="Times New Roman" w:hAnsi="Calibri" w:cs="Times New Roman"/>
                <w:color w:val="000000"/>
                <w:sz w:val="16"/>
                <w:szCs w:val="16"/>
                <w:lang w:eastAsia="cs-CZ"/>
              </w:rPr>
            </w:pPr>
            <w:r w:rsidRPr="00761200">
              <w:rPr>
                <w:rFonts w:ascii="Calibri" w:eastAsia="Times New Roman" w:hAnsi="Calibri" w:cs="Times New Roman"/>
                <w:color w:val="000000"/>
                <w:sz w:val="16"/>
                <w:szCs w:val="16"/>
                <w:lang w:eastAsia="cs-CZ"/>
              </w:rPr>
              <w:t>2 097</w:t>
            </w:r>
          </w:p>
        </w:tc>
        <w:tc>
          <w:tcPr>
            <w:tcW w:w="760" w:type="dxa"/>
            <w:tcBorders>
              <w:top w:val="nil"/>
              <w:left w:val="nil"/>
              <w:bottom w:val="nil"/>
              <w:right w:val="nil"/>
            </w:tcBorders>
            <w:shd w:val="clear" w:color="auto" w:fill="auto"/>
            <w:noWrap/>
            <w:vAlign w:val="center"/>
            <w:hideMark/>
          </w:tcPr>
          <w:p w:rsidR="00761200" w:rsidRPr="00761200" w:rsidRDefault="00761200" w:rsidP="00761200">
            <w:pPr>
              <w:spacing w:before="0" w:after="0"/>
              <w:jc w:val="right"/>
              <w:rPr>
                <w:rFonts w:ascii="Calibri" w:eastAsia="Times New Roman" w:hAnsi="Calibri" w:cs="Times New Roman"/>
                <w:color w:val="000000"/>
                <w:sz w:val="16"/>
                <w:szCs w:val="16"/>
                <w:lang w:eastAsia="cs-CZ"/>
              </w:rPr>
            </w:pPr>
            <w:r w:rsidRPr="00761200">
              <w:rPr>
                <w:rFonts w:ascii="Calibri" w:eastAsia="Times New Roman" w:hAnsi="Calibri" w:cs="Times New Roman"/>
                <w:color w:val="000000"/>
                <w:sz w:val="16"/>
                <w:szCs w:val="16"/>
                <w:lang w:eastAsia="cs-CZ"/>
              </w:rPr>
              <w:t>333</w:t>
            </w:r>
          </w:p>
        </w:tc>
        <w:tc>
          <w:tcPr>
            <w:tcW w:w="760" w:type="dxa"/>
            <w:tcBorders>
              <w:top w:val="nil"/>
              <w:left w:val="nil"/>
              <w:bottom w:val="nil"/>
              <w:right w:val="nil"/>
            </w:tcBorders>
            <w:shd w:val="clear" w:color="auto" w:fill="auto"/>
            <w:noWrap/>
            <w:vAlign w:val="center"/>
            <w:hideMark/>
          </w:tcPr>
          <w:p w:rsidR="00761200" w:rsidRPr="00761200" w:rsidRDefault="00761200" w:rsidP="00761200">
            <w:pPr>
              <w:spacing w:before="0" w:after="0"/>
              <w:jc w:val="right"/>
              <w:rPr>
                <w:rFonts w:ascii="Calibri" w:eastAsia="Times New Roman" w:hAnsi="Calibri" w:cs="Times New Roman"/>
                <w:color w:val="000000"/>
                <w:sz w:val="16"/>
                <w:szCs w:val="16"/>
                <w:lang w:eastAsia="cs-CZ"/>
              </w:rPr>
            </w:pPr>
            <w:r w:rsidRPr="00761200">
              <w:rPr>
                <w:rFonts w:ascii="Calibri" w:eastAsia="Times New Roman" w:hAnsi="Calibri" w:cs="Times New Roman"/>
                <w:color w:val="000000"/>
                <w:sz w:val="16"/>
                <w:szCs w:val="16"/>
                <w:lang w:eastAsia="cs-CZ"/>
              </w:rPr>
              <w:t>1 155</w:t>
            </w:r>
          </w:p>
        </w:tc>
        <w:tc>
          <w:tcPr>
            <w:tcW w:w="760" w:type="dxa"/>
            <w:tcBorders>
              <w:top w:val="nil"/>
              <w:left w:val="nil"/>
              <w:bottom w:val="nil"/>
              <w:right w:val="nil"/>
            </w:tcBorders>
            <w:shd w:val="clear" w:color="auto" w:fill="auto"/>
            <w:noWrap/>
            <w:vAlign w:val="center"/>
            <w:hideMark/>
          </w:tcPr>
          <w:p w:rsidR="00761200" w:rsidRPr="00761200" w:rsidRDefault="00761200" w:rsidP="00761200">
            <w:pPr>
              <w:spacing w:before="0" w:after="0"/>
              <w:jc w:val="right"/>
              <w:rPr>
                <w:rFonts w:ascii="Calibri" w:eastAsia="Times New Roman" w:hAnsi="Calibri" w:cs="Times New Roman"/>
                <w:color w:val="000000"/>
                <w:sz w:val="16"/>
                <w:szCs w:val="16"/>
                <w:lang w:eastAsia="cs-CZ"/>
              </w:rPr>
            </w:pPr>
            <w:r w:rsidRPr="00761200">
              <w:rPr>
                <w:rFonts w:ascii="Calibri" w:eastAsia="Times New Roman" w:hAnsi="Calibri" w:cs="Times New Roman"/>
                <w:color w:val="000000"/>
                <w:sz w:val="16"/>
                <w:szCs w:val="16"/>
                <w:lang w:eastAsia="cs-CZ"/>
              </w:rPr>
              <w:t>744</w:t>
            </w:r>
          </w:p>
        </w:tc>
        <w:tc>
          <w:tcPr>
            <w:tcW w:w="760" w:type="dxa"/>
            <w:tcBorders>
              <w:top w:val="nil"/>
              <w:left w:val="nil"/>
              <w:bottom w:val="nil"/>
              <w:right w:val="nil"/>
            </w:tcBorders>
            <w:shd w:val="clear" w:color="auto" w:fill="auto"/>
            <w:noWrap/>
            <w:vAlign w:val="center"/>
            <w:hideMark/>
          </w:tcPr>
          <w:p w:rsidR="00761200" w:rsidRPr="00761200" w:rsidRDefault="00761200" w:rsidP="00761200">
            <w:pPr>
              <w:spacing w:before="0" w:after="0"/>
              <w:jc w:val="right"/>
              <w:rPr>
                <w:rFonts w:ascii="Calibri" w:eastAsia="Times New Roman" w:hAnsi="Calibri" w:cs="Times New Roman"/>
                <w:color w:val="000000"/>
                <w:sz w:val="16"/>
                <w:szCs w:val="16"/>
                <w:lang w:eastAsia="cs-CZ"/>
              </w:rPr>
            </w:pPr>
            <w:r w:rsidRPr="00761200">
              <w:rPr>
                <w:rFonts w:ascii="Calibri" w:eastAsia="Times New Roman" w:hAnsi="Calibri" w:cs="Times New Roman"/>
                <w:color w:val="000000"/>
                <w:sz w:val="16"/>
                <w:szCs w:val="16"/>
                <w:lang w:eastAsia="cs-CZ"/>
              </w:rPr>
              <w:t>4 106</w:t>
            </w:r>
          </w:p>
        </w:tc>
        <w:tc>
          <w:tcPr>
            <w:tcW w:w="760" w:type="dxa"/>
            <w:tcBorders>
              <w:top w:val="nil"/>
              <w:left w:val="nil"/>
              <w:bottom w:val="nil"/>
              <w:right w:val="nil"/>
            </w:tcBorders>
            <w:shd w:val="clear" w:color="auto" w:fill="auto"/>
            <w:noWrap/>
            <w:vAlign w:val="center"/>
            <w:hideMark/>
          </w:tcPr>
          <w:p w:rsidR="00761200" w:rsidRPr="00761200" w:rsidRDefault="00761200" w:rsidP="00761200">
            <w:pPr>
              <w:spacing w:before="0" w:after="0"/>
              <w:jc w:val="right"/>
              <w:rPr>
                <w:rFonts w:ascii="Calibri" w:eastAsia="Times New Roman" w:hAnsi="Calibri" w:cs="Times New Roman"/>
                <w:color w:val="000000"/>
                <w:sz w:val="16"/>
                <w:szCs w:val="16"/>
                <w:lang w:eastAsia="cs-CZ"/>
              </w:rPr>
            </w:pPr>
            <w:r w:rsidRPr="00761200">
              <w:rPr>
                <w:rFonts w:ascii="Calibri" w:eastAsia="Times New Roman" w:hAnsi="Calibri" w:cs="Times New Roman"/>
                <w:color w:val="000000"/>
                <w:sz w:val="16"/>
                <w:szCs w:val="16"/>
                <w:lang w:eastAsia="cs-CZ"/>
              </w:rPr>
              <w:t>502</w:t>
            </w:r>
          </w:p>
        </w:tc>
        <w:tc>
          <w:tcPr>
            <w:tcW w:w="760" w:type="dxa"/>
            <w:tcBorders>
              <w:top w:val="nil"/>
              <w:left w:val="nil"/>
              <w:bottom w:val="nil"/>
              <w:right w:val="nil"/>
            </w:tcBorders>
            <w:shd w:val="clear" w:color="auto" w:fill="auto"/>
            <w:noWrap/>
            <w:vAlign w:val="center"/>
            <w:hideMark/>
          </w:tcPr>
          <w:p w:rsidR="00761200" w:rsidRPr="00761200" w:rsidRDefault="00761200" w:rsidP="00761200">
            <w:pPr>
              <w:spacing w:before="0" w:after="0"/>
              <w:jc w:val="right"/>
              <w:rPr>
                <w:rFonts w:ascii="Calibri" w:eastAsia="Times New Roman" w:hAnsi="Calibri" w:cs="Times New Roman"/>
                <w:color w:val="000000"/>
                <w:sz w:val="16"/>
                <w:szCs w:val="16"/>
                <w:lang w:eastAsia="cs-CZ"/>
              </w:rPr>
            </w:pPr>
            <w:r w:rsidRPr="00761200">
              <w:rPr>
                <w:rFonts w:ascii="Calibri" w:eastAsia="Times New Roman" w:hAnsi="Calibri" w:cs="Times New Roman"/>
                <w:color w:val="000000"/>
                <w:sz w:val="16"/>
                <w:szCs w:val="16"/>
                <w:lang w:eastAsia="cs-CZ"/>
              </w:rPr>
              <w:t>2 663</w:t>
            </w:r>
          </w:p>
        </w:tc>
        <w:tc>
          <w:tcPr>
            <w:tcW w:w="760" w:type="dxa"/>
            <w:tcBorders>
              <w:top w:val="nil"/>
              <w:left w:val="nil"/>
              <w:bottom w:val="nil"/>
              <w:right w:val="nil"/>
            </w:tcBorders>
            <w:shd w:val="clear" w:color="auto" w:fill="auto"/>
            <w:noWrap/>
            <w:vAlign w:val="center"/>
            <w:hideMark/>
          </w:tcPr>
          <w:p w:rsidR="00761200" w:rsidRPr="00761200" w:rsidRDefault="00761200" w:rsidP="00761200">
            <w:pPr>
              <w:spacing w:before="0" w:after="0"/>
              <w:jc w:val="right"/>
              <w:rPr>
                <w:rFonts w:ascii="Calibri" w:eastAsia="Times New Roman" w:hAnsi="Calibri" w:cs="Times New Roman"/>
                <w:color w:val="000000"/>
                <w:sz w:val="16"/>
                <w:szCs w:val="16"/>
                <w:lang w:eastAsia="cs-CZ"/>
              </w:rPr>
            </w:pPr>
            <w:r w:rsidRPr="00761200">
              <w:rPr>
                <w:rFonts w:ascii="Calibri" w:eastAsia="Times New Roman" w:hAnsi="Calibri" w:cs="Times New Roman"/>
                <w:color w:val="000000"/>
                <w:sz w:val="16"/>
                <w:szCs w:val="16"/>
                <w:lang w:eastAsia="cs-CZ"/>
              </w:rPr>
              <w:t>2 843</w:t>
            </w:r>
          </w:p>
        </w:tc>
        <w:tc>
          <w:tcPr>
            <w:tcW w:w="760" w:type="dxa"/>
            <w:tcBorders>
              <w:top w:val="nil"/>
              <w:left w:val="nil"/>
              <w:bottom w:val="nil"/>
              <w:right w:val="nil"/>
            </w:tcBorders>
            <w:shd w:val="clear" w:color="auto" w:fill="auto"/>
            <w:noWrap/>
            <w:vAlign w:val="center"/>
            <w:hideMark/>
          </w:tcPr>
          <w:p w:rsidR="00761200" w:rsidRPr="00761200" w:rsidRDefault="00761200" w:rsidP="00761200">
            <w:pPr>
              <w:spacing w:before="0" w:after="0"/>
              <w:jc w:val="right"/>
              <w:rPr>
                <w:rFonts w:ascii="Calibri" w:eastAsia="Times New Roman" w:hAnsi="Calibri" w:cs="Times New Roman"/>
                <w:color w:val="000000"/>
                <w:sz w:val="16"/>
                <w:szCs w:val="16"/>
                <w:lang w:eastAsia="cs-CZ"/>
              </w:rPr>
            </w:pPr>
            <w:r w:rsidRPr="00761200">
              <w:rPr>
                <w:rFonts w:ascii="Calibri" w:eastAsia="Times New Roman" w:hAnsi="Calibri" w:cs="Times New Roman"/>
                <w:color w:val="000000"/>
                <w:sz w:val="16"/>
                <w:szCs w:val="16"/>
                <w:lang w:eastAsia="cs-CZ"/>
              </w:rPr>
              <w:t>938</w:t>
            </w:r>
          </w:p>
        </w:tc>
        <w:tc>
          <w:tcPr>
            <w:tcW w:w="760" w:type="dxa"/>
            <w:tcBorders>
              <w:top w:val="nil"/>
              <w:left w:val="nil"/>
              <w:bottom w:val="nil"/>
              <w:right w:val="nil"/>
            </w:tcBorders>
            <w:shd w:val="clear" w:color="auto" w:fill="auto"/>
            <w:noWrap/>
            <w:vAlign w:val="center"/>
            <w:hideMark/>
          </w:tcPr>
          <w:p w:rsidR="00761200" w:rsidRPr="00761200" w:rsidRDefault="00761200" w:rsidP="00761200">
            <w:pPr>
              <w:spacing w:before="0" w:after="0"/>
              <w:jc w:val="right"/>
              <w:rPr>
                <w:rFonts w:ascii="Calibri" w:eastAsia="Times New Roman" w:hAnsi="Calibri" w:cs="Times New Roman"/>
                <w:color w:val="000000"/>
                <w:sz w:val="16"/>
                <w:szCs w:val="16"/>
                <w:lang w:eastAsia="cs-CZ"/>
              </w:rPr>
            </w:pPr>
            <w:r w:rsidRPr="00761200">
              <w:rPr>
                <w:rFonts w:ascii="Calibri" w:eastAsia="Times New Roman" w:hAnsi="Calibri" w:cs="Times New Roman"/>
                <w:color w:val="000000"/>
                <w:sz w:val="16"/>
                <w:szCs w:val="16"/>
                <w:lang w:eastAsia="cs-CZ"/>
              </w:rPr>
              <w:t>4 385</w:t>
            </w:r>
          </w:p>
        </w:tc>
      </w:tr>
      <w:tr w:rsidR="00761200" w:rsidRPr="00761200" w:rsidTr="00761200">
        <w:trPr>
          <w:trHeight w:val="300"/>
        </w:trPr>
        <w:tc>
          <w:tcPr>
            <w:tcW w:w="660" w:type="dxa"/>
            <w:tcBorders>
              <w:top w:val="nil"/>
              <w:left w:val="nil"/>
              <w:bottom w:val="nil"/>
              <w:right w:val="nil"/>
            </w:tcBorders>
            <w:shd w:val="clear" w:color="auto" w:fill="auto"/>
            <w:noWrap/>
            <w:vAlign w:val="center"/>
            <w:hideMark/>
          </w:tcPr>
          <w:p w:rsidR="00761200" w:rsidRPr="00761200" w:rsidRDefault="00761200" w:rsidP="00761200">
            <w:pPr>
              <w:spacing w:before="0" w:after="0"/>
              <w:jc w:val="center"/>
              <w:rPr>
                <w:rFonts w:ascii="Calibri" w:eastAsia="Times New Roman" w:hAnsi="Calibri" w:cs="Times New Roman"/>
                <w:color w:val="000000"/>
                <w:sz w:val="16"/>
                <w:szCs w:val="16"/>
                <w:lang w:eastAsia="cs-CZ"/>
              </w:rPr>
            </w:pPr>
            <w:r w:rsidRPr="00761200">
              <w:rPr>
                <w:rFonts w:ascii="Calibri" w:eastAsia="Times New Roman" w:hAnsi="Calibri" w:cs="Times New Roman"/>
                <w:color w:val="000000"/>
                <w:sz w:val="16"/>
                <w:szCs w:val="16"/>
                <w:lang w:eastAsia="cs-CZ"/>
              </w:rPr>
              <w:t>2011</w:t>
            </w:r>
          </w:p>
        </w:tc>
        <w:tc>
          <w:tcPr>
            <w:tcW w:w="760" w:type="dxa"/>
            <w:tcBorders>
              <w:top w:val="nil"/>
              <w:left w:val="nil"/>
              <w:bottom w:val="nil"/>
              <w:right w:val="nil"/>
            </w:tcBorders>
            <w:shd w:val="clear" w:color="auto" w:fill="auto"/>
            <w:noWrap/>
            <w:vAlign w:val="center"/>
            <w:hideMark/>
          </w:tcPr>
          <w:p w:rsidR="00761200" w:rsidRPr="00761200" w:rsidRDefault="00761200" w:rsidP="00761200">
            <w:pPr>
              <w:spacing w:before="0" w:after="0"/>
              <w:jc w:val="right"/>
              <w:rPr>
                <w:rFonts w:ascii="Calibri" w:eastAsia="Times New Roman" w:hAnsi="Calibri" w:cs="Times New Roman"/>
                <w:color w:val="000000"/>
                <w:sz w:val="16"/>
                <w:szCs w:val="16"/>
                <w:lang w:eastAsia="cs-CZ"/>
              </w:rPr>
            </w:pPr>
            <w:r w:rsidRPr="00761200">
              <w:rPr>
                <w:rFonts w:ascii="Calibri" w:eastAsia="Times New Roman" w:hAnsi="Calibri" w:cs="Times New Roman"/>
                <w:color w:val="000000"/>
                <w:sz w:val="16"/>
                <w:szCs w:val="16"/>
                <w:lang w:eastAsia="cs-CZ"/>
              </w:rPr>
              <w:t>5 721</w:t>
            </w:r>
          </w:p>
        </w:tc>
        <w:tc>
          <w:tcPr>
            <w:tcW w:w="760" w:type="dxa"/>
            <w:tcBorders>
              <w:top w:val="nil"/>
              <w:left w:val="nil"/>
              <w:bottom w:val="nil"/>
              <w:right w:val="nil"/>
            </w:tcBorders>
            <w:shd w:val="clear" w:color="auto" w:fill="auto"/>
            <w:noWrap/>
            <w:vAlign w:val="center"/>
            <w:hideMark/>
          </w:tcPr>
          <w:p w:rsidR="00761200" w:rsidRPr="00761200" w:rsidRDefault="00761200" w:rsidP="00761200">
            <w:pPr>
              <w:spacing w:before="0" w:after="0"/>
              <w:jc w:val="right"/>
              <w:rPr>
                <w:rFonts w:ascii="Calibri" w:eastAsia="Times New Roman" w:hAnsi="Calibri" w:cs="Times New Roman"/>
                <w:color w:val="000000"/>
                <w:sz w:val="16"/>
                <w:szCs w:val="16"/>
                <w:lang w:eastAsia="cs-CZ"/>
              </w:rPr>
            </w:pPr>
            <w:r w:rsidRPr="00761200">
              <w:rPr>
                <w:rFonts w:ascii="Calibri" w:eastAsia="Times New Roman" w:hAnsi="Calibri" w:cs="Times New Roman"/>
                <w:color w:val="000000"/>
                <w:sz w:val="16"/>
                <w:szCs w:val="16"/>
                <w:lang w:eastAsia="cs-CZ"/>
              </w:rPr>
              <w:t>6 521</w:t>
            </w:r>
          </w:p>
        </w:tc>
        <w:tc>
          <w:tcPr>
            <w:tcW w:w="760" w:type="dxa"/>
            <w:tcBorders>
              <w:top w:val="nil"/>
              <w:left w:val="nil"/>
              <w:bottom w:val="nil"/>
              <w:right w:val="nil"/>
            </w:tcBorders>
            <w:shd w:val="clear" w:color="auto" w:fill="auto"/>
            <w:noWrap/>
            <w:vAlign w:val="center"/>
            <w:hideMark/>
          </w:tcPr>
          <w:p w:rsidR="00761200" w:rsidRPr="00761200" w:rsidRDefault="00761200" w:rsidP="00761200">
            <w:pPr>
              <w:spacing w:before="0" w:after="0"/>
              <w:jc w:val="right"/>
              <w:rPr>
                <w:rFonts w:ascii="Calibri" w:eastAsia="Times New Roman" w:hAnsi="Calibri" w:cs="Times New Roman"/>
                <w:color w:val="000000"/>
                <w:sz w:val="16"/>
                <w:szCs w:val="16"/>
                <w:lang w:eastAsia="cs-CZ"/>
              </w:rPr>
            </w:pPr>
          </w:p>
        </w:tc>
        <w:tc>
          <w:tcPr>
            <w:tcW w:w="760" w:type="dxa"/>
            <w:tcBorders>
              <w:top w:val="nil"/>
              <w:left w:val="nil"/>
              <w:bottom w:val="nil"/>
              <w:right w:val="nil"/>
            </w:tcBorders>
            <w:shd w:val="clear" w:color="auto" w:fill="auto"/>
            <w:noWrap/>
            <w:vAlign w:val="center"/>
            <w:hideMark/>
          </w:tcPr>
          <w:p w:rsidR="00761200" w:rsidRPr="00761200" w:rsidRDefault="00761200" w:rsidP="00761200">
            <w:pPr>
              <w:spacing w:before="0" w:after="0"/>
              <w:jc w:val="right"/>
              <w:rPr>
                <w:rFonts w:ascii="Calibri" w:eastAsia="Times New Roman" w:hAnsi="Calibri" w:cs="Times New Roman"/>
                <w:color w:val="000000"/>
                <w:sz w:val="16"/>
                <w:szCs w:val="16"/>
                <w:lang w:eastAsia="cs-CZ"/>
              </w:rPr>
            </w:pPr>
            <w:r w:rsidRPr="00761200">
              <w:rPr>
                <w:rFonts w:ascii="Calibri" w:eastAsia="Times New Roman" w:hAnsi="Calibri" w:cs="Times New Roman"/>
                <w:color w:val="000000"/>
                <w:sz w:val="16"/>
                <w:szCs w:val="16"/>
                <w:lang w:eastAsia="cs-CZ"/>
              </w:rPr>
              <w:t>23 082</w:t>
            </w:r>
          </w:p>
        </w:tc>
        <w:tc>
          <w:tcPr>
            <w:tcW w:w="760" w:type="dxa"/>
            <w:tcBorders>
              <w:top w:val="nil"/>
              <w:left w:val="nil"/>
              <w:bottom w:val="nil"/>
              <w:right w:val="nil"/>
            </w:tcBorders>
            <w:shd w:val="clear" w:color="auto" w:fill="auto"/>
            <w:noWrap/>
            <w:vAlign w:val="center"/>
            <w:hideMark/>
          </w:tcPr>
          <w:p w:rsidR="00761200" w:rsidRPr="00761200" w:rsidRDefault="00761200" w:rsidP="00761200">
            <w:pPr>
              <w:spacing w:before="0" w:after="0"/>
              <w:jc w:val="right"/>
              <w:rPr>
                <w:rFonts w:ascii="Calibri" w:eastAsia="Times New Roman" w:hAnsi="Calibri" w:cs="Times New Roman"/>
                <w:color w:val="000000"/>
                <w:sz w:val="16"/>
                <w:szCs w:val="16"/>
                <w:lang w:eastAsia="cs-CZ"/>
              </w:rPr>
            </w:pPr>
            <w:r w:rsidRPr="00761200">
              <w:rPr>
                <w:rFonts w:ascii="Calibri" w:eastAsia="Times New Roman" w:hAnsi="Calibri" w:cs="Times New Roman"/>
                <w:color w:val="000000"/>
                <w:sz w:val="16"/>
                <w:szCs w:val="16"/>
                <w:lang w:eastAsia="cs-CZ"/>
              </w:rPr>
              <w:t>20 729</w:t>
            </w:r>
          </w:p>
        </w:tc>
        <w:tc>
          <w:tcPr>
            <w:tcW w:w="760" w:type="dxa"/>
            <w:tcBorders>
              <w:top w:val="nil"/>
              <w:left w:val="nil"/>
              <w:bottom w:val="nil"/>
              <w:right w:val="nil"/>
            </w:tcBorders>
            <w:shd w:val="clear" w:color="auto" w:fill="auto"/>
            <w:noWrap/>
            <w:vAlign w:val="center"/>
            <w:hideMark/>
          </w:tcPr>
          <w:p w:rsidR="00761200" w:rsidRPr="00761200" w:rsidRDefault="00761200" w:rsidP="00761200">
            <w:pPr>
              <w:spacing w:before="0" w:after="0"/>
              <w:jc w:val="right"/>
              <w:rPr>
                <w:rFonts w:ascii="Calibri" w:eastAsia="Times New Roman" w:hAnsi="Calibri" w:cs="Times New Roman"/>
                <w:color w:val="000000"/>
                <w:sz w:val="16"/>
                <w:szCs w:val="16"/>
                <w:lang w:eastAsia="cs-CZ"/>
              </w:rPr>
            </w:pPr>
            <w:r w:rsidRPr="00761200">
              <w:rPr>
                <w:rFonts w:ascii="Calibri" w:eastAsia="Times New Roman" w:hAnsi="Calibri" w:cs="Times New Roman"/>
                <w:color w:val="000000"/>
                <w:sz w:val="16"/>
                <w:szCs w:val="16"/>
                <w:lang w:eastAsia="cs-CZ"/>
              </w:rPr>
              <w:t>5 968</w:t>
            </w:r>
          </w:p>
        </w:tc>
        <w:tc>
          <w:tcPr>
            <w:tcW w:w="760" w:type="dxa"/>
            <w:tcBorders>
              <w:top w:val="nil"/>
              <w:left w:val="nil"/>
              <w:bottom w:val="nil"/>
              <w:right w:val="nil"/>
            </w:tcBorders>
            <w:shd w:val="clear" w:color="auto" w:fill="auto"/>
            <w:noWrap/>
            <w:vAlign w:val="center"/>
            <w:hideMark/>
          </w:tcPr>
          <w:p w:rsidR="00761200" w:rsidRPr="00761200" w:rsidRDefault="00761200" w:rsidP="00761200">
            <w:pPr>
              <w:spacing w:before="0" w:after="0"/>
              <w:jc w:val="right"/>
              <w:rPr>
                <w:rFonts w:ascii="Calibri" w:eastAsia="Times New Roman" w:hAnsi="Calibri" w:cs="Times New Roman"/>
                <w:color w:val="000000"/>
                <w:sz w:val="16"/>
                <w:szCs w:val="16"/>
                <w:lang w:eastAsia="cs-CZ"/>
              </w:rPr>
            </w:pPr>
          </w:p>
        </w:tc>
        <w:tc>
          <w:tcPr>
            <w:tcW w:w="760" w:type="dxa"/>
            <w:tcBorders>
              <w:top w:val="nil"/>
              <w:left w:val="nil"/>
              <w:bottom w:val="nil"/>
              <w:right w:val="nil"/>
            </w:tcBorders>
            <w:shd w:val="clear" w:color="auto" w:fill="auto"/>
            <w:noWrap/>
            <w:vAlign w:val="center"/>
            <w:hideMark/>
          </w:tcPr>
          <w:p w:rsidR="00761200" w:rsidRPr="00761200" w:rsidRDefault="00761200" w:rsidP="00761200">
            <w:pPr>
              <w:spacing w:before="0" w:after="0"/>
              <w:jc w:val="right"/>
              <w:rPr>
                <w:rFonts w:ascii="Calibri" w:eastAsia="Times New Roman" w:hAnsi="Calibri" w:cs="Times New Roman"/>
                <w:color w:val="000000"/>
                <w:sz w:val="16"/>
                <w:szCs w:val="16"/>
                <w:lang w:eastAsia="cs-CZ"/>
              </w:rPr>
            </w:pPr>
          </w:p>
        </w:tc>
        <w:tc>
          <w:tcPr>
            <w:tcW w:w="760" w:type="dxa"/>
            <w:tcBorders>
              <w:top w:val="nil"/>
              <w:left w:val="nil"/>
              <w:bottom w:val="nil"/>
              <w:right w:val="nil"/>
            </w:tcBorders>
            <w:shd w:val="clear" w:color="auto" w:fill="auto"/>
            <w:noWrap/>
            <w:vAlign w:val="center"/>
            <w:hideMark/>
          </w:tcPr>
          <w:p w:rsidR="00761200" w:rsidRPr="00761200" w:rsidRDefault="00761200" w:rsidP="00761200">
            <w:pPr>
              <w:spacing w:before="0" w:after="0"/>
              <w:jc w:val="right"/>
              <w:rPr>
                <w:rFonts w:ascii="Calibri" w:eastAsia="Times New Roman" w:hAnsi="Calibri" w:cs="Times New Roman"/>
                <w:color w:val="000000"/>
                <w:sz w:val="16"/>
                <w:szCs w:val="16"/>
                <w:lang w:eastAsia="cs-CZ"/>
              </w:rPr>
            </w:pPr>
            <w:r w:rsidRPr="00761200">
              <w:rPr>
                <w:rFonts w:ascii="Calibri" w:eastAsia="Times New Roman" w:hAnsi="Calibri" w:cs="Times New Roman"/>
                <w:color w:val="000000"/>
                <w:sz w:val="16"/>
                <w:szCs w:val="16"/>
                <w:lang w:eastAsia="cs-CZ"/>
              </w:rPr>
              <w:t>37 700</w:t>
            </w:r>
          </w:p>
        </w:tc>
        <w:tc>
          <w:tcPr>
            <w:tcW w:w="760" w:type="dxa"/>
            <w:tcBorders>
              <w:top w:val="nil"/>
              <w:left w:val="nil"/>
              <w:bottom w:val="nil"/>
              <w:right w:val="nil"/>
            </w:tcBorders>
            <w:shd w:val="clear" w:color="auto" w:fill="auto"/>
            <w:noWrap/>
            <w:vAlign w:val="center"/>
            <w:hideMark/>
          </w:tcPr>
          <w:p w:rsidR="00761200" w:rsidRPr="00761200" w:rsidRDefault="00761200" w:rsidP="00761200">
            <w:pPr>
              <w:spacing w:before="0" w:after="0"/>
              <w:jc w:val="right"/>
              <w:rPr>
                <w:rFonts w:ascii="Calibri" w:eastAsia="Times New Roman" w:hAnsi="Calibri" w:cs="Times New Roman"/>
                <w:color w:val="000000"/>
                <w:sz w:val="16"/>
                <w:szCs w:val="16"/>
                <w:lang w:eastAsia="cs-CZ"/>
              </w:rPr>
            </w:pPr>
            <w:r w:rsidRPr="00761200">
              <w:rPr>
                <w:rFonts w:ascii="Calibri" w:eastAsia="Times New Roman" w:hAnsi="Calibri" w:cs="Times New Roman"/>
                <w:color w:val="000000"/>
                <w:sz w:val="16"/>
                <w:szCs w:val="16"/>
                <w:lang w:eastAsia="cs-CZ"/>
              </w:rPr>
              <w:t>18 527</w:t>
            </w:r>
          </w:p>
        </w:tc>
        <w:tc>
          <w:tcPr>
            <w:tcW w:w="760" w:type="dxa"/>
            <w:tcBorders>
              <w:top w:val="nil"/>
              <w:left w:val="nil"/>
              <w:bottom w:val="nil"/>
              <w:right w:val="nil"/>
            </w:tcBorders>
            <w:shd w:val="clear" w:color="auto" w:fill="auto"/>
            <w:noWrap/>
            <w:vAlign w:val="center"/>
            <w:hideMark/>
          </w:tcPr>
          <w:p w:rsidR="00761200" w:rsidRPr="00761200" w:rsidRDefault="00761200" w:rsidP="00761200">
            <w:pPr>
              <w:spacing w:before="0" w:after="0"/>
              <w:jc w:val="right"/>
              <w:rPr>
                <w:rFonts w:ascii="Calibri" w:eastAsia="Times New Roman" w:hAnsi="Calibri" w:cs="Times New Roman"/>
                <w:color w:val="000000"/>
                <w:sz w:val="16"/>
                <w:szCs w:val="16"/>
                <w:lang w:eastAsia="cs-CZ"/>
              </w:rPr>
            </w:pPr>
            <w:r w:rsidRPr="00761200">
              <w:rPr>
                <w:rFonts w:ascii="Calibri" w:eastAsia="Times New Roman" w:hAnsi="Calibri" w:cs="Times New Roman"/>
                <w:color w:val="000000"/>
                <w:sz w:val="16"/>
                <w:szCs w:val="16"/>
                <w:lang w:eastAsia="cs-CZ"/>
              </w:rPr>
              <w:t>46 320</w:t>
            </w:r>
          </w:p>
        </w:tc>
      </w:tr>
      <w:tr w:rsidR="00761200" w:rsidRPr="00761200" w:rsidTr="00761200">
        <w:trPr>
          <w:trHeight w:val="300"/>
        </w:trPr>
        <w:tc>
          <w:tcPr>
            <w:tcW w:w="660" w:type="dxa"/>
            <w:tcBorders>
              <w:top w:val="nil"/>
              <w:left w:val="nil"/>
              <w:bottom w:val="nil"/>
              <w:right w:val="nil"/>
            </w:tcBorders>
            <w:shd w:val="clear" w:color="auto" w:fill="auto"/>
            <w:noWrap/>
            <w:vAlign w:val="center"/>
            <w:hideMark/>
          </w:tcPr>
          <w:p w:rsidR="00761200" w:rsidRPr="00761200" w:rsidRDefault="00761200" w:rsidP="00761200">
            <w:pPr>
              <w:spacing w:before="0" w:after="0"/>
              <w:jc w:val="center"/>
              <w:rPr>
                <w:rFonts w:ascii="Calibri" w:eastAsia="Times New Roman" w:hAnsi="Calibri" w:cs="Times New Roman"/>
                <w:color w:val="000000"/>
                <w:sz w:val="16"/>
                <w:szCs w:val="16"/>
                <w:lang w:eastAsia="cs-CZ"/>
              </w:rPr>
            </w:pPr>
            <w:r w:rsidRPr="00761200">
              <w:rPr>
                <w:rFonts w:ascii="Calibri" w:eastAsia="Times New Roman" w:hAnsi="Calibri" w:cs="Times New Roman"/>
                <w:color w:val="000000"/>
                <w:sz w:val="16"/>
                <w:szCs w:val="16"/>
                <w:lang w:eastAsia="cs-CZ"/>
              </w:rPr>
              <w:t>2012</w:t>
            </w:r>
          </w:p>
        </w:tc>
        <w:tc>
          <w:tcPr>
            <w:tcW w:w="760" w:type="dxa"/>
            <w:tcBorders>
              <w:top w:val="nil"/>
              <w:left w:val="nil"/>
              <w:bottom w:val="nil"/>
              <w:right w:val="nil"/>
            </w:tcBorders>
            <w:shd w:val="clear" w:color="auto" w:fill="auto"/>
            <w:noWrap/>
            <w:vAlign w:val="center"/>
            <w:hideMark/>
          </w:tcPr>
          <w:p w:rsidR="00761200" w:rsidRPr="00761200" w:rsidRDefault="00761200" w:rsidP="00761200">
            <w:pPr>
              <w:spacing w:before="0" w:after="0"/>
              <w:jc w:val="right"/>
              <w:rPr>
                <w:rFonts w:ascii="Calibri" w:eastAsia="Times New Roman" w:hAnsi="Calibri" w:cs="Times New Roman"/>
                <w:color w:val="000000"/>
                <w:sz w:val="16"/>
                <w:szCs w:val="16"/>
                <w:lang w:eastAsia="cs-CZ"/>
              </w:rPr>
            </w:pPr>
            <w:r w:rsidRPr="00761200">
              <w:rPr>
                <w:rFonts w:ascii="Calibri" w:eastAsia="Times New Roman" w:hAnsi="Calibri" w:cs="Times New Roman"/>
                <w:color w:val="000000"/>
                <w:sz w:val="16"/>
                <w:szCs w:val="16"/>
                <w:lang w:eastAsia="cs-CZ"/>
              </w:rPr>
              <w:t>4 785</w:t>
            </w:r>
          </w:p>
        </w:tc>
        <w:tc>
          <w:tcPr>
            <w:tcW w:w="760" w:type="dxa"/>
            <w:tcBorders>
              <w:top w:val="nil"/>
              <w:left w:val="nil"/>
              <w:bottom w:val="nil"/>
              <w:right w:val="nil"/>
            </w:tcBorders>
            <w:shd w:val="clear" w:color="auto" w:fill="auto"/>
            <w:noWrap/>
            <w:vAlign w:val="center"/>
            <w:hideMark/>
          </w:tcPr>
          <w:p w:rsidR="00761200" w:rsidRPr="00761200" w:rsidRDefault="00761200" w:rsidP="00761200">
            <w:pPr>
              <w:spacing w:before="0" w:after="0"/>
              <w:jc w:val="right"/>
              <w:rPr>
                <w:rFonts w:ascii="Calibri" w:eastAsia="Times New Roman" w:hAnsi="Calibri" w:cs="Times New Roman"/>
                <w:color w:val="000000"/>
                <w:sz w:val="16"/>
                <w:szCs w:val="16"/>
                <w:lang w:eastAsia="cs-CZ"/>
              </w:rPr>
            </w:pPr>
            <w:r w:rsidRPr="00761200">
              <w:rPr>
                <w:rFonts w:ascii="Calibri" w:eastAsia="Times New Roman" w:hAnsi="Calibri" w:cs="Times New Roman"/>
                <w:color w:val="000000"/>
                <w:sz w:val="16"/>
                <w:szCs w:val="16"/>
                <w:lang w:eastAsia="cs-CZ"/>
              </w:rPr>
              <w:t>17 046</w:t>
            </w:r>
          </w:p>
        </w:tc>
        <w:tc>
          <w:tcPr>
            <w:tcW w:w="760" w:type="dxa"/>
            <w:tcBorders>
              <w:top w:val="nil"/>
              <w:left w:val="nil"/>
              <w:bottom w:val="nil"/>
              <w:right w:val="nil"/>
            </w:tcBorders>
            <w:shd w:val="clear" w:color="auto" w:fill="auto"/>
            <w:noWrap/>
            <w:vAlign w:val="center"/>
            <w:hideMark/>
          </w:tcPr>
          <w:p w:rsidR="00761200" w:rsidRPr="00761200" w:rsidRDefault="00761200" w:rsidP="00761200">
            <w:pPr>
              <w:spacing w:before="0" w:after="0"/>
              <w:jc w:val="right"/>
              <w:rPr>
                <w:rFonts w:ascii="Calibri" w:eastAsia="Times New Roman" w:hAnsi="Calibri" w:cs="Times New Roman"/>
                <w:color w:val="000000"/>
                <w:sz w:val="16"/>
                <w:szCs w:val="16"/>
                <w:lang w:eastAsia="cs-CZ"/>
              </w:rPr>
            </w:pPr>
          </w:p>
        </w:tc>
        <w:tc>
          <w:tcPr>
            <w:tcW w:w="760" w:type="dxa"/>
            <w:tcBorders>
              <w:top w:val="nil"/>
              <w:left w:val="nil"/>
              <w:bottom w:val="nil"/>
              <w:right w:val="nil"/>
            </w:tcBorders>
            <w:shd w:val="clear" w:color="auto" w:fill="auto"/>
            <w:noWrap/>
            <w:vAlign w:val="center"/>
            <w:hideMark/>
          </w:tcPr>
          <w:p w:rsidR="00761200" w:rsidRPr="00761200" w:rsidRDefault="00761200" w:rsidP="00761200">
            <w:pPr>
              <w:spacing w:before="0" w:after="0"/>
              <w:jc w:val="right"/>
              <w:rPr>
                <w:rFonts w:ascii="Calibri" w:eastAsia="Times New Roman" w:hAnsi="Calibri" w:cs="Times New Roman"/>
                <w:color w:val="000000"/>
                <w:sz w:val="16"/>
                <w:szCs w:val="16"/>
                <w:lang w:eastAsia="cs-CZ"/>
              </w:rPr>
            </w:pPr>
            <w:r w:rsidRPr="00761200">
              <w:rPr>
                <w:rFonts w:ascii="Calibri" w:eastAsia="Times New Roman" w:hAnsi="Calibri" w:cs="Times New Roman"/>
                <w:color w:val="000000"/>
                <w:sz w:val="16"/>
                <w:szCs w:val="16"/>
                <w:lang w:eastAsia="cs-CZ"/>
              </w:rPr>
              <w:t>40 621</w:t>
            </w:r>
          </w:p>
        </w:tc>
        <w:tc>
          <w:tcPr>
            <w:tcW w:w="760" w:type="dxa"/>
            <w:tcBorders>
              <w:top w:val="nil"/>
              <w:left w:val="nil"/>
              <w:bottom w:val="nil"/>
              <w:right w:val="nil"/>
            </w:tcBorders>
            <w:shd w:val="clear" w:color="auto" w:fill="auto"/>
            <w:noWrap/>
            <w:vAlign w:val="center"/>
            <w:hideMark/>
          </w:tcPr>
          <w:p w:rsidR="00761200" w:rsidRPr="00761200" w:rsidRDefault="00761200" w:rsidP="00761200">
            <w:pPr>
              <w:spacing w:before="0" w:after="0"/>
              <w:jc w:val="right"/>
              <w:rPr>
                <w:rFonts w:ascii="Calibri" w:eastAsia="Times New Roman" w:hAnsi="Calibri" w:cs="Times New Roman"/>
                <w:color w:val="000000"/>
                <w:sz w:val="16"/>
                <w:szCs w:val="16"/>
                <w:lang w:eastAsia="cs-CZ"/>
              </w:rPr>
            </w:pPr>
            <w:r w:rsidRPr="00761200">
              <w:rPr>
                <w:rFonts w:ascii="Calibri" w:eastAsia="Times New Roman" w:hAnsi="Calibri" w:cs="Times New Roman"/>
                <w:color w:val="000000"/>
                <w:sz w:val="16"/>
                <w:szCs w:val="16"/>
                <w:lang w:eastAsia="cs-CZ"/>
              </w:rPr>
              <w:t>11 240</w:t>
            </w:r>
          </w:p>
        </w:tc>
        <w:tc>
          <w:tcPr>
            <w:tcW w:w="760" w:type="dxa"/>
            <w:tcBorders>
              <w:top w:val="nil"/>
              <w:left w:val="nil"/>
              <w:bottom w:val="nil"/>
              <w:right w:val="nil"/>
            </w:tcBorders>
            <w:shd w:val="clear" w:color="auto" w:fill="auto"/>
            <w:noWrap/>
            <w:vAlign w:val="center"/>
            <w:hideMark/>
          </w:tcPr>
          <w:p w:rsidR="00761200" w:rsidRPr="00761200" w:rsidRDefault="00761200" w:rsidP="00761200">
            <w:pPr>
              <w:spacing w:before="0" w:after="0"/>
              <w:jc w:val="right"/>
              <w:rPr>
                <w:rFonts w:ascii="Calibri" w:eastAsia="Times New Roman" w:hAnsi="Calibri" w:cs="Times New Roman"/>
                <w:color w:val="000000"/>
                <w:sz w:val="16"/>
                <w:szCs w:val="16"/>
                <w:lang w:eastAsia="cs-CZ"/>
              </w:rPr>
            </w:pPr>
            <w:r w:rsidRPr="00761200">
              <w:rPr>
                <w:rFonts w:ascii="Calibri" w:eastAsia="Times New Roman" w:hAnsi="Calibri" w:cs="Times New Roman"/>
                <w:color w:val="000000"/>
                <w:sz w:val="16"/>
                <w:szCs w:val="16"/>
                <w:lang w:eastAsia="cs-CZ"/>
              </w:rPr>
              <w:t>8 859</w:t>
            </w:r>
          </w:p>
        </w:tc>
        <w:tc>
          <w:tcPr>
            <w:tcW w:w="760" w:type="dxa"/>
            <w:tcBorders>
              <w:top w:val="nil"/>
              <w:left w:val="nil"/>
              <w:bottom w:val="nil"/>
              <w:right w:val="nil"/>
            </w:tcBorders>
            <w:shd w:val="clear" w:color="auto" w:fill="auto"/>
            <w:noWrap/>
            <w:vAlign w:val="center"/>
            <w:hideMark/>
          </w:tcPr>
          <w:p w:rsidR="00761200" w:rsidRPr="00761200" w:rsidRDefault="00761200" w:rsidP="00761200">
            <w:pPr>
              <w:spacing w:before="0" w:after="0"/>
              <w:jc w:val="right"/>
              <w:rPr>
                <w:rFonts w:ascii="Calibri" w:eastAsia="Times New Roman" w:hAnsi="Calibri" w:cs="Times New Roman"/>
                <w:color w:val="000000"/>
                <w:sz w:val="16"/>
                <w:szCs w:val="16"/>
                <w:lang w:eastAsia="cs-CZ"/>
              </w:rPr>
            </w:pPr>
            <w:r w:rsidRPr="00761200">
              <w:rPr>
                <w:rFonts w:ascii="Calibri" w:eastAsia="Times New Roman" w:hAnsi="Calibri" w:cs="Times New Roman"/>
                <w:color w:val="000000"/>
                <w:sz w:val="16"/>
                <w:szCs w:val="16"/>
                <w:lang w:eastAsia="cs-CZ"/>
              </w:rPr>
              <w:t>9 657</w:t>
            </w:r>
          </w:p>
        </w:tc>
        <w:tc>
          <w:tcPr>
            <w:tcW w:w="760" w:type="dxa"/>
            <w:tcBorders>
              <w:top w:val="nil"/>
              <w:left w:val="nil"/>
              <w:bottom w:val="nil"/>
              <w:right w:val="nil"/>
            </w:tcBorders>
            <w:shd w:val="clear" w:color="auto" w:fill="auto"/>
            <w:noWrap/>
            <w:vAlign w:val="center"/>
            <w:hideMark/>
          </w:tcPr>
          <w:p w:rsidR="00761200" w:rsidRPr="00761200" w:rsidRDefault="00761200" w:rsidP="00761200">
            <w:pPr>
              <w:spacing w:before="0" w:after="0"/>
              <w:jc w:val="right"/>
              <w:rPr>
                <w:rFonts w:ascii="Calibri" w:eastAsia="Times New Roman" w:hAnsi="Calibri" w:cs="Times New Roman"/>
                <w:color w:val="000000"/>
                <w:sz w:val="16"/>
                <w:szCs w:val="16"/>
                <w:lang w:eastAsia="cs-CZ"/>
              </w:rPr>
            </w:pPr>
          </w:p>
        </w:tc>
        <w:tc>
          <w:tcPr>
            <w:tcW w:w="760" w:type="dxa"/>
            <w:tcBorders>
              <w:top w:val="nil"/>
              <w:left w:val="nil"/>
              <w:bottom w:val="nil"/>
              <w:right w:val="nil"/>
            </w:tcBorders>
            <w:shd w:val="clear" w:color="auto" w:fill="auto"/>
            <w:noWrap/>
            <w:vAlign w:val="center"/>
            <w:hideMark/>
          </w:tcPr>
          <w:p w:rsidR="00761200" w:rsidRPr="00761200" w:rsidRDefault="00761200" w:rsidP="00761200">
            <w:pPr>
              <w:spacing w:before="0" w:after="0"/>
              <w:jc w:val="right"/>
              <w:rPr>
                <w:rFonts w:ascii="Calibri" w:eastAsia="Times New Roman" w:hAnsi="Calibri" w:cs="Times New Roman"/>
                <w:color w:val="000000"/>
                <w:sz w:val="16"/>
                <w:szCs w:val="16"/>
                <w:lang w:eastAsia="cs-CZ"/>
              </w:rPr>
            </w:pPr>
            <w:r w:rsidRPr="00761200">
              <w:rPr>
                <w:rFonts w:ascii="Calibri" w:eastAsia="Times New Roman" w:hAnsi="Calibri" w:cs="Times New Roman"/>
                <w:color w:val="000000"/>
                <w:sz w:val="16"/>
                <w:szCs w:val="16"/>
                <w:lang w:eastAsia="cs-CZ"/>
              </w:rPr>
              <w:t>11 783</w:t>
            </w:r>
          </w:p>
        </w:tc>
        <w:tc>
          <w:tcPr>
            <w:tcW w:w="760" w:type="dxa"/>
            <w:tcBorders>
              <w:top w:val="nil"/>
              <w:left w:val="nil"/>
              <w:bottom w:val="nil"/>
              <w:right w:val="nil"/>
            </w:tcBorders>
            <w:shd w:val="clear" w:color="auto" w:fill="auto"/>
            <w:noWrap/>
            <w:vAlign w:val="center"/>
            <w:hideMark/>
          </w:tcPr>
          <w:p w:rsidR="00761200" w:rsidRPr="00761200" w:rsidRDefault="00761200" w:rsidP="00761200">
            <w:pPr>
              <w:spacing w:before="0" w:after="0"/>
              <w:jc w:val="right"/>
              <w:rPr>
                <w:rFonts w:ascii="Calibri" w:eastAsia="Times New Roman" w:hAnsi="Calibri" w:cs="Times New Roman"/>
                <w:color w:val="000000"/>
                <w:sz w:val="16"/>
                <w:szCs w:val="16"/>
                <w:lang w:eastAsia="cs-CZ"/>
              </w:rPr>
            </w:pPr>
            <w:r w:rsidRPr="00761200">
              <w:rPr>
                <w:rFonts w:ascii="Calibri" w:eastAsia="Times New Roman" w:hAnsi="Calibri" w:cs="Times New Roman"/>
                <w:color w:val="000000"/>
                <w:sz w:val="16"/>
                <w:szCs w:val="16"/>
                <w:lang w:eastAsia="cs-CZ"/>
              </w:rPr>
              <w:t>9 466</w:t>
            </w:r>
          </w:p>
        </w:tc>
        <w:tc>
          <w:tcPr>
            <w:tcW w:w="760" w:type="dxa"/>
            <w:tcBorders>
              <w:top w:val="nil"/>
              <w:left w:val="nil"/>
              <w:bottom w:val="nil"/>
              <w:right w:val="nil"/>
            </w:tcBorders>
            <w:shd w:val="clear" w:color="auto" w:fill="auto"/>
            <w:noWrap/>
            <w:vAlign w:val="center"/>
            <w:hideMark/>
          </w:tcPr>
          <w:p w:rsidR="00761200" w:rsidRPr="00761200" w:rsidRDefault="00761200" w:rsidP="00761200">
            <w:pPr>
              <w:spacing w:before="0" w:after="0"/>
              <w:jc w:val="right"/>
              <w:rPr>
                <w:rFonts w:ascii="Calibri" w:eastAsia="Times New Roman" w:hAnsi="Calibri" w:cs="Times New Roman"/>
                <w:color w:val="000000"/>
                <w:sz w:val="16"/>
                <w:szCs w:val="16"/>
                <w:lang w:eastAsia="cs-CZ"/>
              </w:rPr>
            </w:pPr>
            <w:r w:rsidRPr="00761200">
              <w:rPr>
                <w:rFonts w:ascii="Calibri" w:eastAsia="Times New Roman" w:hAnsi="Calibri" w:cs="Times New Roman"/>
                <w:color w:val="000000"/>
                <w:sz w:val="16"/>
                <w:szCs w:val="16"/>
                <w:lang w:eastAsia="cs-CZ"/>
              </w:rPr>
              <w:t>32 659</w:t>
            </w:r>
          </w:p>
        </w:tc>
      </w:tr>
      <w:tr w:rsidR="00761200" w:rsidRPr="00761200" w:rsidTr="00761200">
        <w:trPr>
          <w:trHeight w:val="300"/>
        </w:trPr>
        <w:tc>
          <w:tcPr>
            <w:tcW w:w="660" w:type="dxa"/>
            <w:tcBorders>
              <w:top w:val="nil"/>
              <w:left w:val="nil"/>
              <w:bottom w:val="nil"/>
              <w:right w:val="nil"/>
            </w:tcBorders>
            <w:shd w:val="clear" w:color="auto" w:fill="auto"/>
            <w:noWrap/>
            <w:vAlign w:val="center"/>
            <w:hideMark/>
          </w:tcPr>
          <w:p w:rsidR="00761200" w:rsidRPr="00761200" w:rsidRDefault="00761200" w:rsidP="00761200">
            <w:pPr>
              <w:spacing w:before="0" w:after="0"/>
              <w:jc w:val="center"/>
              <w:rPr>
                <w:rFonts w:ascii="Calibri" w:eastAsia="Times New Roman" w:hAnsi="Calibri" w:cs="Times New Roman"/>
                <w:color w:val="000000"/>
                <w:sz w:val="16"/>
                <w:szCs w:val="16"/>
                <w:lang w:eastAsia="cs-CZ"/>
              </w:rPr>
            </w:pPr>
            <w:r w:rsidRPr="00761200">
              <w:rPr>
                <w:rFonts w:ascii="Calibri" w:eastAsia="Times New Roman" w:hAnsi="Calibri" w:cs="Times New Roman"/>
                <w:color w:val="000000"/>
                <w:sz w:val="16"/>
                <w:szCs w:val="16"/>
                <w:lang w:eastAsia="cs-CZ"/>
              </w:rPr>
              <w:t>2013</w:t>
            </w:r>
          </w:p>
        </w:tc>
        <w:tc>
          <w:tcPr>
            <w:tcW w:w="760" w:type="dxa"/>
            <w:tcBorders>
              <w:top w:val="nil"/>
              <w:left w:val="nil"/>
              <w:bottom w:val="nil"/>
              <w:right w:val="nil"/>
            </w:tcBorders>
            <w:shd w:val="clear" w:color="auto" w:fill="auto"/>
            <w:noWrap/>
            <w:vAlign w:val="center"/>
            <w:hideMark/>
          </w:tcPr>
          <w:p w:rsidR="00761200" w:rsidRPr="00761200" w:rsidRDefault="00761200" w:rsidP="00761200">
            <w:pPr>
              <w:spacing w:before="0" w:after="0"/>
              <w:jc w:val="right"/>
              <w:rPr>
                <w:rFonts w:ascii="Calibri" w:eastAsia="Times New Roman" w:hAnsi="Calibri" w:cs="Times New Roman"/>
                <w:color w:val="000000"/>
                <w:sz w:val="16"/>
                <w:szCs w:val="16"/>
                <w:lang w:eastAsia="cs-CZ"/>
              </w:rPr>
            </w:pPr>
            <w:r w:rsidRPr="00761200">
              <w:rPr>
                <w:rFonts w:ascii="Calibri" w:eastAsia="Times New Roman" w:hAnsi="Calibri" w:cs="Times New Roman"/>
                <w:color w:val="000000"/>
                <w:sz w:val="16"/>
                <w:szCs w:val="16"/>
                <w:lang w:eastAsia="cs-CZ"/>
              </w:rPr>
              <w:t>6 718</w:t>
            </w:r>
          </w:p>
        </w:tc>
        <w:tc>
          <w:tcPr>
            <w:tcW w:w="760" w:type="dxa"/>
            <w:tcBorders>
              <w:top w:val="nil"/>
              <w:left w:val="nil"/>
              <w:bottom w:val="nil"/>
              <w:right w:val="nil"/>
            </w:tcBorders>
            <w:shd w:val="clear" w:color="auto" w:fill="auto"/>
            <w:noWrap/>
            <w:vAlign w:val="center"/>
            <w:hideMark/>
          </w:tcPr>
          <w:p w:rsidR="00761200" w:rsidRPr="00761200" w:rsidRDefault="00761200" w:rsidP="00761200">
            <w:pPr>
              <w:spacing w:before="0" w:after="0"/>
              <w:jc w:val="right"/>
              <w:rPr>
                <w:rFonts w:ascii="Calibri" w:eastAsia="Times New Roman" w:hAnsi="Calibri" w:cs="Times New Roman"/>
                <w:color w:val="000000"/>
                <w:sz w:val="16"/>
                <w:szCs w:val="16"/>
                <w:lang w:eastAsia="cs-CZ"/>
              </w:rPr>
            </w:pPr>
            <w:r w:rsidRPr="00761200">
              <w:rPr>
                <w:rFonts w:ascii="Calibri" w:eastAsia="Times New Roman" w:hAnsi="Calibri" w:cs="Times New Roman"/>
                <w:color w:val="000000"/>
                <w:sz w:val="16"/>
                <w:szCs w:val="16"/>
                <w:lang w:eastAsia="cs-CZ"/>
              </w:rPr>
              <w:t>9 658</w:t>
            </w:r>
          </w:p>
        </w:tc>
        <w:tc>
          <w:tcPr>
            <w:tcW w:w="760" w:type="dxa"/>
            <w:tcBorders>
              <w:top w:val="nil"/>
              <w:left w:val="nil"/>
              <w:bottom w:val="nil"/>
              <w:right w:val="nil"/>
            </w:tcBorders>
            <w:shd w:val="clear" w:color="auto" w:fill="auto"/>
            <w:noWrap/>
            <w:vAlign w:val="center"/>
            <w:hideMark/>
          </w:tcPr>
          <w:p w:rsidR="00761200" w:rsidRPr="00761200" w:rsidRDefault="00761200" w:rsidP="00761200">
            <w:pPr>
              <w:spacing w:before="0" w:after="0"/>
              <w:jc w:val="right"/>
              <w:rPr>
                <w:rFonts w:ascii="Calibri" w:eastAsia="Times New Roman" w:hAnsi="Calibri" w:cs="Times New Roman"/>
                <w:color w:val="000000"/>
                <w:sz w:val="16"/>
                <w:szCs w:val="16"/>
                <w:lang w:eastAsia="cs-CZ"/>
              </w:rPr>
            </w:pPr>
            <w:r w:rsidRPr="00761200">
              <w:rPr>
                <w:rFonts w:ascii="Calibri" w:eastAsia="Times New Roman" w:hAnsi="Calibri" w:cs="Times New Roman"/>
                <w:color w:val="000000"/>
                <w:sz w:val="16"/>
                <w:szCs w:val="16"/>
                <w:lang w:eastAsia="cs-CZ"/>
              </w:rPr>
              <w:t>4 817</w:t>
            </w:r>
          </w:p>
        </w:tc>
        <w:tc>
          <w:tcPr>
            <w:tcW w:w="760" w:type="dxa"/>
            <w:tcBorders>
              <w:top w:val="nil"/>
              <w:left w:val="nil"/>
              <w:bottom w:val="nil"/>
              <w:right w:val="nil"/>
            </w:tcBorders>
            <w:shd w:val="clear" w:color="auto" w:fill="auto"/>
            <w:noWrap/>
            <w:vAlign w:val="center"/>
            <w:hideMark/>
          </w:tcPr>
          <w:p w:rsidR="00761200" w:rsidRPr="00761200" w:rsidRDefault="00761200" w:rsidP="00761200">
            <w:pPr>
              <w:spacing w:before="0" w:after="0"/>
              <w:jc w:val="right"/>
              <w:rPr>
                <w:rFonts w:ascii="Calibri" w:eastAsia="Times New Roman" w:hAnsi="Calibri" w:cs="Times New Roman"/>
                <w:color w:val="000000"/>
                <w:sz w:val="16"/>
                <w:szCs w:val="16"/>
                <w:lang w:eastAsia="cs-CZ"/>
              </w:rPr>
            </w:pPr>
            <w:r w:rsidRPr="00761200">
              <w:rPr>
                <w:rFonts w:ascii="Calibri" w:eastAsia="Times New Roman" w:hAnsi="Calibri" w:cs="Times New Roman"/>
                <w:color w:val="000000"/>
                <w:sz w:val="16"/>
                <w:szCs w:val="16"/>
                <w:lang w:eastAsia="cs-CZ"/>
              </w:rPr>
              <w:t>70 452</w:t>
            </w:r>
          </w:p>
        </w:tc>
        <w:tc>
          <w:tcPr>
            <w:tcW w:w="760" w:type="dxa"/>
            <w:tcBorders>
              <w:top w:val="nil"/>
              <w:left w:val="nil"/>
              <w:bottom w:val="nil"/>
              <w:right w:val="nil"/>
            </w:tcBorders>
            <w:shd w:val="clear" w:color="auto" w:fill="auto"/>
            <w:noWrap/>
            <w:vAlign w:val="center"/>
            <w:hideMark/>
          </w:tcPr>
          <w:p w:rsidR="00761200" w:rsidRPr="00761200" w:rsidRDefault="00761200" w:rsidP="00761200">
            <w:pPr>
              <w:spacing w:before="0" w:after="0"/>
              <w:jc w:val="right"/>
              <w:rPr>
                <w:rFonts w:ascii="Calibri" w:eastAsia="Times New Roman" w:hAnsi="Calibri" w:cs="Times New Roman"/>
                <w:color w:val="000000"/>
                <w:sz w:val="16"/>
                <w:szCs w:val="16"/>
                <w:lang w:eastAsia="cs-CZ"/>
              </w:rPr>
            </w:pPr>
            <w:r w:rsidRPr="00761200">
              <w:rPr>
                <w:rFonts w:ascii="Calibri" w:eastAsia="Times New Roman" w:hAnsi="Calibri" w:cs="Times New Roman"/>
                <w:color w:val="000000"/>
                <w:sz w:val="16"/>
                <w:szCs w:val="16"/>
                <w:lang w:eastAsia="cs-CZ"/>
              </w:rPr>
              <w:t>29 922</w:t>
            </w:r>
          </w:p>
        </w:tc>
        <w:tc>
          <w:tcPr>
            <w:tcW w:w="760" w:type="dxa"/>
            <w:tcBorders>
              <w:top w:val="nil"/>
              <w:left w:val="nil"/>
              <w:bottom w:val="nil"/>
              <w:right w:val="nil"/>
            </w:tcBorders>
            <w:shd w:val="clear" w:color="auto" w:fill="auto"/>
            <w:noWrap/>
            <w:vAlign w:val="center"/>
            <w:hideMark/>
          </w:tcPr>
          <w:p w:rsidR="00761200" w:rsidRPr="00761200" w:rsidRDefault="00761200" w:rsidP="00761200">
            <w:pPr>
              <w:spacing w:before="0" w:after="0"/>
              <w:jc w:val="right"/>
              <w:rPr>
                <w:rFonts w:ascii="Calibri" w:eastAsia="Times New Roman" w:hAnsi="Calibri" w:cs="Times New Roman"/>
                <w:color w:val="000000"/>
                <w:sz w:val="16"/>
                <w:szCs w:val="16"/>
                <w:lang w:eastAsia="cs-CZ"/>
              </w:rPr>
            </w:pPr>
            <w:r w:rsidRPr="00761200">
              <w:rPr>
                <w:rFonts w:ascii="Calibri" w:eastAsia="Times New Roman" w:hAnsi="Calibri" w:cs="Times New Roman"/>
                <w:color w:val="000000"/>
                <w:sz w:val="16"/>
                <w:szCs w:val="16"/>
                <w:lang w:eastAsia="cs-CZ"/>
              </w:rPr>
              <w:t>18 164</w:t>
            </w:r>
          </w:p>
        </w:tc>
        <w:tc>
          <w:tcPr>
            <w:tcW w:w="760" w:type="dxa"/>
            <w:tcBorders>
              <w:top w:val="nil"/>
              <w:left w:val="nil"/>
              <w:bottom w:val="nil"/>
              <w:right w:val="nil"/>
            </w:tcBorders>
            <w:shd w:val="clear" w:color="auto" w:fill="auto"/>
            <w:noWrap/>
            <w:vAlign w:val="center"/>
            <w:hideMark/>
          </w:tcPr>
          <w:p w:rsidR="00761200" w:rsidRPr="00761200" w:rsidRDefault="00761200" w:rsidP="00761200">
            <w:pPr>
              <w:spacing w:before="0" w:after="0"/>
              <w:jc w:val="right"/>
              <w:rPr>
                <w:rFonts w:ascii="Calibri" w:eastAsia="Times New Roman" w:hAnsi="Calibri" w:cs="Times New Roman"/>
                <w:color w:val="000000"/>
                <w:sz w:val="16"/>
                <w:szCs w:val="16"/>
                <w:lang w:eastAsia="cs-CZ"/>
              </w:rPr>
            </w:pPr>
          </w:p>
        </w:tc>
        <w:tc>
          <w:tcPr>
            <w:tcW w:w="760" w:type="dxa"/>
            <w:tcBorders>
              <w:top w:val="nil"/>
              <w:left w:val="nil"/>
              <w:bottom w:val="nil"/>
              <w:right w:val="nil"/>
            </w:tcBorders>
            <w:shd w:val="clear" w:color="auto" w:fill="auto"/>
            <w:noWrap/>
            <w:vAlign w:val="center"/>
            <w:hideMark/>
          </w:tcPr>
          <w:p w:rsidR="00761200" w:rsidRPr="00761200" w:rsidRDefault="00761200" w:rsidP="00761200">
            <w:pPr>
              <w:spacing w:before="0" w:after="0"/>
              <w:jc w:val="right"/>
              <w:rPr>
                <w:rFonts w:ascii="Calibri" w:eastAsia="Times New Roman" w:hAnsi="Calibri" w:cs="Times New Roman"/>
                <w:color w:val="000000"/>
                <w:sz w:val="16"/>
                <w:szCs w:val="16"/>
                <w:lang w:eastAsia="cs-CZ"/>
              </w:rPr>
            </w:pPr>
          </w:p>
        </w:tc>
        <w:tc>
          <w:tcPr>
            <w:tcW w:w="760" w:type="dxa"/>
            <w:tcBorders>
              <w:top w:val="nil"/>
              <w:left w:val="nil"/>
              <w:bottom w:val="nil"/>
              <w:right w:val="nil"/>
            </w:tcBorders>
            <w:shd w:val="clear" w:color="auto" w:fill="auto"/>
            <w:noWrap/>
            <w:vAlign w:val="center"/>
            <w:hideMark/>
          </w:tcPr>
          <w:p w:rsidR="00761200" w:rsidRPr="00761200" w:rsidRDefault="00761200" w:rsidP="00761200">
            <w:pPr>
              <w:spacing w:before="0" w:after="0"/>
              <w:jc w:val="right"/>
              <w:rPr>
                <w:rFonts w:ascii="Calibri" w:eastAsia="Times New Roman" w:hAnsi="Calibri" w:cs="Times New Roman"/>
                <w:color w:val="000000"/>
                <w:sz w:val="16"/>
                <w:szCs w:val="16"/>
                <w:lang w:eastAsia="cs-CZ"/>
              </w:rPr>
            </w:pPr>
            <w:r w:rsidRPr="00761200">
              <w:rPr>
                <w:rFonts w:ascii="Calibri" w:eastAsia="Times New Roman" w:hAnsi="Calibri" w:cs="Times New Roman"/>
                <w:color w:val="000000"/>
                <w:sz w:val="16"/>
                <w:szCs w:val="16"/>
                <w:lang w:eastAsia="cs-CZ"/>
              </w:rPr>
              <w:t>11 241</w:t>
            </w:r>
          </w:p>
        </w:tc>
        <w:tc>
          <w:tcPr>
            <w:tcW w:w="760" w:type="dxa"/>
            <w:tcBorders>
              <w:top w:val="nil"/>
              <w:left w:val="nil"/>
              <w:bottom w:val="nil"/>
              <w:right w:val="nil"/>
            </w:tcBorders>
            <w:shd w:val="clear" w:color="auto" w:fill="auto"/>
            <w:noWrap/>
            <w:vAlign w:val="center"/>
            <w:hideMark/>
          </w:tcPr>
          <w:p w:rsidR="00761200" w:rsidRPr="00761200" w:rsidRDefault="00761200" w:rsidP="00761200">
            <w:pPr>
              <w:spacing w:before="0" w:after="0"/>
              <w:jc w:val="right"/>
              <w:rPr>
                <w:rFonts w:ascii="Calibri" w:eastAsia="Times New Roman" w:hAnsi="Calibri" w:cs="Times New Roman"/>
                <w:color w:val="000000"/>
                <w:sz w:val="16"/>
                <w:szCs w:val="16"/>
                <w:lang w:eastAsia="cs-CZ"/>
              </w:rPr>
            </w:pPr>
            <w:r w:rsidRPr="00761200">
              <w:rPr>
                <w:rFonts w:ascii="Calibri" w:eastAsia="Times New Roman" w:hAnsi="Calibri" w:cs="Times New Roman"/>
                <w:color w:val="000000"/>
                <w:sz w:val="16"/>
                <w:szCs w:val="16"/>
                <w:lang w:eastAsia="cs-CZ"/>
              </w:rPr>
              <w:t>9 635</w:t>
            </w:r>
          </w:p>
        </w:tc>
        <w:tc>
          <w:tcPr>
            <w:tcW w:w="760" w:type="dxa"/>
            <w:tcBorders>
              <w:top w:val="nil"/>
              <w:left w:val="nil"/>
              <w:bottom w:val="nil"/>
              <w:right w:val="nil"/>
            </w:tcBorders>
            <w:shd w:val="clear" w:color="auto" w:fill="auto"/>
            <w:noWrap/>
            <w:vAlign w:val="center"/>
            <w:hideMark/>
          </w:tcPr>
          <w:p w:rsidR="00761200" w:rsidRPr="00761200" w:rsidRDefault="00761200" w:rsidP="00761200">
            <w:pPr>
              <w:spacing w:before="0" w:after="0"/>
              <w:jc w:val="right"/>
              <w:rPr>
                <w:rFonts w:ascii="Calibri" w:eastAsia="Times New Roman" w:hAnsi="Calibri" w:cs="Times New Roman"/>
                <w:color w:val="000000"/>
                <w:sz w:val="16"/>
                <w:szCs w:val="16"/>
                <w:lang w:eastAsia="cs-CZ"/>
              </w:rPr>
            </w:pPr>
            <w:r w:rsidRPr="00761200">
              <w:rPr>
                <w:rFonts w:ascii="Calibri" w:eastAsia="Times New Roman" w:hAnsi="Calibri" w:cs="Times New Roman"/>
                <w:color w:val="000000"/>
                <w:sz w:val="16"/>
                <w:szCs w:val="16"/>
                <w:lang w:eastAsia="cs-CZ"/>
              </w:rPr>
              <w:t>26 561</w:t>
            </w:r>
          </w:p>
        </w:tc>
      </w:tr>
      <w:tr w:rsidR="00761200" w:rsidRPr="00761200" w:rsidTr="00761200">
        <w:trPr>
          <w:trHeight w:val="300"/>
        </w:trPr>
        <w:tc>
          <w:tcPr>
            <w:tcW w:w="660" w:type="dxa"/>
            <w:tcBorders>
              <w:top w:val="nil"/>
              <w:left w:val="nil"/>
              <w:bottom w:val="nil"/>
              <w:right w:val="nil"/>
            </w:tcBorders>
            <w:shd w:val="clear" w:color="auto" w:fill="auto"/>
            <w:noWrap/>
            <w:vAlign w:val="center"/>
            <w:hideMark/>
          </w:tcPr>
          <w:p w:rsidR="00761200" w:rsidRPr="00761200" w:rsidRDefault="00761200" w:rsidP="00761200">
            <w:pPr>
              <w:spacing w:before="0" w:after="0"/>
              <w:jc w:val="center"/>
              <w:rPr>
                <w:rFonts w:ascii="Calibri" w:eastAsia="Times New Roman" w:hAnsi="Calibri" w:cs="Times New Roman"/>
                <w:color w:val="000000"/>
                <w:sz w:val="16"/>
                <w:szCs w:val="16"/>
                <w:lang w:eastAsia="cs-CZ"/>
              </w:rPr>
            </w:pPr>
            <w:r w:rsidRPr="00761200">
              <w:rPr>
                <w:rFonts w:ascii="Calibri" w:eastAsia="Times New Roman" w:hAnsi="Calibri" w:cs="Times New Roman"/>
                <w:color w:val="000000"/>
                <w:sz w:val="16"/>
                <w:szCs w:val="16"/>
                <w:lang w:eastAsia="cs-CZ"/>
              </w:rPr>
              <w:t>2014</w:t>
            </w:r>
          </w:p>
        </w:tc>
        <w:tc>
          <w:tcPr>
            <w:tcW w:w="760" w:type="dxa"/>
            <w:tcBorders>
              <w:top w:val="nil"/>
              <w:left w:val="nil"/>
              <w:bottom w:val="nil"/>
              <w:right w:val="nil"/>
            </w:tcBorders>
            <w:shd w:val="clear" w:color="auto" w:fill="auto"/>
            <w:noWrap/>
            <w:vAlign w:val="center"/>
            <w:hideMark/>
          </w:tcPr>
          <w:p w:rsidR="00761200" w:rsidRPr="00761200" w:rsidRDefault="00761200" w:rsidP="00761200">
            <w:pPr>
              <w:spacing w:before="0" w:after="0"/>
              <w:jc w:val="right"/>
              <w:rPr>
                <w:rFonts w:ascii="Calibri" w:eastAsia="Times New Roman" w:hAnsi="Calibri" w:cs="Times New Roman"/>
                <w:color w:val="000000"/>
                <w:sz w:val="16"/>
                <w:szCs w:val="16"/>
                <w:lang w:eastAsia="cs-CZ"/>
              </w:rPr>
            </w:pPr>
            <w:r w:rsidRPr="00761200">
              <w:rPr>
                <w:rFonts w:ascii="Calibri" w:eastAsia="Times New Roman" w:hAnsi="Calibri" w:cs="Times New Roman"/>
                <w:color w:val="000000"/>
                <w:sz w:val="16"/>
                <w:szCs w:val="16"/>
                <w:lang w:eastAsia="cs-CZ"/>
              </w:rPr>
              <w:t>19 365</w:t>
            </w:r>
          </w:p>
        </w:tc>
        <w:tc>
          <w:tcPr>
            <w:tcW w:w="760" w:type="dxa"/>
            <w:tcBorders>
              <w:top w:val="nil"/>
              <w:left w:val="nil"/>
              <w:bottom w:val="nil"/>
              <w:right w:val="nil"/>
            </w:tcBorders>
            <w:shd w:val="clear" w:color="auto" w:fill="auto"/>
            <w:noWrap/>
            <w:vAlign w:val="center"/>
            <w:hideMark/>
          </w:tcPr>
          <w:p w:rsidR="00761200" w:rsidRPr="00761200" w:rsidRDefault="00761200" w:rsidP="00761200">
            <w:pPr>
              <w:spacing w:before="0" w:after="0"/>
              <w:jc w:val="right"/>
              <w:rPr>
                <w:rFonts w:ascii="Calibri" w:eastAsia="Times New Roman" w:hAnsi="Calibri" w:cs="Times New Roman"/>
                <w:color w:val="000000"/>
                <w:sz w:val="16"/>
                <w:szCs w:val="16"/>
                <w:lang w:eastAsia="cs-CZ"/>
              </w:rPr>
            </w:pPr>
          </w:p>
        </w:tc>
        <w:tc>
          <w:tcPr>
            <w:tcW w:w="760" w:type="dxa"/>
            <w:tcBorders>
              <w:top w:val="nil"/>
              <w:left w:val="nil"/>
              <w:bottom w:val="nil"/>
              <w:right w:val="nil"/>
            </w:tcBorders>
            <w:shd w:val="clear" w:color="auto" w:fill="auto"/>
            <w:noWrap/>
            <w:vAlign w:val="center"/>
            <w:hideMark/>
          </w:tcPr>
          <w:p w:rsidR="00761200" w:rsidRPr="00761200" w:rsidRDefault="00761200" w:rsidP="00761200">
            <w:pPr>
              <w:spacing w:before="0" w:after="0"/>
              <w:jc w:val="right"/>
              <w:rPr>
                <w:rFonts w:ascii="Calibri" w:eastAsia="Times New Roman" w:hAnsi="Calibri" w:cs="Times New Roman"/>
                <w:color w:val="000000"/>
                <w:sz w:val="16"/>
                <w:szCs w:val="16"/>
                <w:lang w:eastAsia="cs-CZ"/>
              </w:rPr>
            </w:pPr>
          </w:p>
        </w:tc>
        <w:tc>
          <w:tcPr>
            <w:tcW w:w="760" w:type="dxa"/>
            <w:tcBorders>
              <w:top w:val="nil"/>
              <w:left w:val="nil"/>
              <w:bottom w:val="nil"/>
              <w:right w:val="nil"/>
            </w:tcBorders>
            <w:shd w:val="clear" w:color="auto" w:fill="auto"/>
            <w:noWrap/>
            <w:vAlign w:val="center"/>
            <w:hideMark/>
          </w:tcPr>
          <w:p w:rsidR="00761200" w:rsidRPr="00761200" w:rsidRDefault="00761200" w:rsidP="00761200">
            <w:pPr>
              <w:spacing w:before="0" w:after="0"/>
              <w:jc w:val="right"/>
              <w:rPr>
                <w:rFonts w:ascii="Calibri" w:eastAsia="Times New Roman" w:hAnsi="Calibri" w:cs="Times New Roman"/>
                <w:color w:val="000000"/>
                <w:sz w:val="16"/>
                <w:szCs w:val="16"/>
                <w:lang w:eastAsia="cs-CZ"/>
              </w:rPr>
            </w:pPr>
            <w:r w:rsidRPr="00761200">
              <w:rPr>
                <w:rFonts w:ascii="Calibri" w:eastAsia="Times New Roman" w:hAnsi="Calibri" w:cs="Times New Roman"/>
                <w:color w:val="000000"/>
                <w:sz w:val="16"/>
                <w:szCs w:val="16"/>
                <w:lang w:eastAsia="cs-CZ"/>
              </w:rPr>
              <w:t>66 756</w:t>
            </w:r>
          </w:p>
        </w:tc>
        <w:tc>
          <w:tcPr>
            <w:tcW w:w="760" w:type="dxa"/>
            <w:tcBorders>
              <w:top w:val="nil"/>
              <w:left w:val="nil"/>
              <w:bottom w:val="nil"/>
              <w:right w:val="nil"/>
            </w:tcBorders>
            <w:shd w:val="clear" w:color="auto" w:fill="auto"/>
            <w:noWrap/>
            <w:vAlign w:val="center"/>
            <w:hideMark/>
          </w:tcPr>
          <w:p w:rsidR="00761200" w:rsidRPr="00761200" w:rsidRDefault="00761200" w:rsidP="00761200">
            <w:pPr>
              <w:spacing w:before="0" w:after="0"/>
              <w:jc w:val="right"/>
              <w:rPr>
                <w:rFonts w:ascii="Calibri" w:eastAsia="Times New Roman" w:hAnsi="Calibri" w:cs="Times New Roman"/>
                <w:color w:val="000000"/>
                <w:sz w:val="16"/>
                <w:szCs w:val="16"/>
                <w:lang w:eastAsia="cs-CZ"/>
              </w:rPr>
            </w:pPr>
          </w:p>
        </w:tc>
        <w:tc>
          <w:tcPr>
            <w:tcW w:w="760" w:type="dxa"/>
            <w:tcBorders>
              <w:top w:val="nil"/>
              <w:left w:val="nil"/>
              <w:bottom w:val="nil"/>
              <w:right w:val="nil"/>
            </w:tcBorders>
            <w:shd w:val="clear" w:color="auto" w:fill="auto"/>
            <w:noWrap/>
            <w:vAlign w:val="center"/>
            <w:hideMark/>
          </w:tcPr>
          <w:p w:rsidR="00761200" w:rsidRPr="00761200" w:rsidRDefault="00761200" w:rsidP="00761200">
            <w:pPr>
              <w:spacing w:before="0" w:after="0"/>
              <w:jc w:val="right"/>
              <w:rPr>
                <w:rFonts w:ascii="Calibri" w:eastAsia="Times New Roman" w:hAnsi="Calibri" w:cs="Times New Roman"/>
                <w:color w:val="000000"/>
                <w:sz w:val="16"/>
                <w:szCs w:val="16"/>
                <w:lang w:eastAsia="cs-CZ"/>
              </w:rPr>
            </w:pPr>
          </w:p>
        </w:tc>
        <w:tc>
          <w:tcPr>
            <w:tcW w:w="760" w:type="dxa"/>
            <w:tcBorders>
              <w:top w:val="nil"/>
              <w:left w:val="nil"/>
              <w:bottom w:val="nil"/>
              <w:right w:val="nil"/>
            </w:tcBorders>
            <w:shd w:val="clear" w:color="auto" w:fill="auto"/>
            <w:noWrap/>
            <w:vAlign w:val="center"/>
            <w:hideMark/>
          </w:tcPr>
          <w:p w:rsidR="00761200" w:rsidRPr="00761200" w:rsidRDefault="00761200" w:rsidP="00761200">
            <w:pPr>
              <w:spacing w:before="0" w:after="0"/>
              <w:jc w:val="right"/>
              <w:rPr>
                <w:rFonts w:ascii="Calibri" w:eastAsia="Times New Roman" w:hAnsi="Calibri" w:cs="Times New Roman"/>
                <w:color w:val="000000"/>
                <w:sz w:val="16"/>
                <w:szCs w:val="16"/>
                <w:lang w:eastAsia="cs-CZ"/>
              </w:rPr>
            </w:pPr>
          </w:p>
        </w:tc>
        <w:tc>
          <w:tcPr>
            <w:tcW w:w="760" w:type="dxa"/>
            <w:tcBorders>
              <w:top w:val="nil"/>
              <w:left w:val="nil"/>
              <w:bottom w:val="nil"/>
              <w:right w:val="nil"/>
            </w:tcBorders>
            <w:shd w:val="clear" w:color="auto" w:fill="auto"/>
            <w:noWrap/>
            <w:vAlign w:val="center"/>
            <w:hideMark/>
          </w:tcPr>
          <w:p w:rsidR="00761200" w:rsidRPr="00761200" w:rsidRDefault="00761200" w:rsidP="00761200">
            <w:pPr>
              <w:spacing w:before="0" w:after="0"/>
              <w:jc w:val="right"/>
              <w:rPr>
                <w:rFonts w:ascii="Calibri" w:eastAsia="Times New Roman" w:hAnsi="Calibri" w:cs="Times New Roman"/>
                <w:color w:val="000000"/>
                <w:sz w:val="16"/>
                <w:szCs w:val="16"/>
                <w:lang w:eastAsia="cs-CZ"/>
              </w:rPr>
            </w:pPr>
          </w:p>
        </w:tc>
        <w:tc>
          <w:tcPr>
            <w:tcW w:w="760" w:type="dxa"/>
            <w:tcBorders>
              <w:top w:val="nil"/>
              <w:left w:val="nil"/>
              <w:bottom w:val="nil"/>
              <w:right w:val="nil"/>
            </w:tcBorders>
            <w:shd w:val="clear" w:color="auto" w:fill="auto"/>
            <w:noWrap/>
            <w:vAlign w:val="center"/>
            <w:hideMark/>
          </w:tcPr>
          <w:p w:rsidR="00761200" w:rsidRPr="00761200" w:rsidRDefault="00761200" w:rsidP="00761200">
            <w:pPr>
              <w:spacing w:before="0" w:after="0"/>
              <w:jc w:val="right"/>
              <w:rPr>
                <w:rFonts w:ascii="Calibri" w:eastAsia="Times New Roman" w:hAnsi="Calibri" w:cs="Times New Roman"/>
                <w:color w:val="000000"/>
                <w:sz w:val="16"/>
                <w:szCs w:val="16"/>
                <w:lang w:eastAsia="cs-CZ"/>
              </w:rPr>
            </w:pPr>
            <w:r w:rsidRPr="00761200">
              <w:rPr>
                <w:rFonts w:ascii="Calibri" w:eastAsia="Times New Roman" w:hAnsi="Calibri" w:cs="Times New Roman"/>
                <w:color w:val="000000"/>
                <w:sz w:val="16"/>
                <w:szCs w:val="16"/>
                <w:lang w:eastAsia="cs-CZ"/>
              </w:rPr>
              <w:t>79 205</w:t>
            </w:r>
          </w:p>
        </w:tc>
        <w:tc>
          <w:tcPr>
            <w:tcW w:w="760" w:type="dxa"/>
            <w:tcBorders>
              <w:top w:val="nil"/>
              <w:left w:val="nil"/>
              <w:bottom w:val="nil"/>
              <w:right w:val="nil"/>
            </w:tcBorders>
            <w:shd w:val="clear" w:color="auto" w:fill="auto"/>
            <w:noWrap/>
            <w:vAlign w:val="center"/>
            <w:hideMark/>
          </w:tcPr>
          <w:p w:rsidR="00761200" w:rsidRPr="00761200" w:rsidRDefault="00761200" w:rsidP="00761200">
            <w:pPr>
              <w:spacing w:before="0" w:after="0"/>
              <w:jc w:val="right"/>
              <w:rPr>
                <w:rFonts w:ascii="Calibri" w:eastAsia="Times New Roman" w:hAnsi="Calibri" w:cs="Times New Roman"/>
                <w:color w:val="000000"/>
                <w:sz w:val="16"/>
                <w:szCs w:val="16"/>
                <w:lang w:eastAsia="cs-CZ"/>
              </w:rPr>
            </w:pPr>
            <w:r w:rsidRPr="00761200">
              <w:rPr>
                <w:rFonts w:ascii="Calibri" w:eastAsia="Times New Roman" w:hAnsi="Calibri" w:cs="Times New Roman"/>
                <w:color w:val="000000"/>
                <w:sz w:val="16"/>
                <w:szCs w:val="16"/>
                <w:lang w:eastAsia="cs-CZ"/>
              </w:rPr>
              <w:t>86 553</w:t>
            </w:r>
          </w:p>
        </w:tc>
        <w:tc>
          <w:tcPr>
            <w:tcW w:w="760" w:type="dxa"/>
            <w:tcBorders>
              <w:top w:val="nil"/>
              <w:left w:val="nil"/>
              <w:bottom w:val="nil"/>
              <w:right w:val="nil"/>
            </w:tcBorders>
            <w:shd w:val="clear" w:color="auto" w:fill="auto"/>
            <w:noWrap/>
            <w:vAlign w:val="center"/>
            <w:hideMark/>
          </w:tcPr>
          <w:p w:rsidR="00761200" w:rsidRPr="00761200" w:rsidRDefault="00761200" w:rsidP="00761200">
            <w:pPr>
              <w:spacing w:before="0" w:after="0"/>
              <w:jc w:val="right"/>
              <w:rPr>
                <w:rFonts w:ascii="Calibri" w:eastAsia="Times New Roman" w:hAnsi="Calibri" w:cs="Times New Roman"/>
                <w:color w:val="000000"/>
                <w:sz w:val="16"/>
                <w:szCs w:val="16"/>
                <w:lang w:eastAsia="cs-CZ"/>
              </w:rPr>
            </w:pPr>
          </w:p>
        </w:tc>
      </w:tr>
      <w:tr w:rsidR="00761200" w:rsidRPr="00761200" w:rsidTr="00761200">
        <w:trPr>
          <w:trHeight w:val="315"/>
        </w:trPr>
        <w:tc>
          <w:tcPr>
            <w:tcW w:w="660" w:type="dxa"/>
            <w:tcBorders>
              <w:top w:val="nil"/>
              <w:left w:val="nil"/>
              <w:bottom w:val="single" w:sz="8" w:space="0" w:color="auto"/>
              <w:right w:val="nil"/>
            </w:tcBorders>
            <w:shd w:val="clear" w:color="auto" w:fill="auto"/>
            <w:noWrap/>
            <w:vAlign w:val="center"/>
            <w:hideMark/>
          </w:tcPr>
          <w:p w:rsidR="00761200" w:rsidRPr="00761200" w:rsidRDefault="00761200" w:rsidP="00761200">
            <w:pPr>
              <w:spacing w:before="0" w:after="0"/>
              <w:jc w:val="center"/>
              <w:rPr>
                <w:rFonts w:ascii="Calibri" w:eastAsia="Times New Roman" w:hAnsi="Calibri" w:cs="Times New Roman"/>
                <w:color w:val="000000"/>
                <w:sz w:val="16"/>
                <w:szCs w:val="16"/>
                <w:lang w:eastAsia="cs-CZ"/>
              </w:rPr>
            </w:pPr>
            <w:r w:rsidRPr="00761200">
              <w:rPr>
                <w:rFonts w:ascii="Calibri" w:eastAsia="Times New Roman" w:hAnsi="Calibri" w:cs="Times New Roman"/>
                <w:color w:val="000000"/>
                <w:sz w:val="16"/>
                <w:szCs w:val="16"/>
                <w:lang w:eastAsia="cs-CZ"/>
              </w:rPr>
              <w:t>2015</w:t>
            </w:r>
          </w:p>
        </w:tc>
        <w:tc>
          <w:tcPr>
            <w:tcW w:w="760" w:type="dxa"/>
            <w:tcBorders>
              <w:top w:val="nil"/>
              <w:left w:val="nil"/>
              <w:bottom w:val="single" w:sz="8" w:space="0" w:color="auto"/>
              <w:right w:val="nil"/>
            </w:tcBorders>
            <w:shd w:val="clear" w:color="auto" w:fill="auto"/>
            <w:noWrap/>
            <w:vAlign w:val="center"/>
            <w:hideMark/>
          </w:tcPr>
          <w:p w:rsidR="00761200" w:rsidRPr="00761200" w:rsidRDefault="00761200" w:rsidP="00761200">
            <w:pPr>
              <w:spacing w:before="0" w:after="0"/>
              <w:jc w:val="right"/>
              <w:rPr>
                <w:rFonts w:ascii="Calibri" w:eastAsia="Times New Roman" w:hAnsi="Calibri" w:cs="Times New Roman"/>
                <w:color w:val="000000"/>
                <w:sz w:val="16"/>
                <w:szCs w:val="16"/>
                <w:lang w:eastAsia="cs-CZ"/>
              </w:rPr>
            </w:pPr>
            <w:r w:rsidRPr="00761200">
              <w:rPr>
                <w:rFonts w:ascii="Calibri" w:eastAsia="Times New Roman" w:hAnsi="Calibri" w:cs="Times New Roman"/>
                <w:color w:val="000000"/>
                <w:sz w:val="16"/>
                <w:szCs w:val="16"/>
                <w:lang w:eastAsia="cs-CZ"/>
              </w:rPr>
              <w:t>3 908</w:t>
            </w:r>
          </w:p>
        </w:tc>
        <w:tc>
          <w:tcPr>
            <w:tcW w:w="760" w:type="dxa"/>
            <w:tcBorders>
              <w:top w:val="nil"/>
              <w:left w:val="nil"/>
              <w:bottom w:val="single" w:sz="8" w:space="0" w:color="auto"/>
              <w:right w:val="nil"/>
            </w:tcBorders>
            <w:shd w:val="clear" w:color="auto" w:fill="auto"/>
            <w:noWrap/>
            <w:vAlign w:val="center"/>
            <w:hideMark/>
          </w:tcPr>
          <w:p w:rsidR="00761200" w:rsidRPr="00761200" w:rsidRDefault="00761200" w:rsidP="00761200">
            <w:pPr>
              <w:spacing w:before="0" w:after="0"/>
              <w:jc w:val="right"/>
              <w:rPr>
                <w:rFonts w:ascii="Calibri" w:eastAsia="Times New Roman" w:hAnsi="Calibri" w:cs="Times New Roman"/>
                <w:color w:val="000000"/>
                <w:sz w:val="16"/>
                <w:szCs w:val="16"/>
                <w:lang w:eastAsia="cs-CZ"/>
              </w:rPr>
            </w:pPr>
            <w:r w:rsidRPr="00761200">
              <w:rPr>
                <w:rFonts w:ascii="Calibri" w:eastAsia="Times New Roman" w:hAnsi="Calibri" w:cs="Times New Roman"/>
                <w:color w:val="000000"/>
                <w:sz w:val="16"/>
                <w:szCs w:val="16"/>
                <w:lang w:eastAsia="cs-CZ"/>
              </w:rPr>
              <w:t>5 784</w:t>
            </w:r>
          </w:p>
        </w:tc>
        <w:tc>
          <w:tcPr>
            <w:tcW w:w="760" w:type="dxa"/>
            <w:tcBorders>
              <w:top w:val="nil"/>
              <w:left w:val="nil"/>
              <w:bottom w:val="single" w:sz="8" w:space="0" w:color="auto"/>
              <w:right w:val="nil"/>
            </w:tcBorders>
            <w:shd w:val="clear" w:color="auto" w:fill="auto"/>
            <w:noWrap/>
            <w:vAlign w:val="center"/>
            <w:hideMark/>
          </w:tcPr>
          <w:p w:rsidR="00761200" w:rsidRPr="00761200" w:rsidRDefault="00761200" w:rsidP="00761200">
            <w:pPr>
              <w:spacing w:before="0" w:after="0"/>
              <w:jc w:val="right"/>
              <w:rPr>
                <w:rFonts w:ascii="Calibri" w:eastAsia="Times New Roman" w:hAnsi="Calibri" w:cs="Times New Roman"/>
                <w:color w:val="000000"/>
                <w:sz w:val="16"/>
                <w:szCs w:val="16"/>
                <w:lang w:eastAsia="cs-CZ"/>
              </w:rPr>
            </w:pPr>
            <w:r w:rsidRPr="00761200">
              <w:rPr>
                <w:rFonts w:ascii="Calibri" w:eastAsia="Times New Roman" w:hAnsi="Calibri" w:cs="Times New Roman"/>
                <w:color w:val="000000"/>
                <w:sz w:val="16"/>
                <w:szCs w:val="16"/>
                <w:lang w:eastAsia="cs-CZ"/>
              </w:rPr>
              <w:t>3 023</w:t>
            </w:r>
          </w:p>
        </w:tc>
        <w:tc>
          <w:tcPr>
            <w:tcW w:w="760" w:type="dxa"/>
            <w:tcBorders>
              <w:top w:val="nil"/>
              <w:left w:val="nil"/>
              <w:bottom w:val="single" w:sz="8" w:space="0" w:color="auto"/>
              <w:right w:val="nil"/>
            </w:tcBorders>
            <w:shd w:val="clear" w:color="auto" w:fill="auto"/>
            <w:noWrap/>
            <w:vAlign w:val="center"/>
            <w:hideMark/>
          </w:tcPr>
          <w:p w:rsidR="00761200" w:rsidRPr="00761200" w:rsidRDefault="00761200" w:rsidP="00761200">
            <w:pPr>
              <w:spacing w:before="0" w:after="0"/>
              <w:jc w:val="right"/>
              <w:rPr>
                <w:rFonts w:ascii="Calibri" w:eastAsia="Times New Roman" w:hAnsi="Calibri" w:cs="Times New Roman"/>
                <w:color w:val="000000"/>
                <w:sz w:val="16"/>
                <w:szCs w:val="16"/>
                <w:lang w:eastAsia="cs-CZ"/>
              </w:rPr>
            </w:pPr>
            <w:r w:rsidRPr="00761200">
              <w:rPr>
                <w:rFonts w:ascii="Calibri" w:eastAsia="Times New Roman" w:hAnsi="Calibri" w:cs="Times New Roman"/>
                <w:color w:val="000000"/>
                <w:sz w:val="16"/>
                <w:szCs w:val="16"/>
                <w:lang w:eastAsia="cs-CZ"/>
              </w:rPr>
              <w:t>14 862</w:t>
            </w:r>
          </w:p>
        </w:tc>
        <w:tc>
          <w:tcPr>
            <w:tcW w:w="760" w:type="dxa"/>
            <w:tcBorders>
              <w:top w:val="nil"/>
              <w:left w:val="nil"/>
              <w:bottom w:val="single" w:sz="8" w:space="0" w:color="auto"/>
              <w:right w:val="nil"/>
            </w:tcBorders>
            <w:shd w:val="clear" w:color="auto" w:fill="auto"/>
            <w:noWrap/>
            <w:vAlign w:val="center"/>
            <w:hideMark/>
          </w:tcPr>
          <w:p w:rsidR="00761200" w:rsidRPr="00761200" w:rsidRDefault="00761200" w:rsidP="00761200">
            <w:pPr>
              <w:spacing w:before="0" w:after="0"/>
              <w:jc w:val="right"/>
              <w:rPr>
                <w:rFonts w:ascii="Calibri" w:eastAsia="Times New Roman" w:hAnsi="Calibri" w:cs="Times New Roman"/>
                <w:color w:val="000000"/>
                <w:sz w:val="16"/>
                <w:szCs w:val="16"/>
                <w:lang w:eastAsia="cs-CZ"/>
              </w:rPr>
            </w:pPr>
            <w:r w:rsidRPr="00761200">
              <w:rPr>
                <w:rFonts w:ascii="Calibri" w:eastAsia="Times New Roman" w:hAnsi="Calibri" w:cs="Times New Roman"/>
                <w:color w:val="000000"/>
                <w:sz w:val="16"/>
                <w:szCs w:val="16"/>
                <w:lang w:eastAsia="cs-CZ"/>
              </w:rPr>
              <w:t>20 469</w:t>
            </w:r>
          </w:p>
        </w:tc>
        <w:tc>
          <w:tcPr>
            <w:tcW w:w="760" w:type="dxa"/>
            <w:tcBorders>
              <w:top w:val="nil"/>
              <w:left w:val="nil"/>
              <w:bottom w:val="single" w:sz="8" w:space="0" w:color="auto"/>
              <w:right w:val="nil"/>
            </w:tcBorders>
            <w:shd w:val="clear" w:color="auto" w:fill="auto"/>
            <w:noWrap/>
            <w:vAlign w:val="center"/>
            <w:hideMark/>
          </w:tcPr>
          <w:p w:rsidR="00761200" w:rsidRPr="00761200" w:rsidRDefault="00761200" w:rsidP="00761200">
            <w:pPr>
              <w:spacing w:before="0" w:after="0"/>
              <w:jc w:val="right"/>
              <w:rPr>
                <w:rFonts w:ascii="Calibri" w:eastAsia="Times New Roman" w:hAnsi="Calibri" w:cs="Times New Roman"/>
                <w:color w:val="000000"/>
                <w:sz w:val="16"/>
                <w:szCs w:val="16"/>
                <w:lang w:eastAsia="cs-CZ"/>
              </w:rPr>
            </w:pPr>
            <w:r w:rsidRPr="00761200">
              <w:rPr>
                <w:rFonts w:ascii="Calibri" w:eastAsia="Times New Roman" w:hAnsi="Calibri" w:cs="Times New Roman"/>
                <w:color w:val="000000"/>
                <w:sz w:val="16"/>
                <w:szCs w:val="16"/>
                <w:lang w:eastAsia="cs-CZ"/>
              </w:rPr>
              <w:t>10 534</w:t>
            </w:r>
          </w:p>
        </w:tc>
        <w:tc>
          <w:tcPr>
            <w:tcW w:w="760" w:type="dxa"/>
            <w:tcBorders>
              <w:top w:val="nil"/>
              <w:left w:val="nil"/>
              <w:bottom w:val="single" w:sz="8" w:space="0" w:color="auto"/>
              <w:right w:val="nil"/>
            </w:tcBorders>
            <w:shd w:val="clear" w:color="auto" w:fill="auto"/>
            <w:noWrap/>
            <w:vAlign w:val="center"/>
            <w:hideMark/>
          </w:tcPr>
          <w:p w:rsidR="00761200" w:rsidRPr="00761200" w:rsidRDefault="00761200" w:rsidP="00761200">
            <w:pPr>
              <w:spacing w:before="0" w:after="0"/>
              <w:jc w:val="right"/>
              <w:rPr>
                <w:rFonts w:ascii="Calibri" w:eastAsia="Times New Roman" w:hAnsi="Calibri" w:cs="Times New Roman"/>
                <w:color w:val="000000"/>
                <w:sz w:val="16"/>
                <w:szCs w:val="16"/>
                <w:lang w:eastAsia="cs-CZ"/>
              </w:rPr>
            </w:pPr>
            <w:r w:rsidRPr="00761200">
              <w:rPr>
                <w:rFonts w:ascii="Calibri" w:eastAsia="Times New Roman" w:hAnsi="Calibri" w:cs="Times New Roman"/>
                <w:color w:val="000000"/>
                <w:sz w:val="16"/>
                <w:szCs w:val="16"/>
                <w:lang w:eastAsia="cs-CZ"/>
              </w:rPr>
              <w:t> </w:t>
            </w:r>
          </w:p>
        </w:tc>
        <w:tc>
          <w:tcPr>
            <w:tcW w:w="760" w:type="dxa"/>
            <w:tcBorders>
              <w:top w:val="nil"/>
              <w:left w:val="nil"/>
              <w:bottom w:val="single" w:sz="8" w:space="0" w:color="auto"/>
              <w:right w:val="nil"/>
            </w:tcBorders>
            <w:shd w:val="clear" w:color="auto" w:fill="auto"/>
            <w:noWrap/>
            <w:vAlign w:val="center"/>
            <w:hideMark/>
          </w:tcPr>
          <w:p w:rsidR="00761200" w:rsidRPr="00761200" w:rsidRDefault="00761200" w:rsidP="00761200">
            <w:pPr>
              <w:spacing w:before="0" w:after="0"/>
              <w:jc w:val="right"/>
              <w:rPr>
                <w:rFonts w:ascii="Calibri" w:eastAsia="Times New Roman" w:hAnsi="Calibri" w:cs="Times New Roman"/>
                <w:color w:val="000000"/>
                <w:sz w:val="16"/>
                <w:szCs w:val="16"/>
                <w:lang w:eastAsia="cs-CZ"/>
              </w:rPr>
            </w:pPr>
            <w:r w:rsidRPr="00761200">
              <w:rPr>
                <w:rFonts w:ascii="Calibri" w:eastAsia="Times New Roman" w:hAnsi="Calibri" w:cs="Times New Roman"/>
                <w:color w:val="000000"/>
                <w:sz w:val="16"/>
                <w:szCs w:val="16"/>
                <w:lang w:eastAsia="cs-CZ"/>
              </w:rPr>
              <w:t>9 905</w:t>
            </w:r>
          </w:p>
        </w:tc>
        <w:tc>
          <w:tcPr>
            <w:tcW w:w="760" w:type="dxa"/>
            <w:tcBorders>
              <w:top w:val="nil"/>
              <w:left w:val="nil"/>
              <w:bottom w:val="single" w:sz="8" w:space="0" w:color="auto"/>
              <w:right w:val="nil"/>
            </w:tcBorders>
            <w:shd w:val="clear" w:color="auto" w:fill="auto"/>
            <w:noWrap/>
            <w:vAlign w:val="center"/>
            <w:hideMark/>
          </w:tcPr>
          <w:p w:rsidR="00761200" w:rsidRPr="00761200" w:rsidRDefault="00761200" w:rsidP="00761200">
            <w:pPr>
              <w:spacing w:before="0" w:after="0"/>
              <w:jc w:val="right"/>
              <w:rPr>
                <w:rFonts w:ascii="Calibri" w:eastAsia="Times New Roman" w:hAnsi="Calibri" w:cs="Times New Roman"/>
                <w:color w:val="000000"/>
                <w:sz w:val="16"/>
                <w:szCs w:val="16"/>
                <w:lang w:eastAsia="cs-CZ"/>
              </w:rPr>
            </w:pPr>
            <w:r w:rsidRPr="00761200">
              <w:rPr>
                <w:rFonts w:ascii="Calibri" w:eastAsia="Times New Roman" w:hAnsi="Calibri" w:cs="Times New Roman"/>
                <w:color w:val="000000"/>
                <w:sz w:val="16"/>
                <w:szCs w:val="16"/>
                <w:lang w:eastAsia="cs-CZ"/>
              </w:rPr>
              <w:t>12 898</w:t>
            </w:r>
          </w:p>
        </w:tc>
        <w:tc>
          <w:tcPr>
            <w:tcW w:w="760" w:type="dxa"/>
            <w:tcBorders>
              <w:top w:val="nil"/>
              <w:left w:val="nil"/>
              <w:bottom w:val="single" w:sz="8" w:space="0" w:color="auto"/>
              <w:right w:val="nil"/>
            </w:tcBorders>
            <w:shd w:val="clear" w:color="auto" w:fill="auto"/>
            <w:noWrap/>
            <w:vAlign w:val="center"/>
            <w:hideMark/>
          </w:tcPr>
          <w:p w:rsidR="00761200" w:rsidRPr="00761200" w:rsidRDefault="00761200" w:rsidP="00761200">
            <w:pPr>
              <w:spacing w:before="0" w:after="0"/>
              <w:jc w:val="right"/>
              <w:rPr>
                <w:rFonts w:ascii="Calibri" w:eastAsia="Times New Roman" w:hAnsi="Calibri" w:cs="Times New Roman"/>
                <w:color w:val="000000"/>
                <w:sz w:val="16"/>
                <w:szCs w:val="16"/>
                <w:lang w:eastAsia="cs-CZ"/>
              </w:rPr>
            </w:pPr>
            <w:r w:rsidRPr="00761200">
              <w:rPr>
                <w:rFonts w:ascii="Calibri" w:eastAsia="Times New Roman" w:hAnsi="Calibri" w:cs="Times New Roman"/>
                <w:color w:val="000000"/>
                <w:sz w:val="16"/>
                <w:szCs w:val="16"/>
                <w:lang w:eastAsia="cs-CZ"/>
              </w:rPr>
              <w:t>8 802</w:t>
            </w:r>
          </w:p>
        </w:tc>
        <w:tc>
          <w:tcPr>
            <w:tcW w:w="760" w:type="dxa"/>
            <w:tcBorders>
              <w:top w:val="nil"/>
              <w:left w:val="nil"/>
              <w:bottom w:val="single" w:sz="8" w:space="0" w:color="auto"/>
              <w:right w:val="nil"/>
            </w:tcBorders>
            <w:shd w:val="clear" w:color="auto" w:fill="auto"/>
            <w:noWrap/>
            <w:vAlign w:val="center"/>
            <w:hideMark/>
          </w:tcPr>
          <w:p w:rsidR="00761200" w:rsidRPr="00761200" w:rsidRDefault="00761200" w:rsidP="00761200">
            <w:pPr>
              <w:spacing w:before="0" w:after="0"/>
              <w:jc w:val="right"/>
              <w:rPr>
                <w:rFonts w:ascii="Calibri" w:eastAsia="Times New Roman" w:hAnsi="Calibri" w:cs="Times New Roman"/>
                <w:color w:val="000000"/>
                <w:sz w:val="16"/>
                <w:szCs w:val="16"/>
                <w:lang w:eastAsia="cs-CZ"/>
              </w:rPr>
            </w:pPr>
            <w:r w:rsidRPr="00761200">
              <w:rPr>
                <w:rFonts w:ascii="Calibri" w:eastAsia="Times New Roman" w:hAnsi="Calibri" w:cs="Times New Roman"/>
                <w:color w:val="000000"/>
                <w:sz w:val="16"/>
                <w:szCs w:val="16"/>
                <w:lang w:eastAsia="cs-CZ"/>
              </w:rPr>
              <w:t>11 567</w:t>
            </w:r>
          </w:p>
        </w:tc>
      </w:tr>
    </w:tbl>
    <w:p w:rsidR="00761200" w:rsidRPr="00761200" w:rsidRDefault="00761200" w:rsidP="00761200"/>
    <w:p w:rsidR="00784DE1" w:rsidRDefault="00A764C8" w:rsidP="00AE1AAE">
      <w:r>
        <w:lastRenderedPageBreak/>
        <w:t xml:space="preserve">Na </w:t>
      </w:r>
      <w:r>
        <w:fldChar w:fldCharType="begin"/>
      </w:r>
      <w:r>
        <w:instrText xml:space="preserve"> REF  _Ref450313242 \* Lower \h  \* MERGEFORMAT </w:instrText>
      </w:r>
      <w:r>
        <w:fldChar w:fldCharType="separate"/>
      </w:r>
      <w:r w:rsidR="003F08E5">
        <w:t xml:space="preserve">obr. </w:t>
      </w:r>
      <w:r w:rsidR="003F08E5">
        <w:rPr>
          <w:noProof/>
        </w:rPr>
        <w:t>4</w:t>
      </w:r>
      <w:r>
        <w:fldChar w:fldCharType="end"/>
      </w:r>
      <w:r>
        <w:t xml:space="preserve"> je uvedeno rozdělení projektů BV podle velikosti</w:t>
      </w:r>
      <w:r w:rsidR="00784DE1">
        <w:t xml:space="preserve"> projektu a sektoru, ve kterém působil příjemce podpory </w:t>
      </w:r>
      <w:r>
        <w:t xml:space="preserve">(histogram). Na obrázku je vidět, že největší část tvořily projekty s rozpočtem kolem 10 až 20 mil. Kč. </w:t>
      </w:r>
      <w:r w:rsidR="00AE1AAE" w:rsidRPr="00AE1AAE">
        <w:t xml:space="preserve">Přibližně 70 % projektů  udělených v letech 2010 </w:t>
      </w:r>
      <w:r w:rsidR="00AE1AAE">
        <w:t>až</w:t>
      </w:r>
      <w:r w:rsidR="00AE1AAE" w:rsidRPr="00AE1AAE">
        <w:t xml:space="preserve"> 2015 obdrželo veřejnou podporu mezi 5 a 20 miliony Kč. </w:t>
      </w:r>
    </w:p>
    <w:p w:rsidR="008C4993" w:rsidRDefault="00AE1AAE" w:rsidP="00AE1AAE">
      <w:r w:rsidRPr="00AE1AAE">
        <w:t xml:space="preserve">Pouze </w:t>
      </w:r>
      <w:r>
        <w:t>dva</w:t>
      </w:r>
      <w:r w:rsidRPr="00AE1AAE">
        <w:t xml:space="preserve"> projekty byly v rozsahu 80 </w:t>
      </w:r>
      <w:r>
        <w:t>až</w:t>
      </w:r>
      <w:r w:rsidRPr="00AE1AAE">
        <w:t xml:space="preserve"> 120 mil Kč. Hlavními řešiteli těchto dvou </w:t>
      </w:r>
      <w:r w:rsidR="00A764C8">
        <w:t xml:space="preserve">velkých </w:t>
      </w:r>
      <w:r w:rsidRPr="00AE1AAE">
        <w:t>projektů byl</w:t>
      </w:r>
      <w:r w:rsidR="00A764C8">
        <w:t>y</w:t>
      </w:r>
      <w:r w:rsidRPr="00AE1AAE">
        <w:t xml:space="preserve"> </w:t>
      </w:r>
      <w:r w:rsidRPr="00AE1AAE">
        <w:rPr>
          <w:lang w:val="en-US"/>
        </w:rPr>
        <w:t>S</w:t>
      </w:r>
      <w:r w:rsidRPr="00AE1AAE">
        <w:t>ÚJ</w:t>
      </w:r>
      <w:r w:rsidR="008C4993">
        <w:t>CHBO (širší obor Chemické vědy)</w:t>
      </w:r>
      <w:r w:rsidRPr="00AE1AAE">
        <w:t xml:space="preserve"> a MV GŘ HZS – </w:t>
      </w:r>
      <w:r>
        <w:t>Institut ochrany obyvatel</w:t>
      </w:r>
      <w:r w:rsidR="008C4993">
        <w:t xml:space="preserve"> (obor Vojenství)</w:t>
      </w:r>
      <w:r w:rsidRPr="00AE1AAE">
        <w:t>.</w:t>
      </w:r>
      <w:r w:rsidR="00A764C8">
        <w:t xml:space="preserve"> </w:t>
      </w:r>
    </w:p>
    <w:p w:rsidR="00A764C8" w:rsidRDefault="00AE1AAE" w:rsidP="00AE1AAE">
      <w:r w:rsidRPr="00AE1AAE">
        <w:t xml:space="preserve">Mezi jednotlivými sektory </w:t>
      </w:r>
      <w:r>
        <w:t>j</w:t>
      </w:r>
      <w:r w:rsidRPr="00AE1AAE">
        <w:t>sou viditelné rozdíly ve způsobu financování</w:t>
      </w:r>
      <w:r>
        <w:t xml:space="preserve"> -</w:t>
      </w:r>
      <w:r w:rsidRPr="00AE1AAE">
        <w:t xml:space="preserve"> </w:t>
      </w:r>
      <w:r>
        <w:t>v</w:t>
      </w:r>
      <w:r w:rsidRPr="00AE1AAE">
        <w:t>eřejné výzkumné instituce a podnikatel</w:t>
      </w:r>
      <w:r>
        <w:t>s</w:t>
      </w:r>
      <w:r w:rsidRPr="00AE1AAE">
        <w:t>ké subjekty (</w:t>
      </w:r>
      <w:r>
        <w:t>právnické a fyzické osoby</w:t>
      </w:r>
      <w:r w:rsidRPr="00AE1AAE">
        <w:t xml:space="preserve">) obdržely výrazně nadprůměrný počet projektů v rozsahu 10 </w:t>
      </w:r>
      <w:r>
        <w:t>až</w:t>
      </w:r>
      <w:r w:rsidRPr="00AE1AAE">
        <w:t xml:space="preserve"> 20 mil. Kč</w:t>
      </w:r>
      <w:r w:rsidR="00A764C8">
        <w:t>.</w:t>
      </w:r>
      <w:r w:rsidRPr="00AE1AAE">
        <w:t xml:space="preserve"> </w:t>
      </w:r>
      <w:r w:rsidR="00A764C8">
        <w:t>S</w:t>
      </w:r>
      <w:r w:rsidRPr="00AE1AAE">
        <w:t xml:space="preserve">tátní příspěvkové organizace byly </w:t>
      </w:r>
      <w:r w:rsidR="00A764C8">
        <w:t xml:space="preserve">naopak </w:t>
      </w:r>
      <w:r w:rsidRPr="00AE1AAE">
        <w:t xml:space="preserve">výrazně největším příjemcem relativně menších projektů v rozsahu </w:t>
      </w:r>
      <w:r w:rsidR="00A764C8">
        <w:t>jeden</w:t>
      </w:r>
      <w:r w:rsidRPr="00AE1AAE">
        <w:t xml:space="preserve"> až pět mil Kč.</w:t>
      </w:r>
      <w:r w:rsidR="00A764C8">
        <w:t xml:space="preserve"> </w:t>
      </w:r>
      <w:r w:rsidRPr="00AE1AAE">
        <w:t>Mal</w:t>
      </w:r>
      <w:r w:rsidR="00A764C8">
        <w:t>ých</w:t>
      </w:r>
      <w:r w:rsidRPr="00AE1AAE">
        <w:t xml:space="preserve"> projekt</w:t>
      </w:r>
      <w:r w:rsidR="00A764C8">
        <w:t>ů</w:t>
      </w:r>
      <w:r w:rsidRPr="00AE1AAE">
        <w:t xml:space="preserve"> do 1 mil. Kč </w:t>
      </w:r>
      <w:r w:rsidR="00A764C8">
        <w:t>se účastnily prakticky jen VŠ</w:t>
      </w:r>
      <w:r w:rsidRPr="00AE1AAE">
        <w:t>.</w:t>
      </w:r>
    </w:p>
    <w:p w:rsidR="00AE1AAE" w:rsidRDefault="00784DE1" w:rsidP="00AE1AAE">
      <w:r>
        <w:t>Malé projekty s rozsahem do 5 mil. Kč byly řešeny nejvíce v</w:t>
      </w:r>
      <w:r w:rsidR="00773E06">
        <w:t xml:space="preserve"> širším </w:t>
      </w:r>
      <w:r>
        <w:t xml:space="preserve">oboru </w:t>
      </w:r>
      <w:r w:rsidR="00773E06">
        <w:t>společenských věd (</w:t>
      </w:r>
      <w:r>
        <w:t>A</w:t>
      </w:r>
      <w:r w:rsidR="00773E06">
        <w:t>)</w:t>
      </w:r>
      <w:r>
        <w:t xml:space="preserve">. Jedná se však zpravidla o projekty, ve kterých byly zpracovávány analýzy apod., pro které by tyto částky měly být dostačující. </w:t>
      </w:r>
      <w:r w:rsidR="00AE1AAE" w:rsidRPr="00AE1AAE">
        <w:t xml:space="preserve">V případě malých projektů </w:t>
      </w:r>
      <w:r w:rsidR="008116DF">
        <w:t xml:space="preserve">(zejména s objemem </w:t>
      </w:r>
      <w:r w:rsidR="00AE1AAE" w:rsidRPr="00AE1AAE">
        <w:t>do 1</w:t>
      </w:r>
      <w:r w:rsidR="00A764C8">
        <w:t> </w:t>
      </w:r>
      <w:r w:rsidR="00AE1AAE" w:rsidRPr="00AE1AAE">
        <w:t>mil.</w:t>
      </w:r>
      <w:r w:rsidR="00A764C8">
        <w:t> </w:t>
      </w:r>
      <w:r w:rsidR="00AE1AAE" w:rsidRPr="00AE1AAE">
        <w:t>Kč</w:t>
      </w:r>
      <w:r w:rsidR="008116DF">
        <w:t>)</w:t>
      </w:r>
      <w:r w:rsidR="00AE1AAE" w:rsidRPr="00AE1AAE">
        <w:t xml:space="preserve"> je nutno </w:t>
      </w:r>
      <w:r w:rsidR="008116DF">
        <w:t xml:space="preserve">také </w:t>
      </w:r>
      <w:r w:rsidR="00AE1AAE" w:rsidRPr="00AE1AAE">
        <w:t>vzít v úvahu celkovou výzkumnou kapacitu a úroveň dalšího financování VaV řešitele. T</w:t>
      </w:r>
      <w:r w:rsidR="008116DF">
        <w:t>a</w:t>
      </w:r>
      <w:r w:rsidR="00AE1AAE" w:rsidRPr="00AE1AAE">
        <w:t xml:space="preserve"> je zpravidla dostatečn</w:t>
      </w:r>
      <w:r w:rsidR="008116DF">
        <w:t>á</w:t>
      </w:r>
      <w:r w:rsidR="00AE1AAE" w:rsidRPr="00AE1AAE">
        <w:t xml:space="preserve"> v případě </w:t>
      </w:r>
      <w:r w:rsidR="00A764C8">
        <w:t>VVI a VŠ.</w:t>
      </w:r>
      <w:r w:rsidR="00AE1AAE" w:rsidRPr="00AE1AAE">
        <w:t xml:space="preserve"> </w:t>
      </w:r>
      <w:r w:rsidR="00A764C8">
        <w:t>V</w:t>
      </w:r>
      <w:r w:rsidR="00AE1AAE" w:rsidRPr="00AE1AAE">
        <w:t> případě podnikatelských subjektů,</w:t>
      </w:r>
      <w:r w:rsidR="00A764C8">
        <w:t xml:space="preserve"> </w:t>
      </w:r>
      <w:r w:rsidR="00AE1AAE" w:rsidRPr="00AE1AAE">
        <w:t>které mají omezený přístup k jinému financování VaV</w:t>
      </w:r>
      <w:r w:rsidR="00A764C8">
        <w:t>,</w:t>
      </w:r>
      <w:r w:rsidR="00AE1AAE" w:rsidRPr="00AE1AAE">
        <w:t xml:space="preserve"> je </w:t>
      </w:r>
      <w:r w:rsidR="00A764C8">
        <w:t xml:space="preserve">otázkou, zdali </w:t>
      </w:r>
      <w:r w:rsidR="00D17F7A">
        <w:t xml:space="preserve">mohou být tak </w:t>
      </w:r>
      <w:r w:rsidR="00AE1AAE" w:rsidRPr="00AE1AAE">
        <w:t>malé výzkumné pr</w:t>
      </w:r>
      <w:r w:rsidR="00D17F7A">
        <w:t>o</w:t>
      </w:r>
      <w:r w:rsidR="00AE1AAE" w:rsidRPr="00AE1AAE">
        <w:t xml:space="preserve">jekty </w:t>
      </w:r>
      <w:r w:rsidR="00D17F7A">
        <w:t>řešeny dostatečně efektivně</w:t>
      </w:r>
      <w:r w:rsidR="00AE1AAE" w:rsidRPr="00AE1AAE">
        <w:t>.</w:t>
      </w:r>
    </w:p>
    <w:p w:rsidR="008116DF" w:rsidRDefault="008116DF" w:rsidP="00AE1AAE">
      <w:r w:rsidRPr="00AE1AAE">
        <w:t xml:space="preserve">Finanční objemy v rozsahu 10 </w:t>
      </w:r>
      <w:r>
        <w:t>až</w:t>
      </w:r>
      <w:r w:rsidRPr="00AE1AAE">
        <w:t xml:space="preserve"> 20 mil. Kč na projekt lze považovat za přijatelně velké </w:t>
      </w:r>
      <w:r>
        <w:t xml:space="preserve">umožňující realizovat VaV v </w:t>
      </w:r>
      <w:r w:rsidRPr="00AE1AAE">
        <w:t>dostatečné</w:t>
      </w:r>
      <w:r>
        <w:t>m</w:t>
      </w:r>
      <w:r w:rsidRPr="00AE1AAE">
        <w:t xml:space="preserve"> rozsahu z hlediska </w:t>
      </w:r>
      <w:r>
        <w:t xml:space="preserve">splnění výzkumných </w:t>
      </w:r>
      <w:r w:rsidRPr="00AE1AAE">
        <w:t>cíl</w:t>
      </w:r>
      <w:r>
        <w:t>ů (včetně technologicky zaměřených projektů)</w:t>
      </w:r>
      <w:r w:rsidRPr="00AE1AAE">
        <w:t>.</w:t>
      </w:r>
      <w:r>
        <w:t xml:space="preserve"> Nízký počet projektů většího rozsahu může znamenat, že pouze výjimečně jsou řešeny projekty </w:t>
      </w:r>
      <w:r w:rsidR="00FB7D79">
        <w:t>většího rozsahu</w:t>
      </w:r>
      <w:r>
        <w:t xml:space="preserve"> vyžadující náročný VaV.</w:t>
      </w:r>
    </w:p>
    <w:p w:rsidR="00126A48" w:rsidRDefault="00126A48" w:rsidP="00AE1AAE"/>
    <w:p w:rsidR="00126A48" w:rsidRPr="00AE1AAE" w:rsidRDefault="00126A48" w:rsidP="00773E06">
      <w:pPr>
        <w:jc w:val="center"/>
      </w:pPr>
      <w:r>
        <w:rPr>
          <w:noProof/>
          <w:lang w:eastAsia="cs-CZ"/>
        </w:rPr>
        <w:drawing>
          <wp:inline distT="0" distB="0" distL="0" distR="0" wp14:anchorId="3F7CF8BD" wp14:editId="385F4998">
            <wp:extent cx="4773043" cy="3638550"/>
            <wp:effectExtent l="0" t="0" r="8890" b="0"/>
            <wp:docPr id="35" name="Obrázek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780509" cy="3644242"/>
                    </a:xfrm>
                    <a:prstGeom prst="rect">
                      <a:avLst/>
                    </a:prstGeom>
                    <a:noFill/>
                  </pic:spPr>
                </pic:pic>
              </a:graphicData>
            </a:graphic>
          </wp:inline>
        </w:drawing>
      </w:r>
    </w:p>
    <w:p w:rsidR="00A764C8" w:rsidRDefault="00A764C8" w:rsidP="00A764C8">
      <w:pPr>
        <w:pStyle w:val="Titulek"/>
      </w:pPr>
      <w:bookmarkStart w:id="36" w:name="_Ref450313242"/>
      <w:r>
        <w:t xml:space="preserve">Obr. </w:t>
      </w:r>
      <w:r w:rsidR="00990E2D">
        <w:fldChar w:fldCharType="begin"/>
      </w:r>
      <w:r w:rsidR="00990E2D">
        <w:instrText xml:space="preserve"> SEQ Obr. \* ARABIC </w:instrText>
      </w:r>
      <w:r w:rsidR="00990E2D">
        <w:fldChar w:fldCharType="separate"/>
      </w:r>
      <w:r w:rsidR="003F08E5">
        <w:rPr>
          <w:noProof/>
        </w:rPr>
        <w:t>4</w:t>
      </w:r>
      <w:r w:rsidR="00990E2D">
        <w:rPr>
          <w:noProof/>
        </w:rPr>
        <w:fldChar w:fldCharType="end"/>
      </w:r>
      <w:bookmarkEnd w:id="36"/>
      <w:r>
        <w:tab/>
      </w:r>
      <w:r w:rsidRPr="00A764C8">
        <w:t>Distribuce velikosti veřejné podpory projektů bezpečnostního výzkumu</w:t>
      </w:r>
      <w:r>
        <w:t xml:space="preserve">. Zdroj: IS </w:t>
      </w:r>
      <w:r w:rsidR="0049413A">
        <w:t>V</w:t>
      </w:r>
      <w:r>
        <w:t>aVaI</w:t>
      </w:r>
    </w:p>
    <w:p w:rsidR="00443784" w:rsidRPr="00443784" w:rsidRDefault="00443784" w:rsidP="00443784"/>
    <w:p w:rsidR="004F1F0C" w:rsidRDefault="004F1F0C" w:rsidP="00412CBC">
      <w:pPr>
        <w:pStyle w:val="Nadpis3"/>
      </w:pPr>
      <w:bookmarkStart w:id="37" w:name="_Ref450058341"/>
      <w:bookmarkStart w:id="38" w:name="_Ref451692618"/>
      <w:bookmarkStart w:id="39" w:name="_Toc459723270"/>
      <w:r>
        <w:lastRenderedPageBreak/>
        <w:t xml:space="preserve">Příjemci </w:t>
      </w:r>
      <w:r w:rsidR="00E11797">
        <w:t>veřejné podpory v programech bezpečnostního výzkumu</w:t>
      </w:r>
      <w:bookmarkEnd w:id="37"/>
      <w:r w:rsidR="00E11797">
        <w:t xml:space="preserve"> MV</w:t>
      </w:r>
      <w:bookmarkEnd w:id="38"/>
      <w:bookmarkEnd w:id="39"/>
    </w:p>
    <w:tbl>
      <w:tblPr>
        <w:tblW w:w="0" w:type="auto"/>
        <w:tblBorders>
          <w:top w:val="single" w:sz="4" w:space="0" w:color="auto"/>
          <w:left w:val="single" w:sz="4" w:space="0" w:color="auto"/>
          <w:bottom w:val="single" w:sz="4" w:space="0" w:color="auto"/>
          <w:right w:val="single" w:sz="4" w:space="0" w:color="auto"/>
        </w:tblBorders>
        <w:shd w:val="clear" w:color="auto" w:fill="F2F2F2" w:themeFill="background1" w:themeFillShade="F2"/>
        <w:tblLook w:val="04A0" w:firstRow="1" w:lastRow="0" w:firstColumn="1" w:lastColumn="0" w:noHBand="0" w:noVBand="1"/>
      </w:tblPr>
      <w:tblGrid>
        <w:gridCol w:w="9354"/>
      </w:tblGrid>
      <w:tr w:rsidR="001111DE" w:rsidTr="00347A3B">
        <w:tc>
          <w:tcPr>
            <w:tcW w:w="9354" w:type="dxa"/>
            <w:shd w:val="clear" w:color="auto" w:fill="F2F2F2" w:themeFill="background1" w:themeFillShade="F2"/>
          </w:tcPr>
          <w:p w:rsidR="001111DE" w:rsidRDefault="001111DE" w:rsidP="001111DE">
            <w:r>
              <w:t xml:space="preserve">Největším </w:t>
            </w:r>
            <w:r w:rsidRPr="00E022BD">
              <w:t xml:space="preserve">příjemcem veřejné podpory </w:t>
            </w:r>
            <w:r>
              <w:t>z programů BP v období 2010 – 2015 byl</w:t>
            </w:r>
            <w:r w:rsidR="00347A3B">
              <w:t>o MV (resp. jeho organizační jednotky)</w:t>
            </w:r>
            <w:r>
              <w:t>, které v tomto období získaly téměř 260 mil. Kč</w:t>
            </w:r>
            <w:r w:rsidRPr="00E022BD">
              <w:t>.</w:t>
            </w:r>
            <w:r>
              <w:t xml:space="preserve"> Významnou část podpory získaly také VO, které získávají institucionální podporu z rozpočtové kapitoly MV - Státní ústav jaderné, chemické a biologické ochrany, v.v.i., a Státní ústav radiační ochrany, v.v.i. U některých institucí spadajících pod MV (a pod Ministerstvo obrany) tvoří programy BV významnou část účelové podpory, kterou tyto instituce získávají.</w:t>
            </w:r>
          </w:p>
          <w:p w:rsidR="001111DE" w:rsidRDefault="001111DE" w:rsidP="001111DE">
            <w:r w:rsidRPr="00A438B6">
              <w:t>Z VŠ sektoru bylo nejvýznamnějším příjemcem ČVUT</w:t>
            </w:r>
            <w:r>
              <w:t xml:space="preserve"> v Praze</w:t>
            </w:r>
            <w:r w:rsidRPr="00A438B6">
              <w:t xml:space="preserve">, </w:t>
            </w:r>
            <w:r>
              <w:t>a to</w:t>
            </w:r>
            <w:r w:rsidRPr="00A438B6">
              <w:t xml:space="preserve"> zejména fakult</w:t>
            </w:r>
            <w:r>
              <w:t>a</w:t>
            </w:r>
            <w:r w:rsidRPr="00A438B6">
              <w:t xml:space="preserve"> elektrotechnick</w:t>
            </w:r>
            <w:r>
              <w:t>á</w:t>
            </w:r>
            <w:r w:rsidRPr="00A438B6">
              <w:t xml:space="preserve"> a fakult</w:t>
            </w:r>
            <w:r>
              <w:t>a</w:t>
            </w:r>
            <w:r w:rsidRPr="00A438B6">
              <w:t xml:space="preserve"> biomedicínského inženýrství. Dalším</w:t>
            </w:r>
            <w:r>
              <w:t>i</w:t>
            </w:r>
            <w:r w:rsidRPr="00A438B6">
              <w:t xml:space="preserve"> významným</w:t>
            </w:r>
            <w:r>
              <w:t>i</w:t>
            </w:r>
            <w:r w:rsidRPr="00A438B6">
              <w:t xml:space="preserve"> příjemc</w:t>
            </w:r>
            <w:r>
              <w:t>i</w:t>
            </w:r>
            <w:r w:rsidRPr="00A438B6">
              <w:t xml:space="preserve"> bylo VUT v Brně (</w:t>
            </w:r>
            <w:r>
              <w:t>zejména</w:t>
            </w:r>
            <w:r w:rsidRPr="00A438B6">
              <w:t xml:space="preserve"> fakulta informačních technologií</w:t>
            </w:r>
            <w:r>
              <w:t xml:space="preserve">), </w:t>
            </w:r>
            <w:r w:rsidRPr="00A438B6">
              <w:t>VŠCHT v Praze (fakulta chemické technologie) a VŠB – TU Ostrava (fakulta bezpečnostního inženýrství).</w:t>
            </w:r>
            <w:r>
              <w:t xml:space="preserve"> Z veřejných výzkumných institucí (VVI) se programů BV ne</w:t>
            </w:r>
            <w:r w:rsidR="00347A3B">
              <w:t>j</w:t>
            </w:r>
            <w:r>
              <w:t xml:space="preserve">více účastnily </w:t>
            </w:r>
            <w:r w:rsidRPr="001111DE">
              <w:t>Výzkumný ústav vodohospodářský TGM, Centrum dopravního výzkumu, Výzkumný ústav bezpečnosti práce a Výzkumný ústav veterinárního lékařství</w:t>
            </w:r>
            <w:r>
              <w:t>. Ústavy Akademie věd ČR (AV ČR) se do programů BV příliš nezapojují.</w:t>
            </w:r>
          </w:p>
          <w:p w:rsidR="001111DE" w:rsidRDefault="001111DE" w:rsidP="00347A3B">
            <w:pPr>
              <w:rPr>
                <w:lang w:eastAsia="cs-CZ"/>
              </w:rPr>
            </w:pPr>
            <w:r>
              <w:t xml:space="preserve">V projektech BV bylo zapojeno také </w:t>
            </w:r>
            <w:r w:rsidRPr="00E022BD">
              <w:t>přibližně 100 právnických a fyzických osob</w:t>
            </w:r>
            <w:r>
              <w:t>.</w:t>
            </w:r>
            <w:r w:rsidR="00680354">
              <w:t xml:space="preserve"> Do programů BV se nejčastěji zapojovaly společnosti Centrum pro bezpečný stát o.s., KPM  Cosult a.s. a Envinet a.s.</w:t>
            </w:r>
            <w:r w:rsidR="00680354" w:rsidRPr="00680354">
              <w:t xml:space="preserve">, </w:t>
            </w:r>
            <w:r w:rsidR="00680354">
              <w:t>T</w:t>
            </w:r>
            <w:r w:rsidR="00680354" w:rsidRPr="00680354">
              <w:t xml:space="preserve">éměř polovina </w:t>
            </w:r>
            <w:r w:rsidR="00680354">
              <w:t xml:space="preserve">z těchto subjektů </w:t>
            </w:r>
            <w:r w:rsidR="00680354" w:rsidRPr="00680354">
              <w:t>neobdržela žádnou jinou účelovou podporu z veřejných zdrojů</w:t>
            </w:r>
            <w:r w:rsidR="00680354">
              <w:t xml:space="preserve"> než</w:t>
            </w:r>
            <w:r w:rsidR="00347A3B">
              <w:t xml:space="preserve"> z </w:t>
            </w:r>
            <w:r w:rsidR="00680354">
              <w:t>programů BV</w:t>
            </w:r>
            <w:r w:rsidR="00680354" w:rsidRPr="00680354">
              <w:t>.</w:t>
            </w:r>
          </w:p>
        </w:tc>
      </w:tr>
    </w:tbl>
    <w:p w:rsidR="00194A07" w:rsidRDefault="00194A07" w:rsidP="00575379">
      <w:r>
        <w:t xml:space="preserve">Největším </w:t>
      </w:r>
      <w:r w:rsidRPr="00E022BD">
        <w:t xml:space="preserve">příjemcem veřejné podpory </w:t>
      </w:r>
      <w:r>
        <w:t xml:space="preserve">z programů BP v období 2010 – 2015 bylo </w:t>
      </w:r>
      <w:r w:rsidR="00E11797" w:rsidRPr="00E022BD">
        <w:t>M</w:t>
      </w:r>
      <w:r w:rsidR="009B5DC8">
        <w:t xml:space="preserve">V </w:t>
      </w:r>
      <w:r>
        <w:t>(resp. jeho organizační jednotky), které v tomto období získalo téměř 260 mil. Kč</w:t>
      </w:r>
      <w:r w:rsidR="00E11797" w:rsidRPr="00E022BD">
        <w:t>.</w:t>
      </w:r>
      <w:r w:rsidR="00575379">
        <w:t xml:space="preserve"> Významnou část podpory získaly také dvě VO, které získávají institucionální podporu z rozpočtové kapitoly MV - Státní ústav jaderné, chemické a biologické ochrany, v.v.i., a Státní ústav radiační ochrany, v.v.i. </w:t>
      </w:r>
      <w:r>
        <w:t>Podpora, kterou získaly tyto instituce</w:t>
      </w:r>
      <w:r w:rsidR="00BC34F7">
        <w:t>,</w:t>
      </w:r>
      <w:r>
        <w:t xml:space="preserve"> je blíže </w:t>
      </w:r>
      <w:r w:rsidR="009B5DC8">
        <w:t>popsána</w:t>
      </w:r>
      <w:r>
        <w:t xml:space="preserve"> v kap. </w:t>
      </w:r>
      <w:r w:rsidR="00BC34F7">
        <w:fldChar w:fldCharType="begin"/>
      </w:r>
      <w:r w:rsidR="00BC34F7">
        <w:instrText xml:space="preserve"> REF _Ref450295893 \r \h </w:instrText>
      </w:r>
      <w:r w:rsidR="00BC34F7">
        <w:fldChar w:fldCharType="separate"/>
      </w:r>
      <w:r w:rsidR="003F08E5">
        <w:t>2.2.2.1</w:t>
      </w:r>
      <w:r w:rsidR="00BC34F7">
        <w:fldChar w:fldCharType="end"/>
      </w:r>
      <w:r w:rsidR="00BC34F7">
        <w:t>.</w:t>
      </w:r>
    </w:p>
    <w:p w:rsidR="00E82DF5" w:rsidRDefault="00E022BD" w:rsidP="00E11797">
      <w:r w:rsidRPr="00E022BD">
        <w:t xml:space="preserve">Většina prostředků udělených v programech Ministerstva vnitra (VG, VD, VE, VF, VI) </w:t>
      </w:r>
      <w:r w:rsidR="00BC34F7">
        <w:t xml:space="preserve">však </w:t>
      </w:r>
      <w:r w:rsidRPr="00E022BD">
        <w:t xml:space="preserve">směrovala mimo organizační jednotky či instituce </w:t>
      </w:r>
      <w:r w:rsidR="00443784">
        <w:t>z</w:t>
      </w:r>
      <w:r w:rsidRPr="00E022BD">
        <w:t>řízené MV.</w:t>
      </w:r>
      <w:r w:rsidR="009B5DC8">
        <w:t xml:space="preserve"> J</w:t>
      </w:r>
      <w:r w:rsidR="00E82DF5">
        <w:t xml:space="preserve">ak je patrné z </w:t>
      </w:r>
      <w:r w:rsidR="00E82DF5">
        <w:fldChar w:fldCharType="begin"/>
      </w:r>
      <w:r w:rsidR="00E82DF5">
        <w:instrText xml:space="preserve"> REF  _Ref450297702 \* Lower \h  \* MERGEFORMAT </w:instrText>
      </w:r>
      <w:r w:rsidR="00E82DF5">
        <w:fldChar w:fldCharType="separate"/>
      </w:r>
      <w:r w:rsidR="003F08E5">
        <w:t xml:space="preserve">tab. </w:t>
      </w:r>
      <w:r w:rsidR="003F08E5">
        <w:rPr>
          <w:noProof/>
        </w:rPr>
        <w:t>8</w:t>
      </w:r>
      <w:r w:rsidR="00E82DF5">
        <w:fldChar w:fldCharType="end"/>
      </w:r>
      <w:r w:rsidR="00E82DF5">
        <w:t>, v</w:t>
      </w:r>
      <w:r w:rsidR="00575379" w:rsidRPr="00E022BD">
        <w:t xml:space="preserve"> první dvacítce nejvíce podporovaných institucí, které celkově obdržely přibližně dvě třetiny celkového objemu prostředků v programech </w:t>
      </w:r>
      <w:r w:rsidR="00575379">
        <w:t xml:space="preserve">BV, </w:t>
      </w:r>
      <w:r w:rsidR="00575379" w:rsidRPr="00E022BD">
        <w:t>je devět veřejných vysokých škol</w:t>
      </w:r>
      <w:r w:rsidR="00575379">
        <w:t xml:space="preserve"> (dále jen VŠ)</w:t>
      </w:r>
      <w:r w:rsidR="00575379" w:rsidRPr="00E022BD">
        <w:t xml:space="preserve"> a pět veřejných výzkumných institucí</w:t>
      </w:r>
      <w:r w:rsidR="00575379">
        <w:t xml:space="preserve"> (</w:t>
      </w:r>
      <w:r w:rsidR="00E82DF5">
        <w:t>VVI</w:t>
      </w:r>
      <w:r w:rsidR="00575379">
        <w:t>).</w:t>
      </w:r>
    </w:p>
    <w:p w:rsidR="00823386" w:rsidRDefault="00575379" w:rsidP="00E11797">
      <w:r>
        <w:t xml:space="preserve">Z VŠ sektoru </w:t>
      </w:r>
      <w:r w:rsidR="00E82DF5">
        <w:t>bylo n</w:t>
      </w:r>
      <w:r>
        <w:t xml:space="preserve">ejvýznamnějším příjemcem </w:t>
      </w:r>
      <w:r w:rsidR="00BC34F7">
        <w:t>ČVUT</w:t>
      </w:r>
      <w:r w:rsidR="00A438B6">
        <w:t xml:space="preserve"> v Praze</w:t>
      </w:r>
      <w:r w:rsidR="00BC34F7">
        <w:t>, které v období 2010 – 2015 získalo více než 220 mil. Kč (jednalo se zejména o fakultu elektrotechnickou a fakultu biomedicínského inženýrství).</w:t>
      </w:r>
      <w:r>
        <w:t xml:space="preserve"> Dalším významným příjemcem bylo </w:t>
      </w:r>
      <w:r w:rsidR="00BC34F7">
        <w:t>VUT v</w:t>
      </w:r>
      <w:r w:rsidR="00E82DF5">
        <w:t> </w:t>
      </w:r>
      <w:r w:rsidR="00BC34F7">
        <w:t>Brně</w:t>
      </w:r>
      <w:r w:rsidR="00E82DF5">
        <w:t xml:space="preserve"> (</w:t>
      </w:r>
      <w:r w:rsidR="00BC34F7">
        <w:t>téměř 190 mil. Kč</w:t>
      </w:r>
      <w:r w:rsidR="00E82DF5">
        <w:t>)</w:t>
      </w:r>
      <w:r>
        <w:t>, kde většinu veřejných prostředků z programů BV získala f</w:t>
      </w:r>
      <w:r w:rsidRPr="00575379">
        <w:t>akulta informačních technologií</w:t>
      </w:r>
      <w:r w:rsidR="00BC34F7">
        <w:t xml:space="preserve">. </w:t>
      </w:r>
      <w:r w:rsidR="00E82DF5">
        <w:t>Dalšími VŠ, které patří mezi významné příjemce účelové podpory MV, je VŠCHT v Praze (zejména fakulta chemické technologie) a VŠB – TU Ostrava (f</w:t>
      </w:r>
      <w:r w:rsidR="00E82DF5" w:rsidRPr="00E82DF5">
        <w:t>akulta bezpečnostního inženýrství</w:t>
      </w:r>
      <w:r w:rsidR="00E82DF5">
        <w:t>).</w:t>
      </w:r>
      <w:r w:rsidR="00823386">
        <w:t xml:space="preserve"> Z VVI (kromě institucí získávajících institucionální podporu z rozpočtové kapitoly MV) je v </w:t>
      </w:r>
      <w:r w:rsidR="00E82DF5">
        <w:t>první dvacít</w:t>
      </w:r>
      <w:r w:rsidR="00823386">
        <w:t>ce</w:t>
      </w:r>
      <w:r w:rsidR="00E82DF5">
        <w:t xml:space="preserve"> příjemců veřejné podpory </w:t>
      </w:r>
      <w:r w:rsidR="00823386">
        <w:t xml:space="preserve">ještě </w:t>
      </w:r>
      <w:r w:rsidR="00E022BD" w:rsidRPr="00E022BD">
        <w:t xml:space="preserve">Výzkumný ústav vodohospodářský TGM, Centrum dopravního výzkumu, </w:t>
      </w:r>
      <w:r w:rsidR="00E11797" w:rsidRPr="00E022BD">
        <w:t>Výzkumný ústav bezpečnosti práce</w:t>
      </w:r>
      <w:r w:rsidR="00823386">
        <w:t xml:space="preserve"> a</w:t>
      </w:r>
      <w:r w:rsidR="00E11797" w:rsidRPr="00E022BD">
        <w:t xml:space="preserve"> Výzkumný ústav veterinárního lékařství</w:t>
      </w:r>
      <w:r w:rsidR="00823386">
        <w:t xml:space="preserve"> (viz </w:t>
      </w:r>
      <w:r w:rsidR="00823386">
        <w:fldChar w:fldCharType="begin"/>
      </w:r>
      <w:r w:rsidR="00823386">
        <w:instrText xml:space="preserve"> REF  _Ref450297702 \* Lower \h  \* MERGEFORMAT </w:instrText>
      </w:r>
      <w:r w:rsidR="00823386">
        <w:fldChar w:fldCharType="separate"/>
      </w:r>
      <w:r w:rsidR="003F08E5">
        <w:t xml:space="preserve">tab. </w:t>
      </w:r>
      <w:r w:rsidR="003F08E5">
        <w:rPr>
          <w:noProof/>
        </w:rPr>
        <w:t>8</w:t>
      </w:r>
      <w:r w:rsidR="00823386">
        <w:fldChar w:fldCharType="end"/>
      </w:r>
      <w:r w:rsidR="00823386">
        <w:t>).</w:t>
      </w:r>
    </w:p>
    <w:p w:rsidR="00A179B1" w:rsidRDefault="00823386" w:rsidP="00E11797">
      <w:r>
        <w:t xml:space="preserve">Z analýzy údajů v IS VaVaI také vyplynulo, že </w:t>
      </w:r>
      <w:r w:rsidR="003F3E48">
        <w:t xml:space="preserve">u některých subjektů tvoří programy BV v gesci MV významnou část </w:t>
      </w:r>
      <w:r w:rsidR="00610A55">
        <w:t xml:space="preserve">celkové </w:t>
      </w:r>
      <w:r w:rsidR="003F3E48">
        <w:t>účelové podpory, kterou tyto subjekty získávají. Mezi tyto subjekty patří zejména jednot</w:t>
      </w:r>
      <w:r w:rsidR="00610A55">
        <w:t>k</w:t>
      </w:r>
      <w:r w:rsidR="003F3E48">
        <w:t xml:space="preserve">y a instituce spadající pod MV a MO. </w:t>
      </w:r>
      <w:r w:rsidR="00610A55">
        <w:t>V případě</w:t>
      </w:r>
      <w:r w:rsidR="003F3E48">
        <w:t xml:space="preserve"> VŠ </w:t>
      </w:r>
      <w:r w:rsidR="00A179B1">
        <w:t>tvoří tyto prostředky více než čtvrtinu celkové účelové podpory u těchto fakult:</w:t>
      </w:r>
    </w:p>
    <w:p w:rsidR="00A179B1" w:rsidRDefault="00A179B1" w:rsidP="004F74B7">
      <w:pPr>
        <w:pStyle w:val="Odstavecseseznamem"/>
        <w:numPr>
          <w:ilvl w:val="0"/>
          <w:numId w:val="6"/>
        </w:numPr>
        <w:ind w:left="714" w:hanging="357"/>
        <w:contextualSpacing w:val="0"/>
      </w:pPr>
      <w:r>
        <w:t>Fakulta bezpečnostního inženýrství, VŠB – TU Ostrava (81 %);</w:t>
      </w:r>
    </w:p>
    <w:p w:rsidR="00A179B1" w:rsidRDefault="00A179B1" w:rsidP="004F74B7">
      <w:pPr>
        <w:pStyle w:val="Odstavecseseznamem"/>
        <w:numPr>
          <w:ilvl w:val="0"/>
          <w:numId w:val="6"/>
        </w:numPr>
        <w:ind w:left="714" w:hanging="357"/>
        <w:contextualSpacing w:val="0"/>
      </w:pPr>
      <w:r>
        <w:t>Veterinární a farmaceutická univerzita Brno</w:t>
      </w:r>
      <w:r w:rsidRPr="00E022BD">
        <w:rPr>
          <w:vertAlign w:val="superscript"/>
        </w:rPr>
        <w:footnoteReference w:id="7"/>
      </w:r>
      <w:r>
        <w:t xml:space="preserve"> (60 %);</w:t>
      </w:r>
    </w:p>
    <w:p w:rsidR="00A179B1" w:rsidRDefault="00A179B1" w:rsidP="004F74B7">
      <w:pPr>
        <w:pStyle w:val="Odstavecseseznamem"/>
        <w:numPr>
          <w:ilvl w:val="0"/>
          <w:numId w:val="6"/>
        </w:numPr>
        <w:ind w:left="714" w:hanging="357"/>
        <w:contextualSpacing w:val="0"/>
      </w:pPr>
      <w:r>
        <w:t>Fakulta elektrotechniky a informatiky, Univerzita Pardubice (57 %);</w:t>
      </w:r>
    </w:p>
    <w:p w:rsidR="00A179B1" w:rsidRDefault="00A179B1" w:rsidP="004F74B7">
      <w:pPr>
        <w:pStyle w:val="Odstavecseseznamem"/>
        <w:numPr>
          <w:ilvl w:val="0"/>
          <w:numId w:val="6"/>
        </w:numPr>
        <w:ind w:left="714" w:hanging="357"/>
        <w:contextualSpacing w:val="0"/>
      </w:pPr>
      <w:r>
        <w:lastRenderedPageBreak/>
        <w:t>Zdravotně sociální fakulta, JČU v Českých Budějovicích (27 %);</w:t>
      </w:r>
    </w:p>
    <w:p w:rsidR="00A179B1" w:rsidRDefault="00A179B1" w:rsidP="004F74B7">
      <w:pPr>
        <w:pStyle w:val="Odstavecseseznamem"/>
        <w:numPr>
          <w:ilvl w:val="0"/>
          <w:numId w:val="6"/>
        </w:numPr>
        <w:ind w:left="714" w:hanging="357"/>
        <w:contextualSpacing w:val="0"/>
      </w:pPr>
      <w:r>
        <w:t>Fakulta ekonomicko-správní, Univerzita Pardubice (25 %).</w:t>
      </w:r>
    </w:p>
    <w:p w:rsidR="003D0DF5" w:rsidRDefault="00A179B1" w:rsidP="003D0DF5">
      <w:r>
        <w:t xml:space="preserve">V případě VVI není „závislost“ na účelové podpoře MV tak výrazná (s výjimkou </w:t>
      </w:r>
      <w:r w:rsidR="00F70E2E">
        <w:t>již</w:t>
      </w:r>
      <w:r>
        <w:t xml:space="preserve"> zmíněných </w:t>
      </w:r>
      <w:r w:rsidR="00F70E2E">
        <w:t xml:space="preserve">dvou </w:t>
      </w:r>
      <w:r>
        <w:t xml:space="preserve">VVI, které získávají institucionální podporu z rozpočtové kapitoly MV). Z ostatních VVI tvoří účelová podpora z program BV více než </w:t>
      </w:r>
      <w:r w:rsidR="003D0DF5">
        <w:t>1</w:t>
      </w:r>
      <w:r>
        <w:t xml:space="preserve">0 % celkové účelové podpory pouze u pouze u </w:t>
      </w:r>
      <w:r w:rsidR="003D0DF5">
        <w:t xml:space="preserve">těchto </w:t>
      </w:r>
      <w:r w:rsidR="00F70E2E">
        <w:t>institucí</w:t>
      </w:r>
      <w:r w:rsidR="003D0DF5">
        <w:t>:</w:t>
      </w:r>
    </w:p>
    <w:p w:rsidR="003D0DF5" w:rsidRDefault="003D0DF5" w:rsidP="004F74B7">
      <w:pPr>
        <w:pStyle w:val="Odstavecseseznamem"/>
        <w:numPr>
          <w:ilvl w:val="0"/>
          <w:numId w:val="6"/>
        </w:numPr>
        <w:ind w:left="714" w:hanging="357"/>
        <w:contextualSpacing w:val="0"/>
      </w:pPr>
      <w:r>
        <w:t>Výzkumný ústav vodohospodářský T. G. Masaryka (29 %);</w:t>
      </w:r>
    </w:p>
    <w:p w:rsidR="003D0DF5" w:rsidRDefault="003D0DF5" w:rsidP="004F74B7">
      <w:pPr>
        <w:pStyle w:val="Odstavecseseznamem"/>
        <w:numPr>
          <w:ilvl w:val="0"/>
          <w:numId w:val="6"/>
        </w:numPr>
        <w:ind w:left="714" w:hanging="357"/>
        <w:contextualSpacing w:val="0"/>
      </w:pPr>
      <w:r>
        <w:t>Centrum dopravního výzkumu (19 %);</w:t>
      </w:r>
    </w:p>
    <w:p w:rsidR="003D0DF5" w:rsidRDefault="003D0DF5" w:rsidP="004F74B7">
      <w:pPr>
        <w:pStyle w:val="Odstavecseseznamem"/>
        <w:numPr>
          <w:ilvl w:val="0"/>
          <w:numId w:val="6"/>
        </w:numPr>
        <w:ind w:left="714" w:hanging="357"/>
        <w:contextualSpacing w:val="0"/>
      </w:pPr>
      <w:r>
        <w:t>Výzkumný ústav bezpečnosti práce (13 %);</w:t>
      </w:r>
    </w:p>
    <w:p w:rsidR="003D0DF5" w:rsidRDefault="003D0DF5" w:rsidP="004F74B7">
      <w:pPr>
        <w:pStyle w:val="Odstavecseseznamem"/>
        <w:numPr>
          <w:ilvl w:val="0"/>
          <w:numId w:val="6"/>
        </w:numPr>
        <w:ind w:left="714" w:hanging="357"/>
        <w:contextualSpacing w:val="0"/>
      </w:pPr>
      <w:r>
        <w:t>Výzkumný ústav veterinárního lékařství (12 %);</w:t>
      </w:r>
    </w:p>
    <w:p w:rsidR="003D0DF5" w:rsidRDefault="003D0DF5" w:rsidP="004F74B7">
      <w:pPr>
        <w:pStyle w:val="Odstavecseseznamem"/>
        <w:numPr>
          <w:ilvl w:val="0"/>
          <w:numId w:val="6"/>
        </w:numPr>
        <w:ind w:left="714" w:hanging="357"/>
        <w:contextualSpacing w:val="0"/>
      </w:pPr>
      <w:r>
        <w:t>Ústav geoniky AV ČR (11 %);</w:t>
      </w:r>
    </w:p>
    <w:p w:rsidR="003D0DF5" w:rsidRDefault="003D0DF5" w:rsidP="004F74B7">
      <w:pPr>
        <w:pStyle w:val="Odstavecseseznamem"/>
        <w:numPr>
          <w:ilvl w:val="0"/>
          <w:numId w:val="6"/>
        </w:numPr>
        <w:ind w:left="714" w:hanging="357"/>
        <w:contextualSpacing w:val="0"/>
      </w:pPr>
      <w:r>
        <w:t>Výzkumný ústav zemědělské techniky (10 %).</w:t>
      </w:r>
    </w:p>
    <w:p w:rsidR="00E11797" w:rsidRPr="00E022BD" w:rsidRDefault="00E11797" w:rsidP="00A179B1">
      <w:r w:rsidRPr="00E022BD">
        <w:t>Z přibližně 100 právnických a fyzických osob (z podnikatelské sféry), které obdržely účelové prostředky</w:t>
      </w:r>
      <w:r w:rsidR="00F70E2E">
        <w:t xml:space="preserve"> MV</w:t>
      </w:r>
      <w:r w:rsidRPr="00E022BD">
        <w:t>, téměř polovina neobdržela žádnou jinou účelovou podporu z veřejných zdrojů</w:t>
      </w:r>
      <w:r w:rsidR="008A411B">
        <w:t xml:space="preserve">. </w:t>
      </w:r>
      <w:r w:rsidR="003D0DF5">
        <w:t>Podrobnější údaje o účasti subjektů z různých sektorů v programech BV v gesci MV</w:t>
      </w:r>
      <w:r w:rsidR="00272D78">
        <w:t xml:space="preserve">, jejich rolích </w:t>
      </w:r>
      <w:r w:rsidR="003D0DF5">
        <w:t>a získané účelové podpoře je uvedena v </w:t>
      </w:r>
      <w:r w:rsidR="003D0DF5" w:rsidRPr="00694204">
        <w:t>samostatnýc</w:t>
      </w:r>
      <w:r w:rsidR="003D0DF5" w:rsidRPr="00443784">
        <w:t xml:space="preserve">h </w:t>
      </w:r>
      <w:r w:rsidR="003D0DF5" w:rsidRPr="002B0120">
        <w:t xml:space="preserve">přílohách </w:t>
      </w:r>
      <w:r w:rsidRPr="002B0120">
        <w:rPr>
          <w:i/>
        </w:rPr>
        <w:t xml:space="preserve">P </w:t>
      </w:r>
      <w:r w:rsidR="008A411B" w:rsidRPr="002B0120">
        <w:rPr>
          <w:i/>
        </w:rPr>
        <w:t>2</w:t>
      </w:r>
      <w:r w:rsidR="008A411B">
        <w:rPr>
          <w:i/>
        </w:rPr>
        <w:t>5</w:t>
      </w:r>
      <w:r w:rsidR="008A411B" w:rsidRPr="002B0120">
        <w:rPr>
          <w:i/>
        </w:rPr>
        <w:t xml:space="preserve"> </w:t>
      </w:r>
      <w:r w:rsidR="003D0DF5" w:rsidRPr="002B0120">
        <w:rPr>
          <w:i/>
        </w:rPr>
        <w:t xml:space="preserve">a P </w:t>
      </w:r>
      <w:r w:rsidR="00211E80" w:rsidRPr="002B0120">
        <w:rPr>
          <w:i/>
        </w:rPr>
        <w:t>2</w:t>
      </w:r>
      <w:r w:rsidR="008A411B">
        <w:rPr>
          <w:i/>
        </w:rPr>
        <w:t>6</w:t>
      </w:r>
      <w:r w:rsidRPr="00E022BD">
        <w:t>.</w:t>
      </w:r>
    </w:p>
    <w:p w:rsidR="00A62E85" w:rsidRDefault="000C2BB8" w:rsidP="000C2BB8">
      <w:r>
        <w:t xml:space="preserve">V </w:t>
      </w:r>
      <w:r>
        <w:fldChar w:fldCharType="begin"/>
      </w:r>
      <w:r>
        <w:instrText xml:space="preserve"> REF  _Ref450297702 \* Lower \h  \* MERGEFORMAT </w:instrText>
      </w:r>
      <w:r>
        <w:fldChar w:fldCharType="separate"/>
      </w:r>
      <w:r w:rsidR="003F08E5">
        <w:t xml:space="preserve">tab. </w:t>
      </w:r>
      <w:r w:rsidR="003F08E5">
        <w:rPr>
          <w:noProof/>
        </w:rPr>
        <w:t>8</w:t>
      </w:r>
      <w:r>
        <w:fldChar w:fldCharType="end"/>
      </w:r>
      <w:r>
        <w:t xml:space="preserve"> jsou uvedeny </w:t>
      </w:r>
      <w:r w:rsidR="00F70E2E">
        <w:t xml:space="preserve">detailnější </w:t>
      </w:r>
      <w:r>
        <w:t xml:space="preserve">údaje o </w:t>
      </w:r>
      <w:r w:rsidR="00F70E2E">
        <w:t xml:space="preserve">hlavních příjemcích účelové podpory MV - </w:t>
      </w:r>
      <w:r>
        <w:t>počt</w:t>
      </w:r>
      <w:r w:rsidR="00F70E2E">
        <w:t>y</w:t>
      </w:r>
      <w:r>
        <w:t xml:space="preserve"> projektů, ve kterých byly zapojeny</w:t>
      </w:r>
      <w:r w:rsidR="00F70E2E">
        <w:t xml:space="preserve"> (počet účastí a počet řešitelských rolí), výše podpory a oborové zaměření řešených projektů. Údaje o roli v projektu (tj. zda byl hlavním řešitelem projektu nebo pouze jeho dalším účastníkem) umožňují posoudit, zda je daný subjekt klíčovým aktérem odpovídajícím za splnění cílů projektů BV, či zda se jen na jejich řešení podílí).</w:t>
      </w:r>
    </w:p>
    <w:p w:rsidR="00A62E85" w:rsidRDefault="000C2BB8" w:rsidP="000C2BB8">
      <w:r>
        <w:t xml:space="preserve">Údaje o </w:t>
      </w:r>
      <w:r w:rsidR="000E2148">
        <w:t>o</w:t>
      </w:r>
      <w:r w:rsidR="00BC34F7" w:rsidRPr="00E022BD">
        <w:t>bjem</w:t>
      </w:r>
      <w:r>
        <w:t>u</w:t>
      </w:r>
      <w:r w:rsidR="00BC34F7" w:rsidRPr="00E022BD">
        <w:t xml:space="preserve"> veřejných prostředků </w:t>
      </w:r>
      <w:r w:rsidR="00A62E85">
        <w:t xml:space="preserve">získaných </w:t>
      </w:r>
      <w:r w:rsidR="00531163">
        <w:t xml:space="preserve">v programech MV a </w:t>
      </w:r>
      <w:r w:rsidR="00BC34F7" w:rsidRPr="00E022BD">
        <w:t xml:space="preserve">v jiných programech </w:t>
      </w:r>
      <w:r w:rsidR="00531163">
        <w:t xml:space="preserve">účelové podpory VaV </w:t>
      </w:r>
      <w:r w:rsidR="00443784">
        <w:t xml:space="preserve"> </w:t>
      </w:r>
      <w:r w:rsidR="00443784" w:rsidRPr="002B0120">
        <w:t>(</w:t>
      </w:r>
      <w:r w:rsidR="002B0120" w:rsidRPr="002B0120">
        <w:t>viz p</w:t>
      </w:r>
      <w:r w:rsidR="00443784" w:rsidRPr="002B0120">
        <w:t xml:space="preserve">říloha </w:t>
      </w:r>
      <w:r w:rsidR="00443784" w:rsidRPr="002B0120">
        <w:rPr>
          <w:i/>
        </w:rPr>
        <w:t>P 25</w:t>
      </w:r>
      <w:r w:rsidR="00443784" w:rsidRPr="002B0120">
        <w:t>)</w:t>
      </w:r>
      <w:r w:rsidR="00443784">
        <w:t xml:space="preserve"> </w:t>
      </w:r>
      <w:r>
        <w:t>potom vypovíd</w:t>
      </w:r>
      <w:r w:rsidR="00A62E85">
        <w:t>ají</w:t>
      </w:r>
      <w:r w:rsidR="00BC34F7" w:rsidRPr="00E022BD">
        <w:t xml:space="preserve"> </w:t>
      </w:r>
      <w:r w:rsidR="00A62E85">
        <w:t xml:space="preserve">o výzkumných kapacitách a </w:t>
      </w:r>
      <w:r w:rsidR="00A62E85" w:rsidRPr="00E022BD">
        <w:t>rozsahu výzkumné expertízy</w:t>
      </w:r>
      <w:r w:rsidR="00A62E85">
        <w:t xml:space="preserve"> v oblasti bezpečnosti</w:t>
      </w:r>
      <w:r w:rsidR="00A62E85" w:rsidRPr="00E022BD">
        <w:t xml:space="preserve">, kterou řešitelé disponují a kterou mohou </w:t>
      </w:r>
      <w:r w:rsidR="00A62E85">
        <w:t>vy</w:t>
      </w:r>
      <w:r w:rsidR="00A62E85" w:rsidRPr="00E022BD">
        <w:t>užít při řešení bezpečnostních projektů</w:t>
      </w:r>
      <w:r w:rsidR="00A62E85">
        <w:t xml:space="preserve"> (specializace na problematiku bezpečnosti), i o</w:t>
      </w:r>
      <w:r>
        <w:t xml:space="preserve"> </w:t>
      </w:r>
      <w:r w:rsidR="00BC34F7" w:rsidRPr="00E022BD">
        <w:t>kvalit</w:t>
      </w:r>
      <w:r>
        <w:t>ě</w:t>
      </w:r>
      <w:r w:rsidR="00BC34F7" w:rsidRPr="00E022BD">
        <w:t xml:space="preserve"> výzkumného </w:t>
      </w:r>
      <w:r>
        <w:t>„</w:t>
      </w:r>
      <w:r w:rsidR="00BC34F7" w:rsidRPr="00E022BD">
        <w:t>prostředí</w:t>
      </w:r>
      <w:r>
        <w:t>“ na dané instituci (</w:t>
      </w:r>
      <w:r w:rsidR="00A62E85">
        <w:t xml:space="preserve">tj. </w:t>
      </w:r>
      <w:r>
        <w:t>úspěšnost v projektových žádostech</w:t>
      </w:r>
      <w:r w:rsidR="00A62E85">
        <w:t xml:space="preserve"> u jiných poskytovatelů</w:t>
      </w:r>
      <w:r>
        <w:t>)</w:t>
      </w:r>
      <w:r w:rsidR="00BC34F7" w:rsidRPr="00E022BD">
        <w:t>.</w:t>
      </w:r>
    </w:p>
    <w:p w:rsidR="007864BF" w:rsidRDefault="00BC34F7" w:rsidP="000C2BB8">
      <w:r w:rsidRPr="00E022BD">
        <w:t>Pracoviště, která mají k dispozici rozsáhlejší výzkumné zázemí</w:t>
      </w:r>
      <w:r w:rsidR="00A62E85">
        <w:t xml:space="preserve"> </w:t>
      </w:r>
      <w:r w:rsidR="00C70F93">
        <w:t xml:space="preserve">a </w:t>
      </w:r>
      <w:r w:rsidR="00A62E85">
        <w:t xml:space="preserve">účastní se řady </w:t>
      </w:r>
      <w:r w:rsidR="00C70F93">
        <w:t xml:space="preserve">rozsáhlejších </w:t>
      </w:r>
      <w:r w:rsidR="00A62E85">
        <w:t>projektů financovaných z </w:t>
      </w:r>
      <w:r w:rsidR="00C70F93">
        <w:t>různ</w:t>
      </w:r>
      <w:r w:rsidR="00A62E85">
        <w:t>ých zdrojů</w:t>
      </w:r>
      <w:r w:rsidR="00443784">
        <w:t>,</w:t>
      </w:r>
      <w:r w:rsidRPr="00E022BD">
        <w:t xml:space="preserve"> mohou do bezpečnostního výzkumu dodat další přidanou hodnotu a dlouhodobou kontinuitu ve srovnání s řešiteli, kteří </w:t>
      </w:r>
      <w:r w:rsidR="00A62E85">
        <w:t xml:space="preserve">se účastní jen omezeného počtu projektů nebo </w:t>
      </w:r>
      <w:r w:rsidRPr="00E022BD">
        <w:t>jsou omezeni finančními mantinely jediného poskytovatele financování.</w:t>
      </w:r>
      <w:r w:rsidR="000C2BB8">
        <w:t xml:space="preserve"> „</w:t>
      </w:r>
      <w:r w:rsidR="00717A77">
        <w:t>U</w:t>
      </w:r>
      <w:r w:rsidR="000C2BB8">
        <w:t xml:space="preserve">žší jádro“ institucí, které se </w:t>
      </w:r>
      <w:r w:rsidR="00717A77">
        <w:t>zapojují do</w:t>
      </w:r>
      <w:r w:rsidR="000C2BB8">
        <w:t xml:space="preserve"> bezpečnostní</w:t>
      </w:r>
      <w:r w:rsidR="00717A77">
        <w:t>ho</w:t>
      </w:r>
      <w:r w:rsidR="000C2BB8">
        <w:t xml:space="preserve"> výzkum</w:t>
      </w:r>
      <w:r w:rsidR="00717A77">
        <w:t>u a</w:t>
      </w:r>
      <w:r w:rsidR="000C2BB8">
        <w:t xml:space="preserve"> disponuj</w:t>
      </w:r>
      <w:r w:rsidR="00717A77">
        <w:t>í</w:t>
      </w:r>
      <w:r w:rsidR="000C2BB8">
        <w:t xml:space="preserve"> kvalitním vybavením a </w:t>
      </w:r>
      <w:r w:rsidR="00A62E85">
        <w:t>dostatečně velkým</w:t>
      </w:r>
      <w:r w:rsidR="00717A77">
        <w:t>i</w:t>
      </w:r>
      <w:r w:rsidR="00A62E85">
        <w:t xml:space="preserve"> </w:t>
      </w:r>
      <w:r w:rsidR="000C2BB8">
        <w:t>tým</w:t>
      </w:r>
      <w:r w:rsidR="00717A77">
        <w:t>y</w:t>
      </w:r>
      <w:r w:rsidR="000C2BB8">
        <w:t>, tvoří instituce v rozpočtové kapitole MV a několik VŠ a VVI – zejména ČVUT v Praze, VUT v Brně, VŠCHT v Praze, VŠB</w:t>
      </w:r>
      <w:r w:rsidR="007864BF">
        <w:t xml:space="preserve">-TU Ostrava, </w:t>
      </w:r>
      <w:r w:rsidR="000C2BB8">
        <w:t>Ce</w:t>
      </w:r>
      <w:r w:rsidR="007864BF">
        <w:t xml:space="preserve">ntrum dopravního výzkumu a </w:t>
      </w:r>
      <w:r w:rsidR="000C2BB8">
        <w:t>Výzkumný ústav vodohospodářský T. G. Masaryka</w:t>
      </w:r>
      <w:r w:rsidR="007864BF">
        <w:t>.</w:t>
      </w:r>
    </w:p>
    <w:p w:rsidR="00BC34F7" w:rsidRPr="00E022BD" w:rsidRDefault="007864BF" w:rsidP="000C2BB8">
      <w:r>
        <w:t xml:space="preserve">Potenciál výzkumných kapacit pro zapojení bezpečnostního výzkumu je detailněji posouzen v kap. </w:t>
      </w:r>
      <w:r w:rsidR="005C2158">
        <w:fldChar w:fldCharType="begin"/>
      </w:r>
      <w:r w:rsidR="005C2158">
        <w:instrText xml:space="preserve"> REF _Ref450306992 \r \h </w:instrText>
      </w:r>
      <w:r w:rsidR="005C2158">
        <w:fldChar w:fldCharType="separate"/>
      </w:r>
      <w:r w:rsidR="003F08E5">
        <w:t>5</w:t>
      </w:r>
      <w:r w:rsidR="005C2158">
        <w:fldChar w:fldCharType="end"/>
      </w:r>
      <w:r w:rsidR="005C2158">
        <w:t xml:space="preserve">, kde jsou tyto závěry rozšířeny o analýzu výsledků VaV (kap. </w:t>
      </w:r>
      <w:r w:rsidR="005C2158">
        <w:fldChar w:fldCharType="begin"/>
      </w:r>
      <w:r w:rsidR="005C2158">
        <w:instrText xml:space="preserve"> REF _Ref449971404 \r \h </w:instrText>
      </w:r>
      <w:r w:rsidR="005C2158">
        <w:fldChar w:fldCharType="separate"/>
      </w:r>
      <w:r w:rsidR="003F08E5">
        <w:t>3.2</w:t>
      </w:r>
      <w:r w:rsidR="005C2158">
        <w:fldChar w:fldCharType="end"/>
      </w:r>
      <w:r w:rsidR="005C2158">
        <w:t xml:space="preserve"> a </w:t>
      </w:r>
      <w:r w:rsidR="005C2158">
        <w:fldChar w:fldCharType="begin"/>
      </w:r>
      <w:r w:rsidR="005C2158">
        <w:instrText xml:space="preserve"> REF _Ref449971407 \r \h </w:instrText>
      </w:r>
      <w:r w:rsidR="005C2158">
        <w:fldChar w:fldCharType="separate"/>
      </w:r>
      <w:r w:rsidR="003F08E5">
        <w:t>3.3</w:t>
      </w:r>
      <w:r w:rsidR="005C2158">
        <w:fldChar w:fldCharType="end"/>
      </w:r>
      <w:r w:rsidR="005C2158">
        <w:t>), mezinárodní spolupráce (kap.</w:t>
      </w:r>
      <w:r w:rsidR="005C471B">
        <w:t xml:space="preserve"> </w:t>
      </w:r>
      <w:r w:rsidR="005C471B">
        <w:fldChar w:fldCharType="begin"/>
      </w:r>
      <w:r w:rsidR="005C471B">
        <w:instrText xml:space="preserve"> REF _Ref451522690 \r \h </w:instrText>
      </w:r>
      <w:r w:rsidR="005C471B">
        <w:fldChar w:fldCharType="separate"/>
      </w:r>
      <w:r w:rsidR="003F08E5">
        <w:t>3.5</w:t>
      </w:r>
      <w:r w:rsidR="005C471B">
        <w:fldChar w:fldCharType="end"/>
      </w:r>
      <w:r w:rsidR="005C2158">
        <w:t xml:space="preserve">), analýzu lidských zdrojů pro BV (kap. </w:t>
      </w:r>
      <w:r w:rsidR="005C2158">
        <w:fldChar w:fldCharType="begin"/>
      </w:r>
      <w:r w:rsidR="005C2158">
        <w:instrText xml:space="preserve"> REF _Ref450307031 \r \h </w:instrText>
      </w:r>
      <w:r w:rsidR="005C2158">
        <w:fldChar w:fldCharType="separate"/>
      </w:r>
      <w:r w:rsidR="003F08E5">
        <w:t>4</w:t>
      </w:r>
      <w:r w:rsidR="005C2158">
        <w:fldChar w:fldCharType="end"/>
      </w:r>
      <w:r w:rsidR="005C2158">
        <w:t xml:space="preserve">), a rešerši </w:t>
      </w:r>
      <w:r w:rsidR="00A62E85">
        <w:t xml:space="preserve">dalších </w:t>
      </w:r>
      <w:r w:rsidR="005C2158">
        <w:t>dostupných zdrojů.</w:t>
      </w:r>
    </w:p>
    <w:p w:rsidR="00E82DF5" w:rsidRDefault="00E82DF5" w:rsidP="00E82DF5">
      <w:pPr>
        <w:pStyle w:val="Titulek"/>
        <w:keepNext/>
      </w:pPr>
      <w:bookmarkStart w:id="40" w:name="_Ref450297702"/>
      <w:r>
        <w:t xml:space="preserve">Tab. </w:t>
      </w:r>
      <w:r w:rsidR="00990E2D">
        <w:fldChar w:fldCharType="begin"/>
      </w:r>
      <w:r w:rsidR="00990E2D">
        <w:instrText xml:space="preserve"> SEQ Tab. \* ARABIC </w:instrText>
      </w:r>
      <w:r w:rsidR="00990E2D">
        <w:fldChar w:fldCharType="separate"/>
      </w:r>
      <w:r w:rsidR="003F08E5">
        <w:rPr>
          <w:noProof/>
        </w:rPr>
        <w:t>8</w:t>
      </w:r>
      <w:r w:rsidR="00990E2D">
        <w:rPr>
          <w:noProof/>
        </w:rPr>
        <w:fldChar w:fldCharType="end"/>
      </w:r>
      <w:bookmarkEnd w:id="40"/>
      <w:r>
        <w:tab/>
      </w:r>
      <w:r w:rsidRPr="00E82DF5">
        <w:t>Dvacet největších příjemců podpory z programů VD, VF, VG a VI od roku 2010</w:t>
      </w:r>
      <w:r>
        <w:t>. Zdroj: IS VaVaI</w:t>
      </w:r>
    </w:p>
    <w:tbl>
      <w:tblPr>
        <w:tblW w:w="9320" w:type="dxa"/>
        <w:tblInd w:w="55" w:type="dxa"/>
        <w:tblCellMar>
          <w:left w:w="70" w:type="dxa"/>
          <w:right w:w="70" w:type="dxa"/>
        </w:tblCellMar>
        <w:tblLook w:val="04A0" w:firstRow="1" w:lastRow="0" w:firstColumn="1" w:lastColumn="0" w:noHBand="0" w:noVBand="1"/>
      </w:tblPr>
      <w:tblGrid>
        <w:gridCol w:w="3737"/>
        <w:gridCol w:w="700"/>
        <w:gridCol w:w="926"/>
        <w:gridCol w:w="700"/>
        <w:gridCol w:w="819"/>
        <w:gridCol w:w="2438"/>
      </w:tblGrid>
      <w:tr w:rsidR="00126A48" w:rsidRPr="00126A48" w:rsidTr="00126A48">
        <w:trPr>
          <w:trHeight w:val="705"/>
        </w:trPr>
        <w:tc>
          <w:tcPr>
            <w:tcW w:w="3740" w:type="dxa"/>
            <w:tcBorders>
              <w:top w:val="single" w:sz="4" w:space="0" w:color="auto"/>
              <w:left w:val="nil"/>
              <w:bottom w:val="single" w:sz="4" w:space="0" w:color="auto"/>
              <w:right w:val="nil"/>
            </w:tcBorders>
            <w:shd w:val="clear" w:color="000000" w:fill="95B3D7"/>
            <w:vAlign w:val="center"/>
            <w:hideMark/>
          </w:tcPr>
          <w:p w:rsidR="00126A48" w:rsidRPr="00126A48" w:rsidRDefault="00126A48" w:rsidP="00126A48">
            <w:pPr>
              <w:spacing w:before="0" w:after="0"/>
              <w:jc w:val="center"/>
              <w:rPr>
                <w:rFonts w:ascii="Calibri" w:eastAsia="Times New Roman" w:hAnsi="Calibri" w:cs="Times New Roman"/>
                <w:b/>
                <w:bCs/>
                <w:color w:val="000000"/>
                <w:sz w:val="16"/>
                <w:szCs w:val="16"/>
                <w:lang w:eastAsia="cs-CZ"/>
              </w:rPr>
            </w:pPr>
            <w:r w:rsidRPr="00126A48">
              <w:rPr>
                <w:rFonts w:ascii="Calibri" w:eastAsia="Times New Roman" w:hAnsi="Calibri" w:cs="Times New Roman"/>
                <w:b/>
                <w:bCs/>
                <w:color w:val="000000"/>
                <w:sz w:val="16"/>
                <w:szCs w:val="16"/>
                <w:lang w:eastAsia="cs-CZ"/>
              </w:rPr>
              <w:t>Instituce</w:t>
            </w:r>
          </w:p>
        </w:tc>
        <w:tc>
          <w:tcPr>
            <w:tcW w:w="700" w:type="dxa"/>
            <w:tcBorders>
              <w:top w:val="single" w:sz="4" w:space="0" w:color="auto"/>
              <w:left w:val="nil"/>
              <w:bottom w:val="single" w:sz="4" w:space="0" w:color="auto"/>
              <w:right w:val="nil"/>
            </w:tcBorders>
            <w:shd w:val="clear" w:color="000000" w:fill="95B3D7"/>
            <w:vAlign w:val="center"/>
            <w:hideMark/>
          </w:tcPr>
          <w:p w:rsidR="00126A48" w:rsidRPr="00126A48" w:rsidRDefault="00126A48" w:rsidP="00126A48">
            <w:pPr>
              <w:spacing w:before="0" w:after="0"/>
              <w:jc w:val="center"/>
              <w:rPr>
                <w:rFonts w:ascii="Calibri" w:eastAsia="Times New Roman" w:hAnsi="Calibri" w:cs="Times New Roman"/>
                <w:b/>
                <w:bCs/>
                <w:color w:val="000000"/>
                <w:sz w:val="16"/>
                <w:szCs w:val="16"/>
                <w:lang w:eastAsia="cs-CZ"/>
              </w:rPr>
            </w:pPr>
            <w:r w:rsidRPr="00126A48">
              <w:rPr>
                <w:rFonts w:ascii="Calibri" w:eastAsia="Times New Roman" w:hAnsi="Calibri" w:cs="Times New Roman"/>
                <w:b/>
                <w:bCs/>
                <w:color w:val="000000"/>
                <w:sz w:val="16"/>
                <w:szCs w:val="16"/>
                <w:lang w:eastAsia="cs-CZ"/>
              </w:rPr>
              <w:t>typ</w:t>
            </w:r>
          </w:p>
        </w:tc>
        <w:tc>
          <w:tcPr>
            <w:tcW w:w="920" w:type="dxa"/>
            <w:tcBorders>
              <w:top w:val="single" w:sz="4" w:space="0" w:color="auto"/>
              <w:left w:val="nil"/>
              <w:bottom w:val="single" w:sz="4" w:space="0" w:color="auto"/>
              <w:right w:val="nil"/>
            </w:tcBorders>
            <w:shd w:val="clear" w:color="000000" w:fill="95B3D7"/>
            <w:vAlign w:val="center"/>
            <w:hideMark/>
          </w:tcPr>
          <w:p w:rsidR="00126A48" w:rsidRPr="00126A48" w:rsidRDefault="00126A48" w:rsidP="00126A48">
            <w:pPr>
              <w:spacing w:before="0" w:after="0"/>
              <w:jc w:val="center"/>
              <w:rPr>
                <w:rFonts w:ascii="Calibri" w:eastAsia="Times New Roman" w:hAnsi="Calibri" w:cs="Times New Roman"/>
                <w:b/>
                <w:bCs/>
                <w:color w:val="000000"/>
                <w:sz w:val="16"/>
                <w:szCs w:val="16"/>
                <w:lang w:eastAsia="cs-CZ"/>
              </w:rPr>
            </w:pPr>
            <w:r w:rsidRPr="00126A48">
              <w:rPr>
                <w:rFonts w:ascii="Calibri" w:eastAsia="Times New Roman" w:hAnsi="Calibri" w:cs="Times New Roman"/>
                <w:b/>
                <w:bCs/>
                <w:color w:val="000000"/>
                <w:sz w:val="16"/>
                <w:szCs w:val="16"/>
                <w:lang w:eastAsia="cs-CZ"/>
              </w:rPr>
              <w:t>počet řešitelských rolí</w:t>
            </w:r>
          </w:p>
        </w:tc>
        <w:tc>
          <w:tcPr>
            <w:tcW w:w="700" w:type="dxa"/>
            <w:tcBorders>
              <w:top w:val="single" w:sz="4" w:space="0" w:color="auto"/>
              <w:left w:val="nil"/>
              <w:bottom w:val="single" w:sz="4" w:space="0" w:color="auto"/>
              <w:right w:val="nil"/>
            </w:tcBorders>
            <w:shd w:val="clear" w:color="000000" w:fill="95B3D7"/>
            <w:vAlign w:val="center"/>
            <w:hideMark/>
          </w:tcPr>
          <w:p w:rsidR="00126A48" w:rsidRPr="00126A48" w:rsidRDefault="00126A48" w:rsidP="00126A48">
            <w:pPr>
              <w:spacing w:before="0" w:after="0"/>
              <w:jc w:val="center"/>
              <w:rPr>
                <w:rFonts w:ascii="Calibri" w:eastAsia="Times New Roman" w:hAnsi="Calibri" w:cs="Times New Roman"/>
                <w:b/>
                <w:bCs/>
                <w:color w:val="000000"/>
                <w:sz w:val="16"/>
                <w:szCs w:val="16"/>
                <w:lang w:eastAsia="cs-CZ"/>
              </w:rPr>
            </w:pPr>
            <w:r w:rsidRPr="00126A48">
              <w:rPr>
                <w:rFonts w:ascii="Calibri" w:eastAsia="Times New Roman" w:hAnsi="Calibri" w:cs="Times New Roman"/>
                <w:b/>
                <w:bCs/>
                <w:color w:val="000000"/>
                <w:sz w:val="16"/>
                <w:szCs w:val="16"/>
                <w:lang w:eastAsia="cs-CZ"/>
              </w:rPr>
              <w:t>počet účastí celkem</w:t>
            </w:r>
          </w:p>
        </w:tc>
        <w:tc>
          <w:tcPr>
            <w:tcW w:w="820" w:type="dxa"/>
            <w:tcBorders>
              <w:top w:val="single" w:sz="4" w:space="0" w:color="auto"/>
              <w:left w:val="nil"/>
              <w:bottom w:val="single" w:sz="4" w:space="0" w:color="auto"/>
              <w:right w:val="nil"/>
            </w:tcBorders>
            <w:shd w:val="clear" w:color="000000" w:fill="95B3D7"/>
            <w:vAlign w:val="center"/>
            <w:hideMark/>
          </w:tcPr>
          <w:p w:rsidR="00126A48" w:rsidRPr="00126A48" w:rsidRDefault="00126A48" w:rsidP="00126A48">
            <w:pPr>
              <w:spacing w:before="0" w:after="0"/>
              <w:jc w:val="center"/>
              <w:rPr>
                <w:rFonts w:ascii="Calibri" w:eastAsia="Times New Roman" w:hAnsi="Calibri" w:cs="Times New Roman"/>
                <w:b/>
                <w:bCs/>
                <w:color w:val="000000"/>
                <w:sz w:val="16"/>
                <w:szCs w:val="16"/>
                <w:lang w:eastAsia="cs-CZ"/>
              </w:rPr>
            </w:pPr>
            <w:r w:rsidRPr="00126A48">
              <w:rPr>
                <w:rFonts w:ascii="Calibri" w:eastAsia="Times New Roman" w:hAnsi="Calibri" w:cs="Times New Roman"/>
                <w:b/>
                <w:bCs/>
                <w:color w:val="000000"/>
                <w:sz w:val="16"/>
                <w:szCs w:val="16"/>
                <w:lang w:eastAsia="cs-CZ"/>
              </w:rPr>
              <w:t>tis. Kč</w:t>
            </w:r>
          </w:p>
        </w:tc>
        <w:tc>
          <w:tcPr>
            <w:tcW w:w="2440" w:type="dxa"/>
            <w:tcBorders>
              <w:top w:val="single" w:sz="4" w:space="0" w:color="auto"/>
              <w:left w:val="nil"/>
              <w:bottom w:val="single" w:sz="4" w:space="0" w:color="auto"/>
              <w:right w:val="nil"/>
            </w:tcBorders>
            <w:shd w:val="clear" w:color="000000" w:fill="95B3D7"/>
            <w:vAlign w:val="center"/>
            <w:hideMark/>
          </w:tcPr>
          <w:p w:rsidR="00126A48" w:rsidRPr="00126A48" w:rsidRDefault="00126A48" w:rsidP="00126A48">
            <w:pPr>
              <w:spacing w:before="0" w:after="0"/>
              <w:jc w:val="center"/>
              <w:rPr>
                <w:rFonts w:ascii="Calibri" w:eastAsia="Times New Roman" w:hAnsi="Calibri" w:cs="Times New Roman"/>
                <w:b/>
                <w:bCs/>
                <w:color w:val="000000"/>
                <w:sz w:val="16"/>
                <w:szCs w:val="16"/>
                <w:lang w:eastAsia="cs-CZ"/>
              </w:rPr>
            </w:pPr>
            <w:r w:rsidRPr="00126A48">
              <w:rPr>
                <w:rFonts w:ascii="Calibri" w:eastAsia="Times New Roman" w:hAnsi="Calibri" w:cs="Times New Roman"/>
                <w:b/>
                <w:bCs/>
                <w:color w:val="000000"/>
                <w:sz w:val="16"/>
                <w:szCs w:val="16"/>
                <w:lang w:eastAsia="cs-CZ"/>
              </w:rPr>
              <w:t>obory</w:t>
            </w:r>
          </w:p>
        </w:tc>
      </w:tr>
      <w:tr w:rsidR="00126A48" w:rsidRPr="00126A48" w:rsidTr="00126A48">
        <w:trPr>
          <w:trHeight w:val="675"/>
        </w:trPr>
        <w:tc>
          <w:tcPr>
            <w:tcW w:w="3740" w:type="dxa"/>
            <w:tcBorders>
              <w:top w:val="nil"/>
              <w:left w:val="nil"/>
              <w:bottom w:val="nil"/>
              <w:right w:val="nil"/>
            </w:tcBorders>
            <w:shd w:val="clear" w:color="auto" w:fill="auto"/>
            <w:vAlign w:val="center"/>
            <w:hideMark/>
          </w:tcPr>
          <w:p w:rsidR="00126A48" w:rsidRPr="00126A48" w:rsidRDefault="00126A48" w:rsidP="00126A48">
            <w:pPr>
              <w:spacing w:before="0" w:after="0"/>
              <w:jc w:val="left"/>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Ministerstvo vnitra</w:t>
            </w:r>
          </w:p>
        </w:tc>
        <w:tc>
          <w:tcPr>
            <w:tcW w:w="700" w:type="dxa"/>
            <w:tcBorders>
              <w:top w:val="nil"/>
              <w:left w:val="nil"/>
              <w:bottom w:val="nil"/>
              <w:right w:val="nil"/>
            </w:tcBorders>
            <w:shd w:val="clear" w:color="auto" w:fill="auto"/>
            <w:vAlign w:val="center"/>
            <w:hideMark/>
          </w:tcPr>
          <w:p w:rsidR="00126A48" w:rsidRPr="00126A48" w:rsidRDefault="00126A48" w:rsidP="00126A48">
            <w:pPr>
              <w:spacing w:before="0" w:after="0"/>
              <w:jc w:val="center"/>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OSS</w:t>
            </w:r>
          </w:p>
        </w:tc>
        <w:tc>
          <w:tcPr>
            <w:tcW w:w="920" w:type="dxa"/>
            <w:tcBorders>
              <w:top w:val="nil"/>
              <w:left w:val="nil"/>
              <w:bottom w:val="nil"/>
              <w:right w:val="nil"/>
            </w:tcBorders>
            <w:shd w:val="clear" w:color="auto" w:fill="auto"/>
            <w:vAlign w:val="center"/>
            <w:hideMark/>
          </w:tcPr>
          <w:p w:rsidR="00126A48" w:rsidRPr="00126A48" w:rsidRDefault="00126A48" w:rsidP="00126A48">
            <w:pPr>
              <w:spacing w:before="0" w:after="0"/>
              <w:jc w:val="center"/>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19</w:t>
            </w:r>
          </w:p>
        </w:tc>
        <w:tc>
          <w:tcPr>
            <w:tcW w:w="700" w:type="dxa"/>
            <w:tcBorders>
              <w:top w:val="nil"/>
              <w:left w:val="nil"/>
              <w:bottom w:val="nil"/>
              <w:right w:val="nil"/>
            </w:tcBorders>
            <w:shd w:val="clear" w:color="auto" w:fill="auto"/>
            <w:vAlign w:val="center"/>
            <w:hideMark/>
          </w:tcPr>
          <w:p w:rsidR="00126A48" w:rsidRPr="00126A48" w:rsidRDefault="00126A48" w:rsidP="00126A48">
            <w:pPr>
              <w:spacing w:before="0" w:after="0"/>
              <w:jc w:val="right"/>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25</w:t>
            </w:r>
          </w:p>
        </w:tc>
        <w:tc>
          <w:tcPr>
            <w:tcW w:w="820" w:type="dxa"/>
            <w:tcBorders>
              <w:top w:val="nil"/>
              <w:left w:val="nil"/>
              <w:bottom w:val="nil"/>
              <w:right w:val="nil"/>
            </w:tcBorders>
            <w:shd w:val="clear" w:color="auto" w:fill="auto"/>
            <w:vAlign w:val="center"/>
            <w:hideMark/>
          </w:tcPr>
          <w:p w:rsidR="00126A48" w:rsidRPr="00126A48" w:rsidRDefault="00126A48" w:rsidP="00126A48">
            <w:pPr>
              <w:spacing w:before="0" w:after="0"/>
              <w:jc w:val="right"/>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259 593</w:t>
            </w:r>
          </w:p>
        </w:tc>
        <w:tc>
          <w:tcPr>
            <w:tcW w:w="2440" w:type="dxa"/>
            <w:tcBorders>
              <w:top w:val="nil"/>
              <w:left w:val="nil"/>
              <w:bottom w:val="nil"/>
              <w:right w:val="nil"/>
            </w:tcBorders>
            <w:shd w:val="clear" w:color="auto" w:fill="auto"/>
            <w:vAlign w:val="center"/>
            <w:hideMark/>
          </w:tcPr>
          <w:p w:rsidR="00126A48" w:rsidRPr="00126A48" w:rsidRDefault="00126A48" w:rsidP="00126A48">
            <w:pPr>
              <w:spacing w:before="0" w:after="0"/>
              <w:jc w:val="left"/>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Biovědy; Chemie; Lékařské vědy; Průmysl; Společenské vědy; Vojenství</w:t>
            </w:r>
          </w:p>
        </w:tc>
      </w:tr>
      <w:tr w:rsidR="00126A48" w:rsidRPr="00126A48" w:rsidTr="00126A48">
        <w:trPr>
          <w:trHeight w:val="675"/>
        </w:trPr>
        <w:tc>
          <w:tcPr>
            <w:tcW w:w="3740" w:type="dxa"/>
            <w:tcBorders>
              <w:top w:val="nil"/>
              <w:left w:val="nil"/>
              <w:bottom w:val="nil"/>
              <w:right w:val="nil"/>
            </w:tcBorders>
            <w:shd w:val="clear" w:color="000000" w:fill="DCE6F1"/>
            <w:vAlign w:val="center"/>
            <w:hideMark/>
          </w:tcPr>
          <w:p w:rsidR="00126A48" w:rsidRPr="00126A48" w:rsidRDefault="00126A48" w:rsidP="00126A48">
            <w:pPr>
              <w:spacing w:before="0" w:after="0"/>
              <w:jc w:val="left"/>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České vysoké učení technické v Praze</w:t>
            </w:r>
          </w:p>
        </w:tc>
        <w:tc>
          <w:tcPr>
            <w:tcW w:w="700" w:type="dxa"/>
            <w:tcBorders>
              <w:top w:val="nil"/>
              <w:left w:val="nil"/>
              <w:bottom w:val="nil"/>
              <w:right w:val="nil"/>
            </w:tcBorders>
            <w:shd w:val="clear" w:color="000000" w:fill="DCE6F1"/>
            <w:vAlign w:val="center"/>
            <w:hideMark/>
          </w:tcPr>
          <w:p w:rsidR="00126A48" w:rsidRPr="00126A48" w:rsidRDefault="00126A48" w:rsidP="00126A48">
            <w:pPr>
              <w:spacing w:before="0" w:after="0"/>
              <w:jc w:val="center"/>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VVS</w:t>
            </w:r>
          </w:p>
        </w:tc>
        <w:tc>
          <w:tcPr>
            <w:tcW w:w="920" w:type="dxa"/>
            <w:tcBorders>
              <w:top w:val="nil"/>
              <w:left w:val="nil"/>
              <w:bottom w:val="nil"/>
              <w:right w:val="nil"/>
            </w:tcBorders>
            <w:shd w:val="clear" w:color="000000" w:fill="DCE6F1"/>
            <w:vAlign w:val="center"/>
            <w:hideMark/>
          </w:tcPr>
          <w:p w:rsidR="00126A48" w:rsidRPr="00126A48" w:rsidRDefault="00126A48" w:rsidP="00126A48">
            <w:pPr>
              <w:spacing w:before="0" w:after="0"/>
              <w:jc w:val="center"/>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15</w:t>
            </w:r>
          </w:p>
        </w:tc>
        <w:tc>
          <w:tcPr>
            <w:tcW w:w="700" w:type="dxa"/>
            <w:tcBorders>
              <w:top w:val="nil"/>
              <w:left w:val="nil"/>
              <w:bottom w:val="nil"/>
              <w:right w:val="nil"/>
            </w:tcBorders>
            <w:shd w:val="clear" w:color="000000" w:fill="DCE6F1"/>
            <w:vAlign w:val="center"/>
            <w:hideMark/>
          </w:tcPr>
          <w:p w:rsidR="00126A48" w:rsidRPr="00126A48" w:rsidRDefault="00126A48" w:rsidP="00126A48">
            <w:pPr>
              <w:spacing w:before="0" w:after="0"/>
              <w:jc w:val="right"/>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27</w:t>
            </w:r>
          </w:p>
        </w:tc>
        <w:tc>
          <w:tcPr>
            <w:tcW w:w="820" w:type="dxa"/>
            <w:tcBorders>
              <w:top w:val="nil"/>
              <w:left w:val="nil"/>
              <w:bottom w:val="nil"/>
              <w:right w:val="nil"/>
            </w:tcBorders>
            <w:shd w:val="clear" w:color="000000" w:fill="DCE6F1"/>
            <w:vAlign w:val="center"/>
            <w:hideMark/>
          </w:tcPr>
          <w:p w:rsidR="00126A48" w:rsidRPr="00126A48" w:rsidRDefault="00126A48" w:rsidP="00126A48">
            <w:pPr>
              <w:spacing w:before="0" w:after="0"/>
              <w:jc w:val="right"/>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223 750</w:t>
            </w:r>
          </w:p>
        </w:tc>
        <w:tc>
          <w:tcPr>
            <w:tcW w:w="2440" w:type="dxa"/>
            <w:tcBorders>
              <w:top w:val="nil"/>
              <w:left w:val="nil"/>
              <w:bottom w:val="nil"/>
              <w:right w:val="nil"/>
            </w:tcBorders>
            <w:shd w:val="clear" w:color="000000" w:fill="DCE6F1"/>
            <w:vAlign w:val="center"/>
            <w:hideMark/>
          </w:tcPr>
          <w:p w:rsidR="00126A48" w:rsidRPr="00126A48" w:rsidRDefault="00126A48" w:rsidP="00126A48">
            <w:pPr>
              <w:spacing w:before="0" w:after="0"/>
              <w:jc w:val="left"/>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Chemie; Informatika; Průmysl; Společenské vědy; Vědy o zemi; Vojenství</w:t>
            </w:r>
          </w:p>
        </w:tc>
      </w:tr>
      <w:tr w:rsidR="00126A48" w:rsidRPr="00126A48" w:rsidTr="00126A48">
        <w:trPr>
          <w:trHeight w:val="450"/>
        </w:trPr>
        <w:tc>
          <w:tcPr>
            <w:tcW w:w="3740" w:type="dxa"/>
            <w:tcBorders>
              <w:top w:val="nil"/>
              <w:left w:val="nil"/>
              <w:bottom w:val="nil"/>
              <w:right w:val="nil"/>
            </w:tcBorders>
            <w:shd w:val="clear" w:color="auto" w:fill="auto"/>
            <w:vAlign w:val="center"/>
            <w:hideMark/>
          </w:tcPr>
          <w:p w:rsidR="00126A48" w:rsidRPr="00126A48" w:rsidRDefault="00126A48" w:rsidP="00126A48">
            <w:pPr>
              <w:spacing w:before="0" w:after="0"/>
              <w:jc w:val="left"/>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lastRenderedPageBreak/>
              <w:t>Vysoké učení technické v Brně</w:t>
            </w:r>
          </w:p>
        </w:tc>
        <w:tc>
          <w:tcPr>
            <w:tcW w:w="700" w:type="dxa"/>
            <w:tcBorders>
              <w:top w:val="nil"/>
              <w:left w:val="nil"/>
              <w:bottom w:val="nil"/>
              <w:right w:val="nil"/>
            </w:tcBorders>
            <w:shd w:val="clear" w:color="auto" w:fill="auto"/>
            <w:vAlign w:val="center"/>
            <w:hideMark/>
          </w:tcPr>
          <w:p w:rsidR="00126A48" w:rsidRPr="00126A48" w:rsidRDefault="00126A48" w:rsidP="00126A48">
            <w:pPr>
              <w:spacing w:before="0" w:after="0"/>
              <w:jc w:val="center"/>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VVS</w:t>
            </w:r>
          </w:p>
        </w:tc>
        <w:tc>
          <w:tcPr>
            <w:tcW w:w="920" w:type="dxa"/>
            <w:tcBorders>
              <w:top w:val="nil"/>
              <w:left w:val="nil"/>
              <w:bottom w:val="nil"/>
              <w:right w:val="nil"/>
            </w:tcBorders>
            <w:shd w:val="clear" w:color="auto" w:fill="auto"/>
            <w:vAlign w:val="center"/>
            <w:hideMark/>
          </w:tcPr>
          <w:p w:rsidR="00126A48" w:rsidRPr="00126A48" w:rsidRDefault="00126A48" w:rsidP="00126A48">
            <w:pPr>
              <w:spacing w:before="0" w:after="0"/>
              <w:jc w:val="center"/>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8</w:t>
            </w:r>
          </w:p>
        </w:tc>
        <w:tc>
          <w:tcPr>
            <w:tcW w:w="700" w:type="dxa"/>
            <w:tcBorders>
              <w:top w:val="nil"/>
              <w:left w:val="nil"/>
              <w:bottom w:val="nil"/>
              <w:right w:val="nil"/>
            </w:tcBorders>
            <w:shd w:val="clear" w:color="auto" w:fill="auto"/>
            <w:vAlign w:val="center"/>
            <w:hideMark/>
          </w:tcPr>
          <w:p w:rsidR="00126A48" w:rsidRPr="00126A48" w:rsidRDefault="00126A48" w:rsidP="00126A48">
            <w:pPr>
              <w:spacing w:before="0" w:after="0"/>
              <w:jc w:val="right"/>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14</w:t>
            </w:r>
          </w:p>
        </w:tc>
        <w:tc>
          <w:tcPr>
            <w:tcW w:w="820" w:type="dxa"/>
            <w:tcBorders>
              <w:top w:val="nil"/>
              <w:left w:val="nil"/>
              <w:bottom w:val="nil"/>
              <w:right w:val="nil"/>
            </w:tcBorders>
            <w:shd w:val="clear" w:color="auto" w:fill="auto"/>
            <w:vAlign w:val="center"/>
            <w:hideMark/>
          </w:tcPr>
          <w:p w:rsidR="00126A48" w:rsidRPr="00126A48" w:rsidRDefault="00126A48" w:rsidP="00126A48">
            <w:pPr>
              <w:spacing w:before="0" w:after="0"/>
              <w:jc w:val="right"/>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189 703</w:t>
            </w:r>
          </w:p>
        </w:tc>
        <w:tc>
          <w:tcPr>
            <w:tcW w:w="2440" w:type="dxa"/>
            <w:tcBorders>
              <w:top w:val="nil"/>
              <w:left w:val="nil"/>
              <w:bottom w:val="nil"/>
              <w:right w:val="nil"/>
            </w:tcBorders>
            <w:shd w:val="clear" w:color="auto" w:fill="auto"/>
            <w:vAlign w:val="center"/>
            <w:hideMark/>
          </w:tcPr>
          <w:p w:rsidR="00126A48" w:rsidRPr="00126A48" w:rsidRDefault="00126A48" w:rsidP="00126A48">
            <w:pPr>
              <w:spacing w:before="0" w:after="0"/>
              <w:jc w:val="left"/>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Informatika; Průmysl; Společenské vědy</w:t>
            </w:r>
          </w:p>
        </w:tc>
      </w:tr>
      <w:tr w:rsidR="00126A48" w:rsidRPr="00126A48" w:rsidTr="00126A48">
        <w:trPr>
          <w:trHeight w:val="450"/>
        </w:trPr>
        <w:tc>
          <w:tcPr>
            <w:tcW w:w="3740" w:type="dxa"/>
            <w:tcBorders>
              <w:top w:val="nil"/>
              <w:left w:val="nil"/>
              <w:bottom w:val="nil"/>
              <w:right w:val="nil"/>
            </w:tcBorders>
            <w:shd w:val="clear" w:color="000000" w:fill="DCE6F1"/>
            <w:vAlign w:val="center"/>
            <w:hideMark/>
          </w:tcPr>
          <w:p w:rsidR="00126A48" w:rsidRPr="00126A48" w:rsidRDefault="00126A48" w:rsidP="00126A48">
            <w:pPr>
              <w:spacing w:before="0" w:after="0"/>
              <w:jc w:val="left"/>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Státní ústav jaderné, chemické a biologické ochrany, v.v.i.</w:t>
            </w:r>
          </w:p>
        </w:tc>
        <w:tc>
          <w:tcPr>
            <w:tcW w:w="700" w:type="dxa"/>
            <w:tcBorders>
              <w:top w:val="nil"/>
              <w:left w:val="nil"/>
              <w:bottom w:val="nil"/>
              <w:right w:val="nil"/>
            </w:tcBorders>
            <w:shd w:val="clear" w:color="000000" w:fill="DCE6F1"/>
            <w:vAlign w:val="center"/>
            <w:hideMark/>
          </w:tcPr>
          <w:p w:rsidR="00126A48" w:rsidRPr="00126A48" w:rsidRDefault="00126A48" w:rsidP="00126A48">
            <w:pPr>
              <w:spacing w:before="0" w:after="0"/>
              <w:jc w:val="center"/>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VVI</w:t>
            </w:r>
          </w:p>
        </w:tc>
        <w:tc>
          <w:tcPr>
            <w:tcW w:w="920" w:type="dxa"/>
            <w:tcBorders>
              <w:top w:val="nil"/>
              <w:left w:val="nil"/>
              <w:bottom w:val="nil"/>
              <w:right w:val="nil"/>
            </w:tcBorders>
            <w:shd w:val="clear" w:color="000000" w:fill="DCE6F1"/>
            <w:vAlign w:val="center"/>
            <w:hideMark/>
          </w:tcPr>
          <w:p w:rsidR="00126A48" w:rsidRPr="00126A48" w:rsidRDefault="00126A48" w:rsidP="00126A48">
            <w:pPr>
              <w:spacing w:before="0" w:after="0"/>
              <w:jc w:val="center"/>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5</w:t>
            </w:r>
          </w:p>
        </w:tc>
        <w:tc>
          <w:tcPr>
            <w:tcW w:w="700" w:type="dxa"/>
            <w:tcBorders>
              <w:top w:val="nil"/>
              <w:left w:val="nil"/>
              <w:bottom w:val="nil"/>
              <w:right w:val="nil"/>
            </w:tcBorders>
            <w:shd w:val="clear" w:color="000000" w:fill="DCE6F1"/>
            <w:vAlign w:val="center"/>
            <w:hideMark/>
          </w:tcPr>
          <w:p w:rsidR="00126A48" w:rsidRPr="00126A48" w:rsidRDefault="00126A48" w:rsidP="00126A48">
            <w:pPr>
              <w:spacing w:before="0" w:after="0"/>
              <w:jc w:val="right"/>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8</w:t>
            </w:r>
          </w:p>
        </w:tc>
        <w:tc>
          <w:tcPr>
            <w:tcW w:w="820" w:type="dxa"/>
            <w:tcBorders>
              <w:top w:val="nil"/>
              <w:left w:val="nil"/>
              <w:bottom w:val="nil"/>
              <w:right w:val="nil"/>
            </w:tcBorders>
            <w:shd w:val="clear" w:color="000000" w:fill="DCE6F1"/>
            <w:vAlign w:val="center"/>
            <w:hideMark/>
          </w:tcPr>
          <w:p w:rsidR="00126A48" w:rsidRPr="00126A48" w:rsidRDefault="00126A48" w:rsidP="00126A48">
            <w:pPr>
              <w:spacing w:before="0" w:after="0"/>
              <w:jc w:val="right"/>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168 925</w:t>
            </w:r>
          </w:p>
        </w:tc>
        <w:tc>
          <w:tcPr>
            <w:tcW w:w="2440" w:type="dxa"/>
            <w:tcBorders>
              <w:top w:val="nil"/>
              <w:left w:val="nil"/>
              <w:bottom w:val="nil"/>
              <w:right w:val="nil"/>
            </w:tcBorders>
            <w:shd w:val="clear" w:color="000000" w:fill="DCE6F1"/>
            <w:vAlign w:val="center"/>
            <w:hideMark/>
          </w:tcPr>
          <w:p w:rsidR="00126A48" w:rsidRPr="00126A48" w:rsidRDefault="00126A48" w:rsidP="00126A48">
            <w:pPr>
              <w:spacing w:before="0" w:after="0"/>
              <w:jc w:val="left"/>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Biovědy; Chemie; Průmysl; Vědy o zemi</w:t>
            </w:r>
          </w:p>
        </w:tc>
      </w:tr>
      <w:tr w:rsidR="00126A48" w:rsidRPr="00126A48" w:rsidTr="00126A48">
        <w:trPr>
          <w:trHeight w:val="450"/>
        </w:trPr>
        <w:tc>
          <w:tcPr>
            <w:tcW w:w="3740" w:type="dxa"/>
            <w:tcBorders>
              <w:top w:val="nil"/>
              <w:left w:val="nil"/>
              <w:bottom w:val="nil"/>
              <w:right w:val="nil"/>
            </w:tcBorders>
            <w:shd w:val="clear" w:color="auto" w:fill="auto"/>
            <w:vAlign w:val="center"/>
            <w:hideMark/>
          </w:tcPr>
          <w:p w:rsidR="00126A48" w:rsidRPr="00126A48" w:rsidRDefault="00126A48" w:rsidP="00126A48">
            <w:pPr>
              <w:spacing w:before="0" w:after="0"/>
              <w:jc w:val="left"/>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Státní ústav radiační ochrany, v.v.i.</w:t>
            </w:r>
          </w:p>
        </w:tc>
        <w:tc>
          <w:tcPr>
            <w:tcW w:w="700" w:type="dxa"/>
            <w:tcBorders>
              <w:top w:val="nil"/>
              <w:left w:val="nil"/>
              <w:bottom w:val="nil"/>
              <w:right w:val="nil"/>
            </w:tcBorders>
            <w:shd w:val="clear" w:color="auto" w:fill="auto"/>
            <w:vAlign w:val="center"/>
            <w:hideMark/>
          </w:tcPr>
          <w:p w:rsidR="00126A48" w:rsidRPr="00126A48" w:rsidRDefault="00126A48" w:rsidP="00126A48">
            <w:pPr>
              <w:spacing w:before="0" w:after="0"/>
              <w:jc w:val="center"/>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VVI</w:t>
            </w:r>
          </w:p>
        </w:tc>
        <w:tc>
          <w:tcPr>
            <w:tcW w:w="920" w:type="dxa"/>
            <w:tcBorders>
              <w:top w:val="nil"/>
              <w:left w:val="nil"/>
              <w:bottom w:val="nil"/>
              <w:right w:val="nil"/>
            </w:tcBorders>
            <w:shd w:val="clear" w:color="auto" w:fill="auto"/>
            <w:vAlign w:val="center"/>
            <w:hideMark/>
          </w:tcPr>
          <w:p w:rsidR="00126A48" w:rsidRPr="00126A48" w:rsidRDefault="00126A48" w:rsidP="00126A48">
            <w:pPr>
              <w:spacing w:before="0" w:after="0"/>
              <w:jc w:val="center"/>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8</w:t>
            </w:r>
          </w:p>
        </w:tc>
        <w:tc>
          <w:tcPr>
            <w:tcW w:w="700" w:type="dxa"/>
            <w:tcBorders>
              <w:top w:val="nil"/>
              <w:left w:val="nil"/>
              <w:bottom w:val="nil"/>
              <w:right w:val="nil"/>
            </w:tcBorders>
            <w:shd w:val="clear" w:color="auto" w:fill="auto"/>
            <w:vAlign w:val="center"/>
            <w:hideMark/>
          </w:tcPr>
          <w:p w:rsidR="00126A48" w:rsidRPr="00126A48" w:rsidRDefault="00126A48" w:rsidP="00126A48">
            <w:pPr>
              <w:spacing w:before="0" w:after="0"/>
              <w:jc w:val="right"/>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9</w:t>
            </w:r>
          </w:p>
        </w:tc>
        <w:tc>
          <w:tcPr>
            <w:tcW w:w="820" w:type="dxa"/>
            <w:tcBorders>
              <w:top w:val="nil"/>
              <w:left w:val="nil"/>
              <w:bottom w:val="nil"/>
              <w:right w:val="nil"/>
            </w:tcBorders>
            <w:shd w:val="clear" w:color="auto" w:fill="auto"/>
            <w:vAlign w:val="center"/>
            <w:hideMark/>
          </w:tcPr>
          <w:p w:rsidR="00126A48" w:rsidRPr="00126A48" w:rsidRDefault="00126A48" w:rsidP="00126A48">
            <w:pPr>
              <w:spacing w:before="0" w:after="0"/>
              <w:jc w:val="right"/>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152 570</w:t>
            </w:r>
          </w:p>
        </w:tc>
        <w:tc>
          <w:tcPr>
            <w:tcW w:w="2440" w:type="dxa"/>
            <w:tcBorders>
              <w:top w:val="nil"/>
              <w:left w:val="nil"/>
              <w:bottom w:val="nil"/>
              <w:right w:val="nil"/>
            </w:tcBorders>
            <w:shd w:val="clear" w:color="auto" w:fill="auto"/>
            <w:vAlign w:val="center"/>
            <w:hideMark/>
          </w:tcPr>
          <w:p w:rsidR="00126A48" w:rsidRPr="00126A48" w:rsidRDefault="00126A48" w:rsidP="00126A48">
            <w:pPr>
              <w:spacing w:before="0" w:after="0"/>
              <w:jc w:val="left"/>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Fyzika a matematika; Průmysl; Vědy o zemi</w:t>
            </w:r>
          </w:p>
        </w:tc>
      </w:tr>
      <w:tr w:rsidR="00126A48" w:rsidRPr="00126A48" w:rsidTr="00126A48">
        <w:trPr>
          <w:trHeight w:val="300"/>
        </w:trPr>
        <w:tc>
          <w:tcPr>
            <w:tcW w:w="3740" w:type="dxa"/>
            <w:tcBorders>
              <w:top w:val="nil"/>
              <w:left w:val="nil"/>
              <w:bottom w:val="nil"/>
              <w:right w:val="nil"/>
            </w:tcBorders>
            <w:shd w:val="clear" w:color="000000" w:fill="DCE6F1"/>
            <w:vAlign w:val="center"/>
            <w:hideMark/>
          </w:tcPr>
          <w:p w:rsidR="00126A48" w:rsidRPr="00126A48" w:rsidRDefault="00126A48" w:rsidP="00126A48">
            <w:pPr>
              <w:spacing w:before="0" w:after="0"/>
              <w:jc w:val="left"/>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Vysoká škola chemicko-technologická v Praze</w:t>
            </w:r>
          </w:p>
        </w:tc>
        <w:tc>
          <w:tcPr>
            <w:tcW w:w="700" w:type="dxa"/>
            <w:tcBorders>
              <w:top w:val="nil"/>
              <w:left w:val="nil"/>
              <w:bottom w:val="nil"/>
              <w:right w:val="nil"/>
            </w:tcBorders>
            <w:shd w:val="clear" w:color="000000" w:fill="DCE6F1"/>
            <w:vAlign w:val="center"/>
            <w:hideMark/>
          </w:tcPr>
          <w:p w:rsidR="00126A48" w:rsidRPr="00126A48" w:rsidRDefault="00126A48" w:rsidP="00126A48">
            <w:pPr>
              <w:spacing w:before="0" w:after="0"/>
              <w:jc w:val="center"/>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VVS</w:t>
            </w:r>
          </w:p>
        </w:tc>
        <w:tc>
          <w:tcPr>
            <w:tcW w:w="920" w:type="dxa"/>
            <w:tcBorders>
              <w:top w:val="nil"/>
              <w:left w:val="nil"/>
              <w:bottom w:val="nil"/>
              <w:right w:val="nil"/>
            </w:tcBorders>
            <w:shd w:val="clear" w:color="000000" w:fill="DCE6F1"/>
            <w:vAlign w:val="center"/>
            <w:hideMark/>
          </w:tcPr>
          <w:p w:rsidR="00126A48" w:rsidRPr="00126A48" w:rsidRDefault="00126A48" w:rsidP="00126A48">
            <w:pPr>
              <w:spacing w:before="0" w:after="0"/>
              <w:jc w:val="center"/>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6</w:t>
            </w:r>
          </w:p>
        </w:tc>
        <w:tc>
          <w:tcPr>
            <w:tcW w:w="700" w:type="dxa"/>
            <w:tcBorders>
              <w:top w:val="nil"/>
              <w:left w:val="nil"/>
              <w:bottom w:val="nil"/>
              <w:right w:val="nil"/>
            </w:tcBorders>
            <w:shd w:val="clear" w:color="000000" w:fill="DCE6F1"/>
            <w:vAlign w:val="center"/>
            <w:hideMark/>
          </w:tcPr>
          <w:p w:rsidR="00126A48" w:rsidRPr="00126A48" w:rsidRDefault="00126A48" w:rsidP="00126A48">
            <w:pPr>
              <w:spacing w:before="0" w:after="0"/>
              <w:jc w:val="right"/>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7</w:t>
            </w:r>
          </w:p>
        </w:tc>
        <w:tc>
          <w:tcPr>
            <w:tcW w:w="820" w:type="dxa"/>
            <w:tcBorders>
              <w:top w:val="nil"/>
              <w:left w:val="nil"/>
              <w:bottom w:val="nil"/>
              <w:right w:val="nil"/>
            </w:tcBorders>
            <w:shd w:val="clear" w:color="000000" w:fill="DCE6F1"/>
            <w:vAlign w:val="center"/>
            <w:hideMark/>
          </w:tcPr>
          <w:p w:rsidR="00126A48" w:rsidRPr="00126A48" w:rsidRDefault="00126A48" w:rsidP="00126A48">
            <w:pPr>
              <w:spacing w:before="0" w:after="0"/>
              <w:jc w:val="right"/>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124 254</w:t>
            </w:r>
          </w:p>
        </w:tc>
        <w:tc>
          <w:tcPr>
            <w:tcW w:w="2440" w:type="dxa"/>
            <w:tcBorders>
              <w:top w:val="nil"/>
              <w:left w:val="nil"/>
              <w:bottom w:val="nil"/>
              <w:right w:val="nil"/>
            </w:tcBorders>
            <w:shd w:val="clear" w:color="000000" w:fill="DCE6F1"/>
            <w:vAlign w:val="center"/>
            <w:hideMark/>
          </w:tcPr>
          <w:p w:rsidR="00126A48" w:rsidRPr="00126A48" w:rsidRDefault="00126A48" w:rsidP="00126A48">
            <w:pPr>
              <w:spacing w:before="0" w:after="0"/>
              <w:jc w:val="left"/>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Chemie; Průmysl; Vědy o zemi</w:t>
            </w:r>
          </w:p>
        </w:tc>
      </w:tr>
      <w:tr w:rsidR="00126A48" w:rsidRPr="00126A48" w:rsidTr="00126A48">
        <w:trPr>
          <w:trHeight w:val="450"/>
        </w:trPr>
        <w:tc>
          <w:tcPr>
            <w:tcW w:w="3740" w:type="dxa"/>
            <w:tcBorders>
              <w:top w:val="nil"/>
              <w:left w:val="nil"/>
              <w:bottom w:val="nil"/>
              <w:right w:val="nil"/>
            </w:tcBorders>
            <w:shd w:val="clear" w:color="auto" w:fill="auto"/>
            <w:vAlign w:val="center"/>
            <w:hideMark/>
          </w:tcPr>
          <w:p w:rsidR="00126A48" w:rsidRPr="00126A48" w:rsidRDefault="00126A48" w:rsidP="00126A48">
            <w:pPr>
              <w:spacing w:before="0" w:after="0"/>
              <w:jc w:val="left"/>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Vysoká škola báňská - Technická univerzita Ostrava</w:t>
            </w:r>
          </w:p>
        </w:tc>
        <w:tc>
          <w:tcPr>
            <w:tcW w:w="700" w:type="dxa"/>
            <w:tcBorders>
              <w:top w:val="nil"/>
              <w:left w:val="nil"/>
              <w:bottom w:val="nil"/>
              <w:right w:val="nil"/>
            </w:tcBorders>
            <w:shd w:val="clear" w:color="auto" w:fill="auto"/>
            <w:vAlign w:val="center"/>
            <w:hideMark/>
          </w:tcPr>
          <w:p w:rsidR="00126A48" w:rsidRPr="00126A48" w:rsidRDefault="00126A48" w:rsidP="00126A48">
            <w:pPr>
              <w:spacing w:before="0" w:after="0"/>
              <w:jc w:val="center"/>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VVS</w:t>
            </w:r>
          </w:p>
        </w:tc>
        <w:tc>
          <w:tcPr>
            <w:tcW w:w="920" w:type="dxa"/>
            <w:tcBorders>
              <w:top w:val="nil"/>
              <w:left w:val="nil"/>
              <w:bottom w:val="nil"/>
              <w:right w:val="nil"/>
            </w:tcBorders>
            <w:shd w:val="clear" w:color="auto" w:fill="auto"/>
            <w:vAlign w:val="center"/>
            <w:hideMark/>
          </w:tcPr>
          <w:p w:rsidR="00126A48" w:rsidRPr="00126A48" w:rsidRDefault="00126A48" w:rsidP="00126A48">
            <w:pPr>
              <w:spacing w:before="0" w:after="0"/>
              <w:jc w:val="center"/>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9</w:t>
            </w:r>
          </w:p>
        </w:tc>
        <w:tc>
          <w:tcPr>
            <w:tcW w:w="700" w:type="dxa"/>
            <w:tcBorders>
              <w:top w:val="nil"/>
              <w:left w:val="nil"/>
              <w:bottom w:val="nil"/>
              <w:right w:val="nil"/>
            </w:tcBorders>
            <w:shd w:val="clear" w:color="auto" w:fill="auto"/>
            <w:vAlign w:val="center"/>
            <w:hideMark/>
          </w:tcPr>
          <w:p w:rsidR="00126A48" w:rsidRPr="00126A48" w:rsidRDefault="00126A48" w:rsidP="00126A48">
            <w:pPr>
              <w:spacing w:before="0" w:after="0"/>
              <w:jc w:val="right"/>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18</w:t>
            </w:r>
          </w:p>
        </w:tc>
        <w:tc>
          <w:tcPr>
            <w:tcW w:w="820" w:type="dxa"/>
            <w:tcBorders>
              <w:top w:val="nil"/>
              <w:left w:val="nil"/>
              <w:bottom w:val="nil"/>
              <w:right w:val="nil"/>
            </w:tcBorders>
            <w:shd w:val="clear" w:color="auto" w:fill="auto"/>
            <w:vAlign w:val="center"/>
            <w:hideMark/>
          </w:tcPr>
          <w:p w:rsidR="00126A48" w:rsidRPr="00126A48" w:rsidRDefault="00126A48" w:rsidP="00126A48">
            <w:pPr>
              <w:spacing w:before="0" w:after="0"/>
              <w:jc w:val="right"/>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89 694</w:t>
            </w:r>
          </w:p>
        </w:tc>
        <w:tc>
          <w:tcPr>
            <w:tcW w:w="2440" w:type="dxa"/>
            <w:tcBorders>
              <w:top w:val="nil"/>
              <w:left w:val="nil"/>
              <w:bottom w:val="nil"/>
              <w:right w:val="nil"/>
            </w:tcBorders>
            <w:shd w:val="clear" w:color="auto" w:fill="auto"/>
            <w:vAlign w:val="center"/>
            <w:hideMark/>
          </w:tcPr>
          <w:p w:rsidR="00126A48" w:rsidRPr="00126A48" w:rsidRDefault="00126A48" w:rsidP="00126A48">
            <w:pPr>
              <w:spacing w:before="0" w:after="0"/>
              <w:jc w:val="left"/>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Chemie; Průmysl; Společenské vědy; Vojenství</w:t>
            </w:r>
          </w:p>
        </w:tc>
      </w:tr>
      <w:tr w:rsidR="00126A48" w:rsidRPr="00126A48" w:rsidTr="00126A48">
        <w:trPr>
          <w:trHeight w:val="225"/>
        </w:trPr>
        <w:tc>
          <w:tcPr>
            <w:tcW w:w="3740" w:type="dxa"/>
            <w:tcBorders>
              <w:top w:val="nil"/>
              <w:left w:val="nil"/>
              <w:bottom w:val="nil"/>
              <w:right w:val="nil"/>
            </w:tcBorders>
            <w:shd w:val="clear" w:color="000000" w:fill="DCE6F1"/>
            <w:vAlign w:val="center"/>
            <w:hideMark/>
          </w:tcPr>
          <w:p w:rsidR="00126A48" w:rsidRPr="00126A48" w:rsidRDefault="00126A48" w:rsidP="00126A48">
            <w:pPr>
              <w:spacing w:before="0" w:after="0"/>
              <w:jc w:val="left"/>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Centrum dopravního výzkumu, v.v.i.</w:t>
            </w:r>
          </w:p>
        </w:tc>
        <w:tc>
          <w:tcPr>
            <w:tcW w:w="700" w:type="dxa"/>
            <w:tcBorders>
              <w:top w:val="nil"/>
              <w:left w:val="nil"/>
              <w:bottom w:val="nil"/>
              <w:right w:val="nil"/>
            </w:tcBorders>
            <w:shd w:val="clear" w:color="000000" w:fill="DCE6F1"/>
            <w:vAlign w:val="center"/>
            <w:hideMark/>
          </w:tcPr>
          <w:p w:rsidR="00126A48" w:rsidRPr="00126A48" w:rsidRDefault="00126A48" w:rsidP="00126A48">
            <w:pPr>
              <w:spacing w:before="0" w:after="0"/>
              <w:jc w:val="center"/>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VVI</w:t>
            </w:r>
          </w:p>
        </w:tc>
        <w:tc>
          <w:tcPr>
            <w:tcW w:w="920" w:type="dxa"/>
            <w:tcBorders>
              <w:top w:val="nil"/>
              <w:left w:val="nil"/>
              <w:bottom w:val="nil"/>
              <w:right w:val="nil"/>
            </w:tcBorders>
            <w:shd w:val="clear" w:color="000000" w:fill="DCE6F1"/>
            <w:vAlign w:val="center"/>
            <w:hideMark/>
          </w:tcPr>
          <w:p w:rsidR="00126A48" w:rsidRPr="00126A48" w:rsidRDefault="00126A48" w:rsidP="00126A48">
            <w:pPr>
              <w:spacing w:before="0" w:after="0"/>
              <w:jc w:val="center"/>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6</w:t>
            </w:r>
          </w:p>
        </w:tc>
        <w:tc>
          <w:tcPr>
            <w:tcW w:w="700" w:type="dxa"/>
            <w:tcBorders>
              <w:top w:val="nil"/>
              <w:left w:val="nil"/>
              <w:bottom w:val="nil"/>
              <w:right w:val="nil"/>
            </w:tcBorders>
            <w:shd w:val="clear" w:color="000000" w:fill="DCE6F1"/>
            <w:vAlign w:val="center"/>
            <w:hideMark/>
          </w:tcPr>
          <w:p w:rsidR="00126A48" w:rsidRPr="00126A48" w:rsidRDefault="00126A48" w:rsidP="00126A48">
            <w:pPr>
              <w:spacing w:before="0" w:after="0"/>
              <w:jc w:val="right"/>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9</w:t>
            </w:r>
          </w:p>
        </w:tc>
        <w:tc>
          <w:tcPr>
            <w:tcW w:w="820" w:type="dxa"/>
            <w:tcBorders>
              <w:top w:val="nil"/>
              <w:left w:val="nil"/>
              <w:bottom w:val="nil"/>
              <w:right w:val="nil"/>
            </w:tcBorders>
            <w:shd w:val="clear" w:color="000000" w:fill="DCE6F1"/>
            <w:vAlign w:val="center"/>
            <w:hideMark/>
          </w:tcPr>
          <w:p w:rsidR="00126A48" w:rsidRPr="00126A48" w:rsidRDefault="00126A48" w:rsidP="00126A48">
            <w:pPr>
              <w:spacing w:before="0" w:after="0"/>
              <w:jc w:val="right"/>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86 053</w:t>
            </w:r>
          </w:p>
        </w:tc>
        <w:tc>
          <w:tcPr>
            <w:tcW w:w="2440" w:type="dxa"/>
            <w:tcBorders>
              <w:top w:val="nil"/>
              <w:left w:val="nil"/>
              <w:bottom w:val="nil"/>
              <w:right w:val="nil"/>
            </w:tcBorders>
            <w:shd w:val="clear" w:color="000000" w:fill="DCE6F1"/>
            <w:vAlign w:val="center"/>
            <w:hideMark/>
          </w:tcPr>
          <w:p w:rsidR="00126A48" w:rsidRPr="00126A48" w:rsidRDefault="00126A48" w:rsidP="00126A48">
            <w:pPr>
              <w:spacing w:before="0" w:after="0"/>
              <w:jc w:val="left"/>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Společenské vědy</w:t>
            </w:r>
          </w:p>
        </w:tc>
      </w:tr>
      <w:tr w:rsidR="00126A48" w:rsidRPr="00126A48" w:rsidTr="00126A48">
        <w:trPr>
          <w:trHeight w:val="675"/>
        </w:trPr>
        <w:tc>
          <w:tcPr>
            <w:tcW w:w="3740" w:type="dxa"/>
            <w:tcBorders>
              <w:top w:val="nil"/>
              <w:left w:val="nil"/>
              <w:bottom w:val="nil"/>
              <w:right w:val="nil"/>
            </w:tcBorders>
            <w:shd w:val="clear" w:color="auto" w:fill="auto"/>
            <w:vAlign w:val="center"/>
            <w:hideMark/>
          </w:tcPr>
          <w:p w:rsidR="00126A48" w:rsidRPr="00126A48" w:rsidRDefault="00126A48" w:rsidP="00126A48">
            <w:pPr>
              <w:spacing w:before="0" w:after="0"/>
              <w:jc w:val="left"/>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Univerzita Karlova v Praze</w:t>
            </w:r>
          </w:p>
        </w:tc>
        <w:tc>
          <w:tcPr>
            <w:tcW w:w="700" w:type="dxa"/>
            <w:tcBorders>
              <w:top w:val="nil"/>
              <w:left w:val="nil"/>
              <w:bottom w:val="nil"/>
              <w:right w:val="nil"/>
            </w:tcBorders>
            <w:shd w:val="clear" w:color="auto" w:fill="auto"/>
            <w:vAlign w:val="center"/>
            <w:hideMark/>
          </w:tcPr>
          <w:p w:rsidR="00126A48" w:rsidRPr="00126A48" w:rsidRDefault="00126A48" w:rsidP="00126A48">
            <w:pPr>
              <w:spacing w:before="0" w:after="0"/>
              <w:jc w:val="center"/>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VVS</w:t>
            </w:r>
          </w:p>
        </w:tc>
        <w:tc>
          <w:tcPr>
            <w:tcW w:w="920" w:type="dxa"/>
            <w:tcBorders>
              <w:top w:val="nil"/>
              <w:left w:val="nil"/>
              <w:bottom w:val="nil"/>
              <w:right w:val="nil"/>
            </w:tcBorders>
            <w:shd w:val="clear" w:color="auto" w:fill="auto"/>
            <w:vAlign w:val="center"/>
            <w:hideMark/>
          </w:tcPr>
          <w:p w:rsidR="00126A48" w:rsidRPr="00126A48" w:rsidRDefault="00126A48" w:rsidP="00126A48">
            <w:pPr>
              <w:spacing w:before="0" w:after="0"/>
              <w:jc w:val="center"/>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4</w:t>
            </w:r>
          </w:p>
        </w:tc>
        <w:tc>
          <w:tcPr>
            <w:tcW w:w="700" w:type="dxa"/>
            <w:tcBorders>
              <w:top w:val="nil"/>
              <w:left w:val="nil"/>
              <w:bottom w:val="nil"/>
              <w:right w:val="nil"/>
            </w:tcBorders>
            <w:shd w:val="clear" w:color="auto" w:fill="auto"/>
            <w:vAlign w:val="center"/>
            <w:hideMark/>
          </w:tcPr>
          <w:p w:rsidR="00126A48" w:rsidRPr="00126A48" w:rsidRDefault="00126A48" w:rsidP="00126A48">
            <w:pPr>
              <w:spacing w:before="0" w:after="0"/>
              <w:jc w:val="right"/>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13</w:t>
            </w:r>
          </w:p>
        </w:tc>
        <w:tc>
          <w:tcPr>
            <w:tcW w:w="820" w:type="dxa"/>
            <w:tcBorders>
              <w:top w:val="nil"/>
              <w:left w:val="nil"/>
              <w:bottom w:val="nil"/>
              <w:right w:val="nil"/>
            </w:tcBorders>
            <w:shd w:val="clear" w:color="auto" w:fill="auto"/>
            <w:vAlign w:val="center"/>
            <w:hideMark/>
          </w:tcPr>
          <w:p w:rsidR="00126A48" w:rsidRPr="00126A48" w:rsidRDefault="00126A48" w:rsidP="00126A48">
            <w:pPr>
              <w:spacing w:before="0" w:after="0"/>
              <w:jc w:val="right"/>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75 137</w:t>
            </w:r>
          </w:p>
        </w:tc>
        <w:tc>
          <w:tcPr>
            <w:tcW w:w="2440" w:type="dxa"/>
            <w:tcBorders>
              <w:top w:val="nil"/>
              <w:left w:val="nil"/>
              <w:bottom w:val="nil"/>
              <w:right w:val="nil"/>
            </w:tcBorders>
            <w:shd w:val="clear" w:color="auto" w:fill="auto"/>
            <w:vAlign w:val="center"/>
            <w:hideMark/>
          </w:tcPr>
          <w:p w:rsidR="00126A48" w:rsidRPr="00126A48" w:rsidRDefault="00126A48" w:rsidP="00126A48">
            <w:pPr>
              <w:spacing w:before="0" w:after="0"/>
              <w:jc w:val="left"/>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Chemie; Fyzika a matematika; Lékařské vědy; Společenské vědy; Vědy o zemi; Vojenství</w:t>
            </w:r>
          </w:p>
        </w:tc>
      </w:tr>
      <w:tr w:rsidR="00126A48" w:rsidRPr="00126A48" w:rsidTr="00126A48">
        <w:trPr>
          <w:trHeight w:val="450"/>
        </w:trPr>
        <w:tc>
          <w:tcPr>
            <w:tcW w:w="3740" w:type="dxa"/>
            <w:tcBorders>
              <w:top w:val="nil"/>
              <w:left w:val="nil"/>
              <w:bottom w:val="nil"/>
              <w:right w:val="nil"/>
            </w:tcBorders>
            <w:shd w:val="clear" w:color="000000" w:fill="DCE6F1"/>
            <w:vAlign w:val="center"/>
            <w:hideMark/>
          </w:tcPr>
          <w:p w:rsidR="00126A48" w:rsidRPr="00126A48" w:rsidRDefault="00126A48" w:rsidP="00126A48">
            <w:pPr>
              <w:spacing w:before="0" w:after="0"/>
              <w:jc w:val="left"/>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Výzkumný ústav vodohospodářský T. G. Masaryka veřejná výzkumná instituce</w:t>
            </w:r>
          </w:p>
        </w:tc>
        <w:tc>
          <w:tcPr>
            <w:tcW w:w="700" w:type="dxa"/>
            <w:tcBorders>
              <w:top w:val="nil"/>
              <w:left w:val="nil"/>
              <w:bottom w:val="nil"/>
              <w:right w:val="nil"/>
            </w:tcBorders>
            <w:shd w:val="clear" w:color="000000" w:fill="DCE6F1"/>
            <w:vAlign w:val="center"/>
            <w:hideMark/>
          </w:tcPr>
          <w:p w:rsidR="00126A48" w:rsidRPr="00126A48" w:rsidRDefault="00126A48" w:rsidP="00126A48">
            <w:pPr>
              <w:spacing w:before="0" w:after="0"/>
              <w:jc w:val="center"/>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VVI</w:t>
            </w:r>
          </w:p>
        </w:tc>
        <w:tc>
          <w:tcPr>
            <w:tcW w:w="920" w:type="dxa"/>
            <w:tcBorders>
              <w:top w:val="nil"/>
              <w:left w:val="nil"/>
              <w:bottom w:val="nil"/>
              <w:right w:val="nil"/>
            </w:tcBorders>
            <w:shd w:val="clear" w:color="000000" w:fill="DCE6F1"/>
            <w:vAlign w:val="center"/>
            <w:hideMark/>
          </w:tcPr>
          <w:p w:rsidR="00126A48" w:rsidRPr="00126A48" w:rsidRDefault="00126A48" w:rsidP="00126A48">
            <w:pPr>
              <w:spacing w:before="0" w:after="0"/>
              <w:jc w:val="center"/>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7</w:t>
            </w:r>
          </w:p>
        </w:tc>
        <w:tc>
          <w:tcPr>
            <w:tcW w:w="700" w:type="dxa"/>
            <w:tcBorders>
              <w:top w:val="nil"/>
              <w:left w:val="nil"/>
              <w:bottom w:val="nil"/>
              <w:right w:val="nil"/>
            </w:tcBorders>
            <w:shd w:val="clear" w:color="000000" w:fill="DCE6F1"/>
            <w:vAlign w:val="center"/>
            <w:hideMark/>
          </w:tcPr>
          <w:p w:rsidR="00126A48" w:rsidRPr="00126A48" w:rsidRDefault="00126A48" w:rsidP="00126A48">
            <w:pPr>
              <w:spacing w:before="0" w:after="0"/>
              <w:jc w:val="right"/>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8</w:t>
            </w:r>
          </w:p>
        </w:tc>
        <w:tc>
          <w:tcPr>
            <w:tcW w:w="820" w:type="dxa"/>
            <w:tcBorders>
              <w:top w:val="nil"/>
              <w:left w:val="nil"/>
              <w:bottom w:val="nil"/>
              <w:right w:val="nil"/>
            </w:tcBorders>
            <w:shd w:val="clear" w:color="000000" w:fill="DCE6F1"/>
            <w:vAlign w:val="center"/>
            <w:hideMark/>
          </w:tcPr>
          <w:p w:rsidR="00126A48" w:rsidRPr="00126A48" w:rsidRDefault="00126A48" w:rsidP="00126A48">
            <w:pPr>
              <w:spacing w:before="0" w:after="0"/>
              <w:jc w:val="right"/>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74 610</w:t>
            </w:r>
          </w:p>
        </w:tc>
        <w:tc>
          <w:tcPr>
            <w:tcW w:w="2440" w:type="dxa"/>
            <w:tcBorders>
              <w:top w:val="nil"/>
              <w:left w:val="nil"/>
              <w:bottom w:val="nil"/>
              <w:right w:val="nil"/>
            </w:tcBorders>
            <w:shd w:val="clear" w:color="000000" w:fill="DCE6F1"/>
            <w:vAlign w:val="center"/>
            <w:hideMark/>
          </w:tcPr>
          <w:p w:rsidR="00126A48" w:rsidRPr="00126A48" w:rsidRDefault="00126A48" w:rsidP="00126A48">
            <w:pPr>
              <w:spacing w:before="0" w:after="0"/>
              <w:jc w:val="left"/>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Chemie; Společenské vědy; Vědy o zemi</w:t>
            </w:r>
          </w:p>
        </w:tc>
      </w:tr>
      <w:tr w:rsidR="00126A48" w:rsidRPr="00126A48" w:rsidTr="00126A48">
        <w:trPr>
          <w:trHeight w:val="675"/>
        </w:trPr>
        <w:tc>
          <w:tcPr>
            <w:tcW w:w="3740" w:type="dxa"/>
            <w:tcBorders>
              <w:top w:val="nil"/>
              <w:left w:val="nil"/>
              <w:bottom w:val="nil"/>
              <w:right w:val="nil"/>
            </w:tcBorders>
            <w:shd w:val="clear" w:color="auto" w:fill="auto"/>
            <w:vAlign w:val="center"/>
            <w:hideMark/>
          </w:tcPr>
          <w:p w:rsidR="00126A48" w:rsidRPr="00126A48" w:rsidRDefault="00126A48" w:rsidP="00126A48">
            <w:pPr>
              <w:spacing w:before="0" w:after="0"/>
              <w:jc w:val="left"/>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Ministerstvo obrany</w:t>
            </w:r>
          </w:p>
        </w:tc>
        <w:tc>
          <w:tcPr>
            <w:tcW w:w="700" w:type="dxa"/>
            <w:tcBorders>
              <w:top w:val="nil"/>
              <w:left w:val="nil"/>
              <w:bottom w:val="nil"/>
              <w:right w:val="nil"/>
            </w:tcBorders>
            <w:shd w:val="clear" w:color="auto" w:fill="auto"/>
            <w:vAlign w:val="center"/>
            <w:hideMark/>
          </w:tcPr>
          <w:p w:rsidR="00126A48" w:rsidRPr="00126A48" w:rsidRDefault="00126A48" w:rsidP="00126A48">
            <w:pPr>
              <w:spacing w:before="0" w:after="0"/>
              <w:jc w:val="center"/>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OSS</w:t>
            </w:r>
          </w:p>
        </w:tc>
        <w:tc>
          <w:tcPr>
            <w:tcW w:w="920" w:type="dxa"/>
            <w:tcBorders>
              <w:top w:val="nil"/>
              <w:left w:val="nil"/>
              <w:bottom w:val="nil"/>
              <w:right w:val="nil"/>
            </w:tcBorders>
            <w:shd w:val="clear" w:color="auto" w:fill="auto"/>
            <w:vAlign w:val="center"/>
            <w:hideMark/>
          </w:tcPr>
          <w:p w:rsidR="00126A48" w:rsidRPr="00126A48" w:rsidRDefault="00126A48" w:rsidP="00126A48">
            <w:pPr>
              <w:spacing w:before="0" w:after="0"/>
              <w:jc w:val="center"/>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5</w:t>
            </w:r>
          </w:p>
        </w:tc>
        <w:tc>
          <w:tcPr>
            <w:tcW w:w="700" w:type="dxa"/>
            <w:tcBorders>
              <w:top w:val="nil"/>
              <w:left w:val="nil"/>
              <w:bottom w:val="nil"/>
              <w:right w:val="nil"/>
            </w:tcBorders>
            <w:shd w:val="clear" w:color="auto" w:fill="auto"/>
            <w:vAlign w:val="center"/>
            <w:hideMark/>
          </w:tcPr>
          <w:p w:rsidR="00126A48" w:rsidRPr="00126A48" w:rsidRDefault="00126A48" w:rsidP="00126A48">
            <w:pPr>
              <w:spacing w:before="0" w:after="0"/>
              <w:jc w:val="right"/>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11</w:t>
            </w:r>
          </w:p>
        </w:tc>
        <w:tc>
          <w:tcPr>
            <w:tcW w:w="820" w:type="dxa"/>
            <w:tcBorders>
              <w:top w:val="nil"/>
              <w:left w:val="nil"/>
              <w:bottom w:val="nil"/>
              <w:right w:val="nil"/>
            </w:tcBorders>
            <w:shd w:val="clear" w:color="auto" w:fill="auto"/>
            <w:vAlign w:val="center"/>
            <w:hideMark/>
          </w:tcPr>
          <w:p w:rsidR="00126A48" w:rsidRPr="00126A48" w:rsidRDefault="00126A48" w:rsidP="00126A48">
            <w:pPr>
              <w:spacing w:before="0" w:after="0"/>
              <w:jc w:val="right"/>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66 504</w:t>
            </w:r>
          </w:p>
        </w:tc>
        <w:tc>
          <w:tcPr>
            <w:tcW w:w="2440" w:type="dxa"/>
            <w:tcBorders>
              <w:top w:val="nil"/>
              <w:left w:val="nil"/>
              <w:bottom w:val="nil"/>
              <w:right w:val="nil"/>
            </w:tcBorders>
            <w:shd w:val="clear" w:color="auto" w:fill="auto"/>
            <w:vAlign w:val="center"/>
            <w:hideMark/>
          </w:tcPr>
          <w:p w:rsidR="00126A48" w:rsidRPr="00126A48" w:rsidRDefault="00126A48" w:rsidP="00126A48">
            <w:pPr>
              <w:spacing w:before="0" w:after="0"/>
              <w:jc w:val="left"/>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Biovědy; Chemie; Průmysl; Společenské vědy; Vědy o zemi; Zemědělství</w:t>
            </w:r>
          </w:p>
        </w:tc>
      </w:tr>
      <w:tr w:rsidR="00126A48" w:rsidRPr="00126A48" w:rsidTr="00126A48">
        <w:trPr>
          <w:trHeight w:val="450"/>
        </w:trPr>
        <w:tc>
          <w:tcPr>
            <w:tcW w:w="3740" w:type="dxa"/>
            <w:tcBorders>
              <w:top w:val="nil"/>
              <w:left w:val="nil"/>
              <w:bottom w:val="nil"/>
              <w:right w:val="nil"/>
            </w:tcBorders>
            <w:shd w:val="clear" w:color="000000" w:fill="DCE6F1"/>
            <w:vAlign w:val="center"/>
            <w:hideMark/>
          </w:tcPr>
          <w:p w:rsidR="00126A48" w:rsidRPr="00126A48" w:rsidRDefault="00126A48" w:rsidP="00126A48">
            <w:pPr>
              <w:spacing w:before="0" w:after="0"/>
              <w:jc w:val="left"/>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Masarykova univerzita</w:t>
            </w:r>
          </w:p>
        </w:tc>
        <w:tc>
          <w:tcPr>
            <w:tcW w:w="700" w:type="dxa"/>
            <w:tcBorders>
              <w:top w:val="nil"/>
              <w:left w:val="nil"/>
              <w:bottom w:val="nil"/>
              <w:right w:val="nil"/>
            </w:tcBorders>
            <w:shd w:val="clear" w:color="000000" w:fill="DCE6F1"/>
            <w:vAlign w:val="center"/>
            <w:hideMark/>
          </w:tcPr>
          <w:p w:rsidR="00126A48" w:rsidRPr="00126A48" w:rsidRDefault="00126A48" w:rsidP="00126A48">
            <w:pPr>
              <w:spacing w:before="0" w:after="0"/>
              <w:jc w:val="center"/>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VVS</w:t>
            </w:r>
          </w:p>
        </w:tc>
        <w:tc>
          <w:tcPr>
            <w:tcW w:w="920" w:type="dxa"/>
            <w:tcBorders>
              <w:top w:val="nil"/>
              <w:left w:val="nil"/>
              <w:bottom w:val="nil"/>
              <w:right w:val="nil"/>
            </w:tcBorders>
            <w:shd w:val="clear" w:color="000000" w:fill="DCE6F1"/>
            <w:vAlign w:val="center"/>
            <w:hideMark/>
          </w:tcPr>
          <w:p w:rsidR="00126A48" w:rsidRPr="00126A48" w:rsidRDefault="00126A48" w:rsidP="00126A48">
            <w:pPr>
              <w:spacing w:before="0" w:after="0"/>
              <w:jc w:val="center"/>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8</w:t>
            </w:r>
          </w:p>
        </w:tc>
        <w:tc>
          <w:tcPr>
            <w:tcW w:w="700" w:type="dxa"/>
            <w:tcBorders>
              <w:top w:val="nil"/>
              <w:left w:val="nil"/>
              <w:bottom w:val="nil"/>
              <w:right w:val="nil"/>
            </w:tcBorders>
            <w:shd w:val="clear" w:color="000000" w:fill="DCE6F1"/>
            <w:vAlign w:val="center"/>
            <w:hideMark/>
          </w:tcPr>
          <w:p w:rsidR="00126A48" w:rsidRPr="00126A48" w:rsidRDefault="00126A48" w:rsidP="00126A48">
            <w:pPr>
              <w:spacing w:before="0" w:after="0"/>
              <w:jc w:val="right"/>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10</w:t>
            </w:r>
          </w:p>
        </w:tc>
        <w:tc>
          <w:tcPr>
            <w:tcW w:w="820" w:type="dxa"/>
            <w:tcBorders>
              <w:top w:val="nil"/>
              <w:left w:val="nil"/>
              <w:bottom w:val="nil"/>
              <w:right w:val="nil"/>
            </w:tcBorders>
            <w:shd w:val="clear" w:color="000000" w:fill="DCE6F1"/>
            <w:vAlign w:val="center"/>
            <w:hideMark/>
          </w:tcPr>
          <w:p w:rsidR="00126A48" w:rsidRPr="00126A48" w:rsidRDefault="00126A48" w:rsidP="00126A48">
            <w:pPr>
              <w:spacing w:before="0" w:after="0"/>
              <w:jc w:val="right"/>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66 281</w:t>
            </w:r>
          </w:p>
        </w:tc>
        <w:tc>
          <w:tcPr>
            <w:tcW w:w="2440" w:type="dxa"/>
            <w:tcBorders>
              <w:top w:val="nil"/>
              <w:left w:val="nil"/>
              <w:bottom w:val="nil"/>
              <w:right w:val="nil"/>
            </w:tcBorders>
            <w:shd w:val="clear" w:color="000000" w:fill="DCE6F1"/>
            <w:vAlign w:val="center"/>
            <w:hideMark/>
          </w:tcPr>
          <w:p w:rsidR="00126A48" w:rsidRPr="00126A48" w:rsidRDefault="00126A48" w:rsidP="00126A48">
            <w:pPr>
              <w:spacing w:before="0" w:after="0"/>
              <w:jc w:val="left"/>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Biovědy; Informatika; Společenské vědy; Vědy o zemi</w:t>
            </w:r>
          </w:p>
        </w:tc>
      </w:tr>
      <w:tr w:rsidR="00126A48" w:rsidRPr="00126A48" w:rsidTr="00126A48">
        <w:trPr>
          <w:trHeight w:val="225"/>
        </w:trPr>
        <w:tc>
          <w:tcPr>
            <w:tcW w:w="3740" w:type="dxa"/>
            <w:tcBorders>
              <w:top w:val="nil"/>
              <w:left w:val="nil"/>
              <w:bottom w:val="nil"/>
              <w:right w:val="nil"/>
            </w:tcBorders>
            <w:shd w:val="clear" w:color="auto" w:fill="auto"/>
            <w:vAlign w:val="center"/>
            <w:hideMark/>
          </w:tcPr>
          <w:p w:rsidR="00126A48" w:rsidRPr="00126A48" w:rsidRDefault="00126A48" w:rsidP="00126A48">
            <w:pPr>
              <w:spacing w:before="0" w:after="0"/>
              <w:jc w:val="left"/>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Výzkumný ústav veterinárního lékařství, v.v.i.</w:t>
            </w:r>
          </w:p>
        </w:tc>
        <w:tc>
          <w:tcPr>
            <w:tcW w:w="700" w:type="dxa"/>
            <w:tcBorders>
              <w:top w:val="nil"/>
              <w:left w:val="nil"/>
              <w:bottom w:val="nil"/>
              <w:right w:val="nil"/>
            </w:tcBorders>
            <w:shd w:val="clear" w:color="auto" w:fill="auto"/>
            <w:vAlign w:val="center"/>
            <w:hideMark/>
          </w:tcPr>
          <w:p w:rsidR="00126A48" w:rsidRPr="00126A48" w:rsidRDefault="00126A48" w:rsidP="00126A48">
            <w:pPr>
              <w:spacing w:before="0" w:after="0"/>
              <w:jc w:val="center"/>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VVI</w:t>
            </w:r>
          </w:p>
        </w:tc>
        <w:tc>
          <w:tcPr>
            <w:tcW w:w="920" w:type="dxa"/>
            <w:tcBorders>
              <w:top w:val="nil"/>
              <w:left w:val="nil"/>
              <w:bottom w:val="nil"/>
              <w:right w:val="nil"/>
            </w:tcBorders>
            <w:shd w:val="clear" w:color="auto" w:fill="auto"/>
            <w:vAlign w:val="center"/>
            <w:hideMark/>
          </w:tcPr>
          <w:p w:rsidR="00126A48" w:rsidRPr="00126A48" w:rsidRDefault="00126A48" w:rsidP="00126A48">
            <w:pPr>
              <w:spacing w:before="0" w:after="0"/>
              <w:jc w:val="center"/>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2</w:t>
            </w:r>
          </w:p>
        </w:tc>
        <w:tc>
          <w:tcPr>
            <w:tcW w:w="700" w:type="dxa"/>
            <w:tcBorders>
              <w:top w:val="nil"/>
              <w:left w:val="nil"/>
              <w:bottom w:val="nil"/>
              <w:right w:val="nil"/>
            </w:tcBorders>
            <w:shd w:val="clear" w:color="auto" w:fill="auto"/>
            <w:vAlign w:val="center"/>
            <w:hideMark/>
          </w:tcPr>
          <w:p w:rsidR="00126A48" w:rsidRPr="00126A48" w:rsidRDefault="00126A48" w:rsidP="00126A48">
            <w:pPr>
              <w:spacing w:before="0" w:after="0"/>
              <w:jc w:val="right"/>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2</w:t>
            </w:r>
          </w:p>
        </w:tc>
        <w:tc>
          <w:tcPr>
            <w:tcW w:w="820" w:type="dxa"/>
            <w:tcBorders>
              <w:top w:val="nil"/>
              <w:left w:val="nil"/>
              <w:bottom w:val="nil"/>
              <w:right w:val="nil"/>
            </w:tcBorders>
            <w:shd w:val="clear" w:color="auto" w:fill="auto"/>
            <w:vAlign w:val="center"/>
            <w:hideMark/>
          </w:tcPr>
          <w:p w:rsidR="00126A48" w:rsidRPr="00126A48" w:rsidRDefault="00126A48" w:rsidP="00126A48">
            <w:pPr>
              <w:spacing w:before="0" w:after="0"/>
              <w:jc w:val="right"/>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57 609</w:t>
            </w:r>
          </w:p>
        </w:tc>
        <w:tc>
          <w:tcPr>
            <w:tcW w:w="2440" w:type="dxa"/>
            <w:tcBorders>
              <w:top w:val="nil"/>
              <w:left w:val="nil"/>
              <w:bottom w:val="nil"/>
              <w:right w:val="nil"/>
            </w:tcBorders>
            <w:shd w:val="clear" w:color="auto" w:fill="auto"/>
            <w:vAlign w:val="center"/>
            <w:hideMark/>
          </w:tcPr>
          <w:p w:rsidR="00126A48" w:rsidRPr="00126A48" w:rsidRDefault="00126A48" w:rsidP="00126A48">
            <w:pPr>
              <w:spacing w:before="0" w:after="0"/>
              <w:jc w:val="left"/>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Zemědělství</w:t>
            </w:r>
          </w:p>
        </w:tc>
      </w:tr>
      <w:tr w:rsidR="00126A48" w:rsidRPr="00126A48" w:rsidTr="00126A48">
        <w:trPr>
          <w:trHeight w:val="675"/>
        </w:trPr>
        <w:tc>
          <w:tcPr>
            <w:tcW w:w="3740" w:type="dxa"/>
            <w:tcBorders>
              <w:top w:val="nil"/>
              <w:left w:val="nil"/>
              <w:bottom w:val="nil"/>
              <w:right w:val="nil"/>
            </w:tcBorders>
            <w:shd w:val="clear" w:color="000000" w:fill="DCE6F1"/>
            <w:vAlign w:val="center"/>
            <w:hideMark/>
          </w:tcPr>
          <w:p w:rsidR="00126A48" w:rsidRPr="00126A48" w:rsidRDefault="00126A48" w:rsidP="00126A48">
            <w:pPr>
              <w:spacing w:before="0" w:after="0"/>
              <w:jc w:val="left"/>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Technická univerzita v Liberci</w:t>
            </w:r>
          </w:p>
        </w:tc>
        <w:tc>
          <w:tcPr>
            <w:tcW w:w="700" w:type="dxa"/>
            <w:tcBorders>
              <w:top w:val="nil"/>
              <w:left w:val="nil"/>
              <w:bottom w:val="nil"/>
              <w:right w:val="nil"/>
            </w:tcBorders>
            <w:shd w:val="clear" w:color="000000" w:fill="DCE6F1"/>
            <w:vAlign w:val="center"/>
            <w:hideMark/>
          </w:tcPr>
          <w:p w:rsidR="00126A48" w:rsidRPr="00126A48" w:rsidRDefault="00126A48" w:rsidP="00126A48">
            <w:pPr>
              <w:spacing w:before="0" w:after="0"/>
              <w:jc w:val="center"/>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VVS</w:t>
            </w:r>
          </w:p>
        </w:tc>
        <w:tc>
          <w:tcPr>
            <w:tcW w:w="920" w:type="dxa"/>
            <w:tcBorders>
              <w:top w:val="nil"/>
              <w:left w:val="nil"/>
              <w:bottom w:val="nil"/>
              <w:right w:val="nil"/>
            </w:tcBorders>
            <w:shd w:val="clear" w:color="000000" w:fill="DCE6F1"/>
            <w:vAlign w:val="center"/>
            <w:hideMark/>
          </w:tcPr>
          <w:p w:rsidR="00126A48" w:rsidRPr="00126A48" w:rsidRDefault="00126A48" w:rsidP="00126A48">
            <w:pPr>
              <w:spacing w:before="0" w:after="0"/>
              <w:jc w:val="center"/>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2</w:t>
            </w:r>
          </w:p>
        </w:tc>
        <w:tc>
          <w:tcPr>
            <w:tcW w:w="700" w:type="dxa"/>
            <w:tcBorders>
              <w:top w:val="nil"/>
              <w:left w:val="nil"/>
              <w:bottom w:val="nil"/>
              <w:right w:val="nil"/>
            </w:tcBorders>
            <w:shd w:val="clear" w:color="000000" w:fill="DCE6F1"/>
            <w:vAlign w:val="center"/>
            <w:hideMark/>
          </w:tcPr>
          <w:p w:rsidR="00126A48" w:rsidRPr="00126A48" w:rsidRDefault="00126A48" w:rsidP="00126A48">
            <w:pPr>
              <w:spacing w:before="0" w:after="0"/>
              <w:jc w:val="right"/>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7</w:t>
            </w:r>
          </w:p>
        </w:tc>
        <w:tc>
          <w:tcPr>
            <w:tcW w:w="820" w:type="dxa"/>
            <w:tcBorders>
              <w:top w:val="nil"/>
              <w:left w:val="nil"/>
              <w:bottom w:val="nil"/>
              <w:right w:val="nil"/>
            </w:tcBorders>
            <w:shd w:val="clear" w:color="000000" w:fill="DCE6F1"/>
            <w:vAlign w:val="center"/>
            <w:hideMark/>
          </w:tcPr>
          <w:p w:rsidR="00126A48" w:rsidRPr="00126A48" w:rsidRDefault="00126A48" w:rsidP="00126A48">
            <w:pPr>
              <w:spacing w:before="0" w:after="0"/>
              <w:jc w:val="right"/>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55 357</w:t>
            </w:r>
          </w:p>
        </w:tc>
        <w:tc>
          <w:tcPr>
            <w:tcW w:w="2440" w:type="dxa"/>
            <w:tcBorders>
              <w:top w:val="nil"/>
              <w:left w:val="nil"/>
              <w:bottom w:val="nil"/>
              <w:right w:val="nil"/>
            </w:tcBorders>
            <w:shd w:val="clear" w:color="000000" w:fill="DCE6F1"/>
            <w:vAlign w:val="center"/>
            <w:hideMark/>
          </w:tcPr>
          <w:p w:rsidR="00126A48" w:rsidRPr="00126A48" w:rsidRDefault="00126A48" w:rsidP="00126A48">
            <w:pPr>
              <w:spacing w:before="0" w:after="0"/>
              <w:jc w:val="left"/>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Chemie; Fyzika a matematika; Průmysl; Společenské vědy; Vědy o zemi</w:t>
            </w:r>
          </w:p>
        </w:tc>
      </w:tr>
      <w:tr w:rsidR="00126A48" w:rsidRPr="00126A48" w:rsidTr="00126A48">
        <w:trPr>
          <w:trHeight w:val="225"/>
        </w:trPr>
        <w:tc>
          <w:tcPr>
            <w:tcW w:w="3740" w:type="dxa"/>
            <w:tcBorders>
              <w:top w:val="nil"/>
              <w:left w:val="nil"/>
              <w:bottom w:val="nil"/>
              <w:right w:val="nil"/>
            </w:tcBorders>
            <w:shd w:val="clear" w:color="auto" w:fill="auto"/>
            <w:vAlign w:val="center"/>
            <w:hideMark/>
          </w:tcPr>
          <w:p w:rsidR="00126A48" w:rsidRPr="00126A48" w:rsidRDefault="00126A48" w:rsidP="00126A48">
            <w:pPr>
              <w:spacing w:before="0" w:after="0"/>
              <w:jc w:val="left"/>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KOUKAAM a.s.</w:t>
            </w:r>
          </w:p>
        </w:tc>
        <w:tc>
          <w:tcPr>
            <w:tcW w:w="700" w:type="dxa"/>
            <w:tcBorders>
              <w:top w:val="nil"/>
              <w:left w:val="nil"/>
              <w:bottom w:val="nil"/>
              <w:right w:val="nil"/>
            </w:tcBorders>
            <w:shd w:val="clear" w:color="auto" w:fill="auto"/>
            <w:vAlign w:val="center"/>
            <w:hideMark/>
          </w:tcPr>
          <w:p w:rsidR="00126A48" w:rsidRPr="00126A48" w:rsidRDefault="00126A48" w:rsidP="00126A48">
            <w:pPr>
              <w:spacing w:before="0" w:after="0"/>
              <w:jc w:val="center"/>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POO</w:t>
            </w:r>
          </w:p>
        </w:tc>
        <w:tc>
          <w:tcPr>
            <w:tcW w:w="920" w:type="dxa"/>
            <w:tcBorders>
              <w:top w:val="nil"/>
              <w:left w:val="nil"/>
              <w:bottom w:val="nil"/>
              <w:right w:val="nil"/>
            </w:tcBorders>
            <w:shd w:val="clear" w:color="auto" w:fill="auto"/>
            <w:vAlign w:val="center"/>
            <w:hideMark/>
          </w:tcPr>
          <w:p w:rsidR="00126A48" w:rsidRPr="00126A48" w:rsidRDefault="00126A48" w:rsidP="00126A48">
            <w:pPr>
              <w:spacing w:before="0" w:after="0"/>
              <w:jc w:val="center"/>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1</w:t>
            </w:r>
          </w:p>
        </w:tc>
        <w:tc>
          <w:tcPr>
            <w:tcW w:w="700" w:type="dxa"/>
            <w:tcBorders>
              <w:top w:val="nil"/>
              <w:left w:val="nil"/>
              <w:bottom w:val="nil"/>
              <w:right w:val="nil"/>
            </w:tcBorders>
            <w:shd w:val="clear" w:color="auto" w:fill="auto"/>
            <w:vAlign w:val="center"/>
            <w:hideMark/>
          </w:tcPr>
          <w:p w:rsidR="00126A48" w:rsidRPr="00126A48" w:rsidRDefault="00126A48" w:rsidP="00126A48">
            <w:pPr>
              <w:spacing w:before="0" w:after="0"/>
              <w:jc w:val="right"/>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1</w:t>
            </w:r>
          </w:p>
        </w:tc>
        <w:tc>
          <w:tcPr>
            <w:tcW w:w="820" w:type="dxa"/>
            <w:tcBorders>
              <w:top w:val="nil"/>
              <w:left w:val="nil"/>
              <w:bottom w:val="nil"/>
              <w:right w:val="nil"/>
            </w:tcBorders>
            <w:shd w:val="clear" w:color="auto" w:fill="auto"/>
            <w:vAlign w:val="center"/>
            <w:hideMark/>
          </w:tcPr>
          <w:p w:rsidR="00126A48" w:rsidRPr="00126A48" w:rsidRDefault="00126A48" w:rsidP="00126A48">
            <w:pPr>
              <w:spacing w:before="0" w:after="0"/>
              <w:jc w:val="right"/>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51 533</w:t>
            </w:r>
          </w:p>
        </w:tc>
        <w:tc>
          <w:tcPr>
            <w:tcW w:w="2440" w:type="dxa"/>
            <w:tcBorders>
              <w:top w:val="nil"/>
              <w:left w:val="nil"/>
              <w:bottom w:val="nil"/>
              <w:right w:val="nil"/>
            </w:tcBorders>
            <w:shd w:val="clear" w:color="auto" w:fill="auto"/>
            <w:vAlign w:val="center"/>
            <w:hideMark/>
          </w:tcPr>
          <w:p w:rsidR="00126A48" w:rsidRPr="00126A48" w:rsidRDefault="00126A48" w:rsidP="00126A48">
            <w:pPr>
              <w:spacing w:before="0" w:after="0"/>
              <w:jc w:val="left"/>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Informatika</w:t>
            </w:r>
          </w:p>
        </w:tc>
      </w:tr>
      <w:tr w:rsidR="00126A48" w:rsidRPr="00126A48" w:rsidTr="00126A48">
        <w:trPr>
          <w:trHeight w:val="675"/>
        </w:trPr>
        <w:tc>
          <w:tcPr>
            <w:tcW w:w="3740" w:type="dxa"/>
            <w:tcBorders>
              <w:top w:val="nil"/>
              <w:left w:val="nil"/>
              <w:bottom w:val="nil"/>
              <w:right w:val="nil"/>
            </w:tcBorders>
            <w:shd w:val="clear" w:color="000000" w:fill="DCE6F1"/>
            <w:vAlign w:val="center"/>
            <w:hideMark/>
          </w:tcPr>
          <w:p w:rsidR="00126A48" w:rsidRPr="00126A48" w:rsidRDefault="00126A48" w:rsidP="00126A48">
            <w:pPr>
              <w:spacing w:before="0" w:after="0"/>
              <w:jc w:val="left"/>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Česká zemědělská univerzita v Praze</w:t>
            </w:r>
          </w:p>
        </w:tc>
        <w:tc>
          <w:tcPr>
            <w:tcW w:w="700" w:type="dxa"/>
            <w:tcBorders>
              <w:top w:val="nil"/>
              <w:left w:val="nil"/>
              <w:bottom w:val="nil"/>
              <w:right w:val="nil"/>
            </w:tcBorders>
            <w:shd w:val="clear" w:color="000000" w:fill="DCE6F1"/>
            <w:vAlign w:val="center"/>
            <w:hideMark/>
          </w:tcPr>
          <w:p w:rsidR="00126A48" w:rsidRPr="00126A48" w:rsidRDefault="00126A48" w:rsidP="00126A48">
            <w:pPr>
              <w:spacing w:before="0" w:after="0"/>
              <w:jc w:val="center"/>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VVS</w:t>
            </w:r>
          </w:p>
        </w:tc>
        <w:tc>
          <w:tcPr>
            <w:tcW w:w="920" w:type="dxa"/>
            <w:tcBorders>
              <w:top w:val="nil"/>
              <w:left w:val="nil"/>
              <w:bottom w:val="nil"/>
              <w:right w:val="nil"/>
            </w:tcBorders>
            <w:shd w:val="clear" w:color="000000" w:fill="DCE6F1"/>
            <w:vAlign w:val="center"/>
            <w:hideMark/>
          </w:tcPr>
          <w:p w:rsidR="00126A48" w:rsidRPr="00126A48" w:rsidRDefault="00126A48" w:rsidP="00126A48">
            <w:pPr>
              <w:spacing w:before="0" w:after="0"/>
              <w:jc w:val="center"/>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7</w:t>
            </w:r>
          </w:p>
        </w:tc>
        <w:tc>
          <w:tcPr>
            <w:tcW w:w="700" w:type="dxa"/>
            <w:tcBorders>
              <w:top w:val="nil"/>
              <w:left w:val="nil"/>
              <w:bottom w:val="nil"/>
              <w:right w:val="nil"/>
            </w:tcBorders>
            <w:shd w:val="clear" w:color="000000" w:fill="DCE6F1"/>
            <w:vAlign w:val="center"/>
            <w:hideMark/>
          </w:tcPr>
          <w:p w:rsidR="00126A48" w:rsidRPr="00126A48" w:rsidRDefault="00126A48" w:rsidP="00126A48">
            <w:pPr>
              <w:spacing w:before="0" w:after="0"/>
              <w:jc w:val="right"/>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11</w:t>
            </w:r>
          </w:p>
        </w:tc>
        <w:tc>
          <w:tcPr>
            <w:tcW w:w="820" w:type="dxa"/>
            <w:tcBorders>
              <w:top w:val="nil"/>
              <w:left w:val="nil"/>
              <w:bottom w:val="nil"/>
              <w:right w:val="nil"/>
            </w:tcBorders>
            <w:shd w:val="clear" w:color="000000" w:fill="DCE6F1"/>
            <w:vAlign w:val="center"/>
            <w:hideMark/>
          </w:tcPr>
          <w:p w:rsidR="00126A48" w:rsidRPr="00126A48" w:rsidRDefault="00126A48" w:rsidP="00126A48">
            <w:pPr>
              <w:spacing w:before="0" w:after="0"/>
              <w:jc w:val="right"/>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50 585</w:t>
            </w:r>
          </w:p>
        </w:tc>
        <w:tc>
          <w:tcPr>
            <w:tcW w:w="2440" w:type="dxa"/>
            <w:tcBorders>
              <w:top w:val="nil"/>
              <w:left w:val="nil"/>
              <w:bottom w:val="nil"/>
              <w:right w:val="nil"/>
            </w:tcBorders>
            <w:shd w:val="clear" w:color="000000" w:fill="DCE6F1"/>
            <w:vAlign w:val="center"/>
            <w:hideMark/>
          </w:tcPr>
          <w:p w:rsidR="00126A48" w:rsidRPr="00126A48" w:rsidRDefault="00126A48" w:rsidP="00126A48">
            <w:pPr>
              <w:spacing w:before="0" w:after="0"/>
              <w:jc w:val="left"/>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Biovědy; Chemie; Informatika; Průmysl; Společenské vědy; Vědy o zemi</w:t>
            </w:r>
          </w:p>
        </w:tc>
      </w:tr>
      <w:tr w:rsidR="00126A48" w:rsidRPr="00126A48" w:rsidTr="00126A48">
        <w:trPr>
          <w:trHeight w:val="225"/>
        </w:trPr>
        <w:tc>
          <w:tcPr>
            <w:tcW w:w="3740" w:type="dxa"/>
            <w:tcBorders>
              <w:top w:val="nil"/>
              <w:left w:val="nil"/>
              <w:bottom w:val="nil"/>
              <w:right w:val="nil"/>
            </w:tcBorders>
            <w:shd w:val="clear" w:color="auto" w:fill="auto"/>
            <w:vAlign w:val="center"/>
            <w:hideMark/>
          </w:tcPr>
          <w:p w:rsidR="00126A48" w:rsidRPr="00126A48" w:rsidRDefault="00126A48" w:rsidP="00126A48">
            <w:pPr>
              <w:spacing w:before="0" w:after="0"/>
              <w:jc w:val="left"/>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Centrum pro bezpečný stát o.s.</w:t>
            </w:r>
          </w:p>
        </w:tc>
        <w:tc>
          <w:tcPr>
            <w:tcW w:w="700" w:type="dxa"/>
            <w:tcBorders>
              <w:top w:val="nil"/>
              <w:left w:val="nil"/>
              <w:bottom w:val="nil"/>
              <w:right w:val="nil"/>
            </w:tcBorders>
            <w:shd w:val="clear" w:color="auto" w:fill="auto"/>
            <w:vAlign w:val="center"/>
            <w:hideMark/>
          </w:tcPr>
          <w:p w:rsidR="00126A48" w:rsidRPr="00126A48" w:rsidRDefault="00126A48" w:rsidP="00126A48">
            <w:pPr>
              <w:spacing w:before="0" w:after="0"/>
              <w:jc w:val="center"/>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PON</w:t>
            </w:r>
          </w:p>
        </w:tc>
        <w:tc>
          <w:tcPr>
            <w:tcW w:w="920" w:type="dxa"/>
            <w:tcBorders>
              <w:top w:val="nil"/>
              <w:left w:val="nil"/>
              <w:bottom w:val="nil"/>
              <w:right w:val="nil"/>
            </w:tcBorders>
            <w:shd w:val="clear" w:color="auto" w:fill="auto"/>
            <w:vAlign w:val="center"/>
            <w:hideMark/>
          </w:tcPr>
          <w:p w:rsidR="00126A48" w:rsidRPr="00126A48" w:rsidRDefault="00126A48" w:rsidP="00126A48">
            <w:pPr>
              <w:spacing w:before="0" w:after="0"/>
              <w:jc w:val="center"/>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2</w:t>
            </w:r>
          </w:p>
        </w:tc>
        <w:tc>
          <w:tcPr>
            <w:tcW w:w="700" w:type="dxa"/>
            <w:tcBorders>
              <w:top w:val="nil"/>
              <w:left w:val="nil"/>
              <w:bottom w:val="nil"/>
              <w:right w:val="nil"/>
            </w:tcBorders>
            <w:shd w:val="clear" w:color="auto" w:fill="auto"/>
            <w:vAlign w:val="center"/>
            <w:hideMark/>
          </w:tcPr>
          <w:p w:rsidR="00126A48" w:rsidRPr="00126A48" w:rsidRDefault="00126A48" w:rsidP="00126A48">
            <w:pPr>
              <w:spacing w:before="0" w:after="0"/>
              <w:jc w:val="right"/>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4</w:t>
            </w:r>
          </w:p>
        </w:tc>
        <w:tc>
          <w:tcPr>
            <w:tcW w:w="820" w:type="dxa"/>
            <w:tcBorders>
              <w:top w:val="nil"/>
              <w:left w:val="nil"/>
              <w:bottom w:val="nil"/>
              <w:right w:val="nil"/>
            </w:tcBorders>
            <w:shd w:val="clear" w:color="auto" w:fill="auto"/>
            <w:vAlign w:val="center"/>
            <w:hideMark/>
          </w:tcPr>
          <w:p w:rsidR="00126A48" w:rsidRPr="00126A48" w:rsidRDefault="00126A48" w:rsidP="00126A48">
            <w:pPr>
              <w:spacing w:before="0" w:after="0"/>
              <w:jc w:val="right"/>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47 898</w:t>
            </w:r>
          </w:p>
        </w:tc>
        <w:tc>
          <w:tcPr>
            <w:tcW w:w="2440" w:type="dxa"/>
            <w:tcBorders>
              <w:top w:val="nil"/>
              <w:left w:val="nil"/>
              <w:bottom w:val="nil"/>
              <w:right w:val="nil"/>
            </w:tcBorders>
            <w:shd w:val="clear" w:color="auto" w:fill="auto"/>
            <w:vAlign w:val="center"/>
            <w:hideMark/>
          </w:tcPr>
          <w:p w:rsidR="00126A48" w:rsidRPr="00126A48" w:rsidRDefault="00126A48" w:rsidP="00126A48">
            <w:pPr>
              <w:spacing w:before="0" w:after="0"/>
              <w:jc w:val="left"/>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Průmysl; Vojenství</w:t>
            </w:r>
          </w:p>
        </w:tc>
      </w:tr>
      <w:tr w:rsidR="00126A48" w:rsidRPr="00126A48" w:rsidTr="00126A48">
        <w:trPr>
          <w:trHeight w:val="225"/>
        </w:trPr>
        <w:tc>
          <w:tcPr>
            <w:tcW w:w="3740" w:type="dxa"/>
            <w:tcBorders>
              <w:top w:val="nil"/>
              <w:left w:val="nil"/>
              <w:bottom w:val="nil"/>
              <w:right w:val="nil"/>
            </w:tcBorders>
            <w:shd w:val="clear" w:color="000000" w:fill="DCE6F1"/>
            <w:vAlign w:val="center"/>
            <w:hideMark/>
          </w:tcPr>
          <w:p w:rsidR="00126A48" w:rsidRPr="00126A48" w:rsidRDefault="00126A48" w:rsidP="00126A48">
            <w:pPr>
              <w:spacing w:before="0" w:after="0"/>
              <w:jc w:val="left"/>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Univerzita Pardubice</w:t>
            </w:r>
          </w:p>
        </w:tc>
        <w:tc>
          <w:tcPr>
            <w:tcW w:w="700" w:type="dxa"/>
            <w:tcBorders>
              <w:top w:val="nil"/>
              <w:left w:val="nil"/>
              <w:bottom w:val="nil"/>
              <w:right w:val="nil"/>
            </w:tcBorders>
            <w:shd w:val="clear" w:color="000000" w:fill="DCE6F1"/>
            <w:vAlign w:val="center"/>
            <w:hideMark/>
          </w:tcPr>
          <w:p w:rsidR="00126A48" w:rsidRPr="00126A48" w:rsidRDefault="00126A48" w:rsidP="00126A48">
            <w:pPr>
              <w:spacing w:before="0" w:after="0"/>
              <w:jc w:val="center"/>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VVS</w:t>
            </w:r>
          </w:p>
        </w:tc>
        <w:tc>
          <w:tcPr>
            <w:tcW w:w="920" w:type="dxa"/>
            <w:tcBorders>
              <w:top w:val="nil"/>
              <w:left w:val="nil"/>
              <w:bottom w:val="nil"/>
              <w:right w:val="nil"/>
            </w:tcBorders>
            <w:shd w:val="clear" w:color="000000" w:fill="DCE6F1"/>
            <w:vAlign w:val="center"/>
            <w:hideMark/>
          </w:tcPr>
          <w:p w:rsidR="00126A48" w:rsidRPr="00126A48" w:rsidRDefault="00126A48" w:rsidP="00126A48">
            <w:pPr>
              <w:spacing w:before="0" w:after="0"/>
              <w:jc w:val="center"/>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2</w:t>
            </w:r>
          </w:p>
        </w:tc>
        <w:tc>
          <w:tcPr>
            <w:tcW w:w="700" w:type="dxa"/>
            <w:tcBorders>
              <w:top w:val="nil"/>
              <w:left w:val="nil"/>
              <w:bottom w:val="nil"/>
              <w:right w:val="nil"/>
            </w:tcBorders>
            <w:shd w:val="clear" w:color="000000" w:fill="DCE6F1"/>
            <w:vAlign w:val="center"/>
            <w:hideMark/>
          </w:tcPr>
          <w:p w:rsidR="00126A48" w:rsidRPr="00126A48" w:rsidRDefault="00126A48" w:rsidP="00126A48">
            <w:pPr>
              <w:spacing w:before="0" w:after="0"/>
              <w:jc w:val="right"/>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3</w:t>
            </w:r>
          </w:p>
        </w:tc>
        <w:tc>
          <w:tcPr>
            <w:tcW w:w="820" w:type="dxa"/>
            <w:tcBorders>
              <w:top w:val="nil"/>
              <w:left w:val="nil"/>
              <w:bottom w:val="nil"/>
              <w:right w:val="nil"/>
            </w:tcBorders>
            <w:shd w:val="clear" w:color="000000" w:fill="DCE6F1"/>
            <w:vAlign w:val="center"/>
            <w:hideMark/>
          </w:tcPr>
          <w:p w:rsidR="00126A48" w:rsidRPr="00126A48" w:rsidRDefault="00126A48" w:rsidP="00126A48">
            <w:pPr>
              <w:spacing w:before="0" w:after="0"/>
              <w:jc w:val="right"/>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39 820</w:t>
            </w:r>
          </w:p>
        </w:tc>
        <w:tc>
          <w:tcPr>
            <w:tcW w:w="2440" w:type="dxa"/>
            <w:tcBorders>
              <w:top w:val="nil"/>
              <w:left w:val="nil"/>
              <w:bottom w:val="nil"/>
              <w:right w:val="nil"/>
            </w:tcBorders>
            <w:shd w:val="clear" w:color="000000" w:fill="DCE6F1"/>
            <w:vAlign w:val="center"/>
            <w:hideMark/>
          </w:tcPr>
          <w:p w:rsidR="00126A48" w:rsidRPr="00126A48" w:rsidRDefault="00126A48" w:rsidP="00126A48">
            <w:pPr>
              <w:spacing w:before="0" w:after="0"/>
              <w:jc w:val="left"/>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Chemie; Průmysl; Vojenství</w:t>
            </w:r>
          </w:p>
        </w:tc>
      </w:tr>
      <w:tr w:rsidR="00126A48" w:rsidRPr="00126A48" w:rsidTr="00126A48">
        <w:trPr>
          <w:trHeight w:val="225"/>
        </w:trPr>
        <w:tc>
          <w:tcPr>
            <w:tcW w:w="3740" w:type="dxa"/>
            <w:tcBorders>
              <w:top w:val="nil"/>
              <w:left w:val="nil"/>
              <w:bottom w:val="nil"/>
              <w:right w:val="nil"/>
            </w:tcBorders>
            <w:shd w:val="clear" w:color="auto" w:fill="auto"/>
            <w:vAlign w:val="center"/>
            <w:hideMark/>
          </w:tcPr>
          <w:p w:rsidR="00126A48" w:rsidRPr="00126A48" w:rsidRDefault="00126A48" w:rsidP="00126A48">
            <w:pPr>
              <w:spacing w:before="0" w:after="0"/>
              <w:jc w:val="left"/>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Clean - air s.r.o.</w:t>
            </w:r>
          </w:p>
        </w:tc>
        <w:tc>
          <w:tcPr>
            <w:tcW w:w="700" w:type="dxa"/>
            <w:tcBorders>
              <w:top w:val="nil"/>
              <w:left w:val="nil"/>
              <w:bottom w:val="nil"/>
              <w:right w:val="nil"/>
            </w:tcBorders>
            <w:shd w:val="clear" w:color="auto" w:fill="auto"/>
            <w:vAlign w:val="center"/>
            <w:hideMark/>
          </w:tcPr>
          <w:p w:rsidR="00126A48" w:rsidRPr="00126A48" w:rsidRDefault="00126A48" w:rsidP="00126A48">
            <w:pPr>
              <w:spacing w:before="0" w:after="0"/>
              <w:jc w:val="center"/>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POO</w:t>
            </w:r>
          </w:p>
        </w:tc>
        <w:tc>
          <w:tcPr>
            <w:tcW w:w="920" w:type="dxa"/>
            <w:tcBorders>
              <w:top w:val="nil"/>
              <w:left w:val="nil"/>
              <w:bottom w:val="nil"/>
              <w:right w:val="nil"/>
            </w:tcBorders>
            <w:shd w:val="clear" w:color="auto" w:fill="auto"/>
            <w:vAlign w:val="center"/>
            <w:hideMark/>
          </w:tcPr>
          <w:p w:rsidR="00126A48" w:rsidRPr="00126A48" w:rsidRDefault="00126A48" w:rsidP="00126A48">
            <w:pPr>
              <w:spacing w:before="0" w:after="0"/>
              <w:jc w:val="center"/>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0</w:t>
            </w:r>
          </w:p>
        </w:tc>
        <w:tc>
          <w:tcPr>
            <w:tcW w:w="700" w:type="dxa"/>
            <w:tcBorders>
              <w:top w:val="nil"/>
              <w:left w:val="nil"/>
              <w:bottom w:val="nil"/>
              <w:right w:val="nil"/>
            </w:tcBorders>
            <w:shd w:val="clear" w:color="auto" w:fill="auto"/>
            <w:vAlign w:val="center"/>
            <w:hideMark/>
          </w:tcPr>
          <w:p w:rsidR="00126A48" w:rsidRPr="00126A48" w:rsidRDefault="00126A48" w:rsidP="00126A48">
            <w:pPr>
              <w:spacing w:before="0" w:after="0"/>
              <w:jc w:val="right"/>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2</w:t>
            </w:r>
          </w:p>
        </w:tc>
        <w:tc>
          <w:tcPr>
            <w:tcW w:w="820" w:type="dxa"/>
            <w:tcBorders>
              <w:top w:val="nil"/>
              <w:left w:val="nil"/>
              <w:bottom w:val="nil"/>
              <w:right w:val="nil"/>
            </w:tcBorders>
            <w:shd w:val="clear" w:color="auto" w:fill="auto"/>
            <w:vAlign w:val="center"/>
            <w:hideMark/>
          </w:tcPr>
          <w:p w:rsidR="00126A48" w:rsidRPr="00126A48" w:rsidRDefault="00126A48" w:rsidP="00126A48">
            <w:pPr>
              <w:spacing w:before="0" w:after="0"/>
              <w:jc w:val="right"/>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39 800</w:t>
            </w:r>
          </w:p>
        </w:tc>
        <w:tc>
          <w:tcPr>
            <w:tcW w:w="2440" w:type="dxa"/>
            <w:tcBorders>
              <w:top w:val="nil"/>
              <w:left w:val="nil"/>
              <w:bottom w:val="nil"/>
              <w:right w:val="nil"/>
            </w:tcBorders>
            <w:shd w:val="clear" w:color="auto" w:fill="auto"/>
            <w:vAlign w:val="center"/>
            <w:hideMark/>
          </w:tcPr>
          <w:p w:rsidR="00126A48" w:rsidRPr="00126A48" w:rsidRDefault="00126A48" w:rsidP="00126A48">
            <w:pPr>
              <w:spacing w:before="0" w:after="0"/>
              <w:jc w:val="left"/>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Vojenství</w:t>
            </w:r>
          </w:p>
        </w:tc>
      </w:tr>
      <w:tr w:rsidR="00126A48" w:rsidRPr="00126A48" w:rsidTr="00126A48">
        <w:trPr>
          <w:trHeight w:val="450"/>
        </w:trPr>
        <w:tc>
          <w:tcPr>
            <w:tcW w:w="3740" w:type="dxa"/>
            <w:tcBorders>
              <w:top w:val="nil"/>
              <w:left w:val="nil"/>
              <w:bottom w:val="single" w:sz="4" w:space="0" w:color="auto"/>
              <w:right w:val="nil"/>
            </w:tcBorders>
            <w:shd w:val="clear" w:color="000000" w:fill="DCE6F1"/>
            <w:vAlign w:val="center"/>
            <w:hideMark/>
          </w:tcPr>
          <w:p w:rsidR="00126A48" w:rsidRPr="00126A48" w:rsidRDefault="00126A48" w:rsidP="00126A48">
            <w:pPr>
              <w:spacing w:before="0" w:after="0"/>
              <w:jc w:val="left"/>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KPM CONSULT, a.s.</w:t>
            </w:r>
          </w:p>
        </w:tc>
        <w:tc>
          <w:tcPr>
            <w:tcW w:w="700" w:type="dxa"/>
            <w:tcBorders>
              <w:top w:val="nil"/>
              <w:left w:val="nil"/>
              <w:bottom w:val="single" w:sz="4" w:space="0" w:color="auto"/>
              <w:right w:val="nil"/>
            </w:tcBorders>
            <w:shd w:val="clear" w:color="000000" w:fill="DCE6F1"/>
            <w:vAlign w:val="center"/>
            <w:hideMark/>
          </w:tcPr>
          <w:p w:rsidR="00126A48" w:rsidRPr="00126A48" w:rsidRDefault="00126A48" w:rsidP="00126A48">
            <w:pPr>
              <w:spacing w:before="0" w:after="0"/>
              <w:jc w:val="center"/>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POO</w:t>
            </w:r>
          </w:p>
        </w:tc>
        <w:tc>
          <w:tcPr>
            <w:tcW w:w="920" w:type="dxa"/>
            <w:tcBorders>
              <w:top w:val="nil"/>
              <w:left w:val="nil"/>
              <w:bottom w:val="single" w:sz="4" w:space="0" w:color="auto"/>
              <w:right w:val="nil"/>
            </w:tcBorders>
            <w:shd w:val="clear" w:color="000000" w:fill="DCE6F1"/>
            <w:vAlign w:val="center"/>
            <w:hideMark/>
          </w:tcPr>
          <w:p w:rsidR="00126A48" w:rsidRPr="00126A48" w:rsidRDefault="00126A48" w:rsidP="00126A48">
            <w:pPr>
              <w:spacing w:before="0" w:after="0"/>
              <w:jc w:val="center"/>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3</w:t>
            </w:r>
          </w:p>
        </w:tc>
        <w:tc>
          <w:tcPr>
            <w:tcW w:w="700" w:type="dxa"/>
            <w:tcBorders>
              <w:top w:val="nil"/>
              <w:left w:val="nil"/>
              <w:bottom w:val="single" w:sz="4" w:space="0" w:color="auto"/>
              <w:right w:val="nil"/>
            </w:tcBorders>
            <w:shd w:val="clear" w:color="000000" w:fill="DCE6F1"/>
            <w:vAlign w:val="center"/>
            <w:hideMark/>
          </w:tcPr>
          <w:p w:rsidR="00126A48" w:rsidRPr="00126A48" w:rsidRDefault="00126A48" w:rsidP="00126A48">
            <w:pPr>
              <w:spacing w:before="0" w:after="0"/>
              <w:jc w:val="right"/>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4</w:t>
            </w:r>
          </w:p>
        </w:tc>
        <w:tc>
          <w:tcPr>
            <w:tcW w:w="820" w:type="dxa"/>
            <w:tcBorders>
              <w:top w:val="nil"/>
              <w:left w:val="nil"/>
              <w:bottom w:val="single" w:sz="4" w:space="0" w:color="auto"/>
              <w:right w:val="nil"/>
            </w:tcBorders>
            <w:shd w:val="clear" w:color="000000" w:fill="DCE6F1"/>
            <w:vAlign w:val="center"/>
            <w:hideMark/>
          </w:tcPr>
          <w:p w:rsidR="00126A48" w:rsidRPr="00126A48" w:rsidRDefault="00126A48" w:rsidP="00126A48">
            <w:pPr>
              <w:spacing w:before="0" w:after="0"/>
              <w:jc w:val="right"/>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39 715</w:t>
            </w:r>
          </w:p>
        </w:tc>
        <w:tc>
          <w:tcPr>
            <w:tcW w:w="2440" w:type="dxa"/>
            <w:tcBorders>
              <w:top w:val="nil"/>
              <w:left w:val="nil"/>
              <w:bottom w:val="single" w:sz="4" w:space="0" w:color="auto"/>
              <w:right w:val="nil"/>
            </w:tcBorders>
            <w:shd w:val="clear" w:color="000000" w:fill="DCE6F1"/>
            <w:vAlign w:val="center"/>
            <w:hideMark/>
          </w:tcPr>
          <w:p w:rsidR="00126A48" w:rsidRPr="00126A48" w:rsidRDefault="00126A48" w:rsidP="00126A48">
            <w:pPr>
              <w:spacing w:before="0" w:after="0"/>
              <w:jc w:val="left"/>
              <w:rPr>
                <w:rFonts w:ascii="Calibri" w:eastAsia="Times New Roman" w:hAnsi="Calibri" w:cs="Times New Roman"/>
                <w:color w:val="000000"/>
                <w:sz w:val="16"/>
                <w:szCs w:val="16"/>
                <w:lang w:eastAsia="cs-CZ"/>
              </w:rPr>
            </w:pPr>
            <w:r w:rsidRPr="00126A48">
              <w:rPr>
                <w:rFonts w:ascii="Calibri" w:eastAsia="Times New Roman" w:hAnsi="Calibri" w:cs="Times New Roman"/>
                <w:color w:val="000000"/>
                <w:sz w:val="16"/>
                <w:szCs w:val="16"/>
                <w:lang w:eastAsia="cs-CZ"/>
              </w:rPr>
              <w:t>Informatika; Průmysl; Společenské vědy</w:t>
            </w:r>
          </w:p>
        </w:tc>
      </w:tr>
    </w:tbl>
    <w:p w:rsidR="00126A48" w:rsidRDefault="00126A48" w:rsidP="00126A48"/>
    <w:p w:rsidR="00E11797" w:rsidRDefault="00E11797" w:rsidP="00412CBC">
      <w:pPr>
        <w:pStyle w:val="Nadpis4"/>
      </w:pPr>
      <w:bookmarkStart w:id="41" w:name="_Ref450295893"/>
      <w:bookmarkStart w:id="42" w:name="_Ref451239755"/>
      <w:bookmarkStart w:id="43" w:name="_Ref451518104"/>
      <w:bookmarkStart w:id="44" w:name="_Toc459723271"/>
      <w:r>
        <w:t xml:space="preserve">Veřejná podpora získaná organizačními jednotkami </w:t>
      </w:r>
      <w:bookmarkEnd w:id="41"/>
      <w:r w:rsidR="003058F0">
        <w:t>a institucemi v rozpočtové kapitole MV</w:t>
      </w:r>
      <w:bookmarkEnd w:id="42"/>
      <w:bookmarkEnd w:id="43"/>
      <w:bookmarkEnd w:id="44"/>
    </w:p>
    <w:p w:rsidR="003A5EDB" w:rsidRDefault="0039484C" w:rsidP="00E11797">
      <w:r>
        <w:t xml:space="preserve">Celková výše </w:t>
      </w:r>
      <w:r w:rsidR="009132EB">
        <w:t xml:space="preserve">institucionální </w:t>
      </w:r>
      <w:r>
        <w:t>podpory</w:t>
      </w:r>
      <w:r w:rsidRPr="0039484C">
        <w:t xml:space="preserve"> na rozvo</w:t>
      </w:r>
      <w:r>
        <w:t>j VO a účelové podpory</w:t>
      </w:r>
      <w:r w:rsidR="009132EB">
        <w:t xml:space="preserve"> </w:t>
      </w:r>
      <w:r>
        <w:t xml:space="preserve">z programů BV v gesci MV, kterou získaly </w:t>
      </w:r>
      <w:r w:rsidR="009132EB">
        <w:t>instituce</w:t>
      </w:r>
      <w:r>
        <w:t xml:space="preserve"> v</w:t>
      </w:r>
      <w:r w:rsidR="009132EB">
        <w:t> rozpočtové kapitol</w:t>
      </w:r>
      <w:r>
        <w:t>e</w:t>
      </w:r>
      <w:r w:rsidR="009132EB">
        <w:t xml:space="preserve"> MV v letech 2010 až 2015, je uveden</w:t>
      </w:r>
      <w:r>
        <w:t>a</w:t>
      </w:r>
      <w:r w:rsidR="009132EB">
        <w:t xml:space="preserve"> v</w:t>
      </w:r>
      <w:r w:rsidR="003A5EDB">
        <w:t xml:space="preserve"> </w:t>
      </w:r>
      <w:r w:rsidR="003A5EDB">
        <w:fldChar w:fldCharType="begin"/>
      </w:r>
      <w:r w:rsidR="003A5EDB">
        <w:instrText xml:space="preserve"> REF  _Ref450226859 \* Lower \h  \* MERGEFORMAT </w:instrText>
      </w:r>
      <w:r w:rsidR="003A5EDB">
        <w:fldChar w:fldCharType="separate"/>
      </w:r>
      <w:r w:rsidR="003F08E5">
        <w:t xml:space="preserve">tab. </w:t>
      </w:r>
      <w:r w:rsidR="003F08E5">
        <w:rPr>
          <w:noProof/>
        </w:rPr>
        <w:t>9</w:t>
      </w:r>
      <w:r w:rsidR="003A5EDB">
        <w:fldChar w:fldCharType="end"/>
      </w:r>
      <w:r w:rsidR="009132EB">
        <w:t>.</w:t>
      </w:r>
      <w:r w:rsidR="003A5EDB">
        <w:t xml:space="preserve"> Jak je patrné z této tabulky, </w:t>
      </w:r>
      <w:r w:rsidR="007F18CF">
        <w:t xml:space="preserve">tyto </w:t>
      </w:r>
      <w:r w:rsidR="003A5EDB">
        <w:t>instituce v </w:t>
      </w:r>
      <w:r w:rsidR="007F18CF">
        <w:t>uvedeném</w:t>
      </w:r>
      <w:r w:rsidR="003A5EDB">
        <w:t xml:space="preserve"> období obdržely z rozpočtové </w:t>
      </w:r>
      <w:r w:rsidR="007F18CF">
        <w:t xml:space="preserve">kapitoly </w:t>
      </w:r>
      <w:r w:rsidR="003A5EDB">
        <w:t>MV veřejnou podporu VaV v celkové výši</w:t>
      </w:r>
      <w:r w:rsidR="007F18CF">
        <w:t xml:space="preserve"> </w:t>
      </w:r>
      <w:r w:rsidR="003A5EDB">
        <w:t xml:space="preserve">770 mil. Kč. </w:t>
      </w:r>
      <w:r w:rsidR="007F18CF">
        <w:t>Institucionální podpora činila přibližně 39 % (cca 299 mil. Kč)</w:t>
      </w:r>
      <w:r w:rsidR="00A968D8">
        <w:t xml:space="preserve"> a</w:t>
      </w:r>
      <w:r w:rsidR="007F18CF">
        <w:t xml:space="preserve"> účelová podpora z programů BV zhruba 61 % (cca 471 mil. Kč).</w:t>
      </w:r>
    </w:p>
    <w:p w:rsidR="009132EB" w:rsidRDefault="003A5EDB" w:rsidP="00E11797">
      <w:r w:rsidRPr="003A5EDB">
        <w:t>Největší institucionální podporu na rozvoj VO v uvedeném období získal</w:t>
      </w:r>
      <w:r>
        <w:t>y</w:t>
      </w:r>
      <w:r w:rsidRPr="003A5EDB">
        <w:t xml:space="preserve"> Institut </w:t>
      </w:r>
      <w:r>
        <w:t xml:space="preserve">ochrany obyvatel Lázně Bohdaneč </w:t>
      </w:r>
      <w:r w:rsidR="00BE1F9E">
        <w:t xml:space="preserve">(IOOLB) </w:t>
      </w:r>
      <w:r>
        <w:t xml:space="preserve">a SÚRO. </w:t>
      </w:r>
      <w:r w:rsidR="009132EB">
        <w:t>Nejvýznamnějším</w:t>
      </w:r>
      <w:r w:rsidR="00C70F93">
        <w:t>i</w:t>
      </w:r>
      <w:r w:rsidR="009132EB">
        <w:t xml:space="preserve"> příjemci účelové podpory byl</w:t>
      </w:r>
      <w:r w:rsidR="00C70F93">
        <w:t>y</w:t>
      </w:r>
      <w:r w:rsidR="009132EB">
        <w:t xml:space="preserve"> SÚ</w:t>
      </w:r>
      <w:r w:rsidR="00BE1F9E">
        <w:t>J</w:t>
      </w:r>
      <w:r w:rsidR="009132EB">
        <w:t>CHB</w:t>
      </w:r>
      <w:r w:rsidR="00BE1F9E">
        <w:t>O</w:t>
      </w:r>
      <w:r w:rsidR="009132EB">
        <w:t xml:space="preserve">, SÚRO a KÚP, ostatní instituce se na řešení projektů v programech BV podílely výrazně méně. Zcela minoritní roli má v těchto programech Policejní akademie ČR, která získala účelovou podporu </w:t>
      </w:r>
      <w:r w:rsidR="00C70F93">
        <w:t xml:space="preserve">MV </w:t>
      </w:r>
      <w:r w:rsidR="009132EB">
        <w:t>pouze v roce 2010.</w:t>
      </w:r>
    </w:p>
    <w:p w:rsidR="00D07013" w:rsidRDefault="00D07013" w:rsidP="009132EB">
      <w:r>
        <w:t>Největší veřejná podpora z programů BV</w:t>
      </w:r>
      <w:r w:rsidR="002B0451">
        <w:t>, kterou získaly tyto instituce,</w:t>
      </w:r>
      <w:r>
        <w:t xml:space="preserve"> směřovala na projekty řešící problematiku vojenství a projekty ze společenských věd (viz </w:t>
      </w:r>
      <w:r>
        <w:fldChar w:fldCharType="begin"/>
      </w:r>
      <w:r>
        <w:instrText xml:space="preserve"> REF  _Ref450310709 \* Lower \h  \* MERGEFORMAT </w:instrText>
      </w:r>
      <w:r>
        <w:fldChar w:fldCharType="separate"/>
      </w:r>
      <w:r w:rsidR="003F08E5">
        <w:t xml:space="preserve">tab. </w:t>
      </w:r>
      <w:r w:rsidR="003F08E5">
        <w:rPr>
          <w:noProof/>
        </w:rPr>
        <w:t>11</w:t>
      </w:r>
      <w:r>
        <w:fldChar w:fldCharType="end"/>
      </w:r>
      <w:r>
        <w:t xml:space="preserve">). Další </w:t>
      </w:r>
      <w:r w:rsidR="002B0451">
        <w:t xml:space="preserve">významnými </w:t>
      </w:r>
      <w:r>
        <w:t>obory jsou biovědy a chemie. V ostatních oborech tyto instituce nepůsobí.</w:t>
      </w:r>
    </w:p>
    <w:p w:rsidR="001271C5" w:rsidRDefault="001271C5" w:rsidP="00E606EF">
      <w:pPr>
        <w:pStyle w:val="Titulek"/>
        <w:keepNext/>
      </w:pPr>
      <w:bookmarkStart w:id="45" w:name="_Ref450226859"/>
      <w:r>
        <w:lastRenderedPageBreak/>
        <w:t xml:space="preserve">Tab. </w:t>
      </w:r>
      <w:r w:rsidR="00990E2D">
        <w:fldChar w:fldCharType="begin"/>
      </w:r>
      <w:r w:rsidR="00990E2D">
        <w:instrText xml:space="preserve"> SEQ Tab. \* ARABIC </w:instrText>
      </w:r>
      <w:r w:rsidR="00990E2D">
        <w:fldChar w:fldCharType="separate"/>
      </w:r>
      <w:r w:rsidR="003F08E5">
        <w:rPr>
          <w:noProof/>
        </w:rPr>
        <w:t>9</w:t>
      </w:r>
      <w:r w:rsidR="00990E2D">
        <w:rPr>
          <w:noProof/>
        </w:rPr>
        <w:fldChar w:fldCharType="end"/>
      </w:r>
      <w:bookmarkEnd w:id="45"/>
      <w:r>
        <w:tab/>
      </w:r>
      <w:r w:rsidRPr="000F59F5">
        <w:t>Veřejná podpora z bezpečnostních programů vybraným institucím od roku 2010.</w:t>
      </w:r>
      <w:r>
        <w:t xml:space="preserve"> Zdroj: IS VaVaI</w:t>
      </w:r>
    </w:p>
    <w:tbl>
      <w:tblPr>
        <w:tblW w:w="9453" w:type="dxa"/>
        <w:tblInd w:w="55" w:type="dxa"/>
        <w:tblCellMar>
          <w:left w:w="70" w:type="dxa"/>
          <w:right w:w="70" w:type="dxa"/>
        </w:tblCellMar>
        <w:tblLook w:val="04A0" w:firstRow="1" w:lastRow="0" w:firstColumn="1" w:lastColumn="0" w:noHBand="0" w:noVBand="1"/>
      </w:tblPr>
      <w:tblGrid>
        <w:gridCol w:w="1193"/>
        <w:gridCol w:w="2780"/>
        <w:gridCol w:w="1022"/>
        <w:gridCol w:w="378"/>
        <w:gridCol w:w="1022"/>
        <w:gridCol w:w="378"/>
        <w:gridCol w:w="1340"/>
        <w:gridCol w:w="1340"/>
      </w:tblGrid>
      <w:tr w:rsidR="00172937" w:rsidRPr="00172937" w:rsidTr="00172937">
        <w:trPr>
          <w:trHeight w:val="540"/>
        </w:trPr>
        <w:tc>
          <w:tcPr>
            <w:tcW w:w="1193" w:type="dxa"/>
            <w:vMerge w:val="restart"/>
            <w:tcBorders>
              <w:top w:val="single" w:sz="4" w:space="0" w:color="auto"/>
              <w:left w:val="nil"/>
              <w:bottom w:val="single" w:sz="4" w:space="0" w:color="000000"/>
              <w:right w:val="nil"/>
            </w:tcBorders>
            <w:shd w:val="clear" w:color="000000" w:fill="D9D9D9"/>
            <w:noWrap/>
            <w:vAlign w:val="center"/>
            <w:hideMark/>
          </w:tcPr>
          <w:p w:rsidR="00172937" w:rsidRPr="00172937" w:rsidRDefault="00172937" w:rsidP="00E606EF">
            <w:pPr>
              <w:keepNext/>
              <w:spacing w:before="0" w:after="0"/>
              <w:jc w:val="left"/>
              <w:rPr>
                <w:rFonts w:ascii="Calibri" w:eastAsia="Times New Roman" w:hAnsi="Calibri" w:cs="Times New Roman"/>
                <w:b/>
                <w:bCs/>
                <w:color w:val="000000"/>
                <w:sz w:val="20"/>
                <w:szCs w:val="20"/>
                <w:lang w:eastAsia="cs-CZ"/>
              </w:rPr>
            </w:pPr>
            <w:r w:rsidRPr="00172937">
              <w:rPr>
                <w:rFonts w:ascii="Calibri" w:eastAsia="Times New Roman" w:hAnsi="Calibri" w:cs="Times New Roman"/>
                <w:b/>
                <w:bCs/>
                <w:color w:val="000000"/>
                <w:sz w:val="20"/>
                <w:szCs w:val="20"/>
                <w:lang w:eastAsia="cs-CZ"/>
              </w:rPr>
              <w:t>Instituce</w:t>
            </w:r>
          </w:p>
        </w:tc>
        <w:tc>
          <w:tcPr>
            <w:tcW w:w="2780" w:type="dxa"/>
            <w:vMerge w:val="restart"/>
            <w:tcBorders>
              <w:top w:val="single" w:sz="4" w:space="0" w:color="auto"/>
              <w:left w:val="nil"/>
              <w:bottom w:val="single" w:sz="4" w:space="0" w:color="000000"/>
              <w:right w:val="nil"/>
            </w:tcBorders>
            <w:shd w:val="clear" w:color="000000" w:fill="D9D9D9"/>
            <w:noWrap/>
            <w:vAlign w:val="center"/>
            <w:hideMark/>
          </w:tcPr>
          <w:p w:rsidR="00172937" w:rsidRPr="00172937" w:rsidRDefault="00172937" w:rsidP="00E606EF">
            <w:pPr>
              <w:keepNext/>
              <w:spacing w:before="0" w:after="0"/>
              <w:jc w:val="left"/>
              <w:rPr>
                <w:rFonts w:ascii="Calibri" w:eastAsia="Times New Roman" w:hAnsi="Calibri" w:cs="Times New Roman"/>
                <w:b/>
                <w:bCs/>
                <w:color w:val="000000"/>
                <w:sz w:val="20"/>
                <w:szCs w:val="20"/>
                <w:lang w:eastAsia="cs-CZ"/>
              </w:rPr>
            </w:pPr>
            <w:r w:rsidRPr="00172937">
              <w:rPr>
                <w:rFonts w:ascii="Calibri" w:eastAsia="Times New Roman" w:hAnsi="Calibri" w:cs="Times New Roman"/>
                <w:b/>
                <w:bCs/>
                <w:color w:val="000000"/>
                <w:sz w:val="20"/>
                <w:szCs w:val="20"/>
                <w:lang w:eastAsia="cs-CZ"/>
              </w:rPr>
              <w:t>Organizační jednotka</w:t>
            </w:r>
          </w:p>
        </w:tc>
        <w:tc>
          <w:tcPr>
            <w:tcW w:w="1400" w:type="dxa"/>
            <w:gridSpan w:val="2"/>
            <w:tcBorders>
              <w:top w:val="single" w:sz="4" w:space="0" w:color="auto"/>
              <w:left w:val="nil"/>
              <w:bottom w:val="nil"/>
              <w:right w:val="nil"/>
            </w:tcBorders>
            <w:shd w:val="clear" w:color="000000" w:fill="D9D9D9"/>
            <w:vAlign w:val="center"/>
            <w:hideMark/>
          </w:tcPr>
          <w:p w:rsidR="00172937" w:rsidRPr="00172937" w:rsidRDefault="00172937" w:rsidP="00E606EF">
            <w:pPr>
              <w:keepNext/>
              <w:spacing w:before="0" w:after="0"/>
              <w:jc w:val="center"/>
              <w:rPr>
                <w:rFonts w:ascii="Calibri" w:eastAsia="Times New Roman" w:hAnsi="Calibri" w:cs="Times New Roman"/>
                <w:b/>
                <w:bCs/>
                <w:color w:val="000000"/>
                <w:sz w:val="20"/>
                <w:szCs w:val="20"/>
                <w:lang w:eastAsia="cs-CZ"/>
              </w:rPr>
            </w:pPr>
            <w:r w:rsidRPr="00172937">
              <w:rPr>
                <w:rFonts w:ascii="Calibri" w:eastAsia="Times New Roman" w:hAnsi="Calibri" w:cs="Times New Roman"/>
                <w:b/>
                <w:bCs/>
                <w:color w:val="000000"/>
                <w:sz w:val="20"/>
                <w:szCs w:val="20"/>
                <w:lang w:eastAsia="cs-CZ"/>
              </w:rPr>
              <w:t>Účelová podpora</w:t>
            </w:r>
          </w:p>
        </w:tc>
        <w:tc>
          <w:tcPr>
            <w:tcW w:w="1400" w:type="dxa"/>
            <w:gridSpan w:val="2"/>
            <w:tcBorders>
              <w:top w:val="single" w:sz="4" w:space="0" w:color="auto"/>
              <w:left w:val="nil"/>
              <w:bottom w:val="nil"/>
              <w:right w:val="nil"/>
            </w:tcBorders>
            <w:shd w:val="clear" w:color="000000" w:fill="D9D9D9"/>
            <w:vAlign w:val="center"/>
            <w:hideMark/>
          </w:tcPr>
          <w:p w:rsidR="00172937" w:rsidRPr="00172937" w:rsidRDefault="00172937" w:rsidP="00E606EF">
            <w:pPr>
              <w:keepNext/>
              <w:spacing w:before="0" w:after="0"/>
              <w:jc w:val="center"/>
              <w:rPr>
                <w:rFonts w:ascii="Calibri" w:eastAsia="Times New Roman" w:hAnsi="Calibri" w:cs="Times New Roman"/>
                <w:b/>
                <w:bCs/>
                <w:color w:val="000000"/>
                <w:sz w:val="20"/>
                <w:szCs w:val="20"/>
                <w:lang w:eastAsia="cs-CZ"/>
              </w:rPr>
            </w:pPr>
            <w:r w:rsidRPr="00172937">
              <w:rPr>
                <w:rFonts w:ascii="Calibri" w:eastAsia="Times New Roman" w:hAnsi="Calibri" w:cs="Times New Roman"/>
                <w:b/>
                <w:bCs/>
                <w:color w:val="000000"/>
                <w:sz w:val="20"/>
                <w:szCs w:val="20"/>
                <w:lang w:eastAsia="cs-CZ"/>
              </w:rPr>
              <w:t>Účelová podpora</w:t>
            </w:r>
          </w:p>
        </w:tc>
        <w:tc>
          <w:tcPr>
            <w:tcW w:w="1340" w:type="dxa"/>
            <w:tcBorders>
              <w:top w:val="single" w:sz="4" w:space="0" w:color="auto"/>
              <w:left w:val="nil"/>
              <w:bottom w:val="nil"/>
              <w:right w:val="nil"/>
            </w:tcBorders>
            <w:shd w:val="clear" w:color="000000" w:fill="D9D9D9"/>
            <w:vAlign w:val="center"/>
            <w:hideMark/>
          </w:tcPr>
          <w:p w:rsidR="00172937" w:rsidRPr="00172937" w:rsidRDefault="00172937" w:rsidP="00E606EF">
            <w:pPr>
              <w:keepNext/>
              <w:spacing w:before="0" w:after="0"/>
              <w:jc w:val="center"/>
              <w:rPr>
                <w:rFonts w:ascii="Calibri" w:eastAsia="Times New Roman" w:hAnsi="Calibri" w:cs="Times New Roman"/>
                <w:b/>
                <w:bCs/>
                <w:color w:val="000000"/>
                <w:sz w:val="20"/>
                <w:szCs w:val="20"/>
                <w:lang w:eastAsia="cs-CZ"/>
              </w:rPr>
            </w:pPr>
            <w:r w:rsidRPr="00172937">
              <w:rPr>
                <w:rFonts w:ascii="Calibri" w:eastAsia="Times New Roman" w:hAnsi="Calibri" w:cs="Times New Roman"/>
                <w:b/>
                <w:bCs/>
                <w:color w:val="000000"/>
                <w:sz w:val="20"/>
                <w:szCs w:val="20"/>
                <w:lang w:eastAsia="cs-CZ"/>
              </w:rPr>
              <w:t>Institucionální podpora</w:t>
            </w:r>
          </w:p>
        </w:tc>
        <w:tc>
          <w:tcPr>
            <w:tcW w:w="1340" w:type="dxa"/>
            <w:tcBorders>
              <w:top w:val="single" w:sz="4" w:space="0" w:color="auto"/>
              <w:left w:val="nil"/>
              <w:bottom w:val="nil"/>
              <w:right w:val="nil"/>
            </w:tcBorders>
            <w:shd w:val="clear" w:color="000000" w:fill="D9D9D9"/>
            <w:vAlign w:val="center"/>
            <w:hideMark/>
          </w:tcPr>
          <w:p w:rsidR="00172937" w:rsidRPr="00172937" w:rsidRDefault="00172937" w:rsidP="00E606EF">
            <w:pPr>
              <w:keepNext/>
              <w:spacing w:before="0" w:after="0"/>
              <w:jc w:val="center"/>
              <w:rPr>
                <w:rFonts w:ascii="Calibri" w:eastAsia="Times New Roman" w:hAnsi="Calibri" w:cs="Times New Roman"/>
                <w:b/>
                <w:bCs/>
                <w:color w:val="000000"/>
                <w:sz w:val="20"/>
                <w:szCs w:val="20"/>
                <w:lang w:eastAsia="cs-CZ"/>
              </w:rPr>
            </w:pPr>
            <w:r w:rsidRPr="00172937">
              <w:rPr>
                <w:rFonts w:ascii="Calibri" w:eastAsia="Times New Roman" w:hAnsi="Calibri" w:cs="Times New Roman"/>
                <w:b/>
                <w:bCs/>
                <w:color w:val="000000"/>
                <w:sz w:val="20"/>
                <w:szCs w:val="20"/>
                <w:lang w:eastAsia="cs-CZ"/>
              </w:rPr>
              <w:t>Celková podpora</w:t>
            </w:r>
          </w:p>
        </w:tc>
      </w:tr>
      <w:tr w:rsidR="00172937" w:rsidRPr="00172937" w:rsidTr="00172937">
        <w:trPr>
          <w:trHeight w:val="270"/>
        </w:trPr>
        <w:tc>
          <w:tcPr>
            <w:tcW w:w="1193" w:type="dxa"/>
            <w:vMerge/>
            <w:tcBorders>
              <w:top w:val="single" w:sz="4" w:space="0" w:color="auto"/>
              <w:left w:val="nil"/>
              <w:bottom w:val="single" w:sz="4" w:space="0" w:color="000000"/>
              <w:right w:val="nil"/>
            </w:tcBorders>
            <w:vAlign w:val="center"/>
            <w:hideMark/>
          </w:tcPr>
          <w:p w:rsidR="00172937" w:rsidRPr="00172937" w:rsidRDefault="00172937" w:rsidP="00E606EF">
            <w:pPr>
              <w:keepNext/>
              <w:spacing w:before="0" w:after="0"/>
              <w:jc w:val="left"/>
              <w:rPr>
                <w:rFonts w:ascii="Calibri" w:eastAsia="Times New Roman" w:hAnsi="Calibri" w:cs="Times New Roman"/>
                <w:b/>
                <w:bCs/>
                <w:color w:val="000000"/>
                <w:sz w:val="20"/>
                <w:szCs w:val="20"/>
                <w:lang w:eastAsia="cs-CZ"/>
              </w:rPr>
            </w:pPr>
          </w:p>
        </w:tc>
        <w:tc>
          <w:tcPr>
            <w:tcW w:w="2780" w:type="dxa"/>
            <w:vMerge/>
            <w:tcBorders>
              <w:top w:val="single" w:sz="4" w:space="0" w:color="auto"/>
              <w:left w:val="nil"/>
              <w:bottom w:val="single" w:sz="4" w:space="0" w:color="000000"/>
              <w:right w:val="nil"/>
            </w:tcBorders>
            <w:vAlign w:val="center"/>
            <w:hideMark/>
          </w:tcPr>
          <w:p w:rsidR="00172937" w:rsidRPr="00172937" w:rsidRDefault="00172937" w:rsidP="00E606EF">
            <w:pPr>
              <w:keepNext/>
              <w:spacing w:before="0" w:after="0"/>
              <w:jc w:val="left"/>
              <w:rPr>
                <w:rFonts w:ascii="Calibri" w:eastAsia="Times New Roman" w:hAnsi="Calibri" w:cs="Times New Roman"/>
                <w:b/>
                <w:bCs/>
                <w:color w:val="000000"/>
                <w:sz w:val="20"/>
                <w:szCs w:val="20"/>
                <w:lang w:eastAsia="cs-CZ"/>
              </w:rPr>
            </w:pPr>
          </w:p>
        </w:tc>
        <w:tc>
          <w:tcPr>
            <w:tcW w:w="1400" w:type="dxa"/>
            <w:gridSpan w:val="2"/>
            <w:tcBorders>
              <w:top w:val="nil"/>
              <w:left w:val="nil"/>
              <w:bottom w:val="nil"/>
              <w:right w:val="nil"/>
            </w:tcBorders>
            <w:shd w:val="clear" w:color="000000" w:fill="D9D9D9"/>
            <w:vAlign w:val="center"/>
            <w:hideMark/>
          </w:tcPr>
          <w:p w:rsidR="00172937" w:rsidRPr="00172937" w:rsidRDefault="00172937" w:rsidP="00E606EF">
            <w:pPr>
              <w:keepNext/>
              <w:spacing w:before="0" w:after="0"/>
              <w:jc w:val="center"/>
              <w:rPr>
                <w:rFonts w:ascii="Calibri" w:eastAsia="Times New Roman" w:hAnsi="Calibri" w:cs="Times New Roman"/>
                <w:i/>
                <w:iCs/>
                <w:color w:val="000000"/>
                <w:sz w:val="20"/>
                <w:szCs w:val="20"/>
                <w:lang w:eastAsia="cs-CZ"/>
              </w:rPr>
            </w:pPr>
            <w:r w:rsidRPr="00172937">
              <w:rPr>
                <w:rFonts w:ascii="Calibri" w:eastAsia="Times New Roman" w:hAnsi="Calibri" w:cs="Times New Roman"/>
                <w:i/>
                <w:iCs/>
                <w:color w:val="000000"/>
                <w:sz w:val="20"/>
                <w:szCs w:val="20"/>
                <w:lang w:eastAsia="cs-CZ"/>
              </w:rPr>
              <w:t>(tis. Kč)</w:t>
            </w:r>
          </w:p>
        </w:tc>
        <w:tc>
          <w:tcPr>
            <w:tcW w:w="1400" w:type="dxa"/>
            <w:gridSpan w:val="2"/>
            <w:tcBorders>
              <w:top w:val="nil"/>
              <w:left w:val="nil"/>
              <w:bottom w:val="nil"/>
              <w:right w:val="nil"/>
            </w:tcBorders>
            <w:shd w:val="clear" w:color="000000" w:fill="D9D9D9"/>
            <w:vAlign w:val="center"/>
            <w:hideMark/>
          </w:tcPr>
          <w:p w:rsidR="00172937" w:rsidRPr="00172937" w:rsidRDefault="00172937" w:rsidP="00E606EF">
            <w:pPr>
              <w:keepNext/>
              <w:spacing w:before="0" w:after="0"/>
              <w:jc w:val="center"/>
              <w:rPr>
                <w:rFonts w:ascii="Calibri" w:eastAsia="Times New Roman" w:hAnsi="Calibri" w:cs="Times New Roman"/>
                <w:i/>
                <w:iCs/>
                <w:color w:val="000000"/>
                <w:sz w:val="20"/>
                <w:szCs w:val="20"/>
                <w:lang w:eastAsia="cs-CZ"/>
              </w:rPr>
            </w:pPr>
            <w:r w:rsidRPr="00172937">
              <w:rPr>
                <w:rFonts w:ascii="Calibri" w:eastAsia="Times New Roman" w:hAnsi="Calibri" w:cs="Times New Roman"/>
                <w:i/>
                <w:iCs/>
                <w:color w:val="000000"/>
                <w:sz w:val="20"/>
                <w:szCs w:val="20"/>
                <w:lang w:eastAsia="cs-CZ"/>
              </w:rPr>
              <w:t>(tis. Kč)</w:t>
            </w:r>
          </w:p>
        </w:tc>
        <w:tc>
          <w:tcPr>
            <w:tcW w:w="1340" w:type="dxa"/>
            <w:tcBorders>
              <w:top w:val="nil"/>
              <w:left w:val="nil"/>
              <w:bottom w:val="nil"/>
              <w:right w:val="nil"/>
            </w:tcBorders>
            <w:shd w:val="clear" w:color="000000" w:fill="D9D9D9"/>
            <w:vAlign w:val="center"/>
            <w:hideMark/>
          </w:tcPr>
          <w:p w:rsidR="00172937" w:rsidRPr="00172937" w:rsidRDefault="00172937" w:rsidP="00E606EF">
            <w:pPr>
              <w:keepNext/>
              <w:spacing w:before="0" w:after="0"/>
              <w:jc w:val="center"/>
              <w:rPr>
                <w:rFonts w:ascii="Calibri" w:eastAsia="Times New Roman" w:hAnsi="Calibri" w:cs="Times New Roman"/>
                <w:i/>
                <w:iCs/>
                <w:color w:val="000000"/>
                <w:sz w:val="20"/>
                <w:szCs w:val="20"/>
                <w:lang w:eastAsia="cs-CZ"/>
              </w:rPr>
            </w:pPr>
            <w:r w:rsidRPr="00172937">
              <w:rPr>
                <w:rFonts w:ascii="Calibri" w:eastAsia="Times New Roman" w:hAnsi="Calibri" w:cs="Times New Roman"/>
                <w:i/>
                <w:iCs/>
                <w:color w:val="000000"/>
                <w:sz w:val="20"/>
                <w:szCs w:val="20"/>
                <w:lang w:eastAsia="cs-CZ"/>
              </w:rPr>
              <w:t>(tis. Kč)</w:t>
            </w:r>
          </w:p>
        </w:tc>
        <w:tc>
          <w:tcPr>
            <w:tcW w:w="1340" w:type="dxa"/>
            <w:tcBorders>
              <w:top w:val="nil"/>
              <w:left w:val="nil"/>
              <w:bottom w:val="nil"/>
              <w:right w:val="nil"/>
            </w:tcBorders>
            <w:shd w:val="clear" w:color="000000" w:fill="D9D9D9"/>
            <w:vAlign w:val="center"/>
            <w:hideMark/>
          </w:tcPr>
          <w:p w:rsidR="00172937" w:rsidRPr="00172937" w:rsidRDefault="00172937" w:rsidP="00E606EF">
            <w:pPr>
              <w:keepNext/>
              <w:spacing w:before="0" w:after="0"/>
              <w:jc w:val="center"/>
              <w:rPr>
                <w:rFonts w:ascii="Calibri" w:eastAsia="Times New Roman" w:hAnsi="Calibri" w:cs="Times New Roman"/>
                <w:i/>
                <w:iCs/>
                <w:color w:val="000000"/>
                <w:sz w:val="20"/>
                <w:szCs w:val="20"/>
                <w:lang w:eastAsia="cs-CZ"/>
              </w:rPr>
            </w:pPr>
            <w:r w:rsidRPr="00172937">
              <w:rPr>
                <w:rFonts w:ascii="Calibri" w:eastAsia="Times New Roman" w:hAnsi="Calibri" w:cs="Times New Roman"/>
                <w:i/>
                <w:iCs/>
                <w:color w:val="000000"/>
                <w:sz w:val="20"/>
                <w:szCs w:val="20"/>
                <w:lang w:eastAsia="cs-CZ"/>
              </w:rPr>
              <w:t>(tis. Kč)</w:t>
            </w:r>
          </w:p>
        </w:tc>
      </w:tr>
      <w:tr w:rsidR="00172937" w:rsidRPr="00172937" w:rsidTr="00172937">
        <w:trPr>
          <w:trHeight w:val="390"/>
        </w:trPr>
        <w:tc>
          <w:tcPr>
            <w:tcW w:w="1193" w:type="dxa"/>
            <w:vMerge/>
            <w:tcBorders>
              <w:top w:val="single" w:sz="4" w:space="0" w:color="auto"/>
              <w:left w:val="nil"/>
              <w:bottom w:val="single" w:sz="4" w:space="0" w:color="000000"/>
              <w:right w:val="nil"/>
            </w:tcBorders>
            <w:vAlign w:val="center"/>
            <w:hideMark/>
          </w:tcPr>
          <w:p w:rsidR="00172937" w:rsidRPr="00172937" w:rsidRDefault="00172937" w:rsidP="00E606EF">
            <w:pPr>
              <w:keepNext/>
              <w:spacing w:before="0" w:after="0"/>
              <w:jc w:val="left"/>
              <w:rPr>
                <w:rFonts w:ascii="Calibri" w:eastAsia="Times New Roman" w:hAnsi="Calibri" w:cs="Times New Roman"/>
                <w:b/>
                <w:bCs/>
                <w:color w:val="000000"/>
                <w:sz w:val="20"/>
                <w:szCs w:val="20"/>
                <w:lang w:eastAsia="cs-CZ"/>
              </w:rPr>
            </w:pPr>
          </w:p>
        </w:tc>
        <w:tc>
          <w:tcPr>
            <w:tcW w:w="2780" w:type="dxa"/>
            <w:vMerge/>
            <w:tcBorders>
              <w:top w:val="single" w:sz="4" w:space="0" w:color="auto"/>
              <w:left w:val="nil"/>
              <w:bottom w:val="single" w:sz="4" w:space="0" w:color="000000"/>
              <w:right w:val="nil"/>
            </w:tcBorders>
            <w:vAlign w:val="center"/>
            <w:hideMark/>
          </w:tcPr>
          <w:p w:rsidR="00172937" w:rsidRPr="00172937" w:rsidRDefault="00172937" w:rsidP="00E606EF">
            <w:pPr>
              <w:keepNext/>
              <w:spacing w:before="0" w:after="0"/>
              <w:jc w:val="left"/>
              <w:rPr>
                <w:rFonts w:ascii="Calibri" w:eastAsia="Times New Roman" w:hAnsi="Calibri" w:cs="Times New Roman"/>
                <w:b/>
                <w:bCs/>
                <w:color w:val="000000"/>
                <w:sz w:val="20"/>
                <w:szCs w:val="20"/>
                <w:lang w:eastAsia="cs-CZ"/>
              </w:rPr>
            </w:pPr>
          </w:p>
        </w:tc>
        <w:tc>
          <w:tcPr>
            <w:tcW w:w="1400" w:type="dxa"/>
            <w:gridSpan w:val="2"/>
            <w:tcBorders>
              <w:top w:val="nil"/>
              <w:left w:val="nil"/>
              <w:bottom w:val="single" w:sz="4" w:space="0" w:color="auto"/>
              <w:right w:val="nil"/>
            </w:tcBorders>
            <w:shd w:val="clear" w:color="000000" w:fill="D9D9D9"/>
            <w:noWrap/>
            <w:vAlign w:val="center"/>
            <w:hideMark/>
          </w:tcPr>
          <w:p w:rsidR="00172937" w:rsidRPr="00172937" w:rsidRDefault="00172937" w:rsidP="00E606EF">
            <w:pPr>
              <w:keepNext/>
              <w:spacing w:before="0" w:after="0"/>
              <w:jc w:val="center"/>
              <w:rPr>
                <w:rFonts w:ascii="Calibri" w:eastAsia="Times New Roman" w:hAnsi="Calibri" w:cs="Times New Roman"/>
                <w:b/>
                <w:bCs/>
                <w:color w:val="000000"/>
                <w:sz w:val="20"/>
                <w:szCs w:val="20"/>
                <w:lang w:eastAsia="cs-CZ"/>
              </w:rPr>
            </w:pPr>
            <w:r w:rsidRPr="00172937">
              <w:rPr>
                <w:rFonts w:ascii="Calibri" w:eastAsia="Times New Roman" w:hAnsi="Calibri" w:cs="Times New Roman"/>
                <w:b/>
                <w:bCs/>
                <w:color w:val="000000"/>
                <w:sz w:val="20"/>
                <w:szCs w:val="20"/>
                <w:lang w:eastAsia="cs-CZ"/>
              </w:rPr>
              <w:t>2010 - 15</w:t>
            </w:r>
          </w:p>
        </w:tc>
        <w:tc>
          <w:tcPr>
            <w:tcW w:w="1400" w:type="dxa"/>
            <w:gridSpan w:val="2"/>
            <w:tcBorders>
              <w:top w:val="nil"/>
              <w:left w:val="nil"/>
              <w:bottom w:val="single" w:sz="4" w:space="0" w:color="auto"/>
              <w:right w:val="nil"/>
            </w:tcBorders>
            <w:shd w:val="clear" w:color="000000" w:fill="D9D9D9"/>
            <w:noWrap/>
            <w:vAlign w:val="center"/>
            <w:hideMark/>
          </w:tcPr>
          <w:p w:rsidR="00172937" w:rsidRPr="00172937" w:rsidRDefault="00172937" w:rsidP="00E606EF">
            <w:pPr>
              <w:keepNext/>
              <w:spacing w:before="0" w:after="0"/>
              <w:jc w:val="center"/>
              <w:rPr>
                <w:rFonts w:ascii="Calibri" w:eastAsia="Times New Roman" w:hAnsi="Calibri" w:cs="Times New Roman"/>
                <w:b/>
                <w:bCs/>
                <w:color w:val="000000"/>
                <w:sz w:val="20"/>
                <w:szCs w:val="20"/>
                <w:lang w:eastAsia="cs-CZ"/>
              </w:rPr>
            </w:pPr>
            <w:r w:rsidRPr="00172937">
              <w:rPr>
                <w:rFonts w:ascii="Calibri" w:eastAsia="Times New Roman" w:hAnsi="Calibri" w:cs="Times New Roman"/>
                <w:b/>
                <w:bCs/>
                <w:color w:val="000000"/>
                <w:sz w:val="20"/>
                <w:szCs w:val="20"/>
                <w:lang w:eastAsia="cs-CZ"/>
              </w:rPr>
              <w:t>2016 - 20</w:t>
            </w:r>
          </w:p>
        </w:tc>
        <w:tc>
          <w:tcPr>
            <w:tcW w:w="1340" w:type="dxa"/>
            <w:tcBorders>
              <w:top w:val="nil"/>
              <w:left w:val="nil"/>
              <w:bottom w:val="single" w:sz="4" w:space="0" w:color="auto"/>
              <w:right w:val="nil"/>
            </w:tcBorders>
            <w:shd w:val="clear" w:color="000000" w:fill="D9D9D9"/>
            <w:noWrap/>
            <w:vAlign w:val="center"/>
            <w:hideMark/>
          </w:tcPr>
          <w:p w:rsidR="00172937" w:rsidRPr="00172937" w:rsidRDefault="00172937" w:rsidP="00E606EF">
            <w:pPr>
              <w:keepNext/>
              <w:spacing w:before="0" w:after="0"/>
              <w:jc w:val="center"/>
              <w:rPr>
                <w:rFonts w:ascii="Calibri" w:eastAsia="Times New Roman" w:hAnsi="Calibri" w:cs="Times New Roman"/>
                <w:b/>
                <w:bCs/>
                <w:color w:val="000000"/>
                <w:sz w:val="20"/>
                <w:szCs w:val="20"/>
                <w:lang w:eastAsia="cs-CZ"/>
              </w:rPr>
            </w:pPr>
            <w:r w:rsidRPr="00172937">
              <w:rPr>
                <w:rFonts w:ascii="Calibri" w:eastAsia="Times New Roman" w:hAnsi="Calibri" w:cs="Times New Roman"/>
                <w:b/>
                <w:bCs/>
                <w:color w:val="000000"/>
                <w:sz w:val="20"/>
                <w:szCs w:val="20"/>
                <w:lang w:eastAsia="cs-CZ"/>
              </w:rPr>
              <w:t>2010 - 15</w:t>
            </w:r>
          </w:p>
        </w:tc>
        <w:tc>
          <w:tcPr>
            <w:tcW w:w="1340" w:type="dxa"/>
            <w:tcBorders>
              <w:top w:val="nil"/>
              <w:left w:val="nil"/>
              <w:bottom w:val="single" w:sz="4" w:space="0" w:color="auto"/>
              <w:right w:val="nil"/>
            </w:tcBorders>
            <w:shd w:val="clear" w:color="000000" w:fill="D9D9D9"/>
            <w:noWrap/>
            <w:vAlign w:val="center"/>
            <w:hideMark/>
          </w:tcPr>
          <w:p w:rsidR="00172937" w:rsidRPr="00172937" w:rsidRDefault="00172937" w:rsidP="00E606EF">
            <w:pPr>
              <w:keepNext/>
              <w:spacing w:before="0" w:after="0"/>
              <w:jc w:val="center"/>
              <w:rPr>
                <w:rFonts w:ascii="Calibri" w:eastAsia="Times New Roman" w:hAnsi="Calibri" w:cs="Times New Roman"/>
                <w:b/>
                <w:bCs/>
                <w:color w:val="000000"/>
                <w:sz w:val="20"/>
                <w:szCs w:val="20"/>
                <w:lang w:eastAsia="cs-CZ"/>
              </w:rPr>
            </w:pPr>
            <w:r w:rsidRPr="00172937">
              <w:rPr>
                <w:rFonts w:ascii="Calibri" w:eastAsia="Times New Roman" w:hAnsi="Calibri" w:cs="Times New Roman"/>
                <w:b/>
                <w:bCs/>
                <w:color w:val="000000"/>
                <w:sz w:val="20"/>
                <w:szCs w:val="20"/>
                <w:lang w:eastAsia="cs-CZ"/>
              </w:rPr>
              <w:t>2010 - 15</w:t>
            </w:r>
          </w:p>
        </w:tc>
      </w:tr>
      <w:tr w:rsidR="00172937" w:rsidRPr="00172937" w:rsidTr="00172937">
        <w:trPr>
          <w:trHeight w:val="300"/>
        </w:trPr>
        <w:tc>
          <w:tcPr>
            <w:tcW w:w="1193" w:type="dxa"/>
            <w:vMerge w:val="restart"/>
            <w:tcBorders>
              <w:top w:val="nil"/>
              <w:left w:val="nil"/>
              <w:bottom w:val="single" w:sz="4" w:space="0" w:color="000000"/>
              <w:right w:val="nil"/>
            </w:tcBorders>
            <w:shd w:val="clear" w:color="auto" w:fill="auto"/>
            <w:vAlign w:val="center"/>
            <w:hideMark/>
          </w:tcPr>
          <w:p w:rsidR="00172937" w:rsidRPr="00172937" w:rsidRDefault="00172937" w:rsidP="00E606EF">
            <w:pPr>
              <w:keepNext/>
              <w:spacing w:before="0" w:after="0"/>
              <w:jc w:val="center"/>
              <w:rPr>
                <w:rFonts w:ascii="Calibri" w:eastAsia="Times New Roman" w:hAnsi="Calibri" w:cs="Times New Roman"/>
                <w:b/>
                <w:bCs/>
                <w:color w:val="000000"/>
                <w:sz w:val="20"/>
                <w:szCs w:val="20"/>
                <w:lang w:eastAsia="cs-CZ"/>
              </w:rPr>
            </w:pPr>
            <w:r w:rsidRPr="00172937">
              <w:rPr>
                <w:rFonts w:ascii="Calibri" w:eastAsia="Times New Roman" w:hAnsi="Calibri" w:cs="Times New Roman"/>
                <w:b/>
                <w:bCs/>
                <w:color w:val="000000"/>
                <w:sz w:val="20"/>
                <w:szCs w:val="20"/>
                <w:lang w:eastAsia="cs-CZ"/>
              </w:rPr>
              <w:t>Ministerstvo vnitra</w:t>
            </w:r>
          </w:p>
        </w:tc>
        <w:tc>
          <w:tcPr>
            <w:tcW w:w="2780" w:type="dxa"/>
            <w:tcBorders>
              <w:top w:val="nil"/>
              <w:left w:val="nil"/>
              <w:bottom w:val="nil"/>
              <w:right w:val="nil"/>
            </w:tcBorders>
            <w:shd w:val="clear" w:color="auto" w:fill="auto"/>
            <w:noWrap/>
            <w:vAlign w:val="center"/>
            <w:hideMark/>
          </w:tcPr>
          <w:p w:rsidR="00172937" w:rsidRPr="00172937" w:rsidRDefault="00172937" w:rsidP="00E606EF">
            <w:pPr>
              <w:keepNext/>
              <w:spacing w:before="0" w:after="0"/>
              <w:jc w:val="left"/>
              <w:rPr>
                <w:rFonts w:ascii="Calibri" w:eastAsia="Times New Roman" w:hAnsi="Calibri" w:cs="Times New Roman"/>
                <w:color w:val="000000"/>
                <w:sz w:val="20"/>
                <w:szCs w:val="20"/>
                <w:lang w:eastAsia="cs-CZ"/>
              </w:rPr>
            </w:pPr>
            <w:r w:rsidRPr="00172937">
              <w:rPr>
                <w:rFonts w:ascii="Calibri" w:eastAsia="Times New Roman" w:hAnsi="Calibri" w:cs="Times New Roman"/>
                <w:color w:val="000000"/>
                <w:sz w:val="20"/>
                <w:szCs w:val="20"/>
                <w:lang w:eastAsia="cs-CZ"/>
              </w:rPr>
              <w:t>PČR Kriminalistický ústav Praha</w:t>
            </w:r>
          </w:p>
        </w:tc>
        <w:tc>
          <w:tcPr>
            <w:tcW w:w="1022" w:type="dxa"/>
            <w:tcBorders>
              <w:top w:val="nil"/>
              <w:left w:val="nil"/>
              <w:bottom w:val="nil"/>
              <w:right w:val="nil"/>
            </w:tcBorders>
            <w:shd w:val="clear" w:color="auto" w:fill="auto"/>
            <w:noWrap/>
            <w:vAlign w:val="center"/>
            <w:hideMark/>
          </w:tcPr>
          <w:p w:rsidR="00172937" w:rsidRPr="00172937" w:rsidRDefault="00172937" w:rsidP="00E606EF">
            <w:pPr>
              <w:keepNext/>
              <w:spacing w:before="0" w:after="0"/>
              <w:jc w:val="right"/>
              <w:rPr>
                <w:rFonts w:ascii="Calibri" w:eastAsia="Times New Roman" w:hAnsi="Calibri" w:cs="Times New Roman"/>
                <w:color w:val="000000"/>
                <w:sz w:val="20"/>
                <w:szCs w:val="20"/>
                <w:lang w:eastAsia="cs-CZ"/>
              </w:rPr>
            </w:pPr>
            <w:r w:rsidRPr="00172937">
              <w:rPr>
                <w:rFonts w:ascii="Calibri" w:eastAsia="Times New Roman" w:hAnsi="Calibri" w:cs="Times New Roman"/>
                <w:color w:val="000000"/>
                <w:sz w:val="20"/>
                <w:szCs w:val="20"/>
                <w:lang w:eastAsia="cs-CZ"/>
              </w:rPr>
              <w:t>99 090</w:t>
            </w:r>
          </w:p>
        </w:tc>
        <w:tc>
          <w:tcPr>
            <w:tcW w:w="378" w:type="dxa"/>
            <w:tcBorders>
              <w:top w:val="nil"/>
              <w:left w:val="nil"/>
              <w:bottom w:val="nil"/>
              <w:right w:val="nil"/>
            </w:tcBorders>
            <w:shd w:val="clear" w:color="auto" w:fill="auto"/>
            <w:noWrap/>
            <w:vAlign w:val="center"/>
            <w:hideMark/>
          </w:tcPr>
          <w:p w:rsidR="00172937" w:rsidRPr="00172937" w:rsidRDefault="00172937" w:rsidP="00E606EF">
            <w:pPr>
              <w:keepNext/>
              <w:spacing w:before="0" w:after="0"/>
              <w:jc w:val="right"/>
              <w:rPr>
                <w:rFonts w:ascii="Calibri" w:eastAsia="Times New Roman" w:hAnsi="Calibri" w:cs="Times New Roman"/>
                <w:color w:val="000000"/>
                <w:sz w:val="20"/>
                <w:szCs w:val="20"/>
                <w:lang w:eastAsia="cs-CZ"/>
              </w:rPr>
            </w:pPr>
            <w:r w:rsidRPr="00172937">
              <w:rPr>
                <w:rFonts w:ascii="Calibri" w:eastAsia="Times New Roman" w:hAnsi="Calibri" w:cs="Times New Roman"/>
                <w:color w:val="000000"/>
                <w:sz w:val="20"/>
                <w:szCs w:val="20"/>
                <w:lang w:eastAsia="cs-CZ"/>
              </w:rPr>
              <w:t> </w:t>
            </w:r>
          </w:p>
        </w:tc>
        <w:tc>
          <w:tcPr>
            <w:tcW w:w="1022" w:type="dxa"/>
            <w:tcBorders>
              <w:top w:val="nil"/>
              <w:left w:val="nil"/>
              <w:bottom w:val="nil"/>
              <w:right w:val="nil"/>
            </w:tcBorders>
            <w:shd w:val="clear" w:color="auto" w:fill="auto"/>
            <w:noWrap/>
            <w:vAlign w:val="center"/>
            <w:hideMark/>
          </w:tcPr>
          <w:p w:rsidR="00172937" w:rsidRPr="00172937" w:rsidRDefault="00172937" w:rsidP="00E606EF">
            <w:pPr>
              <w:keepNext/>
              <w:spacing w:before="0" w:after="0"/>
              <w:jc w:val="right"/>
              <w:rPr>
                <w:rFonts w:ascii="Calibri" w:eastAsia="Times New Roman" w:hAnsi="Calibri" w:cs="Times New Roman"/>
                <w:color w:val="000000"/>
                <w:sz w:val="20"/>
                <w:szCs w:val="20"/>
                <w:lang w:eastAsia="cs-CZ"/>
              </w:rPr>
            </w:pPr>
            <w:r w:rsidRPr="00172937">
              <w:rPr>
                <w:rFonts w:ascii="Calibri" w:eastAsia="Times New Roman" w:hAnsi="Calibri" w:cs="Times New Roman"/>
                <w:color w:val="000000"/>
                <w:sz w:val="20"/>
                <w:szCs w:val="20"/>
                <w:lang w:eastAsia="cs-CZ"/>
              </w:rPr>
              <w:t>57 697</w:t>
            </w:r>
          </w:p>
        </w:tc>
        <w:tc>
          <w:tcPr>
            <w:tcW w:w="378" w:type="dxa"/>
            <w:tcBorders>
              <w:top w:val="nil"/>
              <w:left w:val="nil"/>
              <w:bottom w:val="nil"/>
              <w:right w:val="nil"/>
            </w:tcBorders>
            <w:shd w:val="clear" w:color="auto" w:fill="auto"/>
            <w:noWrap/>
            <w:vAlign w:val="center"/>
            <w:hideMark/>
          </w:tcPr>
          <w:p w:rsidR="00172937" w:rsidRPr="00172937" w:rsidRDefault="00172937" w:rsidP="00E606EF">
            <w:pPr>
              <w:keepNext/>
              <w:spacing w:before="0" w:after="0"/>
              <w:jc w:val="right"/>
              <w:rPr>
                <w:rFonts w:ascii="Calibri" w:eastAsia="Times New Roman" w:hAnsi="Calibri" w:cs="Times New Roman"/>
                <w:color w:val="000000"/>
                <w:sz w:val="20"/>
                <w:szCs w:val="20"/>
                <w:lang w:eastAsia="cs-CZ"/>
              </w:rPr>
            </w:pPr>
            <w:r w:rsidRPr="00172937">
              <w:rPr>
                <w:rFonts w:ascii="Calibri" w:eastAsia="Times New Roman" w:hAnsi="Calibri" w:cs="Times New Roman"/>
                <w:color w:val="000000"/>
                <w:sz w:val="20"/>
                <w:szCs w:val="20"/>
                <w:lang w:eastAsia="cs-CZ"/>
              </w:rPr>
              <w:t> </w:t>
            </w:r>
          </w:p>
        </w:tc>
        <w:tc>
          <w:tcPr>
            <w:tcW w:w="1340" w:type="dxa"/>
            <w:tcBorders>
              <w:top w:val="nil"/>
              <w:left w:val="nil"/>
              <w:bottom w:val="nil"/>
              <w:right w:val="nil"/>
            </w:tcBorders>
            <w:shd w:val="clear" w:color="auto" w:fill="auto"/>
            <w:noWrap/>
            <w:vAlign w:val="center"/>
            <w:hideMark/>
          </w:tcPr>
          <w:p w:rsidR="00172937" w:rsidRPr="00172937" w:rsidRDefault="00172937" w:rsidP="00E606EF">
            <w:pPr>
              <w:keepNext/>
              <w:spacing w:before="0" w:after="0"/>
              <w:ind w:right="231"/>
              <w:jc w:val="right"/>
              <w:rPr>
                <w:rFonts w:ascii="Calibri" w:eastAsia="Times New Roman" w:hAnsi="Calibri" w:cs="Times New Roman"/>
                <w:color w:val="000000"/>
                <w:sz w:val="20"/>
                <w:szCs w:val="20"/>
                <w:lang w:eastAsia="cs-CZ"/>
              </w:rPr>
            </w:pPr>
            <w:r w:rsidRPr="00172937">
              <w:rPr>
                <w:rFonts w:ascii="Calibri" w:eastAsia="Times New Roman" w:hAnsi="Calibri" w:cs="Times New Roman"/>
                <w:color w:val="000000"/>
                <w:sz w:val="20"/>
                <w:szCs w:val="20"/>
                <w:lang w:eastAsia="cs-CZ"/>
              </w:rPr>
              <w:t>28 980</w:t>
            </w:r>
          </w:p>
        </w:tc>
        <w:tc>
          <w:tcPr>
            <w:tcW w:w="1340" w:type="dxa"/>
            <w:tcBorders>
              <w:top w:val="nil"/>
              <w:left w:val="nil"/>
              <w:bottom w:val="nil"/>
              <w:right w:val="nil"/>
            </w:tcBorders>
            <w:shd w:val="clear" w:color="000000" w:fill="F2F2F2"/>
            <w:noWrap/>
            <w:vAlign w:val="center"/>
            <w:hideMark/>
          </w:tcPr>
          <w:p w:rsidR="00172937" w:rsidRPr="00172937" w:rsidRDefault="00172937" w:rsidP="00E606EF">
            <w:pPr>
              <w:keepNext/>
              <w:spacing w:before="0" w:after="0"/>
              <w:ind w:right="154"/>
              <w:jc w:val="right"/>
              <w:rPr>
                <w:rFonts w:ascii="Calibri" w:eastAsia="Times New Roman" w:hAnsi="Calibri" w:cs="Times New Roman"/>
                <w:b/>
                <w:bCs/>
                <w:color w:val="000000"/>
                <w:sz w:val="20"/>
                <w:szCs w:val="20"/>
                <w:lang w:eastAsia="cs-CZ"/>
              </w:rPr>
            </w:pPr>
            <w:r w:rsidRPr="00172937">
              <w:rPr>
                <w:rFonts w:ascii="Calibri" w:eastAsia="Times New Roman" w:hAnsi="Calibri" w:cs="Times New Roman"/>
                <w:b/>
                <w:bCs/>
                <w:color w:val="000000"/>
                <w:sz w:val="20"/>
                <w:szCs w:val="20"/>
                <w:lang w:eastAsia="cs-CZ"/>
              </w:rPr>
              <w:t>128 070</w:t>
            </w:r>
          </w:p>
        </w:tc>
      </w:tr>
      <w:tr w:rsidR="00172937" w:rsidRPr="00172937" w:rsidTr="00172937">
        <w:trPr>
          <w:trHeight w:val="300"/>
        </w:trPr>
        <w:tc>
          <w:tcPr>
            <w:tcW w:w="1193" w:type="dxa"/>
            <w:vMerge/>
            <w:tcBorders>
              <w:top w:val="nil"/>
              <w:left w:val="nil"/>
              <w:bottom w:val="single" w:sz="4" w:space="0" w:color="000000"/>
              <w:right w:val="nil"/>
            </w:tcBorders>
            <w:vAlign w:val="center"/>
            <w:hideMark/>
          </w:tcPr>
          <w:p w:rsidR="00172937" w:rsidRPr="00172937" w:rsidRDefault="00172937" w:rsidP="00172937">
            <w:pPr>
              <w:spacing w:before="0" w:after="0"/>
              <w:jc w:val="left"/>
              <w:rPr>
                <w:rFonts w:ascii="Calibri" w:eastAsia="Times New Roman" w:hAnsi="Calibri" w:cs="Times New Roman"/>
                <w:b/>
                <w:bCs/>
                <w:color w:val="000000"/>
                <w:sz w:val="20"/>
                <w:szCs w:val="20"/>
                <w:lang w:eastAsia="cs-CZ"/>
              </w:rPr>
            </w:pPr>
          </w:p>
        </w:tc>
        <w:tc>
          <w:tcPr>
            <w:tcW w:w="2780" w:type="dxa"/>
            <w:tcBorders>
              <w:top w:val="nil"/>
              <w:left w:val="nil"/>
              <w:bottom w:val="nil"/>
              <w:right w:val="nil"/>
            </w:tcBorders>
            <w:shd w:val="clear" w:color="auto" w:fill="auto"/>
            <w:noWrap/>
            <w:vAlign w:val="center"/>
            <w:hideMark/>
          </w:tcPr>
          <w:p w:rsidR="00172937" w:rsidRPr="00172937" w:rsidRDefault="00172937" w:rsidP="00172937">
            <w:pPr>
              <w:spacing w:before="0" w:after="0"/>
              <w:jc w:val="left"/>
              <w:rPr>
                <w:rFonts w:ascii="Calibri" w:eastAsia="Times New Roman" w:hAnsi="Calibri" w:cs="Times New Roman"/>
                <w:color w:val="000000"/>
                <w:sz w:val="20"/>
                <w:szCs w:val="20"/>
                <w:lang w:eastAsia="cs-CZ"/>
              </w:rPr>
            </w:pPr>
            <w:r w:rsidRPr="00172937">
              <w:rPr>
                <w:rFonts w:ascii="Calibri" w:eastAsia="Times New Roman" w:hAnsi="Calibri" w:cs="Times New Roman"/>
                <w:color w:val="000000"/>
                <w:sz w:val="20"/>
                <w:szCs w:val="20"/>
                <w:lang w:eastAsia="cs-CZ"/>
              </w:rPr>
              <w:t>GŘ HZS - TÚPO</w:t>
            </w:r>
          </w:p>
        </w:tc>
        <w:tc>
          <w:tcPr>
            <w:tcW w:w="1022" w:type="dxa"/>
            <w:tcBorders>
              <w:top w:val="nil"/>
              <w:left w:val="nil"/>
              <w:bottom w:val="nil"/>
              <w:right w:val="nil"/>
            </w:tcBorders>
            <w:shd w:val="clear" w:color="auto" w:fill="auto"/>
            <w:noWrap/>
            <w:vAlign w:val="center"/>
            <w:hideMark/>
          </w:tcPr>
          <w:p w:rsidR="00172937" w:rsidRPr="00172937" w:rsidRDefault="00172937" w:rsidP="00172937">
            <w:pPr>
              <w:spacing w:before="0" w:after="0"/>
              <w:jc w:val="right"/>
              <w:rPr>
                <w:rFonts w:ascii="Calibri" w:eastAsia="Times New Roman" w:hAnsi="Calibri" w:cs="Times New Roman"/>
                <w:color w:val="000000"/>
                <w:sz w:val="20"/>
                <w:szCs w:val="20"/>
                <w:lang w:eastAsia="cs-CZ"/>
              </w:rPr>
            </w:pPr>
            <w:r w:rsidRPr="00172937">
              <w:rPr>
                <w:rFonts w:ascii="Calibri" w:eastAsia="Times New Roman" w:hAnsi="Calibri" w:cs="Times New Roman"/>
                <w:color w:val="000000"/>
                <w:sz w:val="20"/>
                <w:szCs w:val="20"/>
                <w:lang w:eastAsia="cs-CZ"/>
              </w:rPr>
              <w:t>27 402</w:t>
            </w:r>
          </w:p>
        </w:tc>
        <w:tc>
          <w:tcPr>
            <w:tcW w:w="378" w:type="dxa"/>
            <w:tcBorders>
              <w:top w:val="nil"/>
              <w:left w:val="nil"/>
              <w:bottom w:val="nil"/>
              <w:right w:val="nil"/>
            </w:tcBorders>
            <w:shd w:val="clear" w:color="auto" w:fill="auto"/>
            <w:noWrap/>
            <w:vAlign w:val="center"/>
            <w:hideMark/>
          </w:tcPr>
          <w:p w:rsidR="00172937" w:rsidRPr="00172937" w:rsidRDefault="00172937" w:rsidP="00172937">
            <w:pPr>
              <w:spacing w:before="0" w:after="0"/>
              <w:jc w:val="right"/>
              <w:rPr>
                <w:rFonts w:ascii="Calibri" w:eastAsia="Times New Roman" w:hAnsi="Calibri" w:cs="Times New Roman"/>
                <w:color w:val="000000"/>
                <w:sz w:val="20"/>
                <w:szCs w:val="20"/>
                <w:lang w:eastAsia="cs-CZ"/>
              </w:rPr>
            </w:pPr>
          </w:p>
        </w:tc>
        <w:tc>
          <w:tcPr>
            <w:tcW w:w="1022" w:type="dxa"/>
            <w:tcBorders>
              <w:top w:val="nil"/>
              <w:left w:val="nil"/>
              <w:bottom w:val="nil"/>
              <w:right w:val="nil"/>
            </w:tcBorders>
            <w:shd w:val="clear" w:color="auto" w:fill="auto"/>
            <w:noWrap/>
            <w:vAlign w:val="center"/>
            <w:hideMark/>
          </w:tcPr>
          <w:p w:rsidR="00172937" w:rsidRPr="00172937" w:rsidRDefault="00172937" w:rsidP="00172937">
            <w:pPr>
              <w:spacing w:before="0" w:after="0"/>
              <w:jc w:val="right"/>
              <w:rPr>
                <w:rFonts w:ascii="Calibri" w:eastAsia="Times New Roman" w:hAnsi="Calibri" w:cs="Times New Roman"/>
                <w:color w:val="000000"/>
                <w:sz w:val="20"/>
                <w:szCs w:val="20"/>
                <w:lang w:eastAsia="cs-CZ"/>
              </w:rPr>
            </w:pPr>
          </w:p>
        </w:tc>
        <w:tc>
          <w:tcPr>
            <w:tcW w:w="378" w:type="dxa"/>
            <w:tcBorders>
              <w:top w:val="nil"/>
              <w:left w:val="nil"/>
              <w:bottom w:val="nil"/>
              <w:right w:val="nil"/>
            </w:tcBorders>
            <w:shd w:val="clear" w:color="auto" w:fill="auto"/>
            <w:noWrap/>
            <w:vAlign w:val="center"/>
            <w:hideMark/>
          </w:tcPr>
          <w:p w:rsidR="00172937" w:rsidRPr="00172937" w:rsidRDefault="00172937" w:rsidP="00172937">
            <w:pPr>
              <w:spacing w:before="0" w:after="0"/>
              <w:jc w:val="right"/>
              <w:rPr>
                <w:rFonts w:ascii="Calibri" w:eastAsia="Times New Roman" w:hAnsi="Calibri" w:cs="Times New Roman"/>
                <w:color w:val="000000"/>
                <w:sz w:val="20"/>
                <w:szCs w:val="20"/>
                <w:lang w:eastAsia="cs-CZ"/>
              </w:rPr>
            </w:pPr>
          </w:p>
        </w:tc>
        <w:tc>
          <w:tcPr>
            <w:tcW w:w="1340" w:type="dxa"/>
            <w:tcBorders>
              <w:top w:val="nil"/>
              <w:left w:val="nil"/>
              <w:bottom w:val="nil"/>
              <w:right w:val="nil"/>
            </w:tcBorders>
            <w:shd w:val="clear" w:color="auto" w:fill="auto"/>
            <w:noWrap/>
            <w:vAlign w:val="center"/>
            <w:hideMark/>
          </w:tcPr>
          <w:p w:rsidR="00172937" w:rsidRPr="00172937" w:rsidRDefault="00172937" w:rsidP="003A5EDB">
            <w:pPr>
              <w:spacing w:before="0" w:after="0"/>
              <w:ind w:right="231"/>
              <w:jc w:val="right"/>
              <w:rPr>
                <w:rFonts w:ascii="Calibri" w:eastAsia="Times New Roman" w:hAnsi="Calibri" w:cs="Times New Roman"/>
                <w:color w:val="000000"/>
                <w:sz w:val="20"/>
                <w:szCs w:val="20"/>
                <w:lang w:eastAsia="cs-CZ"/>
              </w:rPr>
            </w:pPr>
            <w:r w:rsidRPr="00172937">
              <w:rPr>
                <w:rFonts w:ascii="Calibri" w:eastAsia="Times New Roman" w:hAnsi="Calibri" w:cs="Times New Roman"/>
                <w:color w:val="000000"/>
                <w:sz w:val="20"/>
                <w:szCs w:val="20"/>
                <w:lang w:eastAsia="cs-CZ"/>
              </w:rPr>
              <w:t>10 521</w:t>
            </w:r>
          </w:p>
        </w:tc>
        <w:tc>
          <w:tcPr>
            <w:tcW w:w="1340" w:type="dxa"/>
            <w:tcBorders>
              <w:top w:val="nil"/>
              <w:left w:val="nil"/>
              <w:bottom w:val="nil"/>
              <w:right w:val="nil"/>
            </w:tcBorders>
            <w:shd w:val="clear" w:color="000000" w:fill="F2F2F2"/>
            <w:noWrap/>
            <w:vAlign w:val="center"/>
            <w:hideMark/>
          </w:tcPr>
          <w:p w:rsidR="00172937" w:rsidRPr="00172937" w:rsidRDefault="00172937" w:rsidP="003A5EDB">
            <w:pPr>
              <w:spacing w:before="0" w:after="0"/>
              <w:ind w:right="154"/>
              <w:jc w:val="right"/>
              <w:rPr>
                <w:rFonts w:ascii="Calibri" w:eastAsia="Times New Roman" w:hAnsi="Calibri" w:cs="Times New Roman"/>
                <w:b/>
                <w:bCs/>
                <w:color w:val="000000"/>
                <w:sz w:val="20"/>
                <w:szCs w:val="20"/>
                <w:lang w:eastAsia="cs-CZ"/>
              </w:rPr>
            </w:pPr>
            <w:r w:rsidRPr="00172937">
              <w:rPr>
                <w:rFonts w:ascii="Calibri" w:eastAsia="Times New Roman" w:hAnsi="Calibri" w:cs="Times New Roman"/>
                <w:b/>
                <w:bCs/>
                <w:color w:val="000000"/>
                <w:sz w:val="20"/>
                <w:szCs w:val="20"/>
                <w:lang w:eastAsia="cs-CZ"/>
              </w:rPr>
              <w:t>37 923</w:t>
            </w:r>
          </w:p>
        </w:tc>
      </w:tr>
      <w:tr w:rsidR="00172937" w:rsidRPr="00172937" w:rsidTr="00172937">
        <w:trPr>
          <w:trHeight w:val="300"/>
        </w:trPr>
        <w:tc>
          <w:tcPr>
            <w:tcW w:w="1193" w:type="dxa"/>
            <w:vMerge/>
            <w:tcBorders>
              <w:top w:val="nil"/>
              <w:left w:val="nil"/>
              <w:bottom w:val="single" w:sz="4" w:space="0" w:color="000000"/>
              <w:right w:val="nil"/>
            </w:tcBorders>
            <w:vAlign w:val="center"/>
            <w:hideMark/>
          </w:tcPr>
          <w:p w:rsidR="00172937" w:rsidRPr="00172937" w:rsidRDefault="00172937" w:rsidP="00172937">
            <w:pPr>
              <w:spacing w:before="0" w:after="0"/>
              <w:jc w:val="left"/>
              <w:rPr>
                <w:rFonts w:ascii="Calibri" w:eastAsia="Times New Roman" w:hAnsi="Calibri" w:cs="Times New Roman"/>
                <w:b/>
                <w:bCs/>
                <w:color w:val="000000"/>
                <w:sz w:val="20"/>
                <w:szCs w:val="20"/>
                <w:lang w:eastAsia="cs-CZ"/>
              </w:rPr>
            </w:pPr>
          </w:p>
        </w:tc>
        <w:tc>
          <w:tcPr>
            <w:tcW w:w="2780" w:type="dxa"/>
            <w:tcBorders>
              <w:top w:val="nil"/>
              <w:left w:val="nil"/>
              <w:bottom w:val="single" w:sz="4" w:space="0" w:color="auto"/>
              <w:right w:val="nil"/>
            </w:tcBorders>
            <w:shd w:val="clear" w:color="auto" w:fill="auto"/>
            <w:noWrap/>
            <w:vAlign w:val="center"/>
            <w:hideMark/>
          </w:tcPr>
          <w:p w:rsidR="00172937" w:rsidRPr="00172937" w:rsidRDefault="00172937" w:rsidP="00172937">
            <w:pPr>
              <w:spacing w:before="0" w:after="0"/>
              <w:jc w:val="left"/>
              <w:rPr>
                <w:rFonts w:ascii="Calibri" w:eastAsia="Times New Roman" w:hAnsi="Calibri" w:cs="Times New Roman"/>
                <w:color w:val="000000"/>
                <w:sz w:val="20"/>
                <w:szCs w:val="20"/>
                <w:lang w:eastAsia="cs-CZ"/>
              </w:rPr>
            </w:pPr>
            <w:r w:rsidRPr="00172937">
              <w:rPr>
                <w:rFonts w:ascii="Calibri" w:eastAsia="Times New Roman" w:hAnsi="Calibri" w:cs="Times New Roman"/>
                <w:color w:val="000000"/>
                <w:sz w:val="20"/>
                <w:szCs w:val="20"/>
                <w:lang w:eastAsia="cs-CZ"/>
              </w:rPr>
              <w:t>GŘ HZS - IOOLB</w:t>
            </w:r>
          </w:p>
        </w:tc>
        <w:tc>
          <w:tcPr>
            <w:tcW w:w="1022" w:type="dxa"/>
            <w:tcBorders>
              <w:top w:val="nil"/>
              <w:left w:val="nil"/>
              <w:bottom w:val="single" w:sz="4" w:space="0" w:color="auto"/>
              <w:right w:val="nil"/>
            </w:tcBorders>
            <w:shd w:val="clear" w:color="auto" w:fill="auto"/>
            <w:noWrap/>
            <w:vAlign w:val="center"/>
            <w:hideMark/>
          </w:tcPr>
          <w:p w:rsidR="00172937" w:rsidRPr="00172937" w:rsidRDefault="00172937" w:rsidP="00172937">
            <w:pPr>
              <w:spacing w:before="0" w:after="0"/>
              <w:jc w:val="right"/>
              <w:rPr>
                <w:rFonts w:ascii="Calibri" w:eastAsia="Times New Roman" w:hAnsi="Calibri" w:cs="Times New Roman"/>
                <w:color w:val="000000"/>
                <w:sz w:val="20"/>
                <w:szCs w:val="20"/>
                <w:lang w:eastAsia="cs-CZ"/>
              </w:rPr>
            </w:pPr>
            <w:r w:rsidRPr="00172937">
              <w:rPr>
                <w:rFonts w:ascii="Calibri" w:eastAsia="Times New Roman" w:hAnsi="Calibri" w:cs="Times New Roman"/>
                <w:color w:val="000000"/>
                <w:sz w:val="20"/>
                <w:szCs w:val="20"/>
                <w:lang w:eastAsia="cs-CZ"/>
              </w:rPr>
              <w:t>54 460</w:t>
            </w:r>
          </w:p>
        </w:tc>
        <w:tc>
          <w:tcPr>
            <w:tcW w:w="378" w:type="dxa"/>
            <w:tcBorders>
              <w:top w:val="nil"/>
              <w:left w:val="nil"/>
              <w:bottom w:val="single" w:sz="4" w:space="0" w:color="auto"/>
              <w:right w:val="nil"/>
            </w:tcBorders>
            <w:shd w:val="clear" w:color="auto" w:fill="auto"/>
            <w:noWrap/>
            <w:vAlign w:val="center"/>
            <w:hideMark/>
          </w:tcPr>
          <w:p w:rsidR="00172937" w:rsidRPr="00172937" w:rsidRDefault="00172937" w:rsidP="00172937">
            <w:pPr>
              <w:spacing w:before="0" w:after="0"/>
              <w:jc w:val="right"/>
              <w:rPr>
                <w:rFonts w:ascii="Calibri" w:eastAsia="Times New Roman" w:hAnsi="Calibri" w:cs="Times New Roman"/>
                <w:color w:val="000000"/>
                <w:sz w:val="20"/>
                <w:szCs w:val="20"/>
                <w:lang w:eastAsia="cs-CZ"/>
              </w:rPr>
            </w:pPr>
            <w:r w:rsidRPr="00172937">
              <w:rPr>
                <w:rFonts w:ascii="Calibri" w:eastAsia="Times New Roman" w:hAnsi="Calibri" w:cs="Times New Roman"/>
                <w:color w:val="000000"/>
                <w:sz w:val="20"/>
                <w:szCs w:val="20"/>
                <w:lang w:eastAsia="cs-CZ"/>
              </w:rPr>
              <w:t> </w:t>
            </w:r>
          </w:p>
        </w:tc>
        <w:tc>
          <w:tcPr>
            <w:tcW w:w="1022" w:type="dxa"/>
            <w:tcBorders>
              <w:top w:val="nil"/>
              <w:left w:val="nil"/>
              <w:bottom w:val="single" w:sz="4" w:space="0" w:color="auto"/>
              <w:right w:val="nil"/>
            </w:tcBorders>
            <w:shd w:val="clear" w:color="auto" w:fill="auto"/>
            <w:noWrap/>
            <w:vAlign w:val="center"/>
            <w:hideMark/>
          </w:tcPr>
          <w:p w:rsidR="00172937" w:rsidRPr="00172937" w:rsidRDefault="00172937" w:rsidP="00172937">
            <w:pPr>
              <w:spacing w:before="0" w:after="0"/>
              <w:jc w:val="right"/>
              <w:rPr>
                <w:rFonts w:ascii="Calibri" w:eastAsia="Times New Roman" w:hAnsi="Calibri" w:cs="Times New Roman"/>
                <w:color w:val="000000"/>
                <w:sz w:val="20"/>
                <w:szCs w:val="20"/>
                <w:lang w:eastAsia="cs-CZ"/>
              </w:rPr>
            </w:pPr>
            <w:r w:rsidRPr="00172937">
              <w:rPr>
                <w:rFonts w:ascii="Calibri" w:eastAsia="Times New Roman" w:hAnsi="Calibri" w:cs="Times New Roman"/>
                <w:color w:val="000000"/>
                <w:sz w:val="20"/>
                <w:szCs w:val="20"/>
                <w:lang w:eastAsia="cs-CZ"/>
              </w:rPr>
              <w:t>23 200</w:t>
            </w:r>
          </w:p>
        </w:tc>
        <w:tc>
          <w:tcPr>
            <w:tcW w:w="378" w:type="dxa"/>
            <w:tcBorders>
              <w:top w:val="nil"/>
              <w:left w:val="nil"/>
              <w:bottom w:val="single" w:sz="4" w:space="0" w:color="auto"/>
              <w:right w:val="nil"/>
            </w:tcBorders>
            <w:shd w:val="clear" w:color="auto" w:fill="auto"/>
            <w:noWrap/>
            <w:vAlign w:val="center"/>
            <w:hideMark/>
          </w:tcPr>
          <w:p w:rsidR="00172937" w:rsidRPr="00172937" w:rsidRDefault="00172937" w:rsidP="00172937">
            <w:pPr>
              <w:spacing w:before="0" w:after="0"/>
              <w:jc w:val="right"/>
              <w:rPr>
                <w:rFonts w:ascii="Calibri" w:eastAsia="Times New Roman" w:hAnsi="Calibri" w:cs="Times New Roman"/>
                <w:color w:val="000000"/>
                <w:sz w:val="20"/>
                <w:szCs w:val="20"/>
                <w:lang w:eastAsia="cs-CZ"/>
              </w:rPr>
            </w:pPr>
            <w:r w:rsidRPr="00172937">
              <w:rPr>
                <w:rFonts w:ascii="Calibri" w:eastAsia="Times New Roman" w:hAnsi="Calibri" w:cs="Times New Roman"/>
                <w:color w:val="000000"/>
                <w:sz w:val="20"/>
                <w:szCs w:val="20"/>
                <w:lang w:eastAsia="cs-CZ"/>
              </w:rPr>
              <w:t> </w:t>
            </w:r>
          </w:p>
        </w:tc>
        <w:tc>
          <w:tcPr>
            <w:tcW w:w="1340" w:type="dxa"/>
            <w:tcBorders>
              <w:top w:val="nil"/>
              <w:left w:val="nil"/>
              <w:bottom w:val="single" w:sz="4" w:space="0" w:color="auto"/>
              <w:right w:val="nil"/>
            </w:tcBorders>
            <w:shd w:val="clear" w:color="auto" w:fill="auto"/>
            <w:noWrap/>
            <w:vAlign w:val="center"/>
            <w:hideMark/>
          </w:tcPr>
          <w:p w:rsidR="00172937" w:rsidRPr="00172937" w:rsidRDefault="00172937" w:rsidP="003A5EDB">
            <w:pPr>
              <w:spacing w:before="0" w:after="0"/>
              <w:ind w:right="231"/>
              <w:jc w:val="right"/>
              <w:rPr>
                <w:rFonts w:ascii="Calibri" w:eastAsia="Times New Roman" w:hAnsi="Calibri" w:cs="Times New Roman"/>
                <w:color w:val="000000"/>
                <w:sz w:val="20"/>
                <w:szCs w:val="20"/>
                <w:lang w:eastAsia="cs-CZ"/>
              </w:rPr>
            </w:pPr>
            <w:r w:rsidRPr="00172937">
              <w:rPr>
                <w:rFonts w:ascii="Calibri" w:eastAsia="Times New Roman" w:hAnsi="Calibri" w:cs="Times New Roman"/>
                <w:color w:val="000000"/>
                <w:sz w:val="20"/>
                <w:szCs w:val="20"/>
                <w:lang w:eastAsia="cs-CZ"/>
              </w:rPr>
              <w:t>63 918</w:t>
            </w:r>
          </w:p>
        </w:tc>
        <w:tc>
          <w:tcPr>
            <w:tcW w:w="1340" w:type="dxa"/>
            <w:tcBorders>
              <w:top w:val="nil"/>
              <w:left w:val="nil"/>
              <w:bottom w:val="single" w:sz="4" w:space="0" w:color="auto"/>
              <w:right w:val="nil"/>
            </w:tcBorders>
            <w:shd w:val="clear" w:color="000000" w:fill="F2F2F2"/>
            <w:noWrap/>
            <w:vAlign w:val="center"/>
            <w:hideMark/>
          </w:tcPr>
          <w:p w:rsidR="00172937" w:rsidRPr="00172937" w:rsidRDefault="00172937" w:rsidP="003A5EDB">
            <w:pPr>
              <w:spacing w:before="0" w:after="0"/>
              <w:ind w:right="154"/>
              <w:jc w:val="right"/>
              <w:rPr>
                <w:rFonts w:ascii="Calibri" w:eastAsia="Times New Roman" w:hAnsi="Calibri" w:cs="Times New Roman"/>
                <w:b/>
                <w:bCs/>
                <w:color w:val="000000"/>
                <w:sz w:val="20"/>
                <w:szCs w:val="20"/>
                <w:lang w:eastAsia="cs-CZ"/>
              </w:rPr>
            </w:pPr>
            <w:r w:rsidRPr="00172937">
              <w:rPr>
                <w:rFonts w:ascii="Calibri" w:eastAsia="Times New Roman" w:hAnsi="Calibri" w:cs="Times New Roman"/>
                <w:b/>
                <w:bCs/>
                <w:color w:val="000000"/>
                <w:sz w:val="20"/>
                <w:szCs w:val="20"/>
                <w:lang w:eastAsia="cs-CZ"/>
              </w:rPr>
              <w:t>118 378</w:t>
            </w:r>
          </w:p>
        </w:tc>
      </w:tr>
      <w:tr w:rsidR="00172937" w:rsidRPr="00172937" w:rsidTr="00172937">
        <w:trPr>
          <w:trHeight w:val="300"/>
        </w:trPr>
        <w:tc>
          <w:tcPr>
            <w:tcW w:w="3973" w:type="dxa"/>
            <w:gridSpan w:val="2"/>
            <w:tcBorders>
              <w:top w:val="nil"/>
              <w:left w:val="nil"/>
              <w:bottom w:val="nil"/>
              <w:right w:val="nil"/>
            </w:tcBorders>
            <w:shd w:val="clear" w:color="auto" w:fill="auto"/>
            <w:noWrap/>
            <w:vAlign w:val="center"/>
            <w:hideMark/>
          </w:tcPr>
          <w:p w:rsidR="00172937" w:rsidRPr="00172937" w:rsidRDefault="00172937" w:rsidP="00172937">
            <w:pPr>
              <w:spacing w:before="0" w:after="0"/>
              <w:jc w:val="left"/>
              <w:rPr>
                <w:rFonts w:ascii="Calibri" w:eastAsia="Times New Roman" w:hAnsi="Calibri" w:cs="Times New Roman"/>
                <w:color w:val="000000"/>
                <w:sz w:val="20"/>
                <w:szCs w:val="20"/>
                <w:lang w:eastAsia="cs-CZ"/>
              </w:rPr>
            </w:pPr>
            <w:r w:rsidRPr="00172937">
              <w:rPr>
                <w:rFonts w:ascii="Calibri" w:eastAsia="Times New Roman" w:hAnsi="Calibri" w:cs="Times New Roman"/>
                <w:color w:val="000000"/>
                <w:sz w:val="20"/>
                <w:szCs w:val="20"/>
                <w:lang w:eastAsia="cs-CZ"/>
              </w:rPr>
              <w:t>Policejní akademie ČR</w:t>
            </w:r>
          </w:p>
        </w:tc>
        <w:tc>
          <w:tcPr>
            <w:tcW w:w="1022" w:type="dxa"/>
            <w:tcBorders>
              <w:top w:val="nil"/>
              <w:left w:val="nil"/>
              <w:bottom w:val="nil"/>
              <w:right w:val="nil"/>
            </w:tcBorders>
            <w:shd w:val="clear" w:color="auto" w:fill="auto"/>
            <w:noWrap/>
            <w:vAlign w:val="center"/>
            <w:hideMark/>
          </w:tcPr>
          <w:p w:rsidR="00172937" w:rsidRPr="00172937" w:rsidRDefault="00172937" w:rsidP="00172937">
            <w:pPr>
              <w:spacing w:before="0" w:after="0"/>
              <w:jc w:val="right"/>
              <w:rPr>
                <w:rFonts w:ascii="Calibri" w:eastAsia="Times New Roman" w:hAnsi="Calibri" w:cs="Times New Roman"/>
                <w:color w:val="000000"/>
                <w:sz w:val="20"/>
                <w:szCs w:val="20"/>
                <w:lang w:eastAsia="cs-CZ"/>
              </w:rPr>
            </w:pPr>
            <w:r w:rsidRPr="00172937">
              <w:rPr>
                <w:rFonts w:ascii="Calibri" w:eastAsia="Times New Roman" w:hAnsi="Calibri" w:cs="Times New Roman"/>
                <w:color w:val="000000"/>
                <w:sz w:val="20"/>
                <w:szCs w:val="20"/>
                <w:lang w:eastAsia="cs-CZ"/>
              </w:rPr>
              <w:t>1 349</w:t>
            </w:r>
          </w:p>
        </w:tc>
        <w:tc>
          <w:tcPr>
            <w:tcW w:w="378" w:type="dxa"/>
            <w:tcBorders>
              <w:top w:val="nil"/>
              <w:left w:val="nil"/>
              <w:bottom w:val="nil"/>
              <w:right w:val="nil"/>
            </w:tcBorders>
            <w:shd w:val="clear" w:color="auto" w:fill="auto"/>
            <w:noWrap/>
            <w:vAlign w:val="center"/>
            <w:hideMark/>
          </w:tcPr>
          <w:p w:rsidR="00172937" w:rsidRPr="00172937" w:rsidRDefault="00172937" w:rsidP="00172937">
            <w:pPr>
              <w:spacing w:before="0" w:after="0"/>
              <w:jc w:val="right"/>
              <w:rPr>
                <w:rFonts w:ascii="Calibri" w:eastAsia="Times New Roman" w:hAnsi="Calibri" w:cs="Times New Roman"/>
                <w:color w:val="000000"/>
                <w:sz w:val="20"/>
                <w:szCs w:val="20"/>
                <w:lang w:eastAsia="cs-CZ"/>
              </w:rPr>
            </w:pPr>
            <w:r w:rsidRPr="00172937">
              <w:rPr>
                <w:rFonts w:ascii="Calibri" w:eastAsia="Times New Roman" w:hAnsi="Calibri" w:cs="Times New Roman"/>
                <w:color w:val="000000"/>
                <w:sz w:val="20"/>
                <w:szCs w:val="20"/>
                <w:lang w:eastAsia="cs-CZ"/>
              </w:rPr>
              <w:t>(1)</w:t>
            </w:r>
          </w:p>
        </w:tc>
        <w:tc>
          <w:tcPr>
            <w:tcW w:w="1022" w:type="dxa"/>
            <w:tcBorders>
              <w:top w:val="nil"/>
              <w:left w:val="nil"/>
              <w:bottom w:val="nil"/>
              <w:right w:val="nil"/>
            </w:tcBorders>
            <w:shd w:val="clear" w:color="auto" w:fill="auto"/>
            <w:noWrap/>
            <w:vAlign w:val="center"/>
            <w:hideMark/>
          </w:tcPr>
          <w:p w:rsidR="00172937" w:rsidRPr="00172937" w:rsidRDefault="00172937" w:rsidP="00172937">
            <w:pPr>
              <w:spacing w:before="0" w:after="0"/>
              <w:jc w:val="right"/>
              <w:rPr>
                <w:rFonts w:ascii="Calibri" w:eastAsia="Times New Roman" w:hAnsi="Calibri" w:cs="Times New Roman"/>
                <w:color w:val="000000"/>
                <w:sz w:val="20"/>
                <w:szCs w:val="20"/>
                <w:lang w:eastAsia="cs-CZ"/>
              </w:rPr>
            </w:pPr>
          </w:p>
        </w:tc>
        <w:tc>
          <w:tcPr>
            <w:tcW w:w="378" w:type="dxa"/>
            <w:tcBorders>
              <w:top w:val="nil"/>
              <w:left w:val="nil"/>
              <w:bottom w:val="nil"/>
              <w:right w:val="nil"/>
            </w:tcBorders>
            <w:shd w:val="clear" w:color="auto" w:fill="auto"/>
            <w:noWrap/>
            <w:vAlign w:val="center"/>
            <w:hideMark/>
          </w:tcPr>
          <w:p w:rsidR="00172937" w:rsidRPr="00172937" w:rsidRDefault="00172937" w:rsidP="00172937">
            <w:pPr>
              <w:spacing w:before="0" w:after="0"/>
              <w:jc w:val="right"/>
              <w:rPr>
                <w:rFonts w:ascii="Calibri" w:eastAsia="Times New Roman" w:hAnsi="Calibri" w:cs="Times New Roman"/>
                <w:color w:val="000000"/>
                <w:sz w:val="20"/>
                <w:szCs w:val="20"/>
                <w:lang w:eastAsia="cs-CZ"/>
              </w:rPr>
            </w:pPr>
          </w:p>
        </w:tc>
        <w:tc>
          <w:tcPr>
            <w:tcW w:w="1340" w:type="dxa"/>
            <w:tcBorders>
              <w:top w:val="nil"/>
              <w:left w:val="nil"/>
              <w:bottom w:val="nil"/>
              <w:right w:val="nil"/>
            </w:tcBorders>
            <w:shd w:val="clear" w:color="auto" w:fill="auto"/>
            <w:noWrap/>
            <w:vAlign w:val="center"/>
            <w:hideMark/>
          </w:tcPr>
          <w:p w:rsidR="00172937" w:rsidRPr="00172937" w:rsidRDefault="00172937" w:rsidP="003A5EDB">
            <w:pPr>
              <w:spacing w:before="0" w:after="0"/>
              <w:ind w:right="231"/>
              <w:jc w:val="right"/>
              <w:rPr>
                <w:rFonts w:ascii="Calibri" w:eastAsia="Times New Roman" w:hAnsi="Calibri" w:cs="Times New Roman"/>
                <w:color w:val="000000"/>
                <w:sz w:val="20"/>
                <w:szCs w:val="20"/>
                <w:lang w:eastAsia="cs-CZ"/>
              </w:rPr>
            </w:pPr>
            <w:r w:rsidRPr="00172937">
              <w:rPr>
                <w:rFonts w:ascii="Calibri" w:eastAsia="Times New Roman" w:hAnsi="Calibri" w:cs="Times New Roman"/>
                <w:color w:val="000000"/>
                <w:sz w:val="20"/>
                <w:szCs w:val="20"/>
                <w:lang w:eastAsia="cs-CZ"/>
              </w:rPr>
              <w:t>41 043</w:t>
            </w:r>
          </w:p>
        </w:tc>
        <w:tc>
          <w:tcPr>
            <w:tcW w:w="1340" w:type="dxa"/>
            <w:tcBorders>
              <w:top w:val="nil"/>
              <w:left w:val="nil"/>
              <w:bottom w:val="nil"/>
              <w:right w:val="nil"/>
            </w:tcBorders>
            <w:shd w:val="clear" w:color="000000" w:fill="F2F2F2"/>
            <w:noWrap/>
            <w:vAlign w:val="center"/>
            <w:hideMark/>
          </w:tcPr>
          <w:p w:rsidR="00172937" w:rsidRPr="00172937" w:rsidRDefault="00172937" w:rsidP="003A5EDB">
            <w:pPr>
              <w:spacing w:before="0" w:after="0"/>
              <w:ind w:right="154"/>
              <w:jc w:val="right"/>
              <w:rPr>
                <w:rFonts w:ascii="Calibri" w:eastAsia="Times New Roman" w:hAnsi="Calibri" w:cs="Times New Roman"/>
                <w:b/>
                <w:bCs/>
                <w:color w:val="000000"/>
                <w:sz w:val="20"/>
                <w:szCs w:val="20"/>
                <w:lang w:eastAsia="cs-CZ"/>
              </w:rPr>
            </w:pPr>
            <w:r w:rsidRPr="00172937">
              <w:rPr>
                <w:rFonts w:ascii="Calibri" w:eastAsia="Times New Roman" w:hAnsi="Calibri" w:cs="Times New Roman"/>
                <w:b/>
                <w:bCs/>
                <w:color w:val="000000"/>
                <w:sz w:val="20"/>
                <w:szCs w:val="20"/>
                <w:lang w:eastAsia="cs-CZ"/>
              </w:rPr>
              <w:t>42 392</w:t>
            </w:r>
          </w:p>
        </w:tc>
      </w:tr>
      <w:tr w:rsidR="00172937" w:rsidRPr="00172937" w:rsidTr="00172937">
        <w:trPr>
          <w:trHeight w:val="300"/>
        </w:trPr>
        <w:tc>
          <w:tcPr>
            <w:tcW w:w="3973" w:type="dxa"/>
            <w:gridSpan w:val="2"/>
            <w:tcBorders>
              <w:top w:val="nil"/>
              <w:left w:val="nil"/>
              <w:bottom w:val="nil"/>
              <w:right w:val="nil"/>
            </w:tcBorders>
            <w:shd w:val="clear" w:color="auto" w:fill="auto"/>
            <w:noWrap/>
            <w:vAlign w:val="center"/>
            <w:hideMark/>
          </w:tcPr>
          <w:p w:rsidR="00172937" w:rsidRPr="00172937" w:rsidRDefault="00172937" w:rsidP="00172937">
            <w:pPr>
              <w:spacing w:before="0" w:after="0"/>
              <w:jc w:val="left"/>
              <w:rPr>
                <w:rFonts w:ascii="Calibri" w:eastAsia="Times New Roman" w:hAnsi="Calibri" w:cs="Times New Roman"/>
                <w:color w:val="000000"/>
                <w:sz w:val="20"/>
                <w:szCs w:val="20"/>
                <w:lang w:eastAsia="cs-CZ"/>
              </w:rPr>
            </w:pPr>
            <w:r w:rsidRPr="00172937">
              <w:rPr>
                <w:rFonts w:ascii="Calibri" w:eastAsia="Times New Roman" w:hAnsi="Calibri" w:cs="Times New Roman"/>
                <w:color w:val="000000"/>
                <w:sz w:val="20"/>
                <w:szCs w:val="20"/>
                <w:lang w:eastAsia="cs-CZ"/>
              </w:rPr>
              <w:t>Institut pro kriminologii a sociální prevenci</w:t>
            </w:r>
          </w:p>
        </w:tc>
        <w:tc>
          <w:tcPr>
            <w:tcW w:w="1022" w:type="dxa"/>
            <w:tcBorders>
              <w:top w:val="nil"/>
              <w:left w:val="nil"/>
              <w:bottom w:val="nil"/>
              <w:right w:val="nil"/>
            </w:tcBorders>
            <w:shd w:val="clear" w:color="auto" w:fill="auto"/>
            <w:noWrap/>
            <w:vAlign w:val="center"/>
            <w:hideMark/>
          </w:tcPr>
          <w:p w:rsidR="00172937" w:rsidRPr="00172937" w:rsidRDefault="00172937" w:rsidP="00172937">
            <w:pPr>
              <w:spacing w:before="0" w:after="0"/>
              <w:jc w:val="right"/>
              <w:rPr>
                <w:rFonts w:ascii="Calibri" w:eastAsia="Times New Roman" w:hAnsi="Calibri" w:cs="Times New Roman"/>
                <w:color w:val="000000"/>
                <w:sz w:val="20"/>
                <w:szCs w:val="20"/>
                <w:lang w:eastAsia="cs-CZ"/>
              </w:rPr>
            </w:pPr>
            <w:r w:rsidRPr="00172937">
              <w:rPr>
                <w:rFonts w:ascii="Calibri" w:eastAsia="Times New Roman" w:hAnsi="Calibri" w:cs="Times New Roman"/>
                <w:color w:val="000000"/>
                <w:sz w:val="20"/>
                <w:szCs w:val="20"/>
                <w:lang w:eastAsia="cs-CZ"/>
              </w:rPr>
              <w:t>4 770</w:t>
            </w:r>
          </w:p>
        </w:tc>
        <w:tc>
          <w:tcPr>
            <w:tcW w:w="378" w:type="dxa"/>
            <w:tcBorders>
              <w:top w:val="nil"/>
              <w:left w:val="nil"/>
              <w:bottom w:val="nil"/>
              <w:right w:val="nil"/>
            </w:tcBorders>
            <w:shd w:val="clear" w:color="auto" w:fill="auto"/>
            <w:noWrap/>
            <w:vAlign w:val="center"/>
            <w:hideMark/>
          </w:tcPr>
          <w:p w:rsidR="00172937" w:rsidRPr="00172937" w:rsidRDefault="00172937" w:rsidP="00172937">
            <w:pPr>
              <w:spacing w:before="0" w:after="0"/>
              <w:jc w:val="right"/>
              <w:rPr>
                <w:rFonts w:ascii="Calibri" w:eastAsia="Times New Roman" w:hAnsi="Calibri" w:cs="Times New Roman"/>
                <w:color w:val="000000"/>
                <w:sz w:val="20"/>
                <w:szCs w:val="20"/>
                <w:lang w:eastAsia="cs-CZ"/>
              </w:rPr>
            </w:pPr>
            <w:r w:rsidRPr="00172937">
              <w:rPr>
                <w:rFonts w:ascii="Calibri" w:eastAsia="Times New Roman" w:hAnsi="Calibri" w:cs="Times New Roman"/>
                <w:color w:val="000000"/>
                <w:sz w:val="20"/>
                <w:szCs w:val="20"/>
                <w:lang w:eastAsia="cs-CZ"/>
              </w:rPr>
              <w:t>(2)</w:t>
            </w:r>
          </w:p>
        </w:tc>
        <w:tc>
          <w:tcPr>
            <w:tcW w:w="1022" w:type="dxa"/>
            <w:tcBorders>
              <w:top w:val="nil"/>
              <w:left w:val="nil"/>
              <w:bottom w:val="nil"/>
              <w:right w:val="nil"/>
            </w:tcBorders>
            <w:shd w:val="clear" w:color="auto" w:fill="auto"/>
            <w:noWrap/>
            <w:vAlign w:val="center"/>
            <w:hideMark/>
          </w:tcPr>
          <w:p w:rsidR="00172937" w:rsidRPr="00172937" w:rsidRDefault="00172937" w:rsidP="00172937">
            <w:pPr>
              <w:spacing w:before="0" w:after="0"/>
              <w:jc w:val="right"/>
              <w:rPr>
                <w:rFonts w:ascii="Calibri" w:eastAsia="Times New Roman" w:hAnsi="Calibri" w:cs="Times New Roman"/>
                <w:color w:val="000000"/>
                <w:sz w:val="20"/>
                <w:szCs w:val="20"/>
                <w:lang w:eastAsia="cs-CZ"/>
              </w:rPr>
            </w:pPr>
            <w:r w:rsidRPr="00172937">
              <w:rPr>
                <w:rFonts w:ascii="Calibri" w:eastAsia="Times New Roman" w:hAnsi="Calibri" w:cs="Times New Roman"/>
                <w:color w:val="000000"/>
                <w:sz w:val="20"/>
                <w:szCs w:val="20"/>
                <w:lang w:eastAsia="cs-CZ"/>
              </w:rPr>
              <w:t>1 219</w:t>
            </w:r>
          </w:p>
        </w:tc>
        <w:tc>
          <w:tcPr>
            <w:tcW w:w="378" w:type="dxa"/>
            <w:tcBorders>
              <w:top w:val="nil"/>
              <w:left w:val="nil"/>
              <w:bottom w:val="nil"/>
              <w:right w:val="nil"/>
            </w:tcBorders>
            <w:shd w:val="clear" w:color="auto" w:fill="auto"/>
            <w:noWrap/>
            <w:vAlign w:val="center"/>
            <w:hideMark/>
          </w:tcPr>
          <w:p w:rsidR="00172937" w:rsidRPr="00172937" w:rsidRDefault="00172937" w:rsidP="00172937">
            <w:pPr>
              <w:spacing w:before="0" w:after="0"/>
              <w:jc w:val="right"/>
              <w:rPr>
                <w:rFonts w:ascii="Calibri" w:eastAsia="Times New Roman" w:hAnsi="Calibri" w:cs="Times New Roman"/>
                <w:color w:val="000000"/>
                <w:sz w:val="20"/>
                <w:szCs w:val="20"/>
                <w:lang w:eastAsia="cs-CZ"/>
              </w:rPr>
            </w:pPr>
          </w:p>
        </w:tc>
        <w:tc>
          <w:tcPr>
            <w:tcW w:w="1340" w:type="dxa"/>
            <w:tcBorders>
              <w:top w:val="nil"/>
              <w:left w:val="nil"/>
              <w:bottom w:val="nil"/>
              <w:right w:val="nil"/>
            </w:tcBorders>
            <w:shd w:val="clear" w:color="auto" w:fill="auto"/>
            <w:noWrap/>
            <w:vAlign w:val="center"/>
            <w:hideMark/>
          </w:tcPr>
          <w:p w:rsidR="00172937" w:rsidRPr="00172937" w:rsidRDefault="00172937" w:rsidP="003A5EDB">
            <w:pPr>
              <w:spacing w:before="0" w:after="0"/>
              <w:ind w:right="231"/>
              <w:jc w:val="right"/>
              <w:rPr>
                <w:rFonts w:ascii="Calibri" w:eastAsia="Times New Roman" w:hAnsi="Calibri" w:cs="Times New Roman"/>
                <w:color w:val="000000"/>
                <w:sz w:val="20"/>
                <w:szCs w:val="20"/>
                <w:lang w:eastAsia="cs-CZ"/>
              </w:rPr>
            </w:pPr>
            <w:r w:rsidRPr="00172937">
              <w:rPr>
                <w:rFonts w:ascii="Calibri" w:eastAsia="Times New Roman" w:hAnsi="Calibri" w:cs="Times New Roman"/>
                <w:color w:val="000000"/>
                <w:sz w:val="20"/>
                <w:szCs w:val="20"/>
                <w:lang w:eastAsia="cs-CZ"/>
              </w:rPr>
              <w:t>32 870</w:t>
            </w:r>
          </w:p>
        </w:tc>
        <w:tc>
          <w:tcPr>
            <w:tcW w:w="1340" w:type="dxa"/>
            <w:tcBorders>
              <w:top w:val="nil"/>
              <w:left w:val="nil"/>
              <w:bottom w:val="nil"/>
              <w:right w:val="nil"/>
            </w:tcBorders>
            <w:shd w:val="clear" w:color="000000" w:fill="F2F2F2"/>
            <w:noWrap/>
            <w:vAlign w:val="center"/>
            <w:hideMark/>
          </w:tcPr>
          <w:p w:rsidR="00172937" w:rsidRPr="00172937" w:rsidRDefault="00172937" w:rsidP="003A5EDB">
            <w:pPr>
              <w:spacing w:before="0" w:after="0"/>
              <w:ind w:right="154"/>
              <w:jc w:val="right"/>
              <w:rPr>
                <w:rFonts w:ascii="Calibri" w:eastAsia="Times New Roman" w:hAnsi="Calibri" w:cs="Times New Roman"/>
                <w:b/>
                <w:bCs/>
                <w:color w:val="000000"/>
                <w:sz w:val="20"/>
                <w:szCs w:val="20"/>
                <w:lang w:eastAsia="cs-CZ"/>
              </w:rPr>
            </w:pPr>
            <w:r w:rsidRPr="00172937">
              <w:rPr>
                <w:rFonts w:ascii="Calibri" w:eastAsia="Times New Roman" w:hAnsi="Calibri" w:cs="Times New Roman"/>
                <w:b/>
                <w:bCs/>
                <w:color w:val="000000"/>
                <w:sz w:val="20"/>
                <w:szCs w:val="20"/>
                <w:lang w:eastAsia="cs-CZ"/>
              </w:rPr>
              <w:t>37 640</w:t>
            </w:r>
          </w:p>
        </w:tc>
      </w:tr>
      <w:tr w:rsidR="00172937" w:rsidRPr="00172937" w:rsidTr="00172937">
        <w:trPr>
          <w:trHeight w:val="300"/>
        </w:trPr>
        <w:tc>
          <w:tcPr>
            <w:tcW w:w="3973" w:type="dxa"/>
            <w:gridSpan w:val="2"/>
            <w:tcBorders>
              <w:top w:val="nil"/>
              <w:left w:val="nil"/>
              <w:bottom w:val="nil"/>
              <w:right w:val="nil"/>
            </w:tcBorders>
            <w:shd w:val="clear" w:color="auto" w:fill="auto"/>
            <w:noWrap/>
            <w:vAlign w:val="center"/>
            <w:hideMark/>
          </w:tcPr>
          <w:p w:rsidR="00172937" w:rsidRPr="00172937" w:rsidRDefault="00172937" w:rsidP="00172937">
            <w:pPr>
              <w:spacing w:before="0" w:after="0"/>
              <w:jc w:val="left"/>
              <w:rPr>
                <w:rFonts w:ascii="Calibri" w:eastAsia="Times New Roman" w:hAnsi="Calibri" w:cs="Times New Roman"/>
                <w:color w:val="000000"/>
                <w:sz w:val="20"/>
                <w:szCs w:val="20"/>
                <w:lang w:eastAsia="cs-CZ"/>
              </w:rPr>
            </w:pPr>
            <w:r w:rsidRPr="00172937">
              <w:rPr>
                <w:rFonts w:ascii="Calibri" w:eastAsia="Times New Roman" w:hAnsi="Calibri" w:cs="Times New Roman"/>
                <w:color w:val="000000"/>
                <w:sz w:val="20"/>
                <w:szCs w:val="20"/>
                <w:lang w:eastAsia="cs-CZ"/>
              </w:rPr>
              <w:t>SÚRO</w:t>
            </w:r>
          </w:p>
        </w:tc>
        <w:tc>
          <w:tcPr>
            <w:tcW w:w="1022" w:type="dxa"/>
            <w:tcBorders>
              <w:top w:val="nil"/>
              <w:left w:val="nil"/>
              <w:bottom w:val="nil"/>
              <w:right w:val="nil"/>
            </w:tcBorders>
            <w:shd w:val="clear" w:color="auto" w:fill="auto"/>
            <w:noWrap/>
            <w:vAlign w:val="center"/>
            <w:hideMark/>
          </w:tcPr>
          <w:p w:rsidR="00172937" w:rsidRPr="00172937" w:rsidRDefault="00172937" w:rsidP="00172937">
            <w:pPr>
              <w:spacing w:before="0" w:after="0"/>
              <w:jc w:val="right"/>
              <w:rPr>
                <w:rFonts w:ascii="Calibri" w:eastAsia="Times New Roman" w:hAnsi="Calibri" w:cs="Times New Roman"/>
                <w:color w:val="000000"/>
                <w:sz w:val="20"/>
                <w:szCs w:val="20"/>
                <w:lang w:eastAsia="cs-CZ"/>
              </w:rPr>
            </w:pPr>
            <w:r w:rsidRPr="00172937">
              <w:rPr>
                <w:rFonts w:ascii="Calibri" w:eastAsia="Times New Roman" w:hAnsi="Calibri" w:cs="Times New Roman"/>
                <w:color w:val="000000"/>
                <w:sz w:val="20"/>
                <w:szCs w:val="20"/>
                <w:lang w:eastAsia="cs-CZ"/>
              </w:rPr>
              <w:t>112 303</w:t>
            </w:r>
          </w:p>
        </w:tc>
        <w:tc>
          <w:tcPr>
            <w:tcW w:w="378" w:type="dxa"/>
            <w:tcBorders>
              <w:top w:val="nil"/>
              <w:left w:val="nil"/>
              <w:bottom w:val="nil"/>
              <w:right w:val="nil"/>
            </w:tcBorders>
            <w:shd w:val="clear" w:color="auto" w:fill="auto"/>
            <w:noWrap/>
            <w:vAlign w:val="center"/>
            <w:hideMark/>
          </w:tcPr>
          <w:p w:rsidR="00172937" w:rsidRPr="00172937" w:rsidRDefault="00172937" w:rsidP="00172937">
            <w:pPr>
              <w:spacing w:before="0" w:after="0"/>
              <w:jc w:val="right"/>
              <w:rPr>
                <w:rFonts w:ascii="Calibri" w:eastAsia="Times New Roman" w:hAnsi="Calibri" w:cs="Times New Roman"/>
                <w:color w:val="000000"/>
                <w:sz w:val="20"/>
                <w:szCs w:val="20"/>
                <w:lang w:eastAsia="cs-CZ"/>
              </w:rPr>
            </w:pPr>
          </w:p>
        </w:tc>
        <w:tc>
          <w:tcPr>
            <w:tcW w:w="1022" w:type="dxa"/>
            <w:tcBorders>
              <w:top w:val="nil"/>
              <w:left w:val="nil"/>
              <w:bottom w:val="nil"/>
              <w:right w:val="nil"/>
            </w:tcBorders>
            <w:shd w:val="clear" w:color="auto" w:fill="auto"/>
            <w:noWrap/>
            <w:vAlign w:val="center"/>
            <w:hideMark/>
          </w:tcPr>
          <w:p w:rsidR="00172937" w:rsidRPr="00172937" w:rsidRDefault="00172937" w:rsidP="00172937">
            <w:pPr>
              <w:spacing w:before="0" w:after="0"/>
              <w:jc w:val="right"/>
              <w:rPr>
                <w:rFonts w:ascii="Calibri" w:eastAsia="Times New Roman" w:hAnsi="Calibri" w:cs="Times New Roman"/>
                <w:color w:val="000000"/>
                <w:sz w:val="20"/>
                <w:szCs w:val="20"/>
                <w:lang w:eastAsia="cs-CZ"/>
              </w:rPr>
            </w:pPr>
            <w:r w:rsidRPr="00172937">
              <w:rPr>
                <w:rFonts w:ascii="Calibri" w:eastAsia="Times New Roman" w:hAnsi="Calibri" w:cs="Times New Roman"/>
                <w:color w:val="000000"/>
                <w:sz w:val="20"/>
                <w:szCs w:val="20"/>
                <w:lang w:eastAsia="cs-CZ"/>
              </w:rPr>
              <w:t>38 346</w:t>
            </w:r>
          </w:p>
        </w:tc>
        <w:tc>
          <w:tcPr>
            <w:tcW w:w="378" w:type="dxa"/>
            <w:tcBorders>
              <w:top w:val="nil"/>
              <w:left w:val="nil"/>
              <w:bottom w:val="nil"/>
              <w:right w:val="nil"/>
            </w:tcBorders>
            <w:shd w:val="clear" w:color="auto" w:fill="auto"/>
            <w:noWrap/>
            <w:vAlign w:val="center"/>
            <w:hideMark/>
          </w:tcPr>
          <w:p w:rsidR="00172937" w:rsidRPr="00172937" w:rsidRDefault="00172937" w:rsidP="00172937">
            <w:pPr>
              <w:spacing w:before="0" w:after="0"/>
              <w:jc w:val="right"/>
              <w:rPr>
                <w:rFonts w:ascii="Calibri" w:eastAsia="Times New Roman" w:hAnsi="Calibri" w:cs="Times New Roman"/>
                <w:color w:val="000000"/>
                <w:sz w:val="20"/>
                <w:szCs w:val="20"/>
                <w:lang w:eastAsia="cs-CZ"/>
              </w:rPr>
            </w:pPr>
          </w:p>
        </w:tc>
        <w:tc>
          <w:tcPr>
            <w:tcW w:w="1340" w:type="dxa"/>
            <w:tcBorders>
              <w:top w:val="nil"/>
              <w:left w:val="nil"/>
              <w:bottom w:val="nil"/>
              <w:right w:val="nil"/>
            </w:tcBorders>
            <w:shd w:val="clear" w:color="auto" w:fill="auto"/>
            <w:noWrap/>
            <w:vAlign w:val="center"/>
            <w:hideMark/>
          </w:tcPr>
          <w:p w:rsidR="00172937" w:rsidRPr="00172937" w:rsidRDefault="00172937" w:rsidP="003A5EDB">
            <w:pPr>
              <w:spacing w:before="0" w:after="0"/>
              <w:ind w:right="231"/>
              <w:jc w:val="right"/>
              <w:rPr>
                <w:rFonts w:ascii="Calibri" w:eastAsia="Times New Roman" w:hAnsi="Calibri" w:cs="Times New Roman"/>
                <w:color w:val="000000"/>
                <w:sz w:val="20"/>
                <w:szCs w:val="20"/>
                <w:lang w:eastAsia="cs-CZ"/>
              </w:rPr>
            </w:pPr>
            <w:r w:rsidRPr="00172937">
              <w:rPr>
                <w:rFonts w:ascii="Calibri" w:eastAsia="Times New Roman" w:hAnsi="Calibri" w:cs="Times New Roman"/>
                <w:color w:val="000000"/>
                <w:sz w:val="20"/>
                <w:szCs w:val="20"/>
                <w:lang w:eastAsia="cs-CZ"/>
              </w:rPr>
              <w:t>52 745</w:t>
            </w:r>
          </w:p>
        </w:tc>
        <w:tc>
          <w:tcPr>
            <w:tcW w:w="1340" w:type="dxa"/>
            <w:tcBorders>
              <w:top w:val="nil"/>
              <w:left w:val="nil"/>
              <w:bottom w:val="nil"/>
              <w:right w:val="nil"/>
            </w:tcBorders>
            <w:shd w:val="clear" w:color="000000" w:fill="F2F2F2"/>
            <w:noWrap/>
            <w:vAlign w:val="center"/>
            <w:hideMark/>
          </w:tcPr>
          <w:p w:rsidR="00172937" w:rsidRPr="00172937" w:rsidRDefault="00172937" w:rsidP="003A5EDB">
            <w:pPr>
              <w:spacing w:before="0" w:after="0"/>
              <w:ind w:right="154"/>
              <w:jc w:val="right"/>
              <w:rPr>
                <w:rFonts w:ascii="Calibri" w:eastAsia="Times New Roman" w:hAnsi="Calibri" w:cs="Times New Roman"/>
                <w:b/>
                <w:bCs/>
                <w:color w:val="000000"/>
                <w:sz w:val="20"/>
                <w:szCs w:val="20"/>
                <w:lang w:eastAsia="cs-CZ"/>
              </w:rPr>
            </w:pPr>
            <w:r w:rsidRPr="00172937">
              <w:rPr>
                <w:rFonts w:ascii="Calibri" w:eastAsia="Times New Roman" w:hAnsi="Calibri" w:cs="Times New Roman"/>
                <w:b/>
                <w:bCs/>
                <w:color w:val="000000"/>
                <w:sz w:val="20"/>
                <w:szCs w:val="20"/>
                <w:lang w:eastAsia="cs-CZ"/>
              </w:rPr>
              <w:t>165 048</w:t>
            </w:r>
          </w:p>
        </w:tc>
      </w:tr>
      <w:tr w:rsidR="00172937" w:rsidRPr="00172937" w:rsidTr="00172937">
        <w:trPr>
          <w:trHeight w:val="300"/>
        </w:trPr>
        <w:tc>
          <w:tcPr>
            <w:tcW w:w="3973" w:type="dxa"/>
            <w:gridSpan w:val="2"/>
            <w:tcBorders>
              <w:top w:val="nil"/>
              <w:left w:val="nil"/>
              <w:bottom w:val="nil"/>
              <w:right w:val="nil"/>
            </w:tcBorders>
            <w:shd w:val="clear" w:color="auto" w:fill="auto"/>
            <w:noWrap/>
            <w:vAlign w:val="center"/>
            <w:hideMark/>
          </w:tcPr>
          <w:p w:rsidR="00172937" w:rsidRPr="00172937" w:rsidRDefault="00172937" w:rsidP="00BE1F9E">
            <w:pPr>
              <w:spacing w:before="0" w:after="0"/>
              <w:jc w:val="left"/>
              <w:rPr>
                <w:rFonts w:ascii="Calibri" w:eastAsia="Times New Roman" w:hAnsi="Calibri" w:cs="Times New Roman"/>
                <w:color w:val="000000"/>
                <w:sz w:val="20"/>
                <w:szCs w:val="20"/>
                <w:lang w:eastAsia="cs-CZ"/>
              </w:rPr>
            </w:pPr>
            <w:r w:rsidRPr="00172937">
              <w:rPr>
                <w:rFonts w:ascii="Calibri" w:eastAsia="Times New Roman" w:hAnsi="Calibri" w:cs="Times New Roman"/>
                <w:color w:val="000000"/>
                <w:sz w:val="20"/>
                <w:szCs w:val="20"/>
                <w:lang w:eastAsia="cs-CZ"/>
              </w:rPr>
              <w:t>SÚJ</w:t>
            </w:r>
            <w:r w:rsidR="00BE1F9E">
              <w:rPr>
                <w:rFonts w:ascii="Calibri" w:eastAsia="Times New Roman" w:hAnsi="Calibri" w:cs="Times New Roman"/>
                <w:color w:val="000000"/>
                <w:sz w:val="20"/>
                <w:szCs w:val="20"/>
                <w:lang w:eastAsia="cs-CZ"/>
              </w:rPr>
              <w:t>CH</w:t>
            </w:r>
            <w:r w:rsidRPr="00172937">
              <w:rPr>
                <w:rFonts w:ascii="Calibri" w:eastAsia="Times New Roman" w:hAnsi="Calibri" w:cs="Times New Roman"/>
                <w:color w:val="000000"/>
                <w:sz w:val="20"/>
                <w:szCs w:val="20"/>
                <w:lang w:eastAsia="cs-CZ"/>
              </w:rPr>
              <w:t>BO</w:t>
            </w:r>
          </w:p>
        </w:tc>
        <w:tc>
          <w:tcPr>
            <w:tcW w:w="1022" w:type="dxa"/>
            <w:tcBorders>
              <w:top w:val="nil"/>
              <w:left w:val="nil"/>
              <w:bottom w:val="nil"/>
              <w:right w:val="nil"/>
            </w:tcBorders>
            <w:shd w:val="clear" w:color="auto" w:fill="auto"/>
            <w:noWrap/>
            <w:vAlign w:val="center"/>
            <w:hideMark/>
          </w:tcPr>
          <w:p w:rsidR="00172937" w:rsidRPr="00172937" w:rsidRDefault="00172937" w:rsidP="00172937">
            <w:pPr>
              <w:spacing w:before="0" w:after="0"/>
              <w:jc w:val="right"/>
              <w:rPr>
                <w:rFonts w:ascii="Calibri" w:eastAsia="Times New Roman" w:hAnsi="Calibri" w:cs="Times New Roman"/>
                <w:color w:val="000000"/>
                <w:sz w:val="20"/>
                <w:szCs w:val="20"/>
                <w:lang w:eastAsia="cs-CZ"/>
              </w:rPr>
            </w:pPr>
            <w:r w:rsidRPr="00172937">
              <w:rPr>
                <w:rFonts w:ascii="Calibri" w:eastAsia="Times New Roman" w:hAnsi="Calibri" w:cs="Times New Roman"/>
                <w:color w:val="000000"/>
                <w:sz w:val="20"/>
                <w:szCs w:val="20"/>
                <w:lang w:eastAsia="cs-CZ"/>
              </w:rPr>
              <w:t>164 233</w:t>
            </w:r>
          </w:p>
        </w:tc>
        <w:tc>
          <w:tcPr>
            <w:tcW w:w="378" w:type="dxa"/>
            <w:tcBorders>
              <w:top w:val="nil"/>
              <w:left w:val="nil"/>
              <w:bottom w:val="nil"/>
              <w:right w:val="nil"/>
            </w:tcBorders>
            <w:shd w:val="clear" w:color="auto" w:fill="auto"/>
            <w:noWrap/>
            <w:vAlign w:val="center"/>
            <w:hideMark/>
          </w:tcPr>
          <w:p w:rsidR="00172937" w:rsidRPr="00172937" w:rsidRDefault="00172937" w:rsidP="00172937">
            <w:pPr>
              <w:spacing w:before="0" w:after="0"/>
              <w:jc w:val="right"/>
              <w:rPr>
                <w:rFonts w:ascii="Calibri" w:eastAsia="Times New Roman" w:hAnsi="Calibri" w:cs="Times New Roman"/>
                <w:color w:val="000000"/>
                <w:sz w:val="20"/>
                <w:szCs w:val="20"/>
                <w:lang w:eastAsia="cs-CZ"/>
              </w:rPr>
            </w:pPr>
          </w:p>
        </w:tc>
        <w:tc>
          <w:tcPr>
            <w:tcW w:w="1022" w:type="dxa"/>
            <w:tcBorders>
              <w:top w:val="nil"/>
              <w:left w:val="nil"/>
              <w:bottom w:val="nil"/>
              <w:right w:val="nil"/>
            </w:tcBorders>
            <w:shd w:val="clear" w:color="auto" w:fill="auto"/>
            <w:noWrap/>
            <w:vAlign w:val="center"/>
            <w:hideMark/>
          </w:tcPr>
          <w:p w:rsidR="00172937" w:rsidRPr="00172937" w:rsidRDefault="00172937" w:rsidP="00172937">
            <w:pPr>
              <w:spacing w:before="0" w:after="0"/>
              <w:jc w:val="right"/>
              <w:rPr>
                <w:rFonts w:ascii="Calibri" w:eastAsia="Times New Roman" w:hAnsi="Calibri" w:cs="Times New Roman"/>
                <w:color w:val="000000"/>
                <w:sz w:val="20"/>
                <w:szCs w:val="20"/>
                <w:lang w:eastAsia="cs-CZ"/>
              </w:rPr>
            </w:pPr>
            <w:r w:rsidRPr="00172937">
              <w:rPr>
                <w:rFonts w:ascii="Calibri" w:eastAsia="Times New Roman" w:hAnsi="Calibri" w:cs="Times New Roman"/>
                <w:color w:val="000000"/>
                <w:sz w:val="20"/>
                <w:szCs w:val="20"/>
                <w:lang w:eastAsia="cs-CZ"/>
              </w:rPr>
              <w:t>4 692</w:t>
            </w:r>
          </w:p>
        </w:tc>
        <w:tc>
          <w:tcPr>
            <w:tcW w:w="378" w:type="dxa"/>
            <w:tcBorders>
              <w:top w:val="nil"/>
              <w:left w:val="nil"/>
              <w:bottom w:val="nil"/>
              <w:right w:val="nil"/>
            </w:tcBorders>
            <w:shd w:val="clear" w:color="auto" w:fill="auto"/>
            <w:noWrap/>
            <w:vAlign w:val="center"/>
            <w:hideMark/>
          </w:tcPr>
          <w:p w:rsidR="00172937" w:rsidRPr="00172937" w:rsidRDefault="00172937" w:rsidP="00172937">
            <w:pPr>
              <w:spacing w:before="0" w:after="0"/>
              <w:jc w:val="right"/>
              <w:rPr>
                <w:rFonts w:ascii="Calibri" w:eastAsia="Times New Roman" w:hAnsi="Calibri" w:cs="Times New Roman"/>
                <w:color w:val="000000"/>
                <w:sz w:val="20"/>
                <w:szCs w:val="20"/>
                <w:lang w:eastAsia="cs-CZ"/>
              </w:rPr>
            </w:pPr>
            <w:r w:rsidRPr="00172937">
              <w:rPr>
                <w:rFonts w:ascii="Calibri" w:eastAsia="Times New Roman" w:hAnsi="Calibri" w:cs="Times New Roman"/>
                <w:color w:val="000000"/>
                <w:sz w:val="20"/>
                <w:szCs w:val="20"/>
                <w:lang w:eastAsia="cs-CZ"/>
              </w:rPr>
              <w:t>(4)</w:t>
            </w:r>
          </w:p>
        </w:tc>
        <w:tc>
          <w:tcPr>
            <w:tcW w:w="1340" w:type="dxa"/>
            <w:tcBorders>
              <w:top w:val="nil"/>
              <w:left w:val="nil"/>
              <w:bottom w:val="nil"/>
              <w:right w:val="nil"/>
            </w:tcBorders>
            <w:shd w:val="clear" w:color="auto" w:fill="auto"/>
            <w:noWrap/>
            <w:vAlign w:val="center"/>
            <w:hideMark/>
          </w:tcPr>
          <w:p w:rsidR="00172937" w:rsidRPr="00172937" w:rsidRDefault="00172937" w:rsidP="003A5EDB">
            <w:pPr>
              <w:spacing w:before="0" w:after="0"/>
              <w:ind w:right="231"/>
              <w:jc w:val="right"/>
              <w:rPr>
                <w:rFonts w:ascii="Calibri" w:eastAsia="Times New Roman" w:hAnsi="Calibri" w:cs="Times New Roman"/>
                <w:color w:val="000000"/>
                <w:sz w:val="20"/>
                <w:szCs w:val="20"/>
                <w:lang w:eastAsia="cs-CZ"/>
              </w:rPr>
            </w:pPr>
            <w:r w:rsidRPr="00172937">
              <w:rPr>
                <w:rFonts w:ascii="Calibri" w:eastAsia="Times New Roman" w:hAnsi="Calibri" w:cs="Times New Roman"/>
                <w:color w:val="000000"/>
                <w:sz w:val="20"/>
                <w:szCs w:val="20"/>
                <w:lang w:eastAsia="cs-CZ"/>
              </w:rPr>
              <w:t>46 500</w:t>
            </w:r>
          </w:p>
        </w:tc>
        <w:tc>
          <w:tcPr>
            <w:tcW w:w="1340" w:type="dxa"/>
            <w:tcBorders>
              <w:top w:val="nil"/>
              <w:left w:val="nil"/>
              <w:bottom w:val="nil"/>
              <w:right w:val="nil"/>
            </w:tcBorders>
            <w:shd w:val="clear" w:color="000000" w:fill="F2F2F2"/>
            <w:noWrap/>
            <w:vAlign w:val="center"/>
            <w:hideMark/>
          </w:tcPr>
          <w:p w:rsidR="00172937" w:rsidRPr="00172937" w:rsidRDefault="00172937" w:rsidP="003A5EDB">
            <w:pPr>
              <w:spacing w:before="0" w:after="0"/>
              <w:ind w:right="154"/>
              <w:jc w:val="right"/>
              <w:rPr>
                <w:rFonts w:ascii="Calibri" w:eastAsia="Times New Roman" w:hAnsi="Calibri" w:cs="Times New Roman"/>
                <w:b/>
                <w:bCs/>
                <w:color w:val="000000"/>
                <w:sz w:val="20"/>
                <w:szCs w:val="20"/>
                <w:lang w:eastAsia="cs-CZ"/>
              </w:rPr>
            </w:pPr>
            <w:r w:rsidRPr="00172937">
              <w:rPr>
                <w:rFonts w:ascii="Calibri" w:eastAsia="Times New Roman" w:hAnsi="Calibri" w:cs="Times New Roman"/>
                <w:b/>
                <w:bCs/>
                <w:color w:val="000000"/>
                <w:sz w:val="20"/>
                <w:szCs w:val="20"/>
                <w:lang w:eastAsia="cs-CZ"/>
              </w:rPr>
              <w:t>210 733</w:t>
            </w:r>
          </w:p>
        </w:tc>
      </w:tr>
      <w:tr w:rsidR="00172937" w:rsidRPr="00172937" w:rsidTr="00172937">
        <w:trPr>
          <w:trHeight w:val="300"/>
        </w:trPr>
        <w:tc>
          <w:tcPr>
            <w:tcW w:w="3973" w:type="dxa"/>
            <w:gridSpan w:val="2"/>
            <w:tcBorders>
              <w:top w:val="nil"/>
              <w:left w:val="nil"/>
              <w:bottom w:val="single" w:sz="4" w:space="0" w:color="auto"/>
              <w:right w:val="nil"/>
            </w:tcBorders>
            <w:shd w:val="clear" w:color="auto" w:fill="auto"/>
            <w:noWrap/>
            <w:vAlign w:val="center"/>
            <w:hideMark/>
          </w:tcPr>
          <w:p w:rsidR="00172937" w:rsidRPr="00172937" w:rsidRDefault="00172937" w:rsidP="00172937">
            <w:pPr>
              <w:spacing w:before="0" w:after="0"/>
              <w:jc w:val="left"/>
              <w:rPr>
                <w:rFonts w:ascii="Calibri" w:eastAsia="Times New Roman" w:hAnsi="Calibri" w:cs="Times New Roman"/>
                <w:color w:val="000000"/>
                <w:sz w:val="20"/>
                <w:szCs w:val="20"/>
                <w:lang w:eastAsia="cs-CZ"/>
              </w:rPr>
            </w:pPr>
            <w:r w:rsidRPr="00172937">
              <w:rPr>
                <w:rFonts w:ascii="Calibri" w:eastAsia="Times New Roman" w:hAnsi="Calibri" w:cs="Times New Roman"/>
                <w:color w:val="000000"/>
                <w:sz w:val="20"/>
                <w:szCs w:val="20"/>
                <w:lang w:eastAsia="cs-CZ"/>
              </w:rPr>
              <w:t>Národní archiv</w:t>
            </w:r>
          </w:p>
        </w:tc>
        <w:tc>
          <w:tcPr>
            <w:tcW w:w="1022" w:type="dxa"/>
            <w:tcBorders>
              <w:top w:val="nil"/>
              <w:left w:val="nil"/>
              <w:bottom w:val="single" w:sz="4" w:space="0" w:color="auto"/>
              <w:right w:val="nil"/>
            </w:tcBorders>
            <w:shd w:val="clear" w:color="auto" w:fill="auto"/>
            <w:noWrap/>
            <w:vAlign w:val="center"/>
            <w:hideMark/>
          </w:tcPr>
          <w:p w:rsidR="00172937" w:rsidRPr="00172937" w:rsidRDefault="00172937" w:rsidP="00172937">
            <w:pPr>
              <w:spacing w:before="0" w:after="0"/>
              <w:jc w:val="right"/>
              <w:rPr>
                <w:rFonts w:ascii="Calibri" w:eastAsia="Times New Roman" w:hAnsi="Calibri" w:cs="Times New Roman"/>
                <w:color w:val="000000"/>
                <w:sz w:val="20"/>
                <w:szCs w:val="20"/>
                <w:lang w:eastAsia="cs-CZ"/>
              </w:rPr>
            </w:pPr>
            <w:r w:rsidRPr="00172937">
              <w:rPr>
                <w:rFonts w:ascii="Calibri" w:eastAsia="Times New Roman" w:hAnsi="Calibri" w:cs="Times New Roman"/>
                <w:color w:val="000000"/>
                <w:sz w:val="20"/>
                <w:szCs w:val="20"/>
                <w:lang w:eastAsia="cs-CZ"/>
              </w:rPr>
              <w:t>7 783</w:t>
            </w:r>
          </w:p>
        </w:tc>
        <w:tc>
          <w:tcPr>
            <w:tcW w:w="378" w:type="dxa"/>
            <w:tcBorders>
              <w:top w:val="nil"/>
              <w:left w:val="nil"/>
              <w:bottom w:val="single" w:sz="4" w:space="0" w:color="auto"/>
              <w:right w:val="nil"/>
            </w:tcBorders>
            <w:shd w:val="clear" w:color="auto" w:fill="auto"/>
            <w:noWrap/>
            <w:vAlign w:val="center"/>
            <w:hideMark/>
          </w:tcPr>
          <w:p w:rsidR="00172937" w:rsidRPr="00172937" w:rsidRDefault="00172937" w:rsidP="00172937">
            <w:pPr>
              <w:spacing w:before="0" w:after="0"/>
              <w:jc w:val="right"/>
              <w:rPr>
                <w:rFonts w:ascii="Calibri" w:eastAsia="Times New Roman" w:hAnsi="Calibri" w:cs="Times New Roman"/>
                <w:color w:val="000000"/>
                <w:sz w:val="20"/>
                <w:szCs w:val="20"/>
                <w:lang w:eastAsia="cs-CZ"/>
              </w:rPr>
            </w:pPr>
            <w:r w:rsidRPr="00172937">
              <w:rPr>
                <w:rFonts w:ascii="Calibri" w:eastAsia="Times New Roman" w:hAnsi="Calibri" w:cs="Times New Roman"/>
                <w:color w:val="000000"/>
                <w:sz w:val="20"/>
                <w:szCs w:val="20"/>
                <w:lang w:eastAsia="cs-CZ"/>
              </w:rPr>
              <w:t>(3)</w:t>
            </w:r>
          </w:p>
        </w:tc>
        <w:tc>
          <w:tcPr>
            <w:tcW w:w="1022" w:type="dxa"/>
            <w:tcBorders>
              <w:top w:val="nil"/>
              <w:left w:val="nil"/>
              <w:bottom w:val="single" w:sz="4" w:space="0" w:color="auto"/>
              <w:right w:val="nil"/>
            </w:tcBorders>
            <w:shd w:val="clear" w:color="auto" w:fill="auto"/>
            <w:noWrap/>
            <w:vAlign w:val="center"/>
            <w:hideMark/>
          </w:tcPr>
          <w:p w:rsidR="00172937" w:rsidRPr="00172937" w:rsidRDefault="00172937" w:rsidP="00172937">
            <w:pPr>
              <w:spacing w:before="0" w:after="0"/>
              <w:jc w:val="right"/>
              <w:rPr>
                <w:rFonts w:ascii="Calibri" w:eastAsia="Times New Roman" w:hAnsi="Calibri" w:cs="Times New Roman"/>
                <w:color w:val="000000"/>
                <w:sz w:val="20"/>
                <w:szCs w:val="20"/>
                <w:lang w:eastAsia="cs-CZ"/>
              </w:rPr>
            </w:pPr>
            <w:r w:rsidRPr="00172937">
              <w:rPr>
                <w:rFonts w:ascii="Calibri" w:eastAsia="Times New Roman" w:hAnsi="Calibri" w:cs="Times New Roman"/>
                <w:color w:val="000000"/>
                <w:sz w:val="20"/>
                <w:szCs w:val="20"/>
                <w:lang w:eastAsia="cs-CZ"/>
              </w:rPr>
              <w:t> </w:t>
            </w:r>
          </w:p>
        </w:tc>
        <w:tc>
          <w:tcPr>
            <w:tcW w:w="378" w:type="dxa"/>
            <w:tcBorders>
              <w:top w:val="nil"/>
              <w:left w:val="nil"/>
              <w:bottom w:val="single" w:sz="4" w:space="0" w:color="auto"/>
              <w:right w:val="nil"/>
            </w:tcBorders>
            <w:shd w:val="clear" w:color="auto" w:fill="auto"/>
            <w:noWrap/>
            <w:vAlign w:val="center"/>
            <w:hideMark/>
          </w:tcPr>
          <w:p w:rsidR="00172937" w:rsidRPr="00172937" w:rsidRDefault="00172937" w:rsidP="00172937">
            <w:pPr>
              <w:spacing w:before="0" w:after="0"/>
              <w:jc w:val="right"/>
              <w:rPr>
                <w:rFonts w:ascii="Calibri" w:eastAsia="Times New Roman" w:hAnsi="Calibri" w:cs="Times New Roman"/>
                <w:color w:val="000000"/>
                <w:sz w:val="20"/>
                <w:szCs w:val="20"/>
                <w:lang w:eastAsia="cs-CZ"/>
              </w:rPr>
            </w:pPr>
            <w:r w:rsidRPr="00172937">
              <w:rPr>
                <w:rFonts w:ascii="Calibri" w:eastAsia="Times New Roman" w:hAnsi="Calibri" w:cs="Times New Roman"/>
                <w:color w:val="000000"/>
                <w:sz w:val="20"/>
                <w:szCs w:val="20"/>
                <w:lang w:eastAsia="cs-CZ"/>
              </w:rPr>
              <w:t> </w:t>
            </w:r>
          </w:p>
        </w:tc>
        <w:tc>
          <w:tcPr>
            <w:tcW w:w="1340" w:type="dxa"/>
            <w:tcBorders>
              <w:top w:val="nil"/>
              <w:left w:val="nil"/>
              <w:bottom w:val="single" w:sz="4" w:space="0" w:color="auto"/>
              <w:right w:val="nil"/>
            </w:tcBorders>
            <w:shd w:val="clear" w:color="auto" w:fill="auto"/>
            <w:noWrap/>
            <w:vAlign w:val="center"/>
            <w:hideMark/>
          </w:tcPr>
          <w:p w:rsidR="00172937" w:rsidRPr="00172937" w:rsidRDefault="00172937" w:rsidP="003A5EDB">
            <w:pPr>
              <w:spacing w:before="0" w:after="0"/>
              <w:ind w:right="231"/>
              <w:jc w:val="right"/>
              <w:rPr>
                <w:rFonts w:ascii="Calibri" w:eastAsia="Times New Roman" w:hAnsi="Calibri" w:cs="Times New Roman"/>
                <w:color w:val="000000"/>
                <w:sz w:val="20"/>
                <w:szCs w:val="20"/>
                <w:lang w:eastAsia="cs-CZ"/>
              </w:rPr>
            </w:pPr>
            <w:r w:rsidRPr="00172937">
              <w:rPr>
                <w:rFonts w:ascii="Calibri" w:eastAsia="Times New Roman" w:hAnsi="Calibri" w:cs="Times New Roman"/>
                <w:color w:val="000000"/>
                <w:sz w:val="20"/>
                <w:szCs w:val="20"/>
                <w:lang w:eastAsia="cs-CZ"/>
              </w:rPr>
              <w:t>22 721</w:t>
            </w:r>
          </w:p>
        </w:tc>
        <w:tc>
          <w:tcPr>
            <w:tcW w:w="1340" w:type="dxa"/>
            <w:tcBorders>
              <w:top w:val="nil"/>
              <w:left w:val="nil"/>
              <w:bottom w:val="single" w:sz="4" w:space="0" w:color="auto"/>
              <w:right w:val="nil"/>
            </w:tcBorders>
            <w:shd w:val="clear" w:color="000000" w:fill="F2F2F2"/>
            <w:noWrap/>
            <w:vAlign w:val="center"/>
            <w:hideMark/>
          </w:tcPr>
          <w:p w:rsidR="00172937" w:rsidRPr="00172937" w:rsidRDefault="00172937" w:rsidP="003A5EDB">
            <w:pPr>
              <w:spacing w:before="0" w:after="0"/>
              <w:ind w:right="154"/>
              <w:jc w:val="right"/>
              <w:rPr>
                <w:rFonts w:ascii="Calibri" w:eastAsia="Times New Roman" w:hAnsi="Calibri" w:cs="Times New Roman"/>
                <w:b/>
                <w:bCs/>
                <w:color w:val="000000"/>
                <w:sz w:val="20"/>
                <w:szCs w:val="20"/>
                <w:lang w:eastAsia="cs-CZ"/>
              </w:rPr>
            </w:pPr>
            <w:r w:rsidRPr="00172937">
              <w:rPr>
                <w:rFonts w:ascii="Calibri" w:eastAsia="Times New Roman" w:hAnsi="Calibri" w:cs="Times New Roman"/>
                <w:b/>
                <w:bCs/>
                <w:color w:val="000000"/>
                <w:sz w:val="20"/>
                <w:szCs w:val="20"/>
                <w:lang w:eastAsia="cs-CZ"/>
              </w:rPr>
              <w:t>30 504</w:t>
            </w:r>
          </w:p>
        </w:tc>
      </w:tr>
      <w:tr w:rsidR="00172937" w:rsidRPr="00172937" w:rsidTr="00172937">
        <w:trPr>
          <w:trHeight w:val="300"/>
        </w:trPr>
        <w:tc>
          <w:tcPr>
            <w:tcW w:w="3973" w:type="dxa"/>
            <w:gridSpan w:val="2"/>
            <w:tcBorders>
              <w:top w:val="single" w:sz="4" w:space="0" w:color="auto"/>
              <w:left w:val="nil"/>
              <w:bottom w:val="single" w:sz="4" w:space="0" w:color="auto"/>
              <w:right w:val="nil"/>
            </w:tcBorders>
            <w:shd w:val="clear" w:color="000000" w:fill="D9D9D9"/>
            <w:noWrap/>
            <w:vAlign w:val="bottom"/>
            <w:hideMark/>
          </w:tcPr>
          <w:p w:rsidR="00172937" w:rsidRPr="00172937" w:rsidRDefault="00172937" w:rsidP="00172937">
            <w:pPr>
              <w:spacing w:before="0" w:after="0"/>
              <w:jc w:val="left"/>
              <w:rPr>
                <w:rFonts w:ascii="Calibri" w:eastAsia="Times New Roman" w:hAnsi="Calibri" w:cs="Times New Roman"/>
                <w:color w:val="000000"/>
                <w:sz w:val="20"/>
                <w:szCs w:val="20"/>
                <w:lang w:eastAsia="cs-CZ"/>
              </w:rPr>
            </w:pPr>
            <w:r w:rsidRPr="00172937">
              <w:rPr>
                <w:rFonts w:ascii="Calibri" w:eastAsia="Times New Roman" w:hAnsi="Calibri" w:cs="Times New Roman"/>
                <w:color w:val="000000"/>
                <w:sz w:val="20"/>
                <w:szCs w:val="20"/>
                <w:lang w:eastAsia="cs-CZ"/>
              </w:rPr>
              <w:t>Celkem</w:t>
            </w:r>
          </w:p>
        </w:tc>
        <w:tc>
          <w:tcPr>
            <w:tcW w:w="1022" w:type="dxa"/>
            <w:tcBorders>
              <w:top w:val="nil"/>
              <w:left w:val="nil"/>
              <w:bottom w:val="single" w:sz="4" w:space="0" w:color="auto"/>
              <w:right w:val="nil"/>
            </w:tcBorders>
            <w:shd w:val="clear" w:color="000000" w:fill="D9D9D9"/>
            <w:noWrap/>
            <w:vAlign w:val="bottom"/>
            <w:hideMark/>
          </w:tcPr>
          <w:p w:rsidR="00172937" w:rsidRPr="00172937" w:rsidRDefault="00172937" w:rsidP="00172937">
            <w:pPr>
              <w:spacing w:before="0" w:after="0"/>
              <w:jc w:val="right"/>
              <w:rPr>
                <w:rFonts w:ascii="Calibri" w:eastAsia="Times New Roman" w:hAnsi="Calibri" w:cs="Times New Roman"/>
                <w:b/>
                <w:bCs/>
                <w:color w:val="000000"/>
                <w:sz w:val="20"/>
                <w:szCs w:val="20"/>
                <w:lang w:eastAsia="cs-CZ"/>
              </w:rPr>
            </w:pPr>
            <w:r w:rsidRPr="00172937">
              <w:rPr>
                <w:rFonts w:ascii="Calibri" w:eastAsia="Times New Roman" w:hAnsi="Calibri" w:cs="Times New Roman"/>
                <w:b/>
                <w:bCs/>
                <w:color w:val="000000"/>
                <w:sz w:val="20"/>
                <w:szCs w:val="20"/>
                <w:lang w:eastAsia="cs-CZ"/>
              </w:rPr>
              <w:t>471 390</w:t>
            </w:r>
          </w:p>
        </w:tc>
        <w:tc>
          <w:tcPr>
            <w:tcW w:w="378" w:type="dxa"/>
            <w:tcBorders>
              <w:top w:val="nil"/>
              <w:left w:val="nil"/>
              <w:bottom w:val="single" w:sz="4" w:space="0" w:color="auto"/>
              <w:right w:val="nil"/>
            </w:tcBorders>
            <w:shd w:val="clear" w:color="000000" w:fill="D9D9D9"/>
            <w:noWrap/>
            <w:vAlign w:val="bottom"/>
            <w:hideMark/>
          </w:tcPr>
          <w:p w:rsidR="00172937" w:rsidRPr="00172937" w:rsidRDefault="00172937" w:rsidP="00172937">
            <w:pPr>
              <w:spacing w:before="0" w:after="0"/>
              <w:jc w:val="left"/>
              <w:rPr>
                <w:rFonts w:ascii="Calibri" w:eastAsia="Times New Roman" w:hAnsi="Calibri" w:cs="Times New Roman"/>
                <w:b/>
                <w:bCs/>
                <w:color w:val="000000"/>
                <w:sz w:val="20"/>
                <w:szCs w:val="20"/>
                <w:lang w:eastAsia="cs-CZ"/>
              </w:rPr>
            </w:pPr>
            <w:r w:rsidRPr="00172937">
              <w:rPr>
                <w:rFonts w:ascii="Calibri" w:eastAsia="Times New Roman" w:hAnsi="Calibri" w:cs="Times New Roman"/>
                <w:b/>
                <w:bCs/>
                <w:color w:val="000000"/>
                <w:sz w:val="20"/>
                <w:szCs w:val="20"/>
                <w:lang w:eastAsia="cs-CZ"/>
              </w:rPr>
              <w:t> </w:t>
            </w:r>
          </w:p>
        </w:tc>
        <w:tc>
          <w:tcPr>
            <w:tcW w:w="1022" w:type="dxa"/>
            <w:tcBorders>
              <w:top w:val="nil"/>
              <w:left w:val="nil"/>
              <w:bottom w:val="single" w:sz="4" w:space="0" w:color="auto"/>
              <w:right w:val="nil"/>
            </w:tcBorders>
            <w:shd w:val="clear" w:color="000000" w:fill="D9D9D9"/>
            <w:noWrap/>
            <w:vAlign w:val="bottom"/>
            <w:hideMark/>
          </w:tcPr>
          <w:p w:rsidR="00172937" w:rsidRPr="00172937" w:rsidRDefault="00172937" w:rsidP="00172937">
            <w:pPr>
              <w:spacing w:before="0" w:after="0"/>
              <w:jc w:val="right"/>
              <w:rPr>
                <w:rFonts w:ascii="Calibri" w:eastAsia="Times New Roman" w:hAnsi="Calibri" w:cs="Times New Roman"/>
                <w:b/>
                <w:bCs/>
                <w:color w:val="000000"/>
                <w:sz w:val="20"/>
                <w:szCs w:val="20"/>
                <w:lang w:eastAsia="cs-CZ"/>
              </w:rPr>
            </w:pPr>
            <w:r w:rsidRPr="00172937">
              <w:rPr>
                <w:rFonts w:ascii="Calibri" w:eastAsia="Times New Roman" w:hAnsi="Calibri" w:cs="Times New Roman"/>
                <w:b/>
                <w:bCs/>
                <w:color w:val="000000"/>
                <w:sz w:val="20"/>
                <w:szCs w:val="20"/>
                <w:lang w:eastAsia="cs-CZ"/>
              </w:rPr>
              <w:t>120 462</w:t>
            </w:r>
          </w:p>
        </w:tc>
        <w:tc>
          <w:tcPr>
            <w:tcW w:w="378" w:type="dxa"/>
            <w:tcBorders>
              <w:top w:val="nil"/>
              <w:left w:val="nil"/>
              <w:bottom w:val="single" w:sz="4" w:space="0" w:color="auto"/>
              <w:right w:val="nil"/>
            </w:tcBorders>
            <w:shd w:val="clear" w:color="000000" w:fill="D9D9D9"/>
            <w:noWrap/>
            <w:vAlign w:val="bottom"/>
            <w:hideMark/>
          </w:tcPr>
          <w:p w:rsidR="00172937" w:rsidRPr="00172937" w:rsidRDefault="00172937" w:rsidP="00172937">
            <w:pPr>
              <w:spacing w:before="0" w:after="0"/>
              <w:jc w:val="left"/>
              <w:rPr>
                <w:rFonts w:ascii="Calibri" w:eastAsia="Times New Roman" w:hAnsi="Calibri" w:cs="Times New Roman"/>
                <w:b/>
                <w:bCs/>
                <w:color w:val="000000"/>
                <w:sz w:val="20"/>
                <w:szCs w:val="20"/>
                <w:lang w:eastAsia="cs-CZ"/>
              </w:rPr>
            </w:pPr>
            <w:r w:rsidRPr="00172937">
              <w:rPr>
                <w:rFonts w:ascii="Calibri" w:eastAsia="Times New Roman" w:hAnsi="Calibri" w:cs="Times New Roman"/>
                <w:b/>
                <w:bCs/>
                <w:color w:val="000000"/>
                <w:sz w:val="20"/>
                <w:szCs w:val="20"/>
                <w:lang w:eastAsia="cs-CZ"/>
              </w:rPr>
              <w:t> </w:t>
            </w:r>
          </w:p>
        </w:tc>
        <w:tc>
          <w:tcPr>
            <w:tcW w:w="1340" w:type="dxa"/>
            <w:tcBorders>
              <w:top w:val="nil"/>
              <w:left w:val="nil"/>
              <w:bottom w:val="single" w:sz="4" w:space="0" w:color="auto"/>
              <w:right w:val="nil"/>
            </w:tcBorders>
            <w:shd w:val="clear" w:color="000000" w:fill="D9D9D9"/>
            <w:noWrap/>
            <w:vAlign w:val="bottom"/>
            <w:hideMark/>
          </w:tcPr>
          <w:p w:rsidR="00172937" w:rsidRPr="00172937" w:rsidRDefault="00172937" w:rsidP="003A5EDB">
            <w:pPr>
              <w:spacing w:before="0" w:after="0"/>
              <w:ind w:right="231"/>
              <w:jc w:val="right"/>
              <w:rPr>
                <w:rFonts w:ascii="Calibri" w:eastAsia="Times New Roman" w:hAnsi="Calibri" w:cs="Times New Roman"/>
                <w:b/>
                <w:bCs/>
                <w:color w:val="000000"/>
                <w:sz w:val="20"/>
                <w:szCs w:val="20"/>
                <w:lang w:eastAsia="cs-CZ"/>
              </w:rPr>
            </w:pPr>
            <w:r w:rsidRPr="00172937">
              <w:rPr>
                <w:rFonts w:ascii="Calibri" w:eastAsia="Times New Roman" w:hAnsi="Calibri" w:cs="Times New Roman"/>
                <w:b/>
                <w:bCs/>
                <w:color w:val="000000"/>
                <w:sz w:val="20"/>
                <w:szCs w:val="20"/>
                <w:lang w:eastAsia="cs-CZ"/>
              </w:rPr>
              <w:t>299 298</w:t>
            </w:r>
          </w:p>
        </w:tc>
        <w:tc>
          <w:tcPr>
            <w:tcW w:w="1340" w:type="dxa"/>
            <w:tcBorders>
              <w:top w:val="nil"/>
              <w:left w:val="nil"/>
              <w:bottom w:val="single" w:sz="4" w:space="0" w:color="auto"/>
              <w:right w:val="nil"/>
            </w:tcBorders>
            <w:shd w:val="clear" w:color="000000" w:fill="D9D9D9"/>
            <w:noWrap/>
            <w:vAlign w:val="bottom"/>
            <w:hideMark/>
          </w:tcPr>
          <w:p w:rsidR="00172937" w:rsidRPr="00172937" w:rsidRDefault="00172937" w:rsidP="003A5EDB">
            <w:pPr>
              <w:spacing w:before="0" w:after="0"/>
              <w:ind w:right="154"/>
              <w:jc w:val="right"/>
              <w:rPr>
                <w:rFonts w:ascii="Calibri" w:eastAsia="Times New Roman" w:hAnsi="Calibri" w:cs="Times New Roman"/>
                <w:b/>
                <w:bCs/>
                <w:color w:val="000000"/>
                <w:sz w:val="20"/>
                <w:szCs w:val="20"/>
                <w:lang w:eastAsia="cs-CZ"/>
              </w:rPr>
            </w:pPr>
            <w:r w:rsidRPr="00172937">
              <w:rPr>
                <w:rFonts w:ascii="Calibri" w:eastAsia="Times New Roman" w:hAnsi="Calibri" w:cs="Times New Roman"/>
                <w:b/>
                <w:bCs/>
                <w:color w:val="000000"/>
                <w:sz w:val="20"/>
                <w:szCs w:val="20"/>
                <w:lang w:eastAsia="cs-CZ"/>
              </w:rPr>
              <w:t>770 688</w:t>
            </w:r>
          </w:p>
        </w:tc>
      </w:tr>
    </w:tbl>
    <w:p w:rsidR="000D0AFB" w:rsidRPr="00922AE0" w:rsidRDefault="00922AE0" w:rsidP="00922AE0">
      <w:pPr>
        <w:tabs>
          <w:tab w:val="left" w:pos="426"/>
        </w:tabs>
        <w:spacing w:after="0"/>
        <w:rPr>
          <w:i/>
          <w:sz w:val="16"/>
        </w:rPr>
      </w:pPr>
      <w:r>
        <w:rPr>
          <w:i/>
          <w:sz w:val="16"/>
        </w:rPr>
        <w:t>(1)</w:t>
      </w:r>
      <w:r w:rsidRPr="00922AE0">
        <w:rPr>
          <w:i/>
          <w:sz w:val="16"/>
        </w:rPr>
        <w:tab/>
        <w:t>2010</w:t>
      </w:r>
    </w:p>
    <w:p w:rsidR="00922AE0" w:rsidRPr="00922AE0" w:rsidRDefault="00922AE0" w:rsidP="00922AE0">
      <w:pPr>
        <w:tabs>
          <w:tab w:val="left" w:pos="426"/>
        </w:tabs>
        <w:spacing w:before="0" w:after="0"/>
        <w:rPr>
          <w:i/>
          <w:sz w:val="16"/>
        </w:rPr>
      </w:pPr>
      <w:r>
        <w:rPr>
          <w:i/>
          <w:sz w:val="16"/>
        </w:rPr>
        <w:t>(2)</w:t>
      </w:r>
      <w:r w:rsidRPr="00922AE0">
        <w:rPr>
          <w:i/>
          <w:sz w:val="16"/>
        </w:rPr>
        <w:tab/>
        <w:t>2010 – 2014</w:t>
      </w:r>
    </w:p>
    <w:p w:rsidR="00922AE0" w:rsidRDefault="00922AE0" w:rsidP="00922AE0">
      <w:pPr>
        <w:tabs>
          <w:tab w:val="left" w:pos="426"/>
        </w:tabs>
        <w:spacing w:before="0" w:after="0"/>
        <w:rPr>
          <w:i/>
          <w:sz w:val="16"/>
        </w:rPr>
      </w:pPr>
      <w:r>
        <w:rPr>
          <w:i/>
          <w:sz w:val="16"/>
        </w:rPr>
        <w:t>(3)</w:t>
      </w:r>
      <w:r w:rsidRPr="00922AE0">
        <w:rPr>
          <w:i/>
          <w:sz w:val="16"/>
        </w:rPr>
        <w:tab/>
        <w:t>2011 – 2014</w:t>
      </w:r>
    </w:p>
    <w:p w:rsidR="00922AE0" w:rsidRPr="00922AE0" w:rsidRDefault="00922AE0" w:rsidP="00922AE0">
      <w:pPr>
        <w:tabs>
          <w:tab w:val="left" w:pos="426"/>
        </w:tabs>
        <w:spacing w:before="0" w:after="0"/>
        <w:rPr>
          <w:i/>
          <w:sz w:val="16"/>
        </w:rPr>
      </w:pPr>
      <w:r>
        <w:rPr>
          <w:i/>
          <w:sz w:val="16"/>
        </w:rPr>
        <w:t>(4)</w:t>
      </w:r>
      <w:r>
        <w:rPr>
          <w:i/>
          <w:sz w:val="16"/>
        </w:rPr>
        <w:tab/>
        <w:t>2016 - 2018</w:t>
      </w:r>
    </w:p>
    <w:p w:rsidR="009132EB" w:rsidRDefault="009132EB" w:rsidP="009132EB">
      <w:pPr>
        <w:pStyle w:val="Titulek"/>
        <w:keepNext/>
      </w:pPr>
      <w:r>
        <w:t xml:space="preserve">Tab. </w:t>
      </w:r>
      <w:r w:rsidR="00990E2D">
        <w:fldChar w:fldCharType="begin"/>
      </w:r>
      <w:r w:rsidR="00990E2D">
        <w:instrText xml:space="preserve"> SEQ Tab. \* ARABIC </w:instrText>
      </w:r>
      <w:r w:rsidR="00990E2D">
        <w:fldChar w:fldCharType="separate"/>
      </w:r>
      <w:r w:rsidR="003F08E5">
        <w:rPr>
          <w:noProof/>
        </w:rPr>
        <w:t>10</w:t>
      </w:r>
      <w:r w:rsidR="00990E2D">
        <w:rPr>
          <w:noProof/>
        </w:rPr>
        <w:fldChar w:fldCharType="end"/>
      </w:r>
      <w:r>
        <w:tab/>
      </w:r>
      <w:r w:rsidRPr="004F1F0C">
        <w:t xml:space="preserve">Veřejná podpora bezpečnostního výzkumu v organizačních jednotkách MV v letech 2010 </w:t>
      </w:r>
      <w:r>
        <w:t>–</w:t>
      </w:r>
      <w:r w:rsidRPr="004F1F0C">
        <w:t xml:space="preserve"> 2020</w:t>
      </w:r>
      <w:r>
        <w:t>. Zdroj: IS VaVaI</w:t>
      </w:r>
    </w:p>
    <w:tbl>
      <w:tblPr>
        <w:tblW w:w="8948" w:type="dxa"/>
        <w:jc w:val="center"/>
        <w:tblInd w:w="55" w:type="dxa"/>
        <w:tblCellMar>
          <w:left w:w="70" w:type="dxa"/>
          <w:right w:w="70" w:type="dxa"/>
        </w:tblCellMar>
        <w:tblLook w:val="04A0" w:firstRow="1" w:lastRow="0" w:firstColumn="1" w:lastColumn="0" w:noHBand="0" w:noVBand="1"/>
      </w:tblPr>
      <w:tblGrid>
        <w:gridCol w:w="923"/>
        <w:gridCol w:w="675"/>
        <w:gridCol w:w="673"/>
        <w:gridCol w:w="721"/>
        <w:gridCol w:w="567"/>
        <w:gridCol w:w="659"/>
        <w:gridCol w:w="617"/>
        <w:gridCol w:w="749"/>
        <w:gridCol w:w="789"/>
        <w:gridCol w:w="588"/>
        <w:gridCol w:w="583"/>
        <w:gridCol w:w="682"/>
        <w:gridCol w:w="722"/>
      </w:tblGrid>
      <w:tr w:rsidR="009132EB" w:rsidRPr="00E022BD" w:rsidTr="00443784">
        <w:trPr>
          <w:trHeight w:val="300"/>
          <w:jc w:val="center"/>
        </w:trPr>
        <w:tc>
          <w:tcPr>
            <w:tcW w:w="8948" w:type="dxa"/>
            <w:gridSpan w:val="13"/>
            <w:tcBorders>
              <w:top w:val="single" w:sz="4" w:space="0" w:color="auto"/>
              <w:left w:val="nil"/>
              <w:bottom w:val="single" w:sz="4" w:space="0" w:color="auto"/>
              <w:right w:val="nil"/>
            </w:tcBorders>
            <w:shd w:val="clear" w:color="auto" w:fill="D9D9D9" w:themeFill="background1" w:themeFillShade="D9"/>
            <w:noWrap/>
            <w:vAlign w:val="bottom"/>
            <w:hideMark/>
          </w:tcPr>
          <w:p w:rsidR="009132EB" w:rsidRPr="00E022BD" w:rsidRDefault="009132EB" w:rsidP="009132EB">
            <w:pPr>
              <w:spacing w:before="40" w:after="40"/>
              <w:jc w:val="center"/>
              <w:rPr>
                <w:rFonts w:ascii="Calibri" w:eastAsia="Times New Roman" w:hAnsi="Calibri" w:cs="Times New Roman"/>
                <w:b/>
                <w:bCs/>
                <w:color w:val="000000"/>
                <w:sz w:val="16"/>
                <w:szCs w:val="16"/>
                <w:lang w:eastAsia="cs-CZ"/>
              </w:rPr>
            </w:pPr>
            <w:r>
              <w:rPr>
                <w:rFonts w:ascii="Calibri" w:eastAsia="Times New Roman" w:hAnsi="Calibri" w:cs="Times New Roman"/>
                <w:b/>
                <w:bCs/>
                <w:color w:val="000000"/>
                <w:sz w:val="16"/>
                <w:szCs w:val="16"/>
                <w:lang w:eastAsia="cs-CZ"/>
              </w:rPr>
              <w:t>O</w:t>
            </w:r>
            <w:r w:rsidRPr="00E022BD">
              <w:rPr>
                <w:rFonts w:ascii="Calibri" w:eastAsia="Times New Roman" w:hAnsi="Calibri" w:cs="Times New Roman"/>
                <w:b/>
                <w:bCs/>
                <w:color w:val="000000"/>
                <w:sz w:val="16"/>
                <w:szCs w:val="16"/>
                <w:lang w:eastAsia="cs-CZ"/>
              </w:rPr>
              <w:t>bor</w:t>
            </w:r>
            <w:r>
              <w:rPr>
                <w:rFonts w:ascii="Calibri" w:eastAsia="Times New Roman" w:hAnsi="Calibri" w:cs="Times New Roman"/>
                <w:b/>
                <w:bCs/>
                <w:color w:val="000000"/>
                <w:sz w:val="16"/>
                <w:szCs w:val="16"/>
                <w:lang w:eastAsia="cs-CZ"/>
              </w:rPr>
              <w:t xml:space="preserve"> (</w:t>
            </w:r>
            <w:r w:rsidRPr="00E022BD">
              <w:rPr>
                <w:rFonts w:ascii="Calibri" w:eastAsia="Times New Roman" w:hAnsi="Calibri" w:cs="Times New Roman"/>
                <w:b/>
                <w:bCs/>
                <w:color w:val="000000"/>
                <w:sz w:val="16"/>
                <w:szCs w:val="16"/>
                <w:lang w:eastAsia="cs-CZ"/>
              </w:rPr>
              <w:t>tis. Kč</w:t>
            </w:r>
            <w:r>
              <w:rPr>
                <w:rFonts w:ascii="Calibri" w:eastAsia="Times New Roman" w:hAnsi="Calibri" w:cs="Times New Roman"/>
                <w:b/>
                <w:bCs/>
                <w:color w:val="000000"/>
                <w:sz w:val="16"/>
                <w:szCs w:val="16"/>
                <w:lang w:eastAsia="cs-CZ"/>
              </w:rPr>
              <w:t>)</w:t>
            </w:r>
          </w:p>
        </w:tc>
      </w:tr>
      <w:tr w:rsidR="009132EB" w:rsidRPr="000B1C43" w:rsidTr="00443784">
        <w:trPr>
          <w:cantSplit/>
          <w:trHeight w:val="2064"/>
          <w:jc w:val="center"/>
        </w:trPr>
        <w:tc>
          <w:tcPr>
            <w:tcW w:w="923" w:type="dxa"/>
            <w:tcBorders>
              <w:top w:val="single" w:sz="4" w:space="0" w:color="auto"/>
              <w:left w:val="nil"/>
              <w:bottom w:val="single" w:sz="4" w:space="0" w:color="auto"/>
              <w:right w:val="nil"/>
            </w:tcBorders>
            <w:shd w:val="clear" w:color="auto" w:fill="F2F2F2" w:themeFill="background1" w:themeFillShade="F2"/>
            <w:noWrap/>
            <w:vAlign w:val="center"/>
          </w:tcPr>
          <w:p w:rsidR="009132EB" w:rsidRPr="000B1C43" w:rsidRDefault="009132EB" w:rsidP="009132EB">
            <w:pPr>
              <w:spacing w:before="40" w:after="40"/>
              <w:jc w:val="center"/>
              <w:rPr>
                <w:rFonts w:ascii="Calibri" w:eastAsia="Times New Roman" w:hAnsi="Calibri" w:cs="Times New Roman"/>
                <w:b/>
                <w:bCs/>
                <w:color w:val="000000"/>
                <w:sz w:val="18"/>
                <w:szCs w:val="16"/>
                <w:lang w:eastAsia="cs-CZ"/>
              </w:rPr>
            </w:pPr>
          </w:p>
        </w:tc>
        <w:tc>
          <w:tcPr>
            <w:tcW w:w="675" w:type="dxa"/>
            <w:tcBorders>
              <w:top w:val="single" w:sz="4" w:space="0" w:color="auto"/>
              <w:left w:val="nil"/>
              <w:bottom w:val="single" w:sz="4" w:space="0" w:color="auto"/>
              <w:right w:val="nil"/>
            </w:tcBorders>
            <w:shd w:val="clear" w:color="auto" w:fill="F2F2F2" w:themeFill="background1" w:themeFillShade="F2"/>
            <w:vAlign w:val="center"/>
          </w:tcPr>
          <w:p w:rsidR="009132EB" w:rsidRPr="000B1C43" w:rsidRDefault="009132EB" w:rsidP="009132EB">
            <w:pPr>
              <w:spacing w:before="40" w:after="40"/>
              <w:jc w:val="center"/>
              <w:rPr>
                <w:rFonts w:ascii="Calibri" w:eastAsia="Times New Roman" w:hAnsi="Calibri" w:cs="Times New Roman"/>
                <w:b/>
                <w:bCs/>
                <w:color w:val="000000"/>
                <w:sz w:val="18"/>
                <w:szCs w:val="16"/>
                <w:lang w:eastAsia="cs-CZ"/>
              </w:rPr>
            </w:pPr>
          </w:p>
        </w:tc>
        <w:tc>
          <w:tcPr>
            <w:tcW w:w="673" w:type="dxa"/>
            <w:tcBorders>
              <w:top w:val="single" w:sz="4" w:space="0" w:color="auto"/>
              <w:left w:val="nil"/>
              <w:bottom w:val="single" w:sz="4" w:space="0" w:color="auto"/>
              <w:right w:val="nil"/>
            </w:tcBorders>
            <w:shd w:val="clear" w:color="auto" w:fill="F2F2F2" w:themeFill="background1" w:themeFillShade="F2"/>
            <w:noWrap/>
            <w:textDirection w:val="btLr"/>
            <w:vAlign w:val="center"/>
          </w:tcPr>
          <w:p w:rsidR="009132EB" w:rsidRPr="00771F32" w:rsidRDefault="009132EB" w:rsidP="009132EB">
            <w:pPr>
              <w:spacing w:before="40" w:after="40"/>
              <w:ind w:left="113" w:right="113"/>
              <w:jc w:val="center"/>
              <w:rPr>
                <w:rFonts w:ascii="Calibri" w:eastAsia="Times New Roman" w:hAnsi="Calibri" w:cs="Times New Roman"/>
                <w:bCs/>
                <w:color w:val="000000"/>
                <w:sz w:val="18"/>
                <w:szCs w:val="16"/>
                <w:lang w:eastAsia="cs-CZ"/>
              </w:rPr>
            </w:pPr>
            <w:r w:rsidRPr="00771F32">
              <w:rPr>
                <w:rFonts w:ascii="Calibri" w:eastAsia="Times New Roman" w:hAnsi="Calibri" w:cs="Times New Roman"/>
                <w:bCs/>
                <w:color w:val="000000"/>
                <w:sz w:val="18"/>
                <w:szCs w:val="16"/>
                <w:lang w:eastAsia="cs-CZ"/>
              </w:rPr>
              <w:t>Společenské vědy (*)</w:t>
            </w:r>
          </w:p>
        </w:tc>
        <w:tc>
          <w:tcPr>
            <w:tcW w:w="721" w:type="dxa"/>
            <w:tcBorders>
              <w:top w:val="single" w:sz="4" w:space="0" w:color="auto"/>
              <w:left w:val="nil"/>
              <w:bottom w:val="single" w:sz="4" w:space="0" w:color="auto"/>
              <w:right w:val="nil"/>
            </w:tcBorders>
            <w:shd w:val="clear" w:color="auto" w:fill="F2F2F2" w:themeFill="background1" w:themeFillShade="F2"/>
            <w:noWrap/>
            <w:textDirection w:val="btLr"/>
            <w:vAlign w:val="center"/>
          </w:tcPr>
          <w:p w:rsidR="009132EB" w:rsidRPr="00771F32" w:rsidRDefault="009132EB" w:rsidP="009132EB">
            <w:pPr>
              <w:spacing w:before="40" w:after="40"/>
              <w:ind w:left="113" w:right="113"/>
              <w:jc w:val="center"/>
              <w:rPr>
                <w:rFonts w:ascii="Calibri" w:eastAsia="Times New Roman" w:hAnsi="Calibri" w:cs="Times New Roman"/>
                <w:bCs/>
                <w:color w:val="000000"/>
                <w:sz w:val="18"/>
                <w:szCs w:val="16"/>
                <w:lang w:eastAsia="cs-CZ"/>
              </w:rPr>
            </w:pPr>
            <w:r w:rsidRPr="00771F32">
              <w:rPr>
                <w:rFonts w:ascii="Calibri" w:eastAsia="Times New Roman" w:hAnsi="Calibri" w:cs="Times New Roman"/>
                <w:bCs/>
                <w:color w:val="000000"/>
                <w:sz w:val="18"/>
                <w:szCs w:val="16"/>
                <w:lang w:eastAsia="cs-CZ"/>
              </w:rPr>
              <w:t>Bezpečnost a ochrana zdraví, člověk – stroj (*)</w:t>
            </w:r>
          </w:p>
        </w:tc>
        <w:tc>
          <w:tcPr>
            <w:tcW w:w="567" w:type="dxa"/>
            <w:tcBorders>
              <w:top w:val="single" w:sz="4" w:space="0" w:color="auto"/>
              <w:left w:val="nil"/>
              <w:bottom w:val="single" w:sz="4" w:space="0" w:color="auto"/>
              <w:right w:val="nil"/>
            </w:tcBorders>
            <w:shd w:val="clear" w:color="auto" w:fill="F2F2F2" w:themeFill="background1" w:themeFillShade="F2"/>
            <w:noWrap/>
            <w:textDirection w:val="btLr"/>
            <w:vAlign w:val="center"/>
          </w:tcPr>
          <w:p w:rsidR="009132EB" w:rsidRPr="00771F32" w:rsidRDefault="009132EB" w:rsidP="009132EB">
            <w:pPr>
              <w:spacing w:before="40" w:after="40"/>
              <w:ind w:left="113" w:right="113"/>
              <w:jc w:val="center"/>
              <w:rPr>
                <w:rFonts w:ascii="Calibri" w:eastAsia="Times New Roman" w:hAnsi="Calibri" w:cs="Times New Roman"/>
                <w:bCs/>
                <w:color w:val="000000"/>
                <w:sz w:val="18"/>
                <w:szCs w:val="16"/>
                <w:lang w:eastAsia="cs-CZ"/>
              </w:rPr>
            </w:pPr>
            <w:r w:rsidRPr="00771F32">
              <w:rPr>
                <w:rFonts w:ascii="Calibri" w:eastAsia="Times New Roman" w:hAnsi="Calibri" w:cs="Times New Roman"/>
                <w:bCs/>
                <w:color w:val="000000"/>
                <w:sz w:val="18"/>
                <w:szCs w:val="16"/>
                <w:lang w:eastAsia="cs-CZ"/>
              </w:rPr>
              <w:t>Fyzika a matematika</w:t>
            </w:r>
          </w:p>
        </w:tc>
        <w:tc>
          <w:tcPr>
            <w:tcW w:w="659" w:type="dxa"/>
            <w:tcBorders>
              <w:top w:val="single" w:sz="4" w:space="0" w:color="auto"/>
              <w:left w:val="nil"/>
              <w:bottom w:val="single" w:sz="4" w:space="0" w:color="auto"/>
              <w:right w:val="nil"/>
            </w:tcBorders>
            <w:shd w:val="clear" w:color="auto" w:fill="F2F2F2" w:themeFill="background1" w:themeFillShade="F2"/>
            <w:noWrap/>
            <w:textDirection w:val="btLr"/>
            <w:vAlign w:val="center"/>
          </w:tcPr>
          <w:p w:rsidR="009132EB" w:rsidRPr="00771F32" w:rsidRDefault="009132EB" w:rsidP="009132EB">
            <w:pPr>
              <w:spacing w:before="40" w:after="40"/>
              <w:ind w:left="113" w:right="113"/>
              <w:jc w:val="center"/>
              <w:rPr>
                <w:rFonts w:ascii="Calibri" w:eastAsia="Times New Roman" w:hAnsi="Calibri" w:cs="Times New Roman"/>
                <w:bCs/>
                <w:color w:val="000000"/>
                <w:sz w:val="18"/>
                <w:szCs w:val="16"/>
                <w:lang w:eastAsia="cs-CZ"/>
              </w:rPr>
            </w:pPr>
            <w:r w:rsidRPr="00771F32">
              <w:rPr>
                <w:rFonts w:ascii="Calibri" w:eastAsia="Times New Roman" w:hAnsi="Calibri" w:cs="Times New Roman"/>
                <w:bCs/>
                <w:color w:val="000000"/>
                <w:sz w:val="18"/>
                <w:szCs w:val="16"/>
                <w:lang w:eastAsia="cs-CZ"/>
              </w:rPr>
              <w:t>Chemie</w:t>
            </w:r>
          </w:p>
        </w:tc>
        <w:tc>
          <w:tcPr>
            <w:tcW w:w="617" w:type="dxa"/>
            <w:tcBorders>
              <w:top w:val="single" w:sz="4" w:space="0" w:color="auto"/>
              <w:left w:val="nil"/>
              <w:bottom w:val="single" w:sz="4" w:space="0" w:color="auto"/>
              <w:right w:val="nil"/>
            </w:tcBorders>
            <w:shd w:val="clear" w:color="auto" w:fill="F2F2F2" w:themeFill="background1" w:themeFillShade="F2"/>
            <w:noWrap/>
            <w:textDirection w:val="btLr"/>
            <w:vAlign w:val="center"/>
          </w:tcPr>
          <w:p w:rsidR="009132EB" w:rsidRPr="00771F32" w:rsidRDefault="009132EB" w:rsidP="009132EB">
            <w:pPr>
              <w:spacing w:before="40" w:after="40"/>
              <w:ind w:left="113" w:right="113"/>
              <w:jc w:val="center"/>
              <w:rPr>
                <w:rFonts w:ascii="Calibri" w:eastAsia="Times New Roman" w:hAnsi="Calibri" w:cs="Times New Roman"/>
                <w:bCs/>
                <w:color w:val="000000"/>
                <w:sz w:val="18"/>
                <w:szCs w:val="16"/>
                <w:lang w:eastAsia="cs-CZ"/>
              </w:rPr>
            </w:pPr>
            <w:r w:rsidRPr="00771F32">
              <w:rPr>
                <w:rFonts w:ascii="Calibri" w:eastAsia="Times New Roman" w:hAnsi="Calibri" w:cs="Times New Roman"/>
                <w:bCs/>
                <w:color w:val="000000"/>
                <w:sz w:val="18"/>
                <w:szCs w:val="16"/>
                <w:lang w:eastAsia="cs-CZ"/>
              </w:rPr>
              <w:t>Vědy o zemi</w:t>
            </w:r>
          </w:p>
        </w:tc>
        <w:tc>
          <w:tcPr>
            <w:tcW w:w="749" w:type="dxa"/>
            <w:tcBorders>
              <w:top w:val="single" w:sz="4" w:space="0" w:color="auto"/>
              <w:left w:val="nil"/>
              <w:bottom w:val="single" w:sz="4" w:space="0" w:color="auto"/>
              <w:right w:val="nil"/>
            </w:tcBorders>
            <w:shd w:val="clear" w:color="auto" w:fill="F2F2F2" w:themeFill="background1" w:themeFillShade="F2"/>
            <w:noWrap/>
            <w:textDirection w:val="btLr"/>
            <w:vAlign w:val="center"/>
          </w:tcPr>
          <w:p w:rsidR="009132EB" w:rsidRPr="00771F32" w:rsidRDefault="009132EB" w:rsidP="009132EB">
            <w:pPr>
              <w:spacing w:before="40" w:after="40"/>
              <w:ind w:left="113" w:right="113"/>
              <w:jc w:val="center"/>
              <w:rPr>
                <w:rFonts w:ascii="Calibri" w:eastAsia="Times New Roman" w:hAnsi="Calibri" w:cs="Times New Roman"/>
                <w:bCs/>
                <w:color w:val="000000"/>
                <w:sz w:val="18"/>
                <w:szCs w:val="16"/>
                <w:lang w:eastAsia="cs-CZ"/>
              </w:rPr>
            </w:pPr>
            <w:r w:rsidRPr="00771F32">
              <w:rPr>
                <w:rFonts w:ascii="Calibri" w:eastAsia="Times New Roman" w:hAnsi="Calibri" w:cs="Times New Roman"/>
                <w:bCs/>
                <w:color w:val="000000"/>
                <w:sz w:val="18"/>
                <w:szCs w:val="16"/>
                <w:lang w:eastAsia="cs-CZ"/>
              </w:rPr>
              <w:t>Biovědy</w:t>
            </w:r>
          </w:p>
        </w:tc>
        <w:tc>
          <w:tcPr>
            <w:tcW w:w="789" w:type="dxa"/>
            <w:tcBorders>
              <w:top w:val="single" w:sz="4" w:space="0" w:color="auto"/>
              <w:left w:val="nil"/>
              <w:bottom w:val="single" w:sz="4" w:space="0" w:color="auto"/>
              <w:right w:val="nil"/>
            </w:tcBorders>
            <w:shd w:val="clear" w:color="auto" w:fill="F2F2F2" w:themeFill="background1" w:themeFillShade="F2"/>
            <w:noWrap/>
            <w:textDirection w:val="btLr"/>
            <w:vAlign w:val="center"/>
          </w:tcPr>
          <w:p w:rsidR="009132EB" w:rsidRPr="00771F32" w:rsidRDefault="009132EB" w:rsidP="009132EB">
            <w:pPr>
              <w:spacing w:before="40" w:after="40"/>
              <w:ind w:left="113" w:right="113"/>
              <w:jc w:val="center"/>
              <w:rPr>
                <w:rFonts w:ascii="Calibri" w:eastAsia="Times New Roman" w:hAnsi="Calibri" w:cs="Times New Roman"/>
                <w:bCs/>
                <w:color w:val="000000"/>
                <w:sz w:val="18"/>
                <w:szCs w:val="16"/>
                <w:lang w:eastAsia="cs-CZ"/>
              </w:rPr>
            </w:pPr>
            <w:r w:rsidRPr="00771F32">
              <w:rPr>
                <w:rFonts w:ascii="Calibri" w:eastAsia="Times New Roman" w:hAnsi="Calibri" w:cs="Times New Roman"/>
                <w:bCs/>
                <w:color w:val="000000"/>
                <w:sz w:val="18"/>
                <w:szCs w:val="16"/>
                <w:lang w:eastAsia="cs-CZ"/>
              </w:rPr>
              <w:t>Lékařské vědy</w:t>
            </w:r>
          </w:p>
        </w:tc>
        <w:tc>
          <w:tcPr>
            <w:tcW w:w="588" w:type="dxa"/>
            <w:tcBorders>
              <w:top w:val="single" w:sz="4" w:space="0" w:color="auto"/>
              <w:left w:val="nil"/>
              <w:bottom w:val="single" w:sz="4" w:space="0" w:color="auto"/>
              <w:right w:val="nil"/>
            </w:tcBorders>
            <w:shd w:val="clear" w:color="auto" w:fill="F2F2F2" w:themeFill="background1" w:themeFillShade="F2"/>
            <w:noWrap/>
            <w:textDirection w:val="btLr"/>
            <w:vAlign w:val="center"/>
          </w:tcPr>
          <w:p w:rsidR="009132EB" w:rsidRPr="00771F32" w:rsidRDefault="009132EB" w:rsidP="009132EB">
            <w:pPr>
              <w:spacing w:before="40" w:after="40"/>
              <w:ind w:left="113" w:right="113"/>
              <w:jc w:val="center"/>
              <w:rPr>
                <w:rFonts w:ascii="Calibri" w:eastAsia="Times New Roman" w:hAnsi="Calibri" w:cs="Times New Roman"/>
                <w:bCs/>
                <w:color w:val="000000"/>
                <w:sz w:val="18"/>
                <w:szCs w:val="16"/>
                <w:lang w:eastAsia="cs-CZ"/>
              </w:rPr>
            </w:pPr>
            <w:r w:rsidRPr="00771F32">
              <w:rPr>
                <w:rFonts w:ascii="Calibri" w:eastAsia="Times New Roman" w:hAnsi="Calibri" w:cs="Times New Roman"/>
                <w:bCs/>
                <w:color w:val="000000"/>
                <w:sz w:val="18"/>
                <w:szCs w:val="16"/>
                <w:lang w:eastAsia="cs-CZ"/>
              </w:rPr>
              <w:t>Zemědělství</w:t>
            </w:r>
          </w:p>
        </w:tc>
        <w:tc>
          <w:tcPr>
            <w:tcW w:w="583" w:type="dxa"/>
            <w:tcBorders>
              <w:top w:val="single" w:sz="4" w:space="0" w:color="auto"/>
              <w:left w:val="nil"/>
              <w:bottom w:val="single" w:sz="4" w:space="0" w:color="auto"/>
              <w:right w:val="nil"/>
            </w:tcBorders>
            <w:shd w:val="clear" w:color="auto" w:fill="F2F2F2" w:themeFill="background1" w:themeFillShade="F2"/>
            <w:noWrap/>
            <w:textDirection w:val="btLr"/>
            <w:vAlign w:val="center"/>
          </w:tcPr>
          <w:p w:rsidR="009132EB" w:rsidRPr="00771F32" w:rsidRDefault="009132EB" w:rsidP="009132EB">
            <w:pPr>
              <w:spacing w:before="40" w:after="40"/>
              <w:ind w:left="113" w:right="113"/>
              <w:jc w:val="center"/>
              <w:rPr>
                <w:rFonts w:ascii="Calibri" w:eastAsia="Times New Roman" w:hAnsi="Calibri" w:cs="Times New Roman"/>
                <w:bCs/>
                <w:color w:val="000000"/>
                <w:sz w:val="18"/>
                <w:szCs w:val="16"/>
                <w:lang w:eastAsia="cs-CZ"/>
              </w:rPr>
            </w:pPr>
            <w:r w:rsidRPr="00771F32">
              <w:rPr>
                <w:rFonts w:ascii="Calibri" w:eastAsia="Times New Roman" w:hAnsi="Calibri" w:cs="Times New Roman"/>
                <w:bCs/>
                <w:color w:val="000000"/>
                <w:sz w:val="18"/>
                <w:szCs w:val="16"/>
                <w:lang w:eastAsia="cs-CZ"/>
              </w:rPr>
              <w:t>Informatika</w:t>
            </w:r>
          </w:p>
        </w:tc>
        <w:tc>
          <w:tcPr>
            <w:tcW w:w="682" w:type="dxa"/>
            <w:tcBorders>
              <w:top w:val="single" w:sz="4" w:space="0" w:color="auto"/>
              <w:left w:val="nil"/>
              <w:bottom w:val="single" w:sz="4" w:space="0" w:color="auto"/>
              <w:right w:val="nil"/>
            </w:tcBorders>
            <w:shd w:val="clear" w:color="auto" w:fill="F2F2F2" w:themeFill="background1" w:themeFillShade="F2"/>
            <w:noWrap/>
            <w:textDirection w:val="btLr"/>
            <w:vAlign w:val="center"/>
          </w:tcPr>
          <w:p w:rsidR="009132EB" w:rsidRPr="00771F32" w:rsidRDefault="009132EB" w:rsidP="009132EB">
            <w:pPr>
              <w:spacing w:before="40" w:after="40"/>
              <w:ind w:left="113" w:right="113"/>
              <w:jc w:val="center"/>
              <w:rPr>
                <w:rFonts w:ascii="Calibri" w:eastAsia="Times New Roman" w:hAnsi="Calibri" w:cs="Times New Roman"/>
                <w:bCs/>
                <w:color w:val="000000"/>
                <w:sz w:val="18"/>
                <w:szCs w:val="16"/>
                <w:lang w:eastAsia="cs-CZ"/>
              </w:rPr>
            </w:pPr>
            <w:r w:rsidRPr="00771F32">
              <w:rPr>
                <w:rFonts w:ascii="Calibri" w:eastAsia="Times New Roman" w:hAnsi="Calibri" w:cs="Times New Roman"/>
                <w:bCs/>
                <w:color w:val="000000"/>
                <w:sz w:val="18"/>
                <w:szCs w:val="16"/>
                <w:lang w:eastAsia="cs-CZ"/>
              </w:rPr>
              <w:t>Průmysl</w:t>
            </w:r>
          </w:p>
        </w:tc>
        <w:tc>
          <w:tcPr>
            <w:tcW w:w="722" w:type="dxa"/>
            <w:tcBorders>
              <w:top w:val="single" w:sz="4" w:space="0" w:color="auto"/>
              <w:left w:val="nil"/>
              <w:bottom w:val="single" w:sz="4" w:space="0" w:color="auto"/>
              <w:right w:val="nil"/>
            </w:tcBorders>
            <w:shd w:val="clear" w:color="auto" w:fill="F2F2F2" w:themeFill="background1" w:themeFillShade="F2"/>
            <w:noWrap/>
            <w:textDirection w:val="btLr"/>
            <w:vAlign w:val="center"/>
          </w:tcPr>
          <w:p w:rsidR="009132EB" w:rsidRPr="00771F32" w:rsidRDefault="009132EB" w:rsidP="009132EB">
            <w:pPr>
              <w:spacing w:before="40" w:after="40"/>
              <w:ind w:left="113" w:right="113"/>
              <w:jc w:val="center"/>
              <w:rPr>
                <w:rFonts w:ascii="Calibri" w:eastAsia="Times New Roman" w:hAnsi="Calibri" w:cs="Times New Roman"/>
                <w:bCs/>
                <w:color w:val="000000"/>
                <w:sz w:val="18"/>
                <w:szCs w:val="16"/>
                <w:lang w:eastAsia="cs-CZ"/>
              </w:rPr>
            </w:pPr>
            <w:r w:rsidRPr="00771F32">
              <w:rPr>
                <w:rFonts w:ascii="Calibri" w:eastAsia="Times New Roman" w:hAnsi="Calibri" w:cs="Times New Roman"/>
                <w:bCs/>
                <w:color w:val="000000"/>
                <w:sz w:val="18"/>
                <w:szCs w:val="16"/>
                <w:lang w:eastAsia="cs-CZ"/>
              </w:rPr>
              <w:t>Vojenství</w:t>
            </w:r>
          </w:p>
        </w:tc>
      </w:tr>
      <w:tr w:rsidR="009132EB" w:rsidRPr="00E022BD" w:rsidTr="00443784">
        <w:trPr>
          <w:trHeight w:val="300"/>
          <w:jc w:val="center"/>
        </w:trPr>
        <w:tc>
          <w:tcPr>
            <w:tcW w:w="923" w:type="dxa"/>
            <w:tcBorders>
              <w:top w:val="nil"/>
              <w:left w:val="nil"/>
              <w:bottom w:val="single" w:sz="4" w:space="0" w:color="auto"/>
              <w:right w:val="nil"/>
            </w:tcBorders>
            <w:shd w:val="clear" w:color="auto" w:fill="D9D9D9" w:themeFill="background1" w:themeFillShade="D9"/>
            <w:noWrap/>
            <w:vAlign w:val="center"/>
            <w:hideMark/>
          </w:tcPr>
          <w:p w:rsidR="009132EB" w:rsidRPr="00E022BD" w:rsidRDefault="009132EB" w:rsidP="009132EB">
            <w:pPr>
              <w:spacing w:before="40" w:after="40"/>
              <w:jc w:val="center"/>
              <w:rPr>
                <w:rFonts w:ascii="Calibri" w:eastAsia="Times New Roman" w:hAnsi="Calibri" w:cs="Times New Roman"/>
                <w:b/>
                <w:bCs/>
                <w:color w:val="000000"/>
                <w:sz w:val="16"/>
                <w:szCs w:val="16"/>
                <w:lang w:eastAsia="cs-CZ"/>
              </w:rPr>
            </w:pPr>
            <w:r>
              <w:rPr>
                <w:rFonts w:ascii="Calibri" w:eastAsia="Times New Roman" w:hAnsi="Calibri" w:cs="Times New Roman"/>
                <w:b/>
                <w:bCs/>
                <w:color w:val="000000"/>
                <w:sz w:val="16"/>
                <w:szCs w:val="16"/>
                <w:lang w:eastAsia="cs-CZ"/>
              </w:rPr>
              <w:t>R</w:t>
            </w:r>
            <w:r w:rsidRPr="00E022BD">
              <w:rPr>
                <w:rFonts w:ascii="Calibri" w:eastAsia="Times New Roman" w:hAnsi="Calibri" w:cs="Times New Roman"/>
                <w:b/>
                <w:bCs/>
                <w:color w:val="000000"/>
                <w:sz w:val="16"/>
                <w:szCs w:val="16"/>
                <w:lang w:eastAsia="cs-CZ"/>
              </w:rPr>
              <w:t>ok</w:t>
            </w:r>
          </w:p>
        </w:tc>
        <w:tc>
          <w:tcPr>
            <w:tcW w:w="675" w:type="dxa"/>
            <w:tcBorders>
              <w:top w:val="nil"/>
              <w:left w:val="nil"/>
              <w:bottom w:val="single" w:sz="4" w:space="0" w:color="auto"/>
              <w:right w:val="nil"/>
            </w:tcBorders>
            <w:shd w:val="clear" w:color="auto" w:fill="D9D9D9" w:themeFill="background1" w:themeFillShade="D9"/>
            <w:noWrap/>
            <w:vAlign w:val="center"/>
            <w:hideMark/>
          </w:tcPr>
          <w:p w:rsidR="009132EB" w:rsidRPr="00E022BD" w:rsidRDefault="009132EB" w:rsidP="009132EB">
            <w:pPr>
              <w:spacing w:before="40" w:after="40"/>
              <w:jc w:val="center"/>
              <w:rPr>
                <w:rFonts w:ascii="Calibri" w:eastAsia="Times New Roman" w:hAnsi="Calibri" w:cs="Times New Roman"/>
                <w:b/>
                <w:bCs/>
                <w:color w:val="000000"/>
                <w:sz w:val="16"/>
                <w:szCs w:val="16"/>
                <w:lang w:eastAsia="cs-CZ"/>
              </w:rPr>
            </w:pPr>
            <w:r w:rsidRPr="00E022BD">
              <w:rPr>
                <w:rFonts w:ascii="Calibri" w:eastAsia="Times New Roman" w:hAnsi="Calibri" w:cs="Times New Roman"/>
                <w:b/>
                <w:bCs/>
                <w:color w:val="000000"/>
                <w:sz w:val="16"/>
                <w:szCs w:val="16"/>
                <w:lang w:eastAsia="cs-CZ"/>
              </w:rPr>
              <w:t>Celkem</w:t>
            </w:r>
          </w:p>
        </w:tc>
        <w:tc>
          <w:tcPr>
            <w:tcW w:w="673" w:type="dxa"/>
            <w:tcBorders>
              <w:top w:val="nil"/>
              <w:left w:val="nil"/>
              <w:bottom w:val="single" w:sz="4" w:space="0" w:color="auto"/>
              <w:right w:val="nil"/>
            </w:tcBorders>
            <w:shd w:val="clear" w:color="auto" w:fill="D9D9D9" w:themeFill="background1" w:themeFillShade="D9"/>
            <w:noWrap/>
            <w:vAlign w:val="center"/>
            <w:hideMark/>
          </w:tcPr>
          <w:p w:rsidR="009132EB" w:rsidRPr="00E022BD" w:rsidRDefault="009132EB" w:rsidP="009132EB">
            <w:pPr>
              <w:spacing w:before="40" w:after="40"/>
              <w:jc w:val="center"/>
              <w:rPr>
                <w:rFonts w:ascii="Calibri" w:eastAsia="Times New Roman" w:hAnsi="Calibri" w:cs="Times New Roman"/>
                <w:b/>
                <w:bCs/>
                <w:color w:val="000000"/>
                <w:sz w:val="16"/>
                <w:szCs w:val="16"/>
                <w:lang w:eastAsia="cs-CZ"/>
              </w:rPr>
            </w:pPr>
            <w:r w:rsidRPr="00E022BD">
              <w:rPr>
                <w:rFonts w:ascii="Calibri" w:eastAsia="Times New Roman" w:hAnsi="Calibri" w:cs="Times New Roman"/>
                <w:b/>
                <w:bCs/>
                <w:color w:val="000000"/>
                <w:sz w:val="16"/>
                <w:szCs w:val="16"/>
                <w:lang w:eastAsia="cs-CZ"/>
              </w:rPr>
              <w:t>A</w:t>
            </w:r>
          </w:p>
        </w:tc>
        <w:tc>
          <w:tcPr>
            <w:tcW w:w="721" w:type="dxa"/>
            <w:tcBorders>
              <w:top w:val="nil"/>
              <w:left w:val="nil"/>
              <w:bottom w:val="single" w:sz="4" w:space="0" w:color="auto"/>
              <w:right w:val="nil"/>
            </w:tcBorders>
            <w:shd w:val="clear" w:color="auto" w:fill="D9D9D9" w:themeFill="background1" w:themeFillShade="D9"/>
            <w:noWrap/>
            <w:vAlign w:val="center"/>
            <w:hideMark/>
          </w:tcPr>
          <w:p w:rsidR="009132EB" w:rsidRPr="00E022BD" w:rsidRDefault="009132EB" w:rsidP="009132EB">
            <w:pPr>
              <w:spacing w:before="40" w:after="40"/>
              <w:jc w:val="center"/>
              <w:rPr>
                <w:rFonts w:ascii="Calibri" w:eastAsia="Times New Roman" w:hAnsi="Calibri" w:cs="Times New Roman"/>
                <w:b/>
                <w:bCs/>
                <w:color w:val="000000"/>
                <w:sz w:val="16"/>
                <w:szCs w:val="16"/>
                <w:lang w:eastAsia="cs-CZ"/>
              </w:rPr>
            </w:pPr>
            <w:r w:rsidRPr="00E022BD">
              <w:rPr>
                <w:rFonts w:ascii="Calibri" w:eastAsia="Times New Roman" w:hAnsi="Calibri" w:cs="Times New Roman"/>
                <w:b/>
                <w:bCs/>
                <w:color w:val="000000"/>
                <w:sz w:val="16"/>
                <w:szCs w:val="16"/>
                <w:lang w:eastAsia="cs-CZ"/>
              </w:rPr>
              <w:t>AQ</w:t>
            </w:r>
          </w:p>
        </w:tc>
        <w:tc>
          <w:tcPr>
            <w:tcW w:w="567" w:type="dxa"/>
            <w:tcBorders>
              <w:top w:val="nil"/>
              <w:left w:val="nil"/>
              <w:bottom w:val="single" w:sz="4" w:space="0" w:color="auto"/>
              <w:right w:val="nil"/>
            </w:tcBorders>
            <w:shd w:val="clear" w:color="auto" w:fill="D9D9D9" w:themeFill="background1" w:themeFillShade="D9"/>
            <w:noWrap/>
            <w:vAlign w:val="center"/>
            <w:hideMark/>
          </w:tcPr>
          <w:p w:rsidR="009132EB" w:rsidRPr="00E022BD" w:rsidRDefault="009132EB" w:rsidP="009132EB">
            <w:pPr>
              <w:spacing w:before="40" w:after="40"/>
              <w:jc w:val="center"/>
              <w:rPr>
                <w:rFonts w:ascii="Calibri" w:eastAsia="Times New Roman" w:hAnsi="Calibri" w:cs="Times New Roman"/>
                <w:b/>
                <w:bCs/>
                <w:color w:val="000000"/>
                <w:sz w:val="16"/>
                <w:szCs w:val="16"/>
                <w:lang w:eastAsia="cs-CZ"/>
              </w:rPr>
            </w:pPr>
            <w:r w:rsidRPr="00E022BD">
              <w:rPr>
                <w:rFonts w:ascii="Calibri" w:eastAsia="Times New Roman" w:hAnsi="Calibri" w:cs="Times New Roman"/>
                <w:b/>
                <w:bCs/>
                <w:color w:val="000000"/>
                <w:sz w:val="16"/>
                <w:szCs w:val="16"/>
                <w:lang w:eastAsia="cs-CZ"/>
              </w:rPr>
              <w:t>B</w:t>
            </w:r>
          </w:p>
        </w:tc>
        <w:tc>
          <w:tcPr>
            <w:tcW w:w="659" w:type="dxa"/>
            <w:tcBorders>
              <w:top w:val="nil"/>
              <w:left w:val="nil"/>
              <w:bottom w:val="single" w:sz="4" w:space="0" w:color="auto"/>
              <w:right w:val="nil"/>
            </w:tcBorders>
            <w:shd w:val="clear" w:color="auto" w:fill="D9D9D9" w:themeFill="background1" w:themeFillShade="D9"/>
            <w:noWrap/>
            <w:vAlign w:val="center"/>
            <w:hideMark/>
          </w:tcPr>
          <w:p w:rsidR="009132EB" w:rsidRPr="00E022BD" w:rsidRDefault="009132EB" w:rsidP="009132EB">
            <w:pPr>
              <w:spacing w:before="40" w:after="40"/>
              <w:jc w:val="center"/>
              <w:rPr>
                <w:rFonts w:ascii="Calibri" w:eastAsia="Times New Roman" w:hAnsi="Calibri" w:cs="Times New Roman"/>
                <w:b/>
                <w:bCs/>
                <w:color w:val="000000"/>
                <w:sz w:val="16"/>
                <w:szCs w:val="16"/>
                <w:lang w:eastAsia="cs-CZ"/>
              </w:rPr>
            </w:pPr>
            <w:r w:rsidRPr="00E022BD">
              <w:rPr>
                <w:rFonts w:ascii="Calibri" w:eastAsia="Times New Roman" w:hAnsi="Calibri" w:cs="Times New Roman"/>
                <w:b/>
                <w:bCs/>
                <w:color w:val="000000"/>
                <w:sz w:val="16"/>
                <w:szCs w:val="16"/>
                <w:lang w:eastAsia="cs-CZ"/>
              </w:rPr>
              <w:t>C</w:t>
            </w:r>
          </w:p>
        </w:tc>
        <w:tc>
          <w:tcPr>
            <w:tcW w:w="617" w:type="dxa"/>
            <w:tcBorders>
              <w:top w:val="nil"/>
              <w:left w:val="nil"/>
              <w:bottom w:val="single" w:sz="4" w:space="0" w:color="auto"/>
              <w:right w:val="nil"/>
            </w:tcBorders>
            <w:shd w:val="clear" w:color="auto" w:fill="D9D9D9" w:themeFill="background1" w:themeFillShade="D9"/>
            <w:noWrap/>
            <w:vAlign w:val="center"/>
            <w:hideMark/>
          </w:tcPr>
          <w:p w:rsidR="009132EB" w:rsidRPr="00E022BD" w:rsidRDefault="009132EB" w:rsidP="009132EB">
            <w:pPr>
              <w:spacing w:before="40" w:after="40"/>
              <w:jc w:val="center"/>
              <w:rPr>
                <w:rFonts w:ascii="Calibri" w:eastAsia="Times New Roman" w:hAnsi="Calibri" w:cs="Times New Roman"/>
                <w:b/>
                <w:bCs/>
                <w:color w:val="000000"/>
                <w:sz w:val="16"/>
                <w:szCs w:val="16"/>
                <w:lang w:eastAsia="cs-CZ"/>
              </w:rPr>
            </w:pPr>
            <w:r w:rsidRPr="00E022BD">
              <w:rPr>
                <w:rFonts w:ascii="Calibri" w:eastAsia="Times New Roman" w:hAnsi="Calibri" w:cs="Times New Roman"/>
                <w:b/>
                <w:bCs/>
                <w:color w:val="000000"/>
                <w:sz w:val="16"/>
                <w:szCs w:val="16"/>
                <w:lang w:eastAsia="cs-CZ"/>
              </w:rPr>
              <w:t>D</w:t>
            </w:r>
          </w:p>
        </w:tc>
        <w:tc>
          <w:tcPr>
            <w:tcW w:w="749" w:type="dxa"/>
            <w:tcBorders>
              <w:top w:val="nil"/>
              <w:left w:val="nil"/>
              <w:bottom w:val="single" w:sz="4" w:space="0" w:color="auto"/>
              <w:right w:val="nil"/>
            </w:tcBorders>
            <w:shd w:val="clear" w:color="auto" w:fill="D9D9D9" w:themeFill="background1" w:themeFillShade="D9"/>
            <w:noWrap/>
            <w:vAlign w:val="center"/>
            <w:hideMark/>
          </w:tcPr>
          <w:p w:rsidR="009132EB" w:rsidRPr="00E022BD" w:rsidRDefault="009132EB" w:rsidP="009132EB">
            <w:pPr>
              <w:spacing w:before="40" w:after="40"/>
              <w:jc w:val="center"/>
              <w:rPr>
                <w:rFonts w:ascii="Calibri" w:eastAsia="Times New Roman" w:hAnsi="Calibri" w:cs="Times New Roman"/>
                <w:b/>
                <w:bCs/>
                <w:color w:val="000000"/>
                <w:sz w:val="16"/>
                <w:szCs w:val="16"/>
                <w:lang w:eastAsia="cs-CZ"/>
              </w:rPr>
            </w:pPr>
            <w:r w:rsidRPr="00E022BD">
              <w:rPr>
                <w:rFonts w:ascii="Calibri" w:eastAsia="Times New Roman" w:hAnsi="Calibri" w:cs="Times New Roman"/>
                <w:b/>
                <w:bCs/>
                <w:color w:val="000000"/>
                <w:sz w:val="16"/>
                <w:szCs w:val="16"/>
                <w:lang w:eastAsia="cs-CZ"/>
              </w:rPr>
              <w:t>E</w:t>
            </w:r>
          </w:p>
        </w:tc>
        <w:tc>
          <w:tcPr>
            <w:tcW w:w="789" w:type="dxa"/>
            <w:tcBorders>
              <w:top w:val="nil"/>
              <w:left w:val="nil"/>
              <w:bottom w:val="single" w:sz="4" w:space="0" w:color="auto"/>
              <w:right w:val="nil"/>
            </w:tcBorders>
            <w:shd w:val="clear" w:color="auto" w:fill="D9D9D9" w:themeFill="background1" w:themeFillShade="D9"/>
            <w:noWrap/>
            <w:vAlign w:val="center"/>
            <w:hideMark/>
          </w:tcPr>
          <w:p w:rsidR="009132EB" w:rsidRPr="00E022BD" w:rsidRDefault="009132EB" w:rsidP="009132EB">
            <w:pPr>
              <w:spacing w:before="40" w:after="40"/>
              <w:jc w:val="center"/>
              <w:rPr>
                <w:rFonts w:ascii="Calibri" w:eastAsia="Times New Roman" w:hAnsi="Calibri" w:cs="Times New Roman"/>
                <w:b/>
                <w:bCs/>
                <w:color w:val="000000"/>
                <w:sz w:val="16"/>
                <w:szCs w:val="16"/>
                <w:lang w:eastAsia="cs-CZ"/>
              </w:rPr>
            </w:pPr>
            <w:r w:rsidRPr="00E022BD">
              <w:rPr>
                <w:rFonts w:ascii="Calibri" w:eastAsia="Times New Roman" w:hAnsi="Calibri" w:cs="Times New Roman"/>
                <w:b/>
                <w:bCs/>
                <w:color w:val="000000"/>
                <w:sz w:val="16"/>
                <w:szCs w:val="16"/>
                <w:lang w:eastAsia="cs-CZ"/>
              </w:rPr>
              <w:t>F</w:t>
            </w:r>
          </w:p>
        </w:tc>
        <w:tc>
          <w:tcPr>
            <w:tcW w:w="588" w:type="dxa"/>
            <w:tcBorders>
              <w:top w:val="nil"/>
              <w:left w:val="nil"/>
              <w:bottom w:val="single" w:sz="4" w:space="0" w:color="auto"/>
              <w:right w:val="nil"/>
            </w:tcBorders>
            <w:shd w:val="clear" w:color="auto" w:fill="D9D9D9" w:themeFill="background1" w:themeFillShade="D9"/>
            <w:noWrap/>
            <w:vAlign w:val="center"/>
            <w:hideMark/>
          </w:tcPr>
          <w:p w:rsidR="009132EB" w:rsidRPr="00E022BD" w:rsidRDefault="009132EB" w:rsidP="009132EB">
            <w:pPr>
              <w:spacing w:before="40" w:after="40"/>
              <w:jc w:val="center"/>
              <w:rPr>
                <w:rFonts w:ascii="Calibri" w:eastAsia="Times New Roman" w:hAnsi="Calibri" w:cs="Times New Roman"/>
                <w:b/>
                <w:bCs/>
                <w:color w:val="000000"/>
                <w:sz w:val="16"/>
                <w:szCs w:val="16"/>
                <w:lang w:eastAsia="cs-CZ"/>
              </w:rPr>
            </w:pPr>
            <w:r w:rsidRPr="00E022BD">
              <w:rPr>
                <w:rFonts w:ascii="Calibri" w:eastAsia="Times New Roman" w:hAnsi="Calibri" w:cs="Times New Roman"/>
                <w:b/>
                <w:bCs/>
                <w:color w:val="000000"/>
                <w:sz w:val="16"/>
                <w:szCs w:val="16"/>
                <w:lang w:eastAsia="cs-CZ"/>
              </w:rPr>
              <w:t>G</w:t>
            </w:r>
          </w:p>
        </w:tc>
        <w:tc>
          <w:tcPr>
            <w:tcW w:w="583" w:type="dxa"/>
            <w:tcBorders>
              <w:top w:val="nil"/>
              <w:left w:val="nil"/>
              <w:bottom w:val="single" w:sz="4" w:space="0" w:color="auto"/>
              <w:right w:val="nil"/>
            </w:tcBorders>
            <w:shd w:val="clear" w:color="auto" w:fill="D9D9D9" w:themeFill="background1" w:themeFillShade="D9"/>
            <w:noWrap/>
            <w:vAlign w:val="center"/>
            <w:hideMark/>
          </w:tcPr>
          <w:p w:rsidR="009132EB" w:rsidRPr="00E022BD" w:rsidRDefault="009132EB" w:rsidP="009132EB">
            <w:pPr>
              <w:spacing w:before="40" w:after="40"/>
              <w:jc w:val="center"/>
              <w:rPr>
                <w:rFonts w:ascii="Calibri" w:eastAsia="Times New Roman" w:hAnsi="Calibri" w:cs="Times New Roman"/>
                <w:b/>
                <w:bCs/>
                <w:color w:val="000000"/>
                <w:sz w:val="16"/>
                <w:szCs w:val="16"/>
                <w:lang w:eastAsia="cs-CZ"/>
              </w:rPr>
            </w:pPr>
            <w:r w:rsidRPr="00E022BD">
              <w:rPr>
                <w:rFonts w:ascii="Calibri" w:eastAsia="Times New Roman" w:hAnsi="Calibri" w:cs="Times New Roman"/>
                <w:b/>
                <w:bCs/>
                <w:color w:val="000000"/>
                <w:sz w:val="16"/>
                <w:szCs w:val="16"/>
                <w:lang w:eastAsia="cs-CZ"/>
              </w:rPr>
              <w:t>I</w:t>
            </w:r>
          </w:p>
        </w:tc>
        <w:tc>
          <w:tcPr>
            <w:tcW w:w="682" w:type="dxa"/>
            <w:tcBorders>
              <w:top w:val="nil"/>
              <w:left w:val="nil"/>
              <w:bottom w:val="single" w:sz="4" w:space="0" w:color="auto"/>
              <w:right w:val="nil"/>
            </w:tcBorders>
            <w:shd w:val="clear" w:color="auto" w:fill="D9D9D9" w:themeFill="background1" w:themeFillShade="D9"/>
            <w:noWrap/>
            <w:vAlign w:val="center"/>
            <w:hideMark/>
          </w:tcPr>
          <w:p w:rsidR="009132EB" w:rsidRPr="00E022BD" w:rsidRDefault="009132EB" w:rsidP="009132EB">
            <w:pPr>
              <w:spacing w:before="40" w:after="40"/>
              <w:jc w:val="center"/>
              <w:rPr>
                <w:rFonts w:ascii="Calibri" w:eastAsia="Times New Roman" w:hAnsi="Calibri" w:cs="Times New Roman"/>
                <w:b/>
                <w:bCs/>
                <w:color w:val="000000"/>
                <w:sz w:val="16"/>
                <w:szCs w:val="16"/>
                <w:lang w:eastAsia="cs-CZ"/>
              </w:rPr>
            </w:pPr>
            <w:r w:rsidRPr="00E022BD">
              <w:rPr>
                <w:rFonts w:ascii="Calibri" w:eastAsia="Times New Roman" w:hAnsi="Calibri" w:cs="Times New Roman"/>
                <w:b/>
                <w:bCs/>
                <w:color w:val="000000"/>
                <w:sz w:val="16"/>
                <w:szCs w:val="16"/>
                <w:lang w:eastAsia="cs-CZ"/>
              </w:rPr>
              <w:t>J</w:t>
            </w:r>
          </w:p>
        </w:tc>
        <w:tc>
          <w:tcPr>
            <w:tcW w:w="722" w:type="dxa"/>
            <w:tcBorders>
              <w:top w:val="nil"/>
              <w:left w:val="nil"/>
              <w:bottom w:val="single" w:sz="4" w:space="0" w:color="auto"/>
              <w:right w:val="nil"/>
            </w:tcBorders>
            <w:shd w:val="clear" w:color="auto" w:fill="D9D9D9" w:themeFill="background1" w:themeFillShade="D9"/>
            <w:noWrap/>
            <w:vAlign w:val="center"/>
            <w:hideMark/>
          </w:tcPr>
          <w:p w:rsidR="009132EB" w:rsidRPr="00E022BD" w:rsidRDefault="009132EB" w:rsidP="009132EB">
            <w:pPr>
              <w:spacing w:before="40" w:after="40"/>
              <w:jc w:val="center"/>
              <w:rPr>
                <w:rFonts w:ascii="Calibri" w:eastAsia="Times New Roman" w:hAnsi="Calibri" w:cs="Times New Roman"/>
                <w:b/>
                <w:bCs/>
                <w:color w:val="000000"/>
                <w:sz w:val="16"/>
                <w:szCs w:val="16"/>
                <w:lang w:eastAsia="cs-CZ"/>
              </w:rPr>
            </w:pPr>
            <w:r w:rsidRPr="00E022BD">
              <w:rPr>
                <w:rFonts w:ascii="Calibri" w:eastAsia="Times New Roman" w:hAnsi="Calibri" w:cs="Times New Roman"/>
                <w:b/>
                <w:bCs/>
                <w:color w:val="000000"/>
                <w:sz w:val="16"/>
                <w:szCs w:val="16"/>
                <w:lang w:eastAsia="cs-CZ"/>
              </w:rPr>
              <w:t>K</w:t>
            </w:r>
          </w:p>
        </w:tc>
      </w:tr>
      <w:tr w:rsidR="009132EB" w:rsidRPr="00E022BD" w:rsidTr="00443784">
        <w:trPr>
          <w:trHeight w:val="300"/>
          <w:jc w:val="center"/>
        </w:trPr>
        <w:tc>
          <w:tcPr>
            <w:tcW w:w="923"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center"/>
              <w:rPr>
                <w:rFonts w:ascii="Calibri" w:eastAsia="Times New Roman" w:hAnsi="Calibri" w:cs="Times New Roman"/>
                <w:color w:val="000000"/>
                <w:sz w:val="16"/>
                <w:szCs w:val="16"/>
                <w:lang w:eastAsia="cs-CZ"/>
              </w:rPr>
            </w:pPr>
            <w:r w:rsidRPr="00E022BD">
              <w:rPr>
                <w:rFonts w:ascii="Calibri" w:eastAsia="Times New Roman" w:hAnsi="Calibri" w:cs="Times New Roman"/>
                <w:color w:val="000000"/>
                <w:sz w:val="16"/>
                <w:szCs w:val="16"/>
                <w:lang w:eastAsia="cs-CZ"/>
              </w:rPr>
              <w:t>2010</w:t>
            </w:r>
          </w:p>
        </w:tc>
        <w:tc>
          <w:tcPr>
            <w:tcW w:w="675"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right"/>
              <w:rPr>
                <w:rFonts w:ascii="Calibri" w:eastAsia="Times New Roman" w:hAnsi="Calibri" w:cs="Times New Roman"/>
                <w:b/>
                <w:bCs/>
                <w:color w:val="000000"/>
                <w:sz w:val="16"/>
                <w:szCs w:val="16"/>
                <w:lang w:eastAsia="cs-CZ"/>
              </w:rPr>
            </w:pPr>
            <w:r w:rsidRPr="00E022BD">
              <w:rPr>
                <w:rFonts w:ascii="Calibri" w:eastAsia="Times New Roman" w:hAnsi="Calibri" w:cs="Times New Roman"/>
                <w:b/>
                <w:bCs/>
                <w:color w:val="000000"/>
                <w:sz w:val="16"/>
                <w:szCs w:val="16"/>
                <w:lang w:eastAsia="cs-CZ"/>
              </w:rPr>
              <w:t>14 047</w:t>
            </w:r>
          </w:p>
        </w:tc>
        <w:tc>
          <w:tcPr>
            <w:tcW w:w="673"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center"/>
              <w:rPr>
                <w:rFonts w:ascii="Calibri" w:eastAsia="Times New Roman" w:hAnsi="Calibri" w:cs="Times New Roman"/>
                <w:color w:val="000000"/>
                <w:sz w:val="16"/>
                <w:szCs w:val="16"/>
                <w:lang w:eastAsia="cs-CZ"/>
              </w:rPr>
            </w:pPr>
          </w:p>
        </w:tc>
        <w:tc>
          <w:tcPr>
            <w:tcW w:w="721"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right"/>
              <w:rPr>
                <w:rFonts w:ascii="Calibri" w:eastAsia="Times New Roman" w:hAnsi="Calibri" w:cs="Times New Roman"/>
                <w:color w:val="000000"/>
                <w:sz w:val="16"/>
                <w:szCs w:val="16"/>
                <w:lang w:eastAsia="cs-CZ"/>
              </w:rPr>
            </w:pPr>
            <w:r w:rsidRPr="00E022BD">
              <w:rPr>
                <w:rFonts w:ascii="Calibri" w:eastAsia="Times New Roman" w:hAnsi="Calibri" w:cs="Times New Roman"/>
                <w:color w:val="000000"/>
                <w:sz w:val="16"/>
                <w:szCs w:val="16"/>
                <w:lang w:eastAsia="cs-CZ"/>
              </w:rPr>
              <w:t>7 290</w:t>
            </w:r>
          </w:p>
        </w:tc>
        <w:tc>
          <w:tcPr>
            <w:tcW w:w="567"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center"/>
              <w:rPr>
                <w:rFonts w:ascii="Calibri" w:eastAsia="Times New Roman" w:hAnsi="Calibri" w:cs="Times New Roman"/>
                <w:color w:val="000000"/>
                <w:sz w:val="16"/>
                <w:szCs w:val="16"/>
                <w:lang w:eastAsia="cs-CZ"/>
              </w:rPr>
            </w:pPr>
          </w:p>
        </w:tc>
        <w:tc>
          <w:tcPr>
            <w:tcW w:w="659"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right"/>
              <w:rPr>
                <w:rFonts w:ascii="Calibri" w:eastAsia="Times New Roman" w:hAnsi="Calibri" w:cs="Times New Roman"/>
                <w:color w:val="000000"/>
                <w:sz w:val="16"/>
                <w:szCs w:val="16"/>
                <w:lang w:eastAsia="cs-CZ"/>
              </w:rPr>
            </w:pPr>
            <w:r w:rsidRPr="00E022BD">
              <w:rPr>
                <w:rFonts w:ascii="Calibri" w:eastAsia="Times New Roman" w:hAnsi="Calibri" w:cs="Times New Roman"/>
                <w:color w:val="000000"/>
                <w:sz w:val="16"/>
                <w:szCs w:val="16"/>
                <w:lang w:eastAsia="cs-CZ"/>
              </w:rPr>
              <w:t>120</w:t>
            </w:r>
          </w:p>
        </w:tc>
        <w:tc>
          <w:tcPr>
            <w:tcW w:w="617"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center"/>
              <w:rPr>
                <w:rFonts w:ascii="Calibri" w:eastAsia="Times New Roman" w:hAnsi="Calibri" w:cs="Times New Roman"/>
                <w:color w:val="000000"/>
                <w:sz w:val="16"/>
                <w:szCs w:val="16"/>
                <w:lang w:eastAsia="cs-CZ"/>
              </w:rPr>
            </w:pPr>
          </w:p>
        </w:tc>
        <w:tc>
          <w:tcPr>
            <w:tcW w:w="749"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right"/>
              <w:rPr>
                <w:rFonts w:ascii="Calibri" w:eastAsia="Times New Roman" w:hAnsi="Calibri" w:cs="Times New Roman"/>
                <w:color w:val="000000"/>
                <w:sz w:val="16"/>
                <w:szCs w:val="16"/>
                <w:lang w:eastAsia="cs-CZ"/>
              </w:rPr>
            </w:pPr>
            <w:r w:rsidRPr="00E022BD">
              <w:rPr>
                <w:rFonts w:ascii="Calibri" w:eastAsia="Times New Roman" w:hAnsi="Calibri" w:cs="Times New Roman"/>
                <w:color w:val="000000"/>
                <w:sz w:val="16"/>
                <w:szCs w:val="16"/>
                <w:lang w:eastAsia="cs-CZ"/>
              </w:rPr>
              <w:t>3 733</w:t>
            </w:r>
          </w:p>
        </w:tc>
        <w:tc>
          <w:tcPr>
            <w:tcW w:w="789"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right"/>
              <w:rPr>
                <w:rFonts w:ascii="Calibri" w:eastAsia="Times New Roman" w:hAnsi="Calibri" w:cs="Times New Roman"/>
                <w:color w:val="000000"/>
                <w:sz w:val="16"/>
                <w:szCs w:val="16"/>
                <w:lang w:eastAsia="cs-CZ"/>
              </w:rPr>
            </w:pPr>
            <w:r w:rsidRPr="00E022BD">
              <w:rPr>
                <w:rFonts w:ascii="Calibri" w:eastAsia="Times New Roman" w:hAnsi="Calibri" w:cs="Times New Roman"/>
                <w:color w:val="000000"/>
                <w:sz w:val="16"/>
                <w:szCs w:val="16"/>
                <w:lang w:eastAsia="cs-CZ"/>
              </w:rPr>
              <w:t>560</w:t>
            </w:r>
          </w:p>
        </w:tc>
        <w:tc>
          <w:tcPr>
            <w:tcW w:w="588"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center"/>
              <w:rPr>
                <w:rFonts w:ascii="Calibri" w:eastAsia="Times New Roman" w:hAnsi="Calibri" w:cs="Times New Roman"/>
                <w:color w:val="000000"/>
                <w:sz w:val="16"/>
                <w:szCs w:val="16"/>
                <w:lang w:eastAsia="cs-CZ"/>
              </w:rPr>
            </w:pPr>
          </w:p>
        </w:tc>
        <w:tc>
          <w:tcPr>
            <w:tcW w:w="583"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center"/>
              <w:rPr>
                <w:rFonts w:ascii="Calibri" w:eastAsia="Times New Roman" w:hAnsi="Calibri" w:cs="Times New Roman"/>
                <w:color w:val="000000"/>
                <w:sz w:val="16"/>
                <w:szCs w:val="16"/>
                <w:lang w:eastAsia="cs-CZ"/>
              </w:rPr>
            </w:pPr>
          </w:p>
        </w:tc>
        <w:tc>
          <w:tcPr>
            <w:tcW w:w="682"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center"/>
              <w:rPr>
                <w:rFonts w:ascii="Calibri" w:eastAsia="Times New Roman" w:hAnsi="Calibri" w:cs="Times New Roman"/>
                <w:color w:val="000000"/>
                <w:sz w:val="16"/>
                <w:szCs w:val="16"/>
                <w:lang w:eastAsia="cs-CZ"/>
              </w:rPr>
            </w:pPr>
          </w:p>
        </w:tc>
        <w:tc>
          <w:tcPr>
            <w:tcW w:w="722"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right"/>
              <w:rPr>
                <w:rFonts w:ascii="Calibri" w:eastAsia="Times New Roman" w:hAnsi="Calibri" w:cs="Times New Roman"/>
                <w:color w:val="000000"/>
                <w:sz w:val="16"/>
                <w:szCs w:val="16"/>
                <w:lang w:eastAsia="cs-CZ"/>
              </w:rPr>
            </w:pPr>
            <w:r w:rsidRPr="00E022BD">
              <w:rPr>
                <w:rFonts w:ascii="Calibri" w:eastAsia="Times New Roman" w:hAnsi="Calibri" w:cs="Times New Roman"/>
                <w:color w:val="000000"/>
                <w:sz w:val="16"/>
                <w:szCs w:val="16"/>
                <w:lang w:eastAsia="cs-CZ"/>
              </w:rPr>
              <w:t>2 344</w:t>
            </w:r>
          </w:p>
        </w:tc>
      </w:tr>
      <w:tr w:rsidR="009132EB" w:rsidRPr="00E022BD" w:rsidTr="00443784">
        <w:trPr>
          <w:trHeight w:val="300"/>
          <w:jc w:val="center"/>
        </w:trPr>
        <w:tc>
          <w:tcPr>
            <w:tcW w:w="923"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center"/>
              <w:rPr>
                <w:rFonts w:ascii="Calibri" w:eastAsia="Times New Roman" w:hAnsi="Calibri" w:cs="Times New Roman"/>
                <w:color w:val="000000"/>
                <w:sz w:val="16"/>
                <w:szCs w:val="16"/>
                <w:lang w:eastAsia="cs-CZ"/>
              </w:rPr>
            </w:pPr>
            <w:r w:rsidRPr="00E022BD">
              <w:rPr>
                <w:rFonts w:ascii="Calibri" w:eastAsia="Times New Roman" w:hAnsi="Calibri" w:cs="Times New Roman"/>
                <w:color w:val="000000"/>
                <w:sz w:val="16"/>
                <w:szCs w:val="16"/>
                <w:lang w:eastAsia="cs-CZ"/>
              </w:rPr>
              <w:t>2011</w:t>
            </w:r>
          </w:p>
        </w:tc>
        <w:tc>
          <w:tcPr>
            <w:tcW w:w="675"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right"/>
              <w:rPr>
                <w:rFonts w:ascii="Calibri" w:eastAsia="Times New Roman" w:hAnsi="Calibri" w:cs="Times New Roman"/>
                <w:b/>
                <w:bCs/>
                <w:color w:val="000000"/>
                <w:sz w:val="16"/>
                <w:szCs w:val="16"/>
                <w:lang w:eastAsia="cs-CZ"/>
              </w:rPr>
            </w:pPr>
            <w:r w:rsidRPr="00E022BD">
              <w:rPr>
                <w:rFonts w:ascii="Calibri" w:eastAsia="Times New Roman" w:hAnsi="Calibri" w:cs="Times New Roman"/>
                <w:b/>
                <w:bCs/>
                <w:color w:val="000000"/>
                <w:sz w:val="16"/>
                <w:szCs w:val="16"/>
                <w:lang w:eastAsia="cs-CZ"/>
              </w:rPr>
              <w:t>48 513</w:t>
            </w:r>
          </w:p>
        </w:tc>
        <w:tc>
          <w:tcPr>
            <w:tcW w:w="673"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right"/>
              <w:rPr>
                <w:rFonts w:ascii="Calibri" w:eastAsia="Times New Roman" w:hAnsi="Calibri" w:cs="Times New Roman"/>
                <w:color w:val="000000"/>
                <w:sz w:val="16"/>
                <w:szCs w:val="16"/>
                <w:lang w:eastAsia="cs-CZ"/>
              </w:rPr>
            </w:pPr>
            <w:r w:rsidRPr="00E022BD">
              <w:rPr>
                <w:rFonts w:ascii="Calibri" w:eastAsia="Times New Roman" w:hAnsi="Calibri" w:cs="Times New Roman"/>
                <w:color w:val="000000"/>
                <w:sz w:val="16"/>
                <w:szCs w:val="16"/>
                <w:lang w:eastAsia="cs-CZ"/>
              </w:rPr>
              <w:t>285</w:t>
            </w:r>
          </w:p>
        </w:tc>
        <w:tc>
          <w:tcPr>
            <w:tcW w:w="721"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right"/>
              <w:rPr>
                <w:rFonts w:ascii="Calibri" w:eastAsia="Times New Roman" w:hAnsi="Calibri" w:cs="Times New Roman"/>
                <w:color w:val="000000"/>
                <w:sz w:val="16"/>
                <w:szCs w:val="16"/>
                <w:lang w:eastAsia="cs-CZ"/>
              </w:rPr>
            </w:pPr>
            <w:r w:rsidRPr="00E022BD">
              <w:rPr>
                <w:rFonts w:ascii="Calibri" w:eastAsia="Times New Roman" w:hAnsi="Calibri" w:cs="Times New Roman"/>
                <w:color w:val="000000"/>
                <w:sz w:val="16"/>
                <w:szCs w:val="16"/>
                <w:lang w:eastAsia="cs-CZ"/>
              </w:rPr>
              <w:t>1 447</w:t>
            </w:r>
          </w:p>
        </w:tc>
        <w:tc>
          <w:tcPr>
            <w:tcW w:w="567"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left"/>
              <w:rPr>
                <w:rFonts w:ascii="Calibri" w:eastAsia="Times New Roman" w:hAnsi="Calibri" w:cs="Times New Roman"/>
                <w:color w:val="000000"/>
                <w:sz w:val="16"/>
                <w:szCs w:val="16"/>
                <w:lang w:eastAsia="cs-CZ"/>
              </w:rPr>
            </w:pPr>
          </w:p>
        </w:tc>
        <w:tc>
          <w:tcPr>
            <w:tcW w:w="659"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right"/>
              <w:rPr>
                <w:rFonts w:ascii="Calibri" w:eastAsia="Times New Roman" w:hAnsi="Calibri" w:cs="Times New Roman"/>
                <w:color w:val="000000"/>
                <w:sz w:val="16"/>
                <w:szCs w:val="16"/>
                <w:lang w:eastAsia="cs-CZ"/>
              </w:rPr>
            </w:pPr>
            <w:r w:rsidRPr="00E022BD">
              <w:rPr>
                <w:rFonts w:ascii="Calibri" w:eastAsia="Times New Roman" w:hAnsi="Calibri" w:cs="Times New Roman"/>
                <w:color w:val="000000"/>
                <w:sz w:val="16"/>
                <w:szCs w:val="16"/>
                <w:lang w:eastAsia="cs-CZ"/>
              </w:rPr>
              <w:t>18 912</w:t>
            </w:r>
          </w:p>
        </w:tc>
        <w:tc>
          <w:tcPr>
            <w:tcW w:w="617"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left"/>
              <w:rPr>
                <w:rFonts w:ascii="Calibri" w:eastAsia="Times New Roman" w:hAnsi="Calibri" w:cs="Times New Roman"/>
                <w:color w:val="000000"/>
                <w:sz w:val="16"/>
                <w:szCs w:val="16"/>
                <w:lang w:eastAsia="cs-CZ"/>
              </w:rPr>
            </w:pPr>
          </w:p>
        </w:tc>
        <w:tc>
          <w:tcPr>
            <w:tcW w:w="749"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right"/>
              <w:rPr>
                <w:rFonts w:ascii="Calibri" w:eastAsia="Times New Roman" w:hAnsi="Calibri" w:cs="Times New Roman"/>
                <w:color w:val="000000"/>
                <w:sz w:val="16"/>
                <w:szCs w:val="16"/>
                <w:lang w:eastAsia="cs-CZ"/>
              </w:rPr>
            </w:pPr>
            <w:r w:rsidRPr="00E022BD">
              <w:rPr>
                <w:rFonts w:ascii="Calibri" w:eastAsia="Times New Roman" w:hAnsi="Calibri" w:cs="Times New Roman"/>
                <w:color w:val="000000"/>
                <w:sz w:val="16"/>
                <w:szCs w:val="16"/>
                <w:lang w:eastAsia="cs-CZ"/>
              </w:rPr>
              <w:t>205</w:t>
            </w:r>
          </w:p>
        </w:tc>
        <w:tc>
          <w:tcPr>
            <w:tcW w:w="789"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right"/>
              <w:rPr>
                <w:rFonts w:ascii="Calibri" w:eastAsia="Times New Roman" w:hAnsi="Calibri" w:cs="Times New Roman"/>
                <w:color w:val="000000"/>
                <w:sz w:val="16"/>
                <w:szCs w:val="16"/>
                <w:lang w:eastAsia="cs-CZ"/>
              </w:rPr>
            </w:pPr>
            <w:r w:rsidRPr="00E022BD">
              <w:rPr>
                <w:rFonts w:ascii="Calibri" w:eastAsia="Times New Roman" w:hAnsi="Calibri" w:cs="Times New Roman"/>
                <w:color w:val="000000"/>
                <w:sz w:val="16"/>
                <w:szCs w:val="16"/>
                <w:lang w:eastAsia="cs-CZ"/>
              </w:rPr>
              <w:t>322</w:t>
            </w:r>
          </w:p>
        </w:tc>
        <w:tc>
          <w:tcPr>
            <w:tcW w:w="588"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left"/>
              <w:rPr>
                <w:rFonts w:ascii="Calibri" w:eastAsia="Times New Roman" w:hAnsi="Calibri" w:cs="Times New Roman"/>
                <w:color w:val="000000"/>
                <w:sz w:val="16"/>
                <w:szCs w:val="16"/>
                <w:lang w:eastAsia="cs-CZ"/>
              </w:rPr>
            </w:pPr>
          </w:p>
        </w:tc>
        <w:tc>
          <w:tcPr>
            <w:tcW w:w="583"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left"/>
              <w:rPr>
                <w:rFonts w:ascii="Calibri" w:eastAsia="Times New Roman" w:hAnsi="Calibri" w:cs="Times New Roman"/>
                <w:color w:val="000000"/>
                <w:sz w:val="16"/>
                <w:szCs w:val="16"/>
                <w:lang w:eastAsia="cs-CZ"/>
              </w:rPr>
            </w:pPr>
          </w:p>
        </w:tc>
        <w:tc>
          <w:tcPr>
            <w:tcW w:w="682"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right"/>
              <w:rPr>
                <w:rFonts w:ascii="Calibri" w:eastAsia="Times New Roman" w:hAnsi="Calibri" w:cs="Times New Roman"/>
                <w:color w:val="000000"/>
                <w:sz w:val="16"/>
                <w:szCs w:val="16"/>
                <w:lang w:eastAsia="cs-CZ"/>
              </w:rPr>
            </w:pPr>
            <w:r w:rsidRPr="00E022BD">
              <w:rPr>
                <w:rFonts w:ascii="Calibri" w:eastAsia="Times New Roman" w:hAnsi="Calibri" w:cs="Times New Roman"/>
                <w:color w:val="000000"/>
                <w:sz w:val="16"/>
                <w:szCs w:val="16"/>
                <w:lang w:eastAsia="cs-CZ"/>
              </w:rPr>
              <w:t>11 284</w:t>
            </w:r>
          </w:p>
        </w:tc>
        <w:tc>
          <w:tcPr>
            <w:tcW w:w="722"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right"/>
              <w:rPr>
                <w:rFonts w:ascii="Calibri" w:eastAsia="Times New Roman" w:hAnsi="Calibri" w:cs="Times New Roman"/>
                <w:color w:val="000000"/>
                <w:sz w:val="16"/>
                <w:szCs w:val="16"/>
                <w:lang w:eastAsia="cs-CZ"/>
              </w:rPr>
            </w:pPr>
            <w:r w:rsidRPr="00E022BD">
              <w:rPr>
                <w:rFonts w:ascii="Calibri" w:eastAsia="Times New Roman" w:hAnsi="Calibri" w:cs="Times New Roman"/>
                <w:color w:val="000000"/>
                <w:sz w:val="16"/>
                <w:szCs w:val="16"/>
                <w:lang w:eastAsia="cs-CZ"/>
              </w:rPr>
              <w:t>16 058</w:t>
            </w:r>
          </w:p>
        </w:tc>
      </w:tr>
      <w:tr w:rsidR="009132EB" w:rsidRPr="00E022BD" w:rsidTr="00443784">
        <w:trPr>
          <w:trHeight w:val="300"/>
          <w:jc w:val="center"/>
        </w:trPr>
        <w:tc>
          <w:tcPr>
            <w:tcW w:w="923"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center"/>
              <w:rPr>
                <w:rFonts w:ascii="Calibri" w:eastAsia="Times New Roman" w:hAnsi="Calibri" w:cs="Times New Roman"/>
                <w:color w:val="000000"/>
                <w:sz w:val="16"/>
                <w:szCs w:val="16"/>
                <w:lang w:eastAsia="cs-CZ"/>
              </w:rPr>
            </w:pPr>
            <w:r w:rsidRPr="00E022BD">
              <w:rPr>
                <w:rFonts w:ascii="Calibri" w:eastAsia="Times New Roman" w:hAnsi="Calibri" w:cs="Times New Roman"/>
                <w:color w:val="000000"/>
                <w:sz w:val="16"/>
                <w:szCs w:val="16"/>
                <w:lang w:eastAsia="cs-CZ"/>
              </w:rPr>
              <w:t>2012</w:t>
            </w:r>
          </w:p>
        </w:tc>
        <w:tc>
          <w:tcPr>
            <w:tcW w:w="675"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right"/>
              <w:rPr>
                <w:rFonts w:ascii="Calibri" w:eastAsia="Times New Roman" w:hAnsi="Calibri" w:cs="Times New Roman"/>
                <w:b/>
                <w:bCs/>
                <w:color w:val="000000"/>
                <w:sz w:val="16"/>
                <w:szCs w:val="16"/>
                <w:lang w:eastAsia="cs-CZ"/>
              </w:rPr>
            </w:pPr>
            <w:r w:rsidRPr="00E022BD">
              <w:rPr>
                <w:rFonts w:ascii="Calibri" w:eastAsia="Times New Roman" w:hAnsi="Calibri" w:cs="Times New Roman"/>
                <w:b/>
                <w:bCs/>
                <w:color w:val="000000"/>
                <w:sz w:val="16"/>
                <w:szCs w:val="16"/>
                <w:lang w:eastAsia="cs-CZ"/>
              </w:rPr>
              <w:t>34 737</w:t>
            </w:r>
          </w:p>
        </w:tc>
        <w:tc>
          <w:tcPr>
            <w:tcW w:w="673"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right"/>
              <w:rPr>
                <w:rFonts w:ascii="Calibri" w:eastAsia="Times New Roman" w:hAnsi="Calibri" w:cs="Times New Roman"/>
                <w:color w:val="000000"/>
                <w:sz w:val="16"/>
                <w:szCs w:val="16"/>
                <w:lang w:eastAsia="cs-CZ"/>
              </w:rPr>
            </w:pPr>
            <w:r w:rsidRPr="00E022BD">
              <w:rPr>
                <w:rFonts w:ascii="Calibri" w:eastAsia="Times New Roman" w:hAnsi="Calibri" w:cs="Times New Roman"/>
                <w:color w:val="000000"/>
                <w:sz w:val="16"/>
                <w:szCs w:val="16"/>
                <w:lang w:eastAsia="cs-CZ"/>
              </w:rPr>
              <w:t>5 722</w:t>
            </w:r>
          </w:p>
        </w:tc>
        <w:tc>
          <w:tcPr>
            <w:tcW w:w="721"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right"/>
              <w:rPr>
                <w:rFonts w:ascii="Calibri" w:eastAsia="Times New Roman" w:hAnsi="Calibri" w:cs="Times New Roman"/>
                <w:color w:val="000000"/>
                <w:sz w:val="16"/>
                <w:szCs w:val="16"/>
                <w:lang w:eastAsia="cs-CZ"/>
              </w:rPr>
            </w:pPr>
            <w:r w:rsidRPr="00E022BD">
              <w:rPr>
                <w:rFonts w:ascii="Calibri" w:eastAsia="Times New Roman" w:hAnsi="Calibri" w:cs="Times New Roman"/>
                <w:color w:val="000000"/>
                <w:sz w:val="16"/>
                <w:szCs w:val="16"/>
                <w:lang w:eastAsia="cs-CZ"/>
              </w:rPr>
              <w:t>6 901</w:t>
            </w:r>
          </w:p>
        </w:tc>
        <w:tc>
          <w:tcPr>
            <w:tcW w:w="567"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left"/>
              <w:rPr>
                <w:rFonts w:ascii="Calibri" w:eastAsia="Times New Roman" w:hAnsi="Calibri" w:cs="Times New Roman"/>
                <w:color w:val="000000"/>
                <w:sz w:val="16"/>
                <w:szCs w:val="16"/>
                <w:lang w:eastAsia="cs-CZ"/>
              </w:rPr>
            </w:pPr>
          </w:p>
        </w:tc>
        <w:tc>
          <w:tcPr>
            <w:tcW w:w="659"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right"/>
              <w:rPr>
                <w:rFonts w:ascii="Calibri" w:eastAsia="Times New Roman" w:hAnsi="Calibri" w:cs="Times New Roman"/>
                <w:color w:val="000000"/>
                <w:sz w:val="16"/>
                <w:szCs w:val="16"/>
                <w:lang w:eastAsia="cs-CZ"/>
              </w:rPr>
            </w:pPr>
            <w:r w:rsidRPr="00E022BD">
              <w:rPr>
                <w:rFonts w:ascii="Calibri" w:eastAsia="Times New Roman" w:hAnsi="Calibri" w:cs="Times New Roman"/>
                <w:color w:val="000000"/>
                <w:sz w:val="16"/>
                <w:szCs w:val="16"/>
                <w:lang w:eastAsia="cs-CZ"/>
              </w:rPr>
              <w:t>2 623</w:t>
            </w:r>
          </w:p>
        </w:tc>
        <w:tc>
          <w:tcPr>
            <w:tcW w:w="617"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left"/>
              <w:rPr>
                <w:rFonts w:ascii="Calibri" w:eastAsia="Times New Roman" w:hAnsi="Calibri" w:cs="Times New Roman"/>
                <w:color w:val="000000"/>
                <w:sz w:val="16"/>
                <w:szCs w:val="16"/>
                <w:lang w:eastAsia="cs-CZ"/>
              </w:rPr>
            </w:pPr>
          </w:p>
        </w:tc>
        <w:tc>
          <w:tcPr>
            <w:tcW w:w="749"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right"/>
              <w:rPr>
                <w:rFonts w:ascii="Calibri" w:eastAsia="Times New Roman" w:hAnsi="Calibri" w:cs="Times New Roman"/>
                <w:color w:val="000000"/>
                <w:sz w:val="16"/>
                <w:szCs w:val="16"/>
                <w:lang w:eastAsia="cs-CZ"/>
              </w:rPr>
            </w:pPr>
            <w:r w:rsidRPr="00E022BD">
              <w:rPr>
                <w:rFonts w:ascii="Calibri" w:eastAsia="Times New Roman" w:hAnsi="Calibri" w:cs="Times New Roman"/>
                <w:color w:val="000000"/>
                <w:sz w:val="16"/>
                <w:szCs w:val="16"/>
                <w:lang w:eastAsia="cs-CZ"/>
              </w:rPr>
              <w:t>5 711</w:t>
            </w:r>
          </w:p>
        </w:tc>
        <w:tc>
          <w:tcPr>
            <w:tcW w:w="789"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right"/>
              <w:rPr>
                <w:rFonts w:ascii="Calibri" w:eastAsia="Times New Roman" w:hAnsi="Calibri" w:cs="Times New Roman"/>
                <w:color w:val="000000"/>
                <w:sz w:val="16"/>
                <w:szCs w:val="16"/>
                <w:lang w:eastAsia="cs-CZ"/>
              </w:rPr>
            </w:pPr>
            <w:r w:rsidRPr="00E022BD">
              <w:rPr>
                <w:rFonts w:ascii="Calibri" w:eastAsia="Times New Roman" w:hAnsi="Calibri" w:cs="Times New Roman"/>
                <w:color w:val="000000"/>
                <w:sz w:val="16"/>
                <w:szCs w:val="16"/>
                <w:lang w:eastAsia="cs-CZ"/>
              </w:rPr>
              <w:t>414</w:t>
            </w:r>
          </w:p>
        </w:tc>
        <w:tc>
          <w:tcPr>
            <w:tcW w:w="588"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left"/>
              <w:rPr>
                <w:rFonts w:ascii="Calibri" w:eastAsia="Times New Roman" w:hAnsi="Calibri" w:cs="Times New Roman"/>
                <w:color w:val="000000"/>
                <w:sz w:val="16"/>
                <w:szCs w:val="16"/>
                <w:lang w:eastAsia="cs-CZ"/>
              </w:rPr>
            </w:pPr>
          </w:p>
        </w:tc>
        <w:tc>
          <w:tcPr>
            <w:tcW w:w="583"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left"/>
              <w:rPr>
                <w:rFonts w:ascii="Calibri" w:eastAsia="Times New Roman" w:hAnsi="Calibri" w:cs="Times New Roman"/>
                <w:color w:val="000000"/>
                <w:sz w:val="16"/>
                <w:szCs w:val="16"/>
                <w:lang w:eastAsia="cs-CZ"/>
              </w:rPr>
            </w:pPr>
          </w:p>
        </w:tc>
        <w:tc>
          <w:tcPr>
            <w:tcW w:w="682"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right"/>
              <w:rPr>
                <w:rFonts w:ascii="Calibri" w:eastAsia="Times New Roman" w:hAnsi="Calibri" w:cs="Times New Roman"/>
                <w:color w:val="000000"/>
                <w:sz w:val="16"/>
                <w:szCs w:val="16"/>
                <w:lang w:eastAsia="cs-CZ"/>
              </w:rPr>
            </w:pPr>
            <w:r w:rsidRPr="00E022BD">
              <w:rPr>
                <w:rFonts w:ascii="Calibri" w:eastAsia="Times New Roman" w:hAnsi="Calibri" w:cs="Times New Roman"/>
                <w:color w:val="000000"/>
                <w:sz w:val="16"/>
                <w:szCs w:val="16"/>
                <w:lang w:eastAsia="cs-CZ"/>
              </w:rPr>
              <w:t>256</w:t>
            </w:r>
          </w:p>
        </w:tc>
        <w:tc>
          <w:tcPr>
            <w:tcW w:w="722"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right"/>
              <w:rPr>
                <w:rFonts w:ascii="Calibri" w:eastAsia="Times New Roman" w:hAnsi="Calibri" w:cs="Times New Roman"/>
                <w:color w:val="000000"/>
                <w:sz w:val="16"/>
                <w:szCs w:val="16"/>
                <w:lang w:eastAsia="cs-CZ"/>
              </w:rPr>
            </w:pPr>
            <w:r w:rsidRPr="00E022BD">
              <w:rPr>
                <w:rFonts w:ascii="Calibri" w:eastAsia="Times New Roman" w:hAnsi="Calibri" w:cs="Times New Roman"/>
                <w:color w:val="000000"/>
                <w:sz w:val="16"/>
                <w:szCs w:val="16"/>
                <w:lang w:eastAsia="cs-CZ"/>
              </w:rPr>
              <w:t>13 110</w:t>
            </w:r>
          </w:p>
        </w:tc>
      </w:tr>
      <w:tr w:rsidR="009132EB" w:rsidRPr="00E022BD" w:rsidTr="00443784">
        <w:trPr>
          <w:trHeight w:val="300"/>
          <w:jc w:val="center"/>
        </w:trPr>
        <w:tc>
          <w:tcPr>
            <w:tcW w:w="923"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center"/>
              <w:rPr>
                <w:rFonts w:ascii="Calibri" w:eastAsia="Times New Roman" w:hAnsi="Calibri" w:cs="Times New Roman"/>
                <w:color w:val="000000"/>
                <w:sz w:val="16"/>
                <w:szCs w:val="16"/>
                <w:lang w:eastAsia="cs-CZ"/>
              </w:rPr>
            </w:pPr>
            <w:r w:rsidRPr="00E022BD">
              <w:rPr>
                <w:rFonts w:ascii="Calibri" w:eastAsia="Times New Roman" w:hAnsi="Calibri" w:cs="Times New Roman"/>
                <w:color w:val="000000"/>
                <w:sz w:val="16"/>
                <w:szCs w:val="16"/>
                <w:lang w:eastAsia="cs-CZ"/>
              </w:rPr>
              <w:t>2013</w:t>
            </w:r>
          </w:p>
        </w:tc>
        <w:tc>
          <w:tcPr>
            <w:tcW w:w="675"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right"/>
              <w:rPr>
                <w:rFonts w:ascii="Calibri" w:eastAsia="Times New Roman" w:hAnsi="Calibri" w:cs="Times New Roman"/>
                <w:b/>
                <w:bCs/>
                <w:color w:val="000000"/>
                <w:sz w:val="16"/>
                <w:szCs w:val="16"/>
                <w:lang w:eastAsia="cs-CZ"/>
              </w:rPr>
            </w:pPr>
            <w:r w:rsidRPr="00E022BD">
              <w:rPr>
                <w:rFonts w:ascii="Calibri" w:eastAsia="Times New Roman" w:hAnsi="Calibri" w:cs="Times New Roman"/>
                <w:b/>
                <w:bCs/>
                <w:color w:val="000000"/>
                <w:sz w:val="16"/>
                <w:szCs w:val="16"/>
                <w:lang w:eastAsia="cs-CZ"/>
              </w:rPr>
              <w:t>22 415</w:t>
            </w:r>
          </w:p>
        </w:tc>
        <w:tc>
          <w:tcPr>
            <w:tcW w:w="673"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right"/>
              <w:rPr>
                <w:rFonts w:ascii="Calibri" w:eastAsia="Times New Roman" w:hAnsi="Calibri" w:cs="Times New Roman"/>
                <w:color w:val="000000"/>
                <w:sz w:val="16"/>
                <w:szCs w:val="16"/>
                <w:lang w:eastAsia="cs-CZ"/>
              </w:rPr>
            </w:pPr>
            <w:r w:rsidRPr="00E022BD">
              <w:rPr>
                <w:rFonts w:ascii="Calibri" w:eastAsia="Times New Roman" w:hAnsi="Calibri" w:cs="Times New Roman"/>
                <w:color w:val="000000"/>
                <w:sz w:val="16"/>
                <w:szCs w:val="16"/>
                <w:lang w:eastAsia="cs-CZ"/>
              </w:rPr>
              <w:t>4 996</w:t>
            </w:r>
          </w:p>
        </w:tc>
        <w:tc>
          <w:tcPr>
            <w:tcW w:w="721"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right"/>
              <w:rPr>
                <w:rFonts w:ascii="Calibri" w:eastAsia="Times New Roman" w:hAnsi="Calibri" w:cs="Times New Roman"/>
                <w:color w:val="000000"/>
                <w:sz w:val="16"/>
                <w:szCs w:val="16"/>
                <w:lang w:eastAsia="cs-CZ"/>
              </w:rPr>
            </w:pPr>
            <w:r w:rsidRPr="00E022BD">
              <w:rPr>
                <w:rFonts w:ascii="Calibri" w:eastAsia="Times New Roman" w:hAnsi="Calibri" w:cs="Times New Roman"/>
                <w:color w:val="000000"/>
                <w:sz w:val="16"/>
                <w:szCs w:val="16"/>
                <w:lang w:eastAsia="cs-CZ"/>
              </w:rPr>
              <w:t>4 514</w:t>
            </w:r>
          </w:p>
        </w:tc>
        <w:tc>
          <w:tcPr>
            <w:tcW w:w="567"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left"/>
              <w:rPr>
                <w:rFonts w:ascii="Calibri" w:eastAsia="Times New Roman" w:hAnsi="Calibri" w:cs="Times New Roman"/>
                <w:color w:val="000000"/>
                <w:sz w:val="16"/>
                <w:szCs w:val="16"/>
                <w:lang w:eastAsia="cs-CZ"/>
              </w:rPr>
            </w:pPr>
          </w:p>
        </w:tc>
        <w:tc>
          <w:tcPr>
            <w:tcW w:w="659"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right"/>
              <w:rPr>
                <w:rFonts w:ascii="Calibri" w:eastAsia="Times New Roman" w:hAnsi="Calibri" w:cs="Times New Roman"/>
                <w:color w:val="000000"/>
                <w:sz w:val="16"/>
                <w:szCs w:val="16"/>
                <w:lang w:eastAsia="cs-CZ"/>
              </w:rPr>
            </w:pPr>
            <w:r w:rsidRPr="00E022BD">
              <w:rPr>
                <w:rFonts w:ascii="Calibri" w:eastAsia="Times New Roman" w:hAnsi="Calibri" w:cs="Times New Roman"/>
                <w:color w:val="000000"/>
                <w:sz w:val="16"/>
                <w:szCs w:val="16"/>
                <w:lang w:eastAsia="cs-CZ"/>
              </w:rPr>
              <w:t>1 764</w:t>
            </w:r>
          </w:p>
        </w:tc>
        <w:tc>
          <w:tcPr>
            <w:tcW w:w="617"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left"/>
              <w:rPr>
                <w:rFonts w:ascii="Calibri" w:eastAsia="Times New Roman" w:hAnsi="Calibri" w:cs="Times New Roman"/>
                <w:color w:val="000000"/>
                <w:sz w:val="16"/>
                <w:szCs w:val="16"/>
                <w:lang w:eastAsia="cs-CZ"/>
              </w:rPr>
            </w:pPr>
          </w:p>
        </w:tc>
        <w:tc>
          <w:tcPr>
            <w:tcW w:w="749"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right"/>
              <w:rPr>
                <w:rFonts w:ascii="Calibri" w:eastAsia="Times New Roman" w:hAnsi="Calibri" w:cs="Times New Roman"/>
                <w:color w:val="000000"/>
                <w:sz w:val="16"/>
                <w:szCs w:val="16"/>
                <w:lang w:eastAsia="cs-CZ"/>
              </w:rPr>
            </w:pPr>
            <w:r w:rsidRPr="00E022BD">
              <w:rPr>
                <w:rFonts w:ascii="Calibri" w:eastAsia="Times New Roman" w:hAnsi="Calibri" w:cs="Times New Roman"/>
                <w:color w:val="000000"/>
                <w:sz w:val="16"/>
                <w:szCs w:val="16"/>
                <w:lang w:eastAsia="cs-CZ"/>
              </w:rPr>
              <w:t>4 361</w:t>
            </w:r>
          </w:p>
        </w:tc>
        <w:tc>
          <w:tcPr>
            <w:tcW w:w="789"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right"/>
              <w:rPr>
                <w:rFonts w:ascii="Calibri" w:eastAsia="Times New Roman" w:hAnsi="Calibri" w:cs="Times New Roman"/>
                <w:color w:val="000000"/>
                <w:sz w:val="16"/>
                <w:szCs w:val="16"/>
                <w:lang w:eastAsia="cs-CZ"/>
              </w:rPr>
            </w:pPr>
            <w:r w:rsidRPr="00E022BD">
              <w:rPr>
                <w:rFonts w:ascii="Calibri" w:eastAsia="Times New Roman" w:hAnsi="Calibri" w:cs="Times New Roman"/>
                <w:color w:val="000000"/>
                <w:sz w:val="16"/>
                <w:szCs w:val="16"/>
                <w:lang w:eastAsia="cs-CZ"/>
              </w:rPr>
              <w:t>546</w:t>
            </w:r>
          </w:p>
        </w:tc>
        <w:tc>
          <w:tcPr>
            <w:tcW w:w="588"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left"/>
              <w:rPr>
                <w:rFonts w:ascii="Calibri" w:eastAsia="Times New Roman" w:hAnsi="Calibri" w:cs="Times New Roman"/>
                <w:color w:val="000000"/>
                <w:sz w:val="16"/>
                <w:szCs w:val="16"/>
                <w:lang w:eastAsia="cs-CZ"/>
              </w:rPr>
            </w:pPr>
          </w:p>
        </w:tc>
        <w:tc>
          <w:tcPr>
            <w:tcW w:w="583"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left"/>
              <w:rPr>
                <w:rFonts w:ascii="Calibri" w:eastAsia="Times New Roman" w:hAnsi="Calibri" w:cs="Times New Roman"/>
                <w:color w:val="000000"/>
                <w:sz w:val="16"/>
                <w:szCs w:val="16"/>
                <w:lang w:eastAsia="cs-CZ"/>
              </w:rPr>
            </w:pPr>
          </w:p>
        </w:tc>
        <w:tc>
          <w:tcPr>
            <w:tcW w:w="682"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right"/>
              <w:rPr>
                <w:rFonts w:ascii="Calibri" w:eastAsia="Times New Roman" w:hAnsi="Calibri" w:cs="Times New Roman"/>
                <w:color w:val="000000"/>
                <w:sz w:val="16"/>
                <w:szCs w:val="16"/>
                <w:lang w:eastAsia="cs-CZ"/>
              </w:rPr>
            </w:pPr>
            <w:r w:rsidRPr="00E022BD">
              <w:rPr>
                <w:rFonts w:ascii="Calibri" w:eastAsia="Times New Roman" w:hAnsi="Calibri" w:cs="Times New Roman"/>
                <w:color w:val="000000"/>
                <w:sz w:val="16"/>
                <w:szCs w:val="16"/>
                <w:lang w:eastAsia="cs-CZ"/>
              </w:rPr>
              <w:t>179</w:t>
            </w:r>
          </w:p>
        </w:tc>
        <w:tc>
          <w:tcPr>
            <w:tcW w:w="722"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right"/>
              <w:rPr>
                <w:rFonts w:ascii="Calibri" w:eastAsia="Times New Roman" w:hAnsi="Calibri" w:cs="Times New Roman"/>
                <w:color w:val="000000"/>
                <w:sz w:val="16"/>
                <w:szCs w:val="16"/>
                <w:lang w:eastAsia="cs-CZ"/>
              </w:rPr>
            </w:pPr>
            <w:r w:rsidRPr="00E022BD">
              <w:rPr>
                <w:rFonts w:ascii="Calibri" w:eastAsia="Times New Roman" w:hAnsi="Calibri" w:cs="Times New Roman"/>
                <w:color w:val="000000"/>
                <w:sz w:val="16"/>
                <w:szCs w:val="16"/>
                <w:lang w:eastAsia="cs-CZ"/>
              </w:rPr>
              <w:t>6 055</w:t>
            </w:r>
          </w:p>
        </w:tc>
      </w:tr>
      <w:tr w:rsidR="009132EB" w:rsidRPr="00E022BD" w:rsidTr="00443784">
        <w:trPr>
          <w:trHeight w:val="300"/>
          <w:jc w:val="center"/>
        </w:trPr>
        <w:tc>
          <w:tcPr>
            <w:tcW w:w="923"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center"/>
              <w:rPr>
                <w:rFonts w:ascii="Calibri" w:eastAsia="Times New Roman" w:hAnsi="Calibri" w:cs="Times New Roman"/>
                <w:color w:val="000000"/>
                <w:sz w:val="16"/>
                <w:szCs w:val="16"/>
                <w:lang w:eastAsia="cs-CZ"/>
              </w:rPr>
            </w:pPr>
            <w:r w:rsidRPr="00E022BD">
              <w:rPr>
                <w:rFonts w:ascii="Calibri" w:eastAsia="Times New Roman" w:hAnsi="Calibri" w:cs="Times New Roman"/>
                <w:color w:val="000000"/>
                <w:sz w:val="16"/>
                <w:szCs w:val="16"/>
                <w:lang w:eastAsia="cs-CZ"/>
              </w:rPr>
              <w:t>2014</w:t>
            </w:r>
          </w:p>
        </w:tc>
        <w:tc>
          <w:tcPr>
            <w:tcW w:w="675"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right"/>
              <w:rPr>
                <w:rFonts w:ascii="Calibri" w:eastAsia="Times New Roman" w:hAnsi="Calibri" w:cs="Times New Roman"/>
                <w:b/>
                <w:bCs/>
                <w:color w:val="000000"/>
                <w:sz w:val="16"/>
                <w:szCs w:val="16"/>
                <w:lang w:eastAsia="cs-CZ"/>
              </w:rPr>
            </w:pPr>
            <w:r w:rsidRPr="00E022BD">
              <w:rPr>
                <w:rFonts w:ascii="Calibri" w:eastAsia="Times New Roman" w:hAnsi="Calibri" w:cs="Times New Roman"/>
                <w:b/>
                <w:bCs/>
                <w:color w:val="000000"/>
                <w:sz w:val="16"/>
                <w:szCs w:val="16"/>
                <w:lang w:eastAsia="cs-CZ"/>
              </w:rPr>
              <w:t>37 169</w:t>
            </w:r>
          </w:p>
        </w:tc>
        <w:tc>
          <w:tcPr>
            <w:tcW w:w="673"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right"/>
              <w:rPr>
                <w:rFonts w:ascii="Calibri" w:eastAsia="Times New Roman" w:hAnsi="Calibri" w:cs="Times New Roman"/>
                <w:color w:val="000000"/>
                <w:sz w:val="16"/>
                <w:szCs w:val="16"/>
                <w:lang w:eastAsia="cs-CZ"/>
              </w:rPr>
            </w:pPr>
            <w:r w:rsidRPr="00E022BD">
              <w:rPr>
                <w:rFonts w:ascii="Calibri" w:eastAsia="Times New Roman" w:hAnsi="Calibri" w:cs="Times New Roman"/>
                <w:color w:val="000000"/>
                <w:sz w:val="16"/>
                <w:szCs w:val="16"/>
                <w:lang w:eastAsia="cs-CZ"/>
              </w:rPr>
              <w:t>6 615</w:t>
            </w:r>
          </w:p>
        </w:tc>
        <w:tc>
          <w:tcPr>
            <w:tcW w:w="721"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right"/>
              <w:rPr>
                <w:rFonts w:ascii="Calibri" w:eastAsia="Times New Roman" w:hAnsi="Calibri" w:cs="Times New Roman"/>
                <w:color w:val="000000"/>
                <w:sz w:val="16"/>
                <w:szCs w:val="16"/>
                <w:lang w:eastAsia="cs-CZ"/>
              </w:rPr>
            </w:pPr>
            <w:r w:rsidRPr="00E022BD">
              <w:rPr>
                <w:rFonts w:ascii="Calibri" w:eastAsia="Times New Roman" w:hAnsi="Calibri" w:cs="Times New Roman"/>
                <w:color w:val="000000"/>
                <w:sz w:val="16"/>
                <w:szCs w:val="16"/>
                <w:lang w:eastAsia="cs-CZ"/>
              </w:rPr>
              <w:t>6 045</w:t>
            </w:r>
          </w:p>
        </w:tc>
        <w:tc>
          <w:tcPr>
            <w:tcW w:w="567"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left"/>
              <w:rPr>
                <w:rFonts w:ascii="Calibri" w:eastAsia="Times New Roman" w:hAnsi="Calibri" w:cs="Times New Roman"/>
                <w:color w:val="000000"/>
                <w:sz w:val="16"/>
                <w:szCs w:val="16"/>
                <w:lang w:eastAsia="cs-CZ"/>
              </w:rPr>
            </w:pPr>
          </w:p>
        </w:tc>
        <w:tc>
          <w:tcPr>
            <w:tcW w:w="659"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right"/>
              <w:rPr>
                <w:rFonts w:ascii="Calibri" w:eastAsia="Times New Roman" w:hAnsi="Calibri" w:cs="Times New Roman"/>
                <w:color w:val="000000"/>
                <w:sz w:val="16"/>
                <w:szCs w:val="16"/>
                <w:lang w:eastAsia="cs-CZ"/>
              </w:rPr>
            </w:pPr>
            <w:r w:rsidRPr="00E022BD">
              <w:rPr>
                <w:rFonts w:ascii="Calibri" w:eastAsia="Times New Roman" w:hAnsi="Calibri" w:cs="Times New Roman"/>
                <w:color w:val="000000"/>
                <w:sz w:val="16"/>
                <w:szCs w:val="16"/>
                <w:lang w:eastAsia="cs-CZ"/>
              </w:rPr>
              <w:t>1 318</w:t>
            </w:r>
          </w:p>
        </w:tc>
        <w:tc>
          <w:tcPr>
            <w:tcW w:w="617"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left"/>
              <w:rPr>
                <w:rFonts w:ascii="Calibri" w:eastAsia="Times New Roman" w:hAnsi="Calibri" w:cs="Times New Roman"/>
                <w:color w:val="000000"/>
                <w:sz w:val="16"/>
                <w:szCs w:val="16"/>
                <w:lang w:eastAsia="cs-CZ"/>
              </w:rPr>
            </w:pPr>
          </w:p>
        </w:tc>
        <w:tc>
          <w:tcPr>
            <w:tcW w:w="749"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right"/>
              <w:rPr>
                <w:rFonts w:ascii="Calibri" w:eastAsia="Times New Roman" w:hAnsi="Calibri" w:cs="Times New Roman"/>
                <w:color w:val="000000"/>
                <w:sz w:val="16"/>
                <w:szCs w:val="16"/>
                <w:lang w:eastAsia="cs-CZ"/>
              </w:rPr>
            </w:pPr>
            <w:r w:rsidRPr="00E022BD">
              <w:rPr>
                <w:rFonts w:ascii="Calibri" w:eastAsia="Times New Roman" w:hAnsi="Calibri" w:cs="Times New Roman"/>
                <w:color w:val="000000"/>
                <w:sz w:val="16"/>
                <w:szCs w:val="16"/>
                <w:lang w:eastAsia="cs-CZ"/>
              </w:rPr>
              <w:t>10 461</w:t>
            </w:r>
          </w:p>
        </w:tc>
        <w:tc>
          <w:tcPr>
            <w:tcW w:w="789"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right"/>
              <w:rPr>
                <w:rFonts w:ascii="Calibri" w:eastAsia="Times New Roman" w:hAnsi="Calibri" w:cs="Times New Roman"/>
                <w:color w:val="000000"/>
                <w:sz w:val="16"/>
                <w:szCs w:val="16"/>
                <w:lang w:eastAsia="cs-CZ"/>
              </w:rPr>
            </w:pPr>
            <w:r w:rsidRPr="00E022BD">
              <w:rPr>
                <w:rFonts w:ascii="Calibri" w:eastAsia="Times New Roman" w:hAnsi="Calibri" w:cs="Times New Roman"/>
                <w:color w:val="000000"/>
                <w:sz w:val="16"/>
                <w:szCs w:val="16"/>
                <w:lang w:eastAsia="cs-CZ"/>
              </w:rPr>
              <w:t>430</w:t>
            </w:r>
          </w:p>
        </w:tc>
        <w:tc>
          <w:tcPr>
            <w:tcW w:w="588"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left"/>
              <w:rPr>
                <w:rFonts w:ascii="Calibri" w:eastAsia="Times New Roman" w:hAnsi="Calibri" w:cs="Times New Roman"/>
                <w:color w:val="000000"/>
                <w:sz w:val="16"/>
                <w:szCs w:val="16"/>
                <w:lang w:eastAsia="cs-CZ"/>
              </w:rPr>
            </w:pPr>
          </w:p>
        </w:tc>
        <w:tc>
          <w:tcPr>
            <w:tcW w:w="583"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left"/>
              <w:rPr>
                <w:rFonts w:ascii="Calibri" w:eastAsia="Times New Roman" w:hAnsi="Calibri" w:cs="Times New Roman"/>
                <w:color w:val="000000"/>
                <w:sz w:val="16"/>
                <w:szCs w:val="16"/>
                <w:lang w:eastAsia="cs-CZ"/>
              </w:rPr>
            </w:pPr>
          </w:p>
        </w:tc>
        <w:tc>
          <w:tcPr>
            <w:tcW w:w="682"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right"/>
              <w:rPr>
                <w:rFonts w:ascii="Calibri" w:eastAsia="Times New Roman" w:hAnsi="Calibri" w:cs="Times New Roman"/>
                <w:color w:val="000000"/>
                <w:sz w:val="16"/>
                <w:szCs w:val="16"/>
                <w:lang w:eastAsia="cs-CZ"/>
              </w:rPr>
            </w:pPr>
            <w:r w:rsidRPr="00E022BD">
              <w:rPr>
                <w:rFonts w:ascii="Calibri" w:eastAsia="Times New Roman" w:hAnsi="Calibri" w:cs="Times New Roman"/>
                <w:color w:val="000000"/>
                <w:sz w:val="16"/>
                <w:szCs w:val="16"/>
                <w:lang w:eastAsia="cs-CZ"/>
              </w:rPr>
              <w:t>1 669</w:t>
            </w:r>
          </w:p>
        </w:tc>
        <w:tc>
          <w:tcPr>
            <w:tcW w:w="722"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right"/>
              <w:rPr>
                <w:rFonts w:ascii="Calibri" w:eastAsia="Times New Roman" w:hAnsi="Calibri" w:cs="Times New Roman"/>
                <w:color w:val="000000"/>
                <w:sz w:val="16"/>
                <w:szCs w:val="16"/>
                <w:lang w:eastAsia="cs-CZ"/>
              </w:rPr>
            </w:pPr>
            <w:r w:rsidRPr="00E022BD">
              <w:rPr>
                <w:rFonts w:ascii="Calibri" w:eastAsia="Times New Roman" w:hAnsi="Calibri" w:cs="Times New Roman"/>
                <w:color w:val="000000"/>
                <w:sz w:val="16"/>
                <w:szCs w:val="16"/>
                <w:lang w:eastAsia="cs-CZ"/>
              </w:rPr>
              <w:t>10 631</w:t>
            </w:r>
          </w:p>
        </w:tc>
      </w:tr>
      <w:tr w:rsidR="009132EB" w:rsidRPr="00E022BD" w:rsidTr="00443784">
        <w:trPr>
          <w:trHeight w:val="300"/>
          <w:jc w:val="center"/>
        </w:trPr>
        <w:tc>
          <w:tcPr>
            <w:tcW w:w="923"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center"/>
              <w:rPr>
                <w:rFonts w:ascii="Calibri" w:eastAsia="Times New Roman" w:hAnsi="Calibri" w:cs="Times New Roman"/>
                <w:color w:val="000000"/>
                <w:sz w:val="16"/>
                <w:szCs w:val="16"/>
                <w:lang w:eastAsia="cs-CZ"/>
              </w:rPr>
            </w:pPr>
            <w:r w:rsidRPr="00E022BD">
              <w:rPr>
                <w:rFonts w:ascii="Calibri" w:eastAsia="Times New Roman" w:hAnsi="Calibri" w:cs="Times New Roman"/>
                <w:color w:val="000000"/>
                <w:sz w:val="16"/>
                <w:szCs w:val="16"/>
                <w:lang w:eastAsia="cs-CZ"/>
              </w:rPr>
              <w:t>2015</w:t>
            </w:r>
          </w:p>
        </w:tc>
        <w:tc>
          <w:tcPr>
            <w:tcW w:w="675"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right"/>
              <w:rPr>
                <w:rFonts w:ascii="Calibri" w:eastAsia="Times New Roman" w:hAnsi="Calibri" w:cs="Times New Roman"/>
                <w:b/>
                <w:bCs/>
                <w:color w:val="000000"/>
                <w:sz w:val="16"/>
                <w:szCs w:val="16"/>
                <w:lang w:eastAsia="cs-CZ"/>
              </w:rPr>
            </w:pPr>
            <w:r w:rsidRPr="00E022BD">
              <w:rPr>
                <w:rFonts w:ascii="Calibri" w:eastAsia="Times New Roman" w:hAnsi="Calibri" w:cs="Times New Roman"/>
                <w:b/>
                <w:bCs/>
                <w:color w:val="000000"/>
                <w:sz w:val="16"/>
                <w:szCs w:val="16"/>
                <w:lang w:eastAsia="cs-CZ"/>
              </w:rPr>
              <w:t>24 071</w:t>
            </w:r>
          </w:p>
        </w:tc>
        <w:tc>
          <w:tcPr>
            <w:tcW w:w="673"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right"/>
              <w:rPr>
                <w:rFonts w:ascii="Calibri" w:eastAsia="Times New Roman" w:hAnsi="Calibri" w:cs="Times New Roman"/>
                <w:color w:val="000000"/>
                <w:sz w:val="16"/>
                <w:szCs w:val="16"/>
                <w:lang w:eastAsia="cs-CZ"/>
              </w:rPr>
            </w:pPr>
            <w:r w:rsidRPr="00E022BD">
              <w:rPr>
                <w:rFonts w:ascii="Calibri" w:eastAsia="Times New Roman" w:hAnsi="Calibri" w:cs="Times New Roman"/>
                <w:color w:val="000000"/>
                <w:sz w:val="16"/>
                <w:szCs w:val="16"/>
                <w:lang w:eastAsia="cs-CZ"/>
              </w:rPr>
              <w:t>8 255</w:t>
            </w:r>
          </w:p>
        </w:tc>
        <w:tc>
          <w:tcPr>
            <w:tcW w:w="721"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right"/>
              <w:rPr>
                <w:rFonts w:ascii="Calibri" w:eastAsia="Times New Roman" w:hAnsi="Calibri" w:cs="Times New Roman"/>
                <w:color w:val="000000"/>
                <w:sz w:val="16"/>
                <w:szCs w:val="16"/>
                <w:lang w:eastAsia="cs-CZ"/>
              </w:rPr>
            </w:pPr>
            <w:r w:rsidRPr="00E022BD">
              <w:rPr>
                <w:rFonts w:ascii="Calibri" w:eastAsia="Times New Roman" w:hAnsi="Calibri" w:cs="Times New Roman"/>
                <w:color w:val="000000"/>
                <w:sz w:val="16"/>
                <w:szCs w:val="16"/>
                <w:lang w:eastAsia="cs-CZ"/>
              </w:rPr>
              <w:t>2 536</w:t>
            </w:r>
          </w:p>
        </w:tc>
        <w:tc>
          <w:tcPr>
            <w:tcW w:w="567"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left"/>
              <w:rPr>
                <w:rFonts w:ascii="Calibri" w:eastAsia="Times New Roman" w:hAnsi="Calibri" w:cs="Times New Roman"/>
                <w:color w:val="000000"/>
                <w:sz w:val="16"/>
                <w:szCs w:val="16"/>
                <w:lang w:eastAsia="cs-CZ"/>
              </w:rPr>
            </w:pPr>
          </w:p>
        </w:tc>
        <w:tc>
          <w:tcPr>
            <w:tcW w:w="659"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right"/>
              <w:rPr>
                <w:rFonts w:ascii="Calibri" w:eastAsia="Times New Roman" w:hAnsi="Calibri" w:cs="Times New Roman"/>
                <w:color w:val="000000"/>
                <w:sz w:val="16"/>
                <w:szCs w:val="16"/>
                <w:lang w:eastAsia="cs-CZ"/>
              </w:rPr>
            </w:pPr>
            <w:r w:rsidRPr="00E022BD">
              <w:rPr>
                <w:rFonts w:ascii="Calibri" w:eastAsia="Times New Roman" w:hAnsi="Calibri" w:cs="Times New Roman"/>
                <w:color w:val="000000"/>
                <w:sz w:val="16"/>
                <w:szCs w:val="16"/>
                <w:lang w:eastAsia="cs-CZ"/>
              </w:rPr>
              <w:t>1 608</w:t>
            </w:r>
          </w:p>
        </w:tc>
        <w:tc>
          <w:tcPr>
            <w:tcW w:w="617"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left"/>
              <w:rPr>
                <w:rFonts w:ascii="Calibri" w:eastAsia="Times New Roman" w:hAnsi="Calibri" w:cs="Times New Roman"/>
                <w:color w:val="000000"/>
                <w:sz w:val="16"/>
                <w:szCs w:val="16"/>
                <w:lang w:eastAsia="cs-CZ"/>
              </w:rPr>
            </w:pPr>
          </w:p>
        </w:tc>
        <w:tc>
          <w:tcPr>
            <w:tcW w:w="749"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right"/>
              <w:rPr>
                <w:rFonts w:ascii="Calibri" w:eastAsia="Times New Roman" w:hAnsi="Calibri" w:cs="Times New Roman"/>
                <w:color w:val="000000"/>
                <w:sz w:val="16"/>
                <w:szCs w:val="16"/>
                <w:lang w:eastAsia="cs-CZ"/>
              </w:rPr>
            </w:pPr>
            <w:r w:rsidRPr="00E022BD">
              <w:rPr>
                <w:rFonts w:ascii="Calibri" w:eastAsia="Times New Roman" w:hAnsi="Calibri" w:cs="Times New Roman"/>
                <w:color w:val="000000"/>
                <w:sz w:val="16"/>
                <w:szCs w:val="16"/>
                <w:lang w:eastAsia="cs-CZ"/>
              </w:rPr>
              <w:t>2 464</w:t>
            </w:r>
          </w:p>
        </w:tc>
        <w:tc>
          <w:tcPr>
            <w:tcW w:w="789"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right"/>
              <w:rPr>
                <w:rFonts w:ascii="Calibri" w:eastAsia="Times New Roman" w:hAnsi="Calibri" w:cs="Times New Roman"/>
                <w:color w:val="000000"/>
                <w:sz w:val="16"/>
                <w:szCs w:val="16"/>
                <w:lang w:eastAsia="cs-CZ"/>
              </w:rPr>
            </w:pPr>
            <w:r w:rsidRPr="00E022BD">
              <w:rPr>
                <w:rFonts w:ascii="Calibri" w:eastAsia="Times New Roman" w:hAnsi="Calibri" w:cs="Times New Roman"/>
                <w:color w:val="000000"/>
                <w:sz w:val="16"/>
                <w:szCs w:val="16"/>
                <w:lang w:eastAsia="cs-CZ"/>
              </w:rPr>
              <w:t>350</w:t>
            </w:r>
          </w:p>
        </w:tc>
        <w:tc>
          <w:tcPr>
            <w:tcW w:w="588"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left"/>
              <w:rPr>
                <w:rFonts w:ascii="Calibri" w:eastAsia="Times New Roman" w:hAnsi="Calibri" w:cs="Times New Roman"/>
                <w:color w:val="000000"/>
                <w:sz w:val="16"/>
                <w:szCs w:val="16"/>
                <w:lang w:eastAsia="cs-CZ"/>
              </w:rPr>
            </w:pPr>
          </w:p>
        </w:tc>
        <w:tc>
          <w:tcPr>
            <w:tcW w:w="583"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left"/>
              <w:rPr>
                <w:rFonts w:ascii="Calibri" w:eastAsia="Times New Roman" w:hAnsi="Calibri" w:cs="Times New Roman"/>
                <w:color w:val="000000"/>
                <w:sz w:val="16"/>
                <w:szCs w:val="16"/>
                <w:lang w:eastAsia="cs-CZ"/>
              </w:rPr>
            </w:pPr>
          </w:p>
        </w:tc>
        <w:tc>
          <w:tcPr>
            <w:tcW w:w="682"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right"/>
              <w:rPr>
                <w:rFonts w:ascii="Calibri" w:eastAsia="Times New Roman" w:hAnsi="Calibri" w:cs="Times New Roman"/>
                <w:color w:val="000000"/>
                <w:sz w:val="16"/>
                <w:szCs w:val="16"/>
                <w:lang w:eastAsia="cs-CZ"/>
              </w:rPr>
            </w:pPr>
            <w:r w:rsidRPr="00E022BD">
              <w:rPr>
                <w:rFonts w:ascii="Calibri" w:eastAsia="Times New Roman" w:hAnsi="Calibri" w:cs="Times New Roman"/>
                <w:color w:val="000000"/>
                <w:sz w:val="16"/>
                <w:szCs w:val="16"/>
                <w:lang w:eastAsia="cs-CZ"/>
              </w:rPr>
              <w:t>2 794</w:t>
            </w:r>
          </w:p>
        </w:tc>
        <w:tc>
          <w:tcPr>
            <w:tcW w:w="722"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right"/>
              <w:rPr>
                <w:rFonts w:ascii="Calibri" w:eastAsia="Times New Roman" w:hAnsi="Calibri" w:cs="Times New Roman"/>
                <w:color w:val="000000"/>
                <w:sz w:val="16"/>
                <w:szCs w:val="16"/>
                <w:lang w:eastAsia="cs-CZ"/>
              </w:rPr>
            </w:pPr>
            <w:r w:rsidRPr="00E022BD">
              <w:rPr>
                <w:rFonts w:ascii="Calibri" w:eastAsia="Times New Roman" w:hAnsi="Calibri" w:cs="Times New Roman"/>
                <w:color w:val="000000"/>
                <w:sz w:val="16"/>
                <w:szCs w:val="16"/>
                <w:lang w:eastAsia="cs-CZ"/>
              </w:rPr>
              <w:t>6 064</w:t>
            </w:r>
          </w:p>
        </w:tc>
      </w:tr>
      <w:tr w:rsidR="009132EB" w:rsidRPr="00E022BD" w:rsidTr="00443784">
        <w:trPr>
          <w:trHeight w:val="300"/>
          <w:jc w:val="center"/>
        </w:trPr>
        <w:tc>
          <w:tcPr>
            <w:tcW w:w="923"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center"/>
              <w:rPr>
                <w:rFonts w:ascii="Calibri" w:eastAsia="Times New Roman" w:hAnsi="Calibri" w:cs="Times New Roman"/>
                <w:color w:val="000000"/>
                <w:sz w:val="16"/>
                <w:szCs w:val="16"/>
                <w:lang w:eastAsia="cs-CZ"/>
              </w:rPr>
            </w:pPr>
            <w:r w:rsidRPr="00E022BD">
              <w:rPr>
                <w:rFonts w:ascii="Calibri" w:eastAsia="Times New Roman" w:hAnsi="Calibri" w:cs="Times New Roman"/>
                <w:color w:val="000000"/>
                <w:sz w:val="16"/>
                <w:szCs w:val="16"/>
                <w:lang w:eastAsia="cs-CZ"/>
              </w:rPr>
              <w:t>2016</w:t>
            </w:r>
          </w:p>
        </w:tc>
        <w:tc>
          <w:tcPr>
            <w:tcW w:w="675"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right"/>
              <w:rPr>
                <w:rFonts w:ascii="Calibri" w:eastAsia="Times New Roman" w:hAnsi="Calibri" w:cs="Times New Roman"/>
                <w:b/>
                <w:bCs/>
                <w:color w:val="000000"/>
                <w:sz w:val="16"/>
                <w:szCs w:val="16"/>
                <w:lang w:eastAsia="cs-CZ"/>
              </w:rPr>
            </w:pPr>
            <w:r w:rsidRPr="00E022BD">
              <w:rPr>
                <w:rFonts w:ascii="Calibri" w:eastAsia="Times New Roman" w:hAnsi="Calibri" w:cs="Times New Roman"/>
                <w:b/>
                <w:bCs/>
                <w:color w:val="000000"/>
                <w:sz w:val="16"/>
                <w:szCs w:val="16"/>
                <w:lang w:eastAsia="cs-CZ"/>
              </w:rPr>
              <w:t>44 604</w:t>
            </w:r>
          </w:p>
        </w:tc>
        <w:tc>
          <w:tcPr>
            <w:tcW w:w="673"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right"/>
              <w:rPr>
                <w:rFonts w:ascii="Calibri" w:eastAsia="Times New Roman" w:hAnsi="Calibri" w:cs="Times New Roman"/>
                <w:color w:val="000000"/>
                <w:sz w:val="16"/>
                <w:szCs w:val="16"/>
                <w:lang w:eastAsia="cs-CZ"/>
              </w:rPr>
            </w:pPr>
            <w:r w:rsidRPr="00E022BD">
              <w:rPr>
                <w:rFonts w:ascii="Calibri" w:eastAsia="Times New Roman" w:hAnsi="Calibri" w:cs="Times New Roman"/>
                <w:color w:val="000000"/>
                <w:sz w:val="16"/>
                <w:szCs w:val="16"/>
                <w:lang w:eastAsia="cs-CZ"/>
              </w:rPr>
              <w:t>1 520</w:t>
            </w:r>
          </w:p>
        </w:tc>
        <w:tc>
          <w:tcPr>
            <w:tcW w:w="721"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right"/>
              <w:rPr>
                <w:rFonts w:ascii="Calibri" w:eastAsia="Times New Roman" w:hAnsi="Calibri" w:cs="Times New Roman"/>
                <w:color w:val="000000"/>
                <w:sz w:val="16"/>
                <w:szCs w:val="16"/>
                <w:lang w:eastAsia="cs-CZ"/>
              </w:rPr>
            </w:pPr>
            <w:r w:rsidRPr="00E022BD">
              <w:rPr>
                <w:rFonts w:ascii="Calibri" w:eastAsia="Times New Roman" w:hAnsi="Calibri" w:cs="Times New Roman"/>
                <w:color w:val="000000"/>
                <w:sz w:val="16"/>
                <w:szCs w:val="16"/>
                <w:lang w:eastAsia="cs-CZ"/>
              </w:rPr>
              <w:t>395</w:t>
            </w:r>
          </w:p>
        </w:tc>
        <w:tc>
          <w:tcPr>
            <w:tcW w:w="567"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left"/>
              <w:rPr>
                <w:rFonts w:ascii="Calibri" w:eastAsia="Times New Roman" w:hAnsi="Calibri" w:cs="Times New Roman"/>
                <w:color w:val="000000"/>
                <w:sz w:val="16"/>
                <w:szCs w:val="16"/>
                <w:lang w:eastAsia="cs-CZ"/>
              </w:rPr>
            </w:pPr>
          </w:p>
        </w:tc>
        <w:tc>
          <w:tcPr>
            <w:tcW w:w="659"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right"/>
              <w:rPr>
                <w:rFonts w:ascii="Calibri" w:eastAsia="Times New Roman" w:hAnsi="Calibri" w:cs="Times New Roman"/>
                <w:color w:val="000000"/>
                <w:sz w:val="16"/>
                <w:szCs w:val="16"/>
                <w:lang w:eastAsia="cs-CZ"/>
              </w:rPr>
            </w:pPr>
            <w:r w:rsidRPr="00E022BD">
              <w:rPr>
                <w:rFonts w:ascii="Calibri" w:eastAsia="Times New Roman" w:hAnsi="Calibri" w:cs="Times New Roman"/>
                <w:color w:val="000000"/>
                <w:sz w:val="16"/>
                <w:szCs w:val="16"/>
                <w:lang w:eastAsia="cs-CZ"/>
              </w:rPr>
              <w:t>37 044</w:t>
            </w:r>
          </w:p>
        </w:tc>
        <w:tc>
          <w:tcPr>
            <w:tcW w:w="617"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left"/>
              <w:rPr>
                <w:rFonts w:ascii="Calibri" w:eastAsia="Times New Roman" w:hAnsi="Calibri" w:cs="Times New Roman"/>
                <w:color w:val="000000"/>
                <w:sz w:val="16"/>
                <w:szCs w:val="16"/>
                <w:lang w:eastAsia="cs-CZ"/>
              </w:rPr>
            </w:pPr>
          </w:p>
        </w:tc>
        <w:tc>
          <w:tcPr>
            <w:tcW w:w="749"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left"/>
              <w:rPr>
                <w:rFonts w:ascii="Calibri" w:eastAsia="Times New Roman" w:hAnsi="Calibri" w:cs="Times New Roman"/>
                <w:color w:val="000000"/>
                <w:sz w:val="16"/>
                <w:szCs w:val="16"/>
                <w:lang w:eastAsia="cs-CZ"/>
              </w:rPr>
            </w:pPr>
          </w:p>
        </w:tc>
        <w:tc>
          <w:tcPr>
            <w:tcW w:w="789"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left"/>
              <w:rPr>
                <w:rFonts w:ascii="Calibri" w:eastAsia="Times New Roman" w:hAnsi="Calibri" w:cs="Times New Roman"/>
                <w:color w:val="000000"/>
                <w:sz w:val="16"/>
                <w:szCs w:val="16"/>
                <w:lang w:eastAsia="cs-CZ"/>
              </w:rPr>
            </w:pPr>
          </w:p>
        </w:tc>
        <w:tc>
          <w:tcPr>
            <w:tcW w:w="588"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left"/>
              <w:rPr>
                <w:rFonts w:ascii="Calibri" w:eastAsia="Times New Roman" w:hAnsi="Calibri" w:cs="Times New Roman"/>
                <w:color w:val="000000"/>
                <w:sz w:val="16"/>
                <w:szCs w:val="16"/>
                <w:lang w:eastAsia="cs-CZ"/>
              </w:rPr>
            </w:pPr>
          </w:p>
        </w:tc>
        <w:tc>
          <w:tcPr>
            <w:tcW w:w="583"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left"/>
              <w:rPr>
                <w:rFonts w:ascii="Calibri" w:eastAsia="Times New Roman" w:hAnsi="Calibri" w:cs="Times New Roman"/>
                <w:color w:val="000000"/>
                <w:sz w:val="16"/>
                <w:szCs w:val="16"/>
                <w:lang w:eastAsia="cs-CZ"/>
              </w:rPr>
            </w:pPr>
          </w:p>
        </w:tc>
        <w:tc>
          <w:tcPr>
            <w:tcW w:w="682"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right"/>
              <w:rPr>
                <w:rFonts w:ascii="Calibri" w:eastAsia="Times New Roman" w:hAnsi="Calibri" w:cs="Times New Roman"/>
                <w:color w:val="000000"/>
                <w:sz w:val="16"/>
                <w:szCs w:val="16"/>
                <w:lang w:eastAsia="cs-CZ"/>
              </w:rPr>
            </w:pPr>
            <w:r w:rsidRPr="00E022BD">
              <w:rPr>
                <w:rFonts w:ascii="Calibri" w:eastAsia="Times New Roman" w:hAnsi="Calibri" w:cs="Times New Roman"/>
                <w:color w:val="000000"/>
                <w:sz w:val="16"/>
                <w:szCs w:val="16"/>
                <w:lang w:eastAsia="cs-CZ"/>
              </w:rPr>
              <w:t>765</w:t>
            </w:r>
          </w:p>
        </w:tc>
        <w:tc>
          <w:tcPr>
            <w:tcW w:w="722"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right"/>
              <w:rPr>
                <w:rFonts w:ascii="Calibri" w:eastAsia="Times New Roman" w:hAnsi="Calibri" w:cs="Times New Roman"/>
                <w:color w:val="000000"/>
                <w:sz w:val="16"/>
                <w:szCs w:val="16"/>
                <w:lang w:eastAsia="cs-CZ"/>
              </w:rPr>
            </w:pPr>
            <w:r w:rsidRPr="00E022BD">
              <w:rPr>
                <w:rFonts w:ascii="Calibri" w:eastAsia="Times New Roman" w:hAnsi="Calibri" w:cs="Times New Roman"/>
                <w:color w:val="000000"/>
                <w:sz w:val="16"/>
                <w:szCs w:val="16"/>
                <w:lang w:eastAsia="cs-CZ"/>
              </w:rPr>
              <w:t>4 880</w:t>
            </w:r>
          </w:p>
        </w:tc>
      </w:tr>
      <w:tr w:rsidR="009132EB" w:rsidRPr="00E022BD" w:rsidTr="00443784">
        <w:trPr>
          <w:trHeight w:val="300"/>
          <w:jc w:val="center"/>
        </w:trPr>
        <w:tc>
          <w:tcPr>
            <w:tcW w:w="923"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center"/>
              <w:rPr>
                <w:rFonts w:ascii="Calibri" w:eastAsia="Times New Roman" w:hAnsi="Calibri" w:cs="Times New Roman"/>
                <w:color w:val="000000"/>
                <w:sz w:val="16"/>
                <w:szCs w:val="16"/>
                <w:lang w:eastAsia="cs-CZ"/>
              </w:rPr>
            </w:pPr>
            <w:r w:rsidRPr="00E022BD">
              <w:rPr>
                <w:rFonts w:ascii="Calibri" w:eastAsia="Times New Roman" w:hAnsi="Calibri" w:cs="Times New Roman"/>
                <w:color w:val="000000"/>
                <w:sz w:val="16"/>
                <w:szCs w:val="16"/>
                <w:lang w:eastAsia="cs-CZ"/>
              </w:rPr>
              <w:t>2017</w:t>
            </w:r>
          </w:p>
        </w:tc>
        <w:tc>
          <w:tcPr>
            <w:tcW w:w="675"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right"/>
              <w:rPr>
                <w:rFonts w:ascii="Calibri" w:eastAsia="Times New Roman" w:hAnsi="Calibri" w:cs="Times New Roman"/>
                <w:b/>
                <w:bCs/>
                <w:color w:val="000000"/>
                <w:sz w:val="16"/>
                <w:szCs w:val="16"/>
                <w:lang w:eastAsia="cs-CZ"/>
              </w:rPr>
            </w:pPr>
            <w:r w:rsidRPr="00E022BD">
              <w:rPr>
                <w:rFonts w:ascii="Calibri" w:eastAsia="Times New Roman" w:hAnsi="Calibri" w:cs="Times New Roman"/>
                <w:b/>
                <w:bCs/>
                <w:color w:val="000000"/>
                <w:sz w:val="16"/>
                <w:szCs w:val="16"/>
                <w:lang w:eastAsia="cs-CZ"/>
              </w:rPr>
              <w:t>9 850</w:t>
            </w:r>
          </w:p>
        </w:tc>
        <w:tc>
          <w:tcPr>
            <w:tcW w:w="673"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right"/>
              <w:rPr>
                <w:rFonts w:ascii="Calibri" w:eastAsia="Times New Roman" w:hAnsi="Calibri" w:cs="Times New Roman"/>
                <w:color w:val="000000"/>
                <w:sz w:val="16"/>
                <w:szCs w:val="16"/>
                <w:lang w:eastAsia="cs-CZ"/>
              </w:rPr>
            </w:pPr>
            <w:r w:rsidRPr="00E022BD">
              <w:rPr>
                <w:rFonts w:ascii="Calibri" w:eastAsia="Times New Roman" w:hAnsi="Calibri" w:cs="Times New Roman"/>
                <w:color w:val="000000"/>
                <w:sz w:val="16"/>
                <w:szCs w:val="16"/>
                <w:lang w:eastAsia="cs-CZ"/>
              </w:rPr>
              <w:t>2 161</w:t>
            </w:r>
          </w:p>
        </w:tc>
        <w:tc>
          <w:tcPr>
            <w:tcW w:w="721"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right"/>
              <w:rPr>
                <w:rFonts w:ascii="Calibri" w:eastAsia="Times New Roman" w:hAnsi="Calibri" w:cs="Times New Roman"/>
                <w:color w:val="000000"/>
                <w:sz w:val="16"/>
                <w:szCs w:val="16"/>
                <w:lang w:eastAsia="cs-CZ"/>
              </w:rPr>
            </w:pPr>
            <w:r w:rsidRPr="00E022BD">
              <w:rPr>
                <w:rFonts w:ascii="Calibri" w:eastAsia="Times New Roman" w:hAnsi="Calibri" w:cs="Times New Roman"/>
                <w:color w:val="000000"/>
                <w:sz w:val="16"/>
                <w:szCs w:val="16"/>
                <w:lang w:eastAsia="cs-CZ"/>
              </w:rPr>
              <w:t>345</w:t>
            </w:r>
          </w:p>
        </w:tc>
        <w:tc>
          <w:tcPr>
            <w:tcW w:w="567"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left"/>
              <w:rPr>
                <w:rFonts w:ascii="Calibri" w:eastAsia="Times New Roman" w:hAnsi="Calibri" w:cs="Times New Roman"/>
                <w:color w:val="000000"/>
                <w:sz w:val="16"/>
                <w:szCs w:val="16"/>
                <w:lang w:eastAsia="cs-CZ"/>
              </w:rPr>
            </w:pPr>
          </w:p>
        </w:tc>
        <w:tc>
          <w:tcPr>
            <w:tcW w:w="659"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right"/>
              <w:rPr>
                <w:rFonts w:ascii="Calibri" w:eastAsia="Times New Roman" w:hAnsi="Calibri" w:cs="Times New Roman"/>
                <w:color w:val="000000"/>
                <w:sz w:val="16"/>
                <w:szCs w:val="16"/>
                <w:lang w:eastAsia="cs-CZ"/>
              </w:rPr>
            </w:pPr>
            <w:r w:rsidRPr="00E022BD">
              <w:rPr>
                <w:rFonts w:ascii="Calibri" w:eastAsia="Times New Roman" w:hAnsi="Calibri" w:cs="Times New Roman"/>
                <w:color w:val="000000"/>
                <w:sz w:val="16"/>
                <w:szCs w:val="16"/>
                <w:lang w:eastAsia="cs-CZ"/>
              </w:rPr>
              <w:t>1 949</w:t>
            </w:r>
          </w:p>
        </w:tc>
        <w:tc>
          <w:tcPr>
            <w:tcW w:w="617"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left"/>
              <w:rPr>
                <w:rFonts w:ascii="Calibri" w:eastAsia="Times New Roman" w:hAnsi="Calibri" w:cs="Times New Roman"/>
                <w:color w:val="000000"/>
                <w:sz w:val="16"/>
                <w:szCs w:val="16"/>
                <w:lang w:eastAsia="cs-CZ"/>
              </w:rPr>
            </w:pPr>
          </w:p>
        </w:tc>
        <w:tc>
          <w:tcPr>
            <w:tcW w:w="749"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left"/>
              <w:rPr>
                <w:rFonts w:ascii="Calibri" w:eastAsia="Times New Roman" w:hAnsi="Calibri" w:cs="Times New Roman"/>
                <w:color w:val="000000"/>
                <w:sz w:val="16"/>
                <w:szCs w:val="16"/>
                <w:lang w:eastAsia="cs-CZ"/>
              </w:rPr>
            </w:pPr>
          </w:p>
        </w:tc>
        <w:tc>
          <w:tcPr>
            <w:tcW w:w="789"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left"/>
              <w:rPr>
                <w:rFonts w:ascii="Calibri" w:eastAsia="Times New Roman" w:hAnsi="Calibri" w:cs="Times New Roman"/>
                <w:color w:val="000000"/>
                <w:sz w:val="16"/>
                <w:szCs w:val="16"/>
                <w:lang w:eastAsia="cs-CZ"/>
              </w:rPr>
            </w:pPr>
          </w:p>
        </w:tc>
        <w:tc>
          <w:tcPr>
            <w:tcW w:w="588"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left"/>
              <w:rPr>
                <w:rFonts w:ascii="Calibri" w:eastAsia="Times New Roman" w:hAnsi="Calibri" w:cs="Times New Roman"/>
                <w:color w:val="000000"/>
                <w:sz w:val="16"/>
                <w:szCs w:val="16"/>
                <w:lang w:eastAsia="cs-CZ"/>
              </w:rPr>
            </w:pPr>
          </w:p>
        </w:tc>
        <w:tc>
          <w:tcPr>
            <w:tcW w:w="583"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left"/>
              <w:rPr>
                <w:rFonts w:ascii="Calibri" w:eastAsia="Times New Roman" w:hAnsi="Calibri" w:cs="Times New Roman"/>
                <w:color w:val="000000"/>
                <w:sz w:val="16"/>
                <w:szCs w:val="16"/>
                <w:lang w:eastAsia="cs-CZ"/>
              </w:rPr>
            </w:pPr>
          </w:p>
        </w:tc>
        <w:tc>
          <w:tcPr>
            <w:tcW w:w="682"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right"/>
              <w:rPr>
                <w:rFonts w:ascii="Calibri" w:eastAsia="Times New Roman" w:hAnsi="Calibri" w:cs="Times New Roman"/>
                <w:color w:val="000000"/>
                <w:sz w:val="16"/>
                <w:szCs w:val="16"/>
                <w:lang w:eastAsia="cs-CZ"/>
              </w:rPr>
            </w:pPr>
            <w:r w:rsidRPr="00E022BD">
              <w:rPr>
                <w:rFonts w:ascii="Calibri" w:eastAsia="Times New Roman" w:hAnsi="Calibri" w:cs="Times New Roman"/>
                <w:color w:val="000000"/>
                <w:sz w:val="16"/>
                <w:szCs w:val="16"/>
                <w:lang w:eastAsia="cs-CZ"/>
              </w:rPr>
              <w:t>615</w:t>
            </w:r>
          </w:p>
        </w:tc>
        <w:tc>
          <w:tcPr>
            <w:tcW w:w="722"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right"/>
              <w:rPr>
                <w:rFonts w:ascii="Calibri" w:eastAsia="Times New Roman" w:hAnsi="Calibri" w:cs="Times New Roman"/>
                <w:color w:val="000000"/>
                <w:sz w:val="16"/>
                <w:szCs w:val="16"/>
                <w:lang w:eastAsia="cs-CZ"/>
              </w:rPr>
            </w:pPr>
            <w:r w:rsidRPr="00E022BD">
              <w:rPr>
                <w:rFonts w:ascii="Calibri" w:eastAsia="Times New Roman" w:hAnsi="Calibri" w:cs="Times New Roman"/>
                <w:color w:val="000000"/>
                <w:sz w:val="16"/>
                <w:szCs w:val="16"/>
                <w:lang w:eastAsia="cs-CZ"/>
              </w:rPr>
              <w:t>4 780</w:t>
            </w:r>
          </w:p>
        </w:tc>
      </w:tr>
      <w:tr w:rsidR="009132EB" w:rsidRPr="00E022BD" w:rsidTr="00443784">
        <w:trPr>
          <w:trHeight w:val="300"/>
          <w:jc w:val="center"/>
        </w:trPr>
        <w:tc>
          <w:tcPr>
            <w:tcW w:w="923"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center"/>
              <w:rPr>
                <w:rFonts w:ascii="Calibri" w:eastAsia="Times New Roman" w:hAnsi="Calibri" w:cs="Times New Roman"/>
                <w:color w:val="000000"/>
                <w:sz w:val="16"/>
                <w:szCs w:val="16"/>
                <w:lang w:eastAsia="cs-CZ"/>
              </w:rPr>
            </w:pPr>
            <w:r w:rsidRPr="00E022BD">
              <w:rPr>
                <w:rFonts w:ascii="Calibri" w:eastAsia="Times New Roman" w:hAnsi="Calibri" w:cs="Times New Roman"/>
                <w:color w:val="000000"/>
                <w:sz w:val="16"/>
                <w:szCs w:val="16"/>
                <w:lang w:eastAsia="cs-CZ"/>
              </w:rPr>
              <w:t>2018</w:t>
            </w:r>
          </w:p>
        </w:tc>
        <w:tc>
          <w:tcPr>
            <w:tcW w:w="675"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right"/>
              <w:rPr>
                <w:rFonts w:ascii="Calibri" w:eastAsia="Times New Roman" w:hAnsi="Calibri" w:cs="Times New Roman"/>
                <w:b/>
                <w:bCs/>
                <w:color w:val="000000"/>
                <w:sz w:val="16"/>
                <w:szCs w:val="16"/>
                <w:lang w:eastAsia="cs-CZ"/>
              </w:rPr>
            </w:pPr>
            <w:r w:rsidRPr="00E022BD">
              <w:rPr>
                <w:rFonts w:ascii="Calibri" w:eastAsia="Times New Roman" w:hAnsi="Calibri" w:cs="Times New Roman"/>
                <w:b/>
                <w:bCs/>
                <w:color w:val="000000"/>
                <w:sz w:val="16"/>
                <w:szCs w:val="16"/>
                <w:lang w:eastAsia="cs-CZ"/>
              </w:rPr>
              <w:t>9 590</w:t>
            </w:r>
          </w:p>
        </w:tc>
        <w:tc>
          <w:tcPr>
            <w:tcW w:w="673"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right"/>
              <w:rPr>
                <w:rFonts w:ascii="Calibri" w:eastAsia="Times New Roman" w:hAnsi="Calibri" w:cs="Times New Roman"/>
                <w:color w:val="000000"/>
                <w:sz w:val="16"/>
                <w:szCs w:val="16"/>
                <w:lang w:eastAsia="cs-CZ"/>
              </w:rPr>
            </w:pPr>
            <w:r w:rsidRPr="00E022BD">
              <w:rPr>
                <w:rFonts w:ascii="Calibri" w:eastAsia="Times New Roman" w:hAnsi="Calibri" w:cs="Times New Roman"/>
                <w:color w:val="000000"/>
                <w:sz w:val="16"/>
                <w:szCs w:val="16"/>
                <w:lang w:eastAsia="cs-CZ"/>
              </w:rPr>
              <w:t>2 191</w:t>
            </w:r>
          </w:p>
        </w:tc>
        <w:tc>
          <w:tcPr>
            <w:tcW w:w="721"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right"/>
              <w:rPr>
                <w:rFonts w:ascii="Calibri" w:eastAsia="Times New Roman" w:hAnsi="Calibri" w:cs="Times New Roman"/>
                <w:color w:val="000000"/>
                <w:sz w:val="16"/>
                <w:szCs w:val="16"/>
                <w:lang w:eastAsia="cs-CZ"/>
              </w:rPr>
            </w:pPr>
            <w:r w:rsidRPr="00E022BD">
              <w:rPr>
                <w:rFonts w:ascii="Calibri" w:eastAsia="Times New Roman" w:hAnsi="Calibri" w:cs="Times New Roman"/>
                <w:color w:val="000000"/>
                <w:sz w:val="16"/>
                <w:szCs w:val="16"/>
                <w:lang w:eastAsia="cs-CZ"/>
              </w:rPr>
              <w:t>345</w:t>
            </w:r>
          </w:p>
        </w:tc>
        <w:tc>
          <w:tcPr>
            <w:tcW w:w="567"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left"/>
              <w:rPr>
                <w:rFonts w:ascii="Calibri" w:eastAsia="Times New Roman" w:hAnsi="Calibri" w:cs="Times New Roman"/>
                <w:color w:val="000000"/>
                <w:sz w:val="16"/>
                <w:szCs w:val="16"/>
                <w:lang w:eastAsia="cs-CZ"/>
              </w:rPr>
            </w:pPr>
          </w:p>
        </w:tc>
        <w:tc>
          <w:tcPr>
            <w:tcW w:w="659"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right"/>
              <w:rPr>
                <w:rFonts w:ascii="Calibri" w:eastAsia="Times New Roman" w:hAnsi="Calibri" w:cs="Times New Roman"/>
                <w:color w:val="000000"/>
                <w:sz w:val="16"/>
                <w:szCs w:val="16"/>
                <w:lang w:eastAsia="cs-CZ"/>
              </w:rPr>
            </w:pPr>
            <w:r w:rsidRPr="00E022BD">
              <w:rPr>
                <w:rFonts w:ascii="Calibri" w:eastAsia="Times New Roman" w:hAnsi="Calibri" w:cs="Times New Roman"/>
                <w:color w:val="000000"/>
                <w:sz w:val="16"/>
                <w:szCs w:val="16"/>
                <w:lang w:eastAsia="cs-CZ"/>
              </w:rPr>
              <w:t>1 489</w:t>
            </w:r>
          </w:p>
        </w:tc>
        <w:tc>
          <w:tcPr>
            <w:tcW w:w="617"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left"/>
              <w:rPr>
                <w:rFonts w:ascii="Calibri" w:eastAsia="Times New Roman" w:hAnsi="Calibri" w:cs="Times New Roman"/>
                <w:color w:val="000000"/>
                <w:sz w:val="16"/>
                <w:szCs w:val="16"/>
                <w:lang w:eastAsia="cs-CZ"/>
              </w:rPr>
            </w:pPr>
          </w:p>
        </w:tc>
        <w:tc>
          <w:tcPr>
            <w:tcW w:w="749"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left"/>
              <w:rPr>
                <w:rFonts w:ascii="Calibri" w:eastAsia="Times New Roman" w:hAnsi="Calibri" w:cs="Times New Roman"/>
                <w:color w:val="000000"/>
                <w:sz w:val="16"/>
                <w:szCs w:val="16"/>
                <w:lang w:eastAsia="cs-CZ"/>
              </w:rPr>
            </w:pPr>
          </w:p>
        </w:tc>
        <w:tc>
          <w:tcPr>
            <w:tcW w:w="789"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left"/>
              <w:rPr>
                <w:rFonts w:ascii="Calibri" w:eastAsia="Times New Roman" w:hAnsi="Calibri" w:cs="Times New Roman"/>
                <w:color w:val="000000"/>
                <w:sz w:val="16"/>
                <w:szCs w:val="16"/>
                <w:lang w:eastAsia="cs-CZ"/>
              </w:rPr>
            </w:pPr>
          </w:p>
        </w:tc>
        <w:tc>
          <w:tcPr>
            <w:tcW w:w="588"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left"/>
              <w:rPr>
                <w:rFonts w:ascii="Calibri" w:eastAsia="Times New Roman" w:hAnsi="Calibri" w:cs="Times New Roman"/>
                <w:color w:val="000000"/>
                <w:sz w:val="16"/>
                <w:szCs w:val="16"/>
                <w:lang w:eastAsia="cs-CZ"/>
              </w:rPr>
            </w:pPr>
          </w:p>
        </w:tc>
        <w:tc>
          <w:tcPr>
            <w:tcW w:w="583"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left"/>
              <w:rPr>
                <w:rFonts w:ascii="Calibri" w:eastAsia="Times New Roman" w:hAnsi="Calibri" w:cs="Times New Roman"/>
                <w:color w:val="000000"/>
                <w:sz w:val="16"/>
                <w:szCs w:val="16"/>
                <w:lang w:eastAsia="cs-CZ"/>
              </w:rPr>
            </w:pPr>
          </w:p>
        </w:tc>
        <w:tc>
          <w:tcPr>
            <w:tcW w:w="682"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right"/>
              <w:rPr>
                <w:rFonts w:ascii="Calibri" w:eastAsia="Times New Roman" w:hAnsi="Calibri" w:cs="Times New Roman"/>
                <w:color w:val="000000"/>
                <w:sz w:val="16"/>
                <w:szCs w:val="16"/>
                <w:lang w:eastAsia="cs-CZ"/>
              </w:rPr>
            </w:pPr>
            <w:r w:rsidRPr="00E022BD">
              <w:rPr>
                <w:rFonts w:ascii="Calibri" w:eastAsia="Times New Roman" w:hAnsi="Calibri" w:cs="Times New Roman"/>
                <w:color w:val="000000"/>
                <w:sz w:val="16"/>
                <w:szCs w:val="16"/>
                <w:lang w:eastAsia="cs-CZ"/>
              </w:rPr>
              <w:t>785</w:t>
            </w:r>
          </w:p>
        </w:tc>
        <w:tc>
          <w:tcPr>
            <w:tcW w:w="722"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right"/>
              <w:rPr>
                <w:rFonts w:ascii="Calibri" w:eastAsia="Times New Roman" w:hAnsi="Calibri" w:cs="Times New Roman"/>
                <w:color w:val="000000"/>
                <w:sz w:val="16"/>
                <w:szCs w:val="16"/>
                <w:lang w:eastAsia="cs-CZ"/>
              </w:rPr>
            </w:pPr>
            <w:r w:rsidRPr="00E022BD">
              <w:rPr>
                <w:rFonts w:ascii="Calibri" w:eastAsia="Times New Roman" w:hAnsi="Calibri" w:cs="Times New Roman"/>
                <w:color w:val="000000"/>
                <w:sz w:val="16"/>
                <w:szCs w:val="16"/>
                <w:lang w:eastAsia="cs-CZ"/>
              </w:rPr>
              <w:t>4 780</w:t>
            </w:r>
          </w:p>
        </w:tc>
      </w:tr>
      <w:tr w:rsidR="009132EB" w:rsidRPr="00E022BD" w:rsidTr="00443784">
        <w:trPr>
          <w:trHeight w:val="300"/>
          <w:jc w:val="center"/>
        </w:trPr>
        <w:tc>
          <w:tcPr>
            <w:tcW w:w="923"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center"/>
              <w:rPr>
                <w:rFonts w:ascii="Calibri" w:eastAsia="Times New Roman" w:hAnsi="Calibri" w:cs="Times New Roman"/>
                <w:color w:val="000000"/>
                <w:sz w:val="16"/>
                <w:szCs w:val="16"/>
                <w:lang w:eastAsia="cs-CZ"/>
              </w:rPr>
            </w:pPr>
            <w:r w:rsidRPr="00E022BD">
              <w:rPr>
                <w:rFonts w:ascii="Calibri" w:eastAsia="Times New Roman" w:hAnsi="Calibri" w:cs="Times New Roman"/>
                <w:color w:val="000000"/>
                <w:sz w:val="16"/>
                <w:szCs w:val="16"/>
                <w:lang w:eastAsia="cs-CZ"/>
              </w:rPr>
              <w:t>2019</w:t>
            </w:r>
          </w:p>
        </w:tc>
        <w:tc>
          <w:tcPr>
            <w:tcW w:w="675"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right"/>
              <w:rPr>
                <w:rFonts w:ascii="Calibri" w:eastAsia="Times New Roman" w:hAnsi="Calibri" w:cs="Times New Roman"/>
                <w:b/>
                <w:bCs/>
                <w:color w:val="000000"/>
                <w:sz w:val="16"/>
                <w:szCs w:val="16"/>
                <w:lang w:eastAsia="cs-CZ"/>
              </w:rPr>
            </w:pPr>
            <w:r w:rsidRPr="00E022BD">
              <w:rPr>
                <w:rFonts w:ascii="Calibri" w:eastAsia="Times New Roman" w:hAnsi="Calibri" w:cs="Times New Roman"/>
                <w:b/>
                <w:bCs/>
                <w:color w:val="000000"/>
                <w:sz w:val="16"/>
                <w:szCs w:val="16"/>
                <w:lang w:eastAsia="cs-CZ"/>
              </w:rPr>
              <w:t>9 175</w:t>
            </w:r>
          </w:p>
        </w:tc>
        <w:tc>
          <w:tcPr>
            <w:tcW w:w="673"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right"/>
              <w:rPr>
                <w:rFonts w:ascii="Calibri" w:eastAsia="Times New Roman" w:hAnsi="Calibri" w:cs="Times New Roman"/>
                <w:color w:val="000000"/>
                <w:sz w:val="16"/>
                <w:szCs w:val="16"/>
                <w:lang w:eastAsia="cs-CZ"/>
              </w:rPr>
            </w:pPr>
            <w:r w:rsidRPr="00E022BD">
              <w:rPr>
                <w:rFonts w:ascii="Calibri" w:eastAsia="Times New Roman" w:hAnsi="Calibri" w:cs="Times New Roman"/>
                <w:color w:val="000000"/>
                <w:sz w:val="16"/>
                <w:szCs w:val="16"/>
                <w:lang w:eastAsia="cs-CZ"/>
              </w:rPr>
              <w:t>2 191</w:t>
            </w:r>
          </w:p>
        </w:tc>
        <w:tc>
          <w:tcPr>
            <w:tcW w:w="721"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right"/>
              <w:rPr>
                <w:rFonts w:ascii="Calibri" w:eastAsia="Times New Roman" w:hAnsi="Calibri" w:cs="Times New Roman"/>
                <w:color w:val="000000"/>
                <w:sz w:val="16"/>
                <w:szCs w:val="16"/>
                <w:lang w:eastAsia="cs-CZ"/>
              </w:rPr>
            </w:pPr>
            <w:r w:rsidRPr="00E022BD">
              <w:rPr>
                <w:rFonts w:ascii="Calibri" w:eastAsia="Times New Roman" w:hAnsi="Calibri" w:cs="Times New Roman"/>
                <w:color w:val="000000"/>
                <w:sz w:val="16"/>
                <w:szCs w:val="16"/>
                <w:lang w:eastAsia="cs-CZ"/>
              </w:rPr>
              <w:t>240</w:t>
            </w:r>
          </w:p>
        </w:tc>
        <w:tc>
          <w:tcPr>
            <w:tcW w:w="567"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left"/>
              <w:rPr>
                <w:rFonts w:ascii="Calibri" w:eastAsia="Times New Roman" w:hAnsi="Calibri" w:cs="Times New Roman"/>
                <w:color w:val="000000"/>
                <w:sz w:val="16"/>
                <w:szCs w:val="16"/>
                <w:lang w:eastAsia="cs-CZ"/>
              </w:rPr>
            </w:pPr>
          </w:p>
        </w:tc>
        <w:tc>
          <w:tcPr>
            <w:tcW w:w="659"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right"/>
              <w:rPr>
                <w:rFonts w:ascii="Calibri" w:eastAsia="Times New Roman" w:hAnsi="Calibri" w:cs="Times New Roman"/>
                <w:color w:val="000000"/>
                <w:sz w:val="16"/>
                <w:szCs w:val="16"/>
                <w:lang w:eastAsia="cs-CZ"/>
              </w:rPr>
            </w:pPr>
            <w:r w:rsidRPr="00E022BD">
              <w:rPr>
                <w:rFonts w:ascii="Calibri" w:eastAsia="Times New Roman" w:hAnsi="Calibri" w:cs="Times New Roman"/>
                <w:color w:val="000000"/>
                <w:sz w:val="16"/>
                <w:szCs w:val="16"/>
                <w:lang w:eastAsia="cs-CZ"/>
              </w:rPr>
              <w:t>1 399</w:t>
            </w:r>
          </w:p>
        </w:tc>
        <w:tc>
          <w:tcPr>
            <w:tcW w:w="617"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left"/>
              <w:rPr>
                <w:rFonts w:ascii="Calibri" w:eastAsia="Times New Roman" w:hAnsi="Calibri" w:cs="Times New Roman"/>
                <w:color w:val="000000"/>
                <w:sz w:val="16"/>
                <w:szCs w:val="16"/>
                <w:lang w:eastAsia="cs-CZ"/>
              </w:rPr>
            </w:pPr>
          </w:p>
        </w:tc>
        <w:tc>
          <w:tcPr>
            <w:tcW w:w="749"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left"/>
              <w:rPr>
                <w:rFonts w:ascii="Calibri" w:eastAsia="Times New Roman" w:hAnsi="Calibri" w:cs="Times New Roman"/>
                <w:color w:val="000000"/>
                <w:sz w:val="16"/>
                <w:szCs w:val="16"/>
                <w:lang w:eastAsia="cs-CZ"/>
              </w:rPr>
            </w:pPr>
          </w:p>
        </w:tc>
        <w:tc>
          <w:tcPr>
            <w:tcW w:w="789"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left"/>
              <w:rPr>
                <w:rFonts w:ascii="Calibri" w:eastAsia="Times New Roman" w:hAnsi="Calibri" w:cs="Times New Roman"/>
                <w:color w:val="000000"/>
                <w:sz w:val="16"/>
                <w:szCs w:val="16"/>
                <w:lang w:eastAsia="cs-CZ"/>
              </w:rPr>
            </w:pPr>
          </w:p>
        </w:tc>
        <w:tc>
          <w:tcPr>
            <w:tcW w:w="588"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left"/>
              <w:rPr>
                <w:rFonts w:ascii="Calibri" w:eastAsia="Times New Roman" w:hAnsi="Calibri" w:cs="Times New Roman"/>
                <w:color w:val="000000"/>
                <w:sz w:val="16"/>
                <w:szCs w:val="16"/>
                <w:lang w:eastAsia="cs-CZ"/>
              </w:rPr>
            </w:pPr>
          </w:p>
        </w:tc>
        <w:tc>
          <w:tcPr>
            <w:tcW w:w="583"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left"/>
              <w:rPr>
                <w:rFonts w:ascii="Calibri" w:eastAsia="Times New Roman" w:hAnsi="Calibri" w:cs="Times New Roman"/>
                <w:color w:val="000000"/>
                <w:sz w:val="16"/>
                <w:szCs w:val="16"/>
                <w:lang w:eastAsia="cs-CZ"/>
              </w:rPr>
            </w:pPr>
          </w:p>
        </w:tc>
        <w:tc>
          <w:tcPr>
            <w:tcW w:w="682"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right"/>
              <w:rPr>
                <w:rFonts w:ascii="Calibri" w:eastAsia="Times New Roman" w:hAnsi="Calibri" w:cs="Times New Roman"/>
                <w:color w:val="000000"/>
                <w:sz w:val="16"/>
                <w:szCs w:val="16"/>
                <w:lang w:eastAsia="cs-CZ"/>
              </w:rPr>
            </w:pPr>
            <w:r w:rsidRPr="00E022BD">
              <w:rPr>
                <w:rFonts w:ascii="Calibri" w:eastAsia="Times New Roman" w:hAnsi="Calibri" w:cs="Times New Roman"/>
                <w:color w:val="000000"/>
                <w:sz w:val="16"/>
                <w:szCs w:val="16"/>
                <w:lang w:eastAsia="cs-CZ"/>
              </w:rPr>
              <w:t>615</w:t>
            </w:r>
          </w:p>
        </w:tc>
        <w:tc>
          <w:tcPr>
            <w:tcW w:w="722" w:type="dxa"/>
            <w:tcBorders>
              <w:top w:val="nil"/>
              <w:left w:val="nil"/>
              <w:bottom w:val="nil"/>
              <w:right w:val="nil"/>
            </w:tcBorders>
            <w:shd w:val="clear" w:color="auto" w:fill="auto"/>
            <w:noWrap/>
            <w:vAlign w:val="bottom"/>
            <w:hideMark/>
          </w:tcPr>
          <w:p w:rsidR="009132EB" w:rsidRPr="00E022BD" w:rsidRDefault="009132EB" w:rsidP="009132EB">
            <w:pPr>
              <w:spacing w:before="40" w:after="40"/>
              <w:jc w:val="right"/>
              <w:rPr>
                <w:rFonts w:ascii="Calibri" w:eastAsia="Times New Roman" w:hAnsi="Calibri" w:cs="Times New Roman"/>
                <w:color w:val="000000"/>
                <w:sz w:val="16"/>
                <w:szCs w:val="16"/>
                <w:lang w:eastAsia="cs-CZ"/>
              </w:rPr>
            </w:pPr>
            <w:r w:rsidRPr="00E022BD">
              <w:rPr>
                <w:rFonts w:ascii="Calibri" w:eastAsia="Times New Roman" w:hAnsi="Calibri" w:cs="Times New Roman"/>
                <w:color w:val="000000"/>
                <w:sz w:val="16"/>
                <w:szCs w:val="16"/>
                <w:lang w:eastAsia="cs-CZ"/>
              </w:rPr>
              <w:t>4 730</w:t>
            </w:r>
          </w:p>
        </w:tc>
      </w:tr>
      <w:tr w:rsidR="009132EB" w:rsidRPr="00E022BD" w:rsidTr="00443784">
        <w:trPr>
          <w:trHeight w:val="300"/>
          <w:jc w:val="center"/>
        </w:trPr>
        <w:tc>
          <w:tcPr>
            <w:tcW w:w="923" w:type="dxa"/>
            <w:tcBorders>
              <w:top w:val="nil"/>
              <w:left w:val="nil"/>
              <w:bottom w:val="single" w:sz="4" w:space="0" w:color="auto"/>
              <w:right w:val="nil"/>
            </w:tcBorders>
            <w:shd w:val="clear" w:color="auto" w:fill="auto"/>
            <w:noWrap/>
            <w:vAlign w:val="bottom"/>
            <w:hideMark/>
          </w:tcPr>
          <w:p w:rsidR="009132EB" w:rsidRPr="00E022BD" w:rsidRDefault="009132EB" w:rsidP="009132EB">
            <w:pPr>
              <w:spacing w:before="40" w:after="40"/>
              <w:jc w:val="center"/>
              <w:rPr>
                <w:rFonts w:ascii="Calibri" w:eastAsia="Times New Roman" w:hAnsi="Calibri" w:cs="Times New Roman"/>
                <w:color w:val="000000"/>
                <w:sz w:val="16"/>
                <w:szCs w:val="16"/>
                <w:lang w:eastAsia="cs-CZ"/>
              </w:rPr>
            </w:pPr>
            <w:r w:rsidRPr="00E022BD">
              <w:rPr>
                <w:rFonts w:ascii="Calibri" w:eastAsia="Times New Roman" w:hAnsi="Calibri" w:cs="Times New Roman"/>
                <w:color w:val="000000"/>
                <w:sz w:val="16"/>
                <w:szCs w:val="16"/>
                <w:lang w:eastAsia="cs-CZ"/>
              </w:rPr>
              <w:t>2020</w:t>
            </w:r>
          </w:p>
        </w:tc>
        <w:tc>
          <w:tcPr>
            <w:tcW w:w="675" w:type="dxa"/>
            <w:tcBorders>
              <w:top w:val="nil"/>
              <w:left w:val="nil"/>
              <w:bottom w:val="single" w:sz="4" w:space="0" w:color="auto"/>
              <w:right w:val="nil"/>
            </w:tcBorders>
            <w:shd w:val="clear" w:color="auto" w:fill="auto"/>
            <w:noWrap/>
            <w:vAlign w:val="bottom"/>
            <w:hideMark/>
          </w:tcPr>
          <w:p w:rsidR="009132EB" w:rsidRPr="00E022BD" w:rsidRDefault="009132EB" w:rsidP="009132EB">
            <w:pPr>
              <w:spacing w:before="40" w:after="40"/>
              <w:jc w:val="right"/>
              <w:rPr>
                <w:rFonts w:ascii="Calibri" w:eastAsia="Times New Roman" w:hAnsi="Calibri" w:cs="Times New Roman"/>
                <w:b/>
                <w:bCs/>
                <w:color w:val="000000"/>
                <w:sz w:val="16"/>
                <w:szCs w:val="16"/>
                <w:lang w:eastAsia="cs-CZ"/>
              </w:rPr>
            </w:pPr>
            <w:r w:rsidRPr="00E022BD">
              <w:rPr>
                <w:rFonts w:ascii="Calibri" w:eastAsia="Times New Roman" w:hAnsi="Calibri" w:cs="Times New Roman"/>
                <w:b/>
                <w:bCs/>
                <w:color w:val="000000"/>
                <w:sz w:val="16"/>
                <w:szCs w:val="16"/>
                <w:lang w:eastAsia="cs-CZ"/>
              </w:rPr>
              <w:t>7 678</w:t>
            </w:r>
          </w:p>
        </w:tc>
        <w:tc>
          <w:tcPr>
            <w:tcW w:w="673" w:type="dxa"/>
            <w:tcBorders>
              <w:top w:val="nil"/>
              <w:left w:val="nil"/>
              <w:bottom w:val="single" w:sz="4" w:space="0" w:color="auto"/>
              <w:right w:val="nil"/>
            </w:tcBorders>
            <w:shd w:val="clear" w:color="auto" w:fill="auto"/>
            <w:noWrap/>
            <w:vAlign w:val="bottom"/>
            <w:hideMark/>
          </w:tcPr>
          <w:p w:rsidR="009132EB" w:rsidRPr="00E022BD" w:rsidRDefault="009132EB" w:rsidP="009132EB">
            <w:pPr>
              <w:spacing w:before="40" w:after="40"/>
              <w:jc w:val="right"/>
              <w:rPr>
                <w:rFonts w:ascii="Calibri" w:eastAsia="Times New Roman" w:hAnsi="Calibri" w:cs="Times New Roman"/>
                <w:color w:val="000000"/>
                <w:sz w:val="16"/>
                <w:szCs w:val="16"/>
                <w:lang w:eastAsia="cs-CZ"/>
              </w:rPr>
            </w:pPr>
            <w:r w:rsidRPr="00E022BD">
              <w:rPr>
                <w:rFonts w:ascii="Calibri" w:eastAsia="Times New Roman" w:hAnsi="Calibri" w:cs="Times New Roman"/>
                <w:color w:val="000000"/>
                <w:sz w:val="16"/>
                <w:szCs w:val="16"/>
                <w:lang w:eastAsia="cs-CZ"/>
              </w:rPr>
              <w:t>2 014</w:t>
            </w:r>
          </w:p>
        </w:tc>
        <w:tc>
          <w:tcPr>
            <w:tcW w:w="721" w:type="dxa"/>
            <w:tcBorders>
              <w:top w:val="nil"/>
              <w:left w:val="nil"/>
              <w:bottom w:val="single" w:sz="4" w:space="0" w:color="auto"/>
              <w:right w:val="nil"/>
            </w:tcBorders>
            <w:shd w:val="clear" w:color="auto" w:fill="auto"/>
            <w:noWrap/>
            <w:vAlign w:val="bottom"/>
            <w:hideMark/>
          </w:tcPr>
          <w:p w:rsidR="009132EB" w:rsidRPr="00E022BD" w:rsidRDefault="009132EB" w:rsidP="009132EB">
            <w:pPr>
              <w:spacing w:before="40" w:after="40"/>
              <w:jc w:val="left"/>
              <w:rPr>
                <w:rFonts w:ascii="Calibri" w:eastAsia="Times New Roman" w:hAnsi="Calibri" w:cs="Times New Roman"/>
                <w:color w:val="000000"/>
                <w:sz w:val="16"/>
                <w:szCs w:val="16"/>
                <w:lang w:eastAsia="cs-CZ"/>
              </w:rPr>
            </w:pPr>
            <w:r w:rsidRPr="00E022BD">
              <w:rPr>
                <w:rFonts w:ascii="Calibri" w:eastAsia="Times New Roman" w:hAnsi="Calibri" w:cs="Times New Roman"/>
                <w:color w:val="000000"/>
                <w:sz w:val="16"/>
                <w:szCs w:val="16"/>
                <w:lang w:eastAsia="cs-CZ"/>
              </w:rPr>
              <w:t> </w:t>
            </w:r>
          </w:p>
        </w:tc>
        <w:tc>
          <w:tcPr>
            <w:tcW w:w="567" w:type="dxa"/>
            <w:tcBorders>
              <w:top w:val="nil"/>
              <w:left w:val="nil"/>
              <w:bottom w:val="single" w:sz="4" w:space="0" w:color="auto"/>
              <w:right w:val="nil"/>
            </w:tcBorders>
            <w:shd w:val="clear" w:color="auto" w:fill="auto"/>
            <w:noWrap/>
            <w:vAlign w:val="bottom"/>
            <w:hideMark/>
          </w:tcPr>
          <w:p w:rsidR="009132EB" w:rsidRPr="00E022BD" w:rsidRDefault="009132EB" w:rsidP="009132EB">
            <w:pPr>
              <w:spacing w:before="40" w:after="40"/>
              <w:jc w:val="left"/>
              <w:rPr>
                <w:rFonts w:ascii="Calibri" w:eastAsia="Times New Roman" w:hAnsi="Calibri" w:cs="Times New Roman"/>
                <w:color w:val="000000"/>
                <w:sz w:val="16"/>
                <w:szCs w:val="16"/>
                <w:lang w:eastAsia="cs-CZ"/>
              </w:rPr>
            </w:pPr>
            <w:r w:rsidRPr="00E022BD">
              <w:rPr>
                <w:rFonts w:ascii="Calibri" w:eastAsia="Times New Roman" w:hAnsi="Calibri" w:cs="Times New Roman"/>
                <w:color w:val="000000"/>
                <w:sz w:val="16"/>
                <w:szCs w:val="16"/>
                <w:lang w:eastAsia="cs-CZ"/>
              </w:rPr>
              <w:t> </w:t>
            </w:r>
          </w:p>
        </w:tc>
        <w:tc>
          <w:tcPr>
            <w:tcW w:w="659" w:type="dxa"/>
            <w:tcBorders>
              <w:top w:val="nil"/>
              <w:left w:val="nil"/>
              <w:bottom w:val="single" w:sz="4" w:space="0" w:color="auto"/>
              <w:right w:val="nil"/>
            </w:tcBorders>
            <w:shd w:val="clear" w:color="auto" w:fill="auto"/>
            <w:noWrap/>
            <w:vAlign w:val="bottom"/>
            <w:hideMark/>
          </w:tcPr>
          <w:p w:rsidR="009132EB" w:rsidRPr="00E022BD" w:rsidRDefault="009132EB" w:rsidP="009132EB">
            <w:pPr>
              <w:spacing w:before="40" w:after="40"/>
              <w:jc w:val="right"/>
              <w:rPr>
                <w:rFonts w:ascii="Calibri" w:eastAsia="Times New Roman" w:hAnsi="Calibri" w:cs="Times New Roman"/>
                <w:color w:val="000000"/>
                <w:sz w:val="16"/>
                <w:szCs w:val="16"/>
                <w:lang w:eastAsia="cs-CZ"/>
              </w:rPr>
            </w:pPr>
            <w:r w:rsidRPr="00E022BD">
              <w:rPr>
                <w:rFonts w:ascii="Calibri" w:eastAsia="Times New Roman" w:hAnsi="Calibri" w:cs="Times New Roman"/>
                <w:color w:val="000000"/>
                <w:sz w:val="16"/>
                <w:szCs w:val="16"/>
                <w:lang w:eastAsia="cs-CZ"/>
              </w:rPr>
              <w:t>1 289</w:t>
            </w:r>
          </w:p>
        </w:tc>
        <w:tc>
          <w:tcPr>
            <w:tcW w:w="617" w:type="dxa"/>
            <w:tcBorders>
              <w:top w:val="nil"/>
              <w:left w:val="nil"/>
              <w:bottom w:val="single" w:sz="4" w:space="0" w:color="auto"/>
              <w:right w:val="nil"/>
            </w:tcBorders>
            <w:shd w:val="clear" w:color="auto" w:fill="auto"/>
            <w:noWrap/>
            <w:vAlign w:val="bottom"/>
            <w:hideMark/>
          </w:tcPr>
          <w:p w:rsidR="009132EB" w:rsidRPr="00E022BD" w:rsidRDefault="009132EB" w:rsidP="009132EB">
            <w:pPr>
              <w:spacing w:before="40" w:after="40"/>
              <w:jc w:val="left"/>
              <w:rPr>
                <w:rFonts w:ascii="Calibri" w:eastAsia="Times New Roman" w:hAnsi="Calibri" w:cs="Times New Roman"/>
                <w:color w:val="000000"/>
                <w:sz w:val="16"/>
                <w:szCs w:val="16"/>
                <w:lang w:eastAsia="cs-CZ"/>
              </w:rPr>
            </w:pPr>
            <w:r w:rsidRPr="00E022BD">
              <w:rPr>
                <w:rFonts w:ascii="Calibri" w:eastAsia="Times New Roman" w:hAnsi="Calibri" w:cs="Times New Roman"/>
                <w:color w:val="000000"/>
                <w:sz w:val="16"/>
                <w:szCs w:val="16"/>
                <w:lang w:eastAsia="cs-CZ"/>
              </w:rPr>
              <w:t> </w:t>
            </w:r>
          </w:p>
        </w:tc>
        <w:tc>
          <w:tcPr>
            <w:tcW w:w="749" w:type="dxa"/>
            <w:tcBorders>
              <w:top w:val="nil"/>
              <w:left w:val="nil"/>
              <w:bottom w:val="single" w:sz="4" w:space="0" w:color="auto"/>
              <w:right w:val="nil"/>
            </w:tcBorders>
            <w:shd w:val="clear" w:color="auto" w:fill="auto"/>
            <w:noWrap/>
            <w:vAlign w:val="bottom"/>
            <w:hideMark/>
          </w:tcPr>
          <w:p w:rsidR="009132EB" w:rsidRPr="00E022BD" w:rsidRDefault="009132EB" w:rsidP="009132EB">
            <w:pPr>
              <w:spacing w:before="40" w:after="40"/>
              <w:jc w:val="left"/>
              <w:rPr>
                <w:rFonts w:ascii="Calibri" w:eastAsia="Times New Roman" w:hAnsi="Calibri" w:cs="Times New Roman"/>
                <w:color w:val="000000"/>
                <w:sz w:val="16"/>
                <w:szCs w:val="16"/>
                <w:lang w:eastAsia="cs-CZ"/>
              </w:rPr>
            </w:pPr>
            <w:r w:rsidRPr="00E022BD">
              <w:rPr>
                <w:rFonts w:ascii="Calibri" w:eastAsia="Times New Roman" w:hAnsi="Calibri" w:cs="Times New Roman"/>
                <w:color w:val="000000"/>
                <w:sz w:val="16"/>
                <w:szCs w:val="16"/>
                <w:lang w:eastAsia="cs-CZ"/>
              </w:rPr>
              <w:t> </w:t>
            </w:r>
          </w:p>
        </w:tc>
        <w:tc>
          <w:tcPr>
            <w:tcW w:w="789" w:type="dxa"/>
            <w:tcBorders>
              <w:top w:val="nil"/>
              <w:left w:val="nil"/>
              <w:bottom w:val="single" w:sz="4" w:space="0" w:color="auto"/>
              <w:right w:val="nil"/>
            </w:tcBorders>
            <w:shd w:val="clear" w:color="auto" w:fill="auto"/>
            <w:noWrap/>
            <w:vAlign w:val="bottom"/>
            <w:hideMark/>
          </w:tcPr>
          <w:p w:rsidR="009132EB" w:rsidRPr="00E022BD" w:rsidRDefault="009132EB" w:rsidP="009132EB">
            <w:pPr>
              <w:spacing w:before="40" w:after="40"/>
              <w:jc w:val="left"/>
              <w:rPr>
                <w:rFonts w:ascii="Calibri" w:eastAsia="Times New Roman" w:hAnsi="Calibri" w:cs="Times New Roman"/>
                <w:color w:val="000000"/>
                <w:sz w:val="16"/>
                <w:szCs w:val="16"/>
                <w:lang w:eastAsia="cs-CZ"/>
              </w:rPr>
            </w:pPr>
            <w:r w:rsidRPr="00E022BD">
              <w:rPr>
                <w:rFonts w:ascii="Calibri" w:eastAsia="Times New Roman" w:hAnsi="Calibri" w:cs="Times New Roman"/>
                <w:color w:val="000000"/>
                <w:sz w:val="16"/>
                <w:szCs w:val="16"/>
                <w:lang w:eastAsia="cs-CZ"/>
              </w:rPr>
              <w:t> </w:t>
            </w:r>
          </w:p>
        </w:tc>
        <w:tc>
          <w:tcPr>
            <w:tcW w:w="588" w:type="dxa"/>
            <w:tcBorders>
              <w:top w:val="nil"/>
              <w:left w:val="nil"/>
              <w:bottom w:val="single" w:sz="4" w:space="0" w:color="auto"/>
              <w:right w:val="nil"/>
            </w:tcBorders>
            <w:shd w:val="clear" w:color="auto" w:fill="auto"/>
            <w:noWrap/>
            <w:vAlign w:val="bottom"/>
            <w:hideMark/>
          </w:tcPr>
          <w:p w:rsidR="009132EB" w:rsidRPr="00E022BD" w:rsidRDefault="009132EB" w:rsidP="009132EB">
            <w:pPr>
              <w:spacing w:before="40" w:after="40"/>
              <w:jc w:val="left"/>
              <w:rPr>
                <w:rFonts w:ascii="Calibri" w:eastAsia="Times New Roman" w:hAnsi="Calibri" w:cs="Times New Roman"/>
                <w:color w:val="000000"/>
                <w:sz w:val="16"/>
                <w:szCs w:val="16"/>
                <w:lang w:eastAsia="cs-CZ"/>
              </w:rPr>
            </w:pPr>
            <w:r w:rsidRPr="00E022BD">
              <w:rPr>
                <w:rFonts w:ascii="Calibri" w:eastAsia="Times New Roman" w:hAnsi="Calibri" w:cs="Times New Roman"/>
                <w:color w:val="000000"/>
                <w:sz w:val="16"/>
                <w:szCs w:val="16"/>
                <w:lang w:eastAsia="cs-CZ"/>
              </w:rPr>
              <w:t> </w:t>
            </w:r>
          </w:p>
        </w:tc>
        <w:tc>
          <w:tcPr>
            <w:tcW w:w="583" w:type="dxa"/>
            <w:tcBorders>
              <w:top w:val="nil"/>
              <w:left w:val="nil"/>
              <w:bottom w:val="single" w:sz="4" w:space="0" w:color="auto"/>
              <w:right w:val="nil"/>
            </w:tcBorders>
            <w:shd w:val="clear" w:color="auto" w:fill="auto"/>
            <w:noWrap/>
            <w:vAlign w:val="bottom"/>
            <w:hideMark/>
          </w:tcPr>
          <w:p w:rsidR="009132EB" w:rsidRPr="00E022BD" w:rsidRDefault="009132EB" w:rsidP="009132EB">
            <w:pPr>
              <w:spacing w:before="40" w:after="40"/>
              <w:jc w:val="left"/>
              <w:rPr>
                <w:rFonts w:ascii="Calibri" w:eastAsia="Times New Roman" w:hAnsi="Calibri" w:cs="Times New Roman"/>
                <w:color w:val="000000"/>
                <w:sz w:val="16"/>
                <w:szCs w:val="16"/>
                <w:lang w:eastAsia="cs-CZ"/>
              </w:rPr>
            </w:pPr>
            <w:r w:rsidRPr="00E022BD">
              <w:rPr>
                <w:rFonts w:ascii="Calibri" w:eastAsia="Times New Roman" w:hAnsi="Calibri" w:cs="Times New Roman"/>
                <w:color w:val="000000"/>
                <w:sz w:val="16"/>
                <w:szCs w:val="16"/>
                <w:lang w:eastAsia="cs-CZ"/>
              </w:rPr>
              <w:t> </w:t>
            </w:r>
          </w:p>
        </w:tc>
        <w:tc>
          <w:tcPr>
            <w:tcW w:w="682" w:type="dxa"/>
            <w:tcBorders>
              <w:top w:val="nil"/>
              <w:left w:val="nil"/>
              <w:bottom w:val="single" w:sz="4" w:space="0" w:color="auto"/>
              <w:right w:val="nil"/>
            </w:tcBorders>
            <w:shd w:val="clear" w:color="auto" w:fill="auto"/>
            <w:noWrap/>
            <w:vAlign w:val="bottom"/>
            <w:hideMark/>
          </w:tcPr>
          <w:p w:rsidR="009132EB" w:rsidRPr="00E022BD" w:rsidRDefault="009132EB" w:rsidP="009132EB">
            <w:pPr>
              <w:spacing w:before="40" w:after="40"/>
              <w:jc w:val="right"/>
              <w:rPr>
                <w:rFonts w:ascii="Calibri" w:eastAsia="Times New Roman" w:hAnsi="Calibri" w:cs="Times New Roman"/>
                <w:color w:val="000000"/>
                <w:sz w:val="16"/>
                <w:szCs w:val="16"/>
                <w:lang w:eastAsia="cs-CZ"/>
              </w:rPr>
            </w:pPr>
            <w:r w:rsidRPr="00E022BD">
              <w:rPr>
                <w:rFonts w:ascii="Calibri" w:eastAsia="Times New Roman" w:hAnsi="Calibri" w:cs="Times New Roman"/>
                <w:color w:val="000000"/>
                <w:sz w:val="16"/>
                <w:szCs w:val="16"/>
                <w:lang w:eastAsia="cs-CZ"/>
              </w:rPr>
              <w:t>345</w:t>
            </w:r>
          </w:p>
        </w:tc>
        <w:tc>
          <w:tcPr>
            <w:tcW w:w="722" w:type="dxa"/>
            <w:tcBorders>
              <w:top w:val="nil"/>
              <w:left w:val="nil"/>
              <w:bottom w:val="single" w:sz="4" w:space="0" w:color="auto"/>
              <w:right w:val="nil"/>
            </w:tcBorders>
            <w:shd w:val="clear" w:color="auto" w:fill="auto"/>
            <w:noWrap/>
            <w:vAlign w:val="bottom"/>
            <w:hideMark/>
          </w:tcPr>
          <w:p w:rsidR="009132EB" w:rsidRPr="00E022BD" w:rsidRDefault="009132EB" w:rsidP="009132EB">
            <w:pPr>
              <w:spacing w:before="40" w:after="40"/>
              <w:jc w:val="right"/>
              <w:rPr>
                <w:rFonts w:ascii="Calibri" w:eastAsia="Times New Roman" w:hAnsi="Calibri" w:cs="Times New Roman"/>
                <w:color w:val="000000"/>
                <w:sz w:val="16"/>
                <w:szCs w:val="16"/>
                <w:lang w:eastAsia="cs-CZ"/>
              </w:rPr>
            </w:pPr>
            <w:r w:rsidRPr="00E022BD">
              <w:rPr>
                <w:rFonts w:ascii="Calibri" w:eastAsia="Times New Roman" w:hAnsi="Calibri" w:cs="Times New Roman"/>
                <w:color w:val="000000"/>
                <w:sz w:val="16"/>
                <w:szCs w:val="16"/>
                <w:lang w:eastAsia="cs-CZ"/>
              </w:rPr>
              <w:t>4 030</w:t>
            </w:r>
          </w:p>
        </w:tc>
      </w:tr>
    </w:tbl>
    <w:p w:rsidR="00D07013" w:rsidRDefault="00D07013" w:rsidP="00D07013">
      <w:r w:rsidRPr="00E022BD">
        <w:t xml:space="preserve">Paralelní financování organizačních jednotek MV a </w:t>
      </w:r>
      <w:r>
        <w:t xml:space="preserve">dalších </w:t>
      </w:r>
      <w:r w:rsidRPr="00E022BD">
        <w:t xml:space="preserve">institucí, které jsou příjemci financování MV, je uvedeno v </w:t>
      </w:r>
      <w:r>
        <w:fldChar w:fldCharType="begin"/>
      </w:r>
      <w:r>
        <w:instrText xml:space="preserve"> REF  _Ref450310709 \* Lower \h  \* MERGEFORMAT </w:instrText>
      </w:r>
      <w:r>
        <w:fldChar w:fldCharType="separate"/>
      </w:r>
      <w:r w:rsidR="003F08E5">
        <w:t xml:space="preserve">tab. </w:t>
      </w:r>
      <w:r w:rsidR="003F08E5">
        <w:rPr>
          <w:noProof/>
        </w:rPr>
        <w:t>11</w:t>
      </w:r>
      <w:r>
        <w:fldChar w:fldCharType="end"/>
      </w:r>
      <w:r>
        <w:t>. Z tabulky je patrné, že o</w:t>
      </w:r>
      <w:r w:rsidRPr="00E022BD">
        <w:t xml:space="preserve">rganizační jednotky MV jsou v účelovém financování </w:t>
      </w:r>
      <w:r>
        <w:t xml:space="preserve">VaV </w:t>
      </w:r>
      <w:r w:rsidRPr="00E022BD">
        <w:t xml:space="preserve">zcela závislé na své mateřské instituci (nepatrnou výjimkou je Kriminalistický ústav, který obdržel v roce 2010 50 tisíc Kč mimo zdroje MV). </w:t>
      </w:r>
      <w:r>
        <w:t xml:space="preserve">Také v případě SÚBCHJB </w:t>
      </w:r>
      <w:r w:rsidR="002B0451">
        <w:t xml:space="preserve">byla </w:t>
      </w:r>
      <w:r>
        <w:t>téměř veškerá ú</w:t>
      </w:r>
      <w:r w:rsidRPr="00E022BD">
        <w:t>čelov</w:t>
      </w:r>
      <w:r>
        <w:t xml:space="preserve">á podpora </w:t>
      </w:r>
      <w:r w:rsidRPr="00E022BD">
        <w:t xml:space="preserve"> </w:t>
      </w:r>
      <w:r>
        <w:t>VaV získána z programů BV v gesci MV.</w:t>
      </w:r>
    </w:p>
    <w:p w:rsidR="009132EB" w:rsidRDefault="00D07013" w:rsidP="001271C5">
      <w:r>
        <w:lastRenderedPageBreak/>
        <w:t>Poněkud aktivnější v jiných programech VaV je SÚRO, kde účelová podpora získaná z jiných programů se v letech 2010 – 2015 pohybovala mezi 30 % a 40 %.</w:t>
      </w:r>
      <w:r w:rsidRPr="00E022BD">
        <w:t xml:space="preserve"> Jedinou institucí v gesci MV, u které ve sledovaném období MV nebylo dominantním sponzorem výzkumných projektů, byl Národní archiv, který obdržel přibližně tři čtvrtiny účelových prostředků ze zdrojů mimo MV</w:t>
      </w:r>
      <w:r>
        <w:t xml:space="preserve"> (viz </w:t>
      </w:r>
      <w:r>
        <w:fldChar w:fldCharType="begin"/>
      </w:r>
      <w:r>
        <w:instrText xml:space="preserve"> REF  _Ref450310709 \* Lower \h  \* MERGEFORMAT </w:instrText>
      </w:r>
      <w:r>
        <w:fldChar w:fldCharType="separate"/>
      </w:r>
      <w:r w:rsidR="003F08E5">
        <w:t xml:space="preserve">tab. </w:t>
      </w:r>
      <w:r w:rsidR="003F08E5">
        <w:rPr>
          <w:noProof/>
        </w:rPr>
        <w:t>11</w:t>
      </w:r>
      <w:r>
        <w:fldChar w:fldCharType="end"/>
      </w:r>
      <w:r>
        <w:t>). Detailnější informace o veřejné podpoře z programů BV j</w:t>
      </w:r>
      <w:r w:rsidR="007B22BF">
        <w:t>sou</w:t>
      </w:r>
      <w:r>
        <w:t xml:space="preserve"> </w:t>
      </w:r>
      <w:r w:rsidR="007B22BF">
        <w:t>uvedeny v přílohách</w:t>
      </w:r>
      <w:r w:rsidRPr="002B0120">
        <w:t xml:space="preserve"> </w:t>
      </w:r>
      <w:r w:rsidRPr="002B0120">
        <w:rPr>
          <w:i/>
        </w:rPr>
        <w:t>P 2</w:t>
      </w:r>
      <w:r w:rsidR="007B22BF">
        <w:rPr>
          <w:i/>
        </w:rPr>
        <w:t>7</w:t>
      </w:r>
      <w:r w:rsidRPr="002B0120">
        <w:rPr>
          <w:i/>
        </w:rPr>
        <w:t xml:space="preserve"> až P 28</w:t>
      </w:r>
      <w:r w:rsidRPr="002B0120">
        <w:t>, včetně</w:t>
      </w:r>
      <w:r>
        <w:t xml:space="preserve"> </w:t>
      </w:r>
      <w:r w:rsidRPr="00E022BD">
        <w:t>detailní</w:t>
      </w:r>
      <w:r>
        <w:t>ho</w:t>
      </w:r>
      <w:r w:rsidRPr="00E022BD">
        <w:t xml:space="preserve"> rozdělení podle roků a širších vědních oborů a průměrn</w:t>
      </w:r>
      <w:r>
        <w:t>é</w:t>
      </w:r>
      <w:r w:rsidRPr="00E022BD">
        <w:t xml:space="preserve"> veřejn</w:t>
      </w:r>
      <w:r>
        <w:t>é</w:t>
      </w:r>
      <w:r w:rsidRPr="00E022BD">
        <w:t xml:space="preserve"> podpo</w:t>
      </w:r>
      <w:r>
        <w:t>ře</w:t>
      </w:r>
      <w:r w:rsidRPr="00E022BD">
        <w:t xml:space="preserve"> na projekt</w:t>
      </w:r>
      <w:r>
        <w:t>.</w:t>
      </w:r>
    </w:p>
    <w:p w:rsidR="009132EB" w:rsidRDefault="009132EB" w:rsidP="009132EB">
      <w:pPr>
        <w:pStyle w:val="Titulek"/>
        <w:keepNext/>
      </w:pPr>
      <w:bookmarkStart w:id="46" w:name="_Ref450310709"/>
      <w:r>
        <w:t xml:space="preserve">Tab. </w:t>
      </w:r>
      <w:r w:rsidR="00990E2D">
        <w:fldChar w:fldCharType="begin"/>
      </w:r>
      <w:r w:rsidR="00990E2D">
        <w:instrText xml:space="preserve"> SEQ Tab. \* ARABIC </w:instrText>
      </w:r>
      <w:r w:rsidR="00990E2D">
        <w:fldChar w:fldCharType="separate"/>
      </w:r>
      <w:r w:rsidR="003F08E5">
        <w:rPr>
          <w:noProof/>
        </w:rPr>
        <w:t>11</w:t>
      </w:r>
      <w:r w:rsidR="00990E2D">
        <w:rPr>
          <w:noProof/>
        </w:rPr>
        <w:fldChar w:fldCharType="end"/>
      </w:r>
      <w:bookmarkEnd w:id="46"/>
      <w:r>
        <w:tab/>
      </w:r>
      <w:r w:rsidRPr="009132EB">
        <w:t>Účelové financování ve vybraných institucích provádějících bezpečnostní výzkum</w:t>
      </w:r>
      <w:r>
        <w:t>. Zdroj: IS VaVaI</w:t>
      </w:r>
    </w:p>
    <w:tbl>
      <w:tblPr>
        <w:tblW w:w="9300" w:type="dxa"/>
        <w:tblInd w:w="55" w:type="dxa"/>
        <w:tblCellMar>
          <w:left w:w="70" w:type="dxa"/>
          <w:right w:w="70" w:type="dxa"/>
        </w:tblCellMar>
        <w:tblLook w:val="04A0" w:firstRow="1" w:lastRow="0" w:firstColumn="1" w:lastColumn="0" w:noHBand="0" w:noVBand="1"/>
      </w:tblPr>
      <w:tblGrid>
        <w:gridCol w:w="2060"/>
        <w:gridCol w:w="2620"/>
        <w:gridCol w:w="960"/>
        <w:gridCol w:w="1260"/>
        <w:gridCol w:w="1180"/>
        <w:gridCol w:w="1220"/>
      </w:tblGrid>
      <w:tr w:rsidR="00107BA8" w:rsidRPr="00107BA8" w:rsidTr="00107BA8">
        <w:trPr>
          <w:trHeight w:val="675"/>
        </w:trPr>
        <w:tc>
          <w:tcPr>
            <w:tcW w:w="20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07BA8" w:rsidRPr="00107BA8" w:rsidRDefault="00107BA8" w:rsidP="00107BA8">
            <w:pPr>
              <w:spacing w:before="0" w:after="0"/>
              <w:jc w:val="center"/>
              <w:rPr>
                <w:rFonts w:ascii="Calibri" w:eastAsia="Times New Roman" w:hAnsi="Calibri" w:cs="Times New Roman"/>
                <w:b/>
                <w:bCs/>
                <w:color w:val="000000"/>
                <w:sz w:val="16"/>
                <w:szCs w:val="16"/>
                <w:lang w:eastAsia="cs-CZ"/>
              </w:rPr>
            </w:pPr>
            <w:r w:rsidRPr="00107BA8">
              <w:rPr>
                <w:rFonts w:ascii="Calibri" w:eastAsia="Times New Roman" w:hAnsi="Calibri" w:cs="Times New Roman"/>
                <w:b/>
                <w:bCs/>
                <w:color w:val="000000"/>
                <w:sz w:val="16"/>
                <w:szCs w:val="16"/>
                <w:lang w:eastAsia="cs-CZ"/>
              </w:rPr>
              <w:t>Instituce</w:t>
            </w:r>
          </w:p>
        </w:tc>
        <w:tc>
          <w:tcPr>
            <w:tcW w:w="2620" w:type="dxa"/>
            <w:tcBorders>
              <w:top w:val="single" w:sz="4" w:space="0" w:color="auto"/>
              <w:left w:val="nil"/>
              <w:bottom w:val="single" w:sz="4" w:space="0" w:color="auto"/>
              <w:right w:val="single" w:sz="4" w:space="0" w:color="auto"/>
            </w:tcBorders>
            <w:shd w:val="clear" w:color="auto" w:fill="auto"/>
            <w:vAlign w:val="center"/>
            <w:hideMark/>
          </w:tcPr>
          <w:p w:rsidR="00107BA8" w:rsidRPr="00107BA8" w:rsidRDefault="00107BA8" w:rsidP="00107BA8">
            <w:pPr>
              <w:spacing w:before="0" w:after="0"/>
              <w:jc w:val="center"/>
              <w:rPr>
                <w:rFonts w:ascii="Calibri" w:eastAsia="Times New Roman" w:hAnsi="Calibri" w:cs="Times New Roman"/>
                <w:b/>
                <w:bCs/>
                <w:color w:val="000000"/>
                <w:sz w:val="16"/>
                <w:szCs w:val="16"/>
                <w:lang w:eastAsia="cs-CZ"/>
              </w:rPr>
            </w:pPr>
            <w:r w:rsidRPr="00107BA8">
              <w:rPr>
                <w:rFonts w:ascii="Calibri" w:eastAsia="Times New Roman" w:hAnsi="Calibri" w:cs="Times New Roman"/>
                <w:b/>
                <w:bCs/>
                <w:color w:val="000000"/>
                <w:sz w:val="16"/>
                <w:szCs w:val="16"/>
                <w:lang w:eastAsia="cs-CZ"/>
              </w:rPr>
              <w:t>Organizační jednotka / VO</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107BA8" w:rsidRPr="00107BA8" w:rsidRDefault="00107BA8" w:rsidP="00107BA8">
            <w:pPr>
              <w:spacing w:before="0" w:after="0"/>
              <w:jc w:val="center"/>
              <w:rPr>
                <w:rFonts w:ascii="Calibri" w:eastAsia="Times New Roman" w:hAnsi="Calibri" w:cs="Times New Roman"/>
                <w:b/>
                <w:bCs/>
                <w:color w:val="000000"/>
                <w:sz w:val="16"/>
                <w:szCs w:val="16"/>
                <w:lang w:eastAsia="cs-CZ"/>
              </w:rPr>
            </w:pPr>
            <w:r w:rsidRPr="00107BA8">
              <w:rPr>
                <w:rFonts w:ascii="Calibri" w:eastAsia="Times New Roman" w:hAnsi="Calibri" w:cs="Times New Roman"/>
                <w:b/>
                <w:bCs/>
                <w:color w:val="000000"/>
                <w:sz w:val="16"/>
                <w:szCs w:val="16"/>
                <w:lang w:eastAsia="cs-CZ"/>
              </w:rPr>
              <w:t>Rok</w:t>
            </w:r>
          </w:p>
        </w:tc>
        <w:tc>
          <w:tcPr>
            <w:tcW w:w="1260" w:type="dxa"/>
            <w:tcBorders>
              <w:top w:val="single" w:sz="4" w:space="0" w:color="auto"/>
              <w:left w:val="nil"/>
              <w:bottom w:val="single" w:sz="4" w:space="0" w:color="auto"/>
              <w:right w:val="single" w:sz="4" w:space="0" w:color="auto"/>
            </w:tcBorders>
            <w:shd w:val="clear" w:color="auto" w:fill="auto"/>
            <w:vAlign w:val="center"/>
            <w:hideMark/>
          </w:tcPr>
          <w:p w:rsidR="00107BA8" w:rsidRPr="00107BA8" w:rsidRDefault="00107BA8" w:rsidP="00107BA8">
            <w:pPr>
              <w:spacing w:before="0" w:after="0"/>
              <w:jc w:val="center"/>
              <w:rPr>
                <w:rFonts w:ascii="Calibri" w:eastAsia="Times New Roman" w:hAnsi="Calibri" w:cs="Times New Roman"/>
                <w:b/>
                <w:bCs/>
                <w:color w:val="000000"/>
                <w:sz w:val="16"/>
                <w:szCs w:val="16"/>
                <w:lang w:eastAsia="cs-CZ"/>
              </w:rPr>
            </w:pPr>
            <w:r w:rsidRPr="00107BA8">
              <w:rPr>
                <w:rFonts w:ascii="Calibri" w:eastAsia="Times New Roman" w:hAnsi="Calibri" w:cs="Times New Roman"/>
                <w:b/>
                <w:bCs/>
                <w:color w:val="000000"/>
                <w:sz w:val="16"/>
                <w:szCs w:val="16"/>
                <w:lang w:eastAsia="cs-CZ"/>
              </w:rPr>
              <w:t>bezpečnostní programy MV            (tisíce Kč)</w:t>
            </w:r>
          </w:p>
        </w:tc>
        <w:tc>
          <w:tcPr>
            <w:tcW w:w="1180" w:type="dxa"/>
            <w:tcBorders>
              <w:top w:val="single" w:sz="4" w:space="0" w:color="auto"/>
              <w:left w:val="nil"/>
              <w:bottom w:val="single" w:sz="4" w:space="0" w:color="auto"/>
              <w:right w:val="single" w:sz="4" w:space="0" w:color="auto"/>
            </w:tcBorders>
            <w:shd w:val="clear" w:color="auto" w:fill="auto"/>
            <w:vAlign w:val="center"/>
            <w:hideMark/>
          </w:tcPr>
          <w:p w:rsidR="00107BA8" w:rsidRPr="00107BA8" w:rsidRDefault="00107BA8" w:rsidP="00107BA8">
            <w:pPr>
              <w:spacing w:before="0" w:after="0"/>
              <w:jc w:val="center"/>
              <w:rPr>
                <w:rFonts w:ascii="Calibri" w:eastAsia="Times New Roman" w:hAnsi="Calibri" w:cs="Times New Roman"/>
                <w:b/>
                <w:bCs/>
                <w:color w:val="000000"/>
                <w:sz w:val="16"/>
                <w:szCs w:val="16"/>
                <w:lang w:eastAsia="cs-CZ"/>
              </w:rPr>
            </w:pPr>
            <w:r w:rsidRPr="00107BA8">
              <w:rPr>
                <w:rFonts w:ascii="Calibri" w:eastAsia="Times New Roman" w:hAnsi="Calibri" w:cs="Times New Roman"/>
                <w:b/>
                <w:bCs/>
                <w:color w:val="000000"/>
                <w:sz w:val="16"/>
                <w:szCs w:val="16"/>
                <w:lang w:eastAsia="cs-CZ"/>
              </w:rPr>
              <w:t>další veřejné prostředky       (tisíce Kč)</w:t>
            </w:r>
          </w:p>
        </w:tc>
        <w:tc>
          <w:tcPr>
            <w:tcW w:w="1220" w:type="dxa"/>
            <w:tcBorders>
              <w:top w:val="single" w:sz="4" w:space="0" w:color="auto"/>
              <w:left w:val="nil"/>
              <w:bottom w:val="single" w:sz="4" w:space="0" w:color="auto"/>
              <w:right w:val="single" w:sz="4" w:space="0" w:color="auto"/>
            </w:tcBorders>
            <w:shd w:val="clear" w:color="auto" w:fill="auto"/>
            <w:vAlign w:val="center"/>
            <w:hideMark/>
          </w:tcPr>
          <w:p w:rsidR="00107BA8" w:rsidRPr="00107BA8" w:rsidRDefault="00107BA8" w:rsidP="00107BA8">
            <w:pPr>
              <w:spacing w:before="0" w:after="0"/>
              <w:jc w:val="center"/>
              <w:rPr>
                <w:rFonts w:ascii="Calibri" w:eastAsia="Times New Roman" w:hAnsi="Calibri" w:cs="Times New Roman"/>
                <w:b/>
                <w:bCs/>
                <w:color w:val="000000"/>
                <w:sz w:val="16"/>
                <w:szCs w:val="16"/>
                <w:lang w:eastAsia="cs-CZ"/>
              </w:rPr>
            </w:pPr>
            <w:r w:rsidRPr="00107BA8">
              <w:rPr>
                <w:rFonts w:ascii="Calibri" w:eastAsia="Times New Roman" w:hAnsi="Calibri" w:cs="Times New Roman"/>
                <w:b/>
                <w:bCs/>
                <w:color w:val="000000"/>
                <w:sz w:val="16"/>
                <w:szCs w:val="16"/>
                <w:lang w:eastAsia="cs-CZ"/>
              </w:rPr>
              <w:t>podíl bezpečnostních programů</w:t>
            </w:r>
          </w:p>
        </w:tc>
      </w:tr>
      <w:tr w:rsidR="00107BA8" w:rsidRPr="00107BA8" w:rsidTr="00107BA8">
        <w:trPr>
          <w:trHeight w:val="199"/>
        </w:trPr>
        <w:tc>
          <w:tcPr>
            <w:tcW w:w="2060"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107BA8" w:rsidRPr="00107BA8" w:rsidRDefault="00107BA8" w:rsidP="00107BA8">
            <w:pPr>
              <w:spacing w:before="0" w:after="0"/>
              <w:jc w:val="lef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Ministerstvo vnitra</w:t>
            </w:r>
          </w:p>
        </w:tc>
        <w:tc>
          <w:tcPr>
            <w:tcW w:w="2620" w:type="dxa"/>
            <w:vMerge w:val="restart"/>
            <w:tcBorders>
              <w:top w:val="nil"/>
              <w:left w:val="single" w:sz="4" w:space="0" w:color="auto"/>
              <w:bottom w:val="single" w:sz="4" w:space="0" w:color="000000"/>
              <w:right w:val="single" w:sz="4" w:space="0" w:color="auto"/>
            </w:tcBorders>
            <w:shd w:val="clear" w:color="auto" w:fill="auto"/>
            <w:vAlign w:val="center"/>
            <w:hideMark/>
          </w:tcPr>
          <w:p w:rsidR="00107BA8" w:rsidRPr="00107BA8" w:rsidRDefault="00107BA8" w:rsidP="00107BA8">
            <w:pPr>
              <w:spacing w:before="0" w:after="0"/>
              <w:jc w:val="lef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Policie ČR Kriminalistický ústav Praha</w:t>
            </w:r>
          </w:p>
        </w:tc>
        <w:tc>
          <w:tcPr>
            <w:tcW w:w="96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center"/>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2010</w:t>
            </w:r>
          </w:p>
        </w:tc>
        <w:tc>
          <w:tcPr>
            <w:tcW w:w="126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4 413</w:t>
            </w:r>
          </w:p>
        </w:tc>
        <w:tc>
          <w:tcPr>
            <w:tcW w:w="118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50</w:t>
            </w:r>
          </w:p>
        </w:tc>
        <w:tc>
          <w:tcPr>
            <w:tcW w:w="122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99%</w:t>
            </w:r>
          </w:p>
        </w:tc>
      </w:tr>
      <w:tr w:rsidR="00107BA8" w:rsidRPr="00107BA8" w:rsidTr="00107BA8">
        <w:trPr>
          <w:trHeight w:val="199"/>
        </w:trPr>
        <w:tc>
          <w:tcPr>
            <w:tcW w:w="2060" w:type="dxa"/>
            <w:vMerge/>
            <w:tcBorders>
              <w:top w:val="nil"/>
              <w:left w:val="single" w:sz="4" w:space="0" w:color="auto"/>
              <w:bottom w:val="single" w:sz="4" w:space="0" w:color="000000"/>
              <w:right w:val="single" w:sz="4" w:space="0" w:color="auto"/>
            </w:tcBorders>
            <w:vAlign w:val="center"/>
            <w:hideMark/>
          </w:tcPr>
          <w:p w:rsidR="00107BA8" w:rsidRPr="00107BA8" w:rsidRDefault="00107BA8" w:rsidP="00107BA8">
            <w:pPr>
              <w:spacing w:before="0" w:after="0"/>
              <w:jc w:val="left"/>
              <w:rPr>
                <w:rFonts w:ascii="Calibri" w:eastAsia="Times New Roman" w:hAnsi="Calibri" w:cs="Times New Roman"/>
                <w:color w:val="000000"/>
                <w:sz w:val="16"/>
                <w:szCs w:val="16"/>
                <w:lang w:eastAsia="cs-CZ"/>
              </w:rPr>
            </w:pPr>
          </w:p>
        </w:tc>
        <w:tc>
          <w:tcPr>
            <w:tcW w:w="2620" w:type="dxa"/>
            <w:vMerge/>
            <w:tcBorders>
              <w:top w:val="nil"/>
              <w:left w:val="single" w:sz="4" w:space="0" w:color="auto"/>
              <w:bottom w:val="single" w:sz="4" w:space="0" w:color="000000"/>
              <w:right w:val="single" w:sz="4" w:space="0" w:color="auto"/>
            </w:tcBorders>
            <w:vAlign w:val="center"/>
            <w:hideMark/>
          </w:tcPr>
          <w:p w:rsidR="00107BA8" w:rsidRPr="00107BA8" w:rsidRDefault="00107BA8" w:rsidP="00107BA8">
            <w:pPr>
              <w:spacing w:before="0" w:after="0"/>
              <w:jc w:val="left"/>
              <w:rPr>
                <w:rFonts w:ascii="Calibri" w:eastAsia="Times New Roman" w:hAnsi="Calibri" w:cs="Times New Roman"/>
                <w:color w:val="000000"/>
                <w:sz w:val="16"/>
                <w:szCs w:val="16"/>
                <w:lang w:eastAsia="cs-CZ"/>
              </w:rPr>
            </w:pPr>
          </w:p>
        </w:tc>
        <w:tc>
          <w:tcPr>
            <w:tcW w:w="96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center"/>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2011</w:t>
            </w:r>
          </w:p>
        </w:tc>
        <w:tc>
          <w:tcPr>
            <w:tcW w:w="126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31 008</w:t>
            </w:r>
          </w:p>
        </w:tc>
        <w:tc>
          <w:tcPr>
            <w:tcW w:w="118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0</w:t>
            </w:r>
          </w:p>
        </w:tc>
        <w:tc>
          <w:tcPr>
            <w:tcW w:w="122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100%</w:t>
            </w:r>
          </w:p>
        </w:tc>
      </w:tr>
      <w:tr w:rsidR="00107BA8" w:rsidRPr="00107BA8" w:rsidTr="00107BA8">
        <w:trPr>
          <w:trHeight w:val="199"/>
        </w:trPr>
        <w:tc>
          <w:tcPr>
            <w:tcW w:w="2060" w:type="dxa"/>
            <w:vMerge/>
            <w:tcBorders>
              <w:top w:val="nil"/>
              <w:left w:val="single" w:sz="4" w:space="0" w:color="auto"/>
              <w:bottom w:val="single" w:sz="4" w:space="0" w:color="000000"/>
              <w:right w:val="single" w:sz="4" w:space="0" w:color="auto"/>
            </w:tcBorders>
            <w:vAlign w:val="center"/>
            <w:hideMark/>
          </w:tcPr>
          <w:p w:rsidR="00107BA8" w:rsidRPr="00107BA8" w:rsidRDefault="00107BA8" w:rsidP="00107BA8">
            <w:pPr>
              <w:spacing w:before="0" w:after="0"/>
              <w:jc w:val="left"/>
              <w:rPr>
                <w:rFonts w:ascii="Calibri" w:eastAsia="Times New Roman" w:hAnsi="Calibri" w:cs="Times New Roman"/>
                <w:color w:val="000000"/>
                <w:sz w:val="16"/>
                <w:szCs w:val="16"/>
                <w:lang w:eastAsia="cs-CZ"/>
              </w:rPr>
            </w:pPr>
          </w:p>
        </w:tc>
        <w:tc>
          <w:tcPr>
            <w:tcW w:w="2620" w:type="dxa"/>
            <w:vMerge/>
            <w:tcBorders>
              <w:top w:val="nil"/>
              <w:left w:val="single" w:sz="4" w:space="0" w:color="auto"/>
              <w:bottom w:val="single" w:sz="4" w:space="0" w:color="000000"/>
              <w:right w:val="single" w:sz="4" w:space="0" w:color="auto"/>
            </w:tcBorders>
            <w:vAlign w:val="center"/>
            <w:hideMark/>
          </w:tcPr>
          <w:p w:rsidR="00107BA8" w:rsidRPr="00107BA8" w:rsidRDefault="00107BA8" w:rsidP="00107BA8">
            <w:pPr>
              <w:spacing w:before="0" w:after="0"/>
              <w:jc w:val="left"/>
              <w:rPr>
                <w:rFonts w:ascii="Calibri" w:eastAsia="Times New Roman" w:hAnsi="Calibri" w:cs="Times New Roman"/>
                <w:color w:val="000000"/>
                <w:sz w:val="16"/>
                <w:szCs w:val="16"/>
                <w:lang w:eastAsia="cs-CZ"/>
              </w:rPr>
            </w:pPr>
          </w:p>
        </w:tc>
        <w:tc>
          <w:tcPr>
            <w:tcW w:w="96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center"/>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2012</w:t>
            </w:r>
          </w:p>
        </w:tc>
        <w:tc>
          <w:tcPr>
            <w:tcW w:w="126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14 726</w:t>
            </w:r>
          </w:p>
        </w:tc>
        <w:tc>
          <w:tcPr>
            <w:tcW w:w="118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0</w:t>
            </w:r>
          </w:p>
        </w:tc>
        <w:tc>
          <w:tcPr>
            <w:tcW w:w="122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100%</w:t>
            </w:r>
          </w:p>
        </w:tc>
      </w:tr>
      <w:tr w:rsidR="00107BA8" w:rsidRPr="00107BA8" w:rsidTr="00107BA8">
        <w:trPr>
          <w:trHeight w:val="199"/>
        </w:trPr>
        <w:tc>
          <w:tcPr>
            <w:tcW w:w="2060" w:type="dxa"/>
            <w:vMerge/>
            <w:tcBorders>
              <w:top w:val="nil"/>
              <w:left w:val="single" w:sz="4" w:space="0" w:color="auto"/>
              <w:bottom w:val="single" w:sz="4" w:space="0" w:color="000000"/>
              <w:right w:val="single" w:sz="4" w:space="0" w:color="auto"/>
            </w:tcBorders>
            <w:vAlign w:val="center"/>
            <w:hideMark/>
          </w:tcPr>
          <w:p w:rsidR="00107BA8" w:rsidRPr="00107BA8" w:rsidRDefault="00107BA8" w:rsidP="00107BA8">
            <w:pPr>
              <w:spacing w:before="0" w:after="0"/>
              <w:jc w:val="left"/>
              <w:rPr>
                <w:rFonts w:ascii="Calibri" w:eastAsia="Times New Roman" w:hAnsi="Calibri" w:cs="Times New Roman"/>
                <w:color w:val="000000"/>
                <w:sz w:val="16"/>
                <w:szCs w:val="16"/>
                <w:lang w:eastAsia="cs-CZ"/>
              </w:rPr>
            </w:pPr>
          </w:p>
        </w:tc>
        <w:tc>
          <w:tcPr>
            <w:tcW w:w="2620" w:type="dxa"/>
            <w:vMerge/>
            <w:tcBorders>
              <w:top w:val="nil"/>
              <w:left w:val="single" w:sz="4" w:space="0" w:color="auto"/>
              <w:bottom w:val="single" w:sz="4" w:space="0" w:color="000000"/>
              <w:right w:val="single" w:sz="4" w:space="0" w:color="auto"/>
            </w:tcBorders>
            <w:vAlign w:val="center"/>
            <w:hideMark/>
          </w:tcPr>
          <w:p w:rsidR="00107BA8" w:rsidRPr="00107BA8" w:rsidRDefault="00107BA8" w:rsidP="00107BA8">
            <w:pPr>
              <w:spacing w:before="0" w:after="0"/>
              <w:jc w:val="left"/>
              <w:rPr>
                <w:rFonts w:ascii="Calibri" w:eastAsia="Times New Roman" w:hAnsi="Calibri" w:cs="Times New Roman"/>
                <w:color w:val="000000"/>
                <w:sz w:val="16"/>
                <w:szCs w:val="16"/>
                <w:lang w:eastAsia="cs-CZ"/>
              </w:rPr>
            </w:pPr>
          </w:p>
        </w:tc>
        <w:tc>
          <w:tcPr>
            <w:tcW w:w="96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center"/>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2013</w:t>
            </w:r>
          </w:p>
        </w:tc>
        <w:tc>
          <w:tcPr>
            <w:tcW w:w="126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11 846</w:t>
            </w:r>
          </w:p>
        </w:tc>
        <w:tc>
          <w:tcPr>
            <w:tcW w:w="118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0</w:t>
            </w:r>
          </w:p>
        </w:tc>
        <w:tc>
          <w:tcPr>
            <w:tcW w:w="122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100%</w:t>
            </w:r>
          </w:p>
        </w:tc>
      </w:tr>
      <w:tr w:rsidR="00107BA8" w:rsidRPr="00107BA8" w:rsidTr="00107BA8">
        <w:trPr>
          <w:trHeight w:val="199"/>
        </w:trPr>
        <w:tc>
          <w:tcPr>
            <w:tcW w:w="2060" w:type="dxa"/>
            <w:vMerge/>
            <w:tcBorders>
              <w:top w:val="nil"/>
              <w:left w:val="single" w:sz="4" w:space="0" w:color="auto"/>
              <w:bottom w:val="single" w:sz="4" w:space="0" w:color="000000"/>
              <w:right w:val="single" w:sz="4" w:space="0" w:color="auto"/>
            </w:tcBorders>
            <w:vAlign w:val="center"/>
            <w:hideMark/>
          </w:tcPr>
          <w:p w:rsidR="00107BA8" w:rsidRPr="00107BA8" w:rsidRDefault="00107BA8" w:rsidP="00107BA8">
            <w:pPr>
              <w:spacing w:before="0" w:after="0"/>
              <w:jc w:val="left"/>
              <w:rPr>
                <w:rFonts w:ascii="Calibri" w:eastAsia="Times New Roman" w:hAnsi="Calibri" w:cs="Times New Roman"/>
                <w:color w:val="000000"/>
                <w:sz w:val="16"/>
                <w:szCs w:val="16"/>
                <w:lang w:eastAsia="cs-CZ"/>
              </w:rPr>
            </w:pPr>
          </w:p>
        </w:tc>
        <w:tc>
          <w:tcPr>
            <w:tcW w:w="2620" w:type="dxa"/>
            <w:vMerge/>
            <w:tcBorders>
              <w:top w:val="nil"/>
              <w:left w:val="single" w:sz="4" w:space="0" w:color="auto"/>
              <w:bottom w:val="single" w:sz="4" w:space="0" w:color="000000"/>
              <w:right w:val="single" w:sz="4" w:space="0" w:color="auto"/>
            </w:tcBorders>
            <w:vAlign w:val="center"/>
            <w:hideMark/>
          </w:tcPr>
          <w:p w:rsidR="00107BA8" w:rsidRPr="00107BA8" w:rsidRDefault="00107BA8" w:rsidP="00107BA8">
            <w:pPr>
              <w:spacing w:before="0" w:after="0"/>
              <w:jc w:val="left"/>
              <w:rPr>
                <w:rFonts w:ascii="Calibri" w:eastAsia="Times New Roman" w:hAnsi="Calibri" w:cs="Times New Roman"/>
                <w:color w:val="000000"/>
                <w:sz w:val="16"/>
                <w:szCs w:val="16"/>
                <w:lang w:eastAsia="cs-CZ"/>
              </w:rPr>
            </w:pPr>
          </w:p>
        </w:tc>
        <w:tc>
          <w:tcPr>
            <w:tcW w:w="96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center"/>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2014</w:t>
            </w:r>
          </w:p>
        </w:tc>
        <w:tc>
          <w:tcPr>
            <w:tcW w:w="126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20 493</w:t>
            </w:r>
          </w:p>
        </w:tc>
        <w:tc>
          <w:tcPr>
            <w:tcW w:w="118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0</w:t>
            </w:r>
          </w:p>
        </w:tc>
        <w:tc>
          <w:tcPr>
            <w:tcW w:w="122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100%</w:t>
            </w:r>
          </w:p>
        </w:tc>
      </w:tr>
      <w:tr w:rsidR="00107BA8" w:rsidRPr="00107BA8" w:rsidTr="00107BA8">
        <w:trPr>
          <w:trHeight w:val="199"/>
        </w:trPr>
        <w:tc>
          <w:tcPr>
            <w:tcW w:w="2060" w:type="dxa"/>
            <w:vMerge/>
            <w:tcBorders>
              <w:top w:val="nil"/>
              <w:left w:val="single" w:sz="4" w:space="0" w:color="auto"/>
              <w:bottom w:val="single" w:sz="4" w:space="0" w:color="000000"/>
              <w:right w:val="single" w:sz="4" w:space="0" w:color="auto"/>
            </w:tcBorders>
            <w:vAlign w:val="center"/>
            <w:hideMark/>
          </w:tcPr>
          <w:p w:rsidR="00107BA8" w:rsidRPr="00107BA8" w:rsidRDefault="00107BA8" w:rsidP="00107BA8">
            <w:pPr>
              <w:spacing w:before="0" w:after="0"/>
              <w:jc w:val="left"/>
              <w:rPr>
                <w:rFonts w:ascii="Calibri" w:eastAsia="Times New Roman" w:hAnsi="Calibri" w:cs="Times New Roman"/>
                <w:color w:val="000000"/>
                <w:sz w:val="16"/>
                <w:szCs w:val="16"/>
                <w:lang w:eastAsia="cs-CZ"/>
              </w:rPr>
            </w:pPr>
          </w:p>
        </w:tc>
        <w:tc>
          <w:tcPr>
            <w:tcW w:w="2620" w:type="dxa"/>
            <w:vMerge/>
            <w:tcBorders>
              <w:top w:val="nil"/>
              <w:left w:val="single" w:sz="4" w:space="0" w:color="auto"/>
              <w:bottom w:val="single" w:sz="4" w:space="0" w:color="000000"/>
              <w:right w:val="single" w:sz="4" w:space="0" w:color="auto"/>
            </w:tcBorders>
            <w:vAlign w:val="center"/>
            <w:hideMark/>
          </w:tcPr>
          <w:p w:rsidR="00107BA8" w:rsidRPr="00107BA8" w:rsidRDefault="00107BA8" w:rsidP="00107BA8">
            <w:pPr>
              <w:spacing w:before="0" w:after="0"/>
              <w:jc w:val="left"/>
              <w:rPr>
                <w:rFonts w:ascii="Calibri" w:eastAsia="Times New Roman" w:hAnsi="Calibri" w:cs="Times New Roman"/>
                <w:color w:val="000000"/>
                <w:sz w:val="16"/>
                <w:szCs w:val="16"/>
                <w:lang w:eastAsia="cs-CZ"/>
              </w:rPr>
            </w:pPr>
          </w:p>
        </w:tc>
        <w:tc>
          <w:tcPr>
            <w:tcW w:w="96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center"/>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2015</w:t>
            </w:r>
          </w:p>
        </w:tc>
        <w:tc>
          <w:tcPr>
            <w:tcW w:w="126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16 604</w:t>
            </w:r>
          </w:p>
        </w:tc>
        <w:tc>
          <w:tcPr>
            <w:tcW w:w="118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0</w:t>
            </w:r>
          </w:p>
        </w:tc>
        <w:tc>
          <w:tcPr>
            <w:tcW w:w="122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100%</w:t>
            </w:r>
          </w:p>
        </w:tc>
      </w:tr>
      <w:tr w:rsidR="00107BA8" w:rsidRPr="00107BA8" w:rsidTr="00107BA8">
        <w:trPr>
          <w:trHeight w:val="199"/>
        </w:trPr>
        <w:tc>
          <w:tcPr>
            <w:tcW w:w="2060" w:type="dxa"/>
            <w:vMerge/>
            <w:tcBorders>
              <w:top w:val="nil"/>
              <w:left w:val="single" w:sz="4" w:space="0" w:color="auto"/>
              <w:bottom w:val="single" w:sz="4" w:space="0" w:color="000000"/>
              <w:right w:val="single" w:sz="4" w:space="0" w:color="auto"/>
            </w:tcBorders>
            <w:vAlign w:val="center"/>
            <w:hideMark/>
          </w:tcPr>
          <w:p w:rsidR="00107BA8" w:rsidRPr="00107BA8" w:rsidRDefault="00107BA8" w:rsidP="00107BA8">
            <w:pPr>
              <w:spacing w:before="0" w:after="0"/>
              <w:jc w:val="left"/>
              <w:rPr>
                <w:rFonts w:ascii="Calibri" w:eastAsia="Times New Roman" w:hAnsi="Calibri" w:cs="Times New Roman"/>
                <w:color w:val="000000"/>
                <w:sz w:val="16"/>
                <w:szCs w:val="16"/>
                <w:lang w:eastAsia="cs-CZ"/>
              </w:rPr>
            </w:pPr>
          </w:p>
        </w:tc>
        <w:tc>
          <w:tcPr>
            <w:tcW w:w="2620" w:type="dxa"/>
            <w:vMerge/>
            <w:tcBorders>
              <w:top w:val="nil"/>
              <w:left w:val="single" w:sz="4" w:space="0" w:color="auto"/>
              <w:bottom w:val="single" w:sz="4" w:space="0" w:color="000000"/>
              <w:right w:val="single" w:sz="4" w:space="0" w:color="auto"/>
            </w:tcBorders>
            <w:vAlign w:val="center"/>
            <w:hideMark/>
          </w:tcPr>
          <w:p w:rsidR="00107BA8" w:rsidRPr="00107BA8" w:rsidRDefault="00107BA8" w:rsidP="00107BA8">
            <w:pPr>
              <w:spacing w:before="0" w:after="0"/>
              <w:jc w:val="left"/>
              <w:rPr>
                <w:rFonts w:ascii="Calibri" w:eastAsia="Times New Roman" w:hAnsi="Calibri" w:cs="Times New Roman"/>
                <w:color w:val="000000"/>
                <w:sz w:val="16"/>
                <w:szCs w:val="16"/>
                <w:lang w:eastAsia="cs-CZ"/>
              </w:rPr>
            </w:pPr>
          </w:p>
        </w:tc>
        <w:tc>
          <w:tcPr>
            <w:tcW w:w="96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center"/>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2016</w:t>
            </w:r>
          </w:p>
        </w:tc>
        <w:tc>
          <w:tcPr>
            <w:tcW w:w="126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39 724</w:t>
            </w:r>
          </w:p>
        </w:tc>
        <w:tc>
          <w:tcPr>
            <w:tcW w:w="118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0</w:t>
            </w:r>
          </w:p>
        </w:tc>
        <w:tc>
          <w:tcPr>
            <w:tcW w:w="122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100%</w:t>
            </w:r>
          </w:p>
        </w:tc>
      </w:tr>
      <w:tr w:rsidR="00107BA8" w:rsidRPr="00107BA8" w:rsidTr="00107BA8">
        <w:trPr>
          <w:trHeight w:val="199"/>
        </w:trPr>
        <w:tc>
          <w:tcPr>
            <w:tcW w:w="2060" w:type="dxa"/>
            <w:vMerge/>
            <w:tcBorders>
              <w:top w:val="nil"/>
              <w:left w:val="single" w:sz="4" w:space="0" w:color="auto"/>
              <w:bottom w:val="single" w:sz="4" w:space="0" w:color="000000"/>
              <w:right w:val="single" w:sz="4" w:space="0" w:color="auto"/>
            </w:tcBorders>
            <w:vAlign w:val="center"/>
            <w:hideMark/>
          </w:tcPr>
          <w:p w:rsidR="00107BA8" w:rsidRPr="00107BA8" w:rsidRDefault="00107BA8" w:rsidP="00107BA8">
            <w:pPr>
              <w:spacing w:before="0" w:after="0"/>
              <w:jc w:val="left"/>
              <w:rPr>
                <w:rFonts w:ascii="Calibri" w:eastAsia="Times New Roman" w:hAnsi="Calibri" w:cs="Times New Roman"/>
                <w:color w:val="000000"/>
                <w:sz w:val="16"/>
                <w:szCs w:val="16"/>
                <w:lang w:eastAsia="cs-CZ"/>
              </w:rPr>
            </w:pPr>
          </w:p>
        </w:tc>
        <w:tc>
          <w:tcPr>
            <w:tcW w:w="2620" w:type="dxa"/>
            <w:vMerge/>
            <w:tcBorders>
              <w:top w:val="nil"/>
              <w:left w:val="single" w:sz="4" w:space="0" w:color="auto"/>
              <w:bottom w:val="single" w:sz="4" w:space="0" w:color="000000"/>
              <w:right w:val="single" w:sz="4" w:space="0" w:color="auto"/>
            </w:tcBorders>
            <w:vAlign w:val="center"/>
            <w:hideMark/>
          </w:tcPr>
          <w:p w:rsidR="00107BA8" w:rsidRPr="00107BA8" w:rsidRDefault="00107BA8" w:rsidP="00107BA8">
            <w:pPr>
              <w:spacing w:before="0" w:after="0"/>
              <w:jc w:val="left"/>
              <w:rPr>
                <w:rFonts w:ascii="Calibri" w:eastAsia="Times New Roman" w:hAnsi="Calibri" w:cs="Times New Roman"/>
                <w:color w:val="000000"/>
                <w:sz w:val="16"/>
                <w:szCs w:val="16"/>
                <w:lang w:eastAsia="cs-CZ"/>
              </w:rPr>
            </w:pPr>
          </w:p>
        </w:tc>
        <w:tc>
          <w:tcPr>
            <w:tcW w:w="96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center"/>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2017</w:t>
            </w:r>
          </w:p>
        </w:tc>
        <w:tc>
          <w:tcPr>
            <w:tcW w:w="126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5 070</w:t>
            </w:r>
          </w:p>
        </w:tc>
        <w:tc>
          <w:tcPr>
            <w:tcW w:w="118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0</w:t>
            </w:r>
          </w:p>
        </w:tc>
        <w:tc>
          <w:tcPr>
            <w:tcW w:w="122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100%</w:t>
            </w:r>
          </w:p>
        </w:tc>
      </w:tr>
      <w:tr w:rsidR="00107BA8" w:rsidRPr="00107BA8" w:rsidTr="00107BA8">
        <w:trPr>
          <w:trHeight w:val="199"/>
        </w:trPr>
        <w:tc>
          <w:tcPr>
            <w:tcW w:w="2060" w:type="dxa"/>
            <w:vMerge/>
            <w:tcBorders>
              <w:top w:val="nil"/>
              <w:left w:val="single" w:sz="4" w:space="0" w:color="auto"/>
              <w:bottom w:val="single" w:sz="4" w:space="0" w:color="000000"/>
              <w:right w:val="single" w:sz="4" w:space="0" w:color="auto"/>
            </w:tcBorders>
            <w:vAlign w:val="center"/>
            <w:hideMark/>
          </w:tcPr>
          <w:p w:rsidR="00107BA8" w:rsidRPr="00107BA8" w:rsidRDefault="00107BA8" w:rsidP="00107BA8">
            <w:pPr>
              <w:spacing w:before="0" w:after="0"/>
              <w:jc w:val="left"/>
              <w:rPr>
                <w:rFonts w:ascii="Calibri" w:eastAsia="Times New Roman" w:hAnsi="Calibri" w:cs="Times New Roman"/>
                <w:color w:val="000000"/>
                <w:sz w:val="16"/>
                <w:szCs w:val="16"/>
                <w:lang w:eastAsia="cs-CZ"/>
              </w:rPr>
            </w:pPr>
          </w:p>
        </w:tc>
        <w:tc>
          <w:tcPr>
            <w:tcW w:w="2620" w:type="dxa"/>
            <w:vMerge/>
            <w:tcBorders>
              <w:top w:val="nil"/>
              <w:left w:val="single" w:sz="4" w:space="0" w:color="auto"/>
              <w:bottom w:val="single" w:sz="4" w:space="0" w:color="000000"/>
              <w:right w:val="single" w:sz="4" w:space="0" w:color="auto"/>
            </w:tcBorders>
            <w:vAlign w:val="center"/>
            <w:hideMark/>
          </w:tcPr>
          <w:p w:rsidR="00107BA8" w:rsidRPr="00107BA8" w:rsidRDefault="00107BA8" w:rsidP="00107BA8">
            <w:pPr>
              <w:spacing w:before="0" w:after="0"/>
              <w:jc w:val="left"/>
              <w:rPr>
                <w:rFonts w:ascii="Calibri" w:eastAsia="Times New Roman" w:hAnsi="Calibri" w:cs="Times New Roman"/>
                <w:color w:val="000000"/>
                <w:sz w:val="16"/>
                <w:szCs w:val="16"/>
                <w:lang w:eastAsia="cs-CZ"/>
              </w:rPr>
            </w:pPr>
          </w:p>
        </w:tc>
        <w:tc>
          <w:tcPr>
            <w:tcW w:w="96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center"/>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2018</w:t>
            </w:r>
          </w:p>
        </w:tc>
        <w:tc>
          <w:tcPr>
            <w:tcW w:w="126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4 810</w:t>
            </w:r>
          </w:p>
        </w:tc>
        <w:tc>
          <w:tcPr>
            <w:tcW w:w="118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0</w:t>
            </w:r>
          </w:p>
        </w:tc>
        <w:tc>
          <w:tcPr>
            <w:tcW w:w="122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100%</w:t>
            </w:r>
          </w:p>
        </w:tc>
      </w:tr>
      <w:tr w:rsidR="00107BA8" w:rsidRPr="00107BA8" w:rsidTr="00107BA8">
        <w:trPr>
          <w:trHeight w:val="199"/>
        </w:trPr>
        <w:tc>
          <w:tcPr>
            <w:tcW w:w="2060" w:type="dxa"/>
            <w:vMerge/>
            <w:tcBorders>
              <w:top w:val="nil"/>
              <w:left w:val="single" w:sz="4" w:space="0" w:color="auto"/>
              <w:bottom w:val="single" w:sz="4" w:space="0" w:color="000000"/>
              <w:right w:val="single" w:sz="4" w:space="0" w:color="auto"/>
            </w:tcBorders>
            <w:vAlign w:val="center"/>
            <w:hideMark/>
          </w:tcPr>
          <w:p w:rsidR="00107BA8" w:rsidRPr="00107BA8" w:rsidRDefault="00107BA8" w:rsidP="00107BA8">
            <w:pPr>
              <w:spacing w:before="0" w:after="0"/>
              <w:jc w:val="left"/>
              <w:rPr>
                <w:rFonts w:ascii="Calibri" w:eastAsia="Times New Roman" w:hAnsi="Calibri" w:cs="Times New Roman"/>
                <w:color w:val="000000"/>
                <w:sz w:val="16"/>
                <w:szCs w:val="16"/>
                <w:lang w:eastAsia="cs-CZ"/>
              </w:rPr>
            </w:pPr>
          </w:p>
        </w:tc>
        <w:tc>
          <w:tcPr>
            <w:tcW w:w="2620" w:type="dxa"/>
            <w:vMerge/>
            <w:tcBorders>
              <w:top w:val="nil"/>
              <w:left w:val="single" w:sz="4" w:space="0" w:color="auto"/>
              <w:bottom w:val="single" w:sz="4" w:space="0" w:color="000000"/>
              <w:right w:val="single" w:sz="4" w:space="0" w:color="auto"/>
            </w:tcBorders>
            <w:vAlign w:val="center"/>
            <w:hideMark/>
          </w:tcPr>
          <w:p w:rsidR="00107BA8" w:rsidRPr="00107BA8" w:rsidRDefault="00107BA8" w:rsidP="00107BA8">
            <w:pPr>
              <w:spacing w:before="0" w:after="0"/>
              <w:jc w:val="left"/>
              <w:rPr>
                <w:rFonts w:ascii="Calibri" w:eastAsia="Times New Roman" w:hAnsi="Calibri" w:cs="Times New Roman"/>
                <w:color w:val="000000"/>
                <w:sz w:val="16"/>
                <w:szCs w:val="16"/>
                <w:lang w:eastAsia="cs-CZ"/>
              </w:rPr>
            </w:pPr>
          </w:p>
        </w:tc>
        <w:tc>
          <w:tcPr>
            <w:tcW w:w="96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center"/>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2019</w:t>
            </w:r>
          </w:p>
        </w:tc>
        <w:tc>
          <w:tcPr>
            <w:tcW w:w="126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4 445</w:t>
            </w:r>
          </w:p>
        </w:tc>
        <w:tc>
          <w:tcPr>
            <w:tcW w:w="118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0</w:t>
            </w:r>
          </w:p>
        </w:tc>
        <w:tc>
          <w:tcPr>
            <w:tcW w:w="122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100%</w:t>
            </w:r>
          </w:p>
        </w:tc>
      </w:tr>
      <w:tr w:rsidR="00107BA8" w:rsidRPr="00107BA8" w:rsidTr="00107BA8">
        <w:trPr>
          <w:trHeight w:val="199"/>
        </w:trPr>
        <w:tc>
          <w:tcPr>
            <w:tcW w:w="2060" w:type="dxa"/>
            <w:vMerge/>
            <w:tcBorders>
              <w:top w:val="nil"/>
              <w:left w:val="single" w:sz="4" w:space="0" w:color="auto"/>
              <w:bottom w:val="single" w:sz="4" w:space="0" w:color="000000"/>
              <w:right w:val="single" w:sz="4" w:space="0" w:color="auto"/>
            </w:tcBorders>
            <w:vAlign w:val="center"/>
            <w:hideMark/>
          </w:tcPr>
          <w:p w:rsidR="00107BA8" w:rsidRPr="00107BA8" w:rsidRDefault="00107BA8" w:rsidP="00107BA8">
            <w:pPr>
              <w:spacing w:before="0" w:after="0"/>
              <w:jc w:val="left"/>
              <w:rPr>
                <w:rFonts w:ascii="Calibri" w:eastAsia="Times New Roman" w:hAnsi="Calibri" w:cs="Times New Roman"/>
                <w:color w:val="000000"/>
                <w:sz w:val="16"/>
                <w:szCs w:val="16"/>
                <w:lang w:eastAsia="cs-CZ"/>
              </w:rPr>
            </w:pPr>
          </w:p>
        </w:tc>
        <w:tc>
          <w:tcPr>
            <w:tcW w:w="2620" w:type="dxa"/>
            <w:vMerge/>
            <w:tcBorders>
              <w:top w:val="nil"/>
              <w:left w:val="single" w:sz="4" w:space="0" w:color="auto"/>
              <w:bottom w:val="single" w:sz="4" w:space="0" w:color="000000"/>
              <w:right w:val="single" w:sz="4" w:space="0" w:color="auto"/>
            </w:tcBorders>
            <w:vAlign w:val="center"/>
            <w:hideMark/>
          </w:tcPr>
          <w:p w:rsidR="00107BA8" w:rsidRPr="00107BA8" w:rsidRDefault="00107BA8" w:rsidP="00107BA8">
            <w:pPr>
              <w:spacing w:before="0" w:after="0"/>
              <w:jc w:val="left"/>
              <w:rPr>
                <w:rFonts w:ascii="Calibri" w:eastAsia="Times New Roman" w:hAnsi="Calibri" w:cs="Times New Roman"/>
                <w:color w:val="000000"/>
                <w:sz w:val="16"/>
                <w:szCs w:val="16"/>
                <w:lang w:eastAsia="cs-CZ"/>
              </w:rPr>
            </w:pPr>
          </w:p>
        </w:tc>
        <w:tc>
          <w:tcPr>
            <w:tcW w:w="96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center"/>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2020</w:t>
            </w:r>
          </w:p>
        </w:tc>
        <w:tc>
          <w:tcPr>
            <w:tcW w:w="126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3 648</w:t>
            </w:r>
          </w:p>
        </w:tc>
        <w:tc>
          <w:tcPr>
            <w:tcW w:w="118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0</w:t>
            </w:r>
          </w:p>
        </w:tc>
        <w:tc>
          <w:tcPr>
            <w:tcW w:w="122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100%</w:t>
            </w:r>
          </w:p>
        </w:tc>
      </w:tr>
      <w:tr w:rsidR="00107BA8" w:rsidRPr="00107BA8" w:rsidTr="00107BA8">
        <w:trPr>
          <w:trHeight w:val="199"/>
        </w:trPr>
        <w:tc>
          <w:tcPr>
            <w:tcW w:w="2060" w:type="dxa"/>
            <w:vMerge/>
            <w:tcBorders>
              <w:top w:val="nil"/>
              <w:left w:val="single" w:sz="4" w:space="0" w:color="auto"/>
              <w:bottom w:val="single" w:sz="4" w:space="0" w:color="000000"/>
              <w:right w:val="single" w:sz="4" w:space="0" w:color="auto"/>
            </w:tcBorders>
            <w:vAlign w:val="center"/>
            <w:hideMark/>
          </w:tcPr>
          <w:p w:rsidR="00107BA8" w:rsidRPr="00107BA8" w:rsidRDefault="00107BA8" w:rsidP="00107BA8">
            <w:pPr>
              <w:spacing w:before="0" w:after="0"/>
              <w:jc w:val="left"/>
              <w:rPr>
                <w:rFonts w:ascii="Calibri" w:eastAsia="Times New Roman" w:hAnsi="Calibri" w:cs="Times New Roman"/>
                <w:color w:val="000000"/>
                <w:sz w:val="16"/>
                <w:szCs w:val="16"/>
                <w:lang w:eastAsia="cs-CZ"/>
              </w:rPr>
            </w:pPr>
          </w:p>
        </w:tc>
        <w:tc>
          <w:tcPr>
            <w:tcW w:w="2620" w:type="dxa"/>
            <w:vMerge w:val="restart"/>
            <w:tcBorders>
              <w:top w:val="nil"/>
              <w:left w:val="single" w:sz="4" w:space="0" w:color="auto"/>
              <w:bottom w:val="single" w:sz="4" w:space="0" w:color="000000"/>
              <w:right w:val="single" w:sz="4" w:space="0" w:color="auto"/>
            </w:tcBorders>
            <w:shd w:val="clear" w:color="auto" w:fill="auto"/>
            <w:vAlign w:val="center"/>
            <w:hideMark/>
          </w:tcPr>
          <w:p w:rsidR="00107BA8" w:rsidRPr="00107BA8" w:rsidRDefault="00107BA8" w:rsidP="00107BA8">
            <w:pPr>
              <w:spacing w:before="0" w:after="0"/>
              <w:jc w:val="lef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Generální ředitelství HZS - Technický ústav požární ochrany</w:t>
            </w:r>
          </w:p>
        </w:tc>
        <w:tc>
          <w:tcPr>
            <w:tcW w:w="96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center"/>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2010</w:t>
            </w:r>
          </w:p>
        </w:tc>
        <w:tc>
          <w:tcPr>
            <w:tcW w:w="126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7 290</w:t>
            </w:r>
          </w:p>
        </w:tc>
        <w:tc>
          <w:tcPr>
            <w:tcW w:w="118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0</w:t>
            </w:r>
          </w:p>
        </w:tc>
        <w:tc>
          <w:tcPr>
            <w:tcW w:w="122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100%</w:t>
            </w:r>
          </w:p>
        </w:tc>
      </w:tr>
      <w:tr w:rsidR="00107BA8" w:rsidRPr="00107BA8" w:rsidTr="00107BA8">
        <w:trPr>
          <w:trHeight w:val="199"/>
        </w:trPr>
        <w:tc>
          <w:tcPr>
            <w:tcW w:w="2060" w:type="dxa"/>
            <w:vMerge/>
            <w:tcBorders>
              <w:top w:val="nil"/>
              <w:left w:val="single" w:sz="4" w:space="0" w:color="auto"/>
              <w:bottom w:val="single" w:sz="4" w:space="0" w:color="000000"/>
              <w:right w:val="single" w:sz="4" w:space="0" w:color="auto"/>
            </w:tcBorders>
            <w:vAlign w:val="center"/>
            <w:hideMark/>
          </w:tcPr>
          <w:p w:rsidR="00107BA8" w:rsidRPr="00107BA8" w:rsidRDefault="00107BA8" w:rsidP="00107BA8">
            <w:pPr>
              <w:spacing w:before="0" w:after="0"/>
              <w:jc w:val="left"/>
              <w:rPr>
                <w:rFonts w:ascii="Calibri" w:eastAsia="Times New Roman" w:hAnsi="Calibri" w:cs="Times New Roman"/>
                <w:color w:val="000000"/>
                <w:sz w:val="16"/>
                <w:szCs w:val="16"/>
                <w:lang w:eastAsia="cs-CZ"/>
              </w:rPr>
            </w:pPr>
          </w:p>
        </w:tc>
        <w:tc>
          <w:tcPr>
            <w:tcW w:w="2620" w:type="dxa"/>
            <w:vMerge/>
            <w:tcBorders>
              <w:top w:val="nil"/>
              <w:left w:val="single" w:sz="4" w:space="0" w:color="auto"/>
              <w:bottom w:val="single" w:sz="4" w:space="0" w:color="000000"/>
              <w:right w:val="single" w:sz="4" w:space="0" w:color="auto"/>
            </w:tcBorders>
            <w:vAlign w:val="center"/>
            <w:hideMark/>
          </w:tcPr>
          <w:p w:rsidR="00107BA8" w:rsidRPr="00107BA8" w:rsidRDefault="00107BA8" w:rsidP="00107BA8">
            <w:pPr>
              <w:spacing w:before="0" w:after="0"/>
              <w:jc w:val="left"/>
              <w:rPr>
                <w:rFonts w:ascii="Calibri" w:eastAsia="Times New Roman" w:hAnsi="Calibri" w:cs="Times New Roman"/>
                <w:color w:val="000000"/>
                <w:sz w:val="16"/>
                <w:szCs w:val="16"/>
                <w:lang w:eastAsia="cs-CZ"/>
              </w:rPr>
            </w:pPr>
          </w:p>
        </w:tc>
        <w:tc>
          <w:tcPr>
            <w:tcW w:w="96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center"/>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2011</w:t>
            </w:r>
          </w:p>
        </w:tc>
        <w:tc>
          <w:tcPr>
            <w:tcW w:w="126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1 447</w:t>
            </w:r>
          </w:p>
        </w:tc>
        <w:tc>
          <w:tcPr>
            <w:tcW w:w="118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0</w:t>
            </w:r>
          </w:p>
        </w:tc>
        <w:tc>
          <w:tcPr>
            <w:tcW w:w="122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100%</w:t>
            </w:r>
          </w:p>
        </w:tc>
      </w:tr>
      <w:tr w:rsidR="00107BA8" w:rsidRPr="00107BA8" w:rsidTr="00107BA8">
        <w:trPr>
          <w:trHeight w:val="199"/>
        </w:trPr>
        <w:tc>
          <w:tcPr>
            <w:tcW w:w="2060" w:type="dxa"/>
            <w:vMerge/>
            <w:tcBorders>
              <w:top w:val="nil"/>
              <w:left w:val="single" w:sz="4" w:space="0" w:color="auto"/>
              <w:bottom w:val="single" w:sz="4" w:space="0" w:color="000000"/>
              <w:right w:val="single" w:sz="4" w:space="0" w:color="auto"/>
            </w:tcBorders>
            <w:vAlign w:val="center"/>
            <w:hideMark/>
          </w:tcPr>
          <w:p w:rsidR="00107BA8" w:rsidRPr="00107BA8" w:rsidRDefault="00107BA8" w:rsidP="00107BA8">
            <w:pPr>
              <w:spacing w:before="0" w:after="0"/>
              <w:jc w:val="left"/>
              <w:rPr>
                <w:rFonts w:ascii="Calibri" w:eastAsia="Times New Roman" w:hAnsi="Calibri" w:cs="Times New Roman"/>
                <w:color w:val="000000"/>
                <w:sz w:val="16"/>
                <w:szCs w:val="16"/>
                <w:lang w:eastAsia="cs-CZ"/>
              </w:rPr>
            </w:pPr>
          </w:p>
        </w:tc>
        <w:tc>
          <w:tcPr>
            <w:tcW w:w="2620" w:type="dxa"/>
            <w:vMerge/>
            <w:tcBorders>
              <w:top w:val="nil"/>
              <w:left w:val="single" w:sz="4" w:space="0" w:color="auto"/>
              <w:bottom w:val="single" w:sz="4" w:space="0" w:color="000000"/>
              <w:right w:val="single" w:sz="4" w:space="0" w:color="auto"/>
            </w:tcBorders>
            <w:vAlign w:val="center"/>
            <w:hideMark/>
          </w:tcPr>
          <w:p w:rsidR="00107BA8" w:rsidRPr="00107BA8" w:rsidRDefault="00107BA8" w:rsidP="00107BA8">
            <w:pPr>
              <w:spacing w:before="0" w:after="0"/>
              <w:jc w:val="left"/>
              <w:rPr>
                <w:rFonts w:ascii="Calibri" w:eastAsia="Times New Roman" w:hAnsi="Calibri" w:cs="Times New Roman"/>
                <w:color w:val="000000"/>
                <w:sz w:val="16"/>
                <w:szCs w:val="16"/>
                <w:lang w:eastAsia="cs-CZ"/>
              </w:rPr>
            </w:pPr>
          </w:p>
        </w:tc>
        <w:tc>
          <w:tcPr>
            <w:tcW w:w="96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center"/>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2012</w:t>
            </w:r>
          </w:p>
        </w:tc>
        <w:tc>
          <w:tcPr>
            <w:tcW w:w="126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6 901</w:t>
            </w:r>
          </w:p>
        </w:tc>
        <w:tc>
          <w:tcPr>
            <w:tcW w:w="118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0</w:t>
            </w:r>
          </w:p>
        </w:tc>
        <w:tc>
          <w:tcPr>
            <w:tcW w:w="122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100%</w:t>
            </w:r>
          </w:p>
        </w:tc>
      </w:tr>
      <w:tr w:rsidR="00107BA8" w:rsidRPr="00107BA8" w:rsidTr="00107BA8">
        <w:trPr>
          <w:trHeight w:val="199"/>
        </w:trPr>
        <w:tc>
          <w:tcPr>
            <w:tcW w:w="2060" w:type="dxa"/>
            <w:vMerge/>
            <w:tcBorders>
              <w:top w:val="nil"/>
              <w:left w:val="single" w:sz="4" w:space="0" w:color="auto"/>
              <w:bottom w:val="single" w:sz="4" w:space="0" w:color="000000"/>
              <w:right w:val="single" w:sz="4" w:space="0" w:color="auto"/>
            </w:tcBorders>
            <w:vAlign w:val="center"/>
            <w:hideMark/>
          </w:tcPr>
          <w:p w:rsidR="00107BA8" w:rsidRPr="00107BA8" w:rsidRDefault="00107BA8" w:rsidP="00107BA8">
            <w:pPr>
              <w:spacing w:before="0" w:after="0"/>
              <w:jc w:val="left"/>
              <w:rPr>
                <w:rFonts w:ascii="Calibri" w:eastAsia="Times New Roman" w:hAnsi="Calibri" w:cs="Times New Roman"/>
                <w:color w:val="000000"/>
                <w:sz w:val="16"/>
                <w:szCs w:val="16"/>
                <w:lang w:eastAsia="cs-CZ"/>
              </w:rPr>
            </w:pPr>
          </w:p>
        </w:tc>
        <w:tc>
          <w:tcPr>
            <w:tcW w:w="2620" w:type="dxa"/>
            <w:vMerge/>
            <w:tcBorders>
              <w:top w:val="nil"/>
              <w:left w:val="single" w:sz="4" w:space="0" w:color="auto"/>
              <w:bottom w:val="single" w:sz="4" w:space="0" w:color="000000"/>
              <w:right w:val="single" w:sz="4" w:space="0" w:color="auto"/>
            </w:tcBorders>
            <w:vAlign w:val="center"/>
            <w:hideMark/>
          </w:tcPr>
          <w:p w:rsidR="00107BA8" w:rsidRPr="00107BA8" w:rsidRDefault="00107BA8" w:rsidP="00107BA8">
            <w:pPr>
              <w:spacing w:before="0" w:after="0"/>
              <w:jc w:val="left"/>
              <w:rPr>
                <w:rFonts w:ascii="Calibri" w:eastAsia="Times New Roman" w:hAnsi="Calibri" w:cs="Times New Roman"/>
                <w:color w:val="000000"/>
                <w:sz w:val="16"/>
                <w:szCs w:val="16"/>
                <w:lang w:eastAsia="cs-CZ"/>
              </w:rPr>
            </w:pPr>
          </w:p>
        </w:tc>
        <w:tc>
          <w:tcPr>
            <w:tcW w:w="96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center"/>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2013</w:t>
            </w:r>
          </w:p>
        </w:tc>
        <w:tc>
          <w:tcPr>
            <w:tcW w:w="126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4 489</w:t>
            </w:r>
          </w:p>
        </w:tc>
        <w:tc>
          <w:tcPr>
            <w:tcW w:w="118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0</w:t>
            </w:r>
          </w:p>
        </w:tc>
        <w:tc>
          <w:tcPr>
            <w:tcW w:w="122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100%</w:t>
            </w:r>
          </w:p>
        </w:tc>
      </w:tr>
      <w:tr w:rsidR="00107BA8" w:rsidRPr="00107BA8" w:rsidTr="00107BA8">
        <w:trPr>
          <w:trHeight w:val="199"/>
        </w:trPr>
        <w:tc>
          <w:tcPr>
            <w:tcW w:w="2060" w:type="dxa"/>
            <w:vMerge/>
            <w:tcBorders>
              <w:top w:val="nil"/>
              <w:left w:val="single" w:sz="4" w:space="0" w:color="auto"/>
              <w:bottom w:val="single" w:sz="4" w:space="0" w:color="000000"/>
              <w:right w:val="single" w:sz="4" w:space="0" w:color="auto"/>
            </w:tcBorders>
            <w:vAlign w:val="center"/>
            <w:hideMark/>
          </w:tcPr>
          <w:p w:rsidR="00107BA8" w:rsidRPr="00107BA8" w:rsidRDefault="00107BA8" w:rsidP="00107BA8">
            <w:pPr>
              <w:spacing w:before="0" w:after="0"/>
              <w:jc w:val="left"/>
              <w:rPr>
                <w:rFonts w:ascii="Calibri" w:eastAsia="Times New Roman" w:hAnsi="Calibri" w:cs="Times New Roman"/>
                <w:color w:val="000000"/>
                <w:sz w:val="16"/>
                <w:szCs w:val="16"/>
                <w:lang w:eastAsia="cs-CZ"/>
              </w:rPr>
            </w:pPr>
          </w:p>
        </w:tc>
        <w:tc>
          <w:tcPr>
            <w:tcW w:w="2620" w:type="dxa"/>
            <w:vMerge/>
            <w:tcBorders>
              <w:top w:val="nil"/>
              <w:left w:val="single" w:sz="4" w:space="0" w:color="auto"/>
              <w:bottom w:val="single" w:sz="4" w:space="0" w:color="000000"/>
              <w:right w:val="single" w:sz="4" w:space="0" w:color="auto"/>
            </w:tcBorders>
            <w:vAlign w:val="center"/>
            <w:hideMark/>
          </w:tcPr>
          <w:p w:rsidR="00107BA8" w:rsidRPr="00107BA8" w:rsidRDefault="00107BA8" w:rsidP="00107BA8">
            <w:pPr>
              <w:spacing w:before="0" w:after="0"/>
              <w:jc w:val="left"/>
              <w:rPr>
                <w:rFonts w:ascii="Calibri" w:eastAsia="Times New Roman" w:hAnsi="Calibri" w:cs="Times New Roman"/>
                <w:color w:val="000000"/>
                <w:sz w:val="16"/>
                <w:szCs w:val="16"/>
                <w:lang w:eastAsia="cs-CZ"/>
              </w:rPr>
            </w:pPr>
          </w:p>
        </w:tc>
        <w:tc>
          <w:tcPr>
            <w:tcW w:w="96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center"/>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2014</w:t>
            </w:r>
          </w:p>
        </w:tc>
        <w:tc>
          <w:tcPr>
            <w:tcW w:w="126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5 923</w:t>
            </w:r>
          </w:p>
        </w:tc>
        <w:tc>
          <w:tcPr>
            <w:tcW w:w="118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0</w:t>
            </w:r>
          </w:p>
        </w:tc>
        <w:tc>
          <w:tcPr>
            <w:tcW w:w="122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100%</w:t>
            </w:r>
          </w:p>
        </w:tc>
      </w:tr>
      <w:tr w:rsidR="00107BA8" w:rsidRPr="00107BA8" w:rsidTr="00107BA8">
        <w:trPr>
          <w:trHeight w:val="199"/>
        </w:trPr>
        <w:tc>
          <w:tcPr>
            <w:tcW w:w="2060" w:type="dxa"/>
            <w:vMerge/>
            <w:tcBorders>
              <w:top w:val="nil"/>
              <w:left w:val="single" w:sz="4" w:space="0" w:color="auto"/>
              <w:bottom w:val="single" w:sz="4" w:space="0" w:color="000000"/>
              <w:right w:val="single" w:sz="4" w:space="0" w:color="auto"/>
            </w:tcBorders>
            <w:vAlign w:val="center"/>
            <w:hideMark/>
          </w:tcPr>
          <w:p w:rsidR="00107BA8" w:rsidRPr="00107BA8" w:rsidRDefault="00107BA8" w:rsidP="00107BA8">
            <w:pPr>
              <w:spacing w:before="0" w:after="0"/>
              <w:jc w:val="left"/>
              <w:rPr>
                <w:rFonts w:ascii="Calibri" w:eastAsia="Times New Roman" w:hAnsi="Calibri" w:cs="Times New Roman"/>
                <w:color w:val="000000"/>
                <w:sz w:val="16"/>
                <w:szCs w:val="16"/>
                <w:lang w:eastAsia="cs-CZ"/>
              </w:rPr>
            </w:pPr>
          </w:p>
        </w:tc>
        <w:tc>
          <w:tcPr>
            <w:tcW w:w="2620" w:type="dxa"/>
            <w:vMerge/>
            <w:tcBorders>
              <w:top w:val="nil"/>
              <w:left w:val="single" w:sz="4" w:space="0" w:color="auto"/>
              <w:bottom w:val="single" w:sz="4" w:space="0" w:color="000000"/>
              <w:right w:val="single" w:sz="4" w:space="0" w:color="auto"/>
            </w:tcBorders>
            <w:vAlign w:val="center"/>
            <w:hideMark/>
          </w:tcPr>
          <w:p w:rsidR="00107BA8" w:rsidRPr="00107BA8" w:rsidRDefault="00107BA8" w:rsidP="00107BA8">
            <w:pPr>
              <w:spacing w:before="0" w:after="0"/>
              <w:jc w:val="left"/>
              <w:rPr>
                <w:rFonts w:ascii="Calibri" w:eastAsia="Times New Roman" w:hAnsi="Calibri" w:cs="Times New Roman"/>
                <w:color w:val="000000"/>
                <w:sz w:val="16"/>
                <w:szCs w:val="16"/>
                <w:lang w:eastAsia="cs-CZ"/>
              </w:rPr>
            </w:pPr>
          </w:p>
        </w:tc>
        <w:tc>
          <w:tcPr>
            <w:tcW w:w="96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center"/>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2015</w:t>
            </w:r>
          </w:p>
        </w:tc>
        <w:tc>
          <w:tcPr>
            <w:tcW w:w="126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1 352</w:t>
            </w:r>
          </w:p>
        </w:tc>
        <w:tc>
          <w:tcPr>
            <w:tcW w:w="118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0</w:t>
            </w:r>
          </w:p>
        </w:tc>
        <w:tc>
          <w:tcPr>
            <w:tcW w:w="122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100%</w:t>
            </w:r>
          </w:p>
        </w:tc>
      </w:tr>
      <w:tr w:rsidR="00107BA8" w:rsidRPr="00107BA8" w:rsidTr="00107BA8">
        <w:trPr>
          <w:trHeight w:val="199"/>
        </w:trPr>
        <w:tc>
          <w:tcPr>
            <w:tcW w:w="2060" w:type="dxa"/>
            <w:vMerge/>
            <w:tcBorders>
              <w:top w:val="nil"/>
              <w:left w:val="single" w:sz="4" w:space="0" w:color="auto"/>
              <w:bottom w:val="single" w:sz="4" w:space="0" w:color="000000"/>
              <w:right w:val="single" w:sz="4" w:space="0" w:color="auto"/>
            </w:tcBorders>
            <w:vAlign w:val="center"/>
            <w:hideMark/>
          </w:tcPr>
          <w:p w:rsidR="00107BA8" w:rsidRPr="00107BA8" w:rsidRDefault="00107BA8" w:rsidP="00107BA8">
            <w:pPr>
              <w:spacing w:before="0" w:after="0"/>
              <w:jc w:val="left"/>
              <w:rPr>
                <w:rFonts w:ascii="Calibri" w:eastAsia="Times New Roman" w:hAnsi="Calibri" w:cs="Times New Roman"/>
                <w:color w:val="000000"/>
                <w:sz w:val="16"/>
                <w:szCs w:val="16"/>
                <w:lang w:eastAsia="cs-CZ"/>
              </w:rPr>
            </w:pPr>
          </w:p>
        </w:tc>
        <w:tc>
          <w:tcPr>
            <w:tcW w:w="2620" w:type="dxa"/>
            <w:vMerge w:val="restart"/>
            <w:tcBorders>
              <w:top w:val="nil"/>
              <w:left w:val="single" w:sz="4" w:space="0" w:color="auto"/>
              <w:bottom w:val="single" w:sz="4" w:space="0" w:color="000000"/>
              <w:right w:val="single" w:sz="4" w:space="0" w:color="auto"/>
            </w:tcBorders>
            <w:shd w:val="clear" w:color="auto" w:fill="auto"/>
            <w:vAlign w:val="center"/>
            <w:hideMark/>
          </w:tcPr>
          <w:p w:rsidR="00107BA8" w:rsidRPr="00107BA8" w:rsidRDefault="00107BA8" w:rsidP="00107BA8">
            <w:pPr>
              <w:spacing w:before="0" w:after="0"/>
              <w:jc w:val="lef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Generální ředitelství HZS - Institut ochrany obyvatelstva</w:t>
            </w:r>
          </w:p>
        </w:tc>
        <w:tc>
          <w:tcPr>
            <w:tcW w:w="96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center"/>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2010</w:t>
            </w:r>
          </w:p>
        </w:tc>
        <w:tc>
          <w:tcPr>
            <w:tcW w:w="126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2 344</w:t>
            </w:r>
          </w:p>
        </w:tc>
        <w:tc>
          <w:tcPr>
            <w:tcW w:w="118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0</w:t>
            </w:r>
          </w:p>
        </w:tc>
        <w:tc>
          <w:tcPr>
            <w:tcW w:w="122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100%</w:t>
            </w:r>
          </w:p>
        </w:tc>
      </w:tr>
      <w:tr w:rsidR="00107BA8" w:rsidRPr="00107BA8" w:rsidTr="00107BA8">
        <w:trPr>
          <w:trHeight w:val="199"/>
        </w:trPr>
        <w:tc>
          <w:tcPr>
            <w:tcW w:w="2060" w:type="dxa"/>
            <w:vMerge/>
            <w:tcBorders>
              <w:top w:val="nil"/>
              <w:left w:val="single" w:sz="4" w:space="0" w:color="auto"/>
              <w:bottom w:val="single" w:sz="4" w:space="0" w:color="000000"/>
              <w:right w:val="single" w:sz="4" w:space="0" w:color="auto"/>
            </w:tcBorders>
            <w:vAlign w:val="center"/>
            <w:hideMark/>
          </w:tcPr>
          <w:p w:rsidR="00107BA8" w:rsidRPr="00107BA8" w:rsidRDefault="00107BA8" w:rsidP="00107BA8">
            <w:pPr>
              <w:spacing w:before="0" w:after="0"/>
              <w:jc w:val="left"/>
              <w:rPr>
                <w:rFonts w:ascii="Calibri" w:eastAsia="Times New Roman" w:hAnsi="Calibri" w:cs="Times New Roman"/>
                <w:color w:val="000000"/>
                <w:sz w:val="16"/>
                <w:szCs w:val="16"/>
                <w:lang w:eastAsia="cs-CZ"/>
              </w:rPr>
            </w:pPr>
          </w:p>
        </w:tc>
        <w:tc>
          <w:tcPr>
            <w:tcW w:w="2620" w:type="dxa"/>
            <w:vMerge/>
            <w:tcBorders>
              <w:top w:val="nil"/>
              <w:left w:val="single" w:sz="4" w:space="0" w:color="auto"/>
              <w:bottom w:val="single" w:sz="4" w:space="0" w:color="000000"/>
              <w:right w:val="single" w:sz="4" w:space="0" w:color="auto"/>
            </w:tcBorders>
            <w:vAlign w:val="center"/>
            <w:hideMark/>
          </w:tcPr>
          <w:p w:rsidR="00107BA8" w:rsidRPr="00107BA8" w:rsidRDefault="00107BA8" w:rsidP="00107BA8">
            <w:pPr>
              <w:spacing w:before="0" w:after="0"/>
              <w:jc w:val="left"/>
              <w:rPr>
                <w:rFonts w:ascii="Calibri" w:eastAsia="Times New Roman" w:hAnsi="Calibri" w:cs="Times New Roman"/>
                <w:color w:val="000000"/>
                <w:sz w:val="16"/>
                <w:szCs w:val="16"/>
                <w:lang w:eastAsia="cs-CZ"/>
              </w:rPr>
            </w:pPr>
          </w:p>
        </w:tc>
        <w:tc>
          <w:tcPr>
            <w:tcW w:w="96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center"/>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2011</w:t>
            </w:r>
          </w:p>
        </w:tc>
        <w:tc>
          <w:tcPr>
            <w:tcW w:w="126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16 058</w:t>
            </w:r>
          </w:p>
        </w:tc>
        <w:tc>
          <w:tcPr>
            <w:tcW w:w="118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0</w:t>
            </w:r>
          </w:p>
        </w:tc>
        <w:tc>
          <w:tcPr>
            <w:tcW w:w="122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100%</w:t>
            </w:r>
          </w:p>
        </w:tc>
      </w:tr>
      <w:tr w:rsidR="00107BA8" w:rsidRPr="00107BA8" w:rsidTr="00107BA8">
        <w:trPr>
          <w:trHeight w:val="199"/>
        </w:trPr>
        <w:tc>
          <w:tcPr>
            <w:tcW w:w="2060" w:type="dxa"/>
            <w:vMerge/>
            <w:tcBorders>
              <w:top w:val="nil"/>
              <w:left w:val="single" w:sz="4" w:space="0" w:color="auto"/>
              <w:bottom w:val="single" w:sz="4" w:space="0" w:color="000000"/>
              <w:right w:val="single" w:sz="4" w:space="0" w:color="auto"/>
            </w:tcBorders>
            <w:vAlign w:val="center"/>
            <w:hideMark/>
          </w:tcPr>
          <w:p w:rsidR="00107BA8" w:rsidRPr="00107BA8" w:rsidRDefault="00107BA8" w:rsidP="00107BA8">
            <w:pPr>
              <w:spacing w:before="0" w:after="0"/>
              <w:jc w:val="left"/>
              <w:rPr>
                <w:rFonts w:ascii="Calibri" w:eastAsia="Times New Roman" w:hAnsi="Calibri" w:cs="Times New Roman"/>
                <w:color w:val="000000"/>
                <w:sz w:val="16"/>
                <w:szCs w:val="16"/>
                <w:lang w:eastAsia="cs-CZ"/>
              </w:rPr>
            </w:pPr>
          </w:p>
        </w:tc>
        <w:tc>
          <w:tcPr>
            <w:tcW w:w="2620" w:type="dxa"/>
            <w:vMerge/>
            <w:tcBorders>
              <w:top w:val="nil"/>
              <w:left w:val="single" w:sz="4" w:space="0" w:color="auto"/>
              <w:bottom w:val="single" w:sz="4" w:space="0" w:color="000000"/>
              <w:right w:val="single" w:sz="4" w:space="0" w:color="auto"/>
            </w:tcBorders>
            <w:vAlign w:val="center"/>
            <w:hideMark/>
          </w:tcPr>
          <w:p w:rsidR="00107BA8" w:rsidRPr="00107BA8" w:rsidRDefault="00107BA8" w:rsidP="00107BA8">
            <w:pPr>
              <w:spacing w:before="0" w:after="0"/>
              <w:jc w:val="left"/>
              <w:rPr>
                <w:rFonts w:ascii="Calibri" w:eastAsia="Times New Roman" w:hAnsi="Calibri" w:cs="Times New Roman"/>
                <w:color w:val="000000"/>
                <w:sz w:val="16"/>
                <w:szCs w:val="16"/>
                <w:lang w:eastAsia="cs-CZ"/>
              </w:rPr>
            </w:pPr>
          </w:p>
        </w:tc>
        <w:tc>
          <w:tcPr>
            <w:tcW w:w="96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center"/>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2012</w:t>
            </w:r>
          </w:p>
        </w:tc>
        <w:tc>
          <w:tcPr>
            <w:tcW w:w="126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13 110</w:t>
            </w:r>
          </w:p>
        </w:tc>
        <w:tc>
          <w:tcPr>
            <w:tcW w:w="118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0</w:t>
            </w:r>
          </w:p>
        </w:tc>
        <w:tc>
          <w:tcPr>
            <w:tcW w:w="122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100%</w:t>
            </w:r>
          </w:p>
        </w:tc>
      </w:tr>
      <w:tr w:rsidR="00107BA8" w:rsidRPr="00107BA8" w:rsidTr="00107BA8">
        <w:trPr>
          <w:trHeight w:val="199"/>
        </w:trPr>
        <w:tc>
          <w:tcPr>
            <w:tcW w:w="2060" w:type="dxa"/>
            <w:vMerge/>
            <w:tcBorders>
              <w:top w:val="nil"/>
              <w:left w:val="single" w:sz="4" w:space="0" w:color="auto"/>
              <w:bottom w:val="single" w:sz="4" w:space="0" w:color="000000"/>
              <w:right w:val="single" w:sz="4" w:space="0" w:color="auto"/>
            </w:tcBorders>
            <w:vAlign w:val="center"/>
            <w:hideMark/>
          </w:tcPr>
          <w:p w:rsidR="00107BA8" w:rsidRPr="00107BA8" w:rsidRDefault="00107BA8" w:rsidP="00107BA8">
            <w:pPr>
              <w:spacing w:before="0" w:after="0"/>
              <w:jc w:val="left"/>
              <w:rPr>
                <w:rFonts w:ascii="Calibri" w:eastAsia="Times New Roman" w:hAnsi="Calibri" w:cs="Times New Roman"/>
                <w:color w:val="000000"/>
                <w:sz w:val="16"/>
                <w:szCs w:val="16"/>
                <w:lang w:eastAsia="cs-CZ"/>
              </w:rPr>
            </w:pPr>
          </w:p>
        </w:tc>
        <w:tc>
          <w:tcPr>
            <w:tcW w:w="2620" w:type="dxa"/>
            <w:vMerge/>
            <w:tcBorders>
              <w:top w:val="nil"/>
              <w:left w:val="single" w:sz="4" w:space="0" w:color="auto"/>
              <w:bottom w:val="single" w:sz="4" w:space="0" w:color="000000"/>
              <w:right w:val="single" w:sz="4" w:space="0" w:color="auto"/>
            </w:tcBorders>
            <w:vAlign w:val="center"/>
            <w:hideMark/>
          </w:tcPr>
          <w:p w:rsidR="00107BA8" w:rsidRPr="00107BA8" w:rsidRDefault="00107BA8" w:rsidP="00107BA8">
            <w:pPr>
              <w:spacing w:before="0" w:after="0"/>
              <w:jc w:val="left"/>
              <w:rPr>
                <w:rFonts w:ascii="Calibri" w:eastAsia="Times New Roman" w:hAnsi="Calibri" w:cs="Times New Roman"/>
                <w:color w:val="000000"/>
                <w:sz w:val="16"/>
                <w:szCs w:val="16"/>
                <w:lang w:eastAsia="cs-CZ"/>
              </w:rPr>
            </w:pPr>
          </w:p>
        </w:tc>
        <w:tc>
          <w:tcPr>
            <w:tcW w:w="96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center"/>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2013</w:t>
            </w:r>
          </w:p>
        </w:tc>
        <w:tc>
          <w:tcPr>
            <w:tcW w:w="126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6 080</w:t>
            </w:r>
          </w:p>
        </w:tc>
        <w:tc>
          <w:tcPr>
            <w:tcW w:w="118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0</w:t>
            </w:r>
          </w:p>
        </w:tc>
        <w:tc>
          <w:tcPr>
            <w:tcW w:w="122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100%</w:t>
            </w:r>
          </w:p>
        </w:tc>
      </w:tr>
      <w:tr w:rsidR="00107BA8" w:rsidRPr="00107BA8" w:rsidTr="00107BA8">
        <w:trPr>
          <w:trHeight w:val="199"/>
        </w:trPr>
        <w:tc>
          <w:tcPr>
            <w:tcW w:w="2060" w:type="dxa"/>
            <w:vMerge/>
            <w:tcBorders>
              <w:top w:val="nil"/>
              <w:left w:val="single" w:sz="4" w:space="0" w:color="auto"/>
              <w:bottom w:val="single" w:sz="4" w:space="0" w:color="000000"/>
              <w:right w:val="single" w:sz="4" w:space="0" w:color="auto"/>
            </w:tcBorders>
            <w:vAlign w:val="center"/>
            <w:hideMark/>
          </w:tcPr>
          <w:p w:rsidR="00107BA8" w:rsidRPr="00107BA8" w:rsidRDefault="00107BA8" w:rsidP="00107BA8">
            <w:pPr>
              <w:spacing w:before="0" w:after="0"/>
              <w:jc w:val="left"/>
              <w:rPr>
                <w:rFonts w:ascii="Calibri" w:eastAsia="Times New Roman" w:hAnsi="Calibri" w:cs="Times New Roman"/>
                <w:color w:val="000000"/>
                <w:sz w:val="16"/>
                <w:szCs w:val="16"/>
                <w:lang w:eastAsia="cs-CZ"/>
              </w:rPr>
            </w:pPr>
          </w:p>
        </w:tc>
        <w:tc>
          <w:tcPr>
            <w:tcW w:w="2620" w:type="dxa"/>
            <w:vMerge/>
            <w:tcBorders>
              <w:top w:val="nil"/>
              <w:left w:val="single" w:sz="4" w:space="0" w:color="auto"/>
              <w:bottom w:val="single" w:sz="4" w:space="0" w:color="000000"/>
              <w:right w:val="single" w:sz="4" w:space="0" w:color="auto"/>
            </w:tcBorders>
            <w:vAlign w:val="center"/>
            <w:hideMark/>
          </w:tcPr>
          <w:p w:rsidR="00107BA8" w:rsidRPr="00107BA8" w:rsidRDefault="00107BA8" w:rsidP="00107BA8">
            <w:pPr>
              <w:spacing w:before="0" w:after="0"/>
              <w:jc w:val="left"/>
              <w:rPr>
                <w:rFonts w:ascii="Calibri" w:eastAsia="Times New Roman" w:hAnsi="Calibri" w:cs="Times New Roman"/>
                <w:color w:val="000000"/>
                <w:sz w:val="16"/>
                <w:szCs w:val="16"/>
                <w:lang w:eastAsia="cs-CZ"/>
              </w:rPr>
            </w:pPr>
          </w:p>
        </w:tc>
        <w:tc>
          <w:tcPr>
            <w:tcW w:w="96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center"/>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2014</w:t>
            </w:r>
          </w:p>
        </w:tc>
        <w:tc>
          <w:tcPr>
            <w:tcW w:w="126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10 753</w:t>
            </w:r>
          </w:p>
        </w:tc>
        <w:tc>
          <w:tcPr>
            <w:tcW w:w="118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0</w:t>
            </w:r>
          </w:p>
        </w:tc>
        <w:tc>
          <w:tcPr>
            <w:tcW w:w="122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100%</w:t>
            </w:r>
          </w:p>
        </w:tc>
      </w:tr>
      <w:tr w:rsidR="00107BA8" w:rsidRPr="00107BA8" w:rsidTr="00107BA8">
        <w:trPr>
          <w:trHeight w:val="199"/>
        </w:trPr>
        <w:tc>
          <w:tcPr>
            <w:tcW w:w="2060" w:type="dxa"/>
            <w:vMerge/>
            <w:tcBorders>
              <w:top w:val="nil"/>
              <w:left w:val="single" w:sz="4" w:space="0" w:color="auto"/>
              <w:bottom w:val="single" w:sz="4" w:space="0" w:color="000000"/>
              <w:right w:val="single" w:sz="4" w:space="0" w:color="auto"/>
            </w:tcBorders>
            <w:vAlign w:val="center"/>
            <w:hideMark/>
          </w:tcPr>
          <w:p w:rsidR="00107BA8" w:rsidRPr="00107BA8" w:rsidRDefault="00107BA8" w:rsidP="00107BA8">
            <w:pPr>
              <w:spacing w:before="0" w:after="0"/>
              <w:jc w:val="left"/>
              <w:rPr>
                <w:rFonts w:ascii="Calibri" w:eastAsia="Times New Roman" w:hAnsi="Calibri" w:cs="Times New Roman"/>
                <w:color w:val="000000"/>
                <w:sz w:val="16"/>
                <w:szCs w:val="16"/>
                <w:lang w:eastAsia="cs-CZ"/>
              </w:rPr>
            </w:pPr>
          </w:p>
        </w:tc>
        <w:tc>
          <w:tcPr>
            <w:tcW w:w="2620" w:type="dxa"/>
            <w:vMerge/>
            <w:tcBorders>
              <w:top w:val="nil"/>
              <w:left w:val="single" w:sz="4" w:space="0" w:color="auto"/>
              <w:bottom w:val="single" w:sz="4" w:space="0" w:color="000000"/>
              <w:right w:val="single" w:sz="4" w:space="0" w:color="auto"/>
            </w:tcBorders>
            <w:vAlign w:val="center"/>
            <w:hideMark/>
          </w:tcPr>
          <w:p w:rsidR="00107BA8" w:rsidRPr="00107BA8" w:rsidRDefault="00107BA8" w:rsidP="00107BA8">
            <w:pPr>
              <w:spacing w:before="0" w:after="0"/>
              <w:jc w:val="left"/>
              <w:rPr>
                <w:rFonts w:ascii="Calibri" w:eastAsia="Times New Roman" w:hAnsi="Calibri" w:cs="Times New Roman"/>
                <w:color w:val="000000"/>
                <w:sz w:val="16"/>
                <w:szCs w:val="16"/>
                <w:lang w:eastAsia="cs-CZ"/>
              </w:rPr>
            </w:pPr>
          </w:p>
        </w:tc>
        <w:tc>
          <w:tcPr>
            <w:tcW w:w="96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center"/>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2015</w:t>
            </w:r>
          </w:p>
        </w:tc>
        <w:tc>
          <w:tcPr>
            <w:tcW w:w="126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6 115</w:t>
            </w:r>
          </w:p>
        </w:tc>
        <w:tc>
          <w:tcPr>
            <w:tcW w:w="118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0</w:t>
            </w:r>
          </w:p>
        </w:tc>
        <w:tc>
          <w:tcPr>
            <w:tcW w:w="122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100%</w:t>
            </w:r>
          </w:p>
        </w:tc>
      </w:tr>
      <w:tr w:rsidR="00107BA8" w:rsidRPr="00107BA8" w:rsidTr="00107BA8">
        <w:trPr>
          <w:trHeight w:val="199"/>
        </w:trPr>
        <w:tc>
          <w:tcPr>
            <w:tcW w:w="2060" w:type="dxa"/>
            <w:vMerge/>
            <w:tcBorders>
              <w:top w:val="nil"/>
              <w:left w:val="single" w:sz="4" w:space="0" w:color="auto"/>
              <w:bottom w:val="single" w:sz="4" w:space="0" w:color="000000"/>
              <w:right w:val="single" w:sz="4" w:space="0" w:color="auto"/>
            </w:tcBorders>
            <w:vAlign w:val="center"/>
            <w:hideMark/>
          </w:tcPr>
          <w:p w:rsidR="00107BA8" w:rsidRPr="00107BA8" w:rsidRDefault="00107BA8" w:rsidP="00107BA8">
            <w:pPr>
              <w:spacing w:before="0" w:after="0"/>
              <w:jc w:val="left"/>
              <w:rPr>
                <w:rFonts w:ascii="Calibri" w:eastAsia="Times New Roman" w:hAnsi="Calibri" w:cs="Times New Roman"/>
                <w:color w:val="000000"/>
                <w:sz w:val="16"/>
                <w:szCs w:val="16"/>
                <w:lang w:eastAsia="cs-CZ"/>
              </w:rPr>
            </w:pPr>
          </w:p>
        </w:tc>
        <w:tc>
          <w:tcPr>
            <w:tcW w:w="2620" w:type="dxa"/>
            <w:vMerge/>
            <w:tcBorders>
              <w:top w:val="nil"/>
              <w:left w:val="single" w:sz="4" w:space="0" w:color="auto"/>
              <w:bottom w:val="single" w:sz="4" w:space="0" w:color="000000"/>
              <w:right w:val="single" w:sz="4" w:space="0" w:color="auto"/>
            </w:tcBorders>
            <w:vAlign w:val="center"/>
            <w:hideMark/>
          </w:tcPr>
          <w:p w:rsidR="00107BA8" w:rsidRPr="00107BA8" w:rsidRDefault="00107BA8" w:rsidP="00107BA8">
            <w:pPr>
              <w:spacing w:before="0" w:after="0"/>
              <w:jc w:val="left"/>
              <w:rPr>
                <w:rFonts w:ascii="Calibri" w:eastAsia="Times New Roman" w:hAnsi="Calibri" w:cs="Times New Roman"/>
                <w:color w:val="000000"/>
                <w:sz w:val="16"/>
                <w:szCs w:val="16"/>
                <w:lang w:eastAsia="cs-CZ"/>
              </w:rPr>
            </w:pPr>
          </w:p>
        </w:tc>
        <w:tc>
          <w:tcPr>
            <w:tcW w:w="96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center"/>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2016</w:t>
            </w:r>
          </w:p>
        </w:tc>
        <w:tc>
          <w:tcPr>
            <w:tcW w:w="126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4 880</w:t>
            </w:r>
          </w:p>
        </w:tc>
        <w:tc>
          <w:tcPr>
            <w:tcW w:w="118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0</w:t>
            </w:r>
          </w:p>
        </w:tc>
        <w:tc>
          <w:tcPr>
            <w:tcW w:w="122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100%</w:t>
            </w:r>
          </w:p>
        </w:tc>
      </w:tr>
      <w:tr w:rsidR="00107BA8" w:rsidRPr="00107BA8" w:rsidTr="00107BA8">
        <w:trPr>
          <w:trHeight w:val="199"/>
        </w:trPr>
        <w:tc>
          <w:tcPr>
            <w:tcW w:w="2060" w:type="dxa"/>
            <w:vMerge/>
            <w:tcBorders>
              <w:top w:val="nil"/>
              <w:left w:val="single" w:sz="4" w:space="0" w:color="auto"/>
              <w:bottom w:val="single" w:sz="4" w:space="0" w:color="000000"/>
              <w:right w:val="single" w:sz="4" w:space="0" w:color="auto"/>
            </w:tcBorders>
            <w:vAlign w:val="center"/>
            <w:hideMark/>
          </w:tcPr>
          <w:p w:rsidR="00107BA8" w:rsidRPr="00107BA8" w:rsidRDefault="00107BA8" w:rsidP="00107BA8">
            <w:pPr>
              <w:spacing w:before="0" w:after="0"/>
              <w:jc w:val="left"/>
              <w:rPr>
                <w:rFonts w:ascii="Calibri" w:eastAsia="Times New Roman" w:hAnsi="Calibri" w:cs="Times New Roman"/>
                <w:color w:val="000000"/>
                <w:sz w:val="16"/>
                <w:szCs w:val="16"/>
                <w:lang w:eastAsia="cs-CZ"/>
              </w:rPr>
            </w:pPr>
          </w:p>
        </w:tc>
        <w:tc>
          <w:tcPr>
            <w:tcW w:w="2620" w:type="dxa"/>
            <w:vMerge/>
            <w:tcBorders>
              <w:top w:val="nil"/>
              <w:left w:val="single" w:sz="4" w:space="0" w:color="auto"/>
              <w:bottom w:val="single" w:sz="4" w:space="0" w:color="000000"/>
              <w:right w:val="single" w:sz="4" w:space="0" w:color="auto"/>
            </w:tcBorders>
            <w:vAlign w:val="center"/>
            <w:hideMark/>
          </w:tcPr>
          <w:p w:rsidR="00107BA8" w:rsidRPr="00107BA8" w:rsidRDefault="00107BA8" w:rsidP="00107BA8">
            <w:pPr>
              <w:spacing w:before="0" w:after="0"/>
              <w:jc w:val="left"/>
              <w:rPr>
                <w:rFonts w:ascii="Calibri" w:eastAsia="Times New Roman" w:hAnsi="Calibri" w:cs="Times New Roman"/>
                <w:color w:val="000000"/>
                <w:sz w:val="16"/>
                <w:szCs w:val="16"/>
                <w:lang w:eastAsia="cs-CZ"/>
              </w:rPr>
            </w:pPr>
          </w:p>
        </w:tc>
        <w:tc>
          <w:tcPr>
            <w:tcW w:w="96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center"/>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2017</w:t>
            </w:r>
          </w:p>
        </w:tc>
        <w:tc>
          <w:tcPr>
            <w:tcW w:w="126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4 780</w:t>
            </w:r>
          </w:p>
        </w:tc>
        <w:tc>
          <w:tcPr>
            <w:tcW w:w="118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0</w:t>
            </w:r>
          </w:p>
        </w:tc>
        <w:tc>
          <w:tcPr>
            <w:tcW w:w="122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100%</w:t>
            </w:r>
          </w:p>
        </w:tc>
      </w:tr>
      <w:tr w:rsidR="00107BA8" w:rsidRPr="00107BA8" w:rsidTr="00107BA8">
        <w:trPr>
          <w:trHeight w:val="199"/>
        </w:trPr>
        <w:tc>
          <w:tcPr>
            <w:tcW w:w="2060" w:type="dxa"/>
            <w:vMerge/>
            <w:tcBorders>
              <w:top w:val="nil"/>
              <w:left w:val="single" w:sz="4" w:space="0" w:color="auto"/>
              <w:bottom w:val="single" w:sz="4" w:space="0" w:color="000000"/>
              <w:right w:val="single" w:sz="4" w:space="0" w:color="auto"/>
            </w:tcBorders>
            <w:vAlign w:val="center"/>
            <w:hideMark/>
          </w:tcPr>
          <w:p w:rsidR="00107BA8" w:rsidRPr="00107BA8" w:rsidRDefault="00107BA8" w:rsidP="00107BA8">
            <w:pPr>
              <w:spacing w:before="0" w:after="0"/>
              <w:jc w:val="left"/>
              <w:rPr>
                <w:rFonts w:ascii="Calibri" w:eastAsia="Times New Roman" w:hAnsi="Calibri" w:cs="Times New Roman"/>
                <w:color w:val="000000"/>
                <w:sz w:val="16"/>
                <w:szCs w:val="16"/>
                <w:lang w:eastAsia="cs-CZ"/>
              </w:rPr>
            </w:pPr>
          </w:p>
        </w:tc>
        <w:tc>
          <w:tcPr>
            <w:tcW w:w="2620" w:type="dxa"/>
            <w:vMerge/>
            <w:tcBorders>
              <w:top w:val="nil"/>
              <w:left w:val="single" w:sz="4" w:space="0" w:color="auto"/>
              <w:bottom w:val="single" w:sz="4" w:space="0" w:color="000000"/>
              <w:right w:val="single" w:sz="4" w:space="0" w:color="auto"/>
            </w:tcBorders>
            <w:vAlign w:val="center"/>
            <w:hideMark/>
          </w:tcPr>
          <w:p w:rsidR="00107BA8" w:rsidRPr="00107BA8" w:rsidRDefault="00107BA8" w:rsidP="00107BA8">
            <w:pPr>
              <w:spacing w:before="0" w:after="0"/>
              <w:jc w:val="left"/>
              <w:rPr>
                <w:rFonts w:ascii="Calibri" w:eastAsia="Times New Roman" w:hAnsi="Calibri" w:cs="Times New Roman"/>
                <w:color w:val="000000"/>
                <w:sz w:val="16"/>
                <w:szCs w:val="16"/>
                <w:lang w:eastAsia="cs-CZ"/>
              </w:rPr>
            </w:pPr>
          </w:p>
        </w:tc>
        <w:tc>
          <w:tcPr>
            <w:tcW w:w="96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center"/>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2018</w:t>
            </w:r>
          </w:p>
        </w:tc>
        <w:tc>
          <w:tcPr>
            <w:tcW w:w="126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4 780</w:t>
            </w:r>
          </w:p>
        </w:tc>
        <w:tc>
          <w:tcPr>
            <w:tcW w:w="118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0</w:t>
            </w:r>
          </w:p>
        </w:tc>
        <w:tc>
          <w:tcPr>
            <w:tcW w:w="122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100%</w:t>
            </w:r>
          </w:p>
        </w:tc>
      </w:tr>
      <w:tr w:rsidR="00107BA8" w:rsidRPr="00107BA8" w:rsidTr="00107BA8">
        <w:trPr>
          <w:trHeight w:val="199"/>
        </w:trPr>
        <w:tc>
          <w:tcPr>
            <w:tcW w:w="2060" w:type="dxa"/>
            <w:vMerge/>
            <w:tcBorders>
              <w:top w:val="nil"/>
              <w:left w:val="single" w:sz="4" w:space="0" w:color="auto"/>
              <w:bottom w:val="single" w:sz="4" w:space="0" w:color="000000"/>
              <w:right w:val="single" w:sz="4" w:space="0" w:color="auto"/>
            </w:tcBorders>
            <w:vAlign w:val="center"/>
            <w:hideMark/>
          </w:tcPr>
          <w:p w:rsidR="00107BA8" w:rsidRPr="00107BA8" w:rsidRDefault="00107BA8" w:rsidP="00107BA8">
            <w:pPr>
              <w:spacing w:before="0" w:after="0"/>
              <w:jc w:val="left"/>
              <w:rPr>
                <w:rFonts w:ascii="Calibri" w:eastAsia="Times New Roman" w:hAnsi="Calibri" w:cs="Times New Roman"/>
                <w:color w:val="000000"/>
                <w:sz w:val="16"/>
                <w:szCs w:val="16"/>
                <w:lang w:eastAsia="cs-CZ"/>
              </w:rPr>
            </w:pPr>
          </w:p>
        </w:tc>
        <w:tc>
          <w:tcPr>
            <w:tcW w:w="2620" w:type="dxa"/>
            <w:vMerge/>
            <w:tcBorders>
              <w:top w:val="nil"/>
              <w:left w:val="single" w:sz="4" w:space="0" w:color="auto"/>
              <w:bottom w:val="single" w:sz="4" w:space="0" w:color="000000"/>
              <w:right w:val="single" w:sz="4" w:space="0" w:color="auto"/>
            </w:tcBorders>
            <w:vAlign w:val="center"/>
            <w:hideMark/>
          </w:tcPr>
          <w:p w:rsidR="00107BA8" w:rsidRPr="00107BA8" w:rsidRDefault="00107BA8" w:rsidP="00107BA8">
            <w:pPr>
              <w:spacing w:before="0" w:after="0"/>
              <w:jc w:val="left"/>
              <w:rPr>
                <w:rFonts w:ascii="Calibri" w:eastAsia="Times New Roman" w:hAnsi="Calibri" w:cs="Times New Roman"/>
                <w:color w:val="000000"/>
                <w:sz w:val="16"/>
                <w:szCs w:val="16"/>
                <w:lang w:eastAsia="cs-CZ"/>
              </w:rPr>
            </w:pPr>
          </w:p>
        </w:tc>
        <w:tc>
          <w:tcPr>
            <w:tcW w:w="96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center"/>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2019</w:t>
            </w:r>
          </w:p>
        </w:tc>
        <w:tc>
          <w:tcPr>
            <w:tcW w:w="126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4 730</w:t>
            </w:r>
          </w:p>
        </w:tc>
        <w:tc>
          <w:tcPr>
            <w:tcW w:w="118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0</w:t>
            </w:r>
          </w:p>
        </w:tc>
        <w:tc>
          <w:tcPr>
            <w:tcW w:w="122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100%</w:t>
            </w:r>
          </w:p>
        </w:tc>
      </w:tr>
      <w:tr w:rsidR="00107BA8" w:rsidRPr="00107BA8" w:rsidTr="00107BA8">
        <w:trPr>
          <w:trHeight w:val="199"/>
        </w:trPr>
        <w:tc>
          <w:tcPr>
            <w:tcW w:w="2060" w:type="dxa"/>
            <w:vMerge/>
            <w:tcBorders>
              <w:top w:val="nil"/>
              <w:left w:val="single" w:sz="4" w:space="0" w:color="auto"/>
              <w:bottom w:val="single" w:sz="4" w:space="0" w:color="000000"/>
              <w:right w:val="single" w:sz="4" w:space="0" w:color="auto"/>
            </w:tcBorders>
            <w:vAlign w:val="center"/>
            <w:hideMark/>
          </w:tcPr>
          <w:p w:rsidR="00107BA8" w:rsidRPr="00107BA8" w:rsidRDefault="00107BA8" w:rsidP="00107BA8">
            <w:pPr>
              <w:spacing w:before="0" w:after="0"/>
              <w:jc w:val="left"/>
              <w:rPr>
                <w:rFonts w:ascii="Calibri" w:eastAsia="Times New Roman" w:hAnsi="Calibri" w:cs="Times New Roman"/>
                <w:color w:val="000000"/>
                <w:sz w:val="16"/>
                <w:szCs w:val="16"/>
                <w:lang w:eastAsia="cs-CZ"/>
              </w:rPr>
            </w:pPr>
          </w:p>
        </w:tc>
        <w:tc>
          <w:tcPr>
            <w:tcW w:w="2620" w:type="dxa"/>
            <w:vMerge/>
            <w:tcBorders>
              <w:top w:val="nil"/>
              <w:left w:val="single" w:sz="4" w:space="0" w:color="auto"/>
              <w:bottom w:val="single" w:sz="4" w:space="0" w:color="000000"/>
              <w:right w:val="single" w:sz="4" w:space="0" w:color="auto"/>
            </w:tcBorders>
            <w:vAlign w:val="center"/>
            <w:hideMark/>
          </w:tcPr>
          <w:p w:rsidR="00107BA8" w:rsidRPr="00107BA8" w:rsidRDefault="00107BA8" w:rsidP="00107BA8">
            <w:pPr>
              <w:spacing w:before="0" w:after="0"/>
              <w:jc w:val="left"/>
              <w:rPr>
                <w:rFonts w:ascii="Calibri" w:eastAsia="Times New Roman" w:hAnsi="Calibri" w:cs="Times New Roman"/>
                <w:color w:val="000000"/>
                <w:sz w:val="16"/>
                <w:szCs w:val="16"/>
                <w:lang w:eastAsia="cs-CZ"/>
              </w:rPr>
            </w:pPr>
          </w:p>
        </w:tc>
        <w:tc>
          <w:tcPr>
            <w:tcW w:w="960" w:type="dxa"/>
            <w:tcBorders>
              <w:top w:val="nil"/>
              <w:left w:val="nil"/>
              <w:bottom w:val="nil"/>
              <w:right w:val="single" w:sz="4" w:space="0" w:color="auto"/>
            </w:tcBorders>
            <w:shd w:val="clear" w:color="auto" w:fill="auto"/>
            <w:noWrap/>
            <w:vAlign w:val="center"/>
            <w:hideMark/>
          </w:tcPr>
          <w:p w:rsidR="00107BA8" w:rsidRPr="00107BA8" w:rsidRDefault="00107BA8" w:rsidP="00107BA8">
            <w:pPr>
              <w:spacing w:before="0" w:after="0"/>
              <w:jc w:val="center"/>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2020</w:t>
            </w:r>
          </w:p>
        </w:tc>
        <w:tc>
          <w:tcPr>
            <w:tcW w:w="1260" w:type="dxa"/>
            <w:tcBorders>
              <w:top w:val="nil"/>
              <w:left w:val="nil"/>
              <w:bottom w:val="nil"/>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4 030</w:t>
            </w:r>
          </w:p>
        </w:tc>
        <w:tc>
          <w:tcPr>
            <w:tcW w:w="1180" w:type="dxa"/>
            <w:tcBorders>
              <w:top w:val="nil"/>
              <w:left w:val="nil"/>
              <w:bottom w:val="nil"/>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0</w:t>
            </w:r>
          </w:p>
        </w:tc>
        <w:tc>
          <w:tcPr>
            <w:tcW w:w="1220" w:type="dxa"/>
            <w:tcBorders>
              <w:top w:val="nil"/>
              <w:left w:val="nil"/>
              <w:bottom w:val="nil"/>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100%</w:t>
            </w:r>
          </w:p>
        </w:tc>
      </w:tr>
      <w:tr w:rsidR="00107BA8" w:rsidRPr="00107BA8" w:rsidTr="00107BA8">
        <w:trPr>
          <w:trHeight w:val="199"/>
        </w:trPr>
        <w:tc>
          <w:tcPr>
            <w:tcW w:w="4680" w:type="dxa"/>
            <w:gridSpan w:val="2"/>
            <w:tcBorders>
              <w:top w:val="single" w:sz="4" w:space="0" w:color="auto"/>
              <w:left w:val="single" w:sz="4" w:space="0" w:color="auto"/>
              <w:bottom w:val="single" w:sz="4" w:space="0" w:color="auto"/>
              <w:right w:val="single" w:sz="4" w:space="0" w:color="000000"/>
            </w:tcBorders>
            <w:shd w:val="clear" w:color="000000" w:fill="EBF1DE"/>
            <w:noWrap/>
            <w:vAlign w:val="center"/>
            <w:hideMark/>
          </w:tcPr>
          <w:p w:rsidR="00107BA8" w:rsidRPr="00107BA8" w:rsidRDefault="00107BA8" w:rsidP="00107BA8">
            <w:pPr>
              <w:spacing w:before="0" w:after="0"/>
              <w:jc w:val="lef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Policejní akademie České republiky v Praze</w:t>
            </w:r>
          </w:p>
        </w:tc>
        <w:tc>
          <w:tcPr>
            <w:tcW w:w="960" w:type="dxa"/>
            <w:tcBorders>
              <w:top w:val="single" w:sz="4" w:space="0" w:color="auto"/>
              <w:left w:val="nil"/>
              <w:bottom w:val="single" w:sz="4" w:space="0" w:color="auto"/>
              <w:right w:val="single" w:sz="4" w:space="0" w:color="auto"/>
            </w:tcBorders>
            <w:shd w:val="clear" w:color="000000" w:fill="EBF1DE"/>
            <w:noWrap/>
            <w:vAlign w:val="center"/>
            <w:hideMark/>
          </w:tcPr>
          <w:p w:rsidR="00107BA8" w:rsidRPr="00107BA8" w:rsidRDefault="00107BA8" w:rsidP="00107BA8">
            <w:pPr>
              <w:spacing w:before="0" w:after="0"/>
              <w:jc w:val="center"/>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2010</w:t>
            </w:r>
          </w:p>
        </w:tc>
        <w:tc>
          <w:tcPr>
            <w:tcW w:w="1260" w:type="dxa"/>
            <w:tcBorders>
              <w:top w:val="single" w:sz="4" w:space="0" w:color="auto"/>
              <w:left w:val="nil"/>
              <w:bottom w:val="single" w:sz="4" w:space="0" w:color="auto"/>
              <w:right w:val="single" w:sz="4" w:space="0" w:color="auto"/>
            </w:tcBorders>
            <w:shd w:val="clear" w:color="000000" w:fill="EBF1DE"/>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1 349</w:t>
            </w:r>
          </w:p>
        </w:tc>
        <w:tc>
          <w:tcPr>
            <w:tcW w:w="1180" w:type="dxa"/>
            <w:tcBorders>
              <w:top w:val="single" w:sz="4" w:space="0" w:color="auto"/>
              <w:left w:val="nil"/>
              <w:bottom w:val="single" w:sz="4" w:space="0" w:color="auto"/>
              <w:right w:val="single" w:sz="4" w:space="0" w:color="auto"/>
            </w:tcBorders>
            <w:shd w:val="clear" w:color="000000" w:fill="EBF1DE"/>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0</w:t>
            </w:r>
          </w:p>
        </w:tc>
        <w:tc>
          <w:tcPr>
            <w:tcW w:w="1220" w:type="dxa"/>
            <w:tcBorders>
              <w:top w:val="single" w:sz="4" w:space="0" w:color="auto"/>
              <w:left w:val="nil"/>
              <w:bottom w:val="single" w:sz="4" w:space="0" w:color="auto"/>
              <w:right w:val="single" w:sz="4" w:space="0" w:color="auto"/>
            </w:tcBorders>
            <w:shd w:val="clear" w:color="000000" w:fill="EBF1DE"/>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100%</w:t>
            </w:r>
          </w:p>
        </w:tc>
      </w:tr>
      <w:tr w:rsidR="00107BA8" w:rsidRPr="00107BA8" w:rsidTr="00107BA8">
        <w:trPr>
          <w:trHeight w:val="199"/>
        </w:trPr>
        <w:tc>
          <w:tcPr>
            <w:tcW w:w="4680" w:type="dxa"/>
            <w:gridSpan w:val="2"/>
            <w:vMerge w:val="restart"/>
            <w:tcBorders>
              <w:top w:val="single" w:sz="4" w:space="0" w:color="auto"/>
              <w:left w:val="single" w:sz="4" w:space="0" w:color="auto"/>
              <w:bottom w:val="single" w:sz="4" w:space="0" w:color="000000"/>
              <w:right w:val="single" w:sz="4" w:space="0" w:color="000000"/>
            </w:tcBorders>
            <w:shd w:val="clear" w:color="auto" w:fill="auto"/>
            <w:noWrap/>
            <w:vAlign w:val="center"/>
            <w:hideMark/>
          </w:tcPr>
          <w:p w:rsidR="00107BA8" w:rsidRPr="00107BA8" w:rsidRDefault="00107BA8" w:rsidP="00107BA8">
            <w:pPr>
              <w:spacing w:before="0" w:after="0"/>
              <w:jc w:val="lef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Institut pro kriminologii a sociální prevenci</w:t>
            </w:r>
          </w:p>
        </w:tc>
        <w:tc>
          <w:tcPr>
            <w:tcW w:w="96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center"/>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2010</w:t>
            </w:r>
          </w:p>
        </w:tc>
        <w:tc>
          <w:tcPr>
            <w:tcW w:w="126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25</w:t>
            </w:r>
          </w:p>
        </w:tc>
        <w:tc>
          <w:tcPr>
            <w:tcW w:w="118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6 000</w:t>
            </w:r>
          </w:p>
        </w:tc>
        <w:tc>
          <w:tcPr>
            <w:tcW w:w="122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0%</w:t>
            </w:r>
          </w:p>
        </w:tc>
      </w:tr>
      <w:tr w:rsidR="00107BA8" w:rsidRPr="00107BA8" w:rsidTr="00107BA8">
        <w:trPr>
          <w:trHeight w:val="199"/>
        </w:trPr>
        <w:tc>
          <w:tcPr>
            <w:tcW w:w="4680" w:type="dxa"/>
            <w:gridSpan w:val="2"/>
            <w:vMerge/>
            <w:tcBorders>
              <w:top w:val="single" w:sz="4" w:space="0" w:color="auto"/>
              <w:left w:val="single" w:sz="4" w:space="0" w:color="auto"/>
              <w:bottom w:val="single" w:sz="4" w:space="0" w:color="000000"/>
              <w:right w:val="single" w:sz="4" w:space="0" w:color="000000"/>
            </w:tcBorders>
            <w:vAlign w:val="center"/>
            <w:hideMark/>
          </w:tcPr>
          <w:p w:rsidR="00107BA8" w:rsidRPr="00107BA8" w:rsidRDefault="00107BA8" w:rsidP="00107BA8">
            <w:pPr>
              <w:spacing w:before="0" w:after="0"/>
              <w:jc w:val="left"/>
              <w:rPr>
                <w:rFonts w:ascii="Calibri" w:eastAsia="Times New Roman" w:hAnsi="Calibri" w:cs="Times New Roman"/>
                <w:color w:val="000000"/>
                <w:sz w:val="16"/>
                <w:szCs w:val="16"/>
                <w:lang w:eastAsia="cs-CZ"/>
              </w:rPr>
            </w:pPr>
          </w:p>
        </w:tc>
        <w:tc>
          <w:tcPr>
            <w:tcW w:w="96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center"/>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2011</w:t>
            </w:r>
          </w:p>
        </w:tc>
        <w:tc>
          <w:tcPr>
            <w:tcW w:w="126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813</w:t>
            </w:r>
          </w:p>
        </w:tc>
        <w:tc>
          <w:tcPr>
            <w:tcW w:w="118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6 711</w:t>
            </w:r>
          </w:p>
        </w:tc>
        <w:tc>
          <w:tcPr>
            <w:tcW w:w="122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11%</w:t>
            </w:r>
          </w:p>
        </w:tc>
      </w:tr>
      <w:tr w:rsidR="00107BA8" w:rsidRPr="00107BA8" w:rsidTr="00107BA8">
        <w:trPr>
          <w:trHeight w:val="199"/>
        </w:trPr>
        <w:tc>
          <w:tcPr>
            <w:tcW w:w="4680" w:type="dxa"/>
            <w:gridSpan w:val="2"/>
            <w:vMerge/>
            <w:tcBorders>
              <w:top w:val="single" w:sz="4" w:space="0" w:color="auto"/>
              <w:left w:val="single" w:sz="4" w:space="0" w:color="auto"/>
              <w:bottom w:val="single" w:sz="4" w:space="0" w:color="000000"/>
              <w:right w:val="single" w:sz="4" w:space="0" w:color="000000"/>
            </w:tcBorders>
            <w:vAlign w:val="center"/>
            <w:hideMark/>
          </w:tcPr>
          <w:p w:rsidR="00107BA8" w:rsidRPr="00107BA8" w:rsidRDefault="00107BA8" w:rsidP="00107BA8">
            <w:pPr>
              <w:spacing w:before="0" w:after="0"/>
              <w:jc w:val="left"/>
              <w:rPr>
                <w:rFonts w:ascii="Calibri" w:eastAsia="Times New Roman" w:hAnsi="Calibri" w:cs="Times New Roman"/>
                <w:color w:val="000000"/>
                <w:sz w:val="16"/>
                <w:szCs w:val="16"/>
                <w:lang w:eastAsia="cs-CZ"/>
              </w:rPr>
            </w:pPr>
          </w:p>
        </w:tc>
        <w:tc>
          <w:tcPr>
            <w:tcW w:w="96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center"/>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2012</w:t>
            </w:r>
          </w:p>
        </w:tc>
        <w:tc>
          <w:tcPr>
            <w:tcW w:w="126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1 155</w:t>
            </w:r>
          </w:p>
        </w:tc>
        <w:tc>
          <w:tcPr>
            <w:tcW w:w="118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593</w:t>
            </w:r>
          </w:p>
        </w:tc>
        <w:tc>
          <w:tcPr>
            <w:tcW w:w="122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66%</w:t>
            </w:r>
          </w:p>
        </w:tc>
      </w:tr>
      <w:tr w:rsidR="00107BA8" w:rsidRPr="00107BA8" w:rsidTr="00107BA8">
        <w:trPr>
          <w:trHeight w:val="199"/>
        </w:trPr>
        <w:tc>
          <w:tcPr>
            <w:tcW w:w="4680" w:type="dxa"/>
            <w:gridSpan w:val="2"/>
            <w:vMerge/>
            <w:tcBorders>
              <w:top w:val="single" w:sz="4" w:space="0" w:color="auto"/>
              <w:left w:val="single" w:sz="4" w:space="0" w:color="auto"/>
              <w:bottom w:val="single" w:sz="4" w:space="0" w:color="000000"/>
              <w:right w:val="single" w:sz="4" w:space="0" w:color="000000"/>
            </w:tcBorders>
            <w:vAlign w:val="center"/>
            <w:hideMark/>
          </w:tcPr>
          <w:p w:rsidR="00107BA8" w:rsidRPr="00107BA8" w:rsidRDefault="00107BA8" w:rsidP="00107BA8">
            <w:pPr>
              <w:spacing w:before="0" w:after="0"/>
              <w:jc w:val="left"/>
              <w:rPr>
                <w:rFonts w:ascii="Calibri" w:eastAsia="Times New Roman" w:hAnsi="Calibri" w:cs="Times New Roman"/>
                <w:color w:val="000000"/>
                <w:sz w:val="16"/>
                <w:szCs w:val="16"/>
                <w:lang w:eastAsia="cs-CZ"/>
              </w:rPr>
            </w:pPr>
          </w:p>
        </w:tc>
        <w:tc>
          <w:tcPr>
            <w:tcW w:w="96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center"/>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2013</w:t>
            </w:r>
          </w:p>
        </w:tc>
        <w:tc>
          <w:tcPr>
            <w:tcW w:w="126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992</w:t>
            </w:r>
          </w:p>
        </w:tc>
        <w:tc>
          <w:tcPr>
            <w:tcW w:w="118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615</w:t>
            </w:r>
          </w:p>
        </w:tc>
        <w:tc>
          <w:tcPr>
            <w:tcW w:w="122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62%</w:t>
            </w:r>
          </w:p>
        </w:tc>
      </w:tr>
      <w:tr w:rsidR="00107BA8" w:rsidRPr="00107BA8" w:rsidTr="00107BA8">
        <w:trPr>
          <w:trHeight w:val="199"/>
        </w:trPr>
        <w:tc>
          <w:tcPr>
            <w:tcW w:w="4680" w:type="dxa"/>
            <w:gridSpan w:val="2"/>
            <w:vMerge/>
            <w:tcBorders>
              <w:top w:val="single" w:sz="4" w:space="0" w:color="auto"/>
              <w:left w:val="single" w:sz="4" w:space="0" w:color="auto"/>
              <w:bottom w:val="single" w:sz="4" w:space="0" w:color="000000"/>
              <w:right w:val="single" w:sz="4" w:space="0" w:color="000000"/>
            </w:tcBorders>
            <w:vAlign w:val="center"/>
            <w:hideMark/>
          </w:tcPr>
          <w:p w:rsidR="00107BA8" w:rsidRPr="00107BA8" w:rsidRDefault="00107BA8" w:rsidP="00107BA8">
            <w:pPr>
              <w:spacing w:before="0" w:after="0"/>
              <w:jc w:val="left"/>
              <w:rPr>
                <w:rFonts w:ascii="Calibri" w:eastAsia="Times New Roman" w:hAnsi="Calibri" w:cs="Times New Roman"/>
                <w:color w:val="000000"/>
                <w:sz w:val="16"/>
                <w:szCs w:val="16"/>
                <w:lang w:eastAsia="cs-CZ"/>
              </w:rPr>
            </w:pPr>
          </w:p>
        </w:tc>
        <w:tc>
          <w:tcPr>
            <w:tcW w:w="96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center"/>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2014</w:t>
            </w:r>
          </w:p>
        </w:tc>
        <w:tc>
          <w:tcPr>
            <w:tcW w:w="126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1 496</w:t>
            </w:r>
          </w:p>
        </w:tc>
        <w:tc>
          <w:tcPr>
            <w:tcW w:w="118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593</w:t>
            </w:r>
          </w:p>
        </w:tc>
        <w:tc>
          <w:tcPr>
            <w:tcW w:w="122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72%</w:t>
            </w:r>
          </w:p>
        </w:tc>
      </w:tr>
      <w:tr w:rsidR="00107BA8" w:rsidRPr="00107BA8" w:rsidTr="00107BA8">
        <w:trPr>
          <w:trHeight w:val="199"/>
        </w:trPr>
        <w:tc>
          <w:tcPr>
            <w:tcW w:w="4680" w:type="dxa"/>
            <w:gridSpan w:val="2"/>
            <w:vMerge/>
            <w:tcBorders>
              <w:top w:val="single" w:sz="4" w:space="0" w:color="auto"/>
              <w:left w:val="single" w:sz="4" w:space="0" w:color="auto"/>
              <w:bottom w:val="single" w:sz="4" w:space="0" w:color="000000"/>
              <w:right w:val="single" w:sz="4" w:space="0" w:color="000000"/>
            </w:tcBorders>
            <w:vAlign w:val="center"/>
            <w:hideMark/>
          </w:tcPr>
          <w:p w:rsidR="00107BA8" w:rsidRPr="00107BA8" w:rsidRDefault="00107BA8" w:rsidP="00107BA8">
            <w:pPr>
              <w:spacing w:before="0" w:after="0"/>
              <w:jc w:val="left"/>
              <w:rPr>
                <w:rFonts w:ascii="Calibri" w:eastAsia="Times New Roman" w:hAnsi="Calibri" w:cs="Times New Roman"/>
                <w:color w:val="000000"/>
                <w:sz w:val="16"/>
                <w:szCs w:val="16"/>
                <w:lang w:eastAsia="cs-CZ"/>
              </w:rPr>
            </w:pPr>
          </w:p>
        </w:tc>
        <w:tc>
          <w:tcPr>
            <w:tcW w:w="96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center"/>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2015</w:t>
            </w:r>
          </w:p>
        </w:tc>
        <w:tc>
          <w:tcPr>
            <w:tcW w:w="126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289</w:t>
            </w:r>
          </w:p>
        </w:tc>
        <w:tc>
          <w:tcPr>
            <w:tcW w:w="118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836</w:t>
            </w:r>
          </w:p>
        </w:tc>
        <w:tc>
          <w:tcPr>
            <w:tcW w:w="122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0%</w:t>
            </w:r>
          </w:p>
        </w:tc>
      </w:tr>
      <w:tr w:rsidR="00107BA8" w:rsidRPr="00107BA8" w:rsidTr="00107BA8">
        <w:trPr>
          <w:trHeight w:val="199"/>
        </w:trPr>
        <w:tc>
          <w:tcPr>
            <w:tcW w:w="4680" w:type="dxa"/>
            <w:gridSpan w:val="2"/>
            <w:vMerge/>
            <w:tcBorders>
              <w:top w:val="single" w:sz="4" w:space="0" w:color="auto"/>
              <w:left w:val="single" w:sz="4" w:space="0" w:color="auto"/>
              <w:bottom w:val="single" w:sz="4" w:space="0" w:color="000000"/>
              <w:right w:val="single" w:sz="4" w:space="0" w:color="000000"/>
            </w:tcBorders>
            <w:vAlign w:val="center"/>
            <w:hideMark/>
          </w:tcPr>
          <w:p w:rsidR="00107BA8" w:rsidRPr="00107BA8" w:rsidRDefault="00107BA8" w:rsidP="00107BA8">
            <w:pPr>
              <w:spacing w:before="0" w:after="0"/>
              <w:jc w:val="left"/>
              <w:rPr>
                <w:rFonts w:ascii="Calibri" w:eastAsia="Times New Roman" w:hAnsi="Calibri" w:cs="Times New Roman"/>
                <w:color w:val="000000"/>
                <w:sz w:val="16"/>
                <w:szCs w:val="16"/>
                <w:lang w:eastAsia="cs-CZ"/>
              </w:rPr>
            </w:pPr>
          </w:p>
        </w:tc>
        <w:tc>
          <w:tcPr>
            <w:tcW w:w="96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center"/>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2016</w:t>
            </w:r>
          </w:p>
        </w:tc>
        <w:tc>
          <w:tcPr>
            <w:tcW w:w="126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1 219</w:t>
            </w:r>
          </w:p>
        </w:tc>
        <w:tc>
          <w:tcPr>
            <w:tcW w:w="1180" w:type="dxa"/>
            <w:tcBorders>
              <w:top w:val="nil"/>
              <w:left w:val="nil"/>
              <w:bottom w:val="nil"/>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0</w:t>
            </w:r>
          </w:p>
        </w:tc>
        <w:tc>
          <w:tcPr>
            <w:tcW w:w="122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0%</w:t>
            </w:r>
          </w:p>
        </w:tc>
      </w:tr>
      <w:tr w:rsidR="00107BA8" w:rsidRPr="00107BA8" w:rsidTr="00107BA8">
        <w:trPr>
          <w:trHeight w:val="199"/>
        </w:trPr>
        <w:tc>
          <w:tcPr>
            <w:tcW w:w="4680" w:type="dxa"/>
            <w:gridSpan w:val="2"/>
            <w:vMerge w:val="restart"/>
            <w:tcBorders>
              <w:top w:val="single" w:sz="4" w:space="0" w:color="auto"/>
              <w:left w:val="single" w:sz="4" w:space="0" w:color="auto"/>
              <w:bottom w:val="single" w:sz="4" w:space="0" w:color="000000"/>
              <w:right w:val="single" w:sz="4" w:space="0" w:color="000000"/>
            </w:tcBorders>
            <w:shd w:val="clear" w:color="000000" w:fill="EBF1DE"/>
            <w:vAlign w:val="center"/>
            <w:hideMark/>
          </w:tcPr>
          <w:p w:rsidR="00107BA8" w:rsidRPr="00107BA8" w:rsidRDefault="00107BA8" w:rsidP="00107BA8">
            <w:pPr>
              <w:spacing w:before="0" w:after="0"/>
              <w:jc w:val="lef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Státní ústav jaderné, chemické a biologické ochrany, v.v.i.</w:t>
            </w:r>
          </w:p>
        </w:tc>
        <w:tc>
          <w:tcPr>
            <w:tcW w:w="960" w:type="dxa"/>
            <w:tcBorders>
              <w:top w:val="nil"/>
              <w:left w:val="nil"/>
              <w:bottom w:val="single" w:sz="4" w:space="0" w:color="auto"/>
              <w:right w:val="single" w:sz="4" w:space="0" w:color="auto"/>
            </w:tcBorders>
            <w:shd w:val="clear" w:color="000000" w:fill="EBF1DE"/>
            <w:noWrap/>
            <w:vAlign w:val="center"/>
            <w:hideMark/>
          </w:tcPr>
          <w:p w:rsidR="00107BA8" w:rsidRPr="00107BA8" w:rsidRDefault="00107BA8" w:rsidP="00107BA8">
            <w:pPr>
              <w:spacing w:before="0" w:after="0"/>
              <w:jc w:val="center"/>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2010</w:t>
            </w:r>
          </w:p>
        </w:tc>
        <w:tc>
          <w:tcPr>
            <w:tcW w:w="1260" w:type="dxa"/>
            <w:tcBorders>
              <w:top w:val="nil"/>
              <w:left w:val="nil"/>
              <w:bottom w:val="single" w:sz="4" w:space="0" w:color="auto"/>
              <w:right w:val="single" w:sz="4" w:space="0" w:color="auto"/>
            </w:tcBorders>
            <w:shd w:val="clear" w:color="000000" w:fill="EBF1DE"/>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852</w:t>
            </w:r>
          </w:p>
        </w:tc>
        <w:tc>
          <w:tcPr>
            <w:tcW w:w="1180" w:type="dxa"/>
            <w:tcBorders>
              <w:top w:val="single" w:sz="4" w:space="0" w:color="auto"/>
              <w:left w:val="nil"/>
              <w:bottom w:val="single" w:sz="4" w:space="0" w:color="auto"/>
              <w:right w:val="single" w:sz="4" w:space="0" w:color="auto"/>
            </w:tcBorders>
            <w:shd w:val="clear" w:color="000000" w:fill="EBF1DE"/>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2 389</w:t>
            </w:r>
          </w:p>
        </w:tc>
        <w:tc>
          <w:tcPr>
            <w:tcW w:w="1220" w:type="dxa"/>
            <w:tcBorders>
              <w:top w:val="nil"/>
              <w:left w:val="nil"/>
              <w:bottom w:val="single" w:sz="4" w:space="0" w:color="auto"/>
              <w:right w:val="single" w:sz="4" w:space="0" w:color="auto"/>
            </w:tcBorders>
            <w:shd w:val="clear" w:color="000000" w:fill="EBF1DE"/>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26%</w:t>
            </w:r>
          </w:p>
        </w:tc>
      </w:tr>
      <w:tr w:rsidR="00107BA8" w:rsidRPr="00107BA8" w:rsidTr="00107BA8">
        <w:trPr>
          <w:trHeight w:val="199"/>
        </w:trPr>
        <w:tc>
          <w:tcPr>
            <w:tcW w:w="4680" w:type="dxa"/>
            <w:gridSpan w:val="2"/>
            <w:vMerge/>
            <w:tcBorders>
              <w:top w:val="single" w:sz="4" w:space="0" w:color="auto"/>
              <w:left w:val="single" w:sz="4" w:space="0" w:color="auto"/>
              <w:bottom w:val="single" w:sz="4" w:space="0" w:color="000000"/>
              <w:right w:val="single" w:sz="4" w:space="0" w:color="000000"/>
            </w:tcBorders>
            <w:vAlign w:val="center"/>
            <w:hideMark/>
          </w:tcPr>
          <w:p w:rsidR="00107BA8" w:rsidRPr="00107BA8" w:rsidRDefault="00107BA8" w:rsidP="00107BA8">
            <w:pPr>
              <w:spacing w:before="0" w:after="0"/>
              <w:jc w:val="left"/>
              <w:rPr>
                <w:rFonts w:ascii="Calibri" w:eastAsia="Times New Roman" w:hAnsi="Calibri" w:cs="Times New Roman"/>
                <w:color w:val="000000"/>
                <w:sz w:val="16"/>
                <w:szCs w:val="16"/>
                <w:lang w:eastAsia="cs-CZ"/>
              </w:rPr>
            </w:pPr>
          </w:p>
        </w:tc>
        <w:tc>
          <w:tcPr>
            <w:tcW w:w="960" w:type="dxa"/>
            <w:tcBorders>
              <w:top w:val="nil"/>
              <w:left w:val="nil"/>
              <w:bottom w:val="single" w:sz="4" w:space="0" w:color="auto"/>
              <w:right w:val="single" w:sz="4" w:space="0" w:color="auto"/>
            </w:tcBorders>
            <w:shd w:val="clear" w:color="000000" w:fill="EBF1DE"/>
            <w:noWrap/>
            <w:vAlign w:val="center"/>
            <w:hideMark/>
          </w:tcPr>
          <w:p w:rsidR="00107BA8" w:rsidRPr="00107BA8" w:rsidRDefault="00107BA8" w:rsidP="00107BA8">
            <w:pPr>
              <w:spacing w:before="0" w:after="0"/>
              <w:jc w:val="center"/>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2011</w:t>
            </w:r>
          </w:p>
        </w:tc>
        <w:tc>
          <w:tcPr>
            <w:tcW w:w="1260" w:type="dxa"/>
            <w:tcBorders>
              <w:top w:val="nil"/>
              <w:left w:val="nil"/>
              <w:bottom w:val="single" w:sz="4" w:space="0" w:color="auto"/>
              <w:right w:val="single" w:sz="4" w:space="0" w:color="auto"/>
            </w:tcBorders>
            <w:shd w:val="clear" w:color="000000" w:fill="EBF1DE"/>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39 044</w:t>
            </w:r>
          </w:p>
        </w:tc>
        <w:tc>
          <w:tcPr>
            <w:tcW w:w="1180" w:type="dxa"/>
            <w:tcBorders>
              <w:top w:val="nil"/>
              <w:left w:val="nil"/>
              <w:bottom w:val="single" w:sz="4" w:space="0" w:color="auto"/>
              <w:right w:val="single" w:sz="4" w:space="0" w:color="auto"/>
            </w:tcBorders>
            <w:shd w:val="clear" w:color="000000" w:fill="EBF1DE"/>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2 794</w:t>
            </w:r>
          </w:p>
        </w:tc>
        <w:tc>
          <w:tcPr>
            <w:tcW w:w="1220" w:type="dxa"/>
            <w:tcBorders>
              <w:top w:val="nil"/>
              <w:left w:val="nil"/>
              <w:bottom w:val="single" w:sz="4" w:space="0" w:color="auto"/>
              <w:right w:val="single" w:sz="4" w:space="0" w:color="auto"/>
            </w:tcBorders>
            <w:shd w:val="clear" w:color="000000" w:fill="EBF1DE"/>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93%</w:t>
            </w:r>
          </w:p>
        </w:tc>
      </w:tr>
      <w:tr w:rsidR="00107BA8" w:rsidRPr="00107BA8" w:rsidTr="00107BA8">
        <w:trPr>
          <w:trHeight w:val="199"/>
        </w:trPr>
        <w:tc>
          <w:tcPr>
            <w:tcW w:w="4680" w:type="dxa"/>
            <w:gridSpan w:val="2"/>
            <w:vMerge/>
            <w:tcBorders>
              <w:top w:val="single" w:sz="4" w:space="0" w:color="auto"/>
              <w:left w:val="single" w:sz="4" w:space="0" w:color="auto"/>
              <w:bottom w:val="single" w:sz="4" w:space="0" w:color="000000"/>
              <w:right w:val="single" w:sz="4" w:space="0" w:color="000000"/>
            </w:tcBorders>
            <w:vAlign w:val="center"/>
            <w:hideMark/>
          </w:tcPr>
          <w:p w:rsidR="00107BA8" w:rsidRPr="00107BA8" w:rsidRDefault="00107BA8" w:rsidP="00107BA8">
            <w:pPr>
              <w:spacing w:before="0" w:after="0"/>
              <w:jc w:val="left"/>
              <w:rPr>
                <w:rFonts w:ascii="Calibri" w:eastAsia="Times New Roman" w:hAnsi="Calibri" w:cs="Times New Roman"/>
                <w:color w:val="000000"/>
                <w:sz w:val="16"/>
                <w:szCs w:val="16"/>
                <w:lang w:eastAsia="cs-CZ"/>
              </w:rPr>
            </w:pPr>
          </w:p>
        </w:tc>
        <w:tc>
          <w:tcPr>
            <w:tcW w:w="960" w:type="dxa"/>
            <w:tcBorders>
              <w:top w:val="nil"/>
              <w:left w:val="nil"/>
              <w:bottom w:val="single" w:sz="4" w:space="0" w:color="auto"/>
              <w:right w:val="single" w:sz="4" w:space="0" w:color="auto"/>
            </w:tcBorders>
            <w:shd w:val="clear" w:color="000000" w:fill="EBF1DE"/>
            <w:noWrap/>
            <w:vAlign w:val="center"/>
            <w:hideMark/>
          </w:tcPr>
          <w:p w:rsidR="00107BA8" w:rsidRPr="00107BA8" w:rsidRDefault="00107BA8" w:rsidP="00107BA8">
            <w:pPr>
              <w:spacing w:before="0" w:after="0"/>
              <w:jc w:val="center"/>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2012</w:t>
            </w:r>
          </w:p>
        </w:tc>
        <w:tc>
          <w:tcPr>
            <w:tcW w:w="1260" w:type="dxa"/>
            <w:tcBorders>
              <w:top w:val="nil"/>
              <w:left w:val="nil"/>
              <w:bottom w:val="single" w:sz="4" w:space="0" w:color="auto"/>
              <w:right w:val="single" w:sz="4" w:space="0" w:color="auto"/>
            </w:tcBorders>
            <w:shd w:val="clear" w:color="000000" w:fill="EBF1DE"/>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33 542</w:t>
            </w:r>
          </w:p>
        </w:tc>
        <w:tc>
          <w:tcPr>
            <w:tcW w:w="1180" w:type="dxa"/>
            <w:tcBorders>
              <w:top w:val="nil"/>
              <w:left w:val="nil"/>
              <w:bottom w:val="single" w:sz="4" w:space="0" w:color="auto"/>
              <w:right w:val="single" w:sz="4" w:space="0" w:color="auto"/>
            </w:tcBorders>
            <w:shd w:val="clear" w:color="000000" w:fill="EBF1DE"/>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711</w:t>
            </w:r>
          </w:p>
        </w:tc>
        <w:tc>
          <w:tcPr>
            <w:tcW w:w="1220" w:type="dxa"/>
            <w:tcBorders>
              <w:top w:val="nil"/>
              <w:left w:val="nil"/>
              <w:bottom w:val="single" w:sz="4" w:space="0" w:color="auto"/>
              <w:right w:val="single" w:sz="4" w:space="0" w:color="auto"/>
            </w:tcBorders>
            <w:shd w:val="clear" w:color="000000" w:fill="EBF1DE"/>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98%</w:t>
            </w:r>
          </w:p>
        </w:tc>
      </w:tr>
      <w:tr w:rsidR="00107BA8" w:rsidRPr="00107BA8" w:rsidTr="00107BA8">
        <w:trPr>
          <w:trHeight w:val="199"/>
        </w:trPr>
        <w:tc>
          <w:tcPr>
            <w:tcW w:w="4680" w:type="dxa"/>
            <w:gridSpan w:val="2"/>
            <w:vMerge/>
            <w:tcBorders>
              <w:top w:val="single" w:sz="4" w:space="0" w:color="auto"/>
              <w:left w:val="single" w:sz="4" w:space="0" w:color="auto"/>
              <w:bottom w:val="single" w:sz="4" w:space="0" w:color="000000"/>
              <w:right w:val="single" w:sz="4" w:space="0" w:color="000000"/>
            </w:tcBorders>
            <w:vAlign w:val="center"/>
            <w:hideMark/>
          </w:tcPr>
          <w:p w:rsidR="00107BA8" w:rsidRPr="00107BA8" w:rsidRDefault="00107BA8" w:rsidP="00107BA8">
            <w:pPr>
              <w:spacing w:before="0" w:after="0"/>
              <w:jc w:val="left"/>
              <w:rPr>
                <w:rFonts w:ascii="Calibri" w:eastAsia="Times New Roman" w:hAnsi="Calibri" w:cs="Times New Roman"/>
                <w:color w:val="000000"/>
                <w:sz w:val="16"/>
                <w:szCs w:val="16"/>
                <w:lang w:eastAsia="cs-CZ"/>
              </w:rPr>
            </w:pPr>
          </w:p>
        </w:tc>
        <w:tc>
          <w:tcPr>
            <w:tcW w:w="960" w:type="dxa"/>
            <w:tcBorders>
              <w:top w:val="nil"/>
              <w:left w:val="nil"/>
              <w:bottom w:val="single" w:sz="4" w:space="0" w:color="auto"/>
              <w:right w:val="single" w:sz="4" w:space="0" w:color="auto"/>
            </w:tcBorders>
            <w:shd w:val="clear" w:color="000000" w:fill="EBF1DE"/>
            <w:noWrap/>
            <w:vAlign w:val="center"/>
            <w:hideMark/>
          </w:tcPr>
          <w:p w:rsidR="00107BA8" w:rsidRPr="00107BA8" w:rsidRDefault="00107BA8" w:rsidP="00107BA8">
            <w:pPr>
              <w:spacing w:before="0" w:after="0"/>
              <w:jc w:val="center"/>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2013</w:t>
            </w:r>
          </w:p>
        </w:tc>
        <w:tc>
          <w:tcPr>
            <w:tcW w:w="1260" w:type="dxa"/>
            <w:tcBorders>
              <w:top w:val="nil"/>
              <w:left w:val="nil"/>
              <w:bottom w:val="single" w:sz="4" w:space="0" w:color="auto"/>
              <w:right w:val="single" w:sz="4" w:space="0" w:color="auto"/>
            </w:tcBorders>
            <w:shd w:val="clear" w:color="000000" w:fill="EBF1DE"/>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31 920</w:t>
            </w:r>
          </w:p>
        </w:tc>
        <w:tc>
          <w:tcPr>
            <w:tcW w:w="1180" w:type="dxa"/>
            <w:tcBorders>
              <w:top w:val="nil"/>
              <w:left w:val="nil"/>
              <w:bottom w:val="single" w:sz="4" w:space="0" w:color="auto"/>
              <w:right w:val="single" w:sz="4" w:space="0" w:color="auto"/>
            </w:tcBorders>
            <w:shd w:val="clear" w:color="000000" w:fill="EBF1DE"/>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697</w:t>
            </w:r>
          </w:p>
        </w:tc>
        <w:tc>
          <w:tcPr>
            <w:tcW w:w="1220" w:type="dxa"/>
            <w:tcBorders>
              <w:top w:val="nil"/>
              <w:left w:val="nil"/>
              <w:bottom w:val="single" w:sz="4" w:space="0" w:color="auto"/>
              <w:right w:val="single" w:sz="4" w:space="0" w:color="auto"/>
            </w:tcBorders>
            <w:shd w:val="clear" w:color="000000" w:fill="EBF1DE"/>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98%</w:t>
            </w:r>
          </w:p>
        </w:tc>
      </w:tr>
      <w:tr w:rsidR="00107BA8" w:rsidRPr="00107BA8" w:rsidTr="00107BA8">
        <w:trPr>
          <w:trHeight w:val="199"/>
        </w:trPr>
        <w:tc>
          <w:tcPr>
            <w:tcW w:w="4680" w:type="dxa"/>
            <w:gridSpan w:val="2"/>
            <w:vMerge/>
            <w:tcBorders>
              <w:top w:val="single" w:sz="4" w:space="0" w:color="auto"/>
              <w:left w:val="single" w:sz="4" w:space="0" w:color="auto"/>
              <w:bottom w:val="single" w:sz="4" w:space="0" w:color="000000"/>
              <w:right w:val="single" w:sz="4" w:space="0" w:color="000000"/>
            </w:tcBorders>
            <w:vAlign w:val="center"/>
            <w:hideMark/>
          </w:tcPr>
          <w:p w:rsidR="00107BA8" w:rsidRPr="00107BA8" w:rsidRDefault="00107BA8" w:rsidP="00107BA8">
            <w:pPr>
              <w:spacing w:before="0" w:after="0"/>
              <w:jc w:val="left"/>
              <w:rPr>
                <w:rFonts w:ascii="Calibri" w:eastAsia="Times New Roman" w:hAnsi="Calibri" w:cs="Times New Roman"/>
                <w:color w:val="000000"/>
                <w:sz w:val="16"/>
                <w:szCs w:val="16"/>
                <w:lang w:eastAsia="cs-CZ"/>
              </w:rPr>
            </w:pPr>
          </w:p>
        </w:tc>
        <w:tc>
          <w:tcPr>
            <w:tcW w:w="960" w:type="dxa"/>
            <w:tcBorders>
              <w:top w:val="nil"/>
              <w:left w:val="nil"/>
              <w:bottom w:val="single" w:sz="4" w:space="0" w:color="auto"/>
              <w:right w:val="single" w:sz="4" w:space="0" w:color="auto"/>
            </w:tcBorders>
            <w:shd w:val="clear" w:color="000000" w:fill="EBF1DE"/>
            <w:noWrap/>
            <w:vAlign w:val="center"/>
            <w:hideMark/>
          </w:tcPr>
          <w:p w:rsidR="00107BA8" w:rsidRPr="00107BA8" w:rsidRDefault="00107BA8" w:rsidP="00107BA8">
            <w:pPr>
              <w:spacing w:before="0" w:after="0"/>
              <w:jc w:val="center"/>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2014</w:t>
            </w:r>
          </w:p>
        </w:tc>
        <w:tc>
          <w:tcPr>
            <w:tcW w:w="1260" w:type="dxa"/>
            <w:tcBorders>
              <w:top w:val="nil"/>
              <w:left w:val="nil"/>
              <w:bottom w:val="single" w:sz="4" w:space="0" w:color="auto"/>
              <w:right w:val="single" w:sz="4" w:space="0" w:color="auto"/>
            </w:tcBorders>
            <w:shd w:val="clear" w:color="000000" w:fill="EBF1DE"/>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32 948</w:t>
            </w:r>
          </w:p>
        </w:tc>
        <w:tc>
          <w:tcPr>
            <w:tcW w:w="1180" w:type="dxa"/>
            <w:tcBorders>
              <w:top w:val="nil"/>
              <w:left w:val="nil"/>
              <w:bottom w:val="single" w:sz="4" w:space="0" w:color="auto"/>
              <w:right w:val="single" w:sz="4" w:space="0" w:color="auto"/>
            </w:tcBorders>
            <w:shd w:val="clear" w:color="000000" w:fill="EBF1DE"/>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1 621</w:t>
            </w:r>
          </w:p>
        </w:tc>
        <w:tc>
          <w:tcPr>
            <w:tcW w:w="1220" w:type="dxa"/>
            <w:tcBorders>
              <w:top w:val="nil"/>
              <w:left w:val="nil"/>
              <w:bottom w:val="single" w:sz="4" w:space="0" w:color="auto"/>
              <w:right w:val="single" w:sz="4" w:space="0" w:color="auto"/>
            </w:tcBorders>
            <w:shd w:val="clear" w:color="000000" w:fill="EBF1DE"/>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95%</w:t>
            </w:r>
          </w:p>
        </w:tc>
      </w:tr>
      <w:tr w:rsidR="00107BA8" w:rsidRPr="00107BA8" w:rsidTr="00107BA8">
        <w:trPr>
          <w:trHeight w:val="199"/>
        </w:trPr>
        <w:tc>
          <w:tcPr>
            <w:tcW w:w="4680" w:type="dxa"/>
            <w:gridSpan w:val="2"/>
            <w:vMerge/>
            <w:tcBorders>
              <w:top w:val="single" w:sz="4" w:space="0" w:color="auto"/>
              <w:left w:val="single" w:sz="4" w:space="0" w:color="auto"/>
              <w:bottom w:val="single" w:sz="4" w:space="0" w:color="000000"/>
              <w:right w:val="single" w:sz="4" w:space="0" w:color="000000"/>
            </w:tcBorders>
            <w:vAlign w:val="center"/>
            <w:hideMark/>
          </w:tcPr>
          <w:p w:rsidR="00107BA8" w:rsidRPr="00107BA8" w:rsidRDefault="00107BA8" w:rsidP="00107BA8">
            <w:pPr>
              <w:spacing w:before="0" w:after="0"/>
              <w:jc w:val="left"/>
              <w:rPr>
                <w:rFonts w:ascii="Calibri" w:eastAsia="Times New Roman" w:hAnsi="Calibri" w:cs="Times New Roman"/>
                <w:color w:val="000000"/>
                <w:sz w:val="16"/>
                <w:szCs w:val="16"/>
                <w:lang w:eastAsia="cs-CZ"/>
              </w:rPr>
            </w:pPr>
          </w:p>
        </w:tc>
        <w:tc>
          <w:tcPr>
            <w:tcW w:w="960" w:type="dxa"/>
            <w:tcBorders>
              <w:top w:val="nil"/>
              <w:left w:val="nil"/>
              <w:bottom w:val="single" w:sz="4" w:space="0" w:color="auto"/>
              <w:right w:val="single" w:sz="4" w:space="0" w:color="auto"/>
            </w:tcBorders>
            <w:shd w:val="clear" w:color="000000" w:fill="EBF1DE"/>
            <w:noWrap/>
            <w:vAlign w:val="center"/>
            <w:hideMark/>
          </w:tcPr>
          <w:p w:rsidR="00107BA8" w:rsidRPr="00107BA8" w:rsidRDefault="00107BA8" w:rsidP="00107BA8">
            <w:pPr>
              <w:spacing w:before="0" w:after="0"/>
              <w:jc w:val="center"/>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2015</w:t>
            </w:r>
          </w:p>
        </w:tc>
        <w:tc>
          <w:tcPr>
            <w:tcW w:w="1260" w:type="dxa"/>
            <w:tcBorders>
              <w:top w:val="nil"/>
              <w:left w:val="nil"/>
              <w:bottom w:val="single" w:sz="4" w:space="0" w:color="auto"/>
              <w:right w:val="single" w:sz="4" w:space="0" w:color="auto"/>
            </w:tcBorders>
            <w:shd w:val="clear" w:color="000000" w:fill="EBF1DE"/>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25 927</w:t>
            </w:r>
          </w:p>
        </w:tc>
        <w:tc>
          <w:tcPr>
            <w:tcW w:w="1180" w:type="dxa"/>
            <w:tcBorders>
              <w:top w:val="nil"/>
              <w:left w:val="nil"/>
              <w:bottom w:val="single" w:sz="4" w:space="0" w:color="auto"/>
              <w:right w:val="single" w:sz="4" w:space="0" w:color="auto"/>
            </w:tcBorders>
            <w:shd w:val="clear" w:color="000000" w:fill="EBF1DE"/>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0</w:t>
            </w:r>
          </w:p>
        </w:tc>
        <w:tc>
          <w:tcPr>
            <w:tcW w:w="1220" w:type="dxa"/>
            <w:tcBorders>
              <w:top w:val="nil"/>
              <w:left w:val="nil"/>
              <w:bottom w:val="single" w:sz="4" w:space="0" w:color="auto"/>
              <w:right w:val="single" w:sz="4" w:space="0" w:color="auto"/>
            </w:tcBorders>
            <w:shd w:val="clear" w:color="000000" w:fill="EBF1DE"/>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100%</w:t>
            </w:r>
          </w:p>
        </w:tc>
      </w:tr>
      <w:tr w:rsidR="00107BA8" w:rsidRPr="00107BA8" w:rsidTr="00107BA8">
        <w:trPr>
          <w:trHeight w:val="199"/>
        </w:trPr>
        <w:tc>
          <w:tcPr>
            <w:tcW w:w="4680" w:type="dxa"/>
            <w:gridSpan w:val="2"/>
            <w:vMerge/>
            <w:tcBorders>
              <w:top w:val="single" w:sz="4" w:space="0" w:color="auto"/>
              <w:left w:val="single" w:sz="4" w:space="0" w:color="auto"/>
              <w:bottom w:val="single" w:sz="4" w:space="0" w:color="000000"/>
              <w:right w:val="single" w:sz="4" w:space="0" w:color="000000"/>
            </w:tcBorders>
            <w:vAlign w:val="center"/>
            <w:hideMark/>
          </w:tcPr>
          <w:p w:rsidR="00107BA8" w:rsidRPr="00107BA8" w:rsidRDefault="00107BA8" w:rsidP="00107BA8">
            <w:pPr>
              <w:spacing w:before="0" w:after="0"/>
              <w:jc w:val="left"/>
              <w:rPr>
                <w:rFonts w:ascii="Calibri" w:eastAsia="Times New Roman" w:hAnsi="Calibri" w:cs="Times New Roman"/>
                <w:color w:val="000000"/>
                <w:sz w:val="16"/>
                <w:szCs w:val="16"/>
                <w:lang w:eastAsia="cs-CZ"/>
              </w:rPr>
            </w:pPr>
          </w:p>
        </w:tc>
        <w:tc>
          <w:tcPr>
            <w:tcW w:w="960" w:type="dxa"/>
            <w:tcBorders>
              <w:top w:val="nil"/>
              <w:left w:val="nil"/>
              <w:bottom w:val="single" w:sz="4" w:space="0" w:color="auto"/>
              <w:right w:val="single" w:sz="4" w:space="0" w:color="auto"/>
            </w:tcBorders>
            <w:shd w:val="clear" w:color="000000" w:fill="EBF1DE"/>
            <w:noWrap/>
            <w:vAlign w:val="center"/>
            <w:hideMark/>
          </w:tcPr>
          <w:p w:rsidR="00107BA8" w:rsidRPr="00107BA8" w:rsidRDefault="00107BA8" w:rsidP="00107BA8">
            <w:pPr>
              <w:spacing w:before="0" w:after="0"/>
              <w:jc w:val="center"/>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2016</w:t>
            </w:r>
          </w:p>
        </w:tc>
        <w:tc>
          <w:tcPr>
            <w:tcW w:w="1260" w:type="dxa"/>
            <w:tcBorders>
              <w:top w:val="nil"/>
              <w:left w:val="nil"/>
              <w:bottom w:val="single" w:sz="4" w:space="0" w:color="auto"/>
              <w:right w:val="single" w:sz="4" w:space="0" w:color="auto"/>
            </w:tcBorders>
            <w:shd w:val="clear" w:color="000000" w:fill="EBF1DE"/>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2 381</w:t>
            </w:r>
          </w:p>
        </w:tc>
        <w:tc>
          <w:tcPr>
            <w:tcW w:w="1180" w:type="dxa"/>
            <w:tcBorders>
              <w:top w:val="nil"/>
              <w:left w:val="nil"/>
              <w:bottom w:val="single" w:sz="4" w:space="0" w:color="auto"/>
              <w:right w:val="single" w:sz="4" w:space="0" w:color="auto"/>
            </w:tcBorders>
            <w:shd w:val="clear" w:color="000000" w:fill="EBF1DE"/>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0</w:t>
            </w:r>
          </w:p>
        </w:tc>
        <w:tc>
          <w:tcPr>
            <w:tcW w:w="1220" w:type="dxa"/>
            <w:tcBorders>
              <w:top w:val="nil"/>
              <w:left w:val="nil"/>
              <w:bottom w:val="single" w:sz="4" w:space="0" w:color="auto"/>
              <w:right w:val="single" w:sz="4" w:space="0" w:color="auto"/>
            </w:tcBorders>
            <w:shd w:val="clear" w:color="000000" w:fill="EBF1DE"/>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100%</w:t>
            </w:r>
          </w:p>
        </w:tc>
      </w:tr>
      <w:tr w:rsidR="00107BA8" w:rsidRPr="00107BA8" w:rsidTr="00107BA8">
        <w:trPr>
          <w:trHeight w:val="199"/>
        </w:trPr>
        <w:tc>
          <w:tcPr>
            <w:tcW w:w="4680" w:type="dxa"/>
            <w:gridSpan w:val="2"/>
            <w:vMerge/>
            <w:tcBorders>
              <w:top w:val="single" w:sz="4" w:space="0" w:color="auto"/>
              <w:left w:val="single" w:sz="4" w:space="0" w:color="auto"/>
              <w:bottom w:val="single" w:sz="4" w:space="0" w:color="000000"/>
              <w:right w:val="single" w:sz="4" w:space="0" w:color="000000"/>
            </w:tcBorders>
            <w:vAlign w:val="center"/>
            <w:hideMark/>
          </w:tcPr>
          <w:p w:rsidR="00107BA8" w:rsidRPr="00107BA8" w:rsidRDefault="00107BA8" w:rsidP="00107BA8">
            <w:pPr>
              <w:spacing w:before="0" w:after="0"/>
              <w:jc w:val="left"/>
              <w:rPr>
                <w:rFonts w:ascii="Calibri" w:eastAsia="Times New Roman" w:hAnsi="Calibri" w:cs="Times New Roman"/>
                <w:color w:val="000000"/>
                <w:sz w:val="16"/>
                <w:szCs w:val="16"/>
                <w:lang w:eastAsia="cs-CZ"/>
              </w:rPr>
            </w:pPr>
          </w:p>
        </w:tc>
        <w:tc>
          <w:tcPr>
            <w:tcW w:w="960" w:type="dxa"/>
            <w:tcBorders>
              <w:top w:val="nil"/>
              <w:left w:val="nil"/>
              <w:bottom w:val="single" w:sz="4" w:space="0" w:color="auto"/>
              <w:right w:val="single" w:sz="4" w:space="0" w:color="auto"/>
            </w:tcBorders>
            <w:shd w:val="clear" w:color="000000" w:fill="EBF1DE"/>
            <w:noWrap/>
            <w:vAlign w:val="center"/>
            <w:hideMark/>
          </w:tcPr>
          <w:p w:rsidR="00107BA8" w:rsidRPr="00107BA8" w:rsidRDefault="00107BA8" w:rsidP="00107BA8">
            <w:pPr>
              <w:spacing w:before="0" w:after="0"/>
              <w:jc w:val="center"/>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2017</w:t>
            </w:r>
          </w:p>
        </w:tc>
        <w:tc>
          <w:tcPr>
            <w:tcW w:w="1260" w:type="dxa"/>
            <w:tcBorders>
              <w:top w:val="nil"/>
              <w:left w:val="nil"/>
              <w:bottom w:val="single" w:sz="4" w:space="0" w:color="auto"/>
              <w:right w:val="single" w:sz="4" w:space="0" w:color="auto"/>
            </w:tcBorders>
            <w:shd w:val="clear" w:color="000000" w:fill="EBF1DE"/>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1 181</w:t>
            </w:r>
          </w:p>
        </w:tc>
        <w:tc>
          <w:tcPr>
            <w:tcW w:w="1180" w:type="dxa"/>
            <w:tcBorders>
              <w:top w:val="nil"/>
              <w:left w:val="nil"/>
              <w:bottom w:val="single" w:sz="4" w:space="0" w:color="auto"/>
              <w:right w:val="single" w:sz="4" w:space="0" w:color="auto"/>
            </w:tcBorders>
            <w:shd w:val="clear" w:color="000000" w:fill="EBF1DE"/>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0</w:t>
            </w:r>
          </w:p>
        </w:tc>
        <w:tc>
          <w:tcPr>
            <w:tcW w:w="1220" w:type="dxa"/>
            <w:tcBorders>
              <w:top w:val="nil"/>
              <w:left w:val="nil"/>
              <w:bottom w:val="single" w:sz="4" w:space="0" w:color="auto"/>
              <w:right w:val="single" w:sz="4" w:space="0" w:color="auto"/>
            </w:tcBorders>
            <w:shd w:val="clear" w:color="000000" w:fill="EBF1DE"/>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100%</w:t>
            </w:r>
          </w:p>
        </w:tc>
      </w:tr>
      <w:tr w:rsidR="00107BA8" w:rsidRPr="00107BA8" w:rsidTr="00107BA8">
        <w:trPr>
          <w:trHeight w:val="199"/>
        </w:trPr>
        <w:tc>
          <w:tcPr>
            <w:tcW w:w="4680" w:type="dxa"/>
            <w:gridSpan w:val="2"/>
            <w:vMerge/>
            <w:tcBorders>
              <w:top w:val="single" w:sz="4" w:space="0" w:color="auto"/>
              <w:left w:val="single" w:sz="4" w:space="0" w:color="auto"/>
              <w:bottom w:val="single" w:sz="4" w:space="0" w:color="000000"/>
              <w:right w:val="single" w:sz="4" w:space="0" w:color="000000"/>
            </w:tcBorders>
            <w:vAlign w:val="center"/>
            <w:hideMark/>
          </w:tcPr>
          <w:p w:rsidR="00107BA8" w:rsidRPr="00107BA8" w:rsidRDefault="00107BA8" w:rsidP="00107BA8">
            <w:pPr>
              <w:spacing w:before="0" w:after="0"/>
              <w:jc w:val="left"/>
              <w:rPr>
                <w:rFonts w:ascii="Calibri" w:eastAsia="Times New Roman" w:hAnsi="Calibri" w:cs="Times New Roman"/>
                <w:color w:val="000000"/>
                <w:sz w:val="16"/>
                <w:szCs w:val="16"/>
                <w:lang w:eastAsia="cs-CZ"/>
              </w:rPr>
            </w:pPr>
          </w:p>
        </w:tc>
        <w:tc>
          <w:tcPr>
            <w:tcW w:w="960" w:type="dxa"/>
            <w:tcBorders>
              <w:top w:val="nil"/>
              <w:left w:val="nil"/>
              <w:bottom w:val="single" w:sz="4" w:space="0" w:color="auto"/>
              <w:right w:val="single" w:sz="4" w:space="0" w:color="auto"/>
            </w:tcBorders>
            <w:shd w:val="clear" w:color="000000" w:fill="EBF1DE"/>
            <w:noWrap/>
            <w:vAlign w:val="center"/>
            <w:hideMark/>
          </w:tcPr>
          <w:p w:rsidR="00107BA8" w:rsidRPr="00107BA8" w:rsidRDefault="00107BA8" w:rsidP="00107BA8">
            <w:pPr>
              <w:spacing w:before="0" w:after="0"/>
              <w:jc w:val="center"/>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2018</w:t>
            </w:r>
          </w:p>
        </w:tc>
        <w:tc>
          <w:tcPr>
            <w:tcW w:w="1260" w:type="dxa"/>
            <w:tcBorders>
              <w:top w:val="nil"/>
              <w:left w:val="nil"/>
              <w:bottom w:val="single" w:sz="4" w:space="0" w:color="auto"/>
              <w:right w:val="single" w:sz="4" w:space="0" w:color="auto"/>
            </w:tcBorders>
            <w:shd w:val="clear" w:color="000000" w:fill="EBF1DE"/>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1 130</w:t>
            </w:r>
          </w:p>
        </w:tc>
        <w:tc>
          <w:tcPr>
            <w:tcW w:w="1180" w:type="dxa"/>
            <w:tcBorders>
              <w:top w:val="nil"/>
              <w:left w:val="nil"/>
              <w:bottom w:val="single" w:sz="4" w:space="0" w:color="auto"/>
              <w:right w:val="single" w:sz="4" w:space="0" w:color="auto"/>
            </w:tcBorders>
            <w:shd w:val="clear" w:color="000000" w:fill="EBF1DE"/>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0</w:t>
            </w:r>
          </w:p>
        </w:tc>
        <w:tc>
          <w:tcPr>
            <w:tcW w:w="1220" w:type="dxa"/>
            <w:tcBorders>
              <w:top w:val="nil"/>
              <w:left w:val="nil"/>
              <w:bottom w:val="single" w:sz="4" w:space="0" w:color="auto"/>
              <w:right w:val="single" w:sz="4" w:space="0" w:color="auto"/>
            </w:tcBorders>
            <w:shd w:val="clear" w:color="000000" w:fill="EBF1DE"/>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100%</w:t>
            </w:r>
          </w:p>
        </w:tc>
      </w:tr>
      <w:tr w:rsidR="00107BA8" w:rsidRPr="00107BA8" w:rsidTr="00107BA8">
        <w:trPr>
          <w:trHeight w:val="199"/>
        </w:trPr>
        <w:tc>
          <w:tcPr>
            <w:tcW w:w="4680" w:type="dxa"/>
            <w:gridSpan w:val="2"/>
            <w:vMerge w:val="restart"/>
            <w:tcBorders>
              <w:top w:val="single" w:sz="4" w:space="0" w:color="auto"/>
              <w:left w:val="single" w:sz="4" w:space="0" w:color="auto"/>
              <w:bottom w:val="single" w:sz="4" w:space="0" w:color="000000"/>
              <w:right w:val="single" w:sz="4" w:space="0" w:color="000000"/>
            </w:tcBorders>
            <w:shd w:val="clear" w:color="auto" w:fill="auto"/>
            <w:noWrap/>
            <w:vAlign w:val="center"/>
            <w:hideMark/>
          </w:tcPr>
          <w:p w:rsidR="00107BA8" w:rsidRPr="00107BA8" w:rsidRDefault="00107BA8" w:rsidP="00107BA8">
            <w:pPr>
              <w:spacing w:before="0" w:after="0"/>
              <w:jc w:val="lef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Národní archiv</w:t>
            </w:r>
          </w:p>
        </w:tc>
        <w:tc>
          <w:tcPr>
            <w:tcW w:w="96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center"/>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2011</w:t>
            </w:r>
          </w:p>
        </w:tc>
        <w:tc>
          <w:tcPr>
            <w:tcW w:w="126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4 138</w:t>
            </w:r>
          </w:p>
        </w:tc>
        <w:tc>
          <w:tcPr>
            <w:tcW w:w="118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3 821</w:t>
            </w:r>
          </w:p>
        </w:tc>
        <w:tc>
          <w:tcPr>
            <w:tcW w:w="122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52%</w:t>
            </w:r>
          </w:p>
        </w:tc>
      </w:tr>
      <w:tr w:rsidR="00107BA8" w:rsidRPr="00107BA8" w:rsidTr="00107BA8">
        <w:trPr>
          <w:trHeight w:val="199"/>
        </w:trPr>
        <w:tc>
          <w:tcPr>
            <w:tcW w:w="4680" w:type="dxa"/>
            <w:gridSpan w:val="2"/>
            <w:vMerge/>
            <w:tcBorders>
              <w:top w:val="single" w:sz="4" w:space="0" w:color="auto"/>
              <w:left w:val="single" w:sz="4" w:space="0" w:color="auto"/>
              <w:bottom w:val="single" w:sz="4" w:space="0" w:color="000000"/>
              <w:right w:val="single" w:sz="4" w:space="0" w:color="000000"/>
            </w:tcBorders>
            <w:vAlign w:val="center"/>
            <w:hideMark/>
          </w:tcPr>
          <w:p w:rsidR="00107BA8" w:rsidRPr="00107BA8" w:rsidRDefault="00107BA8" w:rsidP="00107BA8">
            <w:pPr>
              <w:spacing w:before="0" w:after="0"/>
              <w:jc w:val="left"/>
              <w:rPr>
                <w:rFonts w:ascii="Calibri" w:eastAsia="Times New Roman" w:hAnsi="Calibri" w:cs="Times New Roman"/>
                <w:color w:val="000000"/>
                <w:sz w:val="16"/>
                <w:szCs w:val="16"/>
                <w:lang w:eastAsia="cs-CZ"/>
              </w:rPr>
            </w:pPr>
          </w:p>
        </w:tc>
        <w:tc>
          <w:tcPr>
            <w:tcW w:w="96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center"/>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2012</w:t>
            </w:r>
          </w:p>
        </w:tc>
        <w:tc>
          <w:tcPr>
            <w:tcW w:w="126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1 190</w:t>
            </w:r>
          </w:p>
        </w:tc>
        <w:tc>
          <w:tcPr>
            <w:tcW w:w="118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3 841</w:t>
            </w:r>
          </w:p>
        </w:tc>
        <w:tc>
          <w:tcPr>
            <w:tcW w:w="122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24%</w:t>
            </w:r>
          </w:p>
        </w:tc>
      </w:tr>
      <w:tr w:rsidR="00107BA8" w:rsidRPr="00107BA8" w:rsidTr="00107BA8">
        <w:trPr>
          <w:trHeight w:val="199"/>
        </w:trPr>
        <w:tc>
          <w:tcPr>
            <w:tcW w:w="4680" w:type="dxa"/>
            <w:gridSpan w:val="2"/>
            <w:vMerge/>
            <w:tcBorders>
              <w:top w:val="single" w:sz="4" w:space="0" w:color="auto"/>
              <w:left w:val="single" w:sz="4" w:space="0" w:color="auto"/>
              <w:bottom w:val="single" w:sz="4" w:space="0" w:color="000000"/>
              <w:right w:val="single" w:sz="4" w:space="0" w:color="000000"/>
            </w:tcBorders>
            <w:vAlign w:val="center"/>
            <w:hideMark/>
          </w:tcPr>
          <w:p w:rsidR="00107BA8" w:rsidRPr="00107BA8" w:rsidRDefault="00107BA8" w:rsidP="00107BA8">
            <w:pPr>
              <w:spacing w:before="0" w:after="0"/>
              <w:jc w:val="left"/>
              <w:rPr>
                <w:rFonts w:ascii="Calibri" w:eastAsia="Times New Roman" w:hAnsi="Calibri" w:cs="Times New Roman"/>
                <w:color w:val="000000"/>
                <w:sz w:val="16"/>
                <w:szCs w:val="16"/>
                <w:lang w:eastAsia="cs-CZ"/>
              </w:rPr>
            </w:pPr>
          </w:p>
        </w:tc>
        <w:tc>
          <w:tcPr>
            <w:tcW w:w="96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center"/>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2013</w:t>
            </w:r>
          </w:p>
        </w:tc>
        <w:tc>
          <w:tcPr>
            <w:tcW w:w="126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1 060</w:t>
            </w:r>
          </w:p>
        </w:tc>
        <w:tc>
          <w:tcPr>
            <w:tcW w:w="118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3 667</w:t>
            </w:r>
          </w:p>
        </w:tc>
        <w:tc>
          <w:tcPr>
            <w:tcW w:w="122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22%</w:t>
            </w:r>
          </w:p>
        </w:tc>
      </w:tr>
      <w:tr w:rsidR="00107BA8" w:rsidRPr="00107BA8" w:rsidTr="00107BA8">
        <w:trPr>
          <w:trHeight w:val="199"/>
        </w:trPr>
        <w:tc>
          <w:tcPr>
            <w:tcW w:w="4680" w:type="dxa"/>
            <w:gridSpan w:val="2"/>
            <w:vMerge/>
            <w:tcBorders>
              <w:top w:val="single" w:sz="4" w:space="0" w:color="auto"/>
              <w:left w:val="single" w:sz="4" w:space="0" w:color="auto"/>
              <w:bottom w:val="single" w:sz="4" w:space="0" w:color="000000"/>
              <w:right w:val="single" w:sz="4" w:space="0" w:color="000000"/>
            </w:tcBorders>
            <w:vAlign w:val="center"/>
            <w:hideMark/>
          </w:tcPr>
          <w:p w:rsidR="00107BA8" w:rsidRPr="00107BA8" w:rsidRDefault="00107BA8" w:rsidP="00107BA8">
            <w:pPr>
              <w:spacing w:before="0" w:after="0"/>
              <w:jc w:val="left"/>
              <w:rPr>
                <w:rFonts w:ascii="Calibri" w:eastAsia="Times New Roman" w:hAnsi="Calibri" w:cs="Times New Roman"/>
                <w:color w:val="000000"/>
                <w:sz w:val="16"/>
                <w:szCs w:val="16"/>
                <w:lang w:eastAsia="cs-CZ"/>
              </w:rPr>
            </w:pPr>
          </w:p>
        </w:tc>
        <w:tc>
          <w:tcPr>
            <w:tcW w:w="96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center"/>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2014</w:t>
            </w:r>
          </w:p>
        </w:tc>
        <w:tc>
          <w:tcPr>
            <w:tcW w:w="126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1 395</w:t>
            </w:r>
          </w:p>
        </w:tc>
        <w:tc>
          <w:tcPr>
            <w:tcW w:w="118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2 458</w:t>
            </w:r>
          </w:p>
        </w:tc>
        <w:tc>
          <w:tcPr>
            <w:tcW w:w="1220" w:type="dxa"/>
            <w:tcBorders>
              <w:top w:val="nil"/>
              <w:left w:val="nil"/>
              <w:bottom w:val="single" w:sz="4" w:space="0" w:color="auto"/>
              <w:right w:val="single" w:sz="4" w:space="0" w:color="auto"/>
            </w:tcBorders>
            <w:shd w:val="clear" w:color="auto" w:fill="auto"/>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36%</w:t>
            </w:r>
          </w:p>
        </w:tc>
      </w:tr>
      <w:tr w:rsidR="00107BA8" w:rsidRPr="00107BA8" w:rsidTr="00107BA8">
        <w:trPr>
          <w:trHeight w:val="199"/>
        </w:trPr>
        <w:tc>
          <w:tcPr>
            <w:tcW w:w="4680" w:type="dxa"/>
            <w:gridSpan w:val="2"/>
            <w:vMerge w:val="restart"/>
            <w:tcBorders>
              <w:top w:val="single" w:sz="4" w:space="0" w:color="auto"/>
              <w:left w:val="single" w:sz="4" w:space="0" w:color="auto"/>
              <w:bottom w:val="single" w:sz="4" w:space="0" w:color="000000"/>
              <w:right w:val="single" w:sz="4" w:space="0" w:color="000000"/>
            </w:tcBorders>
            <w:shd w:val="clear" w:color="000000" w:fill="EBF1DE"/>
            <w:noWrap/>
            <w:vAlign w:val="center"/>
            <w:hideMark/>
          </w:tcPr>
          <w:p w:rsidR="00107BA8" w:rsidRPr="00107BA8" w:rsidRDefault="00107BA8" w:rsidP="00107BA8">
            <w:pPr>
              <w:spacing w:before="0" w:after="0"/>
              <w:jc w:val="lef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Státní ústav radiační ochrany, v.v.i.</w:t>
            </w:r>
          </w:p>
        </w:tc>
        <w:tc>
          <w:tcPr>
            <w:tcW w:w="960" w:type="dxa"/>
            <w:tcBorders>
              <w:top w:val="nil"/>
              <w:left w:val="nil"/>
              <w:bottom w:val="single" w:sz="4" w:space="0" w:color="auto"/>
              <w:right w:val="single" w:sz="4" w:space="0" w:color="auto"/>
            </w:tcBorders>
            <w:shd w:val="clear" w:color="000000" w:fill="EBF1DE"/>
            <w:noWrap/>
            <w:vAlign w:val="center"/>
            <w:hideMark/>
          </w:tcPr>
          <w:p w:rsidR="00107BA8" w:rsidRPr="00107BA8" w:rsidRDefault="00107BA8" w:rsidP="00107BA8">
            <w:pPr>
              <w:spacing w:before="0" w:after="0"/>
              <w:jc w:val="center"/>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2010</w:t>
            </w:r>
          </w:p>
        </w:tc>
        <w:tc>
          <w:tcPr>
            <w:tcW w:w="1260" w:type="dxa"/>
            <w:tcBorders>
              <w:top w:val="nil"/>
              <w:left w:val="nil"/>
              <w:bottom w:val="single" w:sz="4" w:space="0" w:color="auto"/>
              <w:right w:val="single" w:sz="4" w:space="0" w:color="auto"/>
            </w:tcBorders>
            <w:shd w:val="clear" w:color="000000" w:fill="EBF1DE"/>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291</w:t>
            </w:r>
          </w:p>
        </w:tc>
        <w:tc>
          <w:tcPr>
            <w:tcW w:w="1180" w:type="dxa"/>
            <w:tcBorders>
              <w:top w:val="nil"/>
              <w:left w:val="nil"/>
              <w:bottom w:val="single" w:sz="4" w:space="0" w:color="auto"/>
              <w:right w:val="single" w:sz="4" w:space="0" w:color="auto"/>
            </w:tcBorders>
            <w:shd w:val="clear" w:color="000000" w:fill="EBF1DE"/>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604</w:t>
            </w:r>
          </w:p>
        </w:tc>
        <w:tc>
          <w:tcPr>
            <w:tcW w:w="1220" w:type="dxa"/>
            <w:tcBorders>
              <w:top w:val="nil"/>
              <w:left w:val="nil"/>
              <w:bottom w:val="single" w:sz="4" w:space="0" w:color="auto"/>
              <w:right w:val="single" w:sz="4" w:space="0" w:color="auto"/>
            </w:tcBorders>
            <w:shd w:val="clear" w:color="000000" w:fill="EBF1DE"/>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33%</w:t>
            </w:r>
          </w:p>
        </w:tc>
      </w:tr>
      <w:tr w:rsidR="00107BA8" w:rsidRPr="00107BA8" w:rsidTr="00107BA8">
        <w:trPr>
          <w:trHeight w:val="199"/>
        </w:trPr>
        <w:tc>
          <w:tcPr>
            <w:tcW w:w="4680" w:type="dxa"/>
            <w:gridSpan w:val="2"/>
            <w:vMerge/>
            <w:tcBorders>
              <w:top w:val="single" w:sz="4" w:space="0" w:color="auto"/>
              <w:left w:val="single" w:sz="4" w:space="0" w:color="auto"/>
              <w:bottom w:val="single" w:sz="4" w:space="0" w:color="000000"/>
              <w:right w:val="single" w:sz="4" w:space="0" w:color="000000"/>
            </w:tcBorders>
            <w:vAlign w:val="center"/>
            <w:hideMark/>
          </w:tcPr>
          <w:p w:rsidR="00107BA8" w:rsidRPr="00107BA8" w:rsidRDefault="00107BA8" w:rsidP="00107BA8">
            <w:pPr>
              <w:spacing w:before="0" w:after="0"/>
              <w:jc w:val="left"/>
              <w:rPr>
                <w:rFonts w:ascii="Calibri" w:eastAsia="Times New Roman" w:hAnsi="Calibri" w:cs="Times New Roman"/>
                <w:color w:val="000000"/>
                <w:sz w:val="16"/>
                <w:szCs w:val="16"/>
                <w:lang w:eastAsia="cs-CZ"/>
              </w:rPr>
            </w:pPr>
          </w:p>
        </w:tc>
        <w:tc>
          <w:tcPr>
            <w:tcW w:w="960" w:type="dxa"/>
            <w:tcBorders>
              <w:top w:val="nil"/>
              <w:left w:val="nil"/>
              <w:bottom w:val="single" w:sz="4" w:space="0" w:color="auto"/>
              <w:right w:val="single" w:sz="4" w:space="0" w:color="auto"/>
            </w:tcBorders>
            <w:shd w:val="clear" w:color="000000" w:fill="EBF1DE"/>
            <w:noWrap/>
            <w:vAlign w:val="center"/>
            <w:hideMark/>
          </w:tcPr>
          <w:p w:rsidR="00107BA8" w:rsidRPr="00107BA8" w:rsidRDefault="00107BA8" w:rsidP="00107BA8">
            <w:pPr>
              <w:spacing w:before="0" w:after="0"/>
              <w:jc w:val="center"/>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2011</w:t>
            </w:r>
          </w:p>
        </w:tc>
        <w:tc>
          <w:tcPr>
            <w:tcW w:w="1260" w:type="dxa"/>
            <w:tcBorders>
              <w:top w:val="nil"/>
              <w:left w:val="nil"/>
              <w:bottom w:val="single" w:sz="4" w:space="0" w:color="auto"/>
              <w:right w:val="single" w:sz="4" w:space="0" w:color="auto"/>
            </w:tcBorders>
            <w:shd w:val="clear" w:color="000000" w:fill="EBF1DE"/>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13 209</w:t>
            </w:r>
          </w:p>
        </w:tc>
        <w:tc>
          <w:tcPr>
            <w:tcW w:w="1180" w:type="dxa"/>
            <w:tcBorders>
              <w:top w:val="nil"/>
              <w:left w:val="nil"/>
              <w:bottom w:val="single" w:sz="4" w:space="0" w:color="auto"/>
              <w:right w:val="single" w:sz="4" w:space="0" w:color="auto"/>
            </w:tcBorders>
            <w:shd w:val="clear" w:color="000000" w:fill="EBF1DE"/>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774</w:t>
            </w:r>
          </w:p>
        </w:tc>
        <w:tc>
          <w:tcPr>
            <w:tcW w:w="1220" w:type="dxa"/>
            <w:tcBorders>
              <w:top w:val="nil"/>
              <w:left w:val="nil"/>
              <w:bottom w:val="single" w:sz="4" w:space="0" w:color="auto"/>
              <w:right w:val="single" w:sz="4" w:space="0" w:color="auto"/>
            </w:tcBorders>
            <w:shd w:val="clear" w:color="000000" w:fill="EBF1DE"/>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94%</w:t>
            </w:r>
          </w:p>
        </w:tc>
      </w:tr>
      <w:tr w:rsidR="00107BA8" w:rsidRPr="00107BA8" w:rsidTr="00107BA8">
        <w:trPr>
          <w:trHeight w:val="199"/>
        </w:trPr>
        <w:tc>
          <w:tcPr>
            <w:tcW w:w="4680" w:type="dxa"/>
            <w:gridSpan w:val="2"/>
            <w:vMerge/>
            <w:tcBorders>
              <w:top w:val="single" w:sz="4" w:space="0" w:color="auto"/>
              <w:left w:val="single" w:sz="4" w:space="0" w:color="auto"/>
              <w:bottom w:val="single" w:sz="4" w:space="0" w:color="000000"/>
              <w:right w:val="single" w:sz="4" w:space="0" w:color="000000"/>
            </w:tcBorders>
            <w:vAlign w:val="center"/>
            <w:hideMark/>
          </w:tcPr>
          <w:p w:rsidR="00107BA8" w:rsidRPr="00107BA8" w:rsidRDefault="00107BA8" w:rsidP="00107BA8">
            <w:pPr>
              <w:spacing w:before="0" w:after="0"/>
              <w:jc w:val="left"/>
              <w:rPr>
                <w:rFonts w:ascii="Calibri" w:eastAsia="Times New Roman" w:hAnsi="Calibri" w:cs="Times New Roman"/>
                <w:color w:val="000000"/>
                <w:sz w:val="16"/>
                <w:szCs w:val="16"/>
                <w:lang w:eastAsia="cs-CZ"/>
              </w:rPr>
            </w:pPr>
          </w:p>
        </w:tc>
        <w:tc>
          <w:tcPr>
            <w:tcW w:w="960" w:type="dxa"/>
            <w:tcBorders>
              <w:top w:val="nil"/>
              <w:left w:val="nil"/>
              <w:bottom w:val="single" w:sz="4" w:space="0" w:color="auto"/>
              <w:right w:val="single" w:sz="4" w:space="0" w:color="auto"/>
            </w:tcBorders>
            <w:shd w:val="clear" w:color="000000" w:fill="EBF1DE"/>
            <w:noWrap/>
            <w:vAlign w:val="center"/>
            <w:hideMark/>
          </w:tcPr>
          <w:p w:rsidR="00107BA8" w:rsidRPr="00107BA8" w:rsidRDefault="00107BA8" w:rsidP="00107BA8">
            <w:pPr>
              <w:spacing w:before="0" w:after="0"/>
              <w:jc w:val="center"/>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2012</w:t>
            </w:r>
          </w:p>
        </w:tc>
        <w:tc>
          <w:tcPr>
            <w:tcW w:w="1260" w:type="dxa"/>
            <w:tcBorders>
              <w:top w:val="nil"/>
              <w:left w:val="nil"/>
              <w:bottom w:val="single" w:sz="4" w:space="0" w:color="auto"/>
              <w:right w:val="single" w:sz="4" w:space="0" w:color="auto"/>
            </w:tcBorders>
            <w:shd w:val="clear" w:color="000000" w:fill="EBF1DE"/>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19 453</w:t>
            </w:r>
          </w:p>
        </w:tc>
        <w:tc>
          <w:tcPr>
            <w:tcW w:w="1180" w:type="dxa"/>
            <w:tcBorders>
              <w:top w:val="nil"/>
              <w:left w:val="nil"/>
              <w:bottom w:val="single" w:sz="4" w:space="0" w:color="auto"/>
              <w:right w:val="single" w:sz="4" w:space="0" w:color="auto"/>
            </w:tcBorders>
            <w:shd w:val="clear" w:color="000000" w:fill="EBF1DE"/>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16 854</w:t>
            </w:r>
          </w:p>
        </w:tc>
        <w:tc>
          <w:tcPr>
            <w:tcW w:w="1220" w:type="dxa"/>
            <w:tcBorders>
              <w:top w:val="nil"/>
              <w:left w:val="nil"/>
              <w:bottom w:val="single" w:sz="4" w:space="0" w:color="auto"/>
              <w:right w:val="single" w:sz="4" w:space="0" w:color="auto"/>
            </w:tcBorders>
            <w:shd w:val="clear" w:color="000000" w:fill="EBF1DE"/>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54%</w:t>
            </w:r>
          </w:p>
        </w:tc>
      </w:tr>
      <w:tr w:rsidR="00107BA8" w:rsidRPr="00107BA8" w:rsidTr="00107BA8">
        <w:trPr>
          <w:trHeight w:val="199"/>
        </w:trPr>
        <w:tc>
          <w:tcPr>
            <w:tcW w:w="4680" w:type="dxa"/>
            <w:gridSpan w:val="2"/>
            <w:vMerge/>
            <w:tcBorders>
              <w:top w:val="single" w:sz="4" w:space="0" w:color="auto"/>
              <w:left w:val="single" w:sz="4" w:space="0" w:color="auto"/>
              <w:bottom w:val="single" w:sz="4" w:space="0" w:color="000000"/>
              <w:right w:val="single" w:sz="4" w:space="0" w:color="000000"/>
            </w:tcBorders>
            <w:vAlign w:val="center"/>
            <w:hideMark/>
          </w:tcPr>
          <w:p w:rsidR="00107BA8" w:rsidRPr="00107BA8" w:rsidRDefault="00107BA8" w:rsidP="00107BA8">
            <w:pPr>
              <w:spacing w:before="0" w:after="0"/>
              <w:jc w:val="left"/>
              <w:rPr>
                <w:rFonts w:ascii="Calibri" w:eastAsia="Times New Roman" w:hAnsi="Calibri" w:cs="Times New Roman"/>
                <w:color w:val="000000"/>
                <w:sz w:val="16"/>
                <w:szCs w:val="16"/>
                <w:lang w:eastAsia="cs-CZ"/>
              </w:rPr>
            </w:pPr>
          </w:p>
        </w:tc>
        <w:tc>
          <w:tcPr>
            <w:tcW w:w="960" w:type="dxa"/>
            <w:tcBorders>
              <w:top w:val="nil"/>
              <w:left w:val="nil"/>
              <w:bottom w:val="single" w:sz="4" w:space="0" w:color="auto"/>
              <w:right w:val="single" w:sz="4" w:space="0" w:color="auto"/>
            </w:tcBorders>
            <w:shd w:val="clear" w:color="000000" w:fill="EBF1DE"/>
            <w:noWrap/>
            <w:vAlign w:val="center"/>
            <w:hideMark/>
          </w:tcPr>
          <w:p w:rsidR="00107BA8" w:rsidRPr="00107BA8" w:rsidRDefault="00107BA8" w:rsidP="00107BA8">
            <w:pPr>
              <w:spacing w:before="0" w:after="0"/>
              <w:jc w:val="center"/>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2013</w:t>
            </w:r>
          </w:p>
        </w:tc>
        <w:tc>
          <w:tcPr>
            <w:tcW w:w="1260" w:type="dxa"/>
            <w:tcBorders>
              <w:top w:val="nil"/>
              <w:left w:val="nil"/>
              <w:bottom w:val="single" w:sz="4" w:space="0" w:color="auto"/>
              <w:right w:val="single" w:sz="4" w:space="0" w:color="auto"/>
            </w:tcBorders>
            <w:shd w:val="clear" w:color="000000" w:fill="EBF1DE"/>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23 595</w:t>
            </w:r>
          </w:p>
        </w:tc>
        <w:tc>
          <w:tcPr>
            <w:tcW w:w="1180" w:type="dxa"/>
            <w:tcBorders>
              <w:top w:val="nil"/>
              <w:left w:val="nil"/>
              <w:bottom w:val="single" w:sz="4" w:space="0" w:color="auto"/>
              <w:right w:val="single" w:sz="4" w:space="0" w:color="auto"/>
            </w:tcBorders>
            <w:shd w:val="clear" w:color="000000" w:fill="EBF1DE"/>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19 007</w:t>
            </w:r>
          </w:p>
        </w:tc>
        <w:tc>
          <w:tcPr>
            <w:tcW w:w="1220" w:type="dxa"/>
            <w:tcBorders>
              <w:top w:val="nil"/>
              <w:left w:val="nil"/>
              <w:bottom w:val="single" w:sz="4" w:space="0" w:color="auto"/>
              <w:right w:val="single" w:sz="4" w:space="0" w:color="auto"/>
            </w:tcBorders>
            <w:shd w:val="clear" w:color="000000" w:fill="EBF1DE"/>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55%</w:t>
            </w:r>
          </w:p>
        </w:tc>
      </w:tr>
      <w:tr w:rsidR="00107BA8" w:rsidRPr="00107BA8" w:rsidTr="00107BA8">
        <w:trPr>
          <w:trHeight w:val="199"/>
        </w:trPr>
        <w:tc>
          <w:tcPr>
            <w:tcW w:w="4680" w:type="dxa"/>
            <w:gridSpan w:val="2"/>
            <w:vMerge/>
            <w:tcBorders>
              <w:top w:val="single" w:sz="4" w:space="0" w:color="auto"/>
              <w:left w:val="single" w:sz="4" w:space="0" w:color="auto"/>
              <w:bottom w:val="single" w:sz="4" w:space="0" w:color="000000"/>
              <w:right w:val="single" w:sz="4" w:space="0" w:color="000000"/>
            </w:tcBorders>
            <w:vAlign w:val="center"/>
            <w:hideMark/>
          </w:tcPr>
          <w:p w:rsidR="00107BA8" w:rsidRPr="00107BA8" w:rsidRDefault="00107BA8" w:rsidP="00107BA8">
            <w:pPr>
              <w:spacing w:before="0" w:after="0"/>
              <w:jc w:val="left"/>
              <w:rPr>
                <w:rFonts w:ascii="Calibri" w:eastAsia="Times New Roman" w:hAnsi="Calibri" w:cs="Times New Roman"/>
                <w:color w:val="000000"/>
                <w:sz w:val="16"/>
                <w:szCs w:val="16"/>
                <w:lang w:eastAsia="cs-CZ"/>
              </w:rPr>
            </w:pPr>
          </w:p>
        </w:tc>
        <w:tc>
          <w:tcPr>
            <w:tcW w:w="960" w:type="dxa"/>
            <w:tcBorders>
              <w:top w:val="nil"/>
              <w:left w:val="nil"/>
              <w:bottom w:val="single" w:sz="4" w:space="0" w:color="auto"/>
              <w:right w:val="single" w:sz="4" w:space="0" w:color="auto"/>
            </w:tcBorders>
            <w:shd w:val="clear" w:color="000000" w:fill="EBF1DE"/>
            <w:noWrap/>
            <w:vAlign w:val="center"/>
            <w:hideMark/>
          </w:tcPr>
          <w:p w:rsidR="00107BA8" w:rsidRPr="00107BA8" w:rsidRDefault="00107BA8" w:rsidP="00107BA8">
            <w:pPr>
              <w:spacing w:before="0" w:after="0"/>
              <w:jc w:val="center"/>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2014</w:t>
            </w:r>
          </w:p>
        </w:tc>
        <w:tc>
          <w:tcPr>
            <w:tcW w:w="1260" w:type="dxa"/>
            <w:tcBorders>
              <w:top w:val="nil"/>
              <w:left w:val="nil"/>
              <w:bottom w:val="single" w:sz="4" w:space="0" w:color="auto"/>
              <w:right w:val="single" w:sz="4" w:space="0" w:color="auto"/>
            </w:tcBorders>
            <w:shd w:val="clear" w:color="000000" w:fill="EBF1DE"/>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33 430</w:t>
            </w:r>
          </w:p>
        </w:tc>
        <w:tc>
          <w:tcPr>
            <w:tcW w:w="1180" w:type="dxa"/>
            <w:tcBorders>
              <w:top w:val="nil"/>
              <w:left w:val="nil"/>
              <w:bottom w:val="single" w:sz="4" w:space="0" w:color="auto"/>
              <w:right w:val="single" w:sz="4" w:space="0" w:color="auto"/>
            </w:tcBorders>
            <w:shd w:val="clear" w:color="000000" w:fill="EBF1DE"/>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20 180</w:t>
            </w:r>
          </w:p>
        </w:tc>
        <w:tc>
          <w:tcPr>
            <w:tcW w:w="1220" w:type="dxa"/>
            <w:tcBorders>
              <w:top w:val="nil"/>
              <w:left w:val="nil"/>
              <w:bottom w:val="single" w:sz="4" w:space="0" w:color="auto"/>
              <w:right w:val="single" w:sz="4" w:space="0" w:color="auto"/>
            </w:tcBorders>
            <w:shd w:val="clear" w:color="000000" w:fill="EBF1DE"/>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62%</w:t>
            </w:r>
          </w:p>
        </w:tc>
      </w:tr>
      <w:tr w:rsidR="00107BA8" w:rsidRPr="00107BA8" w:rsidTr="00107BA8">
        <w:trPr>
          <w:trHeight w:val="199"/>
        </w:trPr>
        <w:tc>
          <w:tcPr>
            <w:tcW w:w="4680" w:type="dxa"/>
            <w:gridSpan w:val="2"/>
            <w:vMerge/>
            <w:tcBorders>
              <w:top w:val="single" w:sz="4" w:space="0" w:color="auto"/>
              <w:left w:val="single" w:sz="4" w:space="0" w:color="auto"/>
              <w:bottom w:val="single" w:sz="4" w:space="0" w:color="000000"/>
              <w:right w:val="single" w:sz="4" w:space="0" w:color="000000"/>
            </w:tcBorders>
            <w:vAlign w:val="center"/>
            <w:hideMark/>
          </w:tcPr>
          <w:p w:rsidR="00107BA8" w:rsidRPr="00107BA8" w:rsidRDefault="00107BA8" w:rsidP="00107BA8">
            <w:pPr>
              <w:spacing w:before="0" w:after="0"/>
              <w:jc w:val="left"/>
              <w:rPr>
                <w:rFonts w:ascii="Calibri" w:eastAsia="Times New Roman" w:hAnsi="Calibri" w:cs="Times New Roman"/>
                <w:color w:val="000000"/>
                <w:sz w:val="16"/>
                <w:szCs w:val="16"/>
                <w:lang w:eastAsia="cs-CZ"/>
              </w:rPr>
            </w:pPr>
          </w:p>
        </w:tc>
        <w:tc>
          <w:tcPr>
            <w:tcW w:w="960" w:type="dxa"/>
            <w:tcBorders>
              <w:top w:val="nil"/>
              <w:left w:val="nil"/>
              <w:bottom w:val="single" w:sz="4" w:space="0" w:color="auto"/>
              <w:right w:val="single" w:sz="4" w:space="0" w:color="auto"/>
            </w:tcBorders>
            <w:shd w:val="clear" w:color="000000" w:fill="EBF1DE"/>
            <w:noWrap/>
            <w:vAlign w:val="center"/>
            <w:hideMark/>
          </w:tcPr>
          <w:p w:rsidR="00107BA8" w:rsidRPr="00107BA8" w:rsidRDefault="00107BA8" w:rsidP="00107BA8">
            <w:pPr>
              <w:spacing w:before="0" w:after="0"/>
              <w:jc w:val="center"/>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2015</w:t>
            </w:r>
          </w:p>
        </w:tc>
        <w:tc>
          <w:tcPr>
            <w:tcW w:w="1260" w:type="dxa"/>
            <w:tcBorders>
              <w:top w:val="nil"/>
              <w:left w:val="nil"/>
              <w:bottom w:val="single" w:sz="4" w:space="0" w:color="auto"/>
              <w:right w:val="single" w:sz="4" w:space="0" w:color="auto"/>
            </w:tcBorders>
            <w:shd w:val="clear" w:color="000000" w:fill="EBF1DE"/>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22 325</w:t>
            </w:r>
          </w:p>
        </w:tc>
        <w:tc>
          <w:tcPr>
            <w:tcW w:w="1180" w:type="dxa"/>
            <w:tcBorders>
              <w:top w:val="nil"/>
              <w:left w:val="nil"/>
              <w:bottom w:val="single" w:sz="4" w:space="0" w:color="auto"/>
              <w:right w:val="single" w:sz="4" w:space="0" w:color="auto"/>
            </w:tcBorders>
            <w:shd w:val="clear" w:color="000000" w:fill="EBF1DE"/>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9 114</w:t>
            </w:r>
          </w:p>
        </w:tc>
        <w:tc>
          <w:tcPr>
            <w:tcW w:w="1220" w:type="dxa"/>
            <w:tcBorders>
              <w:top w:val="nil"/>
              <w:left w:val="nil"/>
              <w:bottom w:val="single" w:sz="4" w:space="0" w:color="auto"/>
              <w:right w:val="single" w:sz="4" w:space="0" w:color="auto"/>
            </w:tcBorders>
            <w:shd w:val="clear" w:color="000000" w:fill="EBF1DE"/>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71%</w:t>
            </w:r>
          </w:p>
        </w:tc>
      </w:tr>
      <w:tr w:rsidR="00107BA8" w:rsidRPr="00107BA8" w:rsidTr="00107BA8">
        <w:trPr>
          <w:trHeight w:val="199"/>
        </w:trPr>
        <w:tc>
          <w:tcPr>
            <w:tcW w:w="4680" w:type="dxa"/>
            <w:gridSpan w:val="2"/>
            <w:vMerge/>
            <w:tcBorders>
              <w:top w:val="single" w:sz="4" w:space="0" w:color="auto"/>
              <w:left w:val="single" w:sz="4" w:space="0" w:color="auto"/>
              <w:bottom w:val="single" w:sz="4" w:space="0" w:color="000000"/>
              <w:right w:val="single" w:sz="4" w:space="0" w:color="000000"/>
            </w:tcBorders>
            <w:vAlign w:val="center"/>
            <w:hideMark/>
          </w:tcPr>
          <w:p w:rsidR="00107BA8" w:rsidRPr="00107BA8" w:rsidRDefault="00107BA8" w:rsidP="00107BA8">
            <w:pPr>
              <w:spacing w:before="0" w:after="0"/>
              <w:jc w:val="left"/>
              <w:rPr>
                <w:rFonts w:ascii="Calibri" w:eastAsia="Times New Roman" w:hAnsi="Calibri" w:cs="Times New Roman"/>
                <w:color w:val="000000"/>
                <w:sz w:val="16"/>
                <w:szCs w:val="16"/>
                <w:lang w:eastAsia="cs-CZ"/>
              </w:rPr>
            </w:pPr>
          </w:p>
        </w:tc>
        <w:tc>
          <w:tcPr>
            <w:tcW w:w="960" w:type="dxa"/>
            <w:tcBorders>
              <w:top w:val="nil"/>
              <w:left w:val="nil"/>
              <w:bottom w:val="single" w:sz="4" w:space="0" w:color="auto"/>
              <w:right w:val="single" w:sz="4" w:space="0" w:color="auto"/>
            </w:tcBorders>
            <w:shd w:val="clear" w:color="000000" w:fill="EBF1DE"/>
            <w:noWrap/>
            <w:vAlign w:val="center"/>
            <w:hideMark/>
          </w:tcPr>
          <w:p w:rsidR="00107BA8" w:rsidRPr="00107BA8" w:rsidRDefault="00107BA8" w:rsidP="00107BA8">
            <w:pPr>
              <w:spacing w:before="0" w:after="0"/>
              <w:jc w:val="center"/>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2016</w:t>
            </w:r>
          </w:p>
        </w:tc>
        <w:tc>
          <w:tcPr>
            <w:tcW w:w="1260" w:type="dxa"/>
            <w:tcBorders>
              <w:top w:val="nil"/>
              <w:left w:val="nil"/>
              <w:bottom w:val="single" w:sz="4" w:space="0" w:color="auto"/>
              <w:right w:val="single" w:sz="4" w:space="0" w:color="auto"/>
            </w:tcBorders>
            <w:shd w:val="clear" w:color="000000" w:fill="EBF1DE"/>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13 960</w:t>
            </w:r>
          </w:p>
        </w:tc>
        <w:tc>
          <w:tcPr>
            <w:tcW w:w="1180" w:type="dxa"/>
            <w:tcBorders>
              <w:top w:val="nil"/>
              <w:left w:val="nil"/>
              <w:bottom w:val="single" w:sz="4" w:space="0" w:color="auto"/>
              <w:right w:val="single" w:sz="4" w:space="0" w:color="auto"/>
            </w:tcBorders>
            <w:shd w:val="clear" w:color="000000" w:fill="EBF1DE"/>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7 613</w:t>
            </w:r>
          </w:p>
        </w:tc>
        <w:tc>
          <w:tcPr>
            <w:tcW w:w="1220" w:type="dxa"/>
            <w:tcBorders>
              <w:top w:val="nil"/>
              <w:left w:val="nil"/>
              <w:bottom w:val="single" w:sz="4" w:space="0" w:color="auto"/>
              <w:right w:val="single" w:sz="4" w:space="0" w:color="auto"/>
            </w:tcBorders>
            <w:shd w:val="clear" w:color="000000" w:fill="EBF1DE"/>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65%</w:t>
            </w:r>
          </w:p>
        </w:tc>
      </w:tr>
      <w:tr w:rsidR="00107BA8" w:rsidRPr="00107BA8" w:rsidTr="00107BA8">
        <w:trPr>
          <w:trHeight w:val="199"/>
        </w:trPr>
        <w:tc>
          <w:tcPr>
            <w:tcW w:w="4680" w:type="dxa"/>
            <w:gridSpan w:val="2"/>
            <w:vMerge/>
            <w:tcBorders>
              <w:top w:val="single" w:sz="4" w:space="0" w:color="auto"/>
              <w:left w:val="single" w:sz="4" w:space="0" w:color="auto"/>
              <w:bottom w:val="single" w:sz="4" w:space="0" w:color="000000"/>
              <w:right w:val="single" w:sz="4" w:space="0" w:color="000000"/>
            </w:tcBorders>
            <w:vAlign w:val="center"/>
            <w:hideMark/>
          </w:tcPr>
          <w:p w:rsidR="00107BA8" w:rsidRPr="00107BA8" w:rsidRDefault="00107BA8" w:rsidP="00107BA8">
            <w:pPr>
              <w:spacing w:before="0" w:after="0"/>
              <w:jc w:val="left"/>
              <w:rPr>
                <w:rFonts w:ascii="Calibri" w:eastAsia="Times New Roman" w:hAnsi="Calibri" w:cs="Times New Roman"/>
                <w:color w:val="000000"/>
                <w:sz w:val="16"/>
                <w:szCs w:val="16"/>
                <w:lang w:eastAsia="cs-CZ"/>
              </w:rPr>
            </w:pPr>
          </w:p>
        </w:tc>
        <w:tc>
          <w:tcPr>
            <w:tcW w:w="960" w:type="dxa"/>
            <w:tcBorders>
              <w:top w:val="nil"/>
              <w:left w:val="nil"/>
              <w:bottom w:val="single" w:sz="4" w:space="0" w:color="auto"/>
              <w:right w:val="single" w:sz="4" w:space="0" w:color="auto"/>
            </w:tcBorders>
            <w:shd w:val="clear" w:color="000000" w:fill="EBF1DE"/>
            <w:noWrap/>
            <w:vAlign w:val="center"/>
            <w:hideMark/>
          </w:tcPr>
          <w:p w:rsidR="00107BA8" w:rsidRPr="00107BA8" w:rsidRDefault="00107BA8" w:rsidP="00107BA8">
            <w:pPr>
              <w:spacing w:before="0" w:after="0"/>
              <w:jc w:val="center"/>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2017</w:t>
            </w:r>
          </w:p>
        </w:tc>
        <w:tc>
          <w:tcPr>
            <w:tcW w:w="1260" w:type="dxa"/>
            <w:tcBorders>
              <w:top w:val="nil"/>
              <w:left w:val="nil"/>
              <w:bottom w:val="single" w:sz="4" w:space="0" w:color="auto"/>
              <w:right w:val="single" w:sz="4" w:space="0" w:color="auto"/>
            </w:tcBorders>
            <w:shd w:val="clear" w:color="000000" w:fill="EBF1DE"/>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8 182</w:t>
            </w:r>
          </w:p>
        </w:tc>
        <w:tc>
          <w:tcPr>
            <w:tcW w:w="1180" w:type="dxa"/>
            <w:tcBorders>
              <w:top w:val="nil"/>
              <w:left w:val="nil"/>
              <w:bottom w:val="single" w:sz="4" w:space="0" w:color="auto"/>
              <w:right w:val="single" w:sz="4" w:space="0" w:color="auto"/>
            </w:tcBorders>
            <w:shd w:val="clear" w:color="000000" w:fill="EBF1DE"/>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4 997</w:t>
            </w:r>
          </w:p>
        </w:tc>
        <w:tc>
          <w:tcPr>
            <w:tcW w:w="1220" w:type="dxa"/>
            <w:tcBorders>
              <w:top w:val="nil"/>
              <w:left w:val="nil"/>
              <w:bottom w:val="single" w:sz="4" w:space="0" w:color="auto"/>
              <w:right w:val="single" w:sz="4" w:space="0" w:color="auto"/>
            </w:tcBorders>
            <w:shd w:val="clear" w:color="000000" w:fill="EBF1DE"/>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62%</w:t>
            </w:r>
          </w:p>
        </w:tc>
      </w:tr>
      <w:tr w:rsidR="00107BA8" w:rsidRPr="00107BA8" w:rsidTr="00107BA8">
        <w:trPr>
          <w:trHeight w:val="199"/>
        </w:trPr>
        <w:tc>
          <w:tcPr>
            <w:tcW w:w="4680" w:type="dxa"/>
            <w:gridSpan w:val="2"/>
            <w:vMerge/>
            <w:tcBorders>
              <w:top w:val="single" w:sz="4" w:space="0" w:color="auto"/>
              <w:left w:val="single" w:sz="4" w:space="0" w:color="auto"/>
              <w:bottom w:val="single" w:sz="4" w:space="0" w:color="000000"/>
              <w:right w:val="single" w:sz="4" w:space="0" w:color="000000"/>
            </w:tcBorders>
            <w:vAlign w:val="center"/>
            <w:hideMark/>
          </w:tcPr>
          <w:p w:rsidR="00107BA8" w:rsidRPr="00107BA8" w:rsidRDefault="00107BA8" w:rsidP="00107BA8">
            <w:pPr>
              <w:spacing w:before="0" w:after="0"/>
              <w:jc w:val="left"/>
              <w:rPr>
                <w:rFonts w:ascii="Calibri" w:eastAsia="Times New Roman" w:hAnsi="Calibri" w:cs="Times New Roman"/>
                <w:color w:val="000000"/>
                <w:sz w:val="16"/>
                <w:szCs w:val="16"/>
                <w:lang w:eastAsia="cs-CZ"/>
              </w:rPr>
            </w:pPr>
          </w:p>
        </w:tc>
        <w:tc>
          <w:tcPr>
            <w:tcW w:w="960" w:type="dxa"/>
            <w:tcBorders>
              <w:top w:val="nil"/>
              <w:left w:val="nil"/>
              <w:bottom w:val="single" w:sz="4" w:space="0" w:color="auto"/>
              <w:right w:val="single" w:sz="4" w:space="0" w:color="auto"/>
            </w:tcBorders>
            <w:shd w:val="clear" w:color="000000" w:fill="EBF1DE"/>
            <w:noWrap/>
            <w:vAlign w:val="center"/>
            <w:hideMark/>
          </w:tcPr>
          <w:p w:rsidR="00107BA8" w:rsidRPr="00107BA8" w:rsidRDefault="00107BA8" w:rsidP="00107BA8">
            <w:pPr>
              <w:spacing w:before="0" w:after="0"/>
              <w:jc w:val="center"/>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2018</w:t>
            </w:r>
          </w:p>
        </w:tc>
        <w:tc>
          <w:tcPr>
            <w:tcW w:w="1260" w:type="dxa"/>
            <w:tcBorders>
              <w:top w:val="nil"/>
              <w:left w:val="nil"/>
              <w:bottom w:val="single" w:sz="4" w:space="0" w:color="auto"/>
              <w:right w:val="single" w:sz="4" w:space="0" w:color="auto"/>
            </w:tcBorders>
            <w:shd w:val="clear" w:color="000000" w:fill="EBF1DE"/>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8 258</w:t>
            </w:r>
          </w:p>
        </w:tc>
        <w:tc>
          <w:tcPr>
            <w:tcW w:w="1180" w:type="dxa"/>
            <w:tcBorders>
              <w:top w:val="nil"/>
              <w:left w:val="nil"/>
              <w:bottom w:val="single" w:sz="4" w:space="0" w:color="auto"/>
              <w:right w:val="single" w:sz="4" w:space="0" w:color="auto"/>
            </w:tcBorders>
            <w:shd w:val="clear" w:color="000000" w:fill="EBF1DE"/>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3 420</w:t>
            </w:r>
          </w:p>
        </w:tc>
        <w:tc>
          <w:tcPr>
            <w:tcW w:w="1220" w:type="dxa"/>
            <w:tcBorders>
              <w:top w:val="nil"/>
              <w:left w:val="nil"/>
              <w:bottom w:val="single" w:sz="4" w:space="0" w:color="auto"/>
              <w:right w:val="single" w:sz="4" w:space="0" w:color="auto"/>
            </w:tcBorders>
            <w:shd w:val="clear" w:color="000000" w:fill="EBF1DE"/>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71%</w:t>
            </w:r>
          </w:p>
        </w:tc>
      </w:tr>
      <w:tr w:rsidR="00107BA8" w:rsidRPr="00107BA8" w:rsidTr="00107BA8">
        <w:trPr>
          <w:trHeight w:val="199"/>
        </w:trPr>
        <w:tc>
          <w:tcPr>
            <w:tcW w:w="4680" w:type="dxa"/>
            <w:gridSpan w:val="2"/>
            <w:vMerge/>
            <w:tcBorders>
              <w:top w:val="single" w:sz="4" w:space="0" w:color="auto"/>
              <w:left w:val="single" w:sz="4" w:space="0" w:color="auto"/>
              <w:bottom w:val="single" w:sz="4" w:space="0" w:color="000000"/>
              <w:right w:val="single" w:sz="4" w:space="0" w:color="000000"/>
            </w:tcBorders>
            <w:vAlign w:val="center"/>
            <w:hideMark/>
          </w:tcPr>
          <w:p w:rsidR="00107BA8" w:rsidRPr="00107BA8" w:rsidRDefault="00107BA8" w:rsidP="00107BA8">
            <w:pPr>
              <w:spacing w:before="0" w:after="0"/>
              <w:jc w:val="left"/>
              <w:rPr>
                <w:rFonts w:ascii="Calibri" w:eastAsia="Times New Roman" w:hAnsi="Calibri" w:cs="Times New Roman"/>
                <w:color w:val="000000"/>
                <w:sz w:val="16"/>
                <w:szCs w:val="16"/>
                <w:lang w:eastAsia="cs-CZ"/>
              </w:rPr>
            </w:pPr>
          </w:p>
        </w:tc>
        <w:tc>
          <w:tcPr>
            <w:tcW w:w="960" w:type="dxa"/>
            <w:tcBorders>
              <w:top w:val="nil"/>
              <w:left w:val="nil"/>
              <w:bottom w:val="single" w:sz="4" w:space="0" w:color="auto"/>
              <w:right w:val="single" w:sz="4" w:space="0" w:color="auto"/>
            </w:tcBorders>
            <w:shd w:val="clear" w:color="000000" w:fill="EBF1DE"/>
            <w:noWrap/>
            <w:vAlign w:val="center"/>
            <w:hideMark/>
          </w:tcPr>
          <w:p w:rsidR="00107BA8" w:rsidRPr="00107BA8" w:rsidRDefault="00107BA8" w:rsidP="00107BA8">
            <w:pPr>
              <w:spacing w:before="0" w:after="0"/>
              <w:jc w:val="center"/>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2019</w:t>
            </w:r>
          </w:p>
        </w:tc>
        <w:tc>
          <w:tcPr>
            <w:tcW w:w="1260" w:type="dxa"/>
            <w:tcBorders>
              <w:top w:val="nil"/>
              <w:left w:val="nil"/>
              <w:bottom w:val="single" w:sz="4" w:space="0" w:color="auto"/>
              <w:right w:val="single" w:sz="4" w:space="0" w:color="auto"/>
            </w:tcBorders>
            <w:shd w:val="clear" w:color="000000" w:fill="EBF1DE"/>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5 830</w:t>
            </w:r>
          </w:p>
        </w:tc>
        <w:tc>
          <w:tcPr>
            <w:tcW w:w="1180" w:type="dxa"/>
            <w:tcBorders>
              <w:top w:val="nil"/>
              <w:left w:val="nil"/>
              <w:bottom w:val="single" w:sz="4" w:space="0" w:color="auto"/>
              <w:right w:val="single" w:sz="4" w:space="0" w:color="auto"/>
            </w:tcBorders>
            <w:shd w:val="clear" w:color="000000" w:fill="EBF1DE"/>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3 420</w:t>
            </w:r>
          </w:p>
        </w:tc>
        <w:tc>
          <w:tcPr>
            <w:tcW w:w="1220" w:type="dxa"/>
            <w:tcBorders>
              <w:top w:val="nil"/>
              <w:left w:val="nil"/>
              <w:bottom w:val="single" w:sz="4" w:space="0" w:color="auto"/>
              <w:right w:val="single" w:sz="4" w:space="0" w:color="auto"/>
            </w:tcBorders>
            <w:shd w:val="clear" w:color="000000" w:fill="EBF1DE"/>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63%</w:t>
            </w:r>
          </w:p>
        </w:tc>
      </w:tr>
      <w:tr w:rsidR="00107BA8" w:rsidRPr="00107BA8" w:rsidTr="00107BA8">
        <w:trPr>
          <w:trHeight w:val="199"/>
        </w:trPr>
        <w:tc>
          <w:tcPr>
            <w:tcW w:w="4680" w:type="dxa"/>
            <w:gridSpan w:val="2"/>
            <w:vMerge/>
            <w:tcBorders>
              <w:top w:val="single" w:sz="4" w:space="0" w:color="auto"/>
              <w:left w:val="single" w:sz="4" w:space="0" w:color="auto"/>
              <w:bottom w:val="single" w:sz="4" w:space="0" w:color="000000"/>
              <w:right w:val="single" w:sz="4" w:space="0" w:color="000000"/>
            </w:tcBorders>
            <w:vAlign w:val="center"/>
            <w:hideMark/>
          </w:tcPr>
          <w:p w:rsidR="00107BA8" w:rsidRPr="00107BA8" w:rsidRDefault="00107BA8" w:rsidP="00107BA8">
            <w:pPr>
              <w:spacing w:before="0" w:after="0"/>
              <w:jc w:val="left"/>
              <w:rPr>
                <w:rFonts w:ascii="Calibri" w:eastAsia="Times New Roman" w:hAnsi="Calibri" w:cs="Times New Roman"/>
                <w:color w:val="000000"/>
                <w:sz w:val="16"/>
                <w:szCs w:val="16"/>
                <w:lang w:eastAsia="cs-CZ"/>
              </w:rPr>
            </w:pPr>
          </w:p>
        </w:tc>
        <w:tc>
          <w:tcPr>
            <w:tcW w:w="960" w:type="dxa"/>
            <w:tcBorders>
              <w:top w:val="nil"/>
              <w:left w:val="nil"/>
              <w:bottom w:val="single" w:sz="4" w:space="0" w:color="auto"/>
              <w:right w:val="single" w:sz="4" w:space="0" w:color="auto"/>
            </w:tcBorders>
            <w:shd w:val="clear" w:color="000000" w:fill="EBF1DE"/>
            <w:noWrap/>
            <w:vAlign w:val="center"/>
            <w:hideMark/>
          </w:tcPr>
          <w:p w:rsidR="00107BA8" w:rsidRPr="00107BA8" w:rsidRDefault="00107BA8" w:rsidP="00107BA8">
            <w:pPr>
              <w:spacing w:before="0" w:after="0"/>
              <w:jc w:val="center"/>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2020</w:t>
            </w:r>
          </w:p>
        </w:tc>
        <w:tc>
          <w:tcPr>
            <w:tcW w:w="1260" w:type="dxa"/>
            <w:tcBorders>
              <w:top w:val="nil"/>
              <w:left w:val="nil"/>
              <w:bottom w:val="single" w:sz="4" w:space="0" w:color="auto"/>
              <w:right w:val="single" w:sz="4" w:space="0" w:color="auto"/>
            </w:tcBorders>
            <w:shd w:val="clear" w:color="000000" w:fill="EBF1DE"/>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2 116</w:t>
            </w:r>
          </w:p>
        </w:tc>
        <w:tc>
          <w:tcPr>
            <w:tcW w:w="1180" w:type="dxa"/>
            <w:tcBorders>
              <w:top w:val="nil"/>
              <w:left w:val="nil"/>
              <w:bottom w:val="single" w:sz="4" w:space="0" w:color="auto"/>
              <w:right w:val="single" w:sz="4" w:space="0" w:color="auto"/>
            </w:tcBorders>
            <w:shd w:val="clear" w:color="000000" w:fill="EBF1DE"/>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0</w:t>
            </w:r>
          </w:p>
        </w:tc>
        <w:tc>
          <w:tcPr>
            <w:tcW w:w="1220" w:type="dxa"/>
            <w:tcBorders>
              <w:top w:val="nil"/>
              <w:left w:val="nil"/>
              <w:bottom w:val="single" w:sz="4" w:space="0" w:color="auto"/>
              <w:right w:val="single" w:sz="4" w:space="0" w:color="auto"/>
            </w:tcBorders>
            <w:shd w:val="clear" w:color="000000" w:fill="EBF1DE"/>
            <w:noWrap/>
            <w:vAlign w:val="center"/>
            <w:hideMark/>
          </w:tcPr>
          <w:p w:rsidR="00107BA8" w:rsidRPr="00107BA8" w:rsidRDefault="00107BA8" w:rsidP="00107BA8">
            <w:pPr>
              <w:spacing w:before="0" w:after="0"/>
              <w:jc w:val="right"/>
              <w:rPr>
                <w:rFonts w:ascii="Calibri" w:eastAsia="Times New Roman" w:hAnsi="Calibri" w:cs="Times New Roman"/>
                <w:color w:val="000000"/>
                <w:sz w:val="16"/>
                <w:szCs w:val="16"/>
                <w:lang w:eastAsia="cs-CZ"/>
              </w:rPr>
            </w:pPr>
            <w:r w:rsidRPr="00107BA8">
              <w:rPr>
                <w:rFonts w:ascii="Calibri" w:eastAsia="Times New Roman" w:hAnsi="Calibri" w:cs="Times New Roman"/>
                <w:color w:val="000000"/>
                <w:sz w:val="16"/>
                <w:szCs w:val="16"/>
                <w:lang w:eastAsia="cs-CZ"/>
              </w:rPr>
              <w:t>100%</w:t>
            </w:r>
          </w:p>
        </w:tc>
      </w:tr>
    </w:tbl>
    <w:p w:rsidR="00EB6DBD" w:rsidRPr="00EB6DBD" w:rsidRDefault="00EB6DBD" w:rsidP="00EB6DBD">
      <w:pPr>
        <w:rPr>
          <w:lang w:eastAsia="cs-CZ"/>
        </w:rPr>
      </w:pPr>
    </w:p>
    <w:p w:rsidR="00AE1AAE" w:rsidRPr="00AE1AAE" w:rsidRDefault="00AE1AAE" w:rsidP="00412CBC">
      <w:pPr>
        <w:pStyle w:val="Nadpis3"/>
        <w:rPr>
          <w:rFonts w:eastAsiaTheme="majorEastAsia"/>
        </w:rPr>
      </w:pPr>
      <w:bookmarkStart w:id="47" w:name="_Ref451522783"/>
      <w:bookmarkStart w:id="48" w:name="_Toc459723272"/>
      <w:r w:rsidRPr="00AE1AAE">
        <w:rPr>
          <w:rFonts w:eastAsiaTheme="majorEastAsia"/>
        </w:rPr>
        <w:t>Účast MV na programu BETA T</w:t>
      </w:r>
      <w:r w:rsidR="002B0451">
        <w:rPr>
          <w:rFonts w:eastAsiaTheme="majorEastAsia"/>
        </w:rPr>
        <w:t xml:space="preserve">echnologické agentury </w:t>
      </w:r>
      <w:r w:rsidRPr="00AE1AAE">
        <w:rPr>
          <w:rFonts w:eastAsiaTheme="majorEastAsia"/>
        </w:rPr>
        <w:t>ČR</w:t>
      </w:r>
      <w:bookmarkEnd w:id="47"/>
      <w:bookmarkEnd w:id="48"/>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9354"/>
      </w:tblGrid>
      <w:tr w:rsidR="00680354" w:rsidTr="00347A3B">
        <w:tc>
          <w:tcPr>
            <w:tcW w:w="9354" w:type="dxa"/>
            <w:shd w:val="clear" w:color="auto" w:fill="F2F2F2" w:themeFill="background1" w:themeFillShade="F2"/>
          </w:tcPr>
          <w:p w:rsidR="00680354" w:rsidRDefault="00680354" w:rsidP="00680354">
            <w:r w:rsidRPr="00680354">
              <w:t xml:space="preserve">V programu veřejných zakázek ve </w:t>
            </w:r>
            <w:r>
              <w:t xml:space="preserve">VaVaI </w:t>
            </w:r>
            <w:r w:rsidRPr="00680354">
              <w:t xml:space="preserve">pro potřeby státní správy BETA Technologické agentury ČR (TA ČR) </w:t>
            </w:r>
            <w:r>
              <w:t xml:space="preserve">realizovalo </w:t>
            </w:r>
            <w:r w:rsidRPr="00680354">
              <w:t>MV</w:t>
            </w:r>
            <w:r>
              <w:t xml:space="preserve"> </w:t>
            </w:r>
            <w:r w:rsidRPr="00680354">
              <w:t>13 veřejných zakázek</w:t>
            </w:r>
            <w:r>
              <w:t xml:space="preserve"> s celkovým objemem 5,8 mil. Kč</w:t>
            </w:r>
            <w:r w:rsidRPr="00680354">
              <w:t xml:space="preserve">. </w:t>
            </w:r>
            <w:r>
              <w:t>Využití programu veřejných zakázek BETA MV je tak zatím velmi nízké.</w:t>
            </w:r>
          </w:p>
        </w:tc>
      </w:tr>
    </w:tbl>
    <w:p w:rsidR="008F49A7" w:rsidRDefault="00AE1AAE" w:rsidP="00AE1AAE">
      <w:r w:rsidRPr="00AE1AAE">
        <w:t xml:space="preserve">V programu </w:t>
      </w:r>
      <w:r w:rsidR="00123BBA" w:rsidRPr="00123BBA">
        <w:t>veřejných zakázek ve výzkumu, experimentálním vývoji a inovacích pro potřeby státní správy BETA</w:t>
      </w:r>
      <w:r w:rsidRPr="00AE1AAE">
        <w:t xml:space="preserve"> </w:t>
      </w:r>
      <w:r w:rsidR="008F49A7">
        <w:t>Technologické agentury ČR (</w:t>
      </w:r>
      <w:r w:rsidRPr="00AE1AAE">
        <w:t>TA</w:t>
      </w:r>
      <w:r w:rsidR="00D17F7A">
        <w:t xml:space="preserve"> </w:t>
      </w:r>
      <w:r w:rsidRPr="00AE1AAE">
        <w:t>ČR</w:t>
      </w:r>
      <w:r w:rsidR="008F49A7">
        <w:t>)</w:t>
      </w:r>
      <w:r w:rsidR="00123BBA">
        <w:t xml:space="preserve"> </w:t>
      </w:r>
      <w:r w:rsidR="00123BBA">
        <w:fldChar w:fldCharType="begin"/>
      </w:r>
      <w:r w:rsidR="00123BBA">
        <w:instrText xml:space="preserve"> REF _Ref450314189 \r \h </w:instrText>
      </w:r>
      <w:r w:rsidR="00123BBA">
        <w:fldChar w:fldCharType="separate"/>
      </w:r>
      <w:r w:rsidR="003F08E5">
        <w:t>[11]</w:t>
      </w:r>
      <w:r w:rsidR="00123BBA">
        <w:fldChar w:fldCharType="end"/>
      </w:r>
      <w:r w:rsidRPr="00AE1AAE">
        <w:t xml:space="preserve"> </w:t>
      </w:r>
      <w:r w:rsidR="008F49A7">
        <w:t xml:space="preserve">MV </w:t>
      </w:r>
      <w:r w:rsidRPr="00AE1AAE">
        <w:t xml:space="preserve">v letech 2012 </w:t>
      </w:r>
      <w:r w:rsidR="00FC434C">
        <w:t>až</w:t>
      </w:r>
      <w:r w:rsidRPr="00AE1AAE">
        <w:t xml:space="preserve"> 2016 </w:t>
      </w:r>
      <w:r w:rsidR="002D57FD">
        <w:t>realizovalo</w:t>
      </w:r>
      <w:r w:rsidRPr="00AE1AAE">
        <w:t> 13 veřejný</w:t>
      </w:r>
      <w:r w:rsidR="00FC434C">
        <w:t>ch</w:t>
      </w:r>
      <w:r w:rsidRPr="00AE1AAE">
        <w:t xml:space="preserve"> zakáz</w:t>
      </w:r>
      <w:r w:rsidR="00FC434C">
        <w:t>e</w:t>
      </w:r>
      <w:r w:rsidRPr="00AE1AAE">
        <w:t>k. Jejich tématem bylo technologické řešení a vývoj s</w:t>
      </w:r>
      <w:r w:rsidR="008F49A7">
        <w:t>oft</w:t>
      </w:r>
      <w:r w:rsidRPr="00AE1AAE">
        <w:t>w</w:t>
      </w:r>
      <w:r w:rsidR="008F49A7">
        <w:t>arového</w:t>
      </w:r>
      <w:r w:rsidRPr="00AE1AAE">
        <w:t xml:space="preserve"> prostředí pro správu archívů a práce s archiváliemi (obor </w:t>
      </w:r>
      <w:r w:rsidRPr="00AE1AAE">
        <w:rPr>
          <w:rFonts w:ascii="Calibri" w:eastAsia="Times New Roman" w:hAnsi="Calibri" w:cs="Times New Roman"/>
          <w:color w:val="000000"/>
          <w:lang w:eastAsia="cs-CZ"/>
        </w:rPr>
        <w:t xml:space="preserve">AF - Dokumentace, knihovnictví, práce s informacemi). Celkový objem zakázek byl 5,8 mil Kč. </w:t>
      </w:r>
      <w:r w:rsidRPr="00AE1AAE">
        <w:t>Čerpání prostředků v uvedených letech a subjekty, které se na veřejných zakázkách podílely, jsou uvedeny na</w:t>
      </w:r>
      <w:r w:rsidR="005018C0">
        <w:t xml:space="preserve"> </w:t>
      </w:r>
      <w:r w:rsidR="005018C0">
        <w:fldChar w:fldCharType="begin"/>
      </w:r>
      <w:r w:rsidR="005018C0">
        <w:instrText xml:space="preserve"> REF  _Ref450558471 \* Lower \h  \* MERGEFORMAT </w:instrText>
      </w:r>
      <w:r w:rsidR="005018C0">
        <w:fldChar w:fldCharType="separate"/>
      </w:r>
      <w:r w:rsidR="003F08E5">
        <w:t xml:space="preserve">obr. </w:t>
      </w:r>
      <w:r w:rsidR="003F08E5">
        <w:rPr>
          <w:noProof/>
        </w:rPr>
        <w:t>5</w:t>
      </w:r>
      <w:r w:rsidR="005018C0">
        <w:fldChar w:fldCharType="end"/>
      </w:r>
      <w:r w:rsidRPr="00AE1AAE">
        <w:t xml:space="preserve">. </w:t>
      </w:r>
    </w:p>
    <w:p w:rsidR="00AE1AAE" w:rsidRPr="00AE1AAE" w:rsidRDefault="00AE1AAE" w:rsidP="00B16012">
      <w:pPr>
        <w:rPr>
          <w:rFonts w:ascii="Calibri" w:eastAsia="Times New Roman" w:hAnsi="Calibri" w:cs="Times New Roman"/>
          <w:color w:val="000000"/>
          <w:lang w:eastAsia="cs-CZ"/>
        </w:rPr>
      </w:pPr>
      <w:r w:rsidRPr="00AE1AAE">
        <w:t xml:space="preserve">Využití programu </w:t>
      </w:r>
      <w:r w:rsidR="00E11F78">
        <w:t xml:space="preserve">BETA však </w:t>
      </w:r>
      <w:r w:rsidRPr="00AE1AAE">
        <w:t xml:space="preserve">bylo </w:t>
      </w:r>
      <w:r w:rsidR="00B16012">
        <w:t>poměrně</w:t>
      </w:r>
      <w:r w:rsidRPr="00AE1AAE">
        <w:t xml:space="preserve"> nízké.</w:t>
      </w:r>
      <w:r w:rsidR="008F49A7" w:rsidRPr="008F49A7">
        <w:t xml:space="preserve"> </w:t>
      </w:r>
      <w:r w:rsidR="008F49A7" w:rsidRPr="00AE1AAE">
        <w:t>V programu BETA TA</w:t>
      </w:r>
      <w:r w:rsidR="008F49A7">
        <w:t xml:space="preserve"> </w:t>
      </w:r>
      <w:r w:rsidR="008F49A7" w:rsidRPr="00AE1AAE">
        <w:t xml:space="preserve">ČR </w:t>
      </w:r>
      <w:r w:rsidR="00B16012">
        <w:t xml:space="preserve">bylo realizováno </w:t>
      </w:r>
      <w:r w:rsidR="008F49A7">
        <w:t xml:space="preserve">celkem </w:t>
      </w:r>
      <w:r w:rsidR="008F49A7" w:rsidRPr="00AE1AAE">
        <w:t>176 veřejných zakázek v celkovém objemu 640 mil Kč.</w:t>
      </w:r>
      <w:r w:rsidR="008F49A7">
        <w:t xml:space="preserve"> MV se tak podílelo pouze na 7 % zakázek a jejich rozpočet nedosáhl ani 1 % celkového finančního objemu programu BETA</w:t>
      </w:r>
      <w:r w:rsidR="00E11F78">
        <w:t xml:space="preserve"> (průměrný finanční objem jedné zakázky byl méně než 0,5 mil. Kč).</w:t>
      </w:r>
      <w:r w:rsidR="00B16012">
        <w:t xml:space="preserve"> Nižší finanční objem veřejných zakázek může souviset s cíli, které má ve svých potřebách stanoveno MV</w:t>
      </w:r>
      <w:r w:rsidR="00977C42">
        <w:rPr>
          <w:rStyle w:val="Znakapoznpodarou"/>
        </w:rPr>
        <w:footnoteReference w:id="8"/>
      </w:r>
      <w:r w:rsidR="00B16012">
        <w:t xml:space="preserve"> (zdokonalení současných praxí, metodik, získávání nových poznatků, dovedností, služeb, informačních a řídicích produktů a postupů</w:t>
      </w:r>
      <w:r w:rsidR="00B16012">
        <w:rPr>
          <w:rStyle w:val="Odkaznakoment"/>
        </w:rPr>
        <w:t>).</w:t>
      </w:r>
    </w:p>
    <w:p w:rsidR="000A5253" w:rsidRDefault="000A5253" w:rsidP="000A5253">
      <w:pPr>
        <w:keepNext/>
      </w:pPr>
      <w:r>
        <w:rPr>
          <w:noProof/>
          <w:lang w:eastAsia="cs-CZ"/>
        </w:rPr>
        <w:drawing>
          <wp:inline distT="0" distB="0" distL="0" distR="0" wp14:anchorId="3A972B61" wp14:editId="5467F5F0">
            <wp:extent cx="6172200" cy="2962275"/>
            <wp:effectExtent l="0" t="0" r="0" b="9525"/>
            <wp:docPr id="19" name="Obráze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172200" cy="2962275"/>
                    </a:xfrm>
                    <a:prstGeom prst="rect">
                      <a:avLst/>
                    </a:prstGeom>
                    <a:noFill/>
                  </pic:spPr>
                </pic:pic>
              </a:graphicData>
            </a:graphic>
          </wp:inline>
        </w:drawing>
      </w:r>
    </w:p>
    <w:p w:rsidR="00AE1AAE" w:rsidRDefault="000A5253" w:rsidP="000A5253">
      <w:pPr>
        <w:pStyle w:val="Titulek"/>
        <w:jc w:val="both"/>
      </w:pPr>
      <w:bookmarkStart w:id="49" w:name="_Ref450558471"/>
      <w:r>
        <w:t xml:space="preserve">Obr. </w:t>
      </w:r>
      <w:r w:rsidR="00990E2D">
        <w:fldChar w:fldCharType="begin"/>
      </w:r>
      <w:r w:rsidR="00990E2D">
        <w:instrText xml:space="preserve"> SEQ O</w:instrText>
      </w:r>
      <w:r w:rsidR="00990E2D">
        <w:instrText xml:space="preserve">br. \* ARABIC </w:instrText>
      </w:r>
      <w:r w:rsidR="00990E2D">
        <w:fldChar w:fldCharType="separate"/>
      </w:r>
      <w:r w:rsidR="003F08E5">
        <w:rPr>
          <w:noProof/>
        </w:rPr>
        <w:t>5</w:t>
      </w:r>
      <w:r w:rsidR="00990E2D">
        <w:rPr>
          <w:noProof/>
        </w:rPr>
        <w:fldChar w:fldCharType="end"/>
      </w:r>
      <w:bookmarkEnd w:id="49"/>
      <w:r>
        <w:tab/>
      </w:r>
      <w:r w:rsidRPr="000A5253">
        <w:t xml:space="preserve">Veřejné zakázky MV v programu Beta TAČR v letech 2012 </w:t>
      </w:r>
      <w:r w:rsidR="00123BBA">
        <w:t>–</w:t>
      </w:r>
      <w:r w:rsidRPr="000A5253">
        <w:t xml:space="preserve"> 201</w:t>
      </w:r>
      <w:r w:rsidR="00123BBA">
        <w:t>6. Zdroj: IS VaVaI a TA ČR</w:t>
      </w:r>
    </w:p>
    <w:p w:rsidR="00E11F78" w:rsidRPr="00E11F78" w:rsidRDefault="00E11F78" w:rsidP="00E11F78">
      <w:pPr>
        <w:rPr>
          <w:color w:val="C00000"/>
        </w:rPr>
      </w:pPr>
    </w:p>
    <w:p w:rsidR="00412CBC" w:rsidRDefault="00412CBC" w:rsidP="00412CBC">
      <w:pPr>
        <w:pStyle w:val="Nadpis2"/>
      </w:pPr>
      <w:bookmarkStart w:id="50" w:name="_Ref450058157"/>
      <w:bookmarkStart w:id="51" w:name="_Ref450223844"/>
      <w:bookmarkStart w:id="52" w:name="_Toc459723273"/>
      <w:r>
        <w:lastRenderedPageBreak/>
        <w:t>Překryvy a styčné plochy mezi systémem podpory bezpečnostního výzkumu MV a ostatními mechanismy podpory</w:t>
      </w:r>
      <w:bookmarkEnd w:id="50"/>
      <w:bookmarkEnd w:id="51"/>
      <w:bookmarkEnd w:id="52"/>
    </w:p>
    <w:p w:rsidR="00B73885" w:rsidRDefault="00B73885" w:rsidP="00B73885">
      <w:r>
        <w:t xml:space="preserve">Pro </w:t>
      </w:r>
      <w:r w:rsidR="00AB41E0">
        <w:t xml:space="preserve">posouzení </w:t>
      </w:r>
      <w:r>
        <w:t>překryvů program</w:t>
      </w:r>
      <w:r w:rsidR="00AB41E0">
        <w:t>ů</w:t>
      </w:r>
      <w:r>
        <w:t xml:space="preserve"> BV implementovaný</w:t>
      </w:r>
      <w:r w:rsidR="00AB41E0">
        <w:t>ch</w:t>
      </w:r>
      <w:r>
        <w:t xml:space="preserve"> MV </w:t>
      </w:r>
      <w:r w:rsidR="00C5210C">
        <w:t>s</w:t>
      </w:r>
      <w:r>
        <w:t xml:space="preserve"> další</w:t>
      </w:r>
      <w:r w:rsidR="00C5210C">
        <w:t>mi</w:t>
      </w:r>
      <w:r>
        <w:t xml:space="preserve"> mechanism</w:t>
      </w:r>
      <w:r w:rsidR="00C5210C">
        <w:t>y</w:t>
      </w:r>
      <w:r>
        <w:t xml:space="preserve"> podpory </w:t>
      </w:r>
      <w:r w:rsidR="00AB41E0">
        <w:t xml:space="preserve">a pro identifikaci VO, které sice podporu z programů MV nezískávají, ale realizují VaV financovaný z jiných zdrojů, jehož výsledky se týkají problematiky bezpečnosti, </w:t>
      </w:r>
      <w:r>
        <w:t xml:space="preserve">byly využity </w:t>
      </w:r>
      <w:r w:rsidR="00AB41E0">
        <w:t>tři</w:t>
      </w:r>
      <w:r>
        <w:t xml:space="preserve"> způsoby:</w:t>
      </w:r>
    </w:p>
    <w:p w:rsidR="00C5210C" w:rsidRDefault="00AB41E0" w:rsidP="004F74B7">
      <w:pPr>
        <w:pStyle w:val="Odstavecseseznamem"/>
        <w:numPr>
          <w:ilvl w:val="0"/>
          <w:numId w:val="3"/>
        </w:numPr>
        <w:spacing w:before="60" w:after="60"/>
        <w:ind w:left="714" w:hanging="357"/>
        <w:contextualSpacing w:val="0"/>
      </w:pPr>
      <w:r>
        <w:t>Analýza projektů VaV evidovaných</w:t>
      </w:r>
      <w:r w:rsidR="00C5210C">
        <w:t xml:space="preserve"> IS VaVaI financových z programů Ministerstva průmyslu a obchodu, Ministerstva zemědělství a Technologické agentury ČR, které zadavatel veřejné zakázky na základě posouzení jejich zaměření označil </w:t>
      </w:r>
      <w:r w:rsidR="00C5210C" w:rsidRPr="00C65664">
        <w:rPr>
          <w:lang w:eastAsia="cs-CZ"/>
        </w:rPr>
        <w:t>jako tematicky se překrývající s bezpečnostní problematikou</w:t>
      </w:r>
      <w:r w:rsidR="00C5210C">
        <w:t>;</w:t>
      </w:r>
    </w:p>
    <w:p w:rsidR="00C5210C" w:rsidRDefault="00C5210C" w:rsidP="004F74B7">
      <w:pPr>
        <w:pStyle w:val="Odstavecseseznamem"/>
        <w:numPr>
          <w:ilvl w:val="0"/>
          <w:numId w:val="3"/>
        </w:numPr>
        <w:spacing w:before="60" w:after="60"/>
        <w:ind w:left="714" w:hanging="357"/>
        <w:contextualSpacing w:val="0"/>
      </w:pPr>
      <w:r>
        <w:t>Analýza dalších projektů VaV evidovaných v IS VaVaI s využitím systému klíčových slov;</w:t>
      </w:r>
    </w:p>
    <w:p w:rsidR="00C5210C" w:rsidRDefault="00C5210C" w:rsidP="004F74B7">
      <w:pPr>
        <w:pStyle w:val="Odstavecseseznamem"/>
        <w:numPr>
          <w:ilvl w:val="0"/>
          <w:numId w:val="3"/>
        </w:numPr>
        <w:spacing w:before="60" w:after="60"/>
        <w:ind w:left="714" w:hanging="357"/>
        <w:contextualSpacing w:val="0"/>
      </w:pPr>
      <w:r>
        <w:t>Analýza publikací registrovaných v databázi Thomson Reuters Web of Science s využitím obdobného souboru klíčových slov.</w:t>
      </w:r>
    </w:p>
    <w:p w:rsidR="00B73885" w:rsidRDefault="00C5210C" w:rsidP="00C5210C">
      <w:r>
        <w:t>Výsledky těchto analýz jsou uvedeny v následujících kapitolách.</w:t>
      </w:r>
      <w:r w:rsidR="00B73885">
        <w:t xml:space="preserve"> </w:t>
      </w:r>
    </w:p>
    <w:p w:rsidR="008A5D3B" w:rsidRDefault="008A5D3B" w:rsidP="008A5D3B">
      <w:pPr>
        <w:pStyle w:val="Nadpis3"/>
      </w:pPr>
      <w:bookmarkStart w:id="53" w:name="_Ref454281999"/>
      <w:bookmarkStart w:id="54" w:name="_Toc459723274"/>
      <w:r>
        <w:t>Analýza projektů v Informačním systému výzkumu, experimentálního vývoje a inovací</w:t>
      </w:r>
      <w:bookmarkEnd w:id="53"/>
      <w:bookmarkEnd w:id="54"/>
    </w:p>
    <w:tbl>
      <w:tblPr>
        <w:tblW w:w="0" w:type="auto"/>
        <w:tblBorders>
          <w:top w:val="single" w:sz="4" w:space="0" w:color="auto"/>
          <w:left w:val="single" w:sz="4" w:space="0" w:color="auto"/>
          <w:bottom w:val="single" w:sz="4" w:space="0" w:color="auto"/>
          <w:right w:val="single" w:sz="4" w:space="0" w:color="auto"/>
        </w:tblBorders>
        <w:shd w:val="clear" w:color="auto" w:fill="F2F2F2" w:themeFill="background1" w:themeFillShade="F2"/>
        <w:tblLook w:val="04A0" w:firstRow="1" w:lastRow="0" w:firstColumn="1" w:lastColumn="0" w:noHBand="0" w:noVBand="1"/>
      </w:tblPr>
      <w:tblGrid>
        <w:gridCol w:w="9354"/>
      </w:tblGrid>
      <w:tr w:rsidR="008A5D3B" w:rsidTr="00347A3B">
        <w:tc>
          <w:tcPr>
            <w:tcW w:w="9354" w:type="dxa"/>
            <w:shd w:val="clear" w:color="auto" w:fill="F2F2F2" w:themeFill="background1" w:themeFillShade="F2"/>
          </w:tcPr>
          <w:p w:rsidR="008A5D3B" w:rsidRDefault="008A5D3B" w:rsidP="00A06025">
            <w:pPr>
              <w:rPr>
                <w:lang w:eastAsia="cs-CZ"/>
              </w:rPr>
            </w:pPr>
            <w:r>
              <w:t>Projekty, které řeší problematiku bezpečnosti nebo jejichž výsledky jsou využitelné v oblasti bezpečnosti, byly podpořeny i v programech jiných poskytovatelů účelové podpory VaV. Z analýzy abstraktů projektů vyplynulo, že nejvíce takto zaměřených projektů bylo podpořeno v programech ALFA a Centra kompetence realizovaných TA ČR. Celková částka, kterou byly tyto projekty podpořeny, se blíží 980 mil. Kč. D</w:t>
            </w:r>
            <w:r w:rsidRPr="000F504E">
              <w:t xml:space="preserve">alšími programy, které se tematicky překrývají s programy MV, jsou Obranný aplikovaný výzkum, experimentální vývoj a inovace </w:t>
            </w:r>
            <w:r>
              <w:t xml:space="preserve">gesci </w:t>
            </w:r>
            <w:r w:rsidRPr="000F504E">
              <w:t xml:space="preserve">MO, kde </w:t>
            </w:r>
            <w:r>
              <w:t xml:space="preserve">takto zaměřené projekty získaly podporu ve výši </w:t>
            </w:r>
            <w:r w:rsidRPr="000F504E">
              <w:t>přes 420 mil. Kč. Poměrně vysoká částka byla na projekty řešící problematiku bezpečnosti poskytnuta také v programu TIP v gesci MPO (</w:t>
            </w:r>
            <w:r>
              <w:t xml:space="preserve">cca </w:t>
            </w:r>
            <w:r w:rsidRPr="000F504E">
              <w:t>66 mil. Kč).</w:t>
            </w:r>
            <w:r>
              <w:t xml:space="preserve"> Z OP Výzkum a vývoj pro inovace v gesci MŠMT byl podpořen projekt Evropského centra excelence IT4Innovation, které by se mělo intenzivně zapojovat i do BV. </w:t>
            </w:r>
            <w:r>
              <w:rPr>
                <w:lang w:eastAsia="cs-CZ"/>
              </w:rPr>
              <w:t xml:space="preserve">Z rozpočtové kapitoly MŠMT bylo </w:t>
            </w:r>
            <w:r w:rsidR="00347A3B">
              <w:rPr>
                <w:lang w:eastAsia="cs-CZ"/>
              </w:rPr>
              <w:t>financová</w:t>
            </w:r>
            <w:r>
              <w:rPr>
                <w:lang w:eastAsia="cs-CZ"/>
              </w:rPr>
              <w:t>no několik bezpečnostně zaměřených projektů v programech podporujících mezinárodní spolupráci ve VaV (iniciativa EUREKA, programy KONTAKT, COST a další).</w:t>
            </w:r>
          </w:p>
          <w:p w:rsidR="008A5D3B" w:rsidRDefault="008A5D3B" w:rsidP="00347A3B">
            <w:r>
              <w:t xml:space="preserve">Největší překryvy existují zejména </w:t>
            </w:r>
            <w:r>
              <w:rPr>
                <w:lang w:eastAsia="cs-CZ"/>
              </w:rPr>
              <w:t xml:space="preserve">v oblasti informatiky (projekt Evropského centra excelence IT4Innovations). Dalšími obory, kde </w:t>
            </w:r>
            <w:r w:rsidR="00347A3B">
              <w:rPr>
                <w:lang w:eastAsia="cs-CZ"/>
              </w:rPr>
              <w:t>byl v programech jiných poskytovatelů</w:t>
            </w:r>
            <w:r>
              <w:rPr>
                <w:lang w:eastAsia="cs-CZ"/>
              </w:rPr>
              <w:t xml:space="preserve"> podporován bezpečnostně zaměřený výzkum, je vojenství, jaderná energetika, kompositní materiály a elektronika a optoelektronika. </w:t>
            </w:r>
            <w:r>
              <w:t xml:space="preserve"> </w:t>
            </w:r>
          </w:p>
        </w:tc>
      </w:tr>
    </w:tbl>
    <w:p w:rsidR="008A5D3B" w:rsidRPr="008A5D3B" w:rsidRDefault="008A5D3B" w:rsidP="008A5D3B">
      <w:pPr>
        <w:rPr>
          <w:lang w:eastAsia="cs-CZ"/>
        </w:rPr>
      </w:pPr>
    </w:p>
    <w:p w:rsidR="00B73885" w:rsidRPr="00C65664" w:rsidRDefault="00B73885" w:rsidP="008A5D3B">
      <w:pPr>
        <w:pStyle w:val="Nadpis4"/>
      </w:pPr>
      <w:bookmarkStart w:id="55" w:name="_Bezpečnostní_problematika_v_1"/>
      <w:bookmarkStart w:id="56" w:name="_Toc451505296"/>
      <w:bookmarkStart w:id="57" w:name="_Ref452122296"/>
      <w:bookmarkStart w:id="58" w:name="_Toc459723275"/>
      <w:bookmarkEnd w:id="55"/>
      <w:r w:rsidRPr="00C65664">
        <w:t xml:space="preserve">Bezpečnostní problematika v programech </w:t>
      </w:r>
      <w:bookmarkEnd w:id="56"/>
      <w:r w:rsidR="008033D5" w:rsidRPr="008033D5">
        <w:t>Ministerstva průmyslu a obchodu, Ministerstva zemědělství a Technologické agentury ČR</w:t>
      </w:r>
      <w:bookmarkEnd w:id="57"/>
      <w:bookmarkEnd w:id="58"/>
    </w:p>
    <w:p w:rsidR="00136BC5" w:rsidRDefault="00136BC5" w:rsidP="00136BC5">
      <w:pPr>
        <w:rPr>
          <w:lang w:eastAsia="cs-CZ"/>
        </w:rPr>
      </w:pPr>
      <w:r>
        <w:rPr>
          <w:lang w:eastAsia="cs-CZ"/>
        </w:rPr>
        <w:t>Pracovníci MV na základě posouzení abstrakt</w:t>
      </w:r>
      <w:r w:rsidR="00BE1F9E">
        <w:rPr>
          <w:lang w:eastAsia="cs-CZ"/>
        </w:rPr>
        <w:t>ů</w:t>
      </w:r>
      <w:r>
        <w:rPr>
          <w:lang w:eastAsia="cs-CZ"/>
        </w:rPr>
        <w:t xml:space="preserve"> identifikoval</w:t>
      </w:r>
      <w:r w:rsidR="00BE1F9E">
        <w:rPr>
          <w:lang w:eastAsia="cs-CZ"/>
        </w:rPr>
        <w:t>i</w:t>
      </w:r>
      <w:r>
        <w:rPr>
          <w:lang w:eastAsia="cs-CZ"/>
        </w:rPr>
        <w:t xml:space="preserve"> celkem 190 projektů financovaných od roku 2010 z programů </w:t>
      </w:r>
      <w:r w:rsidRPr="008033D5">
        <w:t>Ministerstva průmyslu a obchodu</w:t>
      </w:r>
      <w:r>
        <w:t xml:space="preserve"> (MPO)</w:t>
      </w:r>
      <w:r w:rsidRPr="008033D5">
        <w:t xml:space="preserve">, Ministerstva zemědělství </w:t>
      </w:r>
      <w:r>
        <w:t xml:space="preserve">(MZe) </w:t>
      </w:r>
      <w:r w:rsidRPr="008033D5">
        <w:t>a Technologické agentury ČR</w:t>
      </w:r>
      <w:r w:rsidRPr="00C65664">
        <w:rPr>
          <w:lang w:eastAsia="cs-CZ"/>
        </w:rPr>
        <w:t xml:space="preserve"> </w:t>
      </w:r>
      <w:r>
        <w:rPr>
          <w:lang w:eastAsia="cs-CZ"/>
        </w:rPr>
        <w:t>(TA ČR)</w:t>
      </w:r>
      <w:r w:rsidR="00B73885" w:rsidRPr="00C65664">
        <w:rPr>
          <w:lang w:eastAsia="cs-CZ"/>
        </w:rPr>
        <w:t xml:space="preserve"> </w:t>
      </w:r>
      <w:r>
        <w:rPr>
          <w:lang w:eastAsia="cs-CZ"/>
        </w:rPr>
        <w:t>jako</w:t>
      </w:r>
      <w:r w:rsidR="00B73885" w:rsidRPr="00C65664">
        <w:rPr>
          <w:lang w:eastAsia="cs-CZ"/>
        </w:rPr>
        <w:t xml:space="preserve"> tematicky se překrývající s bezpečnostní problematikou. </w:t>
      </w:r>
      <w:r>
        <w:rPr>
          <w:lang w:eastAsia="cs-CZ"/>
        </w:rPr>
        <w:t xml:space="preserve"> S využitím dalších informací v IS VaVaI by</w:t>
      </w:r>
      <w:r w:rsidR="00BE1F9E">
        <w:rPr>
          <w:lang w:eastAsia="cs-CZ"/>
        </w:rPr>
        <w:t>lo</w:t>
      </w:r>
      <w:r>
        <w:rPr>
          <w:lang w:eastAsia="cs-CZ"/>
        </w:rPr>
        <w:t xml:space="preserve"> provedeno jejich roztřídění do oborů a stanovena </w:t>
      </w:r>
      <w:r w:rsidR="00B73885" w:rsidRPr="00C65664">
        <w:rPr>
          <w:lang w:eastAsia="cs-CZ"/>
        </w:rPr>
        <w:t>celková poskytnutá veřejná podpora</w:t>
      </w:r>
      <w:r>
        <w:rPr>
          <w:lang w:eastAsia="cs-CZ"/>
        </w:rPr>
        <w:t xml:space="preserve">, která byla přidělena </w:t>
      </w:r>
      <w:r w:rsidR="00B73885" w:rsidRPr="00C65664">
        <w:rPr>
          <w:lang w:eastAsia="cs-CZ"/>
        </w:rPr>
        <w:t xml:space="preserve">v jednotlivých oborech </w:t>
      </w:r>
      <w:r>
        <w:rPr>
          <w:lang w:eastAsia="cs-CZ"/>
        </w:rPr>
        <w:t xml:space="preserve">(viz </w:t>
      </w:r>
      <w:r w:rsidR="0044395F">
        <w:rPr>
          <w:lang w:eastAsia="cs-CZ"/>
        </w:rPr>
        <w:fldChar w:fldCharType="begin"/>
      </w:r>
      <w:r w:rsidR="0044395F">
        <w:rPr>
          <w:lang w:eastAsia="cs-CZ"/>
        </w:rPr>
        <w:instrText xml:space="preserve"> REF  _Ref451789082 \* Lower \h  \* MERGEFORMAT </w:instrText>
      </w:r>
      <w:r w:rsidR="0044395F">
        <w:rPr>
          <w:lang w:eastAsia="cs-CZ"/>
        </w:rPr>
      </w:r>
      <w:r w:rsidR="0044395F">
        <w:rPr>
          <w:lang w:eastAsia="cs-CZ"/>
        </w:rPr>
        <w:fldChar w:fldCharType="separate"/>
      </w:r>
      <w:r w:rsidR="003F08E5">
        <w:t xml:space="preserve">tab. </w:t>
      </w:r>
      <w:r w:rsidR="003F08E5">
        <w:rPr>
          <w:noProof/>
        </w:rPr>
        <w:t>12</w:t>
      </w:r>
      <w:r w:rsidR="0044395F">
        <w:rPr>
          <w:lang w:eastAsia="cs-CZ"/>
        </w:rPr>
        <w:fldChar w:fldCharType="end"/>
      </w:r>
      <w:r>
        <w:rPr>
          <w:lang w:eastAsia="cs-CZ"/>
        </w:rPr>
        <w:t>).</w:t>
      </w:r>
    </w:p>
    <w:p w:rsidR="005E5DB5" w:rsidRDefault="00B73885" w:rsidP="00136BC5">
      <w:pPr>
        <w:rPr>
          <w:lang w:eastAsia="cs-CZ"/>
        </w:rPr>
      </w:pPr>
      <w:r w:rsidRPr="00C65664">
        <w:rPr>
          <w:lang w:eastAsia="cs-CZ"/>
        </w:rPr>
        <w:t xml:space="preserve">Pro </w:t>
      </w:r>
      <w:r w:rsidR="005E5DB5">
        <w:rPr>
          <w:lang w:eastAsia="cs-CZ"/>
        </w:rPr>
        <w:t xml:space="preserve">posouzení </w:t>
      </w:r>
      <w:r w:rsidRPr="00C65664">
        <w:rPr>
          <w:lang w:eastAsia="cs-CZ"/>
        </w:rPr>
        <w:t xml:space="preserve">významnosti těchto projektů </w:t>
      </w:r>
      <w:r w:rsidR="005E5DB5">
        <w:rPr>
          <w:lang w:eastAsia="cs-CZ"/>
        </w:rPr>
        <w:t xml:space="preserve">vzhledem projektům </w:t>
      </w:r>
      <w:r w:rsidRPr="00C65664">
        <w:rPr>
          <w:lang w:eastAsia="cs-CZ"/>
        </w:rPr>
        <w:t>k </w:t>
      </w:r>
      <w:r w:rsidR="00136BC5">
        <w:rPr>
          <w:lang w:eastAsia="cs-CZ"/>
        </w:rPr>
        <w:t>BV</w:t>
      </w:r>
      <w:r w:rsidRPr="00C65664">
        <w:rPr>
          <w:lang w:eastAsia="cs-CZ"/>
        </w:rPr>
        <w:t xml:space="preserve"> podpo</w:t>
      </w:r>
      <w:r w:rsidR="005E5DB5">
        <w:rPr>
          <w:lang w:eastAsia="cs-CZ"/>
        </w:rPr>
        <w:t>řeným</w:t>
      </w:r>
      <w:r w:rsidRPr="00C65664">
        <w:rPr>
          <w:lang w:eastAsia="cs-CZ"/>
        </w:rPr>
        <w:t xml:space="preserve"> MV </w:t>
      </w:r>
      <w:r w:rsidR="00136BC5">
        <w:rPr>
          <w:lang w:eastAsia="cs-CZ"/>
        </w:rPr>
        <w:t>byly</w:t>
      </w:r>
      <w:r w:rsidRPr="00C65664">
        <w:rPr>
          <w:lang w:eastAsia="cs-CZ"/>
        </w:rPr>
        <w:t xml:space="preserve"> finanční objemy </w:t>
      </w:r>
      <w:r w:rsidR="005E5DB5">
        <w:rPr>
          <w:lang w:eastAsia="cs-CZ"/>
        </w:rPr>
        <w:t xml:space="preserve">projektů v jednotlivých oborech </w:t>
      </w:r>
      <w:r w:rsidR="0044395F">
        <w:rPr>
          <w:lang w:eastAsia="cs-CZ"/>
        </w:rPr>
        <w:t xml:space="preserve">vztaženy na účelovou podporu </w:t>
      </w:r>
      <w:r w:rsidR="005E5DB5">
        <w:rPr>
          <w:lang w:eastAsia="cs-CZ"/>
        </w:rPr>
        <w:t xml:space="preserve">poskytnutou </w:t>
      </w:r>
      <w:r w:rsidR="0044395F">
        <w:rPr>
          <w:lang w:eastAsia="cs-CZ"/>
        </w:rPr>
        <w:t xml:space="preserve">prostřednictvím </w:t>
      </w:r>
      <w:r w:rsidRPr="00C65664">
        <w:rPr>
          <w:lang w:eastAsia="cs-CZ"/>
        </w:rPr>
        <w:t>program</w:t>
      </w:r>
      <w:r w:rsidR="0044395F">
        <w:rPr>
          <w:lang w:eastAsia="cs-CZ"/>
        </w:rPr>
        <w:t>ů</w:t>
      </w:r>
      <w:r w:rsidRPr="00C65664">
        <w:rPr>
          <w:lang w:eastAsia="cs-CZ"/>
        </w:rPr>
        <w:t xml:space="preserve"> MV. </w:t>
      </w:r>
      <w:r w:rsidR="00136BC5">
        <w:rPr>
          <w:lang w:eastAsia="cs-CZ"/>
        </w:rPr>
        <w:t xml:space="preserve">Jak je patrné z </w:t>
      </w:r>
      <w:r w:rsidR="0044395F">
        <w:rPr>
          <w:lang w:eastAsia="cs-CZ"/>
        </w:rPr>
        <w:fldChar w:fldCharType="begin"/>
      </w:r>
      <w:r w:rsidR="0044395F">
        <w:rPr>
          <w:lang w:eastAsia="cs-CZ"/>
        </w:rPr>
        <w:instrText xml:space="preserve"> REF  _Ref451789082 \* Lower \h  \* MERGEFORMAT </w:instrText>
      </w:r>
      <w:r w:rsidR="0044395F">
        <w:rPr>
          <w:lang w:eastAsia="cs-CZ"/>
        </w:rPr>
      </w:r>
      <w:r w:rsidR="0044395F">
        <w:rPr>
          <w:lang w:eastAsia="cs-CZ"/>
        </w:rPr>
        <w:fldChar w:fldCharType="separate"/>
      </w:r>
      <w:r w:rsidR="003F08E5">
        <w:t xml:space="preserve">tab. </w:t>
      </w:r>
      <w:r w:rsidR="003F08E5">
        <w:rPr>
          <w:noProof/>
        </w:rPr>
        <w:t>12</w:t>
      </w:r>
      <w:r w:rsidR="0044395F">
        <w:rPr>
          <w:lang w:eastAsia="cs-CZ"/>
        </w:rPr>
        <w:fldChar w:fldCharType="end"/>
      </w:r>
      <w:r w:rsidR="00136BC5">
        <w:rPr>
          <w:lang w:eastAsia="cs-CZ"/>
        </w:rPr>
        <w:t>, v</w:t>
      </w:r>
      <w:r w:rsidRPr="00C65664">
        <w:rPr>
          <w:lang w:eastAsia="cs-CZ"/>
        </w:rPr>
        <w:t xml:space="preserve">e většině oborů </w:t>
      </w:r>
      <w:r w:rsidR="0044395F">
        <w:rPr>
          <w:lang w:eastAsia="cs-CZ"/>
        </w:rPr>
        <w:t xml:space="preserve">je příspěvek programů MPO, MZe a TA ČR ve srovnání </w:t>
      </w:r>
      <w:r w:rsidR="0044395F" w:rsidRPr="00C65664">
        <w:rPr>
          <w:lang w:eastAsia="cs-CZ"/>
        </w:rPr>
        <w:t>s</w:t>
      </w:r>
      <w:r w:rsidR="0044395F">
        <w:rPr>
          <w:lang w:eastAsia="cs-CZ"/>
        </w:rPr>
        <w:t xml:space="preserve"> programy </w:t>
      </w:r>
      <w:r w:rsidR="0044395F" w:rsidRPr="00C65664">
        <w:rPr>
          <w:lang w:eastAsia="cs-CZ"/>
        </w:rPr>
        <w:t>účelov</w:t>
      </w:r>
      <w:r w:rsidR="0044395F">
        <w:rPr>
          <w:lang w:eastAsia="cs-CZ"/>
        </w:rPr>
        <w:t xml:space="preserve">é podpory v gesci </w:t>
      </w:r>
      <w:r w:rsidR="0044395F" w:rsidRPr="00C65664">
        <w:rPr>
          <w:lang w:eastAsia="cs-CZ"/>
        </w:rPr>
        <w:t>MV</w:t>
      </w:r>
      <w:r w:rsidR="0044395F">
        <w:rPr>
          <w:lang w:eastAsia="cs-CZ"/>
        </w:rPr>
        <w:t xml:space="preserve"> poměrně malý. </w:t>
      </w:r>
      <w:r w:rsidRPr="00C65664">
        <w:rPr>
          <w:lang w:eastAsia="cs-CZ"/>
        </w:rPr>
        <w:t xml:space="preserve">Výjimkou jsou </w:t>
      </w:r>
      <w:r w:rsidR="0044395F">
        <w:rPr>
          <w:lang w:eastAsia="cs-CZ"/>
        </w:rPr>
        <w:t xml:space="preserve">pouze </w:t>
      </w:r>
      <w:r w:rsidR="002118D0">
        <w:rPr>
          <w:lang w:eastAsia="cs-CZ"/>
        </w:rPr>
        <w:t>obory Průmysl, L</w:t>
      </w:r>
      <w:r w:rsidRPr="00C65664">
        <w:rPr>
          <w:lang w:eastAsia="cs-CZ"/>
        </w:rPr>
        <w:t>ékařské vědy</w:t>
      </w:r>
      <w:r w:rsidR="002118D0">
        <w:rPr>
          <w:lang w:eastAsia="cs-CZ"/>
        </w:rPr>
        <w:t xml:space="preserve"> a</w:t>
      </w:r>
      <w:r w:rsidRPr="00C65664">
        <w:rPr>
          <w:lang w:eastAsia="cs-CZ"/>
        </w:rPr>
        <w:t xml:space="preserve"> </w:t>
      </w:r>
      <w:r w:rsidR="002118D0">
        <w:rPr>
          <w:lang w:eastAsia="cs-CZ"/>
        </w:rPr>
        <w:t>V</w:t>
      </w:r>
      <w:r w:rsidRPr="00C65664">
        <w:rPr>
          <w:lang w:eastAsia="cs-CZ"/>
        </w:rPr>
        <w:t xml:space="preserve">ědy o Zemi. </w:t>
      </w:r>
      <w:r w:rsidR="005E5DB5">
        <w:rPr>
          <w:lang w:eastAsia="cs-CZ"/>
        </w:rPr>
        <w:t xml:space="preserve">Téměř trojnásobný objem veřejné podpory ve srovnání s účelovou </w:t>
      </w:r>
      <w:r w:rsidR="005E5DB5">
        <w:rPr>
          <w:lang w:eastAsia="cs-CZ"/>
        </w:rPr>
        <w:lastRenderedPageBreak/>
        <w:t xml:space="preserve">podporou BV v gesci MV získaly projekty </w:t>
      </w:r>
      <w:r w:rsidRPr="00C65664">
        <w:rPr>
          <w:lang w:eastAsia="cs-CZ"/>
        </w:rPr>
        <w:t>vztah</w:t>
      </w:r>
      <w:r w:rsidR="005E5DB5">
        <w:rPr>
          <w:lang w:eastAsia="cs-CZ"/>
        </w:rPr>
        <w:t>ující se</w:t>
      </w:r>
      <w:r w:rsidRPr="00C65664">
        <w:rPr>
          <w:lang w:eastAsia="cs-CZ"/>
        </w:rPr>
        <w:t xml:space="preserve"> k bezpečnostní tematice v průmyslových oborech</w:t>
      </w:r>
      <w:r w:rsidR="005E5DB5">
        <w:rPr>
          <w:lang w:eastAsia="cs-CZ"/>
        </w:rPr>
        <w:t>, které byly podpořeny v programech</w:t>
      </w:r>
      <w:r w:rsidRPr="00C65664">
        <w:rPr>
          <w:lang w:eastAsia="cs-CZ"/>
        </w:rPr>
        <w:t xml:space="preserve"> MPO a T</w:t>
      </w:r>
      <w:r w:rsidR="005E5DB5">
        <w:rPr>
          <w:lang w:eastAsia="cs-CZ"/>
        </w:rPr>
        <w:t>A</w:t>
      </w:r>
      <w:r w:rsidRPr="00C65664">
        <w:rPr>
          <w:lang w:eastAsia="cs-CZ"/>
        </w:rPr>
        <w:t xml:space="preserve"> ČR</w:t>
      </w:r>
      <w:r w:rsidR="005E5DB5">
        <w:rPr>
          <w:lang w:eastAsia="cs-CZ"/>
        </w:rPr>
        <w:t xml:space="preserve">. Přibližně dvojnásobná účelová podpora ve srovnání s programy BV směřovala na lékařsky zaměřené projekty podpořené v programech MPO. Také projekty spadající do Věd o zemi také získaly z programů TA ČR, MPO a MZe přibližně stejnou částku, jako projekty podpořené v tomto oboru z programů BV v gesci MV (viz </w:t>
      </w:r>
      <w:r w:rsidR="005E5DB5">
        <w:rPr>
          <w:lang w:eastAsia="cs-CZ"/>
        </w:rPr>
        <w:fldChar w:fldCharType="begin"/>
      </w:r>
      <w:r w:rsidR="005E5DB5">
        <w:rPr>
          <w:lang w:eastAsia="cs-CZ"/>
        </w:rPr>
        <w:instrText xml:space="preserve"> REF  _Ref451789082 \* Lower \h  \* MERGEFORMAT </w:instrText>
      </w:r>
      <w:r w:rsidR="005E5DB5">
        <w:rPr>
          <w:lang w:eastAsia="cs-CZ"/>
        </w:rPr>
      </w:r>
      <w:r w:rsidR="005E5DB5">
        <w:rPr>
          <w:lang w:eastAsia="cs-CZ"/>
        </w:rPr>
        <w:fldChar w:fldCharType="separate"/>
      </w:r>
      <w:r w:rsidR="003F08E5">
        <w:t xml:space="preserve">tab. </w:t>
      </w:r>
      <w:r w:rsidR="003F08E5">
        <w:rPr>
          <w:noProof/>
        </w:rPr>
        <w:t>12</w:t>
      </w:r>
      <w:r w:rsidR="005E5DB5">
        <w:rPr>
          <w:lang w:eastAsia="cs-CZ"/>
        </w:rPr>
        <w:fldChar w:fldCharType="end"/>
      </w:r>
      <w:r w:rsidR="005E5DB5">
        <w:rPr>
          <w:lang w:eastAsia="cs-CZ"/>
        </w:rPr>
        <w:t>).</w:t>
      </w:r>
    </w:p>
    <w:p w:rsidR="00B73885" w:rsidRDefault="002118D0" w:rsidP="00136BC5">
      <w:pPr>
        <w:rPr>
          <w:lang w:eastAsia="cs-CZ"/>
        </w:rPr>
      </w:pPr>
      <w:r w:rsidRPr="00C65664">
        <w:rPr>
          <w:lang w:eastAsia="cs-CZ"/>
        </w:rPr>
        <w:t>Přibližně 30 % institucí, které obdržely podporu od MPO</w:t>
      </w:r>
      <w:r>
        <w:rPr>
          <w:lang w:eastAsia="cs-CZ"/>
        </w:rPr>
        <w:t>,</w:t>
      </w:r>
      <w:r w:rsidRPr="00C65664">
        <w:rPr>
          <w:lang w:eastAsia="cs-CZ"/>
        </w:rPr>
        <w:t xml:space="preserve"> byly </w:t>
      </w:r>
      <w:r>
        <w:rPr>
          <w:lang w:eastAsia="cs-CZ"/>
        </w:rPr>
        <w:t xml:space="preserve">zároveň </w:t>
      </w:r>
      <w:r w:rsidRPr="00C65664">
        <w:rPr>
          <w:lang w:eastAsia="cs-CZ"/>
        </w:rPr>
        <w:t>příjemci účelového financování programy MV. V případě MZ</w:t>
      </w:r>
      <w:r>
        <w:rPr>
          <w:lang w:eastAsia="cs-CZ"/>
        </w:rPr>
        <w:t>e</w:t>
      </w:r>
      <w:r w:rsidRPr="00C65664">
        <w:rPr>
          <w:lang w:eastAsia="cs-CZ"/>
        </w:rPr>
        <w:t xml:space="preserve"> </w:t>
      </w:r>
      <w:r>
        <w:rPr>
          <w:lang w:eastAsia="cs-CZ"/>
        </w:rPr>
        <w:t xml:space="preserve">činil podíl institucí, které získávají podporu z programů BV, </w:t>
      </w:r>
      <w:r w:rsidRPr="00C65664">
        <w:rPr>
          <w:lang w:eastAsia="cs-CZ"/>
        </w:rPr>
        <w:t>přibližně 40</w:t>
      </w:r>
      <w:r>
        <w:rPr>
          <w:lang w:eastAsia="cs-CZ"/>
        </w:rPr>
        <w:t> </w:t>
      </w:r>
      <w:r w:rsidRPr="00C65664">
        <w:rPr>
          <w:lang w:eastAsia="cs-CZ"/>
        </w:rPr>
        <w:t>%</w:t>
      </w:r>
      <w:r>
        <w:rPr>
          <w:lang w:eastAsia="cs-CZ"/>
        </w:rPr>
        <w:t xml:space="preserve">, v případě </w:t>
      </w:r>
      <w:r w:rsidRPr="00C65664">
        <w:rPr>
          <w:lang w:eastAsia="cs-CZ"/>
        </w:rPr>
        <w:t xml:space="preserve">TA ČR </w:t>
      </w:r>
      <w:r>
        <w:rPr>
          <w:lang w:eastAsia="cs-CZ"/>
        </w:rPr>
        <w:t xml:space="preserve">cca </w:t>
      </w:r>
      <w:r w:rsidRPr="00C65664">
        <w:rPr>
          <w:lang w:eastAsia="cs-CZ"/>
        </w:rPr>
        <w:t xml:space="preserve">22 %. </w:t>
      </w:r>
      <w:r>
        <w:rPr>
          <w:lang w:eastAsia="cs-CZ"/>
        </w:rPr>
        <w:t xml:space="preserve"> Nejvýznamnějším příjemcem podpory projektů vztahujících se k problematice bezpečnosti podpořených z programů MPO, MZe a TA ČR byl ÚJV </w:t>
      </w:r>
      <w:r w:rsidR="009F341B">
        <w:rPr>
          <w:lang w:eastAsia="cs-CZ"/>
        </w:rPr>
        <w:t>Řež</w:t>
      </w:r>
      <w:r>
        <w:rPr>
          <w:lang w:eastAsia="cs-CZ"/>
        </w:rPr>
        <w:t xml:space="preserve">, a.s., ČVUT v Praze a společnost ENVINET, které z těchto programů </w:t>
      </w:r>
      <w:r w:rsidR="00B31B8C">
        <w:rPr>
          <w:lang w:eastAsia="cs-CZ"/>
        </w:rPr>
        <w:t>získaly každý více než 100 mil. Kč na projekty, které se týkaly bezpečnosti.</w:t>
      </w:r>
      <w:r w:rsidR="00B73885" w:rsidRPr="00C65664">
        <w:rPr>
          <w:lang w:eastAsia="cs-CZ"/>
        </w:rPr>
        <w:t xml:space="preserve"> Přehled příjemců této podpory je uveden </w:t>
      </w:r>
      <w:r w:rsidR="00B73885" w:rsidRPr="002B0120">
        <w:rPr>
          <w:lang w:eastAsia="cs-CZ"/>
        </w:rPr>
        <w:t xml:space="preserve">v příloze </w:t>
      </w:r>
      <w:r w:rsidR="00B73885" w:rsidRPr="002B0120">
        <w:rPr>
          <w:i/>
          <w:lang w:eastAsia="cs-CZ"/>
        </w:rPr>
        <w:t xml:space="preserve">P </w:t>
      </w:r>
      <w:r w:rsidR="00A91733">
        <w:rPr>
          <w:i/>
          <w:lang w:eastAsia="cs-CZ"/>
        </w:rPr>
        <w:t>29</w:t>
      </w:r>
      <w:r w:rsidR="00B73885" w:rsidRPr="00C65664">
        <w:rPr>
          <w:lang w:eastAsia="cs-CZ"/>
        </w:rPr>
        <w:t xml:space="preserve">.  </w:t>
      </w:r>
    </w:p>
    <w:p w:rsidR="00287358" w:rsidRDefault="00287358" w:rsidP="00287358">
      <w:pPr>
        <w:pStyle w:val="Titulek"/>
        <w:keepNext/>
        <w:jc w:val="both"/>
      </w:pPr>
      <w:bookmarkStart w:id="59" w:name="_Ref451789082"/>
      <w:r>
        <w:t xml:space="preserve">Tab. </w:t>
      </w:r>
      <w:r w:rsidR="00990E2D">
        <w:fldChar w:fldCharType="begin"/>
      </w:r>
      <w:r w:rsidR="00990E2D">
        <w:instrText xml:space="preserve"> SEQ Tab. \* ARABIC </w:instrText>
      </w:r>
      <w:r w:rsidR="00990E2D">
        <w:fldChar w:fldCharType="separate"/>
      </w:r>
      <w:r w:rsidR="003F08E5">
        <w:rPr>
          <w:noProof/>
        </w:rPr>
        <w:t>12</w:t>
      </w:r>
      <w:r w:rsidR="00990E2D">
        <w:rPr>
          <w:noProof/>
        </w:rPr>
        <w:fldChar w:fldCharType="end"/>
      </w:r>
      <w:bookmarkEnd w:id="59"/>
      <w:r>
        <w:tab/>
      </w:r>
      <w:r w:rsidRPr="00287358">
        <w:t>Oborová struktura vybraných projektů programů MPO, MZE a TA</w:t>
      </w:r>
      <w:r w:rsidR="00184994">
        <w:t xml:space="preserve"> ČR</w:t>
      </w:r>
      <w:r w:rsidRPr="00287358">
        <w:t xml:space="preserve">, které se vztahují k bezpečnostní tématice </w:t>
      </w:r>
      <w:r>
        <w:t xml:space="preserve">– počet projektů, </w:t>
      </w:r>
      <w:r w:rsidRPr="00287358">
        <w:t>veřejná podpora od roku 2010</w:t>
      </w:r>
      <w:r>
        <w:t xml:space="preserve"> a podíl k podpoře poskytnuté v rámci programů BV implementovaných MV v letech 2010 - 2015. Zdroj: podklady dodané MV, IS VaVaI</w:t>
      </w:r>
    </w:p>
    <w:p w:rsidR="00B73885" w:rsidRPr="00C65664" w:rsidRDefault="00B73885" w:rsidP="00B73885">
      <w:r w:rsidRPr="00C65664">
        <w:rPr>
          <w:noProof/>
          <w:lang w:eastAsia="cs-CZ"/>
        </w:rPr>
        <w:drawing>
          <wp:inline distT="0" distB="0" distL="0" distR="0" wp14:anchorId="3352DFE4" wp14:editId="0D63F04B">
            <wp:extent cx="5850890" cy="3844604"/>
            <wp:effectExtent l="0" t="0" r="0" b="3810"/>
            <wp:docPr id="75" name="Obrázek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850890" cy="3844604"/>
                    </a:xfrm>
                    <a:prstGeom prst="rect">
                      <a:avLst/>
                    </a:prstGeom>
                    <a:noFill/>
                    <a:ln>
                      <a:noFill/>
                    </a:ln>
                  </pic:spPr>
                </pic:pic>
              </a:graphicData>
            </a:graphic>
          </wp:inline>
        </w:drawing>
      </w:r>
    </w:p>
    <w:p w:rsidR="00B73885" w:rsidRPr="00C65664" w:rsidRDefault="00B73885" w:rsidP="00B73885"/>
    <w:p w:rsidR="00B73885" w:rsidRDefault="00B73885" w:rsidP="008A5D3B">
      <w:pPr>
        <w:pStyle w:val="Nadpis4"/>
      </w:pPr>
      <w:bookmarkStart w:id="60" w:name="_Bezpečnostní_problematika_v"/>
      <w:bookmarkStart w:id="61" w:name="_Ref452122298"/>
      <w:bookmarkStart w:id="62" w:name="_Toc459723276"/>
      <w:bookmarkEnd w:id="60"/>
      <w:r w:rsidRPr="00C65664">
        <w:t xml:space="preserve">Bezpečnostní </w:t>
      </w:r>
      <w:r w:rsidR="00453D43">
        <w:t>proble</w:t>
      </w:r>
      <w:r w:rsidRPr="00C65664">
        <w:t xml:space="preserve">matika v projektech národních poskytovatelů účelového financování </w:t>
      </w:r>
      <w:r w:rsidR="00453D43">
        <w:t xml:space="preserve">s využitím </w:t>
      </w:r>
      <w:r w:rsidR="00BE1F9E">
        <w:t>textové analýzy abstraktů</w:t>
      </w:r>
      <w:bookmarkEnd w:id="61"/>
      <w:bookmarkEnd w:id="62"/>
    </w:p>
    <w:p w:rsidR="00423455" w:rsidRDefault="00B73885" w:rsidP="00B73885">
      <w:pPr>
        <w:rPr>
          <w:lang w:eastAsia="cs-CZ"/>
        </w:rPr>
      </w:pPr>
      <w:r w:rsidRPr="00C65664">
        <w:rPr>
          <w:lang w:eastAsia="cs-CZ"/>
        </w:rPr>
        <w:t>Projekty řešící problematiku</w:t>
      </w:r>
      <w:r w:rsidR="00453D43">
        <w:rPr>
          <w:lang w:eastAsia="cs-CZ"/>
        </w:rPr>
        <w:t xml:space="preserve"> bezpečnosti</w:t>
      </w:r>
      <w:r w:rsidRPr="00C65664">
        <w:rPr>
          <w:lang w:eastAsia="cs-CZ"/>
        </w:rPr>
        <w:t xml:space="preserve"> byly vyhledány </w:t>
      </w:r>
      <w:r w:rsidR="00453D43">
        <w:rPr>
          <w:lang w:eastAsia="cs-CZ"/>
        </w:rPr>
        <w:t xml:space="preserve">v IS VaVaI s využitím </w:t>
      </w:r>
      <w:r w:rsidRPr="00C65664">
        <w:rPr>
          <w:lang w:eastAsia="cs-CZ"/>
        </w:rPr>
        <w:t>přibližně 800 klíčových slov</w:t>
      </w:r>
      <w:r w:rsidR="00453D43">
        <w:rPr>
          <w:lang w:eastAsia="cs-CZ"/>
        </w:rPr>
        <w:t>, které vycházely z aktuálních strategických dokumentů stanovují</w:t>
      </w:r>
      <w:r w:rsidR="00423455">
        <w:rPr>
          <w:lang w:eastAsia="cs-CZ"/>
        </w:rPr>
        <w:t>cí</w:t>
      </w:r>
      <w:r w:rsidR="00453D43">
        <w:rPr>
          <w:lang w:eastAsia="cs-CZ"/>
        </w:rPr>
        <w:t xml:space="preserve">ch </w:t>
      </w:r>
      <w:r w:rsidR="00423455">
        <w:rPr>
          <w:lang w:eastAsia="cs-CZ"/>
        </w:rPr>
        <w:t>zaměření BV v budoucnosti</w:t>
      </w:r>
      <w:r w:rsidRPr="00C65664">
        <w:rPr>
          <w:lang w:eastAsia="cs-CZ"/>
        </w:rPr>
        <w:t xml:space="preserve"> (seznam </w:t>
      </w:r>
      <w:r w:rsidR="00453D43">
        <w:rPr>
          <w:lang w:eastAsia="cs-CZ"/>
        </w:rPr>
        <w:t>těchto slov je v</w:t>
      </w:r>
      <w:r w:rsidRPr="00C65664">
        <w:rPr>
          <w:lang w:eastAsia="cs-CZ"/>
        </w:rPr>
        <w:t xml:space="preserve"> </w:t>
      </w:r>
      <w:r w:rsidRPr="007C1B5F">
        <w:rPr>
          <w:lang w:eastAsia="cs-CZ"/>
        </w:rPr>
        <w:t>přílo</w:t>
      </w:r>
      <w:r w:rsidR="00453D43" w:rsidRPr="007C1B5F">
        <w:rPr>
          <w:lang w:eastAsia="cs-CZ"/>
        </w:rPr>
        <w:t>ze</w:t>
      </w:r>
      <w:r w:rsidRPr="007C1B5F">
        <w:rPr>
          <w:lang w:eastAsia="cs-CZ"/>
        </w:rPr>
        <w:t xml:space="preserve"> </w:t>
      </w:r>
      <w:r w:rsidRPr="007C1B5F">
        <w:rPr>
          <w:i/>
          <w:lang w:eastAsia="cs-CZ"/>
        </w:rPr>
        <w:t xml:space="preserve">P </w:t>
      </w:r>
      <w:r w:rsidR="00A34F09">
        <w:rPr>
          <w:i/>
          <w:lang w:eastAsia="cs-CZ"/>
        </w:rPr>
        <w:t>48</w:t>
      </w:r>
      <w:r w:rsidRPr="007C1B5F">
        <w:rPr>
          <w:lang w:eastAsia="cs-CZ"/>
        </w:rPr>
        <w:t>)</w:t>
      </w:r>
      <w:r w:rsidR="00423455" w:rsidRPr="007C1B5F">
        <w:rPr>
          <w:lang w:eastAsia="cs-CZ"/>
        </w:rPr>
        <w:t>.</w:t>
      </w:r>
      <w:r w:rsidR="00423455">
        <w:rPr>
          <w:lang w:eastAsia="cs-CZ"/>
        </w:rPr>
        <w:t xml:space="preserve"> Pro tyto účely byla využita databáze CEP IS VaVaI, přičemž projekty byly identifikovány </w:t>
      </w:r>
      <w:r w:rsidRPr="00C65664">
        <w:rPr>
          <w:lang w:eastAsia="cs-CZ"/>
        </w:rPr>
        <w:t>na základě výskytu</w:t>
      </w:r>
      <w:r w:rsidR="00423455">
        <w:rPr>
          <w:lang w:eastAsia="cs-CZ"/>
        </w:rPr>
        <w:t xml:space="preserve"> klíčových slov </w:t>
      </w:r>
      <w:r w:rsidRPr="00C65664">
        <w:rPr>
          <w:lang w:eastAsia="cs-CZ"/>
        </w:rPr>
        <w:t>v anglických anotacích a názvech projektů</w:t>
      </w:r>
      <w:r w:rsidR="00423455">
        <w:rPr>
          <w:lang w:eastAsia="cs-CZ"/>
        </w:rPr>
        <w:t xml:space="preserve"> probíhajících od roku 2010 (včetně).</w:t>
      </w:r>
      <w:r w:rsidRPr="00C65664">
        <w:rPr>
          <w:lang w:eastAsia="cs-CZ"/>
        </w:rPr>
        <w:t xml:space="preserve"> </w:t>
      </w:r>
    </w:p>
    <w:p w:rsidR="00423455" w:rsidRDefault="00423455" w:rsidP="00B73885">
      <w:pPr>
        <w:rPr>
          <w:lang w:eastAsia="cs-CZ"/>
        </w:rPr>
      </w:pPr>
      <w:r>
        <w:rPr>
          <w:lang w:eastAsia="cs-CZ"/>
        </w:rPr>
        <w:lastRenderedPageBreak/>
        <w:t xml:space="preserve">Výše popsaným způsobem se </w:t>
      </w:r>
      <w:r w:rsidR="00453D43">
        <w:rPr>
          <w:lang w:eastAsia="cs-CZ"/>
        </w:rPr>
        <w:t xml:space="preserve">podařilo </w:t>
      </w:r>
      <w:r w:rsidR="00B73885" w:rsidRPr="00C65664">
        <w:rPr>
          <w:lang w:eastAsia="cs-CZ"/>
        </w:rPr>
        <w:t>nal</w:t>
      </w:r>
      <w:r w:rsidR="00453D43">
        <w:rPr>
          <w:lang w:eastAsia="cs-CZ"/>
        </w:rPr>
        <w:t>ézt</w:t>
      </w:r>
      <w:r w:rsidR="00B73885" w:rsidRPr="00C65664">
        <w:rPr>
          <w:lang w:eastAsia="cs-CZ"/>
        </w:rPr>
        <w:t xml:space="preserve"> </w:t>
      </w:r>
      <w:r>
        <w:rPr>
          <w:lang w:eastAsia="cs-CZ"/>
        </w:rPr>
        <w:t xml:space="preserve">celkem </w:t>
      </w:r>
      <w:r w:rsidR="00B73885" w:rsidRPr="00C65664">
        <w:rPr>
          <w:lang w:eastAsia="cs-CZ"/>
        </w:rPr>
        <w:t>1 346 projektů. Validitu výběru klíčových slov potvrdila prakticky úplná detekce projektů v programech MV</w:t>
      </w:r>
      <w:r w:rsidR="00B73885" w:rsidRPr="00C65664">
        <w:rPr>
          <w:rFonts w:cs="Times New Roman"/>
          <w:vertAlign w:val="superscript"/>
          <w:lang w:eastAsia="cs-CZ"/>
        </w:rPr>
        <w:footnoteReference w:id="9"/>
      </w:r>
      <w:r w:rsidR="00B73885" w:rsidRPr="00C65664">
        <w:rPr>
          <w:lang w:eastAsia="cs-CZ"/>
        </w:rPr>
        <w:t xml:space="preserve">. Kontrola však ukázala na velký počet projektů, v jejichž anotacích se </w:t>
      </w:r>
      <w:r>
        <w:rPr>
          <w:lang w:eastAsia="cs-CZ"/>
        </w:rPr>
        <w:t xml:space="preserve">sice </w:t>
      </w:r>
      <w:r w:rsidR="00B73885" w:rsidRPr="00C65664">
        <w:rPr>
          <w:lang w:eastAsia="cs-CZ"/>
        </w:rPr>
        <w:t>klíčová slova vyskytovala, avšak předmět výzkumu nebyl tematicky blíz</w:t>
      </w:r>
      <w:r w:rsidR="00FC434C">
        <w:rPr>
          <w:lang w:eastAsia="cs-CZ"/>
        </w:rPr>
        <w:t>ký bezpečnostní problematice. Tý</w:t>
      </w:r>
      <w:r w:rsidR="00B73885" w:rsidRPr="00C65664">
        <w:rPr>
          <w:lang w:eastAsia="cs-CZ"/>
        </w:rPr>
        <w:t xml:space="preserve">kalo se to především ekonomické </w:t>
      </w:r>
      <w:r w:rsidR="00FC434C">
        <w:rPr>
          <w:lang w:eastAsia="cs-CZ"/>
        </w:rPr>
        <w:t>a bio</w:t>
      </w:r>
      <w:r w:rsidR="00B73885" w:rsidRPr="00C65664">
        <w:rPr>
          <w:lang w:eastAsia="cs-CZ"/>
        </w:rPr>
        <w:t>medicínské oblasti</w:t>
      </w:r>
      <w:r w:rsidR="00B73885" w:rsidRPr="00C65664">
        <w:rPr>
          <w:rFonts w:cs="Times New Roman"/>
          <w:vertAlign w:val="superscript"/>
          <w:lang w:eastAsia="cs-CZ"/>
        </w:rPr>
        <w:footnoteReference w:id="10"/>
      </w:r>
      <w:r w:rsidR="00B73885" w:rsidRPr="00C65664">
        <w:rPr>
          <w:lang w:eastAsia="cs-CZ"/>
        </w:rPr>
        <w:t>. Z prvotního strojového výběru bylo proto k následujícímu zpracování vybráno 463 projektů.</w:t>
      </w:r>
    </w:p>
    <w:p w:rsidR="00B73885" w:rsidRDefault="00B73885" w:rsidP="00B73885">
      <w:pPr>
        <w:rPr>
          <w:lang w:eastAsia="cs-CZ"/>
        </w:rPr>
      </w:pPr>
      <w:r w:rsidRPr="00C65664">
        <w:rPr>
          <w:lang w:eastAsia="cs-CZ"/>
        </w:rPr>
        <w:t xml:space="preserve">Objemy finanční podpory a počty projektů </w:t>
      </w:r>
      <w:r w:rsidR="00423455">
        <w:rPr>
          <w:lang w:eastAsia="cs-CZ"/>
        </w:rPr>
        <w:t xml:space="preserve">podpořených </w:t>
      </w:r>
      <w:r w:rsidRPr="00C65664">
        <w:rPr>
          <w:lang w:eastAsia="cs-CZ"/>
        </w:rPr>
        <w:t>jednotlivý</w:t>
      </w:r>
      <w:r w:rsidR="00423455">
        <w:rPr>
          <w:lang w:eastAsia="cs-CZ"/>
        </w:rPr>
        <w:t>mi</w:t>
      </w:r>
      <w:r w:rsidRPr="00C65664">
        <w:rPr>
          <w:lang w:eastAsia="cs-CZ"/>
        </w:rPr>
        <w:t xml:space="preserve"> poskytovatel</w:t>
      </w:r>
      <w:r w:rsidR="00423455">
        <w:rPr>
          <w:lang w:eastAsia="cs-CZ"/>
        </w:rPr>
        <w:t>i</w:t>
      </w:r>
      <w:r w:rsidRPr="00C65664">
        <w:rPr>
          <w:lang w:eastAsia="cs-CZ"/>
        </w:rPr>
        <w:t xml:space="preserve"> jsou uvedeny v</w:t>
      </w:r>
      <w:r w:rsidR="00BE1F9E">
        <w:rPr>
          <w:lang w:eastAsia="cs-CZ"/>
        </w:rPr>
        <w:t xml:space="preserve"> </w:t>
      </w:r>
      <w:r w:rsidR="00BE1F9E">
        <w:rPr>
          <w:lang w:eastAsia="cs-CZ"/>
        </w:rPr>
        <w:fldChar w:fldCharType="begin"/>
      </w:r>
      <w:r w:rsidR="00BE1F9E">
        <w:rPr>
          <w:lang w:eastAsia="cs-CZ"/>
        </w:rPr>
        <w:instrText xml:space="preserve"> REF  _Ref451865789 \* Lower \h  \* MERGEFORMAT </w:instrText>
      </w:r>
      <w:r w:rsidR="00BE1F9E">
        <w:rPr>
          <w:lang w:eastAsia="cs-CZ"/>
        </w:rPr>
      </w:r>
      <w:r w:rsidR="00BE1F9E">
        <w:rPr>
          <w:lang w:eastAsia="cs-CZ"/>
        </w:rPr>
        <w:fldChar w:fldCharType="separate"/>
      </w:r>
      <w:r w:rsidR="003F08E5">
        <w:t xml:space="preserve">tab. </w:t>
      </w:r>
      <w:r w:rsidR="003F08E5">
        <w:rPr>
          <w:noProof/>
        </w:rPr>
        <w:t>13</w:t>
      </w:r>
      <w:r w:rsidR="00BE1F9E">
        <w:rPr>
          <w:lang w:eastAsia="cs-CZ"/>
        </w:rPr>
        <w:fldChar w:fldCharType="end"/>
      </w:r>
      <w:r w:rsidRPr="00C65664">
        <w:rPr>
          <w:lang w:eastAsia="cs-CZ"/>
        </w:rPr>
        <w:t xml:space="preserve">. Největší objem prostředků </w:t>
      </w:r>
      <w:r w:rsidR="00CE10DC">
        <w:rPr>
          <w:lang w:eastAsia="cs-CZ"/>
        </w:rPr>
        <w:t xml:space="preserve">určených pro </w:t>
      </w:r>
      <w:r w:rsidR="00A20837">
        <w:rPr>
          <w:lang w:eastAsia="cs-CZ"/>
        </w:rPr>
        <w:t>proj</w:t>
      </w:r>
      <w:r w:rsidR="00CE10DC">
        <w:rPr>
          <w:lang w:eastAsia="cs-CZ"/>
        </w:rPr>
        <w:t xml:space="preserve">ekty </w:t>
      </w:r>
      <w:r w:rsidR="00A20837">
        <w:rPr>
          <w:lang w:eastAsia="cs-CZ"/>
        </w:rPr>
        <w:t>tematické blízké bezpečnostní problematice byl</w:t>
      </w:r>
      <w:r w:rsidR="00CE10DC">
        <w:rPr>
          <w:lang w:eastAsia="cs-CZ"/>
        </w:rPr>
        <w:t xml:space="preserve"> z programů </w:t>
      </w:r>
      <w:r w:rsidRPr="00C65664">
        <w:rPr>
          <w:lang w:eastAsia="cs-CZ"/>
        </w:rPr>
        <w:t>MŠMT</w:t>
      </w:r>
      <w:r w:rsidR="00423455">
        <w:rPr>
          <w:lang w:eastAsia="cs-CZ"/>
        </w:rPr>
        <w:t>,</w:t>
      </w:r>
      <w:r w:rsidRPr="00C65664">
        <w:rPr>
          <w:lang w:eastAsia="cs-CZ"/>
        </w:rPr>
        <w:t xml:space="preserve"> avšak je nutno vzít v úvahu, že </w:t>
      </w:r>
      <w:r w:rsidR="00423455">
        <w:rPr>
          <w:lang w:eastAsia="cs-CZ"/>
        </w:rPr>
        <w:t xml:space="preserve">cca </w:t>
      </w:r>
      <w:r w:rsidRPr="00C65664">
        <w:rPr>
          <w:lang w:eastAsia="cs-CZ"/>
        </w:rPr>
        <w:t>1</w:t>
      </w:r>
      <w:r w:rsidR="00423455">
        <w:rPr>
          <w:lang w:eastAsia="cs-CZ"/>
        </w:rPr>
        <w:t>,</w:t>
      </w:r>
      <w:r w:rsidRPr="00C65664">
        <w:rPr>
          <w:lang w:eastAsia="cs-CZ"/>
        </w:rPr>
        <w:t xml:space="preserve">4 mld. Kč z celkové částky připadá na </w:t>
      </w:r>
      <w:r w:rsidR="00A20837">
        <w:rPr>
          <w:lang w:eastAsia="cs-CZ"/>
        </w:rPr>
        <w:t>projekty velkých infrastruktur pro VaVaI</w:t>
      </w:r>
      <w:r w:rsidRPr="00C65664">
        <w:rPr>
          <w:lang w:eastAsia="cs-CZ"/>
        </w:rPr>
        <w:t xml:space="preserve">, konkrétně </w:t>
      </w:r>
      <w:r w:rsidR="00A20837">
        <w:rPr>
          <w:lang w:eastAsia="cs-CZ"/>
        </w:rPr>
        <w:t xml:space="preserve">na </w:t>
      </w:r>
      <w:r w:rsidR="00A968D8">
        <w:rPr>
          <w:lang w:eastAsia="cs-CZ"/>
        </w:rPr>
        <w:t>projekt s</w:t>
      </w:r>
      <w:r w:rsidRPr="00C65664">
        <w:rPr>
          <w:lang w:eastAsia="cs-CZ"/>
        </w:rPr>
        <w:t>uperpočí</w:t>
      </w:r>
      <w:r w:rsidR="00432127">
        <w:rPr>
          <w:lang w:eastAsia="cs-CZ"/>
        </w:rPr>
        <w:t>tačového centra IT4Innovations</w:t>
      </w:r>
      <w:r w:rsidR="00092687">
        <w:rPr>
          <w:rStyle w:val="Znakapoznpodarou"/>
          <w:lang w:eastAsia="cs-CZ"/>
        </w:rPr>
        <w:footnoteReference w:id="11"/>
      </w:r>
      <w:r w:rsidR="00432127">
        <w:rPr>
          <w:lang w:eastAsia="cs-CZ"/>
        </w:rPr>
        <w:t>. Z rozpočtové kapitoly MŠMT bylo také podpořeno několik projektů týkajících se bezpečnosti v</w:t>
      </w:r>
      <w:r w:rsidR="004D13AC">
        <w:rPr>
          <w:lang w:eastAsia="cs-CZ"/>
        </w:rPr>
        <w:t> programech podporujících mezinárodní spolupráci ve VaV</w:t>
      </w:r>
      <w:r w:rsidR="00170507">
        <w:rPr>
          <w:lang w:eastAsia="cs-CZ"/>
        </w:rPr>
        <w:t xml:space="preserve"> </w:t>
      </w:r>
      <w:r w:rsidR="004D13AC">
        <w:rPr>
          <w:lang w:eastAsia="cs-CZ"/>
        </w:rPr>
        <w:t xml:space="preserve">(jednalo se zejména o iniciativu </w:t>
      </w:r>
      <w:r w:rsidR="00432127">
        <w:rPr>
          <w:lang w:eastAsia="cs-CZ"/>
        </w:rPr>
        <w:t xml:space="preserve">EUREKA, programy KONTAKT, COST a další). </w:t>
      </w:r>
      <w:r w:rsidR="004D13AC">
        <w:rPr>
          <w:lang w:eastAsia="cs-CZ"/>
        </w:rPr>
        <w:t xml:space="preserve">Tyto projekty jsou detailněji analyzovány v </w:t>
      </w:r>
      <w:r w:rsidR="00432127">
        <w:rPr>
          <w:lang w:eastAsia="cs-CZ"/>
        </w:rPr>
        <w:t xml:space="preserve">kap. </w:t>
      </w:r>
      <w:r w:rsidR="00D74918">
        <w:rPr>
          <w:lang w:eastAsia="cs-CZ"/>
        </w:rPr>
        <w:fldChar w:fldCharType="begin"/>
      </w:r>
      <w:r w:rsidR="00D74918">
        <w:rPr>
          <w:lang w:eastAsia="cs-CZ"/>
        </w:rPr>
        <w:instrText xml:space="preserve"> REF _Ref451865691 \r \h </w:instrText>
      </w:r>
      <w:r w:rsidR="00D74918">
        <w:rPr>
          <w:lang w:eastAsia="cs-CZ"/>
        </w:rPr>
      </w:r>
      <w:r w:rsidR="00D74918">
        <w:rPr>
          <w:lang w:eastAsia="cs-CZ"/>
        </w:rPr>
        <w:fldChar w:fldCharType="separate"/>
      </w:r>
      <w:r w:rsidR="003F08E5">
        <w:rPr>
          <w:lang w:eastAsia="cs-CZ"/>
        </w:rPr>
        <w:t>3.5</w:t>
      </w:r>
      <w:r w:rsidR="00D74918">
        <w:rPr>
          <w:lang w:eastAsia="cs-CZ"/>
        </w:rPr>
        <w:fldChar w:fldCharType="end"/>
      </w:r>
      <w:r w:rsidR="00D74918">
        <w:rPr>
          <w:lang w:eastAsia="cs-CZ"/>
        </w:rPr>
        <w:t>.</w:t>
      </w:r>
    </w:p>
    <w:p w:rsidR="00432127" w:rsidRDefault="00432127" w:rsidP="00A20837">
      <w:pPr>
        <w:rPr>
          <w:lang w:eastAsia="cs-CZ"/>
        </w:rPr>
      </w:pPr>
      <w:r>
        <w:rPr>
          <w:lang w:eastAsia="cs-CZ"/>
        </w:rPr>
        <w:t>Pokud vyloučíme tento projekt, největší objem veřejné podpory byl poskytnut v rámci programů TA ČR. Nejvíce byly podporovány projekty v programu ALFA (</w:t>
      </w:r>
      <w:r w:rsidRPr="00C65664">
        <w:rPr>
          <w:lang w:eastAsia="cs-CZ"/>
        </w:rPr>
        <w:t>přibližně 540 mil. Kč v 63 projektech</w:t>
      </w:r>
      <w:r>
        <w:rPr>
          <w:lang w:eastAsia="cs-CZ"/>
        </w:rPr>
        <w:t>) a v programu Centra kompetence, kde byly podpořeny dva projekty celkovou částkou téměř 440 mil. Kč.</w:t>
      </w:r>
    </w:p>
    <w:p w:rsidR="00A20837" w:rsidRDefault="00432127" w:rsidP="00A20837">
      <w:pPr>
        <w:rPr>
          <w:lang w:eastAsia="cs-CZ"/>
        </w:rPr>
      </w:pPr>
      <w:r>
        <w:rPr>
          <w:lang w:eastAsia="cs-CZ"/>
        </w:rPr>
        <w:t>Dalšími v</w:t>
      </w:r>
      <w:r w:rsidR="001F2E5F" w:rsidRPr="00C65664">
        <w:rPr>
          <w:lang w:eastAsia="cs-CZ"/>
        </w:rPr>
        <w:t>ýznamnými programy, které se tematicky překrývají s programy MV</w:t>
      </w:r>
      <w:r w:rsidR="001F2E5F">
        <w:rPr>
          <w:lang w:eastAsia="cs-CZ"/>
        </w:rPr>
        <w:t xml:space="preserve">, </w:t>
      </w:r>
      <w:r w:rsidR="001F2E5F" w:rsidRPr="00C65664">
        <w:rPr>
          <w:lang w:eastAsia="cs-CZ"/>
        </w:rPr>
        <w:t>jsou Obranný aplikovaný výzkum, experimentální vývoj a inovace (MO)</w:t>
      </w:r>
      <w:r>
        <w:rPr>
          <w:lang w:eastAsia="cs-CZ"/>
        </w:rPr>
        <w:t>, kde bylo podpořeno 24 takto zaměřených projektů celkovou částkou přes 420 mil. Kč. Poměrně vysoká částka byla na projekty řešící problematiku bezpečnosti poskytnuta také v programu TIP v gesci MPO (21 projektů, 266 mil. Kč).</w:t>
      </w:r>
    </w:p>
    <w:p w:rsidR="00A20837" w:rsidRDefault="00092687" w:rsidP="00A20837">
      <w:pPr>
        <w:rPr>
          <w:lang w:eastAsia="cs-CZ"/>
        </w:rPr>
      </w:pPr>
      <w:r>
        <w:rPr>
          <w:lang w:eastAsia="cs-CZ"/>
        </w:rPr>
        <w:t xml:space="preserve">Oborové rozdělení veřejné podpory, která směřovala na projekty tematicky blízké problematice bezpečnosti (viz </w:t>
      </w:r>
      <w:r>
        <w:rPr>
          <w:lang w:eastAsia="cs-CZ"/>
        </w:rPr>
        <w:fldChar w:fldCharType="begin"/>
      </w:r>
      <w:r>
        <w:rPr>
          <w:lang w:eastAsia="cs-CZ"/>
        </w:rPr>
        <w:instrText xml:space="preserve"> REF  _Ref451865789 \* Lower \h  \* MERGEFORMAT </w:instrText>
      </w:r>
      <w:r>
        <w:rPr>
          <w:lang w:eastAsia="cs-CZ"/>
        </w:rPr>
      </w:r>
      <w:r>
        <w:rPr>
          <w:lang w:eastAsia="cs-CZ"/>
        </w:rPr>
        <w:fldChar w:fldCharType="separate"/>
      </w:r>
      <w:r w:rsidR="003F08E5">
        <w:t xml:space="preserve">tab. </w:t>
      </w:r>
      <w:r w:rsidR="003F08E5">
        <w:rPr>
          <w:noProof/>
        </w:rPr>
        <w:t>13</w:t>
      </w:r>
      <w:r>
        <w:rPr>
          <w:lang w:eastAsia="cs-CZ"/>
        </w:rPr>
        <w:fldChar w:fldCharType="end"/>
      </w:r>
      <w:r>
        <w:rPr>
          <w:lang w:eastAsia="cs-CZ"/>
        </w:rPr>
        <w:t xml:space="preserve">) je uvedeno v </w:t>
      </w:r>
      <w:r>
        <w:rPr>
          <w:lang w:eastAsia="cs-CZ"/>
        </w:rPr>
        <w:fldChar w:fldCharType="begin"/>
      </w:r>
      <w:r>
        <w:rPr>
          <w:lang w:eastAsia="cs-CZ"/>
        </w:rPr>
        <w:instrText xml:space="preserve"> REF  _Ref451865806 \* Lower \h  \* MERGEFORMAT </w:instrText>
      </w:r>
      <w:r>
        <w:rPr>
          <w:lang w:eastAsia="cs-CZ"/>
        </w:rPr>
      </w:r>
      <w:r>
        <w:rPr>
          <w:lang w:eastAsia="cs-CZ"/>
        </w:rPr>
        <w:fldChar w:fldCharType="separate"/>
      </w:r>
      <w:r w:rsidR="003F08E5">
        <w:t xml:space="preserve">tab. </w:t>
      </w:r>
      <w:r w:rsidR="003F08E5">
        <w:rPr>
          <w:noProof/>
        </w:rPr>
        <w:t>14</w:t>
      </w:r>
      <w:r>
        <w:rPr>
          <w:lang w:eastAsia="cs-CZ"/>
        </w:rPr>
        <w:fldChar w:fldCharType="end"/>
      </w:r>
      <w:r>
        <w:rPr>
          <w:lang w:eastAsia="cs-CZ"/>
        </w:rPr>
        <w:t xml:space="preserve">. Z této tabulky je patrné, že největší objem veřejné podpory byl v oboru Informatika (jednalo se o projekt již zmíněného Evropského centra excelence IT4Innovations). </w:t>
      </w:r>
      <w:r w:rsidR="009B7674">
        <w:rPr>
          <w:lang w:eastAsia="cs-CZ"/>
        </w:rPr>
        <w:t xml:space="preserve">Dalšími obory s vysokou veřejnou podporou bylo Vojenství, Jaderná energetika a Kompositní materiály. </w:t>
      </w:r>
      <w:r w:rsidR="00A20837" w:rsidRPr="00C65664">
        <w:rPr>
          <w:lang w:eastAsia="cs-CZ"/>
        </w:rPr>
        <w:t xml:space="preserve">Detailní rozdělení podle typů grantů a oborů jsou </w:t>
      </w:r>
      <w:r w:rsidR="00E85948" w:rsidRPr="00C65664">
        <w:rPr>
          <w:lang w:eastAsia="cs-CZ"/>
        </w:rPr>
        <w:t>uveden</w:t>
      </w:r>
      <w:r w:rsidR="00E85948">
        <w:rPr>
          <w:lang w:eastAsia="cs-CZ"/>
        </w:rPr>
        <w:t>a</w:t>
      </w:r>
      <w:r w:rsidR="00E85948" w:rsidRPr="00C65664">
        <w:rPr>
          <w:lang w:eastAsia="cs-CZ"/>
        </w:rPr>
        <w:t xml:space="preserve"> </w:t>
      </w:r>
      <w:r w:rsidR="00A20837" w:rsidRPr="00C65664">
        <w:rPr>
          <w:lang w:eastAsia="cs-CZ"/>
        </w:rPr>
        <w:t>v </w:t>
      </w:r>
      <w:r w:rsidR="00E85948" w:rsidRPr="002B0120">
        <w:rPr>
          <w:lang w:eastAsia="cs-CZ"/>
        </w:rPr>
        <w:t>přílo</w:t>
      </w:r>
      <w:r w:rsidR="00E85948">
        <w:rPr>
          <w:lang w:eastAsia="cs-CZ"/>
        </w:rPr>
        <w:t>hách</w:t>
      </w:r>
      <w:r w:rsidR="00E85948" w:rsidRPr="002B0120">
        <w:rPr>
          <w:lang w:eastAsia="cs-CZ"/>
        </w:rPr>
        <w:t xml:space="preserve"> </w:t>
      </w:r>
      <w:r w:rsidR="00A20837" w:rsidRPr="002B0120">
        <w:rPr>
          <w:i/>
          <w:lang w:eastAsia="cs-CZ"/>
        </w:rPr>
        <w:t>P</w:t>
      </w:r>
      <w:r w:rsidR="00E85948">
        <w:rPr>
          <w:i/>
          <w:lang w:eastAsia="cs-CZ"/>
        </w:rPr>
        <w:t xml:space="preserve"> 30 a P 31</w:t>
      </w:r>
      <w:r w:rsidR="00A20837">
        <w:rPr>
          <w:lang w:eastAsia="cs-CZ"/>
        </w:rPr>
        <w:t>.</w:t>
      </w:r>
    </w:p>
    <w:p w:rsidR="00A20837" w:rsidRPr="00A20837" w:rsidRDefault="00A20837" w:rsidP="00A20837">
      <w:pPr>
        <w:pStyle w:val="Titulek"/>
      </w:pPr>
      <w:bookmarkStart w:id="63" w:name="_Ref451865789"/>
      <w:r>
        <w:t xml:space="preserve">Tab. </w:t>
      </w:r>
      <w:r w:rsidR="00990E2D">
        <w:fldChar w:fldCharType="begin"/>
      </w:r>
      <w:r w:rsidR="00990E2D">
        <w:instrText xml:space="preserve"> SEQ Tab. \* ARABIC </w:instrText>
      </w:r>
      <w:r w:rsidR="00990E2D">
        <w:fldChar w:fldCharType="separate"/>
      </w:r>
      <w:r w:rsidR="003F08E5">
        <w:rPr>
          <w:noProof/>
        </w:rPr>
        <w:t>13</w:t>
      </w:r>
      <w:r w:rsidR="00990E2D">
        <w:rPr>
          <w:noProof/>
        </w:rPr>
        <w:fldChar w:fldCharType="end"/>
      </w:r>
      <w:bookmarkEnd w:id="63"/>
      <w:r>
        <w:tab/>
      </w:r>
      <w:r w:rsidRPr="00A20837">
        <w:t>Poskytovatelé veřejné podpory projektů tematicky blízkých bezpečnostní problematice od roku 2010</w:t>
      </w:r>
      <w:r>
        <w:t xml:space="preserve"> – programy, počty projektů a veřejná podpora (tabulka je samostatné straně). Zdroj: IS VaVaI</w:t>
      </w:r>
    </w:p>
    <w:p w:rsidR="001D5E1A" w:rsidRDefault="00C2281E" w:rsidP="00A20837">
      <w:pPr>
        <w:jc w:val="center"/>
        <w:rPr>
          <w:lang w:eastAsia="cs-CZ"/>
        </w:rPr>
      </w:pPr>
      <w:r w:rsidRPr="00744561">
        <w:rPr>
          <w:noProof/>
          <w:lang w:eastAsia="cs-CZ"/>
        </w:rPr>
        <w:lastRenderedPageBreak/>
        <w:drawing>
          <wp:inline distT="0" distB="0" distL="0" distR="0" wp14:anchorId="4E062524" wp14:editId="5CCBC33F">
            <wp:extent cx="5148000" cy="9018000"/>
            <wp:effectExtent l="0" t="0" r="0" b="0"/>
            <wp:docPr id="47" name="Obrázek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148000" cy="9018000"/>
                    </a:xfrm>
                    <a:prstGeom prst="rect">
                      <a:avLst/>
                    </a:prstGeom>
                    <a:noFill/>
                    <a:ln>
                      <a:noFill/>
                    </a:ln>
                  </pic:spPr>
                </pic:pic>
              </a:graphicData>
            </a:graphic>
          </wp:inline>
        </w:drawing>
      </w:r>
    </w:p>
    <w:p w:rsidR="00A20837" w:rsidRDefault="00A20837" w:rsidP="00A20837">
      <w:pPr>
        <w:pStyle w:val="Titulek"/>
        <w:keepNext/>
        <w:jc w:val="both"/>
      </w:pPr>
      <w:bookmarkStart w:id="64" w:name="_Ref451865806"/>
      <w:r>
        <w:lastRenderedPageBreak/>
        <w:t xml:space="preserve">Tab. </w:t>
      </w:r>
      <w:r w:rsidR="00990E2D">
        <w:fldChar w:fldCharType="begin"/>
      </w:r>
      <w:r w:rsidR="00990E2D">
        <w:instrText xml:space="preserve"> SEQ Tab. \* ARABIC </w:instrText>
      </w:r>
      <w:r w:rsidR="00990E2D">
        <w:fldChar w:fldCharType="separate"/>
      </w:r>
      <w:r w:rsidR="003F08E5">
        <w:rPr>
          <w:noProof/>
        </w:rPr>
        <w:t>14</w:t>
      </w:r>
      <w:r w:rsidR="00990E2D">
        <w:rPr>
          <w:noProof/>
        </w:rPr>
        <w:fldChar w:fldCharType="end"/>
      </w:r>
      <w:bookmarkEnd w:id="64"/>
      <w:r>
        <w:tab/>
        <w:t xml:space="preserve">Veřejná podpora </w:t>
      </w:r>
      <w:r w:rsidRPr="00A20837">
        <w:t>projektů tematicky blízkých bezpečnostní problematice od roku 2010</w:t>
      </w:r>
      <w:r>
        <w:t xml:space="preserve"> – oborové rozdělení veřejné podpory. V tabulce jsou uvedeny pouze obory, ve kterých veřejná podpora přesáhla 50 mil. nebo kde bylo financováno alespoň deset projektů. Zdroj: IS VaVaI</w:t>
      </w:r>
    </w:p>
    <w:p w:rsidR="002D03F3" w:rsidRDefault="002D03F3" w:rsidP="00A20837">
      <w:pPr>
        <w:jc w:val="center"/>
        <w:rPr>
          <w:lang w:eastAsia="cs-CZ"/>
        </w:rPr>
      </w:pPr>
      <w:r w:rsidRPr="002D03F3">
        <w:rPr>
          <w:noProof/>
          <w:lang w:eastAsia="cs-CZ"/>
        </w:rPr>
        <w:drawing>
          <wp:inline distT="0" distB="0" distL="0" distR="0" wp14:anchorId="100E3AAE" wp14:editId="0CEDE32E">
            <wp:extent cx="4772025" cy="2876550"/>
            <wp:effectExtent l="0" t="0" r="9525" b="0"/>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772025" cy="2876550"/>
                    </a:xfrm>
                    <a:prstGeom prst="rect">
                      <a:avLst/>
                    </a:prstGeom>
                    <a:noFill/>
                    <a:ln>
                      <a:noFill/>
                    </a:ln>
                  </pic:spPr>
                </pic:pic>
              </a:graphicData>
            </a:graphic>
          </wp:inline>
        </w:drawing>
      </w:r>
    </w:p>
    <w:p w:rsidR="002D03F3" w:rsidRDefault="002D03F3" w:rsidP="001F2E5F">
      <w:pPr>
        <w:rPr>
          <w:lang w:eastAsia="cs-CZ"/>
        </w:rPr>
      </w:pPr>
    </w:p>
    <w:p w:rsidR="00B73885" w:rsidRDefault="008033D5" w:rsidP="008033D5">
      <w:pPr>
        <w:pStyle w:val="Nadpis3"/>
      </w:pPr>
      <w:bookmarkStart w:id="65" w:name="_Ref452118979"/>
      <w:bookmarkStart w:id="66" w:name="_Toc459723277"/>
      <w:r>
        <w:t>Analýza publikací v databázi Thomson Reuters Web of Science</w:t>
      </w:r>
      <w:bookmarkEnd w:id="65"/>
      <w:bookmarkEnd w:id="66"/>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9354"/>
      </w:tblGrid>
      <w:tr w:rsidR="008A5D3B" w:rsidTr="00347A3B">
        <w:tc>
          <w:tcPr>
            <w:tcW w:w="9354" w:type="dxa"/>
            <w:shd w:val="clear" w:color="auto" w:fill="F2F2F2" w:themeFill="background1" w:themeFillShade="F2"/>
          </w:tcPr>
          <w:p w:rsidR="005F1614" w:rsidRDefault="008A5D3B" w:rsidP="008A5D3B">
            <w:r>
              <w:t xml:space="preserve">Skutečnost, že VO organizace realizují </w:t>
            </w:r>
            <w:r w:rsidR="00C065CA">
              <w:t xml:space="preserve">bezpečnostně zaměřený </w:t>
            </w:r>
            <w:r>
              <w:t>VaV</w:t>
            </w:r>
            <w:r w:rsidR="00C065CA">
              <w:t xml:space="preserve"> nebo VaV s výsledky uplatnitelnými v oblasti bezpečnosti, který je podporován z jiných zdrojů než z programů BV v gesci MV</w:t>
            </w:r>
            <w:r>
              <w:t>, potvrdila i bibliometrická analýza publikací v databázi Thomson Reuters Web of Science</w:t>
            </w:r>
            <w:r w:rsidR="005F1614">
              <w:t xml:space="preserve"> (WoS)</w:t>
            </w:r>
            <w:r>
              <w:t xml:space="preserve">. </w:t>
            </w:r>
            <w:r w:rsidR="005F1614">
              <w:t xml:space="preserve">V této databázi bylo s </w:t>
            </w:r>
            <w:r w:rsidR="005F1614" w:rsidRPr="005F1614">
              <w:t xml:space="preserve">využitím klíčových slov nalezeno </w:t>
            </w:r>
            <w:r w:rsidR="005F1614">
              <w:t xml:space="preserve">více než </w:t>
            </w:r>
            <w:r w:rsidR="005F1614" w:rsidRPr="005F1614">
              <w:t>1 7</w:t>
            </w:r>
            <w:r w:rsidR="005F1614">
              <w:t>00</w:t>
            </w:r>
            <w:r w:rsidR="005F1614" w:rsidRPr="005F1614">
              <w:t xml:space="preserve"> vědeckých prací publikov</w:t>
            </w:r>
            <w:r w:rsidR="005F1614">
              <w:t>a</w:t>
            </w:r>
            <w:r w:rsidR="005F1614" w:rsidRPr="005F1614">
              <w:t>n</w:t>
            </w:r>
            <w:r w:rsidR="005F1614">
              <w:t>ých</w:t>
            </w:r>
            <w:r w:rsidR="005F1614" w:rsidRPr="005F1614">
              <w:t xml:space="preserve"> od roku 2010</w:t>
            </w:r>
            <w:r w:rsidR="005F1614">
              <w:t>, které souvisejí s problematikou bezpečnosti</w:t>
            </w:r>
            <w:r w:rsidR="005F1614" w:rsidRPr="005F1614">
              <w:t xml:space="preserve">. </w:t>
            </w:r>
            <w:r w:rsidR="00C065CA">
              <w:t xml:space="preserve">Pouze </w:t>
            </w:r>
            <w:r w:rsidR="005F1614">
              <w:t xml:space="preserve">10 % z těchto publikací </w:t>
            </w:r>
            <w:r w:rsidR="00C065CA">
              <w:t>tvoří</w:t>
            </w:r>
            <w:r w:rsidR="005F1614">
              <w:t xml:space="preserve"> </w:t>
            </w:r>
            <w:r w:rsidR="005F1614" w:rsidRPr="005F1614">
              <w:t>publikace</w:t>
            </w:r>
            <w:r w:rsidR="00347A3B">
              <w:t xml:space="preserve"> vytvořené</w:t>
            </w:r>
            <w:r w:rsidR="005F1614" w:rsidRPr="005F1614">
              <w:t xml:space="preserve"> v programech BV v gesci MV</w:t>
            </w:r>
            <w:r w:rsidR="005F1614">
              <w:t>.</w:t>
            </w:r>
          </w:p>
          <w:p w:rsidR="008A5D3B" w:rsidRDefault="00C065CA" w:rsidP="00347A3B">
            <w:pPr>
              <w:rPr>
                <w:lang w:eastAsia="cs-CZ"/>
              </w:rPr>
            </w:pPr>
            <w:r w:rsidRPr="00C065CA">
              <w:t xml:space="preserve">Nejvyšší počet publikací týkajících se bezpečnosti je v klinické medicíně. Dalšími poměrně zastoupenými obory jsou botanika a zoologie, společenské vědy, chemie, technické vědy a vědy o Zemi. </w:t>
            </w:r>
            <w:r>
              <w:t>V řadě oborů je realizován velmi kvalitní výzkum, jehož výsledky (publikace) jsou ve světovém srovnání nadprůměrně citované. Mezi obory, kde je realizován</w:t>
            </w:r>
            <w:r w:rsidR="00347A3B">
              <w:t xml:space="preserve"> kvalitní</w:t>
            </w:r>
            <w:r>
              <w:t xml:space="preserve"> VaV, jehož výsledky mají vztah k bezpečnosti, patří </w:t>
            </w:r>
            <w:r w:rsidR="008A5D3B">
              <w:t>zejména molekulární biologie a genetika, botanika a zoologie a vědy o Zemi</w:t>
            </w:r>
            <w:r>
              <w:t xml:space="preserve">. Analýza také prokázala, že </w:t>
            </w:r>
            <w:r w:rsidR="008A5D3B">
              <w:t>afilace autorů publikací s bezpečnostní tematikou</w:t>
            </w:r>
            <w:r>
              <w:t xml:space="preserve"> re</w:t>
            </w:r>
            <w:r w:rsidR="008A5D3B">
              <w:t>gistrov</w:t>
            </w:r>
            <w:r>
              <w:t>aných v databázi WoS se do značné míry shodují s příjemci podpory, kterou získaly bezpečnostně zaměřené projekty podpořené jinými poskytovateli než MV.</w:t>
            </w:r>
          </w:p>
        </w:tc>
      </w:tr>
    </w:tbl>
    <w:p w:rsidR="00453D43" w:rsidRDefault="00B80459" w:rsidP="001F4D43">
      <w:r>
        <w:t>Publikace</w:t>
      </w:r>
      <w:r w:rsidR="00DF686E">
        <w:rPr>
          <w:rStyle w:val="Znakapoznpodarou"/>
        </w:rPr>
        <w:footnoteReference w:id="12"/>
      </w:r>
      <w:r>
        <w:t xml:space="preserve"> týkající se problematiky bezpečnosti byly v databázi Thomson Reuters Web of Science identifikovány s využitím stejných klíčových slov jako při analýze projektů v CEP IS VaVaI blíže pop</w:t>
      </w:r>
      <w:r w:rsidR="00964E9B">
        <w:t>s</w:t>
      </w:r>
      <w:r>
        <w:t>ané v předcházející kapitole</w:t>
      </w:r>
      <w:r w:rsidR="00770AE4">
        <w:t>,</w:t>
      </w:r>
      <w:r w:rsidR="00770AE4" w:rsidRPr="00770AE4">
        <w:t xml:space="preserve"> avšak s použitím logických výrazů vylučujících ekonomická a biomedicínská témata, která nesouvis</w:t>
      </w:r>
      <w:r w:rsidR="00770AE4">
        <w:t>í</w:t>
      </w:r>
      <w:r w:rsidR="00770AE4" w:rsidRPr="00770AE4">
        <w:t xml:space="preserve"> s bezpečnostním výzkumem</w:t>
      </w:r>
      <w:r>
        <w:t xml:space="preserve">. S využitím těchto klíčových slov bylo nalezeno </w:t>
      </w:r>
      <w:r w:rsidR="00964E9B">
        <w:t xml:space="preserve">celkem </w:t>
      </w:r>
      <w:r>
        <w:t xml:space="preserve">1 747 vědeckých prací, které byly publikovány od roku </w:t>
      </w:r>
      <w:r w:rsidR="00794D7B">
        <w:t xml:space="preserve">2010. Mezi těmito publikacemi se nacházejí i publikace, které vznikly v programech BV v gesci MV a které jsou detailněji analyzovány v kap. </w:t>
      </w:r>
      <w:r w:rsidR="00794D7B">
        <w:fldChar w:fldCharType="begin"/>
      </w:r>
      <w:r w:rsidR="00794D7B">
        <w:instrText xml:space="preserve"> REF _Ref451766260 \r \h </w:instrText>
      </w:r>
      <w:r w:rsidR="00794D7B">
        <w:fldChar w:fldCharType="separate"/>
      </w:r>
      <w:r w:rsidR="003F08E5">
        <w:t>3.2.2</w:t>
      </w:r>
      <w:r w:rsidR="00794D7B">
        <w:fldChar w:fldCharType="end"/>
      </w:r>
      <w:r w:rsidR="00794D7B">
        <w:t xml:space="preserve">. Podíl těchto publikací tvoří v celkovém počtu nalezených publikací necelých 10 % (viz </w:t>
      </w:r>
      <w:r w:rsidR="00794D7B">
        <w:fldChar w:fldCharType="begin"/>
      </w:r>
      <w:r w:rsidR="00794D7B">
        <w:instrText xml:space="preserve"> REF  _Ref450499743 \* Lower \h  \* MERGEFORMAT </w:instrText>
      </w:r>
      <w:r w:rsidR="00794D7B">
        <w:fldChar w:fldCharType="separate"/>
      </w:r>
      <w:r w:rsidR="003F08E5">
        <w:t xml:space="preserve">tab. </w:t>
      </w:r>
      <w:r w:rsidR="003F08E5">
        <w:rPr>
          <w:noProof/>
        </w:rPr>
        <w:t>21</w:t>
      </w:r>
      <w:r w:rsidR="00794D7B">
        <w:fldChar w:fldCharType="end"/>
      </w:r>
      <w:r w:rsidR="00794D7B">
        <w:t>).</w:t>
      </w:r>
    </w:p>
    <w:p w:rsidR="00964E9B" w:rsidRDefault="006E4C59" w:rsidP="001F4D43">
      <w:r>
        <w:lastRenderedPageBreak/>
        <w:t xml:space="preserve">Rozdělení publikací </w:t>
      </w:r>
      <w:r w:rsidR="00AB3160">
        <w:t xml:space="preserve">vztahujících se k problematice bezpečnosti </w:t>
      </w:r>
      <w:r>
        <w:t xml:space="preserve">do </w:t>
      </w:r>
      <w:r w:rsidR="00770AE4">
        <w:t xml:space="preserve">22 širších vědních </w:t>
      </w:r>
      <w:r w:rsidR="00AB3160">
        <w:t>oborů</w:t>
      </w:r>
      <w:r w:rsidR="00770AE4">
        <w:t xml:space="preserve"> </w:t>
      </w:r>
      <w:r w:rsidR="00770AE4" w:rsidRPr="00D74034">
        <w:rPr>
          <w:i/>
        </w:rPr>
        <w:t>Essential Science Ind</w:t>
      </w:r>
      <w:r w:rsidR="00770AE4">
        <w:rPr>
          <w:i/>
        </w:rPr>
        <w:t>i</w:t>
      </w:r>
      <w:r w:rsidR="00770AE4" w:rsidRPr="00D74034">
        <w:rPr>
          <w:i/>
        </w:rPr>
        <w:t>cator</w:t>
      </w:r>
      <w:r w:rsidR="00770AE4" w:rsidRPr="00770AE4">
        <w:rPr>
          <w:i/>
        </w:rPr>
        <w:t>s (ESI</w:t>
      </w:r>
      <w:r w:rsidR="00770AE4" w:rsidRPr="00770AE4">
        <w:t>)</w:t>
      </w:r>
      <w:r w:rsidR="00770AE4" w:rsidRPr="00770AE4">
        <w:rPr>
          <w:rStyle w:val="Znakapoznpodarou"/>
        </w:rPr>
        <w:footnoteReference w:id="13"/>
      </w:r>
      <w:r w:rsidR="00770AE4">
        <w:t xml:space="preserve"> </w:t>
      </w:r>
      <w:r w:rsidR="00AB3160" w:rsidRPr="00770AE4">
        <w:t xml:space="preserve">užívaných ve WoS je uvedeno v </w:t>
      </w:r>
      <w:r w:rsidR="00AB3160" w:rsidRPr="00770AE4">
        <w:fldChar w:fldCharType="begin"/>
      </w:r>
      <w:r w:rsidR="00AB3160" w:rsidRPr="00770AE4">
        <w:instrText xml:space="preserve"> REF  _Ref451870261 \* Lower \h  \* MERGEFORMAT </w:instrText>
      </w:r>
      <w:r w:rsidR="00AB3160" w:rsidRPr="00770AE4">
        <w:fldChar w:fldCharType="separate"/>
      </w:r>
      <w:r w:rsidR="003F08E5" w:rsidRPr="00AB65F5">
        <w:t xml:space="preserve">tab. </w:t>
      </w:r>
      <w:r w:rsidR="003F08E5">
        <w:rPr>
          <w:noProof/>
        </w:rPr>
        <w:t>15</w:t>
      </w:r>
      <w:r w:rsidR="00AB3160" w:rsidRPr="00770AE4">
        <w:fldChar w:fldCharType="end"/>
      </w:r>
      <w:r w:rsidR="00AB3160" w:rsidRPr="00770AE4">
        <w:t>. Nejvyšší počet publikací týkajících se</w:t>
      </w:r>
      <w:r w:rsidR="00AB3160">
        <w:t xml:space="preserve"> bezpečnosti je v klinické medicíně</w:t>
      </w:r>
      <w:r w:rsidR="003A11B3">
        <w:t>.</w:t>
      </w:r>
      <w:r w:rsidR="00AB3160">
        <w:t xml:space="preserve"> Dalšími poměrně zastoupenými obory jsou botanika a zoologie, společenské vědy, chemie, technické vědy a vědy o Zemi. </w:t>
      </w:r>
      <w:r w:rsidR="00AB65F5">
        <w:t>Jejich c</w:t>
      </w:r>
      <w:r w:rsidR="003A11B3">
        <w:t>itovanost je, s výjimkou technických a společenských věd, nad světovým průměrem i nad citovaností těchto oborů v</w:t>
      </w:r>
      <w:r w:rsidR="00AB65F5">
        <w:t> celkovém publikačním výstupu</w:t>
      </w:r>
      <w:r w:rsidR="003A11B3">
        <w:t xml:space="preserve"> ČR.</w:t>
      </w:r>
      <w:r w:rsidR="00964E9B">
        <w:t xml:space="preserve"> </w:t>
      </w:r>
    </w:p>
    <w:p w:rsidR="00A352A5" w:rsidRDefault="00A352A5" w:rsidP="00A352A5">
      <w:pPr>
        <w:pStyle w:val="Titulek"/>
        <w:keepNext/>
        <w:jc w:val="both"/>
      </w:pPr>
      <w:bookmarkStart w:id="67" w:name="_Ref451870261"/>
      <w:bookmarkStart w:id="68" w:name="_Ref452113758"/>
      <w:r w:rsidRPr="00AB65F5">
        <w:t xml:space="preserve">Tab. </w:t>
      </w:r>
      <w:r w:rsidR="00990E2D">
        <w:fldChar w:fldCharType="begin"/>
      </w:r>
      <w:r w:rsidR="00990E2D">
        <w:instrText xml:space="preserve"> S</w:instrText>
      </w:r>
      <w:r w:rsidR="00990E2D">
        <w:instrText xml:space="preserve">EQ Tab. \* ARABIC </w:instrText>
      </w:r>
      <w:r w:rsidR="00990E2D">
        <w:fldChar w:fldCharType="separate"/>
      </w:r>
      <w:r w:rsidR="003F08E5">
        <w:rPr>
          <w:noProof/>
        </w:rPr>
        <w:t>15</w:t>
      </w:r>
      <w:r w:rsidR="00990E2D">
        <w:rPr>
          <w:noProof/>
        </w:rPr>
        <w:fldChar w:fldCharType="end"/>
      </w:r>
      <w:bookmarkEnd w:id="67"/>
      <w:r w:rsidRPr="00AB65F5">
        <w:tab/>
        <w:t xml:space="preserve">Publikace vztahující se k problematice bezpečnosti registrované ve WoS rozdělené do </w:t>
      </w:r>
      <w:r w:rsidR="00AB65F5" w:rsidRPr="00AB65F5">
        <w:t xml:space="preserve">širších vědních </w:t>
      </w:r>
      <w:r w:rsidRPr="00AB65F5">
        <w:t>oborů – počty publikací se spoluautorem z ČR v jednotlivých oborech publikované</w:t>
      </w:r>
      <w:r>
        <w:t xml:space="preserve"> v letech 2010 -2015, oborově normalizovaná citovanost vědeckých prací publikovaných v letech 2010 -2013 v jednotlivých oborech a podíl publikací se zahraničním spoluautorem. Oborově normalizovaná citovanost publikací vztahujících se k bezpečnosti a podíl těchto publikací vzniklých v mezinárodní spolupráci jsou také vztaženy k celkové oborově normalizované citovanosti publikací ČR (index citovanosti) a celkovému podílu publikací vzniklých v mezinárodní spolupráci v ČR (index mezinárodní spolupráce). Zdroj: Web of Science</w:t>
      </w:r>
      <w:bookmarkEnd w:id="68"/>
    </w:p>
    <w:p w:rsidR="0004050D" w:rsidRDefault="004B6ABC" w:rsidP="001F4D43">
      <w:r w:rsidRPr="004B6ABC">
        <w:rPr>
          <w:noProof/>
          <w:lang w:eastAsia="cs-CZ"/>
        </w:rPr>
        <w:drawing>
          <wp:inline distT="0" distB="0" distL="0" distR="0" wp14:anchorId="1D311782" wp14:editId="7F5F87C0">
            <wp:extent cx="5850890" cy="3877558"/>
            <wp:effectExtent l="0" t="0" r="0" b="8890"/>
            <wp:docPr id="15" name="Obráze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850890" cy="3877558"/>
                    </a:xfrm>
                    <a:prstGeom prst="rect">
                      <a:avLst/>
                    </a:prstGeom>
                    <a:noFill/>
                    <a:ln>
                      <a:noFill/>
                    </a:ln>
                  </pic:spPr>
                </pic:pic>
              </a:graphicData>
            </a:graphic>
          </wp:inline>
        </w:drawing>
      </w:r>
    </w:p>
    <w:p w:rsidR="00A352A5" w:rsidRDefault="00F35213" w:rsidP="001F4D43">
      <w:pPr>
        <w:rPr>
          <w:i/>
          <w:sz w:val="20"/>
        </w:rPr>
      </w:pPr>
      <w:r w:rsidRPr="00F35213">
        <w:rPr>
          <w:i/>
          <w:sz w:val="20"/>
        </w:rPr>
        <w:t>Poz</w:t>
      </w:r>
      <w:r w:rsidR="00A352A5">
        <w:rPr>
          <w:i/>
          <w:sz w:val="20"/>
        </w:rPr>
        <w:t>námky</w:t>
      </w:r>
      <w:r w:rsidRPr="00F35213">
        <w:rPr>
          <w:i/>
          <w:sz w:val="20"/>
        </w:rPr>
        <w:t>:</w:t>
      </w:r>
    </w:p>
    <w:p w:rsidR="00F35213" w:rsidRDefault="00F35213" w:rsidP="004F74B7">
      <w:pPr>
        <w:pStyle w:val="Odstavecseseznamem"/>
        <w:numPr>
          <w:ilvl w:val="0"/>
          <w:numId w:val="3"/>
        </w:numPr>
        <w:rPr>
          <w:i/>
          <w:sz w:val="20"/>
        </w:rPr>
      </w:pPr>
      <w:r w:rsidRPr="00A352A5">
        <w:rPr>
          <w:i/>
          <w:sz w:val="20"/>
        </w:rPr>
        <w:t xml:space="preserve"> Zahrnuty </w:t>
      </w:r>
      <w:r w:rsidR="00A352A5" w:rsidRPr="00A352A5">
        <w:rPr>
          <w:i/>
          <w:sz w:val="20"/>
        </w:rPr>
        <w:t xml:space="preserve">jsou </w:t>
      </w:r>
      <w:r w:rsidRPr="00A352A5">
        <w:rPr>
          <w:i/>
          <w:sz w:val="20"/>
        </w:rPr>
        <w:t>pouze záznamy typu 'Article', 'Review' a 'Letter'</w:t>
      </w:r>
    </w:p>
    <w:p w:rsidR="00A352A5" w:rsidRDefault="00A352A5" w:rsidP="004F74B7">
      <w:pPr>
        <w:pStyle w:val="Odstavecseseznamem"/>
        <w:numPr>
          <w:ilvl w:val="0"/>
          <w:numId w:val="3"/>
        </w:numPr>
        <w:rPr>
          <w:i/>
          <w:sz w:val="20"/>
        </w:rPr>
      </w:pPr>
      <w:r>
        <w:rPr>
          <w:i/>
          <w:sz w:val="20"/>
        </w:rPr>
        <w:t>Index citovanosti je podíl oborově normalizované citovanosti publikací vztahujících se k bezpečnosti k celkové oborově normalizované citovanosti publikací ČR</w:t>
      </w:r>
      <w:r w:rsidR="00281DE7">
        <w:rPr>
          <w:i/>
          <w:sz w:val="20"/>
        </w:rPr>
        <w:t xml:space="preserve"> v daném oboru</w:t>
      </w:r>
      <w:r>
        <w:rPr>
          <w:i/>
          <w:sz w:val="20"/>
        </w:rPr>
        <w:t xml:space="preserve">, která je vynásoben 100. Hodnota větší než 100 znamená, že citovanost publikací týkajících se bezpečnosti je vyšší než celková citovanost publikací ČR </w:t>
      </w:r>
      <w:r w:rsidR="00281DE7">
        <w:rPr>
          <w:i/>
          <w:sz w:val="20"/>
        </w:rPr>
        <w:t xml:space="preserve">v tomto oboru </w:t>
      </w:r>
      <w:r>
        <w:rPr>
          <w:i/>
          <w:sz w:val="20"/>
        </w:rPr>
        <w:t>a naopak</w:t>
      </w:r>
    </w:p>
    <w:p w:rsidR="00A352A5" w:rsidRDefault="00A352A5" w:rsidP="004F74B7">
      <w:pPr>
        <w:pStyle w:val="Odstavecseseznamem"/>
        <w:numPr>
          <w:ilvl w:val="0"/>
          <w:numId w:val="3"/>
        </w:numPr>
        <w:rPr>
          <w:i/>
          <w:sz w:val="20"/>
        </w:rPr>
      </w:pPr>
      <w:r>
        <w:rPr>
          <w:i/>
          <w:sz w:val="20"/>
        </w:rPr>
        <w:t>Index mezinárodní spolupráce je podíl publikací týkajících se problematiky bezpečnosti vzniklých v mezinárodní spolupráci k celkovému podílu publikací ČR vzniklých v mezinárodní spoluprác</w:t>
      </w:r>
      <w:r w:rsidR="00281DE7">
        <w:rPr>
          <w:i/>
          <w:sz w:val="20"/>
        </w:rPr>
        <w:t>i v daném oboru</w:t>
      </w:r>
      <w:r>
        <w:rPr>
          <w:i/>
          <w:sz w:val="20"/>
        </w:rPr>
        <w:t>, který je vynásoben 100. Hodnota větší než 100 znamená, že podíl publikací týkajících se bezpečnosti vzniklých v mezinárodní spolupráci je</w:t>
      </w:r>
      <w:r w:rsidR="00281DE7">
        <w:rPr>
          <w:i/>
          <w:sz w:val="20"/>
        </w:rPr>
        <w:t xml:space="preserve"> v tomto oboru</w:t>
      </w:r>
      <w:r>
        <w:rPr>
          <w:i/>
          <w:sz w:val="20"/>
        </w:rPr>
        <w:t xml:space="preserve"> vyšší než celkový podíl publikací ČR vzniklých v mezinárodní spolupráci a naopak.</w:t>
      </w:r>
    </w:p>
    <w:p w:rsidR="00E606EF" w:rsidRDefault="00E606EF" w:rsidP="00E606EF">
      <w:r>
        <w:lastRenderedPageBreak/>
        <w:t xml:space="preserve">Nejvyšší citovanost mají publikace v oboru molekulární biologie a genetiky, která více než dvojnásobně převyšuje světový průměr. Citovanost publikací tematicky souvisejících s bezpečnostní problematikou je v tomto oboru také výrazně vyšší než citovanost všech publikací z tohoto oboru v ČR. Vysoká citovanost publikací v molekulární biologii a genetice může také souviset s tím, že téměř 90 % z těchto publikací vzniklo v mezinárodní spolupráci. Obecně lze konstatovat, že v oborech jako je molekulární biologie a genetika, botanika a zoologie a vědy o Zemi je realizován kvalitní VaV, který </w:t>
      </w:r>
      <w:r w:rsidRPr="00AB65F5">
        <w:t>tematicky souvisí s bezpečnostním výzkumem</w:t>
      </w:r>
      <w:r>
        <w:t>.</w:t>
      </w:r>
    </w:p>
    <w:p w:rsidR="00E606EF" w:rsidRDefault="00E606EF" w:rsidP="00E606EF">
      <w:r>
        <w:t xml:space="preserve">Z posledního sloupce </w:t>
      </w:r>
      <w:r>
        <w:fldChar w:fldCharType="begin"/>
      </w:r>
      <w:r>
        <w:instrText xml:space="preserve"> REF  _Ref451870261 \* Lower \h  \* MERGEFORMAT </w:instrText>
      </w:r>
      <w:r>
        <w:fldChar w:fldCharType="separate"/>
      </w:r>
      <w:r w:rsidR="003F08E5" w:rsidRPr="00AB65F5">
        <w:t xml:space="preserve">tab. </w:t>
      </w:r>
      <w:r w:rsidR="003F08E5">
        <w:rPr>
          <w:noProof/>
        </w:rPr>
        <w:t>15</w:t>
      </w:r>
      <w:r>
        <w:fldChar w:fldCharType="end"/>
      </w:r>
      <w:r>
        <w:t xml:space="preserve"> je patrné, že podíl publikací </w:t>
      </w:r>
      <w:r w:rsidRPr="00AB65F5">
        <w:t>dotýkajících se bezpečnostní problematiky</w:t>
      </w:r>
      <w:r>
        <w:t xml:space="preserve"> vzniklých v mezinárodní spolupráci je ve většině oborů nadprůměrný. Poněkud překvapivý může být vysoký podíl publikací týkajících se bezpečnosti ve společenských vědách, které mají spoluautora se zahraničí (jejich podíl je téměř dvojnásobný ve srovnání s podílem mezinárodních publikací v tomto oboru v ČR). To může souviset i v českém měřítku nadprůměrnou účastí subjektů z ČR v bezpečnostně zaměřených projektech řešených rámcových programech EU (viz kap. </w:t>
      </w:r>
      <w:r>
        <w:fldChar w:fldCharType="begin"/>
      </w:r>
      <w:r>
        <w:instrText xml:space="preserve"> REF _Ref451872724 \r \h </w:instrText>
      </w:r>
      <w:r>
        <w:fldChar w:fldCharType="separate"/>
      </w:r>
      <w:r w:rsidR="003F08E5">
        <w:t>3.5</w:t>
      </w:r>
      <w:r>
        <w:fldChar w:fldCharType="end"/>
      </w:r>
      <w:r>
        <w:t>).</w:t>
      </w:r>
    </w:p>
    <w:p w:rsidR="00E606EF" w:rsidRDefault="003F42E3" w:rsidP="00161B24">
      <w:r>
        <w:t>Přehled výzkumných pracovišť, jejichž pracovníci jsou spoluautoři publikací</w:t>
      </w:r>
      <w:r w:rsidR="00AB77E3">
        <w:t xml:space="preserve"> identifikovaných s využitím klíčových slov ve WoS</w:t>
      </w:r>
      <w:r>
        <w:t xml:space="preserve">, je uveden v </w:t>
      </w:r>
      <w:r w:rsidR="001E5394">
        <w:fldChar w:fldCharType="begin"/>
      </w:r>
      <w:r w:rsidR="001E5394">
        <w:instrText xml:space="preserve"> REF  _Ref451873357 \* Lower \h  \* MERGEFORMAT </w:instrText>
      </w:r>
      <w:r w:rsidR="001E5394">
        <w:fldChar w:fldCharType="separate"/>
      </w:r>
      <w:r w:rsidR="003F08E5">
        <w:t xml:space="preserve">tab. </w:t>
      </w:r>
      <w:r w:rsidR="003F08E5">
        <w:rPr>
          <w:noProof/>
        </w:rPr>
        <w:t>16</w:t>
      </w:r>
      <w:r w:rsidR="001E5394">
        <w:fldChar w:fldCharType="end"/>
      </w:r>
      <w:r w:rsidR="001E5394">
        <w:t xml:space="preserve"> až </w:t>
      </w:r>
      <w:r w:rsidR="001E5394">
        <w:fldChar w:fldCharType="begin"/>
      </w:r>
      <w:r w:rsidR="001E5394">
        <w:instrText xml:space="preserve"> REF  _Ref451874256 \* Lower \h  \* MERGEFORMAT </w:instrText>
      </w:r>
      <w:r w:rsidR="001E5394">
        <w:fldChar w:fldCharType="separate"/>
      </w:r>
      <w:r w:rsidR="003F08E5">
        <w:t xml:space="preserve">tab. </w:t>
      </w:r>
      <w:r w:rsidR="003F08E5">
        <w:rPr>
          <w:noProof/>
        </w:rPr>
        <w:t>19</w:t>
      </w:r>
      <w:r w:rsidR="001E5394">
        <w:fldChar w:fldCharType="end"/>
      </w:r>
      <w:r w:rsidR="001E5394">
        <w:t>. Nejv</w:t>
      </w:r>
      <w:r w:rsidR="002C5E1F">
        <w:t>ětší</w:t>
      </w:r>
      <w:r w:rsidR="001E5394">
        <w:t xml:space="preserve"> počet publikací vytvořili autoři z Univerzity Karlovy v Praze (viz  </w:t>
      </w:r>
      <w:r w:rsidR="001E5394">
        <w:fldChar w:fldCharType="begin"/>
      </w:r>
      <w:r w:rsidR="001E5394">
        <w:instrText xml:space="preserve"> REF  _Ref451873357 \* Lower \h  \* MERGEFORMAT </w:instrText>
      </w:r>
      <w:r w:rsidR="001E5394">
        <w:fldChar w:fldCharType="separate"/>
      </w:r>
      <w:r w:rsidR="003F08E5">
        <w:t xml:space="preserve">tab. </w:t>
      </w:r>
      <w:r w:rsidR="003F08E5">
        <w:rPr>
          <w:noProof/>
        </w:rPr>
        <w:t>16</w:t>
      </w:r>
      <w:r w:rsidR="001E5394">
        <w:fldChar w:fldCharType="end"/>
      </w:r>
      <w:r w:rsidR="001E5394">
        <w:t>), která ostatně patří mezi pu</w:t>
      </w:r>
      <w:r w:rsidR="00E606EF">
        <w:t>blikačně nejaktivnější VO v ČR.</w:t>
      </w:r>
    </w:p>
    <w:p w:rsidR="001E5394" w:rsidRDefault="001E5394" w:rsidP="001E5394">
      <w:pPr>
        <w:pStyle w:val="Titulek"/>
        <w:keepNext/>
      </w:pPr>
      <w:bookmarkStart w:id="69" w:name="_Ref451873357"/>
      <w:r>
        <w:t xml:space="preserve">Tab. </w:t>
      </w:r>
      <w:r w:rsidR="00990E2D">
        <w:fldChar w:fldCharType="begin"/>
      </w:r>
      <w:r w:rsidR="00990E2D">
        <w:instrText xml:space="preserve"> SEQ Tab. \* ARABIC </w:instrText>
      </w:r>
      <w:r w:rsidR="00990E2D">
        <w:fldChar w:fldCharType="separate"/>
      </w:r>
      <w:r w:rsidR="003F08E5">
        <w:rPr>
          <w:noProof/>
        </w:rPr>
        <w:t>16</w:t>
      </w:r>
      <w:r w:rsidR="00990E2D">
        <w:rPr>
          <w:noProof/>
        </w:rPr>
        <w:fldChar w:fldCharType="end"/>
      </w:r>
      <w:bookmarkEnd w:id="69"/>
      <w:r>
        <w:tab/>
      </w:r>
      <w:r w:rsidRPr="001E5394">
        <w:t>Vysoké školy a fakultní nemocnice s alespoň šesti publikacemi týkajícími bezpečnosti registrovanými v databázi WoS. Zdroj: WoS</w:t>
      </w:r>
    </w:p>
    <w:p w:rsidR="001F4D43" w:rsidRPr="00C65664" w:rsidRDefault="0077346E" w:rsidP="001F4D43">
      <w:pPr>
        <w:jc w:val="center"/>
      </w:pPr>
      <w:r w:rsidRPr="0077346E">
        <w:rPr>
          <w:noProof/>
          <w:lang w:eastAsia="cs-CZ"/>
        </w:rPr>
        <w:drawing>
          <wp:inline distT="0" distB="0" distL="0" distR="0" wp14:anchorId="0EE7D36E" wp14:editId="6EA6CE0B">
            <wp:extent cx="4474800" cy="5176800"/>
            <wp:effectExtent l="0" t="0" r="2540" b="5080"/>
            <wp:docPr id="45" name="Obrázek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474800" cy="5176800"/>
                    </a:xfrm>
                    <a:prstGeom prst="rect">
                      <a:avLst/>
                    </a:prstGeom>
                    <a:noFill/>
                    <a:ln>
                      <a:noFill/>
                    </a:ln>
                  </pic:spPr>
                </pic:pic>
              </a:graphicData>
            </a:graphic>
          </wp:inline>
        </w:drawing>
      </w:r>
    </w:p>
    <w:p w:rsidR="001F4D43" w:rsidRDefault="001F4D43" w:rsidP="001F4D43"/>
    <w:p w:rsidR="00E606EF" w:rsidRDefault="00E606EF" w:rsidP="00E606EF">
      <w:r>
        <w:lastRenderedPageBreak/>
        <w:t>Z této tabulky jsou také patrné značné rozdíly mezi VŠ v počtu publikací, které mají alespoň jednoho zahraničního spoluautora. Všeobecně zaměřené VŠ mají oproti technicky zaměřeným VŠ obecně vyšší podíl publikací vzniklých v mezinárodní spolupráci, což znamená, že tyto všeobecně zaměřené školy mají zřejmě i větší potenciál pro mezinárodní spolupráci v bezpečnostně zaměřeném VaV (typickými příklady těch VŠ je Karlova univerzita v Praze, Masarykova univerzita v Brně a Univerzita Palackého v Olomouci. Také ve fakultních nemocnicích vzniká poměrně vysoký počet publikací v mezinárodní spolupráci, a tedy i tato pracoviště zřejmě mají potenciál pro zapojení do mezinárodní spolupráce v bezpečnostně zaměřeném lékařském výzkumu.</w:t>
      </w:r>
    </w:p>
    <w:p w:rsidR="00E606EF" w:rsidRDefault="00E606EF" w:rsidP="00E606EF">
      <w:r>
        <w:t xml:space="preserve">Kromě VŠ zapojených v programech MV se podařilo nalézt i některé další VŠ, které sice nebyly příliš častými účastníky těchto programů, ale jejich pracovníci jsou spoluautory bezpečnostně zaměřených publikací. To by mělo znamenat, že tyto VŠ realizují bezpečnostně zaměřený VaV nebo výsledky jejich výzkumných aktivit (financovaných z jiných veřejných zdrojů) jsou využitelné v bezpečnosti. Mezi tyto VŠ patří zejména Univerzita Palackého v Olomouci (která také ve tvorbě publikací spolupracuje nejvíce se zahraničními výzkumnými týmy), a dále také Univerzita Pardubice, Západočeská univerzita v Plzni a některé další univerzity (viz </w:t>
      </w:r>
      <w:r>
        <w:fldChar w:fldCharType="begin"/>
      </w:r>
      <w:r>
        <w:instrText xml:space="preserve"> REF  _Ref451873357 \* Lower \h  \* MERGEFORMAT </w:instrText>
      </w:r>
      <w:r>
        <w:fldChar w:fldCharType="separate"/>
      </w:r>
      <w:r w:rsidR="003F08E5">
        <w:t xml:space="preserve">tab. </w:t>
      </w:r>
      <w:r w:rsidR="003F08E5">
        <w:rPr>
          <w:noProof/>
        </w:rPr>
        <w:t>16</w:t>
      </w:r>
      <w:r>
        <w:fldChar w:fldCharType="end"/>
      </w:r>
      <w:r>
        <w:t>).</w:t>
      </w:r>
    </w:p>
    <w:p w:rsidR="00781F22" w:rsidRDefault="00C54F22" w:rsidP="00C54F22">
      <w:r>
        <w:t xml:space="preserve">Relativně vyšší počet publikací týkajících se bezpečnosti mají také některé VVI, které se do programů BV zatím nezapojují. Mezi tyto instituce patří především některé biologicky a botanicky zaměřené ústavy AV ČR, jako je zejména Ústav experimentální botaniky AV ČR, a dále i Ústav systémové biologie a ekologie AV ČR, Biologické centrum AV ČR, Botanický ústav AV ČR, Ústav molekulární genetiky AV ČR, Ústav biologie obratlovců AV ČR, Fyziologický ústav AV ČR a Mikrobiologický ústav AV ČR (viz </w:t>
      </w:r>
      <w:r>
        <w:fldChar w:fldCharType="begin"/>
      </w:r>
      <w:r>
        <w:instrText xml:space="preserve"> REF  _Ref451874161 \* Lower \h  \* MERGEFORMAT </w:instrText>
      </w:r>
      <w:r>
        <w:fldChar w:fldCharType="separate"/>
      </w:r>
      <w:r w:rsidR="003F08E5">
        <w:t xml:space="preserve">tab. </w:t>
      </w:r>
      <w:r w:rsidR="003F08E5">
        <w:rPr>
          <w:noProof/>
        </w:rPr>
        <w:t>17</w:t>
      </w:r>
      <w:r>
        <w:fldChar w:fldCharType="end"/>
      </w:r>
      <w:r>
        <w:t xml:space="preserve">). </w:t>
      </w:r>
    </w:p>
    <w:p w:rsidR="00C54F22" w:rsidRDefault="00C54F22" w:rsidP="00C54F22">
      <w:r>
        <w:t>Z AV ČR je publikačně aktivní Ústav teorie informace a automatizace AV ČR a Fyzikální ústav AV ČR.</w:t>
      </w:r>
      <w:r w:rsidR="00781F22">
        <w:t xml:space="preserve"> Ve </w:t>
      </w:r>
      <w:r>
        <w:t>Z ostatních VVI má vyšší počet publikací, které tematicky souvisejí s problematikou bezpečnosti také Výzkumný ústav veterinárního lékařství, Výzkumný ústav vodohospodářský T. G. Masaryka a Výzkumný ústav rostlinné výroby.</w:t>
      </w:r>
    </w:p>
    <w:p w:rsidR="00965526" w:rsidRDefault="00965526" w:rsidP="00C54F22">
      <w:r>
        <w:t>Ústavy AV ČR mají ve srovnání s většinou ostatních ústavů poměrně vysoký podíl bezpečnostně zaměřených publikací se zahraničním spoluautorem, a tedy i potenciál pro zapojení do mezinárodní spolupráce ve VaV řešícím problematiku bezpečnosti. Téměř všechny publikace Fyzikálního ústavu AV ČR vznikly v mezinárodní spolupráci.</w:t>
      </w:r>
    </w:p>
    <w:p w:rsidR="00E606EF" w:rsidRDefault="00E606EF" w:rsidP="00E606EF">
      <w:r>
        <w:t xml:space="preserve">Z dalších institucí vznikl také poměrně vysoký počet publikací týkajících se bezpečnosti ve Státním zdravotním ústavu (viz </w:t>
      </w:r>
      <w:r>
        <w:fldChar w:fldCharType="begin"/>
      </w:r>
      <w:r>
        <w:instrText xml:space="preserve"> REF  _Ref451873362 \* Lower \h  \* MERGEFORMAT </w:instrText>
      </w:r>
      <w:r>
        <w:fldChar w:fldCharType="separate"/>
      </w:r>
      <w:r w:rsidR="003F08E5">
        <w:t xml:space="preserve">tab. </w:t>
      </w:r>
      <w:r w:rsidR="003F08E5">
        <w:rPr>
          <w:noProof/>
        </w:rPr>
        <w:t>18</w:t>
      </w:r>
      <w:r>
        <w:fldChar w:fldCharType="end"/>
      </w:r>
      <w:r>
        <w:t xml:space="preserve">), který do programů MV nebyl zapojen. </w:t>
      </w:r>
    </w:p>
    <w:p w:rsidR="00E606EF" w:rsidRDefault="00E606EF" w:rsidP="00E606EF">
      <w:r>
        <w:t xml:space="preserve">Z podniků je v oblasti bezpečnosti publikačně aktivní pouze Explosia, a.s. (viz </w:t>
      </w:r>
      <w:r>
        <w:fldChar w:fldCharType="begin"/>
      </w:r>
      <w:r>
        <w:instrText xml:space="preserve"> REF  _Ref451874256 \* Lower \h  \* MERGEFORMAT </w:instrText>
      </w:r>
      <w:r>
        <w:fldChar w:fldCharType="separate"/>
      </w:r>
      <w:r w:rsidR="003F08E5">
        <w:t xml:space="preserve">tab. </w:t>
      </w:r>
      <w:r w:rsidR="003F08E5">
        <w:rPr>
          <w:noProof/>
        </w:rPr>
        <w:t>19</w:t>
      </w:r>
      <w:r>
        <w:fldChar w:fldCharType="end"/>
      </w:r>
      <w:r>
        <w:t>). Bezpečnostně zaměřené publikace má také ÚJV Řež a Centrum jaderného výzkumu Řež. Společnost Explosia, a.s., i ÚJV Řež mají i poměrně vysoký podíl bezpečnostně zaměřených publikací, které mají zahraničního spoluautora.</w:t>
      </w:r>
    </w:p>
    <w:p w:rsidR="00263E8A" w:rsidRPr="008D5DFB" w:rsidRDefault="00263E8A" w:rsidP="00E606EF">
      <w:pPr>
        <w:rPr>
          <w:i/>
        </w:rPr>
      </w:pPr>
      <w:r>
        <w:t xml:space="preserve">Oborová struktura publikačních výstupů tematicky souvisejících s bezpečnostní problematikou je uvedena v příloze </w:t>
      </w:r>
      <w:r>
        <w:rPr>
          <w:i/>
        </w:rPr>
        <w:t>P 32.</w:t>
      </w:r>
    </w:p>
    <w:p w:rsidR="00E606EF" w:rsidRDefault="00E606EF" w:rsidP="00C54F22"/>
    <w:p w:rsidR="001E5394" w:rsidRDefault="001E5394" w:rsidP="001E5394">
      <w:pPr>
        <w:pStyle w:val="Titulek"/>
        <w:keepNext/>
      </w:pPr>
      <w:bookmarkStart w:id="70" w:name="_Ref451874161"/>
      <w:r>
        <w:lastRenderedPageBreak/>
        <w:t xml:space="preserve">Tab. </w:t>
      </w:r>
      <w:r w:rsidR="00990E2D">
        <w:fldChar w:fldCharType="begin"/>
      </w:r>
      <w:r w:rsidR="00990E2D">
        <w:instrText xml:space="preserve"> SEQ Tab. \* ARABIC </w:instrText>
      </w:r>
      <w:r w:rsidR="00990E2D">
        <w:fldChar w:fldCharType="separate"/>
      </w:r>
      <w:r w:rsidR="003F08E5">
        <w:rPr>
          <w:noProof/>
        </w:rPr>
        <w:t>17</w:t>
      </w:r>
      <w:r w:rsidR="00990E2D">
        <w:rPr>
          <w:noProof/>
        </w:rPr>
        <w:fldChar w:fldCharType="end"/>
      </w:r>
      <w:bookmarkEnd w:id="70"/>
      <w:r>
        <w:tab/>
      </w:r>
      <w:r w:rsidRPr="00C65664">
        <w:rPr>
          <w:bCs w:val="0"/>
        </w:rPr>
        <w:t>Výzkumné ústavy s alespoň šesti publikacemi týkajícími bezpečnosti registrovanými v databázi WoS. Zdroj: WoS</w:t>
      </w:r>
    </w:p>
    <w:p w:rsidR="001F4D43" w:rsidRPr="00C65664" w:rsidRDefault="0077346E" w:rsidP="001F4D43">
      <w:pPr>
        <w:jc w:val="center"/>
      </w:pPr>
      <w:r w:rsidRPr="0077346E">
        <w:rPr>
          <w:noProof/>
          <w:lang w:eastAsia="cs-CZ"/>
        </w:rPr>
        <w:drawing>
          <wp:inline distT="0" distB="0" distL="0" distR="0" wp14:anchorId="103B66D9" wp14:editId="51E54735">
            <wp:extent cx="4474800" cy="5176800"/>
            <wp:effectExtent l="0" t="0" r="2540" b="5080"/>
            <wp:docPr id="44" name="Obrázek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474800" cy="5176800"/>
                    </a:xfrm>
                    <a:prstGeom prst="rect">
                      <a:avLst/>
                    </a:prstGeom>
                    <a:noFill/>
                    <a:ln>
                      <a:noFill/>
                    </a:ln>
                  </pic:spPr>
                </pic:pic>
              </a:graphicData>
            </a:graphic>
          </wp:inline>
        </w:drawing>
      </w:r>
    </w:p>
    <w:p w:rsidR="001E5394" w:rsidRDefault="001E5394" w:rsidP="001E5394"/>
    <w:p w:rsidR="001E5394" w:rsidRDefault="001E5394" w:rsidP="001E5394">
      <w:pPr>
        <w:pStyle w:val="Titulek"/>
        <w:keepNext/>
      </w:pPr>
      <w:bookmarkStart w:id="71" w:name="_Ref451873362"/>
      <w:r>
        <w:t xml:space="preserve">Tab. </w:t>
      </w:r>
      <w:r w:rsidR="00990E2D">
        <w:fldChar w:fldCharType="begin"/>
      </w:r>
      <w:r w:rsidR="00990E2D">
        <w:instrText xml:space="preserve"> SEQ Tab. \* ARABIC </w:instrText>
      </w:r>
      <w:r w:rsidR="00990E2D">
        <w:fldChar w:fldCharType="separate"/>
      </w:r>
      <w:r w:rsidR="003F08E5">
        <w:rPr>
          <w:noProof/>
        </w:rPr>
        <w:t>18</w:t>
      </w:r>
      <w:r w:rsidR="00990E2D">
        <w:rPr>
          <w:noProof/>
        </w:rPr>
        <w:fldChar w:fldCharType="end"/>
      </w:r>
      <w:bookmarkEnd w:id="71"/>
      <w:r>
        <w:tab/>
      </w:r>
      <w:r w:rsidRPr="00C65664">
        <w:rPr>
          <w:bCs w:val="0"/>
        </w:rPr>
        <w:t>Ostatní instituce s alespoň šesti publikacemi týkajícími bezpečnosti registrovanými v databázi WoS. Zdroj: WoS</w:t>
      </w:r>
    </w:p>
    <w:p w:rsidR="001E5394" w:rsidRPr="00C65664" w:rsidRDefault="0077346E" w:rsidP="001E5394">
      <w:pPr>
        <w:jc w:val="center"/>
      </w:pPr>
      <w:r w:rsidRPr="0077346E">
        <w:rPr>
          <w:noProof/>
          <w:lang w:eastAsia="cs-CZ"/>
        </w:rPr>
        <w:drawing>
          <wp:inline distT="0" distB="0" distL="0" distR="0" wp14:anchorId="63E994D1" wp14:editId="12FF0A98">
            <wp:extent cx="4474800" cy="2041200"/>
            <wp:effectExtent l="0" t="0" r="2540" b="0"/>
            <wp:docPr id="42" name="Obrázek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474800" cy="2041200"/>
                    </a:xfrm>
                    <a:prstGeom prst="rect">
                      <a:avLst/>
                    </a:prstGeom>
                    <a:noFill/>
                    <a:ln>
                      <a:noFill/>
                    </a:ln>
                  </pic:spPr>
                </pic:pic>
              </a:graphicData>
            </a:graphic>
          </wp:inline>
        </w:drawing>
      </w:r>
    </w:p>
    <w:p w:rsidR="001E5394" w:rsidRDefault="001E5394" w:rsidP="001E5394">
      <w:pPr>
        <w:rPr>
          <w:lang w:eastAsia="cs-CZ"/>
        </w:rPr>
      </w:pPr>
    </w:p>
    <w:p w:rsidR="00300884" w:rsidRPr="001F4D43" w:rsidRDefault="00300884" w:rsidP="001E5394">
      <w:pPr>
        <w:rPr>
          <w:lang w:eastAsia="cs-CZ"/>
        </w:rPr>
      </w:pPr>
    </w:p>
    <w:p w:rsidR="001E5394" w:rsidRDefault="001E5394" w:rsidP="001E5394">
      <w:pPr>
        <w:pStyle w:val="Titulek"/>
        <w:keepNext/>
      </w:pPr>
      <w:bookmarkStart w:id="72" w:name="_Ref451874256"/>
      <w:r>
        <w:t xml:space="preserve">Tab. </w:t>
      </w:r>
      <w:r w:rsidR="00990E2D">
        <w:fldChar w:fldCharType="begin"/>
      </w:r>
      <w:r w:rsidR="00990E2D">
        <w:instrText xml:space="preserve"> SEQ Tab. \* ARABIC </w:instrText>
      </w:r>
      <w:r w:rsidR="00990E2D">
        <w:fldChar w:fldCharType="separate"/>
      </w:r>
      <w:r w:rsidR="003F08E5">
        <w:rPr>
          <w:noProof/>
        </w:rPr>
        <w:t>19</w:t>
      </w:r>
      <w:r w:rsidR="00990E2D">
        <w:rPr>
          <w:noProof/>
        </w:rPr>
        <w:fldChar w:fldCharType="end"/>
      </w:r>
      <w:bookmarkEnd w:id="72"/>
      <w:r>
        <w:tab/>
      </w:r>
      <w:r w:rsidRPr="00C65664">
        <w:rPr>
          <w:bCs w:val="0"/>
        </w:rPr>
        <w:t>Podniky s alespoň šesti publikacemi týkajícími bezpečnosti registrovanými v databázi WoS. Zdroj: WoS</w:t>
      </w:r>
    </w:p>
    <w:p w:rsidR="001F4D43" w:rsidRPr="00C65664" w:rsidRDefault="0077346E" w:rsidP="001F4D43">
      <w:pPr>
        <w:jc w:val="center"/>
      </w:pPr>
      <w:r w:rsidRPr="0077346E">
        <w:rPr>
          <w:noProof/>
          <w:lang w:eastAsia="cs-CZ"/>
        </w:rPr>
        <w:drawing>
          <wp:inline distT="0" distB="0" distL="0" distR="0" wp14:anchorId="5D461593" wp14:editId="64B6969F">
            <wp:extent cx="4474800" cy="1047600"/>
            <wp:effectExtent l="0" t="0" r="2540" b="635"/>
            <wp:docPr id="41" name="Obrázek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474800" cy="1047600"/>
                    </a:xfrm>
                    <a:prstGeom prst="rect">
                      <a:avLst/>
                    </a:prstGeom>
                    <a:noFill/>
                    <a:ln>
                      <a:noFill/>
                    </a:ln>
                  </pic:spPr>
                </pic:pic>
              </a:graphicData>
            </a:graphic>
          </wp:inline>
        </w:drawing>
      </w:r>
    </w:p>
    <w:p w:rsidR="001F4D43" w:rsidRPr="00C65664" w:rsidRDefault="001F4D43" w:rsidP="001F4D43"/>
    <w:p w:rsidR="00102F7C" w:rsidRDefault="0057397D" w:rsidP="00E11797">
      <w:pPr>
        <w:pStyle w:val="Nadpis1"/>
        <w:pageBreakBefore/>
      </w:pPr>
      <w:bookmarkStart w:id="73" w:name="_Ref450307081"/>
      <w:bookmarkStart w:id="74" w:name="_Toc459723278"/>
      <w:r w:rsidRPr="0057397D">
        <w:lastRenderedPageBreak/>
        <w:t>Trendy a silná témata bezpečnostního výzkumu v ČR</w:t>
      </w:r>
      <w:bookmarkEnd w:id="73"/>
      <w:bookmarkEnd w:id="74"/>
    </w:p>
    <w:p w:rsidR="00D75C6A" w:rsidRDefault="00D75C6A" w:rsidP="00253B88">
      <w:r>
        <w:t xml:space="preserve">Cílem této části studie </w:t>
      </w:r>
      <w:r w:rsidR="00E12276">
        <w:t xml:space="preserve">bylo </w:t>
      </w:r>
      <w:r>
        <w:t xml:space="preserve">posoudit, jaká témata BV (tj. obory, technologické oblasti apod.) lze v ČR považovat za silná - tj. kde je realizován kvalitní VaV s výsledky, které snesou mezinárodní srovnání nebo které nacházejí uplatnění v praktických aplikacích, </w:t>
      </w:r>
      <w:r w:rsidR="00F4064B">
        <w:t xml:space="preserve">nebo </w:t>
      </w:r>
      <w:r>
        <w:t xml:space="preserve">kde působí silné a kvalitní výzkumné týmy a kde se ČR zapojuje do mezinárodních aktivit. Pro tyto účely byla využita analýza </w:t>
      </w:r>
      <w:r w:rsidR="00F056A2">
        <w:t xml:space="preserve">publikačních a aplikačně zaměřených </w:t>
      </w:r>
      <w:r>
        <w:t xml:space="preserve">výsledků </w:t>
      </w:r>
      <w:r w:rsidR="00F056A2">
        <w:t xml:space="preserve">BV </w:t>
      </w:r>
      <w:r w:rsidR="008D6F56">
        <w:t xml:space="preserve">(viz kap. </w:t>
      </w:r>
      <w:r w:rsidR="008D6F56">
        <w:fldChar w:fldCharType="begin"/>
      </w:r>
      <w:r w:rsidR="008D6F56">
        <w:instrText xml:space="preserve"> REF _Ref451764807 \r \h </w:instrText>
      </w:r>
      <w:r w:rsidR="008D6F56">
        <w:fldChar w:fldCharType="separate"/>
      </w:r>
      <w:r w:rsidR="003F08E5">
        <w:t>3.1</w:t>
      </w:r>
      <w:r w:rsidR="008D6F56">
        <w:fldChar w:fldCharType="end"/>
      </w:r>
      <w:r w:rsidR="00F056A2">
        <w:t xml:space="preserve">, </w:t>
      </w:r>
      <w:r w:rsidR="00F056A2">
        <w:fldChar w:fldCharType="begin"/>
      </w:r>
      <w:r w:rsidR="00F056A2">
        <w:instrText xml:space="preserve"> REF _Ref449971404 \r \h </w:instrText>
      </w:r>
      <w:r w:rsidR="00F056A2">
        <w:fldChar w:fldCharType="separate"/>
      </w:r>
      <w:r w:rsidR="003F08E5">
        <w:t>3.2</w:t>
      </w:r>
      <w:r w:rsidR="00F056A2">
        <w:fldChar w:fldCharType="end"/>
      </w:r>
      <w:r w:rsidR="00F056A2">
        <w:t xml:space="preserve"> a </w:t>
      </w:r>
      <w:r w:rsidR="00F056A2">
        <w:fldChar w:fldCharType="begin"/>
      </w:r>
      <w:r w:rsidR="00F056A2">
        <w:instrText xml:space="preserve"> REF _Ref449971407 \r \h </w:instrText>
      </w:r>
      <w:r w:rsidR="00F056A2">
        <w:fldChar w:fldCharType="separate"/>
      </w:r>
      <w:r w:rsidR="003F08E5">
        <w:t>3.3</w:t>
      </w:r>
      <w:r w:rsidR="00F056A2">
        <w:fldChar w:fldCharType="end"/>
      </w:r>
      <w:r w:rsidR="008D6F56">
        <w:t>)</w:t>
      </w:r>
      <w:r w:rsidR="00F056A2">
        <w:t xml:space="preserve"> a</w:t>
      </w:r>
      <w:r w:rsidR="008D6F56">
        <w:t xml:space="preserve"> analýza účasti ČR</w:t>
      </w:r>
      <w:r w:rsidR="00F056A2">
        <w:t xml:space="preserve"> v</w:t>
      </w:r>
      <w:r w:rsidR="008D6F56">
        <w:t xml:space="preserve"> </w:t>
      </w:r>
      <w:r w:rsidR="00F056A2">
        <w:t xml:space="preserve">rámcových programech EU (kap. </w:t>
      </w:r>
      <w:r w:rsidR="00F056A2">
        <w:fldChar w:fldCharType="begin"/>
      </w:r>
      <w:r w:rsidR="00F056A2">
        <w:instrText xml:space="preserve"> REF _Ref451765085 \r \h </w:instrText>
      </w:r>
      <w:r w:rsidR="00F056A2">
        <w:fldChar w:fldCharType="separate"/>
      </w:r>
      <w:r w:rsidR="003F08E5">
        <w:t>3.5</w:t>
      </w:r>
      <w:r w:rsidR="00F056A2">
        <w:fldChar w:fldCharType="end"/>
      </w:r>
      <w:r w:rsidR="00F056A2">
        <w:t>).</w:t>
      </w:r>
    </w:p>
    <w:p w:rsidR="00F056A2" w:rsidRDefault="00F056A2" w:rsidP="00F056A2">
      <w:r>
        <w:t xml:space="preserve">Dále je posouzeno, jak současné oborové zaměření BV odpovídá očekávaným </w:t>
      </w:r>
      <w:r w:rsidRPr="00F056A2">
        <w:t>potřeb</w:t>
      </w:r>
      <w:r>
        <w:t>ám</w:t>
      </w:r>
      <w:r w:rsidRPr="00F056A2">
        <w:t xml:space="preserve"> bezpečnostních sborů v nadcházejícím období do r. 2025</w:t>
      </w:r>
      <w:r>
        <w:t xml:space="preserve"> a prioritám ČR v oblasti BV. K tomuto účelu jsou využity kromě výše uvedených analýz i výsledky dotazníkových šetření a workshopu s experty z výzkumného sektoru, podniků i státní správy. </w:t>
      </w:r>
    </w:p>
    <w:p w:rsidR="00D96BAD" w:rsidRPr="00C84F89" w:rsidRDefault="00D96BAD" w:rsidP="00D96BAD">
      <w:pPr>
        <w:pStyle w:val="Nadpis2"/>
      </w:pPr>
      <w:bookmarkStart w:id="75" w:name="_Toc449959759"/>
      <w:bookmarkStart w:id="76" w:name="_Ref451764807"/>
      <w:bookmarkStart w:id="77" w:name="_Ref451773777"/>
      <w:bookmarkStart w:id="78" w:name="_Toc459723279"/>
      <w:r w:rsidRPr="00C84F89">
        <w:t xml:space="preserve">Výsledky </w:t>
      </w:r>
      <w:r>
        <w:t xml:space="preserve">programů MV </w:t>
      </w:r>
      <w:r w:rsidRPr="00C84F89">
        <w:t>evidované v Rejstříku informací o výsledcích IS VaVaI</w:t>
      </w:r>
      <w:bookmarkEnd w:id="75"/>
      <w:bookmarkEnd w:id="76"/>
      <w:bookmarkEnd w:id="77"/>
      <w:bookmarkEnd w:id="78"/>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9430"/>
      </w:tblGrid>
      <w:tr w:rsidR="002E15DB" w:rsidTr="00F4064B">
        <w:tc>
          <w:tcPr>
            <w:tcW w:w="9430" w:type="dxa"/>
            <w:shd w:val="clear" w:color="auto" w:fill="F2F2F2" w:themeFill="background1" w:themeFillShade="F2"/>
          </w:tcPr>
          <w:p w:rsidR="002E15DB" w:rsidRDefault="002E15DB" w:rsidP="00F4064B">
            <w:r w:rsidRPr="002E15DB">
              <w:t xml:space="preserve">V pětiletém období 2010 – 2014 </w:t>
            </w:r>
            <w:r>
              <w:t>vznikl</w:t>
            </w:r>
            <w:r w:rsidRPr="002E15DB">
              <w:t>o v pro</w:t>
            </w:r>
            <w:r w:rsidR="00F4064B">
              <w:t>gram</w:t>
            </w:r>
            <w:r w:rsidRPr="002E15DB">
              <w:t xml:space="preserve">ech </w:t>
            </w:r>
            <w:r>
              <w:t>BV</w:t>
            </w:r>
            <w:r w:rsidRPr="002E15DB">
              <w:t xml:space="preserve"> více než 2,5 tisíce výsledků, které jsou registrovány v Rejstříku informací o výsledcích (RIV) IS VaVaI. </w:t>
            </w:r>
            <w:r>
              <w:t>V</w:t>
            </w:r>
            <w:r w:rsidRPr="002E15DB">
              <w:t>e výsledcích převažují publikační typy, které tvoř</w:t>
            </w:r>
            <w:r>
              <w:t>í</w:t>
            </w:r>
            <w:r w:rsidRPr="002E15DB">
              <w:t xml:space="preserve"> přibližně 60 % všech registrovaných výsledků. Přestože </w:t>
            </w:r>
            <w:r>
              <w:t>pouze tři projekty z celkového počtu přibližně 200 p</w:t>
            </w:r>
            <w:r w:rsidRPr="002E15DB">
              <w:t>rojektů</w:t>
            </w:r>
            <w:r>
              <w:t xml:space="preserve"> financovaných </w:t>
            </w:r>
            <w:r w:rsidRPr="002E15DB">
              <w:t xml:space="preserve">v tomto období byly klasifikovány jako základní výzkum, výsledky </w:t>
            </w:r>
            <w:r>
              <w:t xml:space="preserve">aplikačního charakteru </w:t>
            </w:r>
            <w:r w:rsidR="00F4064B">
              <w:t xml:space="preserve">tvoří </w:t>
            </w:r>
            <w:r w:rsidRPr="002E15DB">
              <w:t xml:space="preserve">pouze </w:t>
            </w:r>
            <w:r>
              <w:t>menší část z celkového počtu výsledků projektů BV.</w:t>
            </w:r>
          </w:p>
        </w:tc>
      </w:tr>
    </w:tbl>
    <w:p w:rsidR="00963204" w:rsidRDefault="00B833D0" w:rsidP="00F056A2">
      <w:r>
        <w:t xml:space="preserve">Do analýzy </w:t>
      </w:r>
      <w:r w:rsidR="00F056A2">
        <w:t xml:space="preserve">byly zařazeny výsledky stejných programů BV jako v případě analýzy financování provedené v kap. </w:t>
      </w:r>
      <w:r w:rsidR="00F056A2">
        <w:fldChar w:fldCharType="begin"/>
      </w:r>
      <w:r w:rsidR="00F056A2">
        <w:instrText xml:space="preserve"> REF _Ref450057958 \r \h </w:instrText>
      </w:r>
      <w:r w:rsidR="00F056A2">
        <w:fldChar w:fldCharType="separate"/>
      </w:r>
      <w:r w:rsidR="003F08E5">
        <w:t>2.2</w:t>
      </w:r>
      <w:r w:rsidR="00F056A2">
        <w:fldChar w:fldCharType="end"/>
      </w:r>
      <w:r w:rsidR="00F056A2">
        <w:t>,</w:t>
      </w:r>
      <w:r w:rsidR="004C74D8">
        <w:t xml:space="preserve"> </w:t>
      </w:r>
      <w:r w:rsidR="00F056A2">
        <w:t xml:space="preserve">tj. </w:t>
      </w:r>
      <w:r w:rsidR="00963204">
        <w:t xml:space="preserve">programy s označením VD, VE, VF, VG a VI. </w:t>
      </w:r>
      <w:r w:rsidR="001E5E70">
        <w:t>Analýza byla provedena pro období 2010 až 2014, neboť údaje z roku 2015 nejsou ještě zcela kompletní</w:t>
      </w:r>
      <w:r w:rsidR="001E5E70" w:rsidRPr="00C84F89">
        <w:rPr>
          <w:vertAlign w:val="superscript"/>
        </w:rPr>
        <w:footnoteReference w:id="14"/>
      </w:r>
      <w:r w:rsidR="001E5E70">
        <w:t xml:space="preserve">. Ve výsledcích tak nejsou výsledky z programu VI, neboť první projekty byly financovány až v roce 2015. </w:t>
      </w:r>
      <w:r w:rsidR="00963204">
        <w:t xml:space="preserve">Na rozdíl od analýzy financování se </w:t>
      </w:r>
      <w:r w:rsidR="001E5E70">
        <w:t xml:space="preserve">však </w:t>
      </w:r>
      <w:r w:rsidR="00963204">
        <w:t>v této analýze objev</w:t>
      </w:r>
      <w:r w:rsidR="00F056A2">
        <w:t>uj</w:t>
      </w:r>
      <w:r w:rsidR="00963204">
        <w:t xml:space="preserve">í i výsledky z programu VE, kde sice v roce 2010 již nebyla přidělena žádná veřejná podpora, ale výsledky byly </w:t>
      </w:r>
      <w:r w:rsidR="001E5E70">
        <w:t>v</w:t>
      </w:r>
      <w:r w:rsidR="00762B1A">
        <w:t xml:space="preserve"> následujících letech </w:t>
      </w:r>
      <w:r w:rsidR="00963204">
        <w:t>uplat</w:t>
      </w:r>
      <w:r w:rsidR="001E5E70">
        <w:t>ně</w:t>
      </w:r>
      <w:r w:rsidR="00963204">
        <w:t xml:space="preserve">ny </w:t>
      </w:r>
      <w:r w:rsidR="001E5E70">
        <w:t xml:space="preserve">v RIV. </w:t>
      </w:r>
    </w:p>
    <w:p w:rsidR="00B833D0" w:rsidRPr="00C84F89" w:rsidRDefault="00D96BAD" w:rsidP="00F056A2">
      <w:r w:rsidRPr="00C84F89">
        <w:t xml:space="preserve">V pětiletém období 2010 – 2014 </w:t>
      </w:r>
      <w:r w:rsidR="006D576A">
        <w:t>bylo v projektech bezpečnostního výzkumu vytvořeno více než 2,5 tisíce výsledků</w:t>
      </w:r>
      <w:r w:rsidR="00F056A2">
        <w:t xml:space="preserve">, které jsou </w:t>
      </w:r>
      <w:r w:rsidR="006D576A">
        <w:t>registrov</w:t>
      </w:r>
      <w:r w:rsidR="00F056A2">
        <w:t>á</w:t>
      </w:r>
      <w:r w:rsidR="006D576A">
        <w:t>n</w:t>
      </w:r>
      <w:r w:rsidR="00F056A2">
        <w:t>y</w:t>
      </w:r>
      <w:r w:rsidR="006D576A">
        <w:t xml:space="preserve"> v </w:t>
      </w:r>
      <w:r w:rsidR="00F056A2" w:rsidRPr="00963204">
        <w:t xml:space="preserve">Rejstříku informací o výsledcích </w:t>
      </w:r>
      <w:r w:rsidR="00F056A2">
        <w:t xml:space="preserve">(RIV) </w:t>
      </w:r>
      <w:r w:rsidR="00F056A2" w:rsidRPr="00963204">
        <w:t>IS VaVaI</w:t>
      </w:r>
      <w:r w:rsidR="00F056A2">
        <w:t xml:space="preserve"> </w:t>
      </w:r>
      <w:r w:rsidR="00F056A2">
        <w:fldChar w:fldCharType="begin"/>
      </w:r>
      <w:r w:rsidR="00F056A2">
        <w:instrText xml:space="preserve"> REF _Ref451764765 \r \h </w:instrText>
      </w:r>
      <w:r w:rsidR="00F056A2">
        <w:fldChar w:fldCharType="separate"/>
      </w:r>
      <w:r w:rsidR="003F08E5">
        <w:t>[13]</w:t>
      </w:r>
      <w:r w:rsidR="00F056A2">
        <w:fldChar w:fldCharType="end"/>
      </w:r>
      <w:r w:rsidR="00F056A2">
        <w:t xml:space="preserve">. </w:t>
      </w:r>
      <w:r w:rsidR="006D576A">
        <w:t xml:space="preserve">Jak je patrné z </w:t>
      </w:r>
      <w:r w:rsidR="006D576A">
        <w:fldChar w:fldCharType="begin"/>
      </w:r>
      <w:r w:rsidR="006D576A">
        <w:instrText xml:space="preserve"> REF  _Ref450316596 \* Lower \h  \* MERGEFORMAT </w:instrText>
      </w:r>
      <w:r w:rsidR="006D576A">
        <w:fldChar w:fldCharType="separate"/>
      </w:r>
      <w:r w:rsidR="003F08E5">
        <w:t xml:space="preserve">obr. </w:t>
      </w:r>
      <w:r w:rsidR="003F08E5">
        <w:rPr>
          <w:noProof/>
        </w:rPr>
        <w:t>6</w:t>
      </w:r>
      <w:r w:rsidR="006D576A">
        <w:fldChar w:fldCharType="end"/>
      </w:r>
      <w:r w:rsidR="006D576A">
        <w:t>, v</w:t>
      </w:r>
      <w:r w:rsidR="006D576A" w:rsidRPr="00C84F89">
        <w:t xml:space="preserve">e výsledcích bezpečnostních programů </w:t>
      </w:r>
      <w:r w:rsidRPr="00C84F89">
        <w:t>převaž</w:t>
      </w:r>
      <w:r w:rsidR="006D576A">
        <w:t>ují</w:t>
      </w:r>
      <w:r w:rsidRPr="00C84F89">
        <w:t xml:space="preserve"> publikační typy</w:t>
      </w:r>
      <w:r w:rsidR="001E5E70" w:rsidRPr="00C84F89">
        <w:rPr>
          <w:vertAlign w:val="superscript"/>
        </w:rPr>
        <w:footnoteReference w:id="15"/>
      </w:r>
      <w:r w:rsidRPr="00C84F89">
        <w:t>, které tvořily přibližně 60 % všech registrovaných výsledků</w:t>
      </w:r>
      <w:r w:rsidR="0072427C">
        <w:t xml:space="preserve"> (téměř 1 600 publikačních výsledků)</w:t>
      </w:r>
      <w:r w:rsidRPr="00C84F89">
        <w:t xml:space="preserve">. Přestože z celkového počtu </w:t>
      </w:r>
      <w:r w:rsidR="00517B32">
        <w:t>18</w:t>
      </w:r>
      <w:r w:rsidRPr="00C84F89">
        <w:t>2 projektů</w:t>
      </w:r>
      <w:r w:rsidR="00517B32">
        <w:t>, které probíhaly v tomto období,</w:t>
      </w:r>
      <w:r w:rsidRPr="00C84F89">
        <w:t xml:space="preserve"> byly pouze </w:t>
      </w:r>
      <w:r w:rsidR="001E5E70">
        <w:t>tři projekty</w:t>
      </w:r>
      <w:r w:rsidRPr="00C84F89">
        <w:t xml:space="preserve"> klasifikovány jako základní výzkum, výsledky charakteristické pro aplikovaný výzkum a vývoj </w:t>
      </w:r>
      <w:r w:rsidR="001E5E70">
        <w:t xml:space="preserve">tvoří </w:t>
      </w:r>
      <w:r w:rsidRPr="00C84F89">
        <w:t>pou</w:t>
      </w:r>
      <w:r w:rsidR="00F056A2">
        <w:t>ze jejich malou část</w:t>
      </w:r>
      <w:r w:rsidRPr="00C84F89">
        <w:t xml:space="preserve">. Z těchto </w:t>
      </w:r>
      <w:r w:rsidR="001E5E70">
        <w:t xml:space="preserve">aplikačně zaměřených </w:t>
      </w:r>
      <w:r w:rsidRPr="00C84F89">
        <w:t xml:space="preserve">výsledků </w:t>
      </w:r>
      <w:r w:rsidR="001E5E70">
        <w:t xml:space="preserve">byly </w:t>
      </w:r>
      <w:r w:rsidRPr="00C84F89">
        <w:t>nejfrekventovanější výsledky typu N</w:t>
      </w:r>
      <w:r w:rsidR="0072427C">
        <w:t xml:space="preserve"> - </w:t>
      </w:r>
      <w:r w:rsidRPr="00C84F89">
        <w:t>certifikovaná metodika, léčebný a památkový postup a specializovaná mapa s odborným obsahem</w:t>
      </w:r>
      <w:r w:rsidR="001E5E70">
        <w:t>,</w:t>
      </w:r>
      <w:r w:rsidRPr="00C84F89">
        <w:t xml:space="preserve"> které tvoří jednu desetinu všech výstupů</w:t>
      </w:r>
      <w:r w:rsidR="0072427C">
        <w:t xml:space="preserve"> (cca 250 výs</w:t>
      </w:r>
      <w:r w:rsidR="006D576A">
        <w:t>ledk</w:t>
      </w:r>
      <w:r w:rsidR="0072427C">
        <w:t>ů)</w:t>
      </w:r>
      <w:r w:rsidR="001E5E70">
        <w:t>,</w:t>
      </w:r>
      <w:r w:rsidRPr="00C84F89">
        <w:t xml:space="preserve"> a výsledky typu G </w:t>
      </w:r>
      <w:r w:rsidR="00F056A2">
        <w:t xml:space="preserve">- </w:t>
      </w:r>
      <w:r w:rsidRPr="00C84F89">
        <w:t xml:space="preserve">technicky realizované výsledky zastoupené </w:t>
      </w:r>
      <w:r w:rsidR="00F056A2">
        <w:t>přibližně 7 </w:t>
      </w:r>
      <w:r w:rsidRPr="00C84F89">
        <w:t>% procenty</w:t>
      </w:r>
      <w:r w:rsidR="0072427C">
        <w:t xml:space="preserve"> (cca </w:t>
      </w:r>
      <w:r w:rsidR="006D576A">
        <w:t>160 výsledků).</w:t>
      </w:r>
      <w:r w:rsidR="00BC24EC">
        <w:t xml:space="preserve"> </w:t>
      </w:r>
      <w:r w:rsidR="006D576A">
        <w:t xml:space="preserve">Podrobnější analýza publikačních výsledků je uvedena v kap. </w:t>
      </w:r>
      <w:r w:rsidR="006D576A">
        <w:fldChar w:fldCharType="begin"/>
      </w:r>
      <w:r w:rsidR="006D576A">
        <w:instrText xml:space="preserve"> REF _Ref449971404 \r \h </w:instrText>
      </w:r>
      <w:r w:rsidR="006D576A">
        <w:fldChar w:fldCharType="separate"/>
      </w:r>
      <w:r w:rsidR="003F08E5">
        <w:t>3.2</w:t>
      </w:r>
      <w:r w:rsidR="006D576A">
        <w:fldChar w:fldCharType="end"/>
      </w:r>
      <w:r w:rsidR="006D576A">
        <w:t>,</w:t>
      </w:r>
      <w:r w:rsidR="00F056A2">
        <w:t xml:space="preserve"> </w:t>
      </w:r>
      <w:r w:rsidR="006D576A">
        <w:t xml:space="preserve">analýza aplikačně zaměřených výsledků VaV v kap. </w:t>
      </w:r>
      <w:r w:rsidR="006D576A">
        <w:fldChar w:fldCharType="begin"/>
      </w:r>
      <w:r w:rsidR="006D576A">
        <w:instrText xml:space="preserve"> REF _Ref449971407 \r \h </w:instrText>
      </w:r>
      <w:r w:rsidR="006D576A">
        <w:fldChar w:fldCharType="separate"/>
      </w:r>
      <w:r w:rsidR="003F08E5">
        <w:t>3.3</w:t>
      </w:r>
      <w:r w:rsidR="006D576A">
        <w:fldChar w:fldCharType="end"/>
      </w:r>
      <w:r w:rsidR="006D576A">
        <w:t xml:space="preserve">. </w:t>
      </w:r>
      <w:r w:rsidR="00B833D0" w:rsidRPr="00C84F89">
        <w:t>Detailní rozdělení výsledků podle širších vědních oborů je uvedeno v </w:t>
      </w:r>
      <w:r w:rsidR="00B833D0" w:rsidRPr="002B0120">
        <w:t xml:space="preserve">příloze </w:t>
      </w:r>
      <w:r w:rsidR="00B833D0" w:rsidRPr="002B0120">
        <w:rPr>
          <w:i/>
        </w:rPr>
        <w:t xml:space="preserve">P </w:t>
      </w:r>
      <w:r w:rsidR="003D1716">
        <w:rPr>
          <w:i/>
        </w:rPr>
        <w:t>33.</w:t>
      </w:r>
    </w:p>
    <w:p w:rsidR="007E3B2C" w:rsidRDefault="007E3B2C" w:rsidP="004C31F3">
      <w:pPr>
        <w:keepNext/>
        <w:jc w:val="center"/>
      </w:pPr>
      <w:r>
        <w:rPr>
          <w:noProof/>
          <w:lang w:eastAsia="cs-CZ"/>
        </w:rPr>
        <w:lastRenderedPageBreak/>
        <w:drawing>
          <wp:inline distT="0" distB="0" distL="0" distR="0" wp14:anchorId="4BBD3305" wp14:editId="345B17D1">
            <wp:extent cx="6079661" cy="3105150"/>
            <wp:effectExtent l="0" t="0" r="0" b="0"/>
            <wp:docPr id="20" name="Obráze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086518" cy="3108652"/>
                    </a:xfrm>
                    <a:prstGeom prst="rect">
                      <a:avLst/>
                    </a:prstGeom>
                    <a:noFill/>
                  </pic:spPr>
                </pic:pic>
              </a:graphicData>
            </a:graphic>
          </wp:inline>
        </w:drawing>
      </w:r>
    </w:p>
    <w:p w:rsidR="00D96BAD" w:rsidRDefault="007E3B2C" w:rsidP="007E3B2C">
      <w:pPr>
        <w:pStyle w:val="Titulek"/>
        <w:jc w:val="both"/>
      </w:pPr>
      <w:bookmarkStart w:id="79" w:name="_Ref450316596"/>
      <w:r>
        <w:t xml:space="preserve">Obr. </w:t>
      </w:r>
      <w:r w:rsidR="00990E2D">
        <w:fldChar w:fldCharType="begin"/>
      </w:r>
      <w:r w:rsidR="00990E2D">
        <w:instrText xml:space="preserve"> SEQ Obr. \* ARABIC </w:instrText>
      </w:r>
      <w:r w:rsidR="00990E2D">
        <w:fldChar w:fldCharType="separate"/>
      </w:r>
      <w:r w:rsidR="003F08E5">
        <w:rPr>
          <w:noProof/>
        </w:rPr>
        <w:t>6</w:t>
      </w:r>
      <w:r w:rsidR="00990E2D">
        <w:rPr>
          <w:noProof/>
        </w:rPr>
        <w:fldChar w:fldCharType="end"/>
      </w:r>
      <w:bookmarkEnd w:id="79"/>
      <w:r>
        <w:tab/>
      </w:r>
      <w:r w:rsidRPr="007E3B2C">
        <w:t>Výstupy bezpečnostních programů v letech 2010 – 2014 registrované v</w:t>
      </w:r>
      <w:r>
        <w:t> </w:t>
      </w:r>
      <w:r w:rsidRPr="007E3B2C">
        <w:t>RIV</w:t>
      </w:r>
      <w:r>
        <w:t>. Zdroj: IS VaVaI</w:t>
      </w:r>
    </w:p>
    <w:p w:rsidR="00253B88" w:rsidRPr="00253B88" w:rsidRDefault="00253B88" w:rsidP="00253B88"/>
    <w:p w:rsidR="0057397D" w:rsidRDefault="0057397D" w:rsidP="00F056A2">
      <w:pPr>
        <w:pStyle w:val="Nadpis2"/>
      </w:pPr>
      <w:bookmarkStart w:id="80" w:name="_Ref449971404"/>
      <w:bookmarkStart w:id="81" w:name="_Toc459723280"/>
      <w:r>
        <w:t>Publikační výsledky</w:t>
      </w:r>
      <w:bookmarkEnd w:id="80"/>
      <w:bookmarkEnd w:id="81"/>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9430"/>
      </w:tblGrid>
      <w:tr w:rsidR="002E15DB" w:rsidTr="00F4064B">
        <w:tc>
          <w:tcPr>
            <w:tcW w:w="9430" w:type="dxa"/>
            <w:shd w:val="clear" w:color="auto" w:fill="F2F2F2" w:themeFill="background1" w:themeFillShade="F2"/>
          </w:tcPr>
          <w:p w:rsidR="002E15DB" w:rsidRDefault="002E15DB" w:rsidP="002E15DB">
            <w:r w:rsidRPr="002E15DB">
              <w:t>V publikačních výstupech projektů BV převažují články v neimpaktovaných sbornících a periodikách</w:t>
            </w:r>
            <w:r>
              <w:t>, v</w:t>
            </w:r>
            <w:r w:rsidRPr="002E15DB">
              <w:t xml:space="preserve">ýstupy </w:t>
            </w:r>
            <w:r>
              <w:t>s</w:t>
            </w:r>
            <w:r w:rsidRPr="002E15DB">
              <w:t>plňují</w:t>
            </w:r>
            <w:r>
              <w:t>cí</w:t>
            </w:r>
            <w:r w:rsidRPr="002E15DB">
              <w:t xml:space="preserve"> podmínky pro indexován</w:t>
            </w:r>
            <w:r>
              <w:t xml:space="preserve">í v databázi Web of Science, </w:t>
            </w:r>
            <w:r w:rsidRPr="002E15DB">
              <w:t>které jsou určitou mírou významu a kvality výstupů, tvoří pouze čtvrtinu všech publikačně zaměřených výsledků</w:t>
            </w:r>
            <w:r w:rsidR="00A06025">
              <w:t>. To je poněkud méně, než je tomu v celkovém počtu publikačních výstupů uvedených v RIV.</w:t>
            </w:r>
          </w:p>
          <w:p w:rsidR="00A06025" w:rsidRDefault="00A06025" w:rsidP="00A06025">
            <w:r w:rsidRPr="00A06025">
              <w:t>Relativně nejvyšší kvalita výsledků</w:t>
            </w:r>
            <w:r w:rsidR="00F4064B" w:rsidRPr="00A06025">
              <w:t xml:space="preserve"> je</w:t>
            </w:r>
            <w:r w:rsidRPr="00A06025">
              <w:t xml:space="preserve"> v oboru AQ - Bezpečnost a ochrana zdraví, člověk – stroj, které jsou přibližně o čtvrtinu více zastoupeny ve WoS než výsledky z jiných programů. </w:t>
            </w:r>
            <w:r>
              <w:t xml:space="preserve">Také v oborech </w:t>
            </w:r>
            <w:r w:rsidRPr="00A06025">
              <w:t xml:space="preserve">lékařské vědy a vědy o Zemi </w:t>
            </w:r>
            <w:r>
              <w:t xml:space="preserve">je </w:t>
            </w:r>
            <w:r w:rsidRPr="00A06025">
              <w:t>zastoupení impaktovaných periodik</w:t>
            </w:r>
            <w:r>
              <w:t xml:space="preserve"> ve výstupech programů BV nad</w:t>
            </w:r>
            <w:r w:rsidR="00F4064B">
              <w:t>průměrné</w:t>
            </w:r>
            <w:r>
              <w:t>. Také citovanost publikací z věd o Zemi je ve světovém srovnání nadprůměrná, což potvrzuje kvalitu bezpečnostně zaměřeného VaV v tomto oboru. Citovanost na úrovni světového průměru mají také publikace v chemii.</w:t>
            </w:r>
          </w:p>
          <w:p w:rsidR="00A06025" w:rsidRDefault="00EA7DBB" w:rsidP="00F4064B">
            <w:r w:rsidRPr="00EA7DBB">
              <w:t>Nejvýznamnějšími tvůrci publikačních výsledků</w:t>
            </w:r>
            <w:r>
              <w:t xml:space="preserve"> </w:t>
            </w:r>
            <w:r w:rsidRPr="00EA7DBB">
              <w:t xml:space="preserve">byly ČVUT v Praze, VŠB - TU Ostrava, Ministerstvo vnitra, VUT v Brně, Masarykova univerzita v Brně a Univerzita Karlova v Praze, které vytvořily </w:t>
            </w:r>
            <w:r>
              <w:t xml:space="preserve">přes </w:t>
            </w:r>
            <w:r w:rsidRPr="00EA7DBB">
              <w:t xml:space="preserve">100 publikací. </w:t>
            </w:r>
            <w:r>
              <w:t xml:space="preserve">Z </w:t>
            </w:r>
            <w:r w:rsidRPr="00EA7DBB">
              <w:t xml:space="preserve">institucí spadajících do rozpočtové kapitoly MV </w:t>
            </w:r>
            <w:r>
              <w:t>vzniklo n</w:t>
            </w:r>
            <w:r w:rsidRPr="00EA7DBB">
              <w:t>ejvíce publikačních výstupů v Institutu ochrany obyvatelstva GŘ HZS a v</w:t>
            </w:r>
            <w:r>
              <w:t xml:space="preserve"> </w:t>
            </w:r>
            <w:r w:rsidRPr="00EA7DBB">
              <w:t>SÚJCHBO. Ve výstupech však dominují články v neimpaktovaných periodikách nebo ve sbornících z konferencí. V Institutu ochrany obyvatelstva vznikl také poměrně vysoký počet zpráv obsahujících utajované informace.</w:t>
            </w:r>
            <w:r>
              <w:t xml:space="preserve"> </w:t>
            </w:r>
            <w:r w:rsidRPr="00EA7DBB">
              <w:t>V sektoru veřejných výzkumných institucí největší počet publikačních výstupů vznikl v Ústavu analytické chemie AV ČR.</w:t>
            </w:r>
          </w:p>
        </w:tc>
      </w:tr>
    </w:tbl>
    <w:p w:rsidR="002E15DB" w:rsidRDefault="002E15DB" w:rsidP="00C84F89"/>
    <w:p w:rsidR="003A742D" w:rsidRDefault="00F3746E" w:rsidP="00C84F89">
      <w:r>
        <w:t xml:space="preserve">V této kapitola je zpracována </w:t>
      </w:r>
      <w:r w:rsidR="004C74D8">
        <w:t>b</w:t>
      </w:r>
      <w:r>
        <w:t>ibliometrická analýza publikačních výsledků projektů BV. Kromě počtů publikačních výsledků byla vyhodnocena i jejich kvalita</w:t>
      </w:r>
      <w:r w:rsidR="00F056A2">
        <w:t>, k čemuž je využita analýza zastoupení publikačních výsledků BV v impaktovaných časopisech a sbornících</w:t>
      </w:r>
      <w:r>
        <w:t xml:space="preserve"> </w:t>
      </w:r>
      <w:r w:rsidR="00F056A2">
        <w:t xml:space="preserve">(kap. </w:t>
      </w:r>
      <w:r w:rsidR="00380A73">
        <w:fldChar w:fldCharType="begin"/>
      </w:r>
      <w:r w:rsidR="00380A73">
        <w:instrText xml:space="preserve"> REF _Ref451766249 \r \h </w:instrText>
      </w:r>
      <w:r w:rsidR="00380A73">
        <w:fldChar w:fldCharType="separate"/>
      </w:r>
      <w:r w:rsidR="003F08E5">
        <w:t>3.2.1</w:t>
      </w:r>
      <w:r w:rsidR="00380A73">
        <w:fldChar w:fldCharType="end"/>
      </w:r>
      <w:r w:rsidR="00F056A2">
        <w:t xml:space="preserve">) a bibliometrická analýza (kap. </w:t>
      </w:r>
      <w:r w:rsidR="00380A73">
        <w:fldChar w:fldCharType="begin"/>
      </w:r>
      <w:r w:rsidR="00380A73">
        <w:instrText xml:space="preserve"> REF _Ref451766260 \r \h </w:instrText>
      </w:r>
      <w:r w:rsidR="00380A73">
        <w:fldChar w:fldCharType="separate"/>
      </w:r>
      <w:r w:rsidR="003F08E5">
        <w:t>3.2.2</w:t>
      </w:r>
      <w:r w:rsidR="00380A73">
        <w:fldChar w:fldCharType="end"/>
      </w:r>
      <w:r w:rsidR="00F056A2">
        <w:t>).</w:t>
      </w:r>
    </w:p>
    <w:p w:rsidR="00304E5D" w:rsidRDefault="00304E5D" w:rsidP="00F056A2">
      <w:pPr>
        <w:pStyle w:val="Nadpis3"/>
      </w:pPr>
      <w:bookmarkStart w:id="82" w:name="_Ref451766249"/>
      <w:bookmarkStart w:id="83" w:name="_Toc459723281"/>
      <w:r>
        <w:lastRenderedPageBreak/>
        <w:t>Zastoupení publikačních výsledků bezpečnostního výzkumu v impaktovaných časopisech a sbornících</w:t>
      </w:r>
      <w:bookmarkEnd w:id="82"/>
      <w:bookmarkEnd w:id="83"/>
    </w:p>
    <w:p w:rsidR="00DD65E0" w:rsidRDefault="000F09E1" w:rsidP="00C84F89">
      <w:r>
        <w:t xml:space="preserve">V publikačních výstupech projektů BV převažují články v neimpaktovaných sbornících a neimpaktovaných periodikách (viz </w:t>
      </w:r>
      <w:r>
        <w:fldChar w:fldCharType="begin"/>
      </w:r>
      <w:r>
        <w:instrText xml:space="preserve"> REF  _Ref450318031 \* Lower \h  \* MERGEFORMAT </w:instrText>
      </w:r>
      <w:r>
        <w:fldChar w:fldCharType="separate"/>
      </w:r>
      <w:r w:rsidR="003F08E5">
        <w:t xml:space="preserve">tab. </w:t>
      </w:r>
      <w:r w:rsidR="003F08E5">
        <w:rPr>
          <w:noProof/>
        </w:rPr>
        <w:t>20</w:t>
      </w:r>
      <w:r>
        <w:fldChar w:fldCharType="end"/>
      </w:r>
      <w:r>
        <w:t>).  Výstupy</w:t>
      </w:r>
      <w:r w:rsidRPr="00C84F89">
        <w:t xml:space="preserve"> v periodikách a sbornících z konferencí, které </w:t>
      </w:r>
      <w:r>
        <w:t>sp</w:t>
      </w:r>
      <w:r w:rsidRPr="00C84F89">
        <w:t>lňují podmínky pro indexování v databázi Web of Science</w:t>
      </w:r>
      <w:r w:rsidR="000D6D11">
        <w:rPr>
          <w:rStyle w:val="Znakapoznpodarou"/>
        </w:rPr>
        <w:footnoteReference w:id="16"/>
      </w:r>
      <w:r w:rsidR="00A42976">
        <w:t xml:space="preserve"> (</w:t>
      </w:r>
      <w:r w:rsidR="000D6D11">
        <w:t xml:space="preserve">impaktované sborníky a periodika uváděná v této </w:t>
      </w:r>
      <w:r w:rsidR="00A42976">
        <w:t xml:space="preserve">databázi) </w:t>
      </w:r>
      <w:r>
        <w:t>a které jsou u</w:t>
      </w:r>
      <w:r w:rsidR="00C84F89" w:rsidRPr="00C84F89">
        <w:t>rčitou mírou významu a kvality výstupů</w:t>
      </w:r>
      <w:r w:rsidR="00DD65E0">
        <w:t xml:space="preserve">, jsou zastoupeny výrazně méně a tvoří pouze čtvrtinu všech publikačně zaměřených výsledků. </w:t>
      </w:r>
    </w:p>
    <w:p w:rsidR="00A42976" w:rsidRDefault="00990339" w:rsidP="00C84F89">
      <w:r>
        <w:t>Pro</w:t>
      </w:r>
      <w:r w:rsidR="00C84F89" w:rsidRPr="00C84F89">
        <w:t xml:space="preserve"> porovnání </w:t>
      </w:r>
      <w:r>
        <w:t xml:space="preserve">kvality </w:t>
      </w:r>
      <w:r w:rsidR="00C84F89" w:rsidRPr="00C84F89">
        <w:t>publika</w:t>
      </w:r>
      <w:r>
        <w:t>čních výstupů</w:t>
      </w:r>
      <w:r w:rsidR="00C84F89" w:rsidRPr="00C84F89">
        <w:t xml:space="preserve"> bezpečnostního výzkumu s celkovou </w:t>
      </w:r>
      <w:r>
        <w:t>kvalitou p</w:t>
      </w:r>
      <w:r w:rsidR="00C84F89" w:rsidRPr="00C84F89">
        <w:t>ublika</w:t>
      </w:r>
      <w:r>
        <w:t>čn</w:t>
      </w:r>
      <w:r w:rsidR="00C84F89" w:rsidRPr="00C84F89">
        <w:t>í</w:t>
      </w:r>
      <w:r>
        <w:t>ch výstupů ČR</w:t>
      </w:r>
      <w:r w:rsidR="00C84F89" w:rsidRPr="00C84F89">
        <w:t xml:space="preserve"> </w:t>
      </w:r>
      <w:r>
        <w:t>byl</w:t>
      </w:r>
      <w:r w:rsidR="00C84F89" w:rsidRPr="00C84F89">
        <w:t xml:space="preserve"> </w:t>
      </w:r>
      <w:r w:rsidR="00A42976">
        <w:t xml:space="preserve">vztažen </w:t>
      </w:r>
      <w:r w:rsidR="00C84F89" w:rsidRPr="00C84F89">
        <w:t>podíl impaktovaných výstupů</w:t>
      </w:r>
      <w:r w:rsidR="00A42976">
        <w:t xml:space="preserve"> BV (tj. uvedených v databázi WoS)</w:t>
      </w:r>
      <w:r w:rsidR="00C84F89" w:rsidRPr="00C84F89">
        <w:t xml:space="preserve"> </w:t>
      </w:r>
      <w:r w:rsidR="00A42976">
        <w:t xml:space="preserve">v celkovém počtu výsledků BV uvedených v RIV k podílu </w:t>
      </w:r>
      <w:r w:rsidR="00C84F89" w:rsidRPr="00C84F89">
        <w:t xml:space="preserve">impaktovaných výstupů stejného druhu </w:t>
      </w:r>
      <w:r w:rsidR="00A42976">
        <w:t>v</w:t>
      </w:r>
      <w:r w:rsidR="00C84F89" w:rsidRPr="00C84F89">
        <w:t xml:space="preserve"> ČR</w:t>
      </w:r>
      <w:r w:rsidR="00C84F89" w:rsidRPr="00C84F89">
        <w:rPr>
          <w:vertAlign w:val="superscript"/>
        </w:rPr>
        <w:footnoteReference w:id="17"/>
      </w:r>
      <w:r w:rsidR="00A42976">
        <w:t xml:space="preserve"> (podrobněji je tento indikátor nazvaný „Index zastoupení WoS“ popsán v poznámce k </w:t>
      </w:r>
      <w:r w:rsidR="00A42976">
        <w:fldChar w:fldCharType="begin"/>
      </w:r>
      <w:r w:rsidR="00A42976">
        <w:instrText xml:space="preserve"> REF  _Ref450318031 \* Lower \h  \* MERGEFORMAT </w:instrText>
      </w:r>
      <w:r w:rsidR="00A42976">
        <w:fldChar w:fldCharType="separate"/>
      </w:r>
      <w:r w:rsidR="003F08E5">
        <w:t xml:space="preserve">tab. </w:t>
      </w:r>
      <w:r w:rsidR="003F08E5">
        <w:rPr>
          <w:noProof/>
        </w:rPr>
        <w:t>20</w:t>
      </w:r>
      <w:r w:rsidR="00A42976">
        <w:fldChar w:fldCharType="end"/>
      </w:r>
      <w:r w:rsidR="00A42976">
        <w:t>)</w:t>
      </w:r>
      <w:r w:rsidR="00C84F89" w:rsidRPr="00C84F89">
        <w:t>.</w:t>
      </w:r>
      <w:r w:rsidR="00A42976">
        <w:t xml:space="preserve"> Z porovnání uvedeného v </w:t>
      </w:r>
      <w:r w:rsidR="00A42976">
        <w:fldChar w:fldCharType="begin"/>
      </w:r>
      <w:r w:rsidR="00A42976">
        <w:instrText xml:space="preserve"> REF  _Ref450318031 \* Lower \h  \* MERGEFORMAT </w:instrText>
      </w:r>
      <w:r w:rsidR="00A42976">
        <w:fldChar w:fldCharType="separate"/>
      </w:r>
      <w:r w:rsidR="003F08E5">
        <w:t xml:space="preserve">tab. </w:t>
      </w:r>
      <w:r w:rsidR="003F08E5">
        <w:rPr>
          <w:noProof/>
        </w:rPr>
        <w:t>20</w:t>
      </w:r>
      <w:r w:rsidR="00A42976">
        <w:fldChar w:fldCharType="end"/>
      </w:r>
      <w:r w:rsidR="00A42976">
        <w:t xml:space="preserve"> vyplývá, že v letech</w:t>
      </w:r>
      <w:r w:rsidR="00C84F89" w:rsidRPr="00C84F89">
        <w:t xml:space="preserve"> 2010 </w:t>
      </w:r>
      <w:r w:rsidR="00A42976">
        <w:t>až</w:t>
      </w:r>
      <w:r w:rsidR="00C84F89" w:rsidRPr="00C84F89">
        <w:t xml:space="preserve"> 2014 </w:t>
      </w:r>
      <w:r w:rsidR="00A42976">
        <w:t>byly publikace vzniklé v projektech BV</w:t>
      </w:r>
      <w:r w:rsidR="00C84F89" w:rsidRPr="00C84F89">
        <w:t xml:space="preserve"> </w:t>
      </w:r>
      <w:r w:rsidR="00A42976">
        <w:t xml:space="preserve">zastoupeny </w:t>
      </w:r>
      <w:r w:rsidR="00C84F89" w:rsidRPr="00C84F89">
        <w:t>v</w:t>
      </w:r>
      <w:r w:rsidR="00A42976">
        <w:t xml:space="preserve"> impaktovaných </w:t>
      </w:r>
      <w:r w:rsidR="00C84F89" w:rsidRPr="00C84F89">
        <w:t xml:space="preserve">periodikách </w:t>
      </w:r>
      <w:r w:rsidR="00A42976">
        <w:t>přibližně</w:t>
      </w:r>
      <w:r w:rsidR="00C84F89" w:rsidRPr="00C84F89">
        <w:t xml:space="preserve"> o čtvrtinu méně</w:t>
      </w:r>
      <w:r w:rsidR="00A42976">
        <w:t>,</w:t>
      </w:r>
      <w:r w:rsidR="00C84F89" w:rsidRPr="00C84F89">
        <w:t xml:space="preserve"> než </w:t>
      </w:r>
      <w:r w:rsidR="00A42976">
        <w:t>je tomu v celkovém počtu publikací</w:t>
      </w:r>
      <w:r w:rsidR="00C84F89" w:rsidRPr="00C84F89">
        <w:t xml:space="preserve"> ČR.</w:t>
      </w:r>
      <w:r w:rsidR="005A2768">
        <w:t xml:space="preserve"> To znamená, že v průměru kvalita publikací vzniklých v projektech BV je poněkud nižší než celková kvalita publikačních výstupů uváděných v RIV.</w:t>
      </w:r>
    </w:p>
    <w:p w:rsidR="007A2D0A" w:rsidRDefault="007A2D0A" w:rsidP="00C84F89">
      <w:r>
        <w:t xml:space="preserve">Mezi jednotlivými obory však </w:t>
      </w:r>
      <w:r w:rsidR="00380A73">
        <w:t xml:space="preserve">existují </w:t>
      </w:r>
      <w:r>
        <w:t xml:space="preserve">značné rozdíly (viz </w:t>
      </w:r>
      <w:r>
        <w:fldChar w:fldCharType="begin"/>
      </w:r>
      <w:r>
        <w:instrText xml:space="preserve"> REF  _Ref450318031 \* Lower \h  \* MERGEFORMAT </w:instrText>
      </w:r>
      <w:r>
        <w:fldChar w:fldCharType="separate"/>
      </w:r>
      <w:r w:rsidR="003F08E5">
        <w:t xml:space="preserve">tab. </w:t>
      </w:r>
      <w:r w:rsidR="003F08E5">
        <w:rPr>
          <w:noProof/>
        </w:rPr>
        <w:t>20</w:t>
      </w:r>
      <w:r>
        <w:fldChar w:fldCharType="end"/>
      </w:r>
      <w:r>
        <w:t>). Relativně nejvyšší je kvalita</w:t>
      </w:r>
      <w:r w:rsidR="00FB7D79">
        <w:t xml:space="preserve"> publikačních</w:t>
      </w:r>
      <w:r>
        <w:t xml:space="preserve"> výsledků v oboru AQ - </w:t>
      </w:r>
      <w:r w:rsidRPr="007A2D0A">
        <w:t>Bezpečnost a ochrana zdraví, člověk – stroj</w:t>
      </w:r>
      <w:r>
        <w:t xml:space="preserve">, které jsou </w:t>
      </w:r>
      <w:r w:rsidR="00380A73">
        <w:t>přibližně</w:t>
      </w:r>
      <w:r>
        <w:t xml:space="preserve"> o čtvrtinu více zastoupeny ve WoS než výsledky z jiných programů. Nad průměrem ČR (resp. na průměru) je </w:t>
      </w:r>
      <w:r w:rsidRPr="00C84F89">
        <w:t xml:space="preserve">zastoupení impaktovaných periodik </w:t>
      </w:r>
      <w:r>
        <w:t xml:space="preserve">(a do značné míry i kvalita </w:t>
      </w:r>
      <w:r w:rsidR="00FB7D79">
        <w:t xml:space="preserve">publikačních </w:t>
      </w:r>
      <w:r>
        <w:t>výsledků BV) v oborech lékařské vědy a vědy o Zemi. Naopak, hluboko pod průměrem ČR je zastoupení impaktovaných výstupů ve Vojenství a Zemědělství.</w:t>
      </w:r>
    </w:p>
    <w:p w:rsidR="00C84F89" w:rsidRPr="00CD447D" w:rsidRDefault="00CD27D8" w:rsidP="005A2768">
      <w:r>
        <w:t xml:space="preserve">Poněkud odlišná je situace v případě </w:t>
      </w:r>
      <w:r w:rsidRPr="00C84F89">
        <w:t>výstupů bezpečnostního výzkumu v konferenčních sbornících (D)</w:t>
      </w:r>
      <w:r>
        <w:t xml:space="preserve">. Celkové zastoupení výsledků BV v impaktovaných sbornících je </w:t>
      </w:r>
      <w:r w:rsidR="00570239">
        <w:t>vy</w:t>
      </w:r>
      <w:r w:rsidR="00570239" w:rsidRPr="00BE6C3D">
        <w:t xml:space="preserve">šší než v průměru v ČR. </w:t>
      </w:r>
      <w:r w:rsidR="00BE6C3D">
        <w:t xml:space="preserve">Jak je patrné z </w:t>
      </w:r>
      <w:r w:rsidR="00BE6C3D">
        <w:fldChar w:fldCharType="begin"/>
      </w:r>
      <w:r w:rsidR="00BE6C3D">
        <w:instrText xml:space="preserve"> REF  _Ref450318031 \* Lower \h  \* MERGEFORMAT </w:instrText>
      </w:r>
      <w:r w:rsidR="00BE6C3D">
        <w:fldChar w:fldCharType="separate"/>
      </w:r>
      <w:r w:rsidR="003F08E5">
        <w:t xml:space="preserve">tab. </w:t>
      </w:r>
      <w:r w:rsidR="003F08E5">
        <w:rPr>
          <w:noProof/>
        </w:rPr>
        <w:t>20</w:t>
      </w:r>
      <w:r w:rsidR="00BE6C3D">
        <w:fldChar w:fldCharType="end"/>
      </w:r>
      <w:r w:rsidR="00BE6C3D">
        <w:t>, m</w:t>
      </w:r>
      <w:r w:rsidR="00380A73" w:rsidRPr="00BE6C3D">
        <w:t>ezi kvalitní</w:t>
      </w:r>
      <w:r w:rsidR="00380A73">
        <w:t xml:space="preserve"> obory BV lze zařadit zejména obor AQ - </w:t>
      </w:r>
      <w:r w:rsidR="00380A73" w:rsidRPr="006B3A6C">
        <w:t>Bezpečnost a ochrana zdraví, člověk</w:t>
      </w:r>
      <w:r w:rsidR="00BE6C3D">
        <w:t xml:space="preserve"> – stroj (AQ) </w:t>
      </w:r>
      <w:r w:rsidR="00380A73">
        <w:t>a Lékařské vědy</w:t>
      </w:r>
      <w:r w:rsidR="00BE6C3D">
        <w:t xml:space="preserve"> (F)</w:t>
      </w:r>
      <w:r w:rsidR="00380A73">
        <w:t xml:space="preserve">. </w:t>
      </w:r>
      <w:r w:rsidR="00570239">
        <w:t>J</w:t>
      </w:r>
      <w:r w:rsidR="00570239" w:rsidRPr="00C84F89">
        <w:t xml:space="preserve">ediným oborem pod českým průměrem je </w:t>
      </w:r>
      <w:r w:rsidR="00380A73">
        <w:t>I</w:t>
      </w:r>
      <w:r w:rsidR="00570239" w:rsidRPr="00C84F89">
        <w:t>nformatika</w:t>
      </w:r>
      <w:r w:rsidR="006B3A6C">
        <w:t xml:space="preserve"> (</w:t>
      </w:r>
      <w:r w:rsidR="00BE6C3D">
        <w:t>I</w:t>
      </w:r>
      <w:r w:rsidR="006B3A6C">
        <w:t>)</w:t>
      </w:r>
      <w:r w:rsidR="00570239" w:rsidRPr="00C84F89">
        <w:t>.</w:t>
      </w:r>
      <w:r w:rsidR="00570239" w:rsidRPr="00C84F89">
        <w:rPr>
          <w:vertAlign w:val="superscript"/>
        </w:rPr>
        <w:footnoteReference w:id="18"/>
      </w:r>
      <w:r w:rsidR="006B3A6C">
        <w:t xml:space="preserve"> </w:t>
      </w:r>
    </w:p>
    <w:p w:rsidR="000F09E1" w:rsidRDefault="000F09E1" w:rsidP="000F09E1">
      <w:pPr>
        <w:pStyle w:val="Titulek"/>
        <w:keepNext/>
      </w:pPr>
      <w:bookmarkStart w:id="84" w:name="_Ref450318031"/>
      <w:r>
        <w:t xml:space="preserve">Tab. </w:t>
      </w:r>
      <w:r w:rsidR="00990E2D">
        <w:fldChar w:fldCharType="begin"/>
      </w:r>
      <w:r w:rsidR="00990E2D">
        <w:instrText xml:space="preserve"> SE</w:instrText>
      </w:r>
      <w:r w:rsidR="00990E2D">
        <w:instrText xml:space="preserve">Q Tab. \* ARABIC </w:instrText>
      </w:r>
      <w:r w:rsidR="00990E2D">
        <w:fldChar w:fldCharType="separate"/>
      </w:r>
      <w:r w:rsidR="003F08E5">
        <w:rPr>
          <w:noProof/>
        </w:rPr>
        <w:t>20</w:t>
      </w:r>
      <w:r w:rsidR="00990E2D">
        <w:rPr>
          <w:noProof/>
        </w:rPr>
        <w:fldChar w:fldCharType="end"/>
      </w:r>
      <w:bookmarkEnd w:id="84"/>
      <w:r>
        <w:tab/>
      </w:r>
      <w:r w:rsidRPr="000F09E1">
        <w:t xml:space="preserve">Zastoupení publikačních výstupů bezpečnostního výzkumu v databázi </w:t>
      </w:r>
      <w:r w:rsidR="008D7761">
        <w:t>IS VaVaI</w:t>
      </w:r>
      <w:r w:rsidRPr="000F09E1">
        <w:t xml:space="preserve"> v letech 2010 </w:t>
      </w:r>
      <w:r>
        <w:t>–</w:t>
      </w:r>
      <w:r w:rsidRPr="000F09E1">
        <w:t xml:space="preserve"> 2014</w:t>
      </w:r>
      <w:r>
        <w:t>. Zdroj: IS VaVaI</w:t>
      </w:r>
    </w:p>
    <w:tbl>
      <w:tblPr>
        <w:tblW w:w="9295" w:type="dxa"/>
        <w:tblInd w:w="55" w:type="dxa"/>
        <w:tblLayout w:type="fixed"/>
        <w:tblCellMar>
          <w:left w:w="70" w:type="dxa"/>
          <w:right w:w="70" w:type="dxa"/>
        </w:tblCellMar>
        <w:tblLook w:val="04A0" w:firstRow="1" w:lastRow="0" w:firstColumn="1" w:lastColumn="0" w:noHBand="0" w:noVBand="1"/>
      </w:tblPr>
      <w:tblGrid>
        <w:gridCol w:w="4126"/>
        <w:gridCol w:w="851"/>
        <w:gridCol w:w="850"/>
        <w:gridCol w:w="992"/>
        <w:gridCol w:w="851"/>
        <w:gridCol w:w="709"/>
        <w:gridCol w:w="916"/>
      </w:tblGrid>
      <w:tr w:rsidR="00C84F89" w:rsidRPr="00813480" w:rsidTr="00813480">
        <w:trPr>
          <w:trHeight w:val="450"/>
        </w:trPr>
        <w:tc>
          <w:tcPr>
            <w:tcW w:w="4126" w:type="dxa"/>
            <w:vMerge w:val="restart"/>
            <w:tcBorders>
              <w:top w:val="single" w:sz="4" w:space="0" w:color="auto"/>
              <w:left w:val="nil"/>
              <w:bottom w:val="single" w:sz="4" w:space="0" w:color="000000"/>
              <w:right w:val="nil"/>
            </w:tcBorders>
            <w:shd w:val="clear" w:color="auto" w:fill="D9D9D9" w:themeFill="background1" w:themeFillShade="D9"/>
            <w:vAlign w:val="center"/>
            <w:hideMark/>
          </w:tcPr>
          <w:p w:rsidR="00C84F89" w:rsidRPr="00813480" w:rsidRDefault="00C84F89" w:rsidP="00813480">
            <w:pPr>
              <w:spacing w:before="40" w:after="40"/>
              <w:jc w:val="center"/>
              <w:rPr>
                <w:rFonts w:ascii="Calibri" w:eastAsia="Times New Roman" w:hAnsi="Calibri" w:cs="Times New Roman"/>
                <w:b/>
                <w:bCs/>
                <w:color w:val="000000"/>
                <w:sz w:val="20"/>
                <w:szCs w:val="16"/>
                <w:lang w:eastAsia="cs-CZ"/>
              </w:rPr>
            </w:pPr>
            <w:r w:rsidRPr="00813480">
              <w:rPr>
                <w:rFonts w:ascii="Calibri" w:eastAsia="Times New Roman" w:hAnsi="Calibri" w:cs="Times New Roman"/>
                <w:b/>
                <w:bCs/>
                <w:color w:val="000000"/>
                <w:sz w:val="20"/>
                <w:szCs w:val="16"/>
                <w:lang w:eastAsia="cs-CZ"/>
              </w:rPr>
              <w:t>Obor</w:t>
            </w:r>
          </w:p>
        </w:tc>
        <w:tc>
          <w:tcPr>
            <w:tcW w:w="1701" w:type="dxa"/>
            <w:gridSpan w:val="2"/>
            <w:tcBorders>
              <w:top w:val="single" w:sz="4" w:space="0" w:color="auto"/>
              <w:left w:val="nil"/>
              <w:bottom w:val="single" w:sz="4" w:space="0" w:color="auto"/>
              <w:right w:val="nil"/>
            </w:tcBorders>
            <w:shd w:val="clear" w:color="auto" w:fill="D9D9D9" w:themeFill="background1" w:themeFillShade="D9"/>
            <w:vAlign w:val="center"/>
            <w:hideMark/>
          </w:tcPr>
          <w:p w:rsidR="00C84F89" w:rsidRPr="00813480" w:rsidRDefault="00813480" w:rsidP="00813480">
            <w:pPr>
              <w:spacing w:before="40" w:after="40"/>
              <w:jc w:val="center"/>
              <w:rPr>
                <w:rFonts w:ascii="Calibri" w:eastAsia="Times New Roman" w:hAnsi="Calibri" w:cs="Times New Roman"/>
                <w:b/>
                <w:bCs/>
                <w:color w:val="000000"/>
                <w:sz w:val="20"/>
                <w:szCs w:val="16"/>
                <w:lang w:eastAsia="cs-CZ"/>
              </w:rPr>
            </w:pPr>
            <w:r>
              <w:rPr>
                <w:rFonts w:ascii="Calibri" w:eastAsia="Times New Roman" w:hAnsi="Calibri" w:cs="Times New Roman"/>
                <w:b/>
                <w:bCs/>
                <w:color w:val="000000"/>
                <w:sz w:val="20"/>
                <w:szCs w:val="16"/>
                <w:lang w:eastAsia="cs-CZ"/>
              </w:rPr>
              <w:t>Č</w:t>
            </w:r>
            <w:r w:rsidR="00C84F89" w:rsidRPr="00813480">
              <w:rPr>
                <w:rFonts w:ascii="Calibri" w:eastAsia="Times New Roman" w:hAnsi="Calibri" w:cs="Times New Roman"/>
                <w:b/>
                <w:bCs/>
                <w:color w:val="000000"/>
                <w:sz w:val="20"/>
                <w:szCs w:val="16"/>
                <w:lang w:eastAsia="cs-CZ"/>
              </w:rPr>
              <w:t>lánek ve sborníku</w:t>
            </w:r>
          </w:p>
        </w:tc>
        <w:tc>
          <w:tcPr>
            <w:tcW w:w="1843" w:type="dxa"/>
            <w:gridSpan w:val="2"/>
            <w:tcBorders>
              <w:top w:val="single" w:sz="4" w:space="0" w:color="auto"/>
              <w:left w:val="nil"/>
              <w:bottom w:val="single" w:sz="4" w:space="0" w:color="auto"/>
              <w:right w:val="nil"/>
            </w:tcBorders>
            <w:shd w:val="clear" w:color="auto" w:fill="D9D9D9" w:themeFill="background1" w:themeFillShade="D9"/>
            <w:vAlign w:val="center"/>
            <w:hideMark/>
          </w:tcPr>
          <w:p w:rsidR="00C84F89" w:rsidRPr="00813480" w:rsidRDefault="00813480" w:rsidP="00813480">
            <w:pPr>
              <w:spacing w:before="40" w:after="40"/>
              <w:jc w:val="center"/>
              <w:rPr>
                <w:rFonts w:ascii="Calibri" w:eastAsia="Times New Roman" w:hAnsi="Calibri" w:cs="Times New Roman"/>
                <w:b/>
                <w:bCs/>
                <w:color w:val="000000"/>
                <w:sz w:val="20"/>
                <w:szCs w:val="16"/>
                <w:lang w:eastAsia="cs-CZ"/>
              </w:rPr>
            </w:pPr>
            <w:r>
              <w:rPr>
                <w:rFonts w:ascii="Calibri" w:eastAsia="Times New Roman" w:hAnsi="Calibri" w:cs="Times New Roman"/>
                <w:b/>
                <w:bCs/>
                <w:color w:val="000000"/>
                <w:sz w:val="20"/>
                <w:szCs w:val="16"/>
                <w:lang w:eastAsia="cs-CZ"/>
              </w:rPr>
              <w:t>Č</w:t>
            </w:r>
            <w:r w:rsidR="00C84F89" w:rsidRPr="00813480">
              <w:rPr>
                <w:rFonts w:ascii="Calibri" w:eastAsia="Times New Roman" w:hAnsi="Calibri" w:cs="Times New Roman"/>
                <w:b/>
                <w:bCs/>
                <w:color w:val="000000"/>
                <w:sz w:val="20"/>
                <w:szCs w:val="16"/>
                <w:lang w:eastAsia="cs-CZ"/>
              </w:rPr>
              <w:t>lánek v odborném periodiku</w:t>
            </w:r>
          </w:p>
        </w:tc>
        <w:tc>
          <w:tcPr>
            <w:tcW w:w="1625" w:type="dxa"/>
            <w:gridSpan w:val="2"/>
            <w:tcBorders>
              <w:top w:val="single" w:sz="4" w:space="0" w:color="auto"/>
              <w:left w:val="nil"/>
              <w:bottom w:val="single" w:sz="4" w:space="0" w:color="auto"/>
              <w:right w:val="nil"/>
            </w:tcBorders>
            <w:shd w:val="clear" w:color="auto" w:fill="D9D9D9" w:themeFill="background1" w:themeFillShade="D9"/>
            <w:vAlign w:val="center"/>
            <w:hideMark/>
          </w:tcPr>
          <w:p w:rsidR="00C84F89" w:rsidRPr="00813480" w:rsidRDefault="00813480" w:rsidP="00813480">
            <w:pPr>
              <w:spacing w:before="40" w:after="40"/>
              <w:jc w:val="center"/>
              <w:rPr>
                <w:rFonts w:ascii="Calibri" w:eastAsia="Times New Roman" w:hAnsi="Calibri" w:cs="Times New Roman"/>
                <w:b/>
                <w:bCs/>
                <w:color w:val="403151"/>
                <w:sz w:val="20"/>
                <w:szCs w:val="16"/>
                <w:lang w:eastAsia="cs-CZ"/>
              </w:rPr>
            </w:pPr>
            <w:r>
              <w:rPr>
                <w:rFonts w:ascii="Calibri" w:eastAsia="Times New Roman" w:hAnsi="Calibri" w:cs="Times New Roman"/>
                <w:b/>
                <w:bCs/>
                <w:color w:val="403151"/>
                <w:sz w:val="20"/>
                <w:szCs w:val="16"/>
                <w:lang w:eastAsia="cs-CZ"/>
              </w:rPr>
              <w:t>I</w:t>
            </w:r>
            <w:r w:rsidR="00C84F89" w:rsidRPr="00813480">
              <w:rPr>
                <w:rFonts w:ascii="Calibri" w:eastAsia="Times New Roman" w:hAnsi="Calibri" w:cs="Times New Roman"/>
                <w:b/>
                <w:bCs/>
                <w:color w:val="403151"/>
                <w:sz w:val="20"/>
                <w:szCs w:val="16"/>
                <w:lang w:eastAsia="cs-CZ"/>
              </w:rPr>
              <w:t>ndex zastoupení  WoS</w:t>
            </w:r>
          </w:p>
        </w:tc>
      </w:tr>
      <w:tr w:rsidR="00C84F89" w:rsidRPr="00813480" w:rsidTr="00813480">
        <w:trPr>
          <w:trHeight w:val="225"/>
        </w:trPr>
        <w:tc>
          <w:tcPr>
            <w:tcW w:w="4126" w:type="dxa"/>
            <w:vMerge/>
            <w:tcBorders>
              <w:top w:val="single" w:sz="4" w:space="0" w:color="auto"/>
              <w:left w:val="nil"/>
              <w:bottom w:val="single" w:sz="4" w:space="0" w:color="000000"/>
              <w:right w:val="nil"/>
            </w:tcBorders>
            <w:vAlign w:val="center"/>
            <w:hideMark/>
          </w:tcPr>
          <w:p w:rsidR="00C84F89" w:rsidRPr="00813480" w:rsidRDefault="00C84F89" w:rsidP="00813480">
            <w:pPr>
              <w:spacing w:before="40" w:after="40"/>
              <w:jc w:val="left"/>
              <w:rPr>
                <w:rFonts w:ascii="Calibri" w:eastAsia="Times New Roman" w:hAnsi="Calibri" w:cs="Times New Roman"/>
                <w:b/>
                <w:bCs/>
                <w:color w:val="000000"/>
                <w:sz w:val="20"/>
                <w:szCs w:val="16"/>
                <w:lang w:eastAsia="cs-CZ"/>
              </w:rPr>
            </w:pPr>
          </w:p>
        </w:tc>
        <w:tc>
          <w:tcPr>
            <w:tcW w:w="851" w:type="dxa"/>
            <w:tcBorders>
              <w:top w:val="nil"/>
              <w:left w:val="nil"/>
              <w:bottom w:val="single" w:sz="4" w:space="0" w:color="auto"/>
              <w:right w:val="nil"/>
            </w:tcBorders>
            <w:shd w:val="clear" w:color="auto" w:fill="D9D9D9" w:themeFill="background1" w:themeFillShade="D9"/>
            <w:vAlign w:val="center"/>
            <w:hideMark/>
          </w:tcPr>
          <w:p w:rsidR="00C84F89" w:rsidRPr="00813480" w:rsidRDefault="00C84F89" w:rsidP="00813480">
            <w:pPr>
              <w:spacing w:before="40" w:after="40"/>
              <w:jc w:val="right"/>
              <w:rPr>
                <w:rFonts w:ascii="Calibri" w:eastAsia="Times New Roman" w:hAnsi="Calibri" w:cs="Times New Roman"/>
                <w:b/>
                <w:bCs/>
                <w:color w:val="000000"/>
                <w:sz w:val="20"/>
                <w:szCs w:val="16"/>
                <w:lang w:eastAsia="cs-CZ"/>
              </w:rPr>
            </w:pPr>
            <w:r w:rsidRPr="00813480">
              <w:rPr>
                <w:rFonts w:ascii="Calibri" w:eastAsia="Times New Roman" w:hAnsi="Calibri" w:cs="Times New Roman"/>
                <w:b/>
                <w:bCs/>
                <w:color w:val="000000"/>
                <w:sz w:val="20"/>
                <w:szCs w:val="16"/>
                <w:lang w:eastAsia="cs-CZ"/>
              </w:rPr>
              <w:t>D</w:t>
            </w:r>
          </w:p>
        </w:tc>
        <w:tc>
          <w:tcPr>
            <w:tcW w:w="850" w:type="dxa"/>
            <w:tcBorders>
              <w:top w:val="nil"/>
              <w:left w:val="nil"/>
              <w:bottom w:val="single" w:sz="4" w:space="0" w:color="auto"/>
              <w:right w:val="nil"/>
            </w:tcBorders>
            <w:shd w:val="clear" w:color="auto" w:fill="D9D9D9" w:themeFill="background1" w:themeFillShade="D9"/>
            <w:vAlign w:val="center"/>
            <w:hideMark/>
          </w:tcPr>
          <w:p w:rsidR="00C84F89" w:rsidRPr="00813480" w:rsidRDefault="00C84F89" w:rsidP="00813480">
            <w:pPr>
              <w:spacing w:before="40" w:after="40"/>
              <w:jc w:val="right"/>
              <w:rPr>
                <w:rFonts w:ascii="Calibri" w:eastAsia="Times New Roman" w:hAnsi="Calibri" w:cs="Times New Roman"/>
                <w:b/>
                <w:bCs/>
                <w:color w:val="000000"/>
                <w:sz w:val="20"/>
                <w:szCs w:val="16"/>
                <w:lang w:eastAsia="cs-CZ"/>
              </w:rPr>
            </w:pPr>
            <w:r w:rsidRPr="00813480">
              <w:rPr>
                <w:rFonts w:ascii="Calibri" w:eastAsia="Times New Roman" w:hAnsi="Calibri" w:cs="Times New Roman"/>
                <w:b/>
                <w:bCs/>
                <w:color w:val="000000"/>
                <w:sz w:val="20"/>
                <w:szCs w:val="16"/>
                <w:lang w:eastAsia="cs-CZ"/>
              </w:rPr>
              <w:t>D-imp</w:t>
            </w:r>
          </w:p>
        </w:tc>
        <w:tc>
          <w:tcPr>
            <w:tcW w:w="992" w:type="dxa"/>
            <w:tcBorders>
              <w:top w:val="nil"/>
              <w:left w:val="nil"/>
              <w:bottom w:val="single" w:sz="4" w:space="0" w:color="auto"/>
              <w:right w:val="nil"/>
            </w:tcBorders>
            <w:shd w:val="clear" w:color="auto" w:fill="D9D9D9" w:themeFill="background1" w:themeFillShade="D9"/>
            <w:noWrap/>
            <w:vAlign w:val="center"/>
            <w:hideMark/>
          </w:tcPr>
          <w:p w:rsidR="00C84F89" w:rsidRPr="00813480" w:rsidRDefault="00C84F89" w:rsidP="00813480">
            <w:pPr>
              <w:spacing w:before="40" w:after="40"/>
              <w:ind w:left="-555" w:right="101" w:firstLine="142"/>
              <w:jc w:val="right"/>
              <w:rPr>
                <w:rFonts w:ascii="Calibri" w:eastAsia="Times New Roman" w:hAnsi="Calibri" w:cs="Times New Roman"/>
                <w:b/>
                <w:bCs/>
                <w:color w:val="000000"/>
                <w:sz w:val="20"/>
                <w:szCs w:val="16"/>
                <w:lang w:eastAsia="cs-CZ"/>
              </w:rPr>
            </w:pPr>
            <w:r w:rsidRPr="00813480">
              <w:rPr>
                <w:rFonts w:ascii="Calibri" w:eastAsia="Times New Roman" w:hAnsi="Calibri" w:cs="Times New Roman"/>
                <w:b/>
                <w:bCs/>
                <w:color w:val="000000"/>
                <w:sz w:val="20"/>
                <w:szCs w:val="16"/>
                <w:lang w:eastAsia="cs-CZ"/>
              </w:rPr>
              <w:t>J</w:t>
            </w:r>
          </w:p>
        </w:tc>
        <w:tc>
          <w:tcPr>
            <w:tcW w:w="851" w:type="dxa"/>
            <w:tcBorders>
              <w:top w:val="nil"/>
              <w:left w:val="nil"/>
              <w:bottom w:val="single" w:sz="4" w:space="0" w:color="auto"/>
              <w:right w:val="nil"/>
            </w:tcBorders>
            <w:shd w:val="clear" w:color="auto" w:fill="D9D9D9" w:themeFill="background1" w:themeFillShade="D9"/>
            <w:noWrap/>
            <w:vAlign w:val="center"/>
            <w:hideMark/>
          </w:tcPr>
          <w:p w:rsidR="00C84F89" w:rsidRPr="00813480" w:rsidRDefault="00C84F89" w:rsidP="00813480">
            <w:pPr>
              <w:spacing w:before="40" w:after="40"/>
              <w:ind w:left="-383" w:right="212"/>
              <w:jc w:val="right"/>
              <w:rPr>
                <w:rFonts w:ascii="Calibri" w:eastAsia="Times New Roman" w:hAnsi="Calibri" w:cs="Times New Roman"/>
                <w:b/>
                <w:bCs/>
                <w:color w:val="000000"/>
                <w:sz w:val="20"/>
                <w:szCs w:val="16"/>
                <w:lang w:eastAsia="cs-CZ"/>
              </w:rPr>
            </w:pPr>
            <w:r w:rsidRPr="00813480">
              <w:rPr>
                <w:rFonts w:ascii="Calibri" w:eastAsia="Times New Roman" w:hAnsi="Calibri" w:cs="Times New Roman"/>
                <w:b/>
                <w:bCs/>
                <w:color w:val="000000"/>
                <w:sz w:val="20"/>
                <w:szCs w:val="16"/>
                <w:lang w:eastAsia="cs-CZ"/>
              </w:rPr>
              <w:t>J-imp</w:t>
            </w:r>
          </w:p>
        </w:tc>
        <w:tc>
          <w:tcPr>
            <w:tcW w:w="709" w:type="dxa"/>
            <w:tcBorders>
              <w:top w:val="nil"/>
              <w:left w:val="nil"/>
              <w:bottom w:val="single" w:sz="4" w:space="0" w:color="auto"/>
              <w:right w:val="nil"/>
            </w:tcBorders>
            <w:shd w:val="clear" w:color="auto" w:fill="D9D9D9" w:themeFill="background1" w:themeFillShade="D9"/>
            <w:noWrap/>
            <w:vAlign w:val="center"/>
            <w:hideMark/>
          </w:tcPr>
          <w:p w:rsidR="00C84F89" w:rsidRPr="00813480" w:rsidRDefault="00C84F89" w:rsidP="00813480">
            <w:pPr>
              <w:spacing w:before="40" w:after="40"/>
              <w:ind w:left="-352"/>
              <w:jc w:val="right"/>
              <w:rPr>
                <w:rFonts w:ascii="Calibri" w:eastAsia="Times New Roman" w:hAnsi="Calibri" w:cs="Times New Roman"/>
                <w:b/>
                <w:bCs/>
                <w:color w:val="000000"/>
                <w:sz w:val="20"/>
                <w:szCs w:val="16"/>
                <w:lang w:eastAsia="cs-CZ"/>
              </w:rPr>
            </w:pPr>
            <w:r w:rsidRPr="00813480">
              <w:rPr>
                <w:rFonts w:ascii="Calibri" w:eastAsia="Times New Roman" w:hAnsi="Calibri" w:cs="Times New Roman"/>
                <w:b/>
                <w:bCs/>
                <w:color w:val="000000"/>
                <w:sz w:val="20"/>
                <w:szCs w:val="16"/>
                <w:lang w:eastAsia="cs-CZ"/>
              </w:rPr>
              <w:t>J-imp</w:t>
            </w:r>
          </w:p>
        </w:tc>
        <w:tc>
          <w:tcPr>
            <w:tcW w:w="916" w:type="dxa"/>
            <w:tcBorders>
              <w:top w:val="nil"/>
              <w:left w:val="nil"/>
              <w:bottom w:val="single" w:sz="4" w:space="0" w:color="auto"/>
              <w:right w:val="nil"/>
            </w:tcBorders>
            <w:shd w:val="clear" w:color="auto" w:fill="D9D9D9" w:themeFill="background1" w:themeFillShade="D9"/>
            <w:vAlign w:val="center"/>
            <w:hideMark/>
          </w:tcPr>
          <w:p w:rsidR="00C84F89" w:rsidRPr="00813480" w:rsidRDefault="00C84F89" w:rsidP="00813480">
            <w:pPr>
              <w:spacing w:before="40" w:after="40"/>
              <w:ind w:left="-287" w:right="151"/>
              <w:jc w:val="right"/>
              <w:rPr>
                <w:rFonts w:ascii="Calibri" w:eastAsia="Times New Roman" w:hAnsi="Calibri" w:cs="Times New Roman"/>
                <w:b/>
                <w:bCs/>
                <w:color w:val="000000"/>
                <w:sz w:val="20"/>
                <w:szCs w:val="16"/>
                <w:lang w:eastAsia="cs-CZ"/>
              </w:rPr>
            </w:pPr>
            <w:r w:rsidRPr="00813480">
              <w:rPr>
                <w:rFonts w:ascii="Calibri" w:eastAsia="Times New Roman" w:hAnsi="Calibri" w:cs="Times New Roman"/>
                <w:b/>
                <w:bCs/>
                <w:color w:val="000000"/>
                <w:sz w:val="20"/>
                <w:szCs w:val="16"/>
                <w:lang w:eastAsia="cs-CZ"/>
              </w:rPr>
              <w:t>D-imp</w:t>
            </w:r>
          </w:p>
        </w:tc>
      </w:tr>
      <w:tr w:rsidR="00C84F89" w:rsidRPr="00813480" w:rsidTr="00813480">
        <w:trPr>
          <w:trHeight w:val="225"/>
        </w:trPr>
        <w:tc>
          <w:tcPr>
            <w:tcW w:w="4126" w:type="dxa"/>
            <w:tcBorders>
              <w:top w:val="nil"/>
              <w:left w:val="nil"/>
              <w:bottom w:val="nil"/>
              <w:right w:val="nil"/>
            </w:tcBorders>
            <w:shd w:val="clear" w:color="auto" w:fill="F2F2F2" w:themeFill="background1" w:themeFillShade="F2"/>
            <w:vAlign w:val="center"/>
            <w:hideMark/>
          </w:tcPr>
          <w:p w:rsidR="00C84F89" w:rsidRPr="00813480" w:rsidRDefault="00C84F89" w:rsidP="00813480">
            <w:pPr>
              <w:spacing w:before="40" w:after="40"/>
              <w:jc w:val="left"/>
              <w:rPr>
                <w:rFonts w:ascii="Calibri" w:eastAsia="Times New Roman" w:hAnsi="Calibri" w:cs="Times New Roman"/>
                <w:b/>
                <w:bCs/>
                <w:color w:val="000000"/>
                <w:sz w:val="20"/>
                <w:szCs w:val="16"/>
                <w:lang w:eastAsia="cs-CZ"/>
              </w:rPr>
            </w:pPr>
            <w:r w:rsidRPr="00813480">
              <w:rPr>
                <w:rFonts w:ascii="Calibri" w:eastAsia="Times New Roman" w:hAnsi="Calibri" w:cs="Times New Roman"/>
                <w:b/>
                <w:bCs/>
                <w:color w:val="000000"/>
                <w:sz w:val="20"/>
                <w:szCs w:val="16"/>
                <w:lang w:eastAsia="cs-CZ"/>
              </w:rPr>
              <w:t xml:space="preserve">Bezpečnostní výzkum </w:t>
            </w:r>
            <w:r w:rsidR="00813480">
              <w:rPr>
                <w:rFonts w:ascii="Calibri" w:eastAsia="Times New Roman" w:hAnsi="Calibri" w:cs="Times New Roman"/>
                <w:b/>
                <w:bCs/>
                <w:color w:val="000000"/>
                <w:sz w:val="20"/>
                <w:szCs w:val="16"/>
                <w:lang w:eastAsia="cs-CZ"/>
              </w:rPr>
              <w:t>(</w:t>
            </w:r>
            <w:r w:rsidRPr="00813480">
              <w:rPr>
                <w:rFonts w:ascii="Calibri" w:eastAsia="Times New Roman" w:hAnsi="Calibri" w:cs="Times New Roman"/>
                <w:b/>
                <w:bCs/>
                <w:color w:val="000000"/>
                <w:sz w:val="20"/>
                <w:szCs w:val="16"/>
                <w:lang w:eastAsia="cs-CZ"/>
              </w:rPr>
              <w:t>celkem</w:t>
            </w:r>
            <w:r w:rsidR="00813480">
              <w:rPr>
                <w:rFonts w:ascii="Calibri" w:eastAsia="Times New Roman" w:hAnsi="Calibri" w:cs="Times New Roman"/>
                <w:b/>
                <w:bCs/>
                <w:color w:val="000000"/>
                <w:sz w:val="20"/>
                <w:szCs w:val="16"/>
                <w:lang w:eastAsia="cs-CZ"/>
              </w:rPr>
              <w:t>)</w:t>
            </w:r>
          </w:p>
        </w:tc>
        <w:tc>
          <w:tcPr>
            <w:tcW w:w="851" w:type="dxa"/>
            <w:tcBorders>
              <w:top w:val="nil"/>
              <w:left w:val="nil"/>
              <w:bottom w:val="nil"/>
              <w:right w:val="nil"/>
            </w:tcBorders>
            <w:shd w:val="clear" w:color="auto" w:fill="F2F2F2" w:themeFill="background1" w:themeFillShade="F2"/>
            <w:vAlign w:val="center"/>
            <w:hideMark/>
          </w:tcPr>
          <w:p w:rsidR="00C84F89" w:rsidRPr="00813480" w:rsidRDefault="00C84F89" w:rsidP="00813480">
            <w:pPr>
              <w:spacing w:before="40" w:after="40"/>
              <w:ind w:firstLineChars="200" w:firstLine="402"/>
              <w:jc w:val="right"/>
              <w:rPr>
                <w:rFonts w:ascii="Calibri" w:eastAsia="Times New Roman" w:hAnsi="Calibri" w:cs="Times New Roman"/>
                <w:b/>
                <w:bCs/>
                <w:color w:val="000000"/>
                <w:sz w:val="20"/>
                <w:szCs w:val="16"/>
                <w:lang w:eastAsia="cs-CZ"/>
              </w:rPr>
            </w:pPr>
            <w:r w:rsidRPr="00813480">
              <w:rPr>
                <w:rFonts w:ascii="Calibri" w:eastAsia="Times New Roman" w:hAnsi="Calibri" w:cs="Times New Roman"/>
                <w:b/>
                <w:bCs/>
                <w:color w:val="000000"/>
                <w:sz w:val="20"/>
                <w:szCs w:val="16"/>
                <w:lang w:eastAsia="cs-CZ"/>
              </w:rPr>
              <w:t>737</w:t>
            </w:r>
          </w:p>
        </w:tc>
        <w:tc>
          <w:tcPr>
            <w:tcW w:w="850" w:type="dxa"/>
            <w:tcBorders>
              <w:top w:val="nil"/>
              <w:left w:val="nil"/>
              <w:bottom w:val="nil"/>
              <w:right w:val="nil"/>
            </w:tcBorders>
            <w:shd w:val="clear" w:color="auto" w:fill="F2F2F2" w:themeFill="background1" w:themeFillShade="F2"/>
            <w:vAlign w:val="center"/>
            <w:hideMark/>
          </w:tcPr>
          <w:p w:rsidR="00C84F89" w:rsidRPr="00813480" w:rsidRDefault="00C84F89" w:rsidP="00813480">
            <w:pPr>
              <w:spacing w:before="40" w:after="40"/>
              <w:ind w:firstLineChars="200" w:firstLine="402"/>
              <w:jc w:val="right"/>
              <w:rPr>
                <w:rFonts w:ascii="Calibri" w:eastAsia="Times New Roman" w:hAnsi="Calibri" w:cs="Times New Roman"/>
                <w:b/>
                <w:bCs/>
                <w:color w:val="000000"/>
                <w:sz w:val="20"/>
                <w:szCs w:val="16"/>
                <w:lang w:eastAsia="cs-CZ"/>
              </w:rPr>
            </w:pPr>
            <w:r w:rsidRPr="00813480">
              <w:rPr>
                <w:rFonts w:ascii="Calibri" w:eastAsia="Times New Roman" w:hAnsi="Calibri" w:cs="Times New Roman"/>
                <w:b/>
                <w:bCs/>
                <w:color w:val="000000"/>
                <w:sz w:val="20"/>
                <w:szCs w:val="16"/>
                <w:lang w:eastAsia="cs-CZ"/>
              </w:rPr>
              <w:t>169</w:t>
            </w:r>
          </w:p>
        </w:tc>
        <w:tc>
          <w:tcPr>
            <w:tcW w:w="992" w:type="dxa"/>
            <w:tcBorders>
              <w:top w:val="nil"/>
              <w:left w:val="nil"/>
              <w:bottom w:val="nil"/>
              <w:right w:val="nil"/>
            </w:tcBorders>
            <w:shd w:val="clear" w:color="auto" w:fill="F2F2F2" w:themeFill="background1" w:themeFillShade="F2"/>
            <w:vAlign w:val="center"/>
            <w:hideMark/>
          </w:tcPr>
          <w:p w:rsidR="00C84F89" w:rsidRPr="00813480" w:rsidRDefault="00C84F89" w:rsidP="00813480">
            <w:pPr>
              <w:spacing w:before="40" w:after="40"/>
              <w:ind w:left="-555" w:right="101" w:firstLineChars="200" w:firstLine="402"/>
              <w:jc w:val="right"/>
              <w:rPr>
                <w:rFonts w:ascii="Calibri" w:eastAsia="Times New Roman" w:hAnsi="Calibri" w:cs="Times New Roman"/>
                <w:b/>
                <w:bCs/>
                <w:color w:val="000000"/>
                <w:sz w:val="20"/>
                <w:szCs w:val="16"/>
                <w:lang w:eastAsia="cs-CZ"/>
              </w:rPr>
            </w:pPr>
            <w:r w:rsidRPr="00813480">
              <w:rPr>
                <w:rFonts w:ascii="Calibri" w:eastAsia="Times New Roman" w:hAnsi="Calibri" w:cs="Times New Roman"/>
                <w:b/>
                <w:bCs/>
                <w:color w:val="000000"/>
                <w:sz w:val="20"/>
                <w:szCs w:val="16"/>
                <w:lang w:eastAsia="cs-CZ"/>
              </w:rPr>
              <w:t>691</w:t>
            </w:r>
          </w:p>
        </w:tc>
        <w:tc>
          <w:tcPr>
            <w:tcW w:w="851" w:type="dxa"/>
            <w:tcBorders>
              <w:top w:val="nil"/>
              <w:left w:val="nil"/>
              <w:bottom w:val="nil"/>
              <w:right w:val="nil"/>
            </w:tcBorders>
            <w:shd w:val="clear" w:color="auto" w:fill="F2F2F2" w:themeFill="background1" w:themeFillShade="F2"/>
            <w:vAlign w:val="center"/>
            <w:hideMark/>
          </w:tcPr>
          <w:p w:rsidR="00C84F89" w:rsidRPr="00813480" w:rsidRDefault="00C84F89" w:rsidP="00813480">
            <w:pPr>
              <w:spacing w:before="40" w:after="40"/>
              <w:ind w:left="-383" w:right="212" w:firstLineChars="200" w:firstLine="402"/>
              <w:jc w:val="right"/>
              <w:rPr>
                <w:rFonts w:ascii="Calibri" w:eastAsia="Times New Roman" w:hAnsi="Calibri" w:cs="Times New Roman"/>
                <w:b/>
                <w:bCs/>
                <w:color w:val="000000"/>
                <w:sz w:val="20"/>
                <w:szCs w:val="16"/>
                <w:lang w:eastAsia="cs-CZ"/>
              </w:rPr>
            </w:pPr>
            <w:r w:rsidRPr="00813480">
              <w:rPr>
                <w:rFonts w:ascii="Calibri" w:eastAsia="Times New Roman" w:hAnsi="Calibri" w:cs="Times New Roman"/>
                <w:b/>
                <w:bCs/>
                <w:color w:val="000000"/>
                <w:sz w:val="20"/>
                <w:szCs w:val="16"/>
                <w:lang w:eastAsia="cs-CZ"/>
              </w:rPr>
              <w:t>201</w:t>
            </w:r>
          </w:p>
        </w:tc>
        <w:tc>
          <w:tcPr>
            <w:tcW w:w="709" w:type="dxa"/>
            <w:tcBorders>
              <w:top w:val="nil"/>
              <w:left w:val="nil"/>
              <w:bottom w:val="nil"/>
              <w:right w:val="nil"/>
            </w:tcBorders>
            <w:shd w:val="clear" w:color="auto" w:fill="F2F2F2" w:themeFill="background1" w:themeFillShade="F2"/>
            <w:noWrap/>
            <w:vAlign w:val="center"/>
            <w:hideMark/>
          </w:tcPr>
          <w:p w:rsidR="00C84F89" w:rsidRPr="00813480" w:rsidRDefault="00C84F89" w:rsidP="00813480">
            <w:pPr>
              <w:spacing w:before="40" w:after="40"/>
              <w:ind w:left="-352" w:firstLineChars="200" w:firstLine="402"/>
              <w:jc w:val="right"/>
              <w:rPr>
                <w:rFonts w:ascii="Calibri" w:eastAsia="Times New Roman" w:hAnsi="Calibri" w:cs="Times New Roman"/>
                <w:b/>
                <w:bCs/>
                <w:color w:val="000000"/>
                <w:sz w:val="20"/>
                <w:szCs w:val="16"/>
                <w:lang w:eastAsia="cs-CZ"/>
              </w:rPr>
            </w:pPr>
            <w:r w:rsidRPr="00813480">
              <w:rPr>
                <w:rFonts w:ascii="Calibri" w:eastAsia="Times New Roman" w:hAnsi="Calibri" w:cs="Times New Roman"/>
                <w:b/>
                <w:bCs/>
                <w:color w:val="000000"/>
                <w:sz w:val="20"/>
                <w:szCs w:val="16"/>
                <w:lang w:eastAsia="cs-CZ"/>
              </w:rPr>
              <w:t>71</w:t>
            </w:r>
          </w:p>
        </w:tc>
        <w:tc>
          <w:tcPr>
            <w:tcW w:w="916" w:type="dxa"/>
            <w:tcBorders>
              <w:top w:val="nil"/>
              <w:left w:val="nil"/>
              <w:bottom w:val="nil"/>
              <w:right w:val="nil"/>
            </w:tcBorders>
            <w:shd w:val="clear" w:color="auto" w:fill="F2F2F2" w:themeFill="background1" w:themeFillShade="F2"/>
            <w:noWrap/>
            <w:vAlign w:val="center"/>
            <w:hideMark/>
          </w:tcPr>
          <w:p w:rsidR="00C84F89" w:rsidRPr="00813480" w:rsidRDefault="00C84F89" w:rsidP="00813480">
            <w:pPr>
              <w:spacing w:before="40" w:after="40"/>
              <w:ind w:left="-287" w:right="151" w:firstLineChars="200" w:firstLine="402"/>
              <w:jc w:val="right"/>
              <w:rPr>
                <w:rFonts w:ascii="Calibri" w:eastAsia="Times New Roman" w:hAnsi="Calibri" w:cs="Times New Roman"/>
                <w:b/>
                <w:bCs/>
                <w:color w:val="000000"/>
                <w:sz w:val="20"/>
                <w:szCs w:val="16"/>
                <w:lang w:eastAsia="cs-CZ"/>
              </w:rPr>
            </w:pPr>
            <w:r w:rsidRPr="00813480">
              <w:rPr>
                <w:rFonts w:ascii="Calibri" w:eastAsia="Times New Roman" w:hAnsi="Calibri" w:cs="Times New Roman"/>
                <w:b/>
                <w:bCs/>
                <w:color w:val="000000"/>
                <w:sz w:val="20"/>
                <w:szCs w:val="16"/>
                <w:lang w:eastAsia="cs-CZ"/>
              </w:rPr>
              <w:t>120</w:t>
            </w:r>
          </w:p>
        </w:tc>
      </w:tr>
      <w:tr w:rsidR="00C84F89" w:rsidRPr="00813480" w:rsidTr="00813480">
        <w:trPr>
          <w:trHeight w:val="225"/>
        </w:trPr>
        <w:tc>
          <w:tcPr>
            <w:tcW w:w="4126" w:type="dxa"/>
            <w:tcBorders>
              <w:top w:val="nil"/>
              <w:left w:val="nil"/>
              <w:bottom w:val="nil"/>
              <w:right w:val="nil"/>
            </w:tcBorders>
            <w:shd w:val="clear" w:color="auto" w:fill="auto"/>
            <w:vAlign w:val="center"/>
            <w:hideMark/>
          </w:tcPr>
          <w:p w:rsidR="00C84F89" w:rsidRPr="00813480" w:rsidRDefault="00C84F89" w:rsidP="00813480">
            <w:pPr>
              <w:spacing w:before="40" w:after="40"/>
              <w:jc w:val="left"/>
              <w:rPr>
                <w:rFonts w:ascii="Calibri" w:eastAsia="Times New Roman" w:hAnsi="Calibri" w:cs="Times New Roman"/>
                <w:color w:val="000000"/>
                <w:sz w:val="20"/>
                <w:szCs w:val="16"/>
                <w:lang w:eastAsia="cs-CZ"/>
              </w:rPr>
            </w:pPr>
            <w:r w:rsidRPr="00813480">
              <w:rPr>
                <w:rFonts w:ascii="Calibri" w:eastAsia="Times New Roman" w:hAnsi="Calibri" w:cs="Times New Roman"/>
                <w:color w:val="000000"/>
                <w:sz w:val="20"/>
                <w:szCs w:val="16"/>
                <w:lang w:eastAsia="cs-CZ"/>
              </w:rPr>
              <w:t>Společenské vědy (bez AQ)</w:t>
            </w:r>
          </w:p>
        </w:tc>
        <w:tc>
          <w:tcPr>
            <w:tcW w:w="851" w:type="dxa"/>
            <w:tcBorders>
              <w:top w:val="nil"/>
              <w:left w:val="nil"/>
              <w:bottom w:val="nil"/>
              <w:right w:val="nil"/>
            </w:tcBorders>
            <w:shd w:val="clear" w:color="auto" w:fill="auto"/>
            <w:vAlign w:val="center"/>
            <w:hideMark/>
          </w:tcPr>
          <w:p w:rsidR="00C84F89" w:rsidRPr="00813480" w:rsidRDefault="00C84F89" w:rsidP="00813480">
            <w:pPr>
              <w:spacing w:before="40" w:after="40"/>
              <w:ind w:firstLineChars="200" w:firstLine="400"/>
              <w:jc w:val="right"/>
              <w:rPr>
                <w:rFonts w:ascii="Calibri" w:eastAsia="Times New Roman" w:hAnsi="Calibri" w:cs="Times New Roman"/>
                <w:color w:val="000000"/>
                <w:sz w:val="20"/>
                <w:szCs w:val="16"/>
                <w:lang w:eastAsia="cs-CZ"/>
              </w:rPr>
            </w:pPr>
            <w:r w:rsidRPr="00813480">
              <w:rPr>
                <w:rFonts w:ascii="Calibri" w:eastAsia="Times New Roman" w:hAnsi="Calibri" w:cs="Times New Roman"/>
                <w:color w:val="000000"/>
                <w:sz w:val="20"/>
                <w:szCs w:val="16"/>
                <w:lang w:eastAsia="cs-CZ"/>
              </w:rPr>
              <w:t>71</w:t>
            </w:r>
          </w:p>
        </w:tc>
        <w:tc>
          <w:tcPr>
            <w:tcW w:w="850" w:type="dxa"/>
            <w:tcBorders>
              <w:top w:val="nil"/>
              <w:left w:val="nil"/>
              <w:bottom w:val="nil"/>
              <w:right w:val="nil"/>
            </w:tcBorders>
            <w:shd w:val="clear" w:color="auto" w:fill="auto"/>
            <w:vAlign w:val="center"/>
            <w:hideMark/>
          </w:tcPr>
          <w:p w:rsidR="00C84F89" w:rsidRPr="00813480" w:rsidRDefault="00C84F89" w:rsidP="00813480">
            <w:pPr>
              <w:spacing w:before="40" w:after="40"/>
              <w:ind w:firstLineChars="200" w:firstLine="400"/>
              <w:jc w:val="right"/>
              <w:rPr>
                <w:rFonts w:ascii="Calibri" w:eastAsia="Times New Roman" w:hAnsi="Calibri" w:cs="Times New Roman"/>
                <w:color w:val="000000"/>
                <w:sz w:val="20"/>
                <w:szCs w:val="16"/>
                <w:lang w:eastAsia="cs-CZ"/>
              </w:rPr>
            </w:pPr>
            <w:r w:rsidRPr="00813480">
              <w:rPr>
                <w:rFonts w:ascii="Calibri" w:eastAsia="Times New Roman" w:hAnsi="Calibri" w:cs="Times New Roman"/>
                <w:color w:val="000000"/>
                <w:sz w:val="20"/>
                <w:szCs w:val="16"/>
                <w:lang w:eastAsia="cs-CZ"/>
              </w:rPr>
              <w:t>16</w:t>
            </w:r>
          </w:p>
        </w:tc>
        <w:tc>
          <w:tcPr>
            <w:tcW w:w="992" w:type="dxa"/>
            <w:tcBorders>
              <w:top w:val="nil"/>
              <w:left w:val="nil"/>
              <w:bottom w:val="nil"/>
              <w:right w:val="nil"/>
            </w:tcBorders>
            <w:shd w:val="clear" w:color="auto" w:fill="auto"/>
            <w:vAlign w:val="center"/>
            <w:hideMark/>
          </w:tcPr>
          <w:p w:rsidR="00C84F89" w:rsidRPr="00813480" w:rsidRDefault="00C84F89" w:rsidP="00813480">
            <w:pPr>
              <w:spacing w:before="40" w:after="40"/>
              <w:ind w:left="-555" w:right="101" w:firstLineChars="200" w:firstLine="400"/>
              <w:jc w:val="right"/>
              <w:rPr>
                <w:rFonts w:ascii="Calibri" w:eastAsia="Times New Roman" w:hAnsi="Calibri" w:cs="Times New Roman"/>
                <w:color w:val="000000"/>
                <w:sz w:val="20"/>
                <w:szCs w:val="16"/>
                <w:lang w:eastAsia="cs-CZ"/>
              </w:rPr>
            </w:pPr>
            <w:r w:rsidRPr="00813480">
              <w:rPr>
                <w:rFonts w:ascii="Calibri" w:eastAsia="Times New Roman" w:hAnsi="Calibri" w:cs="Times New Roman"/>
                <w:color w:val="000000"/>
                <w:sz w:val="20"/>
                <w:szCs w:val="16"/>
                <w:lang w:eastAsia="cs-CZ"/>
              </w:rPr>
              <w:t>93</w:t>
            </w:r>
          </w:p>
        </w:tc>
        <w:tc>
          <w:tcPr>
            <w:tcW w:w="851" w:type="dxa"/>
            <w:tcBorders>
              <w:top w:val="nil"/>
              <w:left w:val="nil"/>
              <w:bottom w:val="nil"/>
              <w:right w:val="nil"/>
            </w:tcBorders>
            <w:shd w:val="clear" w:color="auto" w:fill="auto"/>
            <w:vAlign w:val="center"/>
            <w:hideMark/>
          </w:tcPr>
          <w:p w:rsidR="00C84F89" w:rsidRPr="00813480" w:rsidRDefault="00C84F89" w:rsidP="00813480">
            <w:pPr>
              <w:spacing w:before="40" w:after="40"/>
              <w:ind w:left="-383" w:right="212" w:firstLineChars="200" w:firstLine="400"/>
              <w:jc w:val="right"/>
              <w:rPr>
                <w:rFonts w:ascii="Calibri" w:eastAsia="Times New Roman" w:hAnsi="Calibri" w:cs="Times New Roman"/>
                <w:color w:val="000000"/>
                <w:sz w:val="20"/>
                <w:szCs w:val="16"/>
                <w:lang w:eastAsia="cs-CZ"/>
              </w:rPr>
            </w:pPr>
            <w:r w:rsidRPr="00813480">
              <w:rPr>
                <w:rFonts w:ascii="Calibri" w:eastAsia="Times New Roman" w:hAnsi="Calibri" w:cs="Times New Roman"/>
                <w:color w:val="000000"/>
                <w:sz w:val="20"/>
                <w:szCs w:val="16"/>
                <w:lang w:eastAsia="cs-CZ"/>
              </w:rPr>
              <w:t>9</w:t>
            </w:r>
          </w:p>
        </w:tc>
        <w:tc>
          <w:tcPr>
            <w:tcW w:w="709" w:type="dxa"/>
            <w:tcBorders>
              <w:top w:val="nil"/>
              <w:left w:val="nil"/>
              <w:bottom w:val="nil"/>
              <w:right w:val="nil"/>
            </w:tcBorders>
            <w:shd w:val="clear" w:color="auto" w:fill="auto"/>
            <w:noWrap/>
            <w:vAlign w:val="center"/>
            <w:hideMark/>
          </w:tcPr>
          <w:p w:rsidR="00C84F89" w:rsidRPr="00813480" w:rsidRDefault="00C84F89" w:rsidP="00813480">
            <w:pPr>
              <w:spacing w:before="40" w:after="40"/>
              <w:ind w:left="-352" w:firstLineChars="200" w:firstLine="400"/>
              <w:jc w:val="right"/>
              <w:rPr>
                <w:rFonts w:ascii="Calibri" w:eastAsia="Times New Roman" w:hAnsi="Calibri" w:cs="Times New Roman"/>
                <w:color w:val="000000"/>
                <w:sz w:val="20"/>
                <w:szCs w:val="16"/>
                <w:lang w:eastAsia="cs-CZ"/>
              </w:rPr>
            </w:pPr>
            <w:r w:rsidRPr="00813480">
              <w:rPr>
                <w:rFonts w:ascii="Calibri" w:eastAsia="Times New Roman" w:hAnsi="Calibri" w:cs="Times New Roman"/>
                <w:color w:val="000000"/>
                <w:sz w:val="20"/>
                <w:szCs w:val="16"/>
                <w:lang w:eastAsia="cs-CZ"/>
              </w:rPr>
              <w:t>74</w:t>
            </w:r>
          </w:p>
        </w:tc>
        <w:tc>
          <w:tcPr>
            <w:tcW w:w="916" w:type="dxa"/>
            <w:tcBorders>
              <w:top w:val="nil"/>
              <w:left w:val="nil"/>
              <w:bottom w:val="nil"/>
              <w:right w:val="nil"/>
            </w:tcBorders>
            <w:shd w:val="clear" w:color="auto" w:fill="auto"/>
            <w:noWrap/>
            <w:vAlign w:val="center"/>
            <w:hideMark/>
          </w:tcPr>
          <w:p w:rsidR="00C84F89" w:rsidRPr="00813480" w:rsidRDefault="00C84F89" w:rsidP="00813480">
            <w:pPr>
              <w:spacing w:before="40" w:after="40"/>
              <w:ind w:left="-287" w:right="151" w:firstLineChars="200" w:firstLine="400"/>
              <w:jc w:val="right"/>
              <w:rPr>
                <w:rFonts w:ascii="Calibri" w:eastAsia="Times New Roman" w:hAnsi="Calibri" w:cs="Times New Roman"/>
                <w:color w:val="000000"/>
                <w:sz w:val="20"/>
                <w:szCs w:val="16"/>
                <w:lang w:eastAsia="cs-CZ"/>
              </w:rPr>
            </w:pPr>
            <w:r w:rsidRPr="00813480">
              <w:rPr>
                <w:rFonts w:ascii="Calibri" w:eastAsia="Times New Roman" w:hAnsi="Calibri" w:cs="Times New Roman"/>
                <w:color w:val="000000"/>
                <w:sz w:val="20"/>
                <w:szCs w:val="16"/>
                <w:lang w:eastAsia="cs-CZ"/>
              </w:rPr>
              <w:t>123</w:t>
            </w:r>
          </w:p>
        </w:tc>
      </w:tr>
      <w:tr w:rsidR="00C84F89" w:rsidRPr="00813480" w:rsidTr="00813480">
        <w:trPr>
          <w:trHeight w:val="258"/>
        </w:trPr>
        <w:tc>
          <w:tcPr>
            <w:tcW w:w="4126" w:type="dxa"/>
            <w:tcBorders>
              <w:top w:val="nil"/>
              <w:left w:val="nil"/>
              <w:bottom w:val="nil"/>
              <w:right w:val="nil"/>
            </w:tcBorders>
            <w:shd w:val="clear" w:color="auto" w:fill="auto"/>
            <w:vAlign w:val="center"/>
            <w:hideMark/>
          </w:tcPr>
          <w:p w:rsidR="00C84F89" w:rsidRPr="00813480" w:rsidRDefault="00C84F89" w:rsidP="00813480">
            <w:pPr>
              <w:spacing w:before="40" w:after="40"/>
              <w:jc w:val="left"/>
              <w:rPr>
                <w:rFonts w:ascii="Calibri" w:eastAsia="Times New Roman" w:hAnsi="Calibri" w:cs="Times New Roman"/>
                <w:color w:val="000000"/>
                <w:sz w:val="20"/>
                <w:szCs w:val="16"/>
                <w:lang w:eastAsia="cs-CZ"/>
              </w:rPr>
            </w:pPr>
            <w:r w:rsidRPr="00813480">
              <w:rPr>
                <w:rFonts w:ascii="Calibri" w:eastAsia="Times New Roman" w:hAnsi="Calibri" w:cs="Times New Roman"/>
                <w:color w:val="000000"/>
                <w:sz w:val="20"/>
                <w:szCs w:val="16"/>
                <w:lang w:eastAsia="cs-CZ"/>
              </w:rPr>
              <w:t>Bezpečnost a ochrana zdraví, člověk – stroj (AQ)</w:t>
            </w:r>
          </w:p>
        </w:tc>
        <w:tc>
          <w:tcPr>
            <w:tcW w:w="851" w:type="dxa"/>
            <w:tcBorders>
              <w:top w:val="nil"/>
              <w:left w:val="nil"/>
              <w:bottom w:val="nil"/>
              <w:right w:val="nil"/>
            </w:tcBorders>
            <w:shd w:val="clear" w:color="auto" w:fill="auto"/>
            <w:vAlign w:val="center"/>
            <w:hideMark/>
          </w:tcPr>
          <w:p w:rsidR="00C84F89" w:rsidRPr="00813480" w:rsidRDefault="00C84F89" w:rsidP="00813480">
            <w:pPr>
              <w:spacing w:before="40" w:after="40"/>
              <w:ind w:firstLineChars="200" w:firstLine="400"/>
              <w:jc w:val="right"/>
              <w:rPr>
                <w:rFonts w:ascii="Calibri" w:eastAsia="Times New Roman" w:hAnsi="Calibri" w:cs="Times New Roman"/>
                <w:color w:val="000000"/>
                <w:sz w:val="20"/>
                <w:szCs w:val="16"/>
                <w:lang w:eastAsia="cs-CZ"/>
              </w:rPr>
            </w:pPr>
            <w:r w:rsidRPr="00813480">
              <w:rPr>
                <w:rFonts w:ascii="Calibri" w:eastAsia="Times New Roman" w:hAnsi="Calibri" w:cs="Times New Roman"/>
                <w:color w:val="000000"/>
                <w:sz w:val="20"/>
                <w:szCs w:val="16"/>
                <w:lang w:eastAsia="cs-CZ"/>
              </w:rPr>
              <w:t>98</w:t>
            </w:r>
          </w:p>
        </w:tc>
        <w:tc>
          <w:tcPr>
            <w:tcW w:w="850" w:type="dxa"/>
            <w:tcBorders>
              <w:top w:val="nil"/>
              <w:left w:val="nil"/>
              <w:bottom w:val="nil"/>
              <w:right w:val="nil"/>
            </w:tcBorders>
            <w:shd w:val="clear" w:color="auto" w:fill="auto"/>
            <w:vAlign w:val="center"/>
            <w:hideMark/>
          </w:tcPr>
          <w:p w:rsidR="00C84F89" w:rsidRPr="00813480" w:rsidRDefault="00C84F89" w:rsidP="00813480">
            <w:pPr>
              <w:spacing w:before="40" w:after="40"/>
              <w:ind w:firstLineChars="200" w:firstLine="400"/>
              <w:jc w:val="right"/>
              <w:rPr>
                <w:rFonts w:ascii="Calibri" w:eastAsia="Times New Roman" w:hAnsi="Calibri" w:cs="Times New Roman"/>
                <w:color w:val="000000"/>
                <w:sz w:val="20"/>
                <w:szCs w:val="16"/>
                <w:lang w:eastAsia="cs-CZ"/>
              </w:rPr>
            </w:pPr>
            <w:r w:rsidRPr="00813480">
              <w:rPr>
                <w:rFonts w:ascii="Calibri" w:eastAsia="Times New Roman" w:hAnsi="Calibri" w:cs="Times New Roman"/>
                <w:color w:val="000000"/>
                <w:sz w:val="20"/>
                <w:szCs w:val="16"/>
                <w:lang w:eastAsia="cs-CZ"/>
              </w:rPr>
              <w:t>9</w:t>
            </w:r>
          </w:p>
        </w:tc>
        <w:tc>
          <w:tcPr>
            <w:tcW w:w="992" w:type="dxa"/>
            <w:tcBorders>
              <w:top w:val="nil"/>
              <w:left w:val="nil"/>
              <w:bottom w:val="nil"/>
              <w:right w:val="nil"/>
            </w:tcBorders>
            <w:shd w:val="clear" w:color="auto" w:fill="auto"/>
            <w:vAlign w:val="center"/>
            <w:hideMark/>
          </w:tcPr>
          <w:p w:rsidR="00C84F89" w:rsidRPr="00813480" w:rsidRDefault="00C84F89" w:rsidP="00813480">
            <w:pPr>
              <w:spacing w:before="40" w:after="40"/>
              <w:ind w:left="-555" w:right="101" w:firstLineChars="200" w:firstLine="400"/>
              <w:jc w:val="right"/>
              <w:rPr>
                <w:rFonts w:ascii="Calibri" w:eastAsia="Times New Roman" w:hAnsi="Calibri" w:cs="Times New Roman"/>
                <w:color w:val="000000"/>
                <w:sz w:val="20"/>
                <w:szCs w:val="16"/>
                <w:lang w:eastAsia="cs-CZ"/>
              </w:rPr>
            </w:pPr>
            <w:r w:rsidRPr="00813480">
              <w:rPr>
                <w:rFonts w:ascii="Calibri" w:eastAsia="Times New Roman" w:hAnsi="Calibri" w:cs="Times New Roman"/>
                <w:color w:val="000000"/>
                <w:sz w:val="20"/>
                <w:szCs w:val="16"/>
                <w:lang w:eastAsia="cs-CZ"/>
              </w:rPr>
              <w:t>106</w:t>
            </w:r>
          </w:p>
        </w:tc>
        <w:tc>
          <w:tcPr>
            <w:tcW w:w="851" w:type="dxa"/>
            <w:tcBorders>
              <w:top w:val="nil"/>
              <w:left w:val="nil"/>
              <w:bottom w:val="nil"/>
              <w:right w:val="nil"/>
            </w:tcBorders>
            <w:shd w:val="clear" w:color="auto" w:fill="auto"/>
            <w:vAlign w:val="center"/>
            <w:hideMark/>
          </w:tcPr>
          <w:p w:rsidR="00C84F89" w:rsidRPr="00813480" w:rsidRDefault="00C84F89" w:rsidP="00813480">
            <w:pPr>
              <w:spacing w:before="40" w:after="40"/>
              <w:ind w:left="-383" w:right="212" w:firstLineChars="200" w:firstLine="400"/>
              <w:jc w:val="right"/>
              <w:rPr>
                <w:rFonts w:ascii="Calibri" w:eastAsia="Times New Roman" w:hAnsi="Calibri" w:cs="Times New Roman"/>
                <w:color w:val="000000"/>
                <w:sz w:val="20"/>
                <w:szCs w:val="16"/>
                <w:lang w:eastAsia="cs-CZ"/>
              </w:rPr>
            </w:pPr>
            <w:r w:rsidRPr="00813480">
              <w:rPr>
                <w:rFonts w:ascii="Calibri" w:eastAsia="Times New Roman" w:hAnsi="Calibri" w:cs="Times New Roman"/>
                <w:color w:val="000000"/>
                <w:sz w:val="20"/>
                <w:szCs w:val="16"/>
                <w:lang w:eastAsia="cs-CZ"/>
              </w:rPr>
              <w:t>16</w:t>
            </w:r>
          </w:p>
        </w:tc>
        <w:tc>
          <w:tcPr>
            <w:tcW w:w="709" w:type="dxa"/>
            <w:tcBorders>
              <w:top w:val="nil"/>
              <w:left w:val="nil"/>
              <w:bottom w:val="nil"/>
              <w:right w:val="nil"/>
            </w:tcBorders>
            <w:shd w:val="clear" w:color="auto" w:fill="auto"/>
            <w:noWrap/>
            <w:vAlign w:val="center"/>
            <w:hideMark/>
          </w:tcPr>
          <w:p w:rsidR="00C84F89" w:rsidRPr="00813480" w:rsidRDefault="00C84F89" w:rsidP="00813480">
            <w:pPr>
              <w:spacing w:before="40" w:after="40"/>
              <w:ind w:left="-352" w:firstLineChars="200" w:firstLine="400"/>
              <w:jc w:val="right"/>
              <w:rPr>
                <w:rFonts w:ascii="Calibri" w:eastAsia="Times New Roman" w:hAnsi="Calibri" w:cs="Times New Roman"/>
                <w:color w:val="000000"/>
                <w:sz w:val="20"/>
                <w:szCs w:val="16"/>
                <w:lang w:eastAsia="cs-CZ"/>
              </w:rPr>
            </w:pPr>
            <w:r w:rsidRPr="00813480">
              <w:rPr>
                <w:rFonts w:ascii="Calibri" w:eastAsia="Times New Roman" w:hAnsi="Calibri" w:cs="Times New Roman"/>
                <w:color w:val="000000"/>
                <w:sz w:val="20"/>
                <w:szCs w:val="16"/>
                <w:lang w:eastAsia="cs-CZ"/>
              </w:rPr>
              <w:t>125</w:t>
            </w:r>
          </w:p>
        </w:tc>
        <w:tc>
          <w:tcPr>
            <w:tcW w:w="916" w:type="dxa"/>
            <w:tcBorders>
              <w:top w:val="nil"/>
              <w:left w:val="nil"/>
              <w:bottom w:val="nil"/>
              <w:right w:val="nil"/>
            </w:tcBorders>
            <w:shd w:val="clear" w:color="auto" w:fill="auto"/>
            <w:noWrap/>
            <w:vAlign w:val="center"/>
            <w:hideMark/>
          </w:tcPr>
          <w:p w:rsidR="00C84F89" w:rsidRPr="00813480" w:rsidRDefault="00C84F89" w:rsidP="00813480">
            <w:pPr>
              <w:spacing w:before="40" w:after="40"/>
              <w:ind w:left="-287" w:right="151" w:firstLineChars="200" w:firstLine="400"/>
              <w:jc w:val="right"/>
              <w:rPr>
                <w:rFonts w:ascii="Calibri" w:eastAsia="Times New Roman" w:hAnsi="Calibri" w:cs="Times New Roman"/>
                <w:color w:val="000000"/>
                <w:sz w:val="20"/>
                <w:szCs w:val="16"/>
                <w:lang w:eastAsia="cs-CZ"/>
              </w:rPr>
            </w:pPr>
            <w:r w:rsidRPr="00813480">
              <w:rPr>
                <w:rFonts w:ascii="Calibri" w:eastAsia="Times New Roman" w:hAnsi="Calibri" w:cs="Times New Roman"/>
                <w:color w:val="000000"/>
                <w:sz w:val="20"/>
                <w:szCs w:val="16"/>
                <w:lang w:eastAsia="cs-CZ"/>
              </w:rPr>
              <w:t>143</w:t>
            </w:r>
          </w:p>
        </w:tc>
      </w:tr>
      <w:tr w:rsidR="00C84F89" w:rsidRPr="00813480" w:rsidTr="00813480">
        <w:trPr>
          <w:trHeight w:val="225"/>
        </w:trPr>
        <w:tc>
          <w:tcPr>
            <w:tcW w:w="4126" w:type="dxa"/>
            <w:tcBorders>
              <w:top w:val="nil"/>
              <w:left w:val="nil"/>
              <w:bottom w:val="nil"/>
              <w:right w:val="nil"/>
            </w:tcBorders>
            <w:shd w:val="clear" w:color="auto" w:fill="auto"/>
            <w:vAlign w:val="center"/>
            <w:hideMark/>
          </w:tcPr>
          <w:p w:rsidR="00C84F89" w:rsidRPr="00813480" w:rsidRDefault="00C84F89" w:rsidP="00813480">
            <w:pPr>
              <w:spacing w:before="40" w:after="40"/>
              <w:jc w:val="left"/>
              <w:rPr>
                <w:rFonts w:ascii="Calibri" w:eastAsia="Times New Roman" w:hAnsi="Calibri" w:cs="Times New Roman"/>
                <w:color w:val="000000"/>
                <w:sz w:val="20"/>
                <w:szCs w:val="16"/>
                <w:lang w:eastAsia="cs-CZ"/>
              </w:rPr>
            </w:pPr>
            <w:r w:rsidRPr="00813480">
              <w:rPr>
                <w:rFonts w:ascii="Calibri" w:eastAsia="Times New Roman" w:hAnsi="Calibri" w:cs="Times New Roman"/>
                <w:color w:val="000000"/>
                <w:sz w:val="20"/>
                <w:szCs w:val="16"/>
                <w:lang w:eastAsia="cs-CZ"/>
              </w:rPr>
              <w:t>Fyzika a matematika</w:t>
            </w:r>
          </w:p>
        </w:tc>
        <w:tc>
          <w:tcPr>
            <w:tcW w:w="851" w:type="dxa"/>
            <w:tcBorders>
              <w:top w:val="nil"/>
              <w:left w:val="nil"/>
              <w:bottom w:val="nil"/>
              <w:right w:val="nil"/>
            </w:tcBorders>
            <w:shd w:val="clear" w:color="auto" w:fill="auto"/>
            <w:vAlign w:val="center"/>
            <w:hideMark/>
          </w:tcPr>
          <w:p w:rsidR="00C84F89" w:rsidRPr="00813480" w:rsidRDefault="00C84F89" w:rsidP="00813480">
            <w:pPr>
              <w:spacing w:before="40" w:after="40"/>
              <w:ind w:firstLineChars="200" w:firstLine="400"/>
              <w:jc w:val="right"/>
              <w:rPr>
                <w:rFonts w:ascii="Calibri" w:eastAsia="Times New Roman" w:hAnsi="Calibri" w:cs="Times New Roman"/>
                <w:color w:val="000000"/>
                <w:sz w:val="20"/>
                <w:szCs w:val="16"/>
                <w:lang w:eastAsia="cs-CZ"/>
              </w:rPr>
            </w:pPr>
            <w:r w:rsidRPr="00813480">
              <w:rPr>
                <w:rFonts w:ascii="Calibri" w:eastAsia="Times New Roman" w:hAnsi="Calibri" w:cs="Times New Roman"/>
                <w:color w:val="000000"/>
                <w:sz w:val="20"/>
                <w:szCs w:val="16"/>
                <w:lang w:eastAsia="cs-CZ"/>
              </w:rPr>
              <w:t>22</w:t>
            </w:r>
          </w:p>
        </w:tc>
        <w:tc>
          <w:tcPr>
            <w:tcW w:w="850" w:type="dxa"/>
            <w:tcBorders>
              <w:top w:val="nil"/>
              <w:left w:val="nil"/>
              <w:bottom w:val="nil"/>
              <w:right w:val="nil"/>
            </w:tcBorders>
            <w:shd w:val="clear" w:color="auto" w:fill="auto"/>
            <w:vAlign w:val="center"/>
            <w:hideMark/>
          </w:tcPr>
          <w:p w:rsidR="00C84F89" w:rsidRPr="00813480" w:rsidRDefault="00C84F89" w:rsidP="00813480">
            <w:pPr>
              <w:spacing w:before="40" w:after="40"/>
              <w:ind w:firstLineChars="200" w:firstLine="400"/>
              <w:jc w:val="right"/>
              <w:rPr>
                <w:rFonts w:ascii="Calibri" w:eastAsia="Times New Roman" w:hAnsi="Calibri" w:cs="Times New Roman"/>
                <w:color w:val="000000"/>
                <w:sz w:val="20"/>
                <w:szCs w:val="16"/>
                <w:lang w:eastAsia="cs-CZ"/>
              </w:rPr>
            </w:pPr>
            <w:r w:rsidRPr="00813480">
              <w:rPr>
                <w:rFonts w:ascii="Calibri" w:eastAsia="Times New Roman" w:hAnsi="Calibri" w:cs="Times New Roman"/>
                <w:color w:val="000000"/>
                <w:sz w:val="20"/>
                <w:szCs w:val="16"/>
                <w:lang w:eastAsia="cs-CZ"/>
              </w:rPr>
              <w:t>7</w:t>
            </w:r>
          </w:p>
        </w:tc>
        <w:tc>
          <w:tcPr>
            <w:tcW w:w="992" w:type="dxa"/>
            <w:tcBorders>
              <w:top w:val="nil"/>
              <w:left w:val="nil"/>
              <w:bottom w:val="nil"/>
              <w:right w:val="nil"/>
            </w:tcBorders>
            <w:shd w:val="clear" w:color="auto" w:fill="auto"/>
            <w:vAlign w:val="center"/>
            <w:hideMark/>
          </w:tcPr>
          <w:p w:rsidR="00C84F89" w:rsidRPr="00813480" w:rsidRDefault="00C84F89" w:rsidP="00813480">
            <w:pPr>
              <w:spacing w:before="40" w:after="40"/>
              <w:ind w:left="-555" w:right="101" w:firstLineChars="200" w:firstLine="400"/>
              <w:jc w:val="right"/>
              <w:rPr>
                <w:rFonts w:ascii="Calibri" w:eastAsia="Times New Roman" w:hAnsi="Calibri" w:cs="Times New Roman"/>
                <w:color w:val="000000"/>
                <w:sz w:val="20"/>
                <w:szCs w:val="16"/>
                <w:lang w:eastAsia="cs-CZ"/>
              </w:rPr>
            </w:pPr>
            <w:r w:rsidRPr="00813480">
              <w:rPr>
                <w:rFonts w:ascii="Calibri" w:eastAsia="Times New Roman" w:hAnsi="Calibri" w:cs="Times New Roman"/>
                <w:color w:val="000000"/>
                <w:sz w:val="20"/>
                <w:szCs w:val="16"/>
                <w:lang w:eastAsia="cs-CZ"/>
              </w:rPr>
              <w:t>22</w:t>
            </w:r>
          </w:p>
        </w:tc>
        <w:tc>
          <w:tcPr>
            <w:tcW w:w="851" w:type="dxa"/>
            <w:tcBorders>
              <w:top w:val="nil"/>
              <w:left w:val="nil"/>
              <w:bottom w:val="nil"/>
              <w:right w:val="nil"/>
            </w:tcBorders>
            <w:shd w:val="clear" w:color="auto" w:fill="auto"/>
            <w:vAlign w:val="center"/>
            <w:hideMark/>
          </w:tcPr>
          <w:p w:rsidR="00C84F89" w:rsidRPr="00813480" w:rsidRDefault="00C84F89" w:rsidP="00813480">
            <w:pPr>
              <w:spacing w:before="40" w:after="40"/>
              <w:ind w:left="-383" w:right="212" w:firstLineChars="200" w:firstLine="400"/>
              <w:jc w:val="right"/>
              <w:rPr>
                <w:rFonts w:ascii="Calibri" w:eastAsia="Times New Roman" w:hAnsi="Calibri" w:cs="Times New Roman"/>
                <w:color w:val="000000"/>
                <w:sz w:val="20"/>
                <w:szCs w:val="16"/>
                <w:lang w:eastAsia="cs-CZ"/>
              </w:rPr>
            </w:pPr>
            <w:r w:rsidRPr="00813480">
              <w:rPr>
                <w:rFonts w:ascii="Calibri" w:eastAsia="Times New Roman" w:hAnsi="Calibri" w:cs="Times New Roman"/>
                <w:color w:val="000000"/>
                <w:sz w:val="20"/>
                <w:szCs w:val="16"/>
                <w:lang w:eastAsia="cs-CZ"/>
              </w:rPr>
              <w:t>8</w:t>
            </w:r>
          </w:p>
        </w:tc>
        <w:tc>
          <w:tcPr>
            <w:tcW w:w="709" w:type="dxa"/>
            <w:tcBorders>
              <w:top w:val="nil"/>
              <w:left w:val="nil"/>
              <w:bottom w:val="nil"/>
              <w:right w:val="nil"/>
            </w:tcBorders>
            <w:shd w:val="clear" w:color="auto" w:fill="auto"/>
            <w:noWrap/>
            <w:vAlign w:val="center"/>
            <w:hideMark/>
          </w:tcPr>
          <w:p w:rsidR="00C84F89" w:rsidRPr="00813480" w:rsidRDefault="00C84F89" w:rsidP="00813480">
            <w:pPr>
              <w:spacing w:before="40" w:after="40"/>
              <w:ind w:left="-352" w:firstLineChars="200" w:firstLine="400"/>
              <w:jc w:val="right"/>
              <w:rPr>
                <w:rFonts w:ascii="Calibri" w:eastAsia="Times New Roman" w:hAnsi="Calibri" w:cs="Times New Roman"/>
                <w:color w:val="000000"/>
                <w:sz w:val="20"/>
                <w:szCs w:val="16"/>
                <w:lang w:eastAsia="cs-CZ"/>
              </w:rPr>
            </w:pPr>
            <w:r w:rsidRPr="00813480">
              <w:rPr>
                <w:rFonts w:ascii="Calibri" w:eastAsia="Times New Roman" w:hAnsi="Calibri" w:cs="Times New Roman"/>
                <w:color w:val="000000"/>
                <w:sz w:val="20"/>
                <w:szCs w:val="16"/>
                <w:lang w:eastAsia="cs-CZ"/>
              </w:rPr>
              <w:t>45</w:t>
            </w:r>
          </w:p>
        </w:tc>
        <w:tc>
          <w:tcPr>
            <w:tcW w:w="916" w:type="dxa"/>
            <w:tcBorders>
              <w:top w:val="nil"/>
              <w:left w:val="nil"/>
              <w:bottom w:val="nil"/>
              <w:right w:val="nil"/>
            </w:tcBorders>
            <w:shd w:val="clear" w:color="auto" w:fill="auto"/>
            <w:noWrap/>
            <w:vAlign w:val="center"/>
            <w:hideMark/>
          </w:tcPr>
          <w:p w:rsidR="00C84F89" w:rsidRPr="00813480" w:rsidRDefault="00C84F89" w:rsidP="00813480">
            <w:pPr>
              <w:spacing w:before="40" w:after="40"/>
              <w:ind w:left="-287" w:right="151" w:firstLineChars="200" w:firstLine="400"/>
              <w:jc w:val="right"/>
              <w:rPr>
                <w:rFonts w:ascii="Calibri" w:eastAsia="Times New Roman" w:hAnsi="Calibri" w:cs="Times New Roman"/>
                <w:color w:val="000000"/>
                <w:sz w:val="20"/>
                <w:szCs w:val="16"/>
                <w:lang w:eastAsia="cs-CZ"/>
              </w:rPr>
            </w:pPr>
            <w:r w:rsidRPr="00813480">
              <w:rPr>
                <w:rFonts w:ascii="Calibri" w:eastAsia="Times New Roman" w:hAnsi="Calibri" w:cs="Times New Roman"/>
                <w:color w:val="000000"/>
                <w:sz w:val="20"/>
                <w:szCs w:val="16"/>
                <w:lang w:eastAsia="cs-CZ"/>
              </w:rPr>
              <w:t>114</w:t>
            </w:r>
          </w:p>
        </w:tc>
      </w:tr>
      <w:tr w:rsidR="00C84F89" w:rsidRPr="00813480" w:rsidTr="00813480">
        <w:trPr>
          <w:trHeight w:val="225"/>
        </w:trPr>
        <w:tc>
          <w:tcPr>
            <w:tcW w:w="4126" w:type="dxa"/>
            <w:tcBorders>
              <w:top w:val="nil"/>
              <w:left w:val="nil"/>
              <w:bottom w:val="nil"/>
              <w:right w:val="nil"/>
            </w:tcBorders>
            <w:shd w:val="clear" w:color="auto" w:fill="auto"/>
            <w:vAlign w:val="center"/>
            <w:hideMark/>
          </w:tcPr>
          <w:p w:rsidR="00C84F89" w:rsidRPr="00813480" w:rsidRDefault="00C84F89" w:rsidP="00813480">
            <w:pPr>
              <w:spacing w:before="40" w:after="40"/>
              <w:jc w:val="left"/>
              <w:rPr>
                <w:rFonts w:ascii="Calibri" w:eastAsia="Times New Roman" w:hAnsi="Calibri" w:cs="Times New Roman"/>
                <w:color w:val="000000"/>
                <w:sz w:val="20"/>
                <w:szCs w:val="16"/>
                <w:lang w:eastAsia="cs-CZ"/>
              </w:rPr>
            </w:pPr>
            <w:r w:rsidRPr="00813480">
              <w:rPr>
                <w:rFonts w:ascii="Calibri" w:eastAsia="Times New Roman" w:hAnsi="Calibri" w:cs="Times New Roman"/>
                <w:color w:val="000000"/>
                <w:sz w:val="20"/>
                <w:szCs w:val="16"/>
                <w:lang w:eastAsia="cs-CZ"/>
              </w:rPr>
              <w:t>Chemie</w:t>
            </w:r>
          </w:p>
        </w:tc>
        <w:tc>
          <w:tcPr>
            <w:tcW w:w="851" w:type="dxa"/>
            <w:tcBorders>
              <w:top w:val="nil"/>
              <w:left w:val="nil"/>
              <w:bottom w:val="nil"/>
              <w:right w:val="nil"/>
            </w:tcBorders>
            <w:shd w:val="clear" w:color="auto" w:fill="auto"/>
            <w:vAlign w:val="center"/>
            <w:hideMark/>
          </w:tcPr>
          <w:p w:rsidR="00C84F89" w:rsidRPr="00813480" w:rsidRDefault="00C84F89" w:rsidP="00813480">
            <w:pPr>
              <w:spacing w:before="40" w:after="40"/>
              <w:ind w:firstLineChars="200" w:firstLine="400"/>
              <w:jc w:val="right"/>
              <w:rPr>
                <w:rFonts w:ascii="Calibri" w:eastAsia="Times New Roman" w:hAnsi="Calibri" w:cs="Times New Roman"/>
                <w:color w:val="000000"/>
                <w:sz w:val="20"/>
                <w:szCs w:val="16"/>
                <w:lang w:eastAsia="cs-CZ"/>
              </w:rPr>
            </w:pPr>
            <w:r w:rsidRPr="00813480">
              <w:rPr>
                <w:rFonts w:ascii="Calibri" w:eastAsia="Times New Roman" w:hAnsi="Calibri" w:cs="Times New Roman"/>
                <w:color w:val="000000"/>
                <w:sz w:val="20"/>
                <w:szCs w:val="16"/>
                <w:lang w:eastAsia="cs-CZ"/>
              </w:rPr>
              <w:t>54</w:t>
            </w:r>
          </w:p>
        </w:tc>
        <w:tc>
          <w:tcPr>
            <w:tcW w:w="850" w:type="dxa"/>
            <w:tcBorders>
              <w:top w:val="nil"/>
              <w:left w:val="nil"/>
              <w:bottom w:val="nil"/>
              <w:right w:val="nil"/>
            </w:tcBorders>
            <w:shd w:val="clear" w:color="auto" w:fill="auto"/>
            <w:vAlign w:val="center"/>
            <w:hideMark/>
          </w:tcPr>
          <w:p w:rsidR="00C84F89" w:rsidRPr="00813480" w:rsidRDefault="00C84F89" w:rsidP="00813480">
            <w:pPr>
              <w:spacing w:before="40" w:after="40"/>
              <w:ind w:firstLineChars="200" w:firstLine="400"/>
              <w:jc w:val="right"/>
              <w:rPr>
                <w:rFonts w:ascii="Calibri" w:eastAsia="Times New Roman" w:hAnsi="Calibri" w:cs="Times New Roman"/>
                <w:color w:val="000000"/>
                <w:sz w:val="20"/>
                <w:szCs w:val="16"/>
                <w:lang w:eastAsia="cs-CZ"/>
              </w:rPr>
            </w:pPr>
            <w:r w:rsidRPr="00813480">
              <w:rPr>
                <w:rFonts w:ascii="Calibri" w:eastAsia="Times New Roman" w:hAnsi="Calibri" w:cs="Times New Roman"/>
                <w:color w:val="000000"/>
                <w:sz w:val="20"/>
                <w:szCs w:val="16"/>
                <w:lang w:eastAsia="cs-CZ"/>
              </w:rPr>
              <w:t>16</w:t>
            </w:r>
          </w:p>
        </w:tc>
        <w:tc>
          <w:tcPr>
            <w:tcW w:w="992" w:type="dxa"/>
            <w:tcBorders>
              <w:top w:val="nil"/>
              <w:left w:val="nil"/>
              <w:bottom w:val="nil"/>
              <w:right w:val="nil"/>
            </w:tcBorders>
            <w:shd w:val="clear" w:color="auto" w:fill="auto"/>
            <w:vAlign w:val="center"/>
            <w:hideMark/>
          </w:tcPr>
          <w:p w:rsidR="00C84F89" w:rsidRPr="00813480" w:rsidRDefault="00C84F89" w:rsidP="00813480">
            <w:pPr>
              <w:spacing w:before="40" w:after="40"/>
              <w:ind w:left="-555" w:right="101" w:firstLineChars="200" w:firstLine="400"/>
              <w:jc w:val="right"/>
              <w:rPr>
                <w:rFonts w:ascii="Calibri" w:eastAsia="Times New Roman" w:hAnsi="Calibri" w:cs="Times New Roman"/>
                <w:color w:val="000000"/>
                <w:sz w:val="20"/>
                <w:szCs w:val="16"/>
                <w:lang w:eastAsia="cs-CZ"/>
              </w:rPr>
            </w:pPr>
            <w:r w:rsidRPr="00813480">
              <w:rPr>
                <w:rFonts w:ascii="Calibri" w:eastAsia="Times New Roman" w:hAnsi="Calibri" w:cs="Times New Roman"/>
                <w:color w:val="000000"/>
                <w:sz w:val="20"/>
                <w:szCs w:val="16"/>
                <w:lang w:eastAsia="cs-CZ"/>
              </w:rPr>
              <w:t>91</w:t>
            </w:r>
          </w:p>
        </w:tc>
        <w:tc>
          <w:tcPr>
            <w:tcW w:w="851" w:type="dxa"/>
            <w:tcBorders>
              <w:top w:val="nil"/>
              <w:left w:val="nil"/>
              <w:bottom w:val="nil"/>
              <w:right w:val="nil"/>
            </w:tcBorders>
            <w:shd w:val="clear" w:color="auto" w:fill="auto"/>
            <w:vAlign w:val="center"/>
            <w:hideMark/>
          </w:tcPr>
          <w:p w:rsidR="00C84F89" w:rsidRPr="00813480" w:rsidRDefault="00C84F89" w:rsidP="00813480">
            <w:pPr>
              <w:spacing w:before="40" w:after="40"/>
              <w:ind w:left="-383" w:right="212" w:firstLineChars="200" w:firstLine="400"/>
              <w:jc w:val="right"/>
              <w:rPr>
                <w:rFonts w:ascii="Calibri" w:eastAsia="Times New Roman" w:hAnsi="Calibri" w:cs="Times New Roman"/>
                <w:color w:val="000000"/>
                <w:sz w:val="20"/>
                <w:szCs w:val="16"/>
                <w:lang w:eastAsia="cs-CZ"/>
              </w:rPr>
            </w:pPr>
            <w:r w:rsidRPr="00813480">
              <w:rPr>
                <w:rFonts w:ascii="Calibri" w:eastAsia="Times New Roman" w:hAnsi="Calibri" w:cs="Times New Roman"/>
                <w:color w:val="000000"/>
                <w:sz w:val="20"/>
                <w:szCs w:val="16"/>
                <w:lang w:eastAsia="cs-CZ"/>
              </w:rPr>
              <w:t>55</w:t>
            </w:r>
          </w:p>
        </w:tc>
        <w:tc>
          <w:tcPr>
            <w:tcW w:w="709" w:type="dxa"/>
            <w:tcBorders>
              <w:top w:val="nil"/>
              <w:left w:val="nil"/>
              <w:bottom w:val="nil"/>
              <w:right w:val="nil"/>
            </w:tcBorders>
            <w:shd w:val="clear" w:color="auto" w:fill="auto"/>
            <w:noWrap/>
            <w:vAlign w:val="center"/>
            <w:hideMark/>
          </w:tcPr>
          <w:p w:rsidR="00C84F89" w:rsidRPr="00813480" w:rsidRDefault="00C84F89" w:rsidP="00813480">
            <w:pPr>
              <w:spacing w:before="40" w:after="40"/>
              <w:ind w:left="-352" w:firstLineChars="200" w:firstLine="400"/>
              <w:jc w:val="right"/>
              <w:rPr>
                <w:rFonts w:ascii="Calibri" w:eastAsia="Times New Roman" w:hAnsi="Calibri" w:cs="Times New Roman"/>
                <w:color w:val="000000"/>
                <w:sz w:val="20"/>
                <w:szCs w:val="16"/>
                <w:lang w:eastAsia="cs-CZ"/>
              </w:rPr>
            </w:pPr>
            <w:r w:rsidRPr="00813480">
              <w:rPr>
                <w:rFonts w:ascii="Calibri" w:eastAsia="Times New Roman" w:hAnsi="Calibri" w:cs="Times New Roman"/>
                <w:color w:val="000000"/>
                <w:sz w:val="20"/>
                <w:szCs w:val="16"/>
                <w:lang w:eastAsia="cs-CZ"/>
              </w:rPr>
              <w:t>68</w:t>
            </w:r>
          </w:p>
        </w:tc>
        <w:tc>
          <w:tcPr>
            <w:tcW w:w="916" w:type="dxa"/>
            <w:tcBorders>
              <w:top w:val="nil"/>
              <w:left w:val="nil"/>
              <w:bottom w:val="nil"/>
              <w:right w:val="nil"/>
            </w:tcBorders>
            <w:shd w:val="clear" w:color="auto" w:fill="auto"/>
            <w:noWrap/>
            <w:vAlign w:val="center"/>
            <w:hideMark/>
          </w:tcPr>
          <w:p w:rsidR="00C84F89" w:rsidRPr="00813480" w:rsidRDefault="00C84F89" w:rsidP="00813480">
            <w:pPr>
              <w:spacing w:before="40" w:after="40"/>
              <w:ind w:left="-287" w:right="151" w:firstLineChars="200" w:firstLine="400"/>
              <w:jc w:val="right"/>
              <w:rPr>
                <w:rFonts w:ascii="Calibri" w:eastAsia="Times New Roman" w:hAnsi="Calibri" w:cs="Times New Roman"/>
                <w:color w:val="000000"/>
                <w:sz w:val="20"/>
                <w:szCs w:val="16"/>
                <w:lang w:eastAsia="cs-CZ"/>
              </w:rPr>
            </w:pPr>
            <w:r w:rsidRPr="00813480">
              <w:rPr>
                <w:rFonts w:ascii="Calibri" w:eastAsia="Times New Roman" w:hAnsi="Calibri" w:cs="Times New Roman"/>
                <w:color w:val="000000"/>
                <w:sz w:val="20"/>
                <w:szCs w:val="16"/>
                <w:lang w:eastAsia="cs-CZ"/>
              </w:rPr>
              <w:t>182</w:t>
            </w:r>
          </w:p>
        </w:tc>
      </w:tr>
      <w:tr w:rsidR="00C84F89" w:rsidRPr="00813480" w:rsidTr="00813480">
        <w:trPr>
          <w:trHeight w:val="225"/>
        </w:trPr>
        <w:tc>
          <w:tcPr>
            <w:tcW w:w="4126" w:type="dxa"/>
            <w:tcBorders>
              <w:top w:val="nil"/>
              <w:left w:val="nil"/>
              <w:bottom w:val="nil"/>
              <w:right w:val="nil"/>
            </w:tcBorders>
            <w:shd w:val="clear" w:color="auto" w:fill="auto"/>
            <w:vAlign w:val="center"/>
            <w:hideMark/>
          </w:tcPr>
          <w:p w:rsidR="00C84F89" w:rsidRPr="00813480" w:rsidRDefault="00C84F89" w:rsidP="00813480">
            <w:pPr>
              <w:spacing w:before="40" w:after="40"/>
              <w:jc w:val="left"/>
              <w:rPr>
                <w:rFonts w:ascii="Calibri" w:eastAsia="Times New Roman" w:hAnsi="Calibri" w:cs="Times New Roman"/>
                <w:color w:val="000000"/>
                <w:sz w:val="20"/>
                <w:szCs w:val="16"/>
                <w:lang w:eastAsia="cs-CZ"/>
              </w:rPr>
            </w:pPr>
            <w:r w:rsidRPr="00813480">
              <w:rPr>
                <w:rFonts w:ascii="Calibri" w:eastAsia="Times New Roman" w:hAnsi="Calibri" w:cs="Times New Roman"/>
                <w:color w:val="000000"/>
                <w:sz w:val="20"/>
                <w:szCs w:val="16"/>
                <w:lang w:eastAsia="cs-CZ"/>
              </w:rPr>
              <w:t>Vědy o zemi</w:t>
            </w:r>
          </w:p>
        </w:tc>
        <w:tc>
          <w:tcPr>
            <w:tcW w:w="851" w:type="dxa"/>
            <w:tcBorders>
              <w:top w:val="nil"/>
              <w:left w:val="nil"/>
              <w:bottom w:val="nil"/>
              <w:right w:val="nil"/>
            </w:tcBorders>
            <w:shd w:val="clear" w:color="auto" w:fill="auto"/>
            <w:vAlign w:val="center"/>
            <w:hideMark/>
          </w:tcPr>
          <w:p w:rsidR="00C84F89" w:rsidRPr="00813480" w:rsidRDefault="00C84F89" w:rsidP="00813480">
            <w:pPr>
              <w:spacing w:before="40" w:after="40"/>
              <w:jc w:val="right"/>
              <w:rPr>
                <w:rFonts w:ascii="Calibri" w:eastAsia="Times New Roman" w:hAnsi="Calibri" w:cs="Times New Roman"/>
                <w:color w:val="000000"/>
                <w:sz w:val="20"/>
                <w:szCs w:val="16"/>
                <w:lang w:eastAsia="cs-CZ"/>
              </w:rPr>
            </w:pPr>
            <w:r w:rsidRPr="00813480">
              <w:rPr>
                <w:rFonts w:ascii="Calibri" w:eastAsia="Times New Roman" w:hAnsi="Calibri" w:cs="Times New Roman"/>
                <w:color w:val="000000"/>
                <w:sz w:val="20"/>
                <w:szCs w:val="16"/>
                <w:lang w:eastAsia="cs-CZ"/>
              </w:rPr>
              <w:t>49</w:t>
            </w:r>
          </w:p>
        </w:tc>
        <w:tc>
          <w:tcPr>
            <w:tcW w:w="850" w:type="dxa"/>
            <w:tcBorders>
              <w:top w:val="nil"/>
              <w:left w:val="nil"/>
              <w:bottom w:val="nil"/>
              <w:right w:val="nil"/>
            </w:tcBorders>
            <w:shd w:val="clear" w:color="auto" w:fill="auto"/>
            <w:vAlign w:val="center"/>
            <w:hideMark/>
          </w:tcPr>
          <w:p w:rsidR="00C84F89" w:rsidRPr="00813480" w:rsidRDefault="00C84F89" w:rsidP="00813480">
            <w:pPr>
              <w:spacing w:before="40" w:after="40"/>
              <w:ind w:firstLineChars="200" w:firstLine="400"/>
              <w:jc w:val="right"/>
              <w:rPr>
                <w:rFonts w:ascii="Calibri" w:eastAsia="Times New Roman" w:hAnsi="Calibri" w:cs="Times New Roman"/>
                <w:color w:val="000000"/>
                <w:sz w:val="20"/>
                <w:szCs w:val="16"/>
                <w:lang w:eastAsia="cs-CZ"/>
              </w:rPr>
            </w:pPr>
            <w:r w:rsidRPr="00813480">
              <w:rPr>
                <w:rFonts w:ascii="Calibri" w:eastAsia="Times New Roman" w:hAnsi="Calibri" w:cs="Times New Roman"/>
                <w:color w:val="000000"/>
                <w:sz w:val="20"/>
                <w:szCs w:val="16"/>
                <w:lang w:eastAsia="cs-CZ"/>
              </w:rPr>
              <w:t>3</w:t>
            </w:r>
          </w:p>
        </w:tc>
        <w:tc>
          <w:tcPr>
            <w:tcW w:w="992" w:type="dxa"/>
            <w:tcBorders>
              <w:top w:val="nil"/>
              <w:left w:val="nil"/>
              <w:bottom w:val="nil"/>
              <w:right w:val="nil"/>
            </w:tcBorders>
            <w:shd w:val="clear" w:color="auto" w:fill="auto"/>
            <w:vAlign w:val="center"/>
            <w:hideMark/>
          </w:tcPr>
          <w:p w:rsidR="00C84F89" w:rsidRPr="00813480" w:rsidRDefault="00C84F89" w:rsidP="00813480">
            <w:pPr>
              <w:spacing w:before="40" w:after="40"/>
              <w:ind w:left="-555" w:right="101" w:firstLineChars="200" w:firstLine="400"/>
              <w:jc w:val="right"/>
              <w:rPr>
                <w:rFonts w:ascii="Calibri" w:eastAsia="Times New Roman" w:hAnsi="Calibri" w:cs="Times New Roman"/>
                <w:color w:val="000000"/>
                <w:sz w:val="20"/>
                <w:szCs w:val="16"/>
                <w:lang w:eastAsia="cs-CZ"/>
              </w:rPr>
            </w:pPr>
            <w:r w:rsidRPr="00813480">
              <w:rPr>
                <w:rFonts w:ascii="Calibri" w:eastAsia="Times New Roman" w:hAnsi="Calibri" w:cs="Times New Roman"/>
                <w:color w:val="000000"/>
                <w:sz w:val="20"/>
                <w:szCs w:val="16"/>
                <w:lang w:eastAsia="cs-CZ"/>
              </w:rPr>
              <w:t>57</w:t>
            </w:r>
          </w:p>
        </w:tc>
        <w:tc>
          <w:tcPr>
            <w:tcW w:w="851" w:type="dxa"/>
            <w:tcBorders>
              <w:top w:val="nil"/>
              <w:left w:val="nil"/>
              <w:bottom w:val="nil"/>
              <w:right w:val="nil"/>
            </w:tcBorders>
            <w:shd w:val="clear" w:color="auto" w:fill="auto"/>
            <w:vAlign w:val="center"/>
            <w:hideMark/>
          </w:tcPr>
          <w:p w:rsidR="00C84F89" w:rsidRPr="00813480" w:rsidRDefault="00C84F89" w:rsidP="00813480">
            <w:pPr>
              <w:spacing w:before="40" w:after="40"/>
              <w:ind w:left="-383" w:right="212" w:firstLineChars="200" w:firstLine="400"/>
              <w:jc w:val="right"/>
              <w:rPr>
                <w:rFonts w:ascii="Calibri" w:eastAsia="Times New Roman" w:hAnsi="Calibri" w:cs="Times New Roman"/>
                <w:color w:val="000000"/>
                <w:sz w:val="20"/>
                <w:szCs w:val="16"/>
                <w:lang w:eastAsia="cs-CZ"/>
              </w:rPr>
            </w:pPr>
            <w:r w:rsidRPr="00813480">
              <w:rPr>
                <w:rFonts w:ascii="Calibri" w:eastAsia="Times New Roman" w:hAnsi="Calibri" w:cs="Times New Roman"/>
                <w:color w:val="000000"/>
                <w:sz w:val="20"/>
                <w:szCs w:val="16"/>
                <w:lang w:eastAsia="cs-CZ"/>
              </w:rPr>
              <w:t>29</w:t>
            </w:r>
          </w:p>
        </w:tc>
        <w:tc>
          <w:tcPr>
            <w:tcW w:w="709" w:type="dxa"/>
            <w:tcBorders>
              <w:top w:val="nil"/>
              <w:left w:val="nil"/>
              <w:bottom w:val="nil"/>
              <w:right w:val="nil"/>
            </w:tcBorders>
            <w:shd w:val="clear" w:color="auto" w:fill="auto"/>
            <w:noWrap/>
            <w:vAlign w:val="center"/>
            <w:hideMark/>
          </w:tcPr>
          <w:p w:rsidR="00C84F89" w:rsidRPr="00813480" w:rsidRDefault="00C84F89" w:rsidP="00813480">
            <w:pPr>
              <w:spacing w:before="40" w:after="40"/>
              <w:ind w:left="-352" w:firstLineChars="200" w:firstLine="400"/>
              <w:jc w:val="right"/>
              <w:rPr>
                <w:rFonts w:ascii="Calibri" w:eastAsia="Times New Roman" w:hAnsi="Calibri" w:cs="Times New Roman"/>
                <w:color w:val="000000"/>
                <w:sz w:val="20"/>
                <w:szCs w:val="16"/>
                <w:lang w:eastAsia="cs-CZ"/>
              </w:rPr>
            </w:pPr>
            <w:r w:rsidRPr="00813480">
              <w:rPr>
                <w:rFonts w:ascii="Calibri" w:eastAsia="Times New Roman" w:hAnsi="Calibri" w:cs="Times New Roman"/>
                <w:color w:val="000000"/>
                <w:sz w:val="20"/>
                <w:szCs w:val="16"/>
                <w:lang w:eastAsia="cs-CZ"/>
              </w:rPr>
              <w:t>102</w:t>
            </w:r>
          </w:p>
        </w:tc>
        <w:tc>
          <w:tcPr>
            <w:tcW w:w="916" w:type="dxa"/>
            <w:tcBorders>
              <w:top w:val="nil"/>
              <w:left w:val="nil"/>
              <w:bottom w:val="nil"/>
              <w:right w:val="nil"/>
            </w:tcBorders>
            <w:shd w:val="clear" w:color="auto" w:fill="auto"/>
            <w:noWrap/>
            <w:vAlign w:val="center"/>
            <w:hideMark/>
          </w:tcPr>
          <w:p w:rsidR="00C84F89" w:rsidRPr="00813480" w:rsidRDefault="00C84F89" w:rsidP="00813480">
            <w:pPr>
              <w:spacing w:before="40" w:after="40"/>
              <w:ind w:left="-287" w:right="151" w:firstLineChars="200" w:firstLine="400"/>
              <w:jc w:val="right"/>
              <w:rPr>
                <w:rFonts w:ascii="Calibri" w:eastAsia="Times New Roman" w:hAnsi="Calibri" w:cs="Times New Roman"/>
                <w:color w:val="000000"/>
                <w:sz w:val="20"/>
                <w:szCs w:val="16"/>
                <w:lang w:eastAsia="cs-CZ"/>
              </w:rPr>
            </w:pPr>
            <w:r w:rsidRPr="00813480">
              <w:rPr>
                <w:rFonts w:ascii="Calibri" w:eastAsia="Times New Roman" w:hAnsi="Calibri" w:cs="Times New Roman"/>
                <w:color w:val="000000"/>
                <w:sz w:val="20"/>
                <w:szCs w:val="16"/>
                <w:lang w:eastAsia="cs-CZ"/>
              </w:rPr>
              <w:t>54</w:t>
            </w:r>
          </w:p>
        </w:tc>
      </w:tr>
      <w:tr w:rsidR="00C84F89" w:rsidRPr="00813480" w:rsidTr="00813480">
        <w:trPr>
          <w:trHeight w:val="225"/>
        </w:trPr>
        <w:tc>
          <w:tcPr>
            <w:tcW w:w="4126" w:type="dxa"/>
            <w:tcBorders>
              <w:top w:val="nil"/>
              <w:left w:val="nil"/>
              <w:bottom w:val="nil"/>
              <w:right w:val="nil"/>
            </w:tcBorders>
            <w:shd w:val="clear" w:color="auto" w:fill="auto"/>
            <w:vAlign w:val="center"/>
            <w:hideMark/>
          </w:tcPr>
          <w:p w:rsidR="00C84F89" w:rsidRPr="00813480" w:rsidRDefault="00C84F89" w:rsidP="00813480">
            <w:pPr>
              <w:spacing w:before="40" w:after="40"/>
              <w:jc w:val="left"/>
              <w:rPr>
                <w:rFonts w:ascii="Calibri" w:eastAsia="Times New Roman" w:hAnsi="Calibri" w:cs="Times New Roman"/>
                <w:color w:val="000000"/>
                <w:sz w:val="20"/>
                <w:szCs w:val="16"/>
                <w:lang w:eastAsia="cs-CZ"/>
              </w:rPr>
            </w:pPr>
            <w:r w:rsidRPr="00813480">
              <w:rPr>
                <w:rFonts w:ascii="Calibri" w:eastAsia="Times New Roman" w:hAnsi="Calibri" w:cs="Times New Roman"/>
                <w:color w:val="000000"/>
                <w:sz w:val="20"/>
                <w:szCs w:val="16"/>
                <w:lang w:eastAsia="cs-CZ"/>
              </w:rPr>
              <w:t>Biovědy</w:t>
            </w:r>
          </w:p>
        </w:tc>
        <w:tc>
          <w:tcPr>
            <w:tcW w:w="851" w:type="dxa"/>
            <w:tcBorders>
              <w:top w:val="nil"/>
              <w:left w:val="nil"/>
              <w:bottom w:val="nil"/>
              <w:right w:val="nil"/>
            </w:tcBorders>
            <w:shd w:val="clear" w:color="auto" w:fill="auto"/>
            <w:vAlign w:val="center"/>
            <w:hideMark/>
          </w:tcPr>
          <w:p w:rsidR="00C84F89" w:rsidRPr="00813480" w:rsidRDefault="00C84F89" w:rsidP="00813480">
            <w:pPr>
              <w:spacing w:before="40" w:after="40"/>
              <w:ind w:firstLineChars="200" w:firstLine="400"/>
              <w:jc w:val="right"/>
              <w:rPr>
                <w:rFonts w:ascii="Calibri" w:eastAsia="Times New Roman" w:hAnsi="Calibri" w:cs="Times New Roman"/>
                <w:color w:val="000000"/>
                <w:sz w:val="20"/>
                <w:szCs w:val="16"/>
                <w:lang w:eastAsia="cs-CZ"/>
              </w:rPr>
            </w:pPr>
            <w:r w:rsidRPr="00813480">
              <w:rPr>
                <w:rFonts w:ascii="Calibri" w:eastAsia="Times New Roman" w:hAnsi="Calibri" w:cs="Times New Roman"/>
                <w:color w:val="000000"/>
                <w:sz w:val="20"/>
                <w:szCs w:val="16"/>
                <w:lang w:eastAsia="cs-CZ"/>
              </w:rPr>
              <w:t>14</w:t>
            </w:r>
          </w:p>
        </w:tc>
        <w:tc>
          <w:tcPr>
            <w:tcW w:w="850" w:type="dxa"/>
            <w:tcBorders>
              <w:top w:val="nil"/>
              <w:left w:val="nil"/>
              <w:bottom w:val="nil"/>
              <w:right w:val="nil"/>
            </w:tcBorders>
            <w:shd w:val="clear" w:color="auto" w:fill="auto"/>
            <w:vAlign w:val="center"/>
            <w:hideMark/>
          </w:tcPr>
          <w:p w:rsidR="00C84F89" w:rsidRPr="00813480" w:rsidRDefault="00C84F89" w:rsidP="00813480">
            <w:pPr>
              <w:spacing w:before="40" w:after="40"/>
              <w:ind w:firstLineChars="200" w:firstLine="400"/>
              <w:jc w:val="right"/>
              <w:rPr>
                <w:rFonts w:ascii="Calibri" w:eastAsia="Times New Roman" w:hAnsi="Calibri" w:cs="Times New Roman"/>
                <w:color w:val="000000"/>
                <w:sz w:val="20"/>
                <w:szCs w:val="16"/>
                <w:lang w:eastAsia="cs-CZ"/>
              </w:rPr>
            </w:pPr>
            <w:r w:rsidRPr="00813480">
              <w:rPr>
                <w:rFonts w:ascii="Calibri" w:eastAsia="Times New Roman" w:hAnsi="Calibri" w:cs="Times New Roman"/>
                <w:color w:val="000000"/>
                <w:sz w:val="20"/>
                <w:szCs w:val="16"/>
                <w:lang w:eastAsia="cs-CZ"/>
              </w:rPr>
              <w:t>3</w:t>
            </w:r>
          </w:p>
        </w:tc>
        <w:tc>
          <w:tcPr>
            <w:tcW w:w="992" w:type="dxa"/>
            <w:tcBorders>
              <w:top w:val="nil"/>
              <w:left w:val="nil"/>
              <w:bottom w:val="nil"/>
              <w:right w:val="nil"/>
            </w:tcBorders>
            <w:shd w:val="clear" w:color="auto" w:fill="auto"/>
            <w:vAlign w:val="center"/>
            <w:hideMark/>
          </w:tcPr>
          <w:p w:rsidR="00C84F89" w:rsidRPr="00813480" w:rsidRDefault="00C84F89" w:rsidP="00813480">
            <w:pPr>
              <w:spacing w:before="40" w:after="40"/>
              <w:ind w:left="-555" w:right="101" w:firstLineChars="200" w:firstLine="400"/>
              <w:jc w:val="right"/>
              <w:rPr>
                <w:rFonts w:ascii="Calibri" w:eastAsia="Times New Roman" w:hAnsi="Calibri" w:cs="Times New Roman"/>
                <w:color w:val="000000"/>
                <w:sz w:val="20"/>
                <w:szCs w:val="16"/>
                <w:lang w:eastAsia="cs-CZ"/>
              </w:rPr>
            </w:pPr>
            <w:r w:rsidRPr="00813480">
              <w:rPr>
                <w:rFonts w:ascii="Calibri" w:eastAsia="Times New Roman" w:hAnsi="Calibri" w:cs="Times New Roman"/>
                <w:color w:val="000000"/>
                <w:sz w:val="20"/>
                <w:szCs w:val="16"/>
                <w:lang w:eastAsia="cs-CZ"/>
              </w:rPr>
              <w:t>25</w:t>
            </w:r>
          </w:p>
        </w:tc>
        <w:tc>
          <w:tcPr>
            <w:tcW w:w="851" w:type="dxa"/>
            <w:tcBorders>
              <w:top w:val="nil"/>
              <w:left w:val="nil"/>
              <w:bottom w:val="nil"/>
              <w:right w:val="nil"/>
            </w:tcBorders>
            <w:shd w:val="clear" w:color="auto" w:fill="auto"/>
            <w:vAlign w:val="center"/>
            <w:hideMark/>
          </w:tcPr>
          <w:p w:rsidR="00C84F89" w:rsidRPr="00813480" w:rsidRDefault="00C84F89" w:rsidP="00813480">
            <w:pPr>
              <w:spacing w:before="40" w:after="40"/>
              <w:ind w:left="-383" w:right="212" w:firstLineChars="200" w:firstLine="400"/>
              <w:jc w:val="right"/>
              <w:rPr>
                <w:rFonts w:ascii="Calibri" w:eastAsia="Times New Roman" w:hAnsi="Calibri" w:cs="Times New Roman"/>
                <w:color w:val="000000"/>
                <w:sz w:val="20"/>
                <w:szCs w:val="16"/>
                <w:lang w:eastAsia="cs-CZ"/>
              </w:rPr>
            </w:pPr>
            <w:r w:rsidRPr="00813480">
              <w:rPr>
                <w:rFonts w:ascii="Calibri" w:eastAsia="Times New Roman" w:hAnsi="Calibri" w:cs="Times New Roman"/>
                <w:color w:val="000000"/>
                <w:sz w:val="20"/>
                <w:szCs w:val="16"/>
                <w:lang w:eastAsia="cs-CZ"/>
              </w:rPr>
              <w:t>13</w:t>
            </w:r>
          </w:p>
        </w:tc>
        <w:tc>
          <w:tcPr>
            <w:tcW w:w="709" w:type="dxa"/>
            <w:tcBorders>
              <w:top w:val="nil"/>
              <w:left w:val="nil"/>
              <w:bottom w:val="nil"/>
              <w:right w:val="nil"/>
            </w:tcBorders>
            <w:shd w:val="clear" w:color="auto" w:fill="auto"/>
            <w:noWrap/>
            <w:vAlign w:val="center"/>
            <w:hideMark/>
          </w:tcPr>
          <w:p w:rsidR="00C84F89" w:rsidRPr="00813480" w:rsidRDefault="00C84F89" w:rsidP="00813480">
            <w:pPr>
              <w:spacing w:before="40" w:after="40"/>
              <w:ind w:left="-352" w:firstLineChars="200" w:firstLine="400"/>
              <w:jc w:val="right"/>
              <w:rPr>
                <w:rFonts w:ascii="Calibri" w:eastAsia="Times New Roman" w:hAnsi="Calibri" w:cs="Times New Roman"/>
                <w:color w:val="000000"/>
                <w:sz w:val="20"/>
                <w:szCs w:val="16"/>
                <w:lang w:eastAsia="cs-CZ"/>
              </w:rPr>
            </w:pPr>
            <w:r w:rsidRPr="00813480">
              <w:rPr>
                <w:rFonts w:ascii="Calibri" w:eastAsia="Times New Roman" w:hAnsi="Calibri" w:cs="Times New Roman"/>
                <w:color w:val="000000"/>
                <w:sz w:val="20"/>
                <w:szCs w:val="16"/>
                <w:lang w:eastAsia="cs-CZ"/>
              </w:rPr>
              <w:t>68</w:t>
            </w:r>
          </w:p>
        </w:tc>
        <w:tc>
          <w:tcPr>
            <w:tcW w:w="916" w:type="dxa"/>
            <w:tcBorders>
              <w:top w:val="nil"/>
              <w:left w:val="nil"/>
              <w:bottom w:val="nil"/>
              <w:right w:val="nil"/>
            </w:tcBorders>
            <w:shd w:val="clear" w:color="auto" w:fill="auto"/>
            <w:noWrap/>
            <w:vAlign w:val="center"/>
            <w:hideMark/>
          </w:tcPr>
          <w:p w:rsidR="00C84F89" w:rsidRPr="00813480" w:rsidRDefault="00C84F89" w:rsidP="00813480">
            <w:pPr>
              <w:spacing w:before="40" w:after="40"/>
              <w:ind w:left="-287" w:right="151" w:firstLineChars="200" w:firstLine="400"/>
              <w:jc w:val="right"/>
              <w:rPr>
                <w:rFonts w:ascii="Calibri" w:eastAsia="Times New Roman" w:hAnsi="Calibri" w:cs="Times New Roman"/>
                <w:color w:val="000000"/>
                <w:sz w:val="20"/>
                <w:szCs w:val="16"/>
                <w:lang w:eastAsia="cs-CZ"/>
              </w:rPr>
            </w:pPr>
            <w:r w:rsidRPr="00813480">
              <w:rPr>
                <w:rFonts w:ascii="Calibri" w:eastAsia="Times New Roman" w:hAnsi="Calibri" w:cs="Times New Roman"/>
                <w:color w:val="000000"/>
                <w:sz w:val="20"/>
                <w:szCs w:val="16"/>
                <w:lang w:eastAsia="cs-CZ"/>
              </w:rPr>
              <w:t>194</w:t>
            </w:r>
          </w:p>
        </w:tc>
      </w:tr>
      <w:tr w:rsidR="00C84F89" w:rsidRPr="00813480" w:rsidTr="00813480">
        <w:trPr>
          <w:trHeight w:val="225"/>
        </w:trPr>
        <w:tc>
          <w:tcPr>
            <w:tcW w:w="4126" w:type="dxa"/>
            <w:tcBorders>
              <w:top w:val="nil"/>
              <w:left w:val="nil"/>
              <w:bottom w:val="nil"/>
              <w:right w:val="nil"/>
            </w:tcBorders>
            <w:shd w:val="clear" w:color="auto" w:fill="auto"/>
            <w:vAlign w:val="center"/>
            <w:hideMark/>
          </w:tcPr>
          <w:p w:rsidR="00C84F89" w:rsidRPr="00813480" w:rsidRDefault="00C84F89" w:rsidP="00813480">
            <w:pPr>
              <w:spacing w:before="40" w:after="40"/>
              <w:jc w:val="left"/>
              <w:rPr>
                <w:rFonts w:ascii="Calibri" w:eastAsia="Times New Roman" w:hAnsi="Calibri" w:cs="Times New Roman"/>
                <w:color w:val="000000"/>
                <w:sz w:val="20"/>
                <w:szCs w:val="16"/>
                <w:lang w:eastAsia="cs-CZ"/>
              </w:rPr>
            </w:pPr>
            <w:r w:rsidRPr="00813480">
              <w:rPr>
                <w:rFonts w:ascii="Calibri" w:eastAsia="Times New Roman" w:hAnsi="Calibri" w:cs="Times New Roman"/>
                <w:color w:val="000000"/>
                <w:sz w:val="20"/>
                <w:szCs w:val="16"/>
                <w:lang w:eastAsia="cs-CZ"/>
              </w:rPr>
              <w:t>Lékařské vědy</w:t>
            </w:r>
          </w:p>
        </w:tc>
        <w:tc>
          <w:tcPr>
            <w:tcW w:w="851" w:type="dxa"/>
            <w:tcBorders>
              <w:top w:val="nil"/>
              <w:left w:val="nil"/>
              <w:bottom w:val="nil"/>
              <w:right w:val="nil"/>
            </w:tcBorders>
            <w:shd w:val="clear" w:color="auto" w:fill="auto"/>
            <w:vAlign w:val="center"/>
            <w:hideMark/>
          </w:tcPr>
          <w:p w:rsidR="00C84F89" w:rsidRPr="00813480" w:rsidRDefault="00C84F89" w:rsidP="00813480">
            <w:pPr>
              <w:spacing w:before="40" w:after="40"/>
              <w:ind w:firstLineChars="200" w:firstLine="400"/>
              <w:jc w:val="right"/>
              <w:rPr>
                <w:rFonts w:ascii="Calibri" w:eastAsia="Times New Roman" w:hAnsi="Calibri" w:cs="Times New Roman"/>
                <w:color w:val="000000"/>
                <w:sz w:val="20"/>
                <w:szCs w:val="16"/>
                <w:lang w:eastAsia="cs-CZ"/>
              </w:rPr>
            </w:pPr>
            <w:r w:rsidRPr="00813480">
              <w:rPr>
                <w:rFonts w:ascii="Calibri" w:eastAsia="Times New Roman" w:hAnsi="Calibri" w:cs="Times New Roman"/>
                <w:color w:val="000000"/>
                <w:sz w:val="20"/>
                <w:szCs w:val="16"/>
                <w:lang w:eastAsia="cs-CZ"/>
              </w:rPr>
              <w:t>6</w:t>
            </w:r>
          </w:p>
        </w:tc>
        <w:tc>
          <w:tcPr>
            <w:tcW w:w="850" w:type="dxa"/>
            <w:tcBorders>
              <w:top w:val="nil"/>
              <w:left w:val="nil"/>
              <w:bottom w:val="nil"/>
              <w:right w:val="nil"/>
            </w:tcBorders>
            <w:shd w:val="clear" w:color="auto" w:fill="auto"/>
            <w:vAlign w:val="center"/>
            <w:hideMark/>
          </w:tcPr>
          <w:p w:rsidR="00C84F89" w:rsidRPr="00813480" w:rsidRDefault="00C84F89" w:rsidP="00813480">
            <w:pPr>
              <w:spacing w:before="40" w:after="40"/>
              <w:ind w:firstLineChars="200" w:firstLine="400"/>
              <w:jc w:val="right"/>
              <w:rPr>
                <w:rFonts w:ascii="Calibri" w:eastAsia="Times New Roman" w:hAnsi="Calibri" w:cs="Times New Roman"/>
                <w:color w:val="000000"/>
                <w:sz w:val="20"/>
                <w:szCs w:val="16"/>
                <w:lang w:eastAsia="cs-CZ"/>
              </w:rPr>
            </w:pPr>
            <w:r w:rsidRPr="00813480">
              <w:rPr>
                <w:rFonts w:ascii="Calibri" w:eastAsia="Times New Roman" w:hAnsi="Calibri" w:cs="Times New Roman"/>
                <w:color w:val="000000"/>
                <w:sz w:val="20"/>
                <w:szCs w:val="16"/>
                <w:lang w:eastAsia="cs-CZ"/>
              </w:rPr>
              <w:t>3</w:t>
            </w:r>
          </w:p>
        </w:tc>
        <w:tc>
          <w:tcPr>
            <w:tcW w:w="992" w:type="dxa"/>
            <w:tcBorders>
              <w:top w:val="nil"/>
              <w:left w:val="nil"/>
              <w:bottom w:val="nil"/>
              <w:right w:val="nil"/>
            </w:tcBorders>
            <w:shd w:val="clear" w:color="auto" w:fill="auto"/>
            <w:vAlign w:val="center"/>
            <w:hideMark/>
          </w:tcPr>
          <w:p w:rsidR="00C84F89" w:rsidRPr="00813480" w:rsidRDefault="00C84F89" w:rsidP="00813480">
            <w:pPr>
              <w:spacing w:before="40" w:after="40"/>
              <w:ind w:left="-555" w:right="101" w:firstLineChars="200" w:firstLine="400"/>
              <w:jc w:val="right"/>
              <w:rPr>
                <w:rFonts w:ascii="Calibri" w:eastAsia="Times New Roman" w:hAnsi="Calibri" w:cs="Times New Roman"/>
                <w:color w:val="000000"/>
                <w:sz w:val="20"/>
                <w:szCs w:val="16"/>
                <w:lang w:eastAsia="cs-CZ"/>
              </w:rPr>
            </w:pPr>
            <w:r w:rsidRPr="00813480">
              <w:rPr>
                <w:rFonts w:ascii="Calibri" w:eastAsia="Times New Roman" w:hAnsi="Calibri" w:cs="Times New Roman"/>
                <w:color w:val="000000"/>
                <w:sz w:val="20"/>
                <w:szCs w:val="16"/>
                <w:lang w:eastAsia="cs-CZ"/>
              </w:rPr>
              <w:t>30</w:t>
            </w:r>
          </w:p>
        </w:tc>
        <w:tc>
          <w:tcPr>
            <w:tcW w:w="851" w:type="dxa"/>
            <w:tcBorders>
              <w:top w:val="nil"/>
              <w:left w:val="nil"/>
              <w:bottom w:val="nil"/>
              <w:right w:val="nil"/>
            </w:tcBorders>
            <w:shd w:val="clear" w:color="auto" w:fill="auto"/>
            <w:vAlign w:val="center"/>
            <w:hideMark/>
          </w:tcPr>
          <w:p w:rsidR="00C84F89" w:rsidRPr="00813480" w:rsidRDefault="00C84F89" w:rsidP="00813480">
            <w:pPr>
              <w:spacing w:before="40" w:after="40"/>
              <w:ind w:left="-383" w:right="212" w:firstLineChars="200" w:firstLine="400"/>
              <w:jc w:val="right"/>
              <w:rPr>
                <w:rFonts w:ascii="Calibri" w:eastAsia="Times New Roman" w:hAnsi="Calibri" w:cs="Times New Roman"/>
                <w:color w:val="000000"/>
                <w:sz w:val="20"/>
                <w:szCs w:val="16"/>
                <w:lang w:eastAsia="cs-CZ"/>
              </w:rPr>
            </w:pPr>
            <w:r w:rsidRPr="00813480">
              <w:rPr>
                <w:rFonts w:ascii="Calibri" w:eastAsia="Times New Roman" w:hAnsi="Calibri" w:cs="Times New Roman"/>
                <w:color w:val="000000"/>
                <w:sz w:val="20"/>
                <w:szCs w:val="16"/>
                <w:lang w:eastAsia="cs-CZ"/>
              </w:rPr>
              <w:t>14</w:t>
            </w:r>
          </w:p>
        </w:tc>
        <w:tc>
          <w:tcPr>
            <w:tcW w:w="709" w:type="dxa"/>
            <w:tcBorders>
              <w:top w:val="nil"/>
              <w:left w:val="nil"/>
              <w:bottom w:val="nil"/>
              <w:right w:val="nil"/>
            </w:tcBorders>
            <w:shd w:val="clear" w:color="auto" w:fill="auto"/>
            <w:noWrap/>
            <w:vAlign w:val="center"/>
            <w:hideMark/>
          </w:tcPr>
          <w:p w:rsidR="00C84F89" w:rsidRPr="00813480" w:rsidRDefault="00C84F89" w:rsidP="00813480">
            <w:pPr>
              <w:spacing w:before="40" w:after="40"/>
              <w:ind w:left="-352" w:firstLineChars="200" w:firstLine="400"/>
              <w:jc w:val="right"/>
              <w:rPr>
                <w:rFonts w:ascii="Calibri" w:eastAsia="Times New Roman" w:hAnsi="Calibri" w:cs="Times New Roman"/>
                <w:color w:val="000000"/>
                <w:sz w:val="20"/>
                <w:szCs w:val="16"/>
                <w:lang w:eastAsia="cs-CZ"/>
              </w:rPr>
            </w:pPr>
            <w:r w:rsidRPr="00813480">
              <w:rPr>
                <w:rFonts w:ascii="Calibri" w:eastAsia="Times New Roman" w:hAnsi="Calibri" w:cs="Times New Roman"/>
                <w:color w:val="000000"/>
                <w:sz w:val="20"/>
                <w:szCs w:val="16"/>
                <w:lang w:eastAsia="cs-CZ"/>
              </w:rPr>
              <w:t>110</w:t>
            </w:r>
          </w:p>
        </w:tc>
        <w:tc>
          <w:tcPr>
            <w:tcW w:w="916" w:type="dxa"/>
            <w:tcBorders>
              <w:top w:val="nil"/>
              <w:left w:val="nil"/>
              <w:bottom w:val="nil"/>
              <w:right w:val="nil"/>
            </w:tcBorders>
            <w:shd w:val="clear" w:color="auto" w:fill="auto"/>
            <w:noWrap/>
            <w:vAlign w:val="center"/>
            <w:hideMark/>
          </w:tcPr>
          <w:p w:rsidR="00C84F89" w:rsidRPr="00813480" w:rsidRDefault="00C84F89" w:rsidP="00813480">
            <w:pPr>
              <w:spacing w:before="40" w:after="40"/>
              <w:ind w:left="-287" w:right="151" w:firstLineChars="200" w:firstLine="400"/>
              <w:jc w:val="right"/>
              <w:rPr>
                <w:rFonts w:ascii="Calibri" w:eastAsia="Times New Roman" w:hAnsi="Calibri" w:cs="Times New Roman"/>
                <w:color w:val="000000"/>
                <w:sz w:val="20"/>
                <w:szCs w:val="16"/>
                <w:lang w:eastAsia="cs-CZ"/>
              </w:rPr>
            </w:pPr>
            <w:r w:rsidRPr="00813480">
              <w:rPr>
                <w:rFonts w:ascii="Calibri" w:eastAsia="Times New Roman" w:hAnsi="Calibri" w:cs="Times New Roman"/>
                <w:color w:val="000000"/>
                <w:sz w:val="20"/>
                <w:szCs w:val="16"/>
                <w:lang w:eastAsia="cs-CZ"/>
              </w:rPr>
              <w:t>485</w:t>
            </w:r>
          </w:p>
        </w:tc>
      </w:tr>
      <w:tr w:rsidR="00C84F89" w:rsidRPr="00813480" w:rsidTr="00813480">
        <w:trPr>
          <w:trHeight w:val="225"/>
        </w:trPr>
        <w:tc>
          <w:tcPr>
            <w:tcW w:w="4126" w:type="dxa"/>
            <w:tcBorders>
              <w:top w:val="nil"/>
              <w:left w:val="nil"/>
              <w:bottom w:val="nil"/>
              <w:right w:val="nil"/>
            </w:tcBorders>
            <w:shd w:val="clear" w:color="auto" w:fill="auto"/>
            <w:vAlign w:val="center"/>
            <w:hideMark/>
          </w:tcPr>
          <w:p w:rsidR="00C84F89" w:rsidRPr="00813480" w:rsidRDefault="00C84F89" w:rsidP="00813480">
            <w:pPr>
              <w:spacing w:before="40" w:after="40"/>
              <w:jc w:val="left"/>
              <w:rPr>
                <w:rFonts w:ascii="Calibri" w:eastAsia="Times New Roman" w:hAnsi="Calibri" w:cs="Times New Roman"/>
                <w:color w:val="000000"/>
                <w:sz w:val="20"/>
                <w:szCs w:val="16"/>
                <w:lang w:eastAsia="cs-CZ"/>
              </w:rPr>
            </w:pPr>
            <w:r w:rsidRPr="00813480">
              <w:rPr>
                <w:rFonts w:ascii="Calibri" w:eastAsia="Times New Roman" w:hAnsi="Calibri" w:cs="Times New Roman"/>
                <w:color w:val="000000"/>
                <w:sz w:val="20"/>
                <w:szCs w:val="16"/>
                <w:lang w:eastAsia="cs-CZ"/>
              </w:rPr>
              <w:t>Zemědělství</w:t>
            </w:r>
          </w:p>
        </w:tc>
        <w:tc>
          <w:tcPr>
            <w:tcW w:w="851" w:type="dxa"/>
            <w:tcBorders>
              <w:top w:val="nil"/>
              <w:left w:val="nil"/>
              <w:bottom w:val="nil"/>
              <w:right w:val="nil"/>
            </w:tcBorders>
            <w:shd w:val="clear" w:color="auto" w:fill="auto"/>
            <w:vAlign w:val="center"/>
            <w:hideMark/>
          </w:tcPr>
          <w:p w:rsidR="00C84F89" w:rsidRPr="00813480" w:rsidRDefault="00C84F89" w:rsidP="00813480">
            <w:pPr>
              <w:spacing w:before="40" w:after="40"/>
              <w:ind w:firstLineChars="200" w:firstLine="400"/>
              <w:jc w:val="right"/>
              <w:rPr>
                <w:rFonts w:ascii="Calibri" w:eastAsia="Times New Roman" w:hAnsi="Calibri" w:cs="Times New Roman"/>
                <w:color w:val="000000"/>
                <w:sz w:val="20"/>
                <w:szCs w:val="16"/>
                <w:lang w:eastAsia="cs-CZ"/>
              </w:rPr>
            </w:pPr>
            <w:r w:rsidRPr="00813480">
              <w:rPr>
                <w:rFonts w:ascii="Calibri" w:eastAsia="Times New Roman" w:hAnsi="Calibri" w:cs="Times New Roman"/>
                <w:color w:val="000000"/>
                <w:sz w:val="20"/>
                <w:szCs w:val="16"/>
                <w:lang w:eastAsia="cs-CZ"/>
              </w:rPr>
              <w:t>1</w:t>
            </w:r>
          </w:p>
        </w:tc>
        <w:tc>
          <w:tcPr>
            <w:tcW w:w="850" w:type="dxa"/>
            <w:tcBorders>
              <w:top w:val="nil"/>
              <w:left w:val="nil"/>
              <w:bottom w:val="nil"/>
              <w:right w:val="nil"/>
            </w:tcBorders>
            <w:shd w:val="clear" w:color="auto" w:fill="auto"/>
            <w:vAlign w:val="center"/>
            <w:hideMark/>
          </w:tcPr>
          <w:p w:rsidR="00C84F89" w:rsidRPr="00813480" w:rsidRDefault="00C84F89" w:rsidP="00813480">
            <w:pPr>
              <w:spacing w:before="40" w:after="40"/>
              <w:ind w:firstLineChars="200" w:firstLine="400"/>
              <w:jc w:val="right"/>
              <w:rPr>
                <w:rFonts w:ascii="Calibri" w:eastAsia="Times New Roman" w:hAnsi="Calibri" w:cs="Times New Roman"/>
                <w:color w:val="000000"/>
                <w:sz w:val="20"/>
                <w:szCs w:val="16"/>
                <w:lang w:eastAsia="cs-CZ"/>
              </w:rPr>
            </w:pPr>
          </w:p>
        </w:tc>
        <w:tc>
          <w:tcPr>
            <w:tcW w:w="992" w:type="dxa"/>
            <w:tcBorders>
              <w:top w:val="nil"/>
              <w:left w:val="nil"/>
              <w:bottom w:val="nil"/>
              <w:right w:val="nil"/>
            </w:tcBorders>
            <w:shd w:val="clear" w:color="auto" w:fill="auto"/>
            <w:vAlign w:val="center"/>
            <w:hideMark/>
          </w:tcPr>
          <w:p w:rsidR="00C84F89" w:rsidRPr="00813480" w:rsidRDefault="00C84F89" w:rsidP="00813480">
            <w:pPr>
              <w:spacing w:before="40" w:after="40"/>
              <w:ind w:left="-555" w:right="101" w:firstLineChars="200" w:firstLine="400"/>
              <w:jc w:val="right"/>
              <w:rPr>
                <w:rFonts w:ascii="Calibri" w:eastAsia="Times New Roman" w:hAnsi="Calibri" w:cs="Times New Roman"/>
                <w:color w:val="000000"/>
                <w:sz w:val="20"/>
                <w:szCs w:val="16"/>
                <w:lang w:eastAsia="cs-CZ"/>
              </w:rPr>
            </w:pPr>
            <w:r w:rsidRPr="00813480">
              <w:rPr>
                <w:rFonts w:ascii="Calibri" w:eastAsia="Times New Roman" w:hAnsi="Calibri" w:cs="Times New Roman"/>
                <w:color w:val="000000"/>
                <w:sz w:val="20"/>
                <w:szCs w:val="16"/>
                <w:lang w:eastAsia="cs-CZ"/>
              </w:rPr>
              <w:t>10</w:t>
            </w:r>
          </w:p>
        </w:tc>
        <w:tc>
          <w:tcPr>
            <w:tcW w:w="851" w:type="dxa"/>
            <w:tcBorders>
              <w:top w:val="nil"/>
              <w:left w:val="nil"/>
              <w:bottom w:val="nil"/>
              <w:right w:val="nil"/>
            </w:tcBorders>
            <w:shd w:val="clear" w:color="auto" w:fill="auto"/>
            <w:vAlign w:val="center"/>
            <w:hideMark/>
          </w:tcPr>
          <w:p w:rsidR="00C84F89" w:rsidRPr="00813480" w:rsidRDefault="00C84F89" w:rsidP="00813480">
            <w:pPr>
              <w:spacing w:before="40" w:after="40"/>
              <w:ind w:left="-383" w:right="212" w:firstLineChars="200" w:firstLine="400"/>
              <w:jc w:val="right"/>
              <w:rPr>
                <w:rFonts w:ascii="Calibri" w:eastAsia="Times New Roman" w:hAnsi="Calibri" w:cs="Times New Roman"/>
                <w:color w:val="000000"/>
                <w:sz w:val="20"/>
                <w:szCs w:val="16"/>
                <w:lang w:eastAsia="cs-CZ"/>
              </w:rPr>
            </w:pPr>
            <w:r w:rsidRPr="00813480">
              <w:rPr>
                <w:rFonts w:ascii="Calibri" w:eastAsia="Times New Roman" w:hAnsi="Calibri" w:cs="Times New Roman"/>
                <w:color w:val="000000"/>
                <w:sz w:val="20"/>
                <w:szCs w:val="16"/>
                <w:lang w:eastAsia="cs-CZ"/>
              </w:rPr>
              <w:t>1</w:t>
            </w:r>
          </w:p>
        </w:tc>
        <w:tc>
          <w:tcPr>
            <w:tcW w:w="709" w:type="dxa"/>
            <w:tcBorders>
              <w:top w:val="nil"/>
              <w:left w:val="nil"/>
              <w:bottom w:val="nil"/>
              <w:right w:val="nil"/>
            </w:tcBorders>
            <w:shd w:val="clear" w:color="auto" w:fill="auto"/>
            <w:noWrap/>
            <w:vAlign w:val="center"/>
            <w:hideMark/>
          </w:tcPr>
          <w:p w:rsidR="00C84F89" w:rsidRPr="00813480" w:rsidRDefault="00C84F89" w:rsidP="00813480">
            <w:pPr>
              <w:spacing w:before="40" w:after="40"/>
              <w:ind w:left="-352" w:firstLineChars="200" w:firstLine="400"/>
              <w:jc w:val="right"/>
              <w:rPr>
                <w:rFonts w:ascii="Calibri" w:eastAsia="Times New Roman" w:hAnsi="Calibri" w:cs="Times New Roman"/>
                <w:color w:val="000000"/>
                <w:sz w:val="20"/>
                <w:szCs w:val="16"/>
                <w:lang w:eastAsia="cs-CZ"/>
              </w:rPr>
            </w:pPr>
            <w:r w:rsidRPr="00813480">
              <w:rPr>
                <w:rFonts w:ascii="Calibri" w:eastAsia="Times New Roman" w:hAnsi="Calibri" w:cs="Times New Roman"/>
                <w:color w:val="000000"/>
                <w:sz w:val="20"/>
                <w:szCs w:val="16"/>
                <w:lang w:eastAsia="cs-CZ"/>
              </w:rPr>
              <w:t>28</w:t>
            </w:r>
          </w:p>
        </w:tc>
        <w:tc>
          <w:tcPr>
            <w:tcW w:w="916" w:type="dxa"/>
            <w:tcBorders>
              <w:top w:val="nil"/>
              <w:left w:val="nil"/>
              <w:bottom w:val="nil"/>
              <w:right w:val="nil"/>
            </w:tcBorders>
            <w:shd w:val="clear" w:color="auto" w:fill="auto"/>
            <w:noWrap/>
            <w:vAlign w:val="center"/>
            <w:hideMark/>
          </w:tcPr>
          <w:p w:rsidR="00C84F89" w:rsidRPr="00813480" w:rsidRDefault="00C84F89" w:rsidP="00813480">
            <w:pPr>
              <w:spacing w:before="40" w:after="40"/>
              <w:ind w:left="-287" w:right="151" w:firstLineChars="200" w:firstLine="400"/>
              <w:jc w:val="right"/>
              <w:rPr>
                <w:rFonts w:ascii="Calibri" w:eastAsia="Times New Roman" w:hAnsi="Calibri" w:cs="Times New Roman"/>
                <w:color w:val="000000"/>
                <w:sz w:val="20"/>
                <w:szCs w:val="16"/>
                <w:lang w:eastAsia="cs-CZ"/>
              </w:rPr>
            </w:pPr>
          </w:p>
        </w:tc>
      </w:tr>
      <w:tr w:rsidR="00C84F89" w:rsidRPr="00813480" w:rsidTr="00813480">
        <w:trPr>
          <w:trHeight w:val="225"/>
        </w:trPr>
        <w:tc>
          <w:tcPr>
            <w:tcW w:w="4126" w:type="dxa"/>
            <w:tcBorders>
              <w:top w:val="nil"/>
              <w:left w:val="nil"/>
              <w:bottom w:val="nil"/>
              <w:right w:val="nil"/>
            </w:tcBorders>
            <w:shd w:val="clear" w:color="auto" w:fill="auto"/>
            <w:vAlign w:val="center"/>
            <w:hideMark/>
          </w:tcPr>
          <w:p w:rsidR="00C84F89" w:rsidRPr="00813480" w:rsidRDefault="00C84F89" w:rsidP="00813480">
            <w:pPr>
              <w:spacing w:before="40" w:after="40"/>
              <w:jc w:val="left"/>
              <w:rPr>
                <w:rFonts w:ascii="Calibri" w:eastAsia="Times New Roman" w:hAnsi="Calibri" w:cs="Times New Roman"/>
                <w:color w:val="000000"/>
                <w:sz w:val="20"/>
                <w:szCs w:val="16"/>
                <w:lang w:eastAsia="cs-CZ"/>
              </w:rPr>
            </w:pPr>
            <w:r w:rsidRPr="00813480">
              <w:rPr>
                <w:rFonts w:ascii="Calibri" w:eastAsia="Times New Roman" w:hAnsi="Calibri" w:cs="Times New Roman"/>
                <w:color w:val="000000"/>
                <w:sz w:val="20"/>
                <w:szCs w:val="16"/>
                <w:lang w:eastAsia="cs-CZ"/>
              </w:rPr>
              <w:t>Informatika</w:t>
            </w:r>
          </w:p>
        </w:tc>
        <w:tc>
          <w:tcPr>
            <w:tcW w:w="851" w:type="dxa"/>
            <w:tcBorders>
              <w:top w:val="nil"/>
              <w:left w:val="nil"/>
              <w:bottom w:val="nil"/>
              <w:right w:val="nil"/>
            </w:tcBorders>
            <w:shd w:val="clear" w:color="auto" w:fill="auto"/>
            <w:vAlign w:val="center"/>
            <w:hideMark/>
          </w:tcPr>
          <w:p w:rsidR="00C84F89" w:rsidRPr="00813480" w:rsidRDefault="00C84F89" w:rsidP="00813480">
            <w:pPr>
              <w:spacing w:before="40" w:after="40"/>
              <w:ind w:firstLineChars="200" w:firstLine="400"/>
              <w:jc w:val="right"/>
              <w:rPr>
                <w:rFonts w:ascii="Calibri" w:eastAsia="Times New Roman" w:hAnsi="Calibri" w:cs="Times New Roman"/>
                <w:color w:val="000000"/>
                <w:sz w:val="20"/>
                <w:szCs w:val="16"/>
                <w:lang w:eastAsia="cs-CZ"/>
              </w:rPr>
            </w:pPr>
            <w:r w:rsidRPr="00813480">
              <w:rPr>
                <w:rFonts w:ascii="Calibri" w:eastAsia="Times New Roman" w:hAnsi="Calibri" w:cs="Times New Roman"/>
                <w:color w:val="000000"/>
                <w:sz w:val="20"/>
                <w:szCs w:val="16"/>
                <w:lang w:eastAsia="cs-CZ"/>
              </w:rPr>
              <w:t>104</w:t>
            </w:r>
          </w:p>
        </w:tc>
        <w:tc>
          <w:tcPr>
            <w:tcW w:w="850" w:type="dxa"/>
            <w:tcBorders>
              <w:top w:val="nil"/>
              <w:left w:val="nil"/>
              <w:bottom w:val="nil"/>
              <w:right w:val="nil"/>
            </w:tcBorders>
            <w:shd w:val="clear" w:color="auto" w:fill="auto"/>
            <w:vAlign w:val="center"/>
            <w:hideMark/>
          </w:tcPr>
          <w:p w:rsidR="00C84F89" w:rsidRPr="00813480" w:rsidRDefault="00C84F89" w:rsidP="00813480">
            <w:pPr>
              <w:spacing w:before="40" w:after="40"/>
              <w:ind w:firstLineChars="200" w:firstLine="400"/>
              <w:jc w:val="right"/>
              <w:rPr>
                <w:rFonts w:ascii="Calibri" w:eastAsia="Times New Roman" w:hAnsi="Calibri" w:cs="Times New Roman"/>
                <w:color w:val="000000"/>
                <w:sz w:val="20"/>
                <w:szCs w:val="16"/>
                <w:lang w:eastAsia="cs-CZ"/>
              </w:rPr>
            </w:pPr>
            <w:r w:rsidRPr="00813480">
              <w:rPr>
                <w:rFonts w:ascii="Calibri" w:eastAsia="Times New Roman" w:hAnsi="Calibri" w:cs="Times New Roman"/>
                <w:color w:val="000000"/>
                <w:sz w:val="20"/>
                <w:szCs w:val="16"/>
                <w:lang w:eastAsia="cs-CZ"/>
              </w:rPr>
              <w:t>23</w:t>
            </w:r>
          </w:p>
        </w:tc>
        <w:tc>
          <w:tcPr>
            <w:tcW w:w="992" w:type="dxa"/>
            <w:tcBorders>
              <w:top w:val="nil"/>
              <w:left w:val="nil"/>
              <w:bottom w:val="nil"/>
              <w:right w:val="nil"/>
            </w:tcBorders>
            <w:shd w:val="clear" w:color="auto" w:fill="auto"/>
            <w:vAlign w:val="center"/>
            <w:hideMark/>
          </w:tcPr>
          <w:p w:rsidR="00C84F89" w:rsidRPr="00813480" w:rsidRDefault="00C84F89" w:rsidP="00813480">
            <w:pPr>
              <w:spacing w:before="40" w:after="40"/>
              <w:ind w:left="-555" w:right="101" w:firstLineChars="200" w:firstLine="400"/>
              <w:jc w:val="right"/>
              <w:rPr>
                <w:rFonts w:ascii="Calibri" w:eastAsia="Times New Roman" w:hAnsi="Calibri" w:cs="Times New Roman"/>
                <w:color w:val="000000"/>
                <w:sz w:val="20"/>
                <w:szCs w:val="16"/>
                <w:lang w:eastAsia="cs-CZ"/>
              </w:rPr>
            </w:pPr>
            <w:r w:rsidRPr="00813480">
              <w:rPr>
                <w:rFonts w:ascii="Calibri" w:eastAsia="Times New Roman" w:hAnsi="Calibri" w:cs="Times New Roman"/>
                <w:color w:val="000000"/>
                <w:sz w:val="20"/>
                <w:szCs w:val="16"/>
                <w:lang w:eastAsia="cs-CZ"/>
              </w:rPr>
              <w:t>47</w:t>
            </w:r>
          </w:p>
        </w:tc>
        <w:tc>
          <w:tcPr>
            <w:tcW w:w="851" w:type="dxa"/>
            <w:tcBorders>
              <w:top w:val="nil"/>
              <w:left w:val="nil"/>
              <w:bottom w:val="nil"/>
              <w:right w:val="nil"/>
            </w:tcBorders>
            <w:shd w:val="clear" w:color="auto" w:fill="auto"/>
            <w:vAlign w:val="center"/>
            <w:hideMark/>
          </w:tcPr>
          <w:p w:rsidR="00C84F89" w:rsidRPr="00813480" w:rsidRDefault="00C84F89" w:rsidP="00813480">
            <w:pPr>
              <w:spacing w:before="40" w:after="40"/>
              <w:ind w:left="-383" w:right="212" w:firstLineChars="200" w:firstLine="400"/>
              <w:jc w:val="right"/>
              <w:rPr>
                <w:rFonts w:ascii="Calibri" w:eastAsia="Times New Roman" w:hAnsi="Calibri" w:cs="Times New Roman"/>
                <w:color w:val="000000"/>
                <w:sz w:val="20"/>
                <w:szCs w:val="16"/>
                <w:lang w:eastAsia="cs-CZ"/>
              </w:rPr>
            </w:pPr>
            <w:r w:rsidRPr="00813480">
              <w:rPr>
                <w:rFonts w:ascii="Calibri" w:eastAsia="Times New Roman" w:hAnsi="Calibri" w:cs="Times New Roman"/>
                <w:color w:val="000000"/>
                <w:sz w:val="20"/>
                <w:szCs w:val="16"/>
                <w:lang w:eastAsia="cs-CZ"/>
              </w:rPr>
              <w:t>11</w:t>
            </w:r>
          </w:p>
        </w:tc>
        <w:tc>
          <w:tcPr>
            <w:tcW w:w="709" w:type="dxa"/>
            <w:tcBorders>
              <w:top w:val="nil"/>
              <w:left w:val="nil"/>
              <w:bottom w:val="nil"/>
              <w:right w:val="nil"/>
            </w:tcBorders>
            <w:shd w:val="clear" w:color="auto" w:fill="auto"/>
            <w:noWrap/>
            <w:vAlign w:val="center"/>
            <w:hideMark/>
          </w:tcPr>
          <w:p w:rsidR="00C84F89" w:rsidRPr="00813480" w:rsidRDefault="00C84F89" w:rsidP="00813480">
            <w:pPr>
              <w:spacing w:before="40" w:after="40"/>
              <w:ind w:left="-352" w:firstLineChars="200" w:firstLine="400"/>
              <w:jc w:val="right"/>
              <w:rPr>
                <w:rFonts w:ascii="Calibri" w:eastAsia="Times New Roman" w:hAnsi="Calibri" w:cs="Times New Roman"/>
                <w:color w:val="000000"/>
                <w:sz w:val="20"/>
                <w:szCs w:val="16"/>
                <w:lang w:eastAsia="cs-CZ"/>
              </w:rPr>
            </w:pPr>
            <w:r w:rsidRPr="00813480">
              <w:rPr>
                <w:rFonts w:ascii="Calibri" w:eastAsia="Times New Roman" w:hAnsi="Calibri" w:cs="Times New Roman"/>
                <w:color w:val="000000"/>
                <w:sz w:val="20"/>
                <w:szCs w:val="16"/>
                <w:lang w:eastAsia="cs-CZ"/>
              </w:rPr>
              <w:t>48</w:t>
            </w:r>
          </w:p>
        </w:tc>
        <w:tc>
          <w:tcPr>
            <w:tcW w:w="916" w:type="dxa"/>
            <w:tcBorders>
              <w:top w:val="nil"/>
              <w:left w:val="nil"/>
              <w:bottom w:val="nil"/>
              <w:right w:val="nil"/>
            </w:tcBorders>
            <w:shd w:val="clear" w:color="auto" w:fill="auto"/>
            <w:noWrap/>
            <w:vAlign w:val="center"/>
            <w:hideMark/>
          </w:tcPr>
          <w:p w:rsidR="00C84F89" w:rsidRPr="00813480" w:rsidRDefault="00C84F89" w:rsidP="00813480">
            <w:pPr>
              <w:spacing w:before="40" w:after="40"/>
              <w:ind w:left="-287" w:right="151" w:firstLineChars="200" w:firstLine="400"/>
              <w:jc w:val="right"/>
              <w:rPr>
                <w:rFonts w:ascii="Calibri" w:eastAsia="Times New Roman" w:hAnsi="Calibri" w:cs="Times New Roman"/>
                <w:color w:val="000000"/>
                <w:sz w:val="20"/>
                <w:szCs w:val="16"/>
                <w:lang w:eastAsia="cs-CZ"/>
              </w:rPr>
            </w:pPr>
            <w:r w:rsidRPr="00813480">
              <w:rPr>
                <w:rFonts w:ascii="Calibri" w:eastAsia="Times New Roman" w:hAnsi="Calibri" w:cs="Times New Roman"/>
                <w:color w:val="000000"/>
                <w:sz w:val="20"/>
                <w:szCs w:val="16"/>
                <w:lang w:eastAsia="cs-CZ"/>
              </w:rPr>
              <w:t>88</w:t>
            </w:r>
          </w:p>
        </w:tc>
      </w:tr>
      <w:tr w:rsidR="00C84F89" w:rsidRPr="00813480" w:rsidTr="00813480">
        <w:trPr>
          <w:trHeight w:val="225"/>
        </w:trPr>
        <w:tc>
          <w:tcPr>
            <w:tcW w:w="4126" w:type="dxa"/>
            <w:tcBorders>
              <w:top w:val="nil"/>
              <w:left w:val="nil"/>
              <w:bottom w:val="nil"/>
              <w:right w:val="nil"/>
            </w:tcBorders>
            <w:shd w:val="clear" w:color="auto" w:fill="auto"/>
            <w:vAlign w:val="center"/>
            <w:hideMark/>
          </w:tcPr>
          <w:p w:rsidR="00C84F89" w:rsidRPr="00813480" w:rsidRDefault="00C84F89" w:rsidP="00813480">
            <w:pPr>
              <w:spacing w:before="40" w:after="40"/>
              <w:jc w:val="left"/>
              <w:rPr>
                <w:rFonts w:ascii="Calibri" w:eastAsia="Times New Roman" w:hAnsi="Calibri" w:cs="Times New Roman"/>
                <w:color w:val="000000"/>
                <w:sz w:val="20"/>
                <w:szCs w:val="16"/>
                <w:lang w:eastAsia="cs-CZ"/>
              </w:rPr>
            </w:pPr>
            <w:r w:rsidRPr="00813480">
              <w:rPr>
                <w:rFonts w:ascii="Calibri" w:eastAsia="Times New Roman" w:hAnsi="Calibri" w:cs="Times New Roman"/>
                <w:color w:val="000000"/>
                <w:sz w:val="20"/>
                <w:szCs w:val="16"/>
                <w:lang w:eastAsia="cs-CZ"/>
              </w:rPr>
              <w:t>Průmysl</w:t>
            </w:r>
          </w:p>
        </w:tc>
        <w:tc>
          <w:tcPr>
            <w:tcW w:w="851" w:type="dxa"/>
            <w:tcBorders>
              <w:top w:val="nil"/>
              <w:left w:val="nil"/>
              <w:bottom w:val="nil"/>
              <w:right w:val="nil"/>
            </w:tcBorders>
            <w:shd w:val="clear" w:color="auto" w:fill="auto"/>
            <w:vAlign w:val="center"/>
            <w:hideMark/>
          </w:tcPr>
          <w:p w:rsidR="00C84F89" w:rsidRPr="00813480" w:rsidRDefault="00C84F89" w:rsidP="00813480">
            <w:pPr>
              <w:spacing w:before="40" w:after="40"/>
              <w:ind w:firstLineChars="200" w:firstLine="400"/>
              <w:jc w:val="right"/>
              <w:rPr>
                <w:rFonts w:ascii="Calibri" w:eastAsia="Times New Roman" w:hAnsi="Calibri" w:cs="Times New Roman"/>
                <w:color w:val="000000"/>
                <w:sz w:val="20"/>
                <w:szCs w:val="16"/>
                <w:lang w:eastAsia="cs-CZ"/>
              </w:rPr>
            </w:pPr>
            <w:r w:rsidRPr="00813480">
              <w:rPr>
                <w:rFonts w:ascii="Calibri" w:eastAsia="Times New Roman" w:hAnsi="Calibri" w:cs="Times New Roman"/>
                <w:color w:val="000000"/>
                <w:sz w:val="20"/>
                <w:szCs w:val="16"/>
                <w:lang w:eastAsia="cs-CZ"/>
              </w:rPr>
              <w:t>273</w:t>
            </w:r>
          </w:p>
        </w:tc>
        <w:tc>
          <w:tcPr>
            <w:tcW w:w="850" w:type="dxa"/>
            <w:tcBorders>
              <w:top w:val="nil"/>
              <w:left w:val="nil"/>
              <w:bottom w:val="nil"/>
              <w:right w:val="nil"/>
            </w:tcBorders>
            <w:shd w:val="clear" w:color="auto" w:fill="auto"/>
            <w:vAlign w:val="center"/>
            <w:hideMark/>
          </w:tcPr>
          <w:p w:rsidR="00C84F89" w:rsidRPr="00813480" w:rsidRDefault="00C84F89" w:rsidP="00813480">
            <w:pPr>
              <w:spacing w:before="40" w:after="40"/>
              <w:ind w:firstLineChars="200" w:firstLine="400"/>
              <w:jc w:val="right"/>
              <w:rPr>
                <w:rFonts w:ascii="Calibri" w:eastAsia="Times New Roman" w:hAnsi="Calibri" w:cs="Times New Roman"/>
                <w:color w:val="000000"/>
                <w:sz w:val="20"/>
                <w:szCs w:val="16"/>
                <w:lang w:eastAsia="cs-CZ"/>
              </w:rPr>
            </w:pPr>
            <w:r w:rsidRPr="00813480">
              <w:rPr>
                <w:rFonts w:ascii="Calibri" w:eastAsia="Times New Roman" w:hAnsi="Calibri" w:cs="Times New Roman"/>
                <w:color w:val="000000"/>
                <w:sz w:val="20"/>
                <w:szCs w:val="16"/>
                <w:lang w:eastAsia="cs-CZ"/>
              </w:rPr>
              <w:t>86</w:t>
            </w:r>
          </w:p>
        </w:tc>
        <w:tc>
          <w:tcPr>
            <w:tcW w:w="992" w:type="dxa"/>
            <w:tcBorders>
              <w:top w:val="nil"/>
              <w:left w:val="nil"/>
              <w:bottom w:val="nil"/>
              <w:right w:val="nil"/>
            </w:tcBorders>
            <w:shd w:val="clear" w:color="auto" w:fill="auto"/>
            <w:vAlign w:val="center"/>
            <w:hideMark/>
          </w:tcPr>
          <w:p w:rsidR="00C84F89" w:rsidRPr="00813480" w:rsidRDefault="00C84F89" w:rsidP="00813480">
            <w:pPr>
              <w:spacing w:before="40" w:after="40"/>
              <w:ind w:left="-555" w:right="101" w:firstLineChars="200" w:firstLine="400"/>
              <w:jc w:val="right"/>
              <w:rPr>
                <w:rFonts w:ascii="Calibri" w:eastAsia="Times New Roman" w:hAnsi="Calibri" w:cs="Times New Roman"/>
                <w:color w:val="000000"/>
                <w:sz w:val="20"/>
                <w:szCs w:val="16"/>
                <w:lang w:eastAsia="cs-CZ"/>
              </w:rPr>
            </w:pPr>
            <w:r w:rsidRPr="00813480">
              <w:rPr>
                <w:rFonts w:ascii="Calibri" w:eastAsia="Times New Roman" w:hAnsi="Calibri" w:cs="Times New Roman"/>
                <w:color w:val="000000"/>
                <w:sz w:val="20"/>
                <w:szCs w:val="16"/>
                <w:lang w:eastAsia="cs-CZ"/>
              </w:rPr>
              <w:t>139</w:t>
            </w:r>
          </w:p>
        </w:tc>
        <w:tc>
          <w:tcPr>
            <w:tcW w:w="851" w:type="dxa"/>
            <w:tcBorders>
              <w:top w:val="nil"/>
              <w:left w:val="nil"/>
              <w:bottom w:val="nil"/>
              <w:right w:val="nil"/>
            </w:tcBorders>
            <w:shd w:val="clear" w:color="auto" w:fill="auto"/>
            <w:vAlign w:val="center"/>
            <w:hideMark/>
          </w:tcPr>
          <w:p w:rsidR="00C84F89" w:rsidRPr="00813480" w:rsidRDefault="00C84F89" w:rsidP="00813480">
            <w:pPr>
              <w:spacing w:before="40" w:after="40"/>
              <w:ind w:left="-383" w:right="212" w:firstLineChars="200" w:firstLine="400"/>
              <w:jc w:val="right"/>
              <w:rPr>
                <w:rFonts w:ascii="Calibri" w:eastAsia="Times New Roman" w:hAnsi="Calibri" w:cs="Times New Roman"/>
                <w:color w:val="000000"/>
                <w:sz w:val="20"/>
                <w:szCs w:val="16"/>
                <w:lang w:eastAsia="cs-CZ"/>
              </w:rPr>
            </w:pPr>
            <w:r w:rsidRPr="00813480">
              <w:rPr>
                <w:rFonts w:ascii="Calibri" w:eastAsia="Times New Roman" w:hAnsi="Calibri" w:cs="Times New Roman"/>
                <w:color w:val="000000"/>
                <w:sz w:val="20"/>
                <w:szCs w:val="16"/>
                <w:lang w:eastAsia="cs-CZ"/>
              </w:rPr>
              <w:t>44</w:t>
            </w:r>
          </w:p>
        </w:tc>
        <w:tc>
          <w:tcPr>
            <w:tcW w:w="709" w:type="dxa"/>
            <w:tcBorders>
              <w:top w:val="nil"/>
              <w:left w:val="nil"/>
              <w:bottom w:val="nil"/>
              <w:right w:val="nil"/>
            </w:tcBorders>
            <w:shd w:val="clear" w:color="auto" w:fill="auto"/>
            <w:noWrap/>
            <w:vAlign w:val="center"/>
            <w:hideMark/>
          </w:tcPr>
          <w:p w:rsidR="00C84F89" w:rsidRPr="00813480" w:rsidRDefault="00C84F89" w:rsidP="00813480">
            <w:pPr>
              <w:spacing w:before="40" w:after="40"/>
              <w:ind w:left="-352" w:firstLineChars="200" w:firstLine="400"/>
              <w:jc w:val="right"/>
              <w:rPr>
                <w:rFonts w:ascii="Calibri" w:eastAsia="Times New Roman" w:hAnsi="Calibri" w:cs="Times New Roman"/>
                <w:color w:val="000000"/>
                <w:sz w:val="20"/>
                <w:szCs w:val="16"/>
                <w:lang w:eastAsia="cs-CZ"/>
              </w:rPr>
            </w:pPr>
            <w:r w:rsidRPr="00813480">
              <w:rPr>
                <w:rFonts w:ascii="Calibri" w:eastAsia="Times New Roman" w:hAnsi="Calibri" w:cs="Times New Roman"/>
                <w:color w:val="000000"/>
                <w:sz w:val="20"/>
                <w:szCs w:val="16"/>
                <w:lang w:eastAsia="cs-CZ"/>
              </w:rPr>
              <w:t>86</w:t>
            </w:r>
          </w:p>
        </w:tc>
        <w:tc>
          <w:tcPr>
            <w:tcW w:w="916" w:type="dxa"/>
            <w:tcBorders>
              <w:top w:val="nil"/>
              <w:left w:val="nil"/>
              <w:bottom w:val="nil"/>
              <w:right w:val="nil"/>
            </w:tcBorders>
            <w:shd w:val="clear" w:color="auto" w:fill="auto"/>
            <w:noWrap/>
            <w:vAlign w:val="center"/>
            <w:hideMark/>
          </w:tcPr>
          <w:p w:rsidR="00C84F89" w:rsidRPr="00813480" w:rsidRDefault="00C84F89" w:rsidP="00813480">
            <w:pPr>
              <w:spacing w:before="40" w:after="40"/>
              <w:ind w:left="-287" w:right="151" w:firstLineChars="200" w:firstLine="400"/>
              <w:jc w:val="right"/>
              <w:rPr>
                <w:rFonts w:ascii="Calibri" w:eastAsia="Times New Roman" w:hAnsi="Calibri" w:cs="Times New Roman"/>
                <w:color w:val="000000"/>
                <w:sz w:val="20"/>
                <w:szCs w:val="16"/>
                <w:lang w:eastAsia="cs-CZ"/>
              </w:rPr>
            </w:pPr>
            <w:r w:rsidRPr="00813480">
              <w:rPr>
                <w:rFonts w:ascii="Calibri" w:eastAsia="Times New Roman" w:hAnsi="Calibri" w:cs="Times New Roman"/>
                <w:color w:val="000000"/>
                <w:sz w:val="20"/>
                <w:szCs w:val="16"/>
                <w:lang w:eastAsia="cs-CZ"/>
              </w:rPr>
              <w:t>148</w:t>
            </w:r>
          </w:p>
        </w:tc>
      </w:tr>
      <w:tr w:rsidR="00C84F89" w:rsidRPr="00813480" w:rsidTr="00813480">
        <w:trPr>
          <w:trHeight w:val="225"/>
        </w:trPr>
        <w:tc>
          <w:tcPr>
            <w:tcW w:w="4126" w:type="dxa"/>
            <w:tcBorders>
              <w:top w:val="nil"/>
              <w:left w:val="nil"/>
              <w:bottom w:val="single" w:sz="4" w:space="0" w:color="auto"/>
              <w:right w:val="nil"/>
            </w:tcBorders>
            <w:shd w:val="clear" w:color="auto" w:fill="auto"/>
            <w:vAlign w:val="center"/>
            <w:hideMark/>
          </w:tcPr>
          <w:p w:rsidR="00C84F89" w:rsidRPr="00813480" w:rsidRDefault="00C84F89" w:rsidP="00813480">
            <w:pPr>
              <w:spacing w:before="40" w:after="40"/>
              <w:jc w:val="left"/>
              <w:rPr>
                <w:rFonts w:ascii="Calibri" w:eastAsia="Times New Roman" w:hAnsi="Calibri" w:cs="Times New Roman"/>
                <w:color w:val="000000"/>
                <w:sz w:val="20"/>
                <w:szCs w:val="16"/>
                <w:lang w:eastAsia="cs-CZ"/>
              </w:rPr>
            </w:pPr>
            <w:r w:rsidRPr="00813480">
              <w:rPr>
                <w:rFonts w:ascii="Calibri" w:eastAsia="Times New Roman" w:hAnsi="Calibri" w:cs="Times New Roman"/>
                <w:color w:val="000000"/>
                <w:sz w:val="20"/>
                <w:szCs w:val="16"/>
                <w:lang w:eastAsia="cs-CZ"/>
              </w:rPr>
              <w:lastRenderedPageBreak/>
              <w:t>Vojenství</w:t>
            </w:r>
          </w:p>
        </w:tc>
        <w:tc>
          <w:tcPr>
            <w:tcW w:w="851" w:type="dxa"/>
            <w:tcBorders>
              <w:top w:val="nil"/>
              <w:left w:val="nil"/>
              <w:bottom w:val="single" w:sz="4" w:space="0" w:color="auto"/>
              <w:right w:val="nil"/>
            </w:tcBorders>
            <w:shd w:val="clear" w:color="auto" w:fill="auto"/>
            <w:vAlign w:val="center"/>
            <w:hideMark/>
          </w:tcPr>
          <w:p w:rsidR="00C84F89" w:rsidRPr="00813480" w:rsidRDefault="00C84F89" w:rsidP="00813480">
            <w:pPr>
              <w:spacing w:before="40" w:after="40"/>
              <w:ind w:firstLineChars="200" w:firstLine="400"/>
              <w:jc w:val="right"/>
              <w:rPr>
                <w:rFonts w:ascii="Calibri" w:eastAsia="Times New Roman" w:hAnsi="Calibri" w:cs="Times New Roman"/>
                <w:color w:val="000000"/>
                <w:sz w:val="20"/>
                <w:szCs w:val="16"/>
                <w:lang w:eastAsia="cs-CZ"/>
              </w:rPr>
            </w:pPr>
            <w:r w:rsidRPr="00813480">
              <w:rPr>
                <w:rFonts w:ascii="Calibri" w:eastAsia="Times New Roman" w:hAnsi="Calibri" w:cs="Times New Roman"/>
                <w:color w:val="000000"/>
                <w:sz w:val="20"/>
                <w:szCs w:val="16"/>
                <w:lang w:eastAsia="cs-CZ"/>
              </w:rPr>
              <w:t>45</w:t>
            </w:r>
          </w:p>
        </w:tc>
        <w:tc>
          <w:tcPr>
            <w:tcW w:w="850" w:type="dxa"/>
            <w:tcBorders>
              <w:top w:val="nil"/>
              <w:left w:val="nil"/>
              <w:bottom w:val="single" w:sz="4" w:space="0" w:color="auto"/>
              <w:right w:val="nil"/>
            </w:tcBorders>
            <w:shd w:val="clear" w:color="auto" w:fill="auto"/>
            <w:vAlign w:val="center"/>
            <w:hideMark/>
          </w:tcPr>
          <w:p w:rsidR="00C84F89" w:rsidRPr="00813480" w:rsidRDefault="00C84F89" w:rsidP="00813480">
            <w:pPr>
              <w:spacing w:before="40" w:after="40"/>
              <w:ind w:firstLineChars="200" w:firstLine="400"/>
              <w:jc w:val="right"/>
              <w:rPr>
                <w:rFonts w:ascii="Calibri" w:eastAsia="Times New Roman" w:hAnsi="Calibri" w:cs="Times New Roman"/>
                <w:color w:val="000000"/>
                <w:sz w:val="20"/>
                <w:szCs w:val="16"/>
                <w:lang w:eastAsia="cs-CZ"/>
              </w:rPr>
            </w:pPr>
            <w:r w:rsidRPr="00813480">
              <w:rPr>
                <w:rFonts w:ascii="Calibri" w:eastAsia="Times New Roman" w:hAnsi="Calibri" w:cs="Times New Roman"/>
                <w:color w:val="000000"/>
                <w:sz w:val="20"/>
                <w:szCs w:val="16"/>
                <w:lang w:eastAsia="cs-CZ"/>
              </w:rPr>
              <w:t>3</w:t>
            </w:r>
          </w:p>
        </w:tc>
        <w:tc>
          <w:tcPr>
            <w:tcW w:w="992" w:type="dxa"/>
            <w:tcBorders>
              <w:top w:val="nil"/>
              <w:left w:val="nil"/>
              <w:bottom w:val="single" w:sz="4" w:space="0" w:color="auto"/>
              <w:right w:val="nil"/>
            </w:tcBorders>
            <w:shd w:val="clear" w:color="auto" w:fill="auto"/>
            <w:vAlign w:val="center"/>
            <w:hideMark/>
          </w:tcPr>
          <w:p w:rsidR="00C84F89" w:rsidRPr="00813480" w:rsidRDefault="00C84F89" w:rsidP="00813480">
            <w:pPr>
              <w:spacing w:before="40" w:after="40"/>
              <w:ind w:left="-555" w:right="101" w:firstLineChars="200" w:firstLine="400"/>
              <w:jc w:val="right"/>
              <w:rPr>
                <w:rFonts w:ascii="Calibri" w:eastAsia="Times New Roman" w:hAnsi="Calibri" w:cs="Times New Roman"/>
                <w:color w:val="000000"/>
                <w:sz w:val="20"/>
                <w:szCs w:val="16"/>
                <w:lang w:eastAsia="cs-CZ"/>
              </w:rPr>
            </w:pPr>
            <w:r w:rsidRPr="00813480">
              <w:rPr>
                <w:rFonts w:ascii="Calibri" w:eastAsia="Times New Roman" w:hAnsi="Calibri" w:cs="Times New Roman"/>
                <w:color w:val="000000"/>
                <w:sz w:val="20"/>
                <w:szCs w:val="16"/>
                <w:lang w:eastAsia="cs-CZ"/>
              </w:rPr>
              <w:t>71</w:t>
            </w:r>
          </w:p>
        </w:tc>
        <w:tc>
          <w:tcPr>
            <w:tcW w:w="851" w:type="dxa"/>
            <w:tcBorders>
              <w:top w:val="nil"/>
              <w:left w:val="nil"/>
              <w:bottom w:val="single" w:sz="4" w:space="0" w:color="auto"/>
              <w:right w:val="nil"/>
            </w:tcBorders>
            <w:shd w:val="clear" w:color="auto" w:fill="auto"/>
            <w:vAlign w:val="center"/>
            <w:hideMark/>
          </w:tcPr>
          <w:p w:rsidR="00C84F89" w:rsidRPr="00813480" w:rsidRDefault="00C84F89" w:rsidP="00813480">
            <w:pPr>
              <w:spacing w:before="40" w:after="40"/>
              <w:ind w:left="-383" w:right="212" w:firstLineChars="200" w:firstLine="400"/>
              <w:jc w:val="right"/>
              <w:rPr>
                <w:rFonts w:ascii="Calibri" w:eastAsia="Times New Roman" w:hAnsi="Calibri" w:cs="Times New Roman"/>
                <w:color w:val="000000"/>
                <w:sz w:val="20"/>
                <w:szCs w:val="16"/>
                <w:lang w:eastAsia="cs-CZ"/>
              </w:rPr>
            </w:pPr>
            <w:r w:rsidRPr="00813480">
              <w:rPr>
                <w:rFonts w:ascii="Calibri" w:eastAsia="Times New Roman" w:hAnsi="Calibri" w:cs="Times New Roman"/>
                <w:color w:val="000000"/>
                <w:sz w:val="20"/>
                <w:szCs w:val="16"/>
                <w:lang w:eastAsia="cs-CZ"/>
              </w:rPr>
              <w:t>1</w:t>
            </w:r>
          </w:p>
        </w:tc>
        <w:tc>
          <w:tcPr>
            <w:tcW w:w="709" w:type="dxa"/>
            <w:tcBorders>
              <w:top w:val="nil"/>
              <w:left w:val="nil"/>
              <w:bottom w:val="single" w:sz="4" w:space="0" w:color="auto"/>
              <w:right w:val="nil"/>
            </w:tcBorders>
            <w:shd w:val="clear" w:color="auto" w:fill="auto"/>
            <w:noWrap/>
            <w:vAlign w:val="center"/>
            <w:hideMark/>
          </w:tcPr>
          <w:p w:rsidR="00C84F89" w:rsidRPr="00813480" w:rsidRDefault="00C84F89" w:rsidP="00813480">
            <w:pPr>
              <w:spacing w:before="40" w:after="40"/>
              <w:ind w:left="-352" w:firstLineChars="200" w:firstLine="400"/>
              <w:jc w:val="right"/>
              <w:rPr>
                <w:rFonts w:ascii="Calibri" w:eastAsia="Times New Roman" w:hAnsi="Calibri" w:cs="Times New Roman"/>
                <w:color w:val="000000"/>
                <w:sz w:val="20"/>
                <w:szCs w:val="16"/>
                <w:lang w:eastAsia="cs-CZ"/>
              </w:rPr>
            </w:pPr>
            <w:r w:rsidRPr="00813480">
              <w:rPr>
                <w:rFonts w:ascii="Calibri" w:eastAsia="Times New Roman" w:hAnsi="Calibri" w:cs="Times New Roman"/>
                <w:color w:val="000000"/>
                <w:sz w:val="20"/>
                <w:szCs w:val="16"/>
                <w:lang w:eastAsia="cs-CZ"/>
              </w:rPr>
              <w:t>8</w:t>
            </w:r>
          </w:p>
        </w:tc>
        <w:tc>
          <w:tcPr>
            <w:tcW w:w="916" w:type="dxa"/>
            <w:tcBorders>
              <w:top w:val="nil"/>
              <w:left w:val="nil"/>
              <w:bottom w:val="single" w:sz="4" w:space="0" w:color="auto"/>
              <w:right w:val="nil"/>
            </w:tcBorders>
            <w:shd w:val="clear" w:color="auto" w:fill="auto"/>
            <w:noWrap/>
            <w:vAlign w:val="center"/>
            <w:hideMark/>
          </w:tcPr>
          <w:p w:rsidR="00C84F89" w:rsidRPr="00813480" w:rsidRDefault="00C84F89" w:rsidP="00813480">
            <w:pPr>
              <w:spacing w:before="40" w:after="40"/>
              <w:ind w:left="-287" w:right="151" w:firstLineChars="200" w:firstLine="400"/>
              <w:jc w:val="right"/>
              <w:rPr>
                <w:rFonts w:ascii="Calibri" w:eastAsia="Times New Roman" w:hAnsi="Calibri" w:cs="Times New Roman"/>
                <w:color w:val="000000"/>
                <w:sz w:val="20"/>
                <w:szCs w:val="16"/>
                <w:lang w:eastAsia="cs-CZ"/>
              </w:rPr>
            </w:pPr>
            <w:r w:rsidRPr="00813480">
              <w:rPr>
                <w:rFonts w:ascii="Calibri" w:eastAsia="Times New Roman" w:hAnsi="Calibri" w:cs="Times New Roman"/>
                <w:color w:val="000000"/>
                <w:sz w:val="20"/>
                <w:szCs w:val="16"/>
                <w:lang w:eastAsia="cs-CZ"/>
              </w:rPr>
              <w:t>58</w:t>
            </w:r>
          </w:p>
        </w:tc>
      </w:tr>
    </w:tbl>
    <w:p w:rsidR="00C84F89" w:rsidRPr="00C84F89" w:rsidRDefault="00C84F89" w:rsidP="00C84F89">
      <w:pPr>
        <w:rPr>
          <w:i/>
          <w:sz w:val="16"/>
          <w:szCs w:val="16"/>
        </w:rPr>
      </w:pPr>
      <w:r w:rsidRPr="00C84F89">
        <w:rPr>
          <w:i/>
          <w:sz w:val="16"/>
          <w:szCs w:val="16"/>
        </w:rPr>
        <w:t>Pozn.: index zastoupení WoS je roven (D-imp/D)</w:t>
      </w:r>
      <w:r w:rsidRPr="00C84F89">
        <w:rPr>
          <w:i/>
          <w:sz w:val="16"/>
          <w:szCs w:val="16"/>
          <w:vertAlign w:val="subscript"/>
        </w:rPr>
        <w:t>bezpečnostní výzkum</w:t>
      </w:r>
      <w:r w:rsidRPr="00C84F89">
        <w:rPr>
          <w:i/>
          <w:sz w:val="16"/>
          <w:szCs w:val="16"/>
        </w:rPr>
        <w:t>/(D-imp/D)</w:t>
      </w:r>
      <w:r w:rsidRPr="00C84F89">
        <w:rPr>
          <w:i/>
          <w:sz w:val="16"/>
          <w:szCs w:val="16"/>
          <w:vertAlign w:val="subscript"/>
        </w:rPr>
        <w:t>ČR</w:t>
      </w:r>
      <w:r w:rsidRPr="00C84F89">
        <w:rPr>
          <w:i/>
          <w:sz w:val="16"/>
          <w:szCs w:val="16"/>
        </w:rPr>
        <w:t xml:space="preserve"> * 100. Hodnoty větší než 100 indikují vyšší než průměrné zastoupení impaktovaných výstupů, hodnoty nižší zastoupení nižší.</w:t>
      </w:r>
    </w:p>
    <w:p w:rsidR="00C84F89" w:rsidRPr="00C84F89" w:rsidRDefault="00C84F89" w:rsidP="00C84F89"/>
    <w:p w:rsidR="00C84F89" w:rsidRPr="00C84F89" w:rsidRDefault="00C84F89" w:rsidP="00F056A2">
      <w:pPr>
        <w:pStyle w:val="Nadpis3"/>
        <w:rPr>
          <w:rFonts w:eastAsiaTheme="majorEastAsia"/>
        </w:rPr>
      </w:pPr>
      <w:bookmarkStart w:id="85" w:name="_Toc449959760"/>
      <w:bookmarkStart w:id="86" w:name="_Ref451766260"/>
      <w:bookmarkStart w:id="87" w:name="_Toc459723282"/>
      <w:r w:rsidRPr="00C84F89">
        <w:rPr>
          <w:rFonts w:eastAsiaTheme="majorEastAsia"/>
        </w:rPr>
        <w:t xml:space="preserve">Bibliometrická evaluace publikačních výstupů bezpečnostního </w:t>
      </w:r>
      <w:bookmarkEnd w:id="85"/>
      <w:r w:rsidR="00304E5D">
        <w:rPr>
          <w:rFonts w:eastAsiaTheme="majorEastAsia"/>
        </w:rPr>
        <w:t>výzkumu</w:t>
      </w:r>
      <w:bookmarkEnd w:id="86"/>
      <w:bookmarkEnd w:id="87"/>
    </w:p>
    <w:p w:rsidR="00AB796C" w:rsidRDefault="00C84F89" w:rsidP="00C84F89">
      <w:r w:rsidRPr="00C84F89">
        <w:t>Bibliometrická evaluace publikačních výstupů je založena na údajích o citovanosti v databázi Thomson Reuters Web of Science</w:t>
      </w:r>
      <w:r w:rsidRPr="00C84F89">
        <w:rPr>
          <w:vertAlign w:val="superscript"/>
        </w:rPr>
        <w:footnoteReference w:id="19"/>
      </w:r>
      <w:r w:rsidRPr="00C84F89">
        <w:t xml:space="preserve"> (WoS). </w:t>
      </w:r>
      <w:r w:rsidR="00AB796C">
        <w:t>Vzhledem k tomu, že c</w:t>
      </w:r>
      <w:r w:rsidR="00AB796C" w:rsidRPr="00C84F89">
        <w:t>itovanost publikací se stává významnou až po určité době po publikování</w:t>
      </w:r>
      <w:r w:rsidR="00AB796C">
        <w:t xml:space="preserve"> (n</w:t>
      </w:r>
      <w:r w:rsidR="00AB796C" w:rsidRPr="00C84F89">
        <w:t>ejkratší přijatelný interval jsou dva roky</w:t>
      </w:r>
      <w:r w:rsidR="00AB796C">
        <w:t>), j</w:t>
      </w:r>
      <w:r w:rsidR="00AB796C" w:rsidRPr="00C84F89">
        <w:t>e bibliometrické hodnocení omezeno na publikace z let 2010 až 2013 (včetně).</w:t>
      </w:r>
    </w:p>
    <w:p w:rsidR="00AB796C" w:rsidRDefault="00C84F89" w:rsidP="00C84F89">
      <w:r w:rsidRPr="00C84F89">
        <w:t xml:space="preserve">Údaje o citovanosti publikací přiřazených v RIV projektům </w:t>
      </w:r>
      <w:r w:rsidR="000D6D11">
        <w:t>BV</w:t>
      </w:r>
      <w:r w:rsidRPr="00C84F89">
        <w:t xml:space="preserve"> </w:t>
      </w:r>
      <w:r w:rsidR="000D6D11">
        <w:t>byly</w:t>
      </w:r>
      <w:r w:rsidRPr="00C84F89">
        <w:t xml:space="preserve"> získány propojením RIV s databází českých záznamů ve WoS prostřednictvím unikátního identifikátoru záznamu (UT). Tento identifikátor je nepovinnou součástí záznamu v RIV od roku 2007 a v letech 2010 – 2014 je uveden přibližně</w:t>
      </w:r>
      <w:r w:rsidR="00742677">
        <w:t xml:space="preserve"> </w:t>
      </w:r>
      <w:r w:rsidR="00742677" w:rsidRPr="00C84F89">
        <w:t>v</w:t>
      </w:r>
      <w:r w:rsidRPr="00C84F89">
        <w:t xml:space="preserve"> 85 % záznamů</w:t>
      </w:r>
      <w:r w:rsidRPr="00C84F89">
        <w:rPr>
          <w:vertAlign w:val="superscript"/>
        </w:rPr>
        <w:footnoteReference w:id="20"/>
      </w:r>
      <w:r w:rsidRPr="00C84F89">
        <w:t>.</w:t>
      </w:r>
      <w:r w:rsidR="00AB796C">
        <w:t xml:space="preserve"> </w:t>
      </w:r>
      <w:r w:rsidRPr="00C84F89">
        <w:t xml:space="preserve">Soubor impaktovaných časopiseckých výstupů </w:t>
      </w:r>
      <w:r w:rsidR="00AB796C">
        <w:t>BV</w:t>
      </w:r>
      <w:r w:rsidRPr="00C84F89">
        <w:t xml:space="preserve"> vykazuje </w:t>
      </w:r>
      <w:r w:rsidR="00AB65F5">
        <w:t xml:space="preserve">přibližně o pět procentních bodů </w:t>
      </w:r>
      <w:r w:rsidRPr="00C84F89">
        <w:t>nižší výskyt</w:t>
      </w:r>
      <w:r w:rsidR="00A67FBA">
        <w:rPr>
          <w:rStyle w:val="Znakapoznpodarou"/>
        </w:rPr>
        <w:footnoteReference w:id="21"/>
      </w:r>
      <w:r w:rsidR="003E471D">
        <w:t xml:space="preserve"> identifikátoru UT.</w:t>
      </w:r>
      <w:r w:rsidRPr="00C84F89">
        <w:t xml:space="preserve"> </w:t>
      </w:r>
    </w:p>
    <w:p w:rsidR="000D6D11" w:rsidRPr="00C84F89" w:rsidRDefault="00C84F89" w:rsidP="00C84F89">
      <w:r w:rsidRPr="00C84F89">
        <w:t xml:space="preserve">Při posuzování bibliometrických dat je nutno mít na zřeteli, že </w:t>
      </w:r>
      <w:r w:rsidR="00742677">
        <w:t>přibližně</w:t>
      </w:r>
      <w:r w:rsidRPr="00C84F89">
        <w:t xml:space="preserve"> 20</w:t>
      </w:r>
      <w:r w:rsidR="00AB796C">
        <w:t xml:space="preserve"> </w:t>
      </w:r>
      <w:r w:rsidRPr="00C84F89">
        <w:t xml:space="preserve">% impaktovaných publikačních výstupů </w:t>
      </w:r>
      <w:r w:rsidR="00742677" w:rsidRPr="003E471D">
        <w:t>(uvedených v</w:t>
      </w:r>
      <w:r w:rsidR="003E471D" w:rsidRPr="003E471D">
        <w:t> </w:t>
      </w:r>
      <w:r w:rsidR="00742677" w:rsidRPr="003E471D">
        <w:t>databázi</w:t>
      </w:r>
      <w:r w:rsidR="003E471D" w:rsidRPr="003E471D">
        <w:t xml:space="preserve"> RIV</w:t>
      </w:r>
      <w:r w:rsidR="00742677" w:rsidRPr="003E471D">
        <w:t>)</w:t>
      </w:r>
      <w:r w:rsidR="00742677">
        <w:t xml:space="preserve"> </w:t>
      </w:r>
      <w:r w:rsidRPr="00C84F89">
        <w:t xml:space="preserve">uniká bibliometrické evaluaci. </w:t>
      </w:r>
      <w:r w:rsidR="000D6D11" w:rsidRPr="00C84F89">
        <w:t xml:space="preserve">Při hodnocení spolehlivosti bibliometrických údajů je </w:t>
      </w:r>
      <w:r w:rsidR="00AB796C">
        <w:t xml:space="preserve">také </w:t>
      </w:r>
      <w:r w:rsidR="000D6D11" w:rsidRPr="00C84F89">
        <w:t>nutno vzít v</w:t>
      </w:r>
      <w:r w:rsidR="00F3746E">
        <w:t> </w:t>
      </w:r>
      <w:r w:rsidR="000D6D11" w:rsidRPr="00C84F89">
        <w:t>úvahu</w:t>
      </w:r>
      <w:r w:rsidR="000D6D11">
        <w:t>,</w:t>
      </w:r>
      <w:r w:rsidR="000D6D11" w:rsidRPr="00C84F89">
        <w:t xml:space="preserve"> že WoS nepokrývá vědní obory rovnoměrně. Zatímco v biomedicínských oborech je úroveň pokrytí velmi vysoká (přibližně 80 – 100 % titulů), matematika a technické/inženýrské obory jsou pokryty podstatně méně (60</w:t>
      </w:r>
      <w:r w:rsidR="009715C8">
        <w:t>%</w:t>
      </w:r>
      <w:r w:rsidR="000D6D11">
        <w:t xml:space="preserve"> </w:t>
      </w:r>
      <w:r w:rsidR="009715C8">
        <w:t>až</w:t>
      </w:r>
      <w:r w:rsidR="000D6D11">
        <w:t xml:space="preserve"> </w:t>
      </w:r>
      <w:r w:rsidR="000D6D11" w:rsidRPr="00C84F89">
        <w:t xml:space="preserve">80% zastoupení) a v sociálních vědách a humanitních oborech je zachycena pouze jedna třetina titulů. V této řadě tedy </w:t>
      </w:r>
      <w:r w:rsidR="00742677" w:rsidRPr="00C84F89">
        <w:t xml:space="preserve">klesá </w:t>
      </w:r>
      <w:r w:rsidR="000D6D11" w:rsidRPr="00C84F89">
        <w:t>i robustnost a spolehlivost závěrů o kvalitě a relevanci VaV založená citovanosti publikací</w:t>
      </w:r>
      <w:r w:rsidR="00F3746E">
        <w:t xml:space="preserve"> (což platí zejména v případě bibliometrické analýzy publikací z multidisciplinárního oboru, jako je BV)</w:t>
      </w:r>
      <w:r w:rsidR="000D6D11" w:rsidRPr="00C84F89">
        <w:t>.</w:t>
      </w:r>
    </w:p>
    <w:p w:rsidR="00B22EB9" w:rsidRDefault="00C84F89" w:rsidP="00C84F89">
      <w:r w:rsidRPr="00C84F89">
        <w:t xml:space="preserve">Počty záznamů v RIV, </w:t>
      </w:r>
      <w:r w:rsidR="00AB796C">
        <w:t xml:space="preserve">ke </w:t>
      </w:r>
      <w:r w:rsidRPr="00C84F89">
        <w:t>kterým se podařilo přiřadit citovanost</w:t>
      </w:r>
      <w:r w:rsidR="00AB796C">
        <w:t>,</w:t>
      </w:r>
      <w:r w:rsidRPr="00C84F89">
        <w:t xml:space="preserve"> jsou uvedeny v</w:t>
      </w:r>
      <w:r w:rsidR="00A67FBA">
        <w:t xml:space="preserve"> </w:t>
      </w:r>
      <w:r w:rsidR="00A67FBA">
        <w:fldChar w:fldCharType="begin"/>
      </w:r>
      <w:r w:rsidR="00A67FBA">
        <w:instrText xml:space="preserve"> REF  _Ref450499743 \* Lower \h  \* MERGEFORMAT </w:instrText>
      </w:r>
      <w:r w:rsidR="00A67FBA">
        <w:fldChar w:fldCharType="separate"/>
      </w:r>
      <w:r w:rsidR="003F08E5">
        <w:t xml:space="preserve">tab. </w:t>
      </w:r>
      <w:r w:rsidR="003F08E5">
        <w:rPr>
          <w:noProof/>
        </w:rPr>
        <w:t>21</w:t>
      </w:r>
      <w:r w:rsidR="00A67FBA">
        <w:fldChar w:fldCharType="end"/>
      </w:r>
      <w:r w:rsidR="00A67FBA">
        <w:t>.</w:t>
      </w:r>
      <w:r w:rsidR="00207EB0">
        <w:t xml:space="preserve"> </w:t>
      </w:r>
      <w:r w:rsidR="00A67FBA">
        <w:t xml:space="preserve">Kromě oborově normalizované citovanosti publikací vzniklých v projektech BV je v tabulce také uvedena </w:t>
      </w:r>
      <w:r w:rsidRPr="00C84F89">
        <w:t>průměrn</w:t>
      </w:r>
      <w:r w:rsidR="00A67FBA">
        <w:t xml:space="preserve">á </w:t>
      </w:r>
      <w:r w:rsidRPr="00C84F89">
        <w:t>oborově normalizovan</w:t>
      </w:r>
      <w:r w:rsidR="00A67FBA">
        <w:t>á</w:t>
      </w:r>
      <w:r w:rsidRPr="00C84F89">
        <w:t xml:space="preserve"> citovaností </w:t>
      </w:r>
      <w:r w:rsidR="00F2272E">
        <w:t xml:space="preserve">všech </w:t>
      </w:r>
      <w:r w:rsidRPr="00C84F89">
        <w:t>publikací</w:t>
      </w:r>
      <w:r w:rsidR="00F2272E">
        <w:t xml:space="preserve"> ČR</w:t>
      </w:r>
      <w:r w:rsidRPr="00C84F89">
        <w:rPr>
          <w:vertAlign w:val="superscript"/>
        </w:rPr>
        <w:footnoteReference w:id="22"/>
      </w:r>
      <w:r w:rsidR="00B22EB9">
        <w:t xml:space="preserve"> v širších oborech RIV. Počet publikací, ke kterým se podařilo přiřadit jejich citovanost, je však v řadě </w:t>
      </w:r>
      <w:r w:rsidRPr="00C84F89">
        <w:t xml:space="preserve">oborů příliš nízký na vyvození spolehlivých závěrů o míře relevance bezpečnostního výzkumu vzhledem ke světové úrovni </w:t>
      </w:r>
      <w:r w:rsidR="003E471D">
        <w:t>(dostateč</w:t>
      </w:r>
      <w:r w:rsidRPr="00C84F89">
        <w:t>ný počet publikací pro bibliometrické posouzení je pouze v oborech chemie, průmysl, věd</w:t>
      </w:r>
      <w:r w:rsidR="00742677">
        <w:t>y</w:t>
      </w:r>
      <w:r w:rsidRPr="00C84F89">
        <w:t xml:space="preserve"> o Zemi a lékařsk</w:t>
      </w:r>
      <w:r w:rsidR="00742677">
        <w:t>é</w:t>
      </w:r>
      <w:r w:rsidRPr="00C84F89">
        <w:t xml:space="preserve"> věd</w:t>
      </w:r>
      <w:r w:rsidR="00742677">
        <w:t>y</w:t>
      </w:r>
      <w:r w:rsidR="00B22EB9">
        <w:t>)</w:t>
      </w:r>
      <w:r w:rsidRPr="00C84F89">
        <w:t>.</w:t>
      </w:r>
    </w:p>
    <w:p w:rsidR="00B22EB9" w:rsidRDefault="00B22EB9" w:rsidP="00B22EB9">
      <w:r>
        <w:t xml:space="preserve">Z oborů, které mají dostatečně vysoký počet publikací, lze za kvalitní považovat chemii a vědy o Zemi. V chemii je </w:t>
      </w:r>
      <w:r w:rsidR="00C84F89" w:rsidRPr="00C84F89">
        <w:t xml:space="preserve">průměrná oborově normalizovaná citovanost </w:t>
      </w:r>
      <w:r>
        <w:t xml:space="preserve">publikací z BV </w:t>
      </w:r>
      <w:r w:rsidR="00C84F89" w:rsidRPr="00C84F89">
        <w:t>je prakticky rovna světovému průměru</w:t>
      </w:r>
      <w:r>
        <w:t xml:space="preserve">, ve vědách o Zemi je oborově normovaná citovanost publikací z projektů BV dokonce vyšší, než je světový průměr. Také ve srovnání </w:t>
      </w:r>
      <w:r w:rsidR="00C84F89" w:rsidRPr="00C84F89">
        <w:t xml:space="preserve">oborovým průměrem citovanosti </w:t>
      </w:r>
      <w:r>
        <w:t xml:space="preserve">ČR jsou oba obory nadprůměrné. </w:t>
      </w:r>
    </w:p>
    <w:p w:rsidR="00C84F89" w:rsidRPr="00C84F89" w:rsidRDefault="003E2CB9" w:rsidP="00C84F89">
      <w:r>
        <w:t>V</w:t>
      </w:r>
      <w:r w:rsidRPr="00C84F89">
        <w:t xml:space="preserve">elmi nízkou citovanost </w:t>
      </w:r>
      <w:r>
        <w:t xml:space="preserve">mají naopak </w:t>
      </w:r>
      <w:r w:rsidR="00C84F89" w:rsidRPr="00C84F89">
        <w:t>publikační výstupy v </w:t>
      </w:r>
      <w:r w:rsidR="00F20768">
        <w:t>l</w:t>
      </w:r>
      <w:r w:rsidR="00C84F89" w:rsidRPr="00C84F89">
        <w:t>ékařských vědách</w:t>
      </w:r>
      <w:r>
        <w:t xml:space="preserve"> (F)</w:t>
      </w:r>
      <w:r w:rsidR="00C84F89" w:rsidRPr="00C84F89">
        <w:t xml:space="preserve">, přestože celková citovanost </w:t>
      </w:r>
      <w:r w:rsidR="00B22EB9">
        <w:t xml:space="preserve">publikací </w:t>
      </w:r>
      <w:r w:rsidR="00C84F89" w:rsidRPr="00C84F89">
        <w:t xml:space="preserve">lékařských věd </w:t>
      </w:r>
      <w:r w:rsidR="00B22EB9">
        <w:t xml:space="preserve">(tj. všech publikací ČR) </w:t>
      </w:r>
      <w:r w:rsidR="00C84F89" w:rsidRPr="00C84F89">
        <w:t xml:space="preserve">je na solidní úrovni světového průměru. </w:t>
      </w:r>
      <w:r w:rsidR="00B22EB9">
        <w:t xml:space="preserve">Hluboko pod světovým průměrem je také citovanost v </w:t>
      </w:r>
      <w:r w:rsidR="00C84F89" w:rsidRPr="00C84F89">
        <w:t xml:space="preserve">oboru </w:t>
      </w:r>
      <w:r w:rsidR="00F20768">
        <w:t>p</w:t>
      </w:r>
      <w:r w:rsidR="00C84F89" w:rsidRPr="00C84F89">
        <w:t>růmysl</w:t>
      </w:r>
      <w:r>
        <w:t xml:space="preserve"> (J)</w:t>
      </w:r>
      <w:r w:rsidR="00B22EB9">
        <w:t xml:space="preserve">. Kvalita publikací z BV </w:t>
      </w:r>
      <w:r w:rsidR="00F20768">
        <w:t>v průmyslových oborech</w:t>
      </w:r>
      <w:r w:rsidR="00B22EB9">
        <w:t xml:space="preserve"> se však příliš neliší od průměrné citovanosti tohoto oboru v</w:t>
      </w:r>
      <w:r w:rsidR="00F20768">
        <w:t> </w:t>
      </w:r>
      <w:r w:rsidR="00B22EB9">
        <w:t>ČR</w:t>
      </w:r>
      <w:r w:rsidR="00F20768">
        <w:t>,</w:t>
      </w:r>
      <w:r w:rsidR="00554853">
        <w:t xml:space="preserve"> která je hluboko pod světovým průměrem</w:t>
      </w:r>
      <w:r w:rsidR="00554853" w:rsidRPr="002B0120">
        <w:t>.</w:t>
      </w:r>
      <w:r w:rsidR="00C84F89" w:rsidRPr="002B0120">
        <w:t xml:space="preserve"> </w:t>
      </w:r>
    </w:p>
    <w:p w:rsidR="00F3746E" w:rsidRDefault="00F3746E" w:rsidP="00F3746E">
      <w:pPr>
        <w:pStyle w:val="Titulek"/>
        <w:keepNext/>
      </w:pPr>
      <w:bookmarkStart w:id="88" w:name="_Ref450499743"/>
      <w:bookmarkStart w:id="89" w:name="_Ref452037764"/>
      <w:r>
        <w:lastRenderedPageBreak/>
        <w:t xml:space="preserve">Tab. </w:t>
      </w:r>
      <w:r w:rsidR="00990E2D">
        <w:fldChar w:fldCharType="begin"/>
      </w:r>
      <w:r w:rsidR="00990E2D">
        <w:instrText xml:space="preserve"> SEQ Tab. \* ARABIC </w:instrText>
      </w:r>
      <w:r w:rsidR="00990E2D">
        <w:fldChar w:fldCharType="separate"/>
      </w:r>
      <w:r w:rsidR="003F08E5">
        <w:rPr>
          <w:noProof/>
        </w:rPr>
        <w:t>21</w:t>
      </w:r>
      <w:r w:rsidR="00990E2D">
        <w:rPr>
          <w:noProof/>
        </w:rPr>
        <w:fldChar w:fldCharType="end"/>
      </w:r>
      <w:bookmarkEnd w:id="88"/>
      <w:r>
        <w:tab/>
      </w:r>
      <w:r w:rsidRPr="00F3746E">
        <w:t>Citovanost publikací v letech 2010 až 2013 přiřazených programům bezpečnostního výzkumu</w:t>
      </w:r>
      <w:r w:rsidR="002D1C6D">
        <w:t>. Zdroj: IS VaVaI, WoS</w:t>
      </w:r>
      <w:bookmarkEnd w:id="89"/>
    </w:p>
    <w:tbl>
      <w:tblPr>
        <w:tblW w:w="8946" w:type="dxa"/>
        <w:tblInd w:w="55" w:type="dxa"/>
        <w:tblLayout w:type="fixed"/>
        <w:tblCellMar>
          <w:left w:w="70" w:type="dxa"/>
          <w:right w:w="70" w:type="dxa"/>
        </w:tblCellMar>
        <w:tblLook w:val="04A0" w:firstRow="1" w:lastRow="0" w:firstColumn="1" w:lastColumn="0" w:noHBand="0" w:noVBand="1"/>
      </w:tblPr>
      <w:tblGrid>
        <w:gridCol w:w="2567"/>
        <w:gridCol w:w="1134"/>
        <w:gridCol w:w="1417"/>
        <w:gridCol w:w="1397"/>
        <w:gridCol w:w="1295"/>
        <w:gridCol w:w="1136"/>
      </w:tblGrid>
      <w:tr w:rsidR="00C84F89" w:rsidRPr="00554853" w:rsidTr="00554853">
        <w:trPr>
          <w:trHeight w:val="450"/>
        </w:trPr>
        <w:tc>
          <w:tcPr>
            <w:tcW w:w="2567" w:type="dxa"/>
            <w:tcBorders>
              <w:top w:val="single" w:sz="4" w:space="0" w:color="auto"/>
              <w:left w:val="nil"/>
              <w:bottom w:val="nil"/>
              <w:right w:val="nil"/>
            </w:tcBorders>
            <w:shd w:val="clear" w:color="auto" w:fill="D9D9D9" w:themeFill="background1" w:themeFillShade="D9"/>
            <w:vAlign w:val="center"/>
            <w:hideMark/>
          </w:tcPr>
          <w:p w:rsidR="00C84F89" w:rsidRPr="00554853" w:rsidRDefault="00C84F89" w:rsidP="00C84F89">
            <w:pPr>
              <w:spacing w:before="0" w:after="0"/>
              <w:jc w:val="center"/>
              <w:rPr>
                <w:rFonts w:eastAsia="Times New Roman" w:cs="Times New Roman"/>
                <w:b/>
                <w:bCs/>
                <w:color w:val="000000"/>
                <w:sz w:val="20"/>
                <w:szCs w:val="20"/>
                <w:lang w:eastAsia="cs-CZ"/>
              </w:rPr>
            </w:pPr>
            <w:r w:rsidRPr="00554853">
              <w:rPr>
                <w:rFonts w:eastAsia="Times New Roman" w:cs="Times New Roman"/>
                <w:b/>
                <w:bCs/>
                <w:color w:val="000000"/>
                <w:sz w:val="20"/>
                <w:szCs w:val="20"/>
                <w:lang w:eastAsia="cs-CZ"/>
              </w:rPr>
              <w:t>Obor</w:t>
            </w:r>
          </w:p>
        </w:tc>
        <w:tc>
          <w:tcPr>
            <w:tcW w:w="1134" w:type="dxa"/>
            <w:tcBorders>
              <w:top w:val="single" w:sz="4" w:space="0" w:color="auto"/>
              <w:left w:val="nil"/>
              <w:bottom w:val="nil"/>
              <w:right w:val="nil"/>
            </w:tcBorders>
            <w:shd w:val="clear" w:color="auto" w:fill="D9D9D9" w:themeFill="background1" w:themeFillShade="D9"/>
            <w:vAlign w:val="center"/>
            <w:hideMark/>
          </w:tcPr>
          <w:p w:rsidR="00C84F89" w:rsidRPr="00554853" w:rsidRDefault="00554853" w:rsidP="00554853">
            <w:pPr>
              <w:spacing w:before="0" w:after="0"/>
              <w:jc w:val="center"/>
              <w:rPr>
                <w:rFonts w:eastAsia="Times New Roman" w:cs="Times New Roman"/>
                <w:b/>
                <w:bCs/>
                <w:color w:val="000000"/>
                <w:sz w:val="20"/>
                <w:szCs w:val="20"/>
                <w:lang w:eastAsia="cs-CZ"/>
              </w:rPr>
            </w:pPr>
            <w:r w:rsidRPr="00554853">
              <w:rPr>
                <w:rFonts w:eastAsia="Times New Roman" w:cs="Times New Roman"/>
                <w:b/>
                <w:bCs/>
                <w:color w:val="000000"/>
                <w:sz w:val="20"/>
                <w:szCs w:val="20"/>
                <w:lang w:eastAsia="cs-CZ"/>
              </w:rPr>
              <w:t>P</w:t>
            </w:r>
            <w:r w:rsidR="00C84F89" w:rsidRPr="00554853">
              <w:rPr>
                <w:rFonts w:eastAsia="Times New Roman" w:cs="Times New Roman"/>
                <w:b/>
                <w:bCs/>
                <w:color w:val="000000"/>
                <w:sz w:val="20"/>
                <w:szCs w:val="20"/>
                <w:lang w:eastAsia="cs-CZ"/>
              </w:rPr>
              <w:t>očet publikací</w:t>
            </w:r>
            <w:r w:rsidRPr="00554853">
              <w:rPr>
                <w:rFonts w:eastAsia="Times New Roman" w:cs="Times New Roman"/>
                <w:b/>
                <w:bCs/>
                <w:color w:val="000000"/>
                <w:sz w:val="20"/>
                <w:szCs w:val="20"/>
                <w:lang w:eastAsia="cs-CZ"/>
              </w:rPr>
              <w:t xml:space="preserve"> BV</w:t>
            </w:r>
          </w:p>
        </w:tc>
        <w:tc>
          <w:tcPr>
            <w:tcW w:w="1417" w:type="dxa"/>
            <w:tcBorders>
              <w:top w:val="single" w:sz="4" w:space="0" w:color="auto"/>
              <w:left w:val="nil"/>
              <w:bottom w:val="nil"/>
              <w:right w:val="nil"/>
            </w:tcBorders>
            <w:shd w:val="clear" w:color="auto" w:fill="D9D9D9" w:themeFill="background1" w:themeFillShade="D9"/>
            <w:vAlign w:val="center"/>
            <w:hideMark/>
          </w:tcPr>
          <w:p w:rsidR="00C84F89" w:rsidRPr="00554853" w:rsidRDefault="00554853" w:rsidP="00C84F89">
            <w:pPr>
              <w:spacing w:before="0" w:after="0"/>
              <w:jc w:val="center"/>
              <w:rPr>
                <w:rFonts w:eastAsia="Times New Roman" w:cs="Times New Roman"/>
                <w:b/>
                <w:bCs/>
                <w:color w:val="000000"/>
                <w:sz w:val="20"/>
                <w:szCs w:val="20"/>
                <w:lang w:eastAsia="cs-CZ"/>
              </w:rPr>
            </w:pPr>
            <w:r w:rsidRPr="00554853">
              <w:rPr>
                <w:rFonts w:eastAsia="Times New Roman" w:cs="Times New Roman"/>
                <w:b/>
                <w:bCs/>
                <w:color w:val="000000"/>
                <w:sz w:val="20"/>
                <w:szCs w:val="20"/>
                <w:lang w:eastAsia="cs-CZ"/>
              </w:rPr>
              <w:t>N</w:t>
            </w:r>
            <w:r w:rsidR="00C84F89" w:rsidRPr="00554853">
              <w:rPr>
                <w:rFonts w:eastAsia="Times New Roman" w:cs="Times New Roman"/>
                <w:b/>
                <w:bCs/>
                <w:color w:val="000000"/>
                <w:sz w:val="20"/>
                <w:szCs w:val="20"/>
                <w:lang w:eastAsia="cs-CZ"/>
              </w:rPr>
              <w:t>ormalizovaná citovanost</w:t>
            </w:r>
            <w:r w:rsidRPr="00554853">
              <w:rPr>
                <w:rFonts w:eastAsia="Times New Roman" w:cs="Times New Roman"/>
                <w:b/>
                <w:bCs/>
                <w:color w:val="000000"/>
                <w:sz w:val="20"/>
                <w:szCs w:val="20"/>
                <w:lang w:eastAsia="cs-CZ"/>
              </w:rPr>
              <w:t xml:space="preserve"> BV</w:t>
            </w:r>
          </w:p>
        </w:tc>
        <w:tc>
          <w:tcPr>
            <w:tcW w:w="1397" w:type="dxa"/>
            <w:tcBorders>
              <w:top w:val="single" w:sz="4" w:space="0" w:color="auto"/>
              <w:left w:val="nil"/>
              <w:bottom w:val="nil"/>
              <w:right w:val="nil"/>
            </w:tcBorders>
            <w:shd w:val="clear" w:color="auto" w:fill="D9D9D9" w:themeFill="background1" w:themeFillShade="D9"/>
            <w:vAlign w:val="center"/>
            <w:hideMark/>
          </w:tcPr>
          <w:p w:rsidR="00C84F89" w:rsidRPr="00554853" w:rsidRDefault="00554853" w:rsidP="00C84F89">
            <w:pPr>
              <w:spacing w:before="0" w:after="0"/>
              <w:jc w:val="center"/>
              <w:rPr>
                <w:rFonts w:eastAsia="Times New Roman" w:cs="Times New Roman"/>
                <w:b/>
                <w:bCs/>
                <w:color w:val="000000"/>
                <w:sz w:val="20"/>
                <w:szCs w:val="20"/>
                <w:lang w:eastAsia="cs-CZ"/>
              </w:rPr>
            </w:pPr>
            <w:r w:rsidRPr="00554853">
              <w:rPr>
                <w:rFonts w:eastAsia="Times New Roman" w:cs="Times New Roman"/>
                <w:b/>
                <w:bCs/>
                <w:color w:val="000000"/>
                <w:sz w:val="20"/>
                <w:szCs w:val="20"/>
                <w:lang w:eastAsia="cs-CZ"/>
              </w:rPr>
              <w:t>N</w:t>
            </w:r>
            <w:r w:rsidR="00C84F89" w:rsidRPr="00554853">
              <w:rPr>
                <w:rFonts w:eastAsia="Times New Roman" w:cs="Times New Roman"/>
                <w:b/>
                <w:bCs/>
                <w:color w:val="000000"/>
                <w:sz w:val="20"/>
                <w:szCs w:val="20"/>
                <w:lang w:eastAsia="cs-CZ"/>
              </w:rPr>
              <w:t>ormalizovaná citovanost ČR</w:t>
            </w:r>
          </w:p>
        </w:tc>
        <w:tc>
          <w:tcPr>
            <w:tcW w:w="1295" w:type="dxa"/>
            <w:tcBorders>
              <w:top w:val="single" w:sz="4" w:space="0" w:color="auto"/>
              <w:left w:val="nil"/>
              <w:bottom w:val="nil"/>
              <w:right w:val="nil"/>
            </w:tcBorders>
            <w:shd w:val="clear" w:color="auto" w:fill="D9D9D9" w:themeFill="background1" w:themeFillShade="D9"/>
            <w:vAlign w:val="center"/>
            <w:hideMark/>
          </w:tcPr>
          <w:p w:rsidR="00C84F89" w:rsidRPr="00554853" w:rsidRDefault="00554853" w:rsidP="00C84F89">
            <w:pPr>
              <w:spacing w:before="0" w:after="0"/>
              <w:jc w:val="center"/>
              <w:rPr>
                <w:rFonts w:eastAsia="Times New Roman" w:cs="Times New Roman"/>
                <w:b/>
                <w:bCs/>
                <w:color w:val="000000"/>
                <w:sz w:val="20"/>
                <w:szCs w:val="20"/>
                <w:lang w:eastAsia="cs-CZ"/>
              </w:rPr>
            </w:pPr>
            <w:r w:rsidRPr="00554853">
              <w:rPr>
                <w:rFonts w:eastAsia="Times New Roman" w:cs="Times New Roman"/>
                <w:b/>
                <w:bCs/>
                <w:color w:val="000000"/>
                <w:sz w:val="20"/>
                <w:szCs w:val="20"/>
                <w:lang w:eastAsia="cs-CZ"/>
              </w:rPr>
              <w:t>C</w:t>
            </w:r>
            <w:r w:rsidR="00C84F89" w:rsidRPr="00554853">
              <w:rPr>
                <w:rFonts w:eastAsia="Times New Roman" w:cs="Times New Roman"/>
                <w:b/>
                <w:bCs/>
                <w:color w:val="000000"/>
                <w:sz w:val="20"/>
                <w:szCs w:val="20"/>
                <w:lang w:eastAsia="cs-CZ"/>
              </w:rPr>
              <w:t>itovanost</w:t>
            </w:r>
            <w:r w:rsidRPr="00554853">
              <w:rPr>
                <w:rFonts w:eastAsia="Times New Roman" w:cs="Times New Roman"/>
                <w:b/>
                <w:bCs/>
                <w:color w:val="000000"/>
                <w:sz w:val="20"/>
                <w:szCs w:val="20"/>
                <w:lang w:eastAsia="cs-CZ"/>
              </w:rPr>
              <w:t xml:space="preserve"> BV</w:t>
            </w:r>
            <w:r w:rsidR="00C84F89" w:rsidRPr="00554853">
              <w:rPr>
                <w:rFonts w:eastAsia="Times New Roman" w:cs="Times New Roman"/>
                <w:b/>
                <w:bCs/>
                <w:color w:val="000000"/>
                <w:sz w:val="20"/>
                <w:szCs w:val="20"/>
                <w:lang w:eastAsia="cs-CZ"/>
              </w:rPr>
              <w:t xml:space="preserve"> relativně k ČR</w:t>
            </w:r>
          </w:p>
        </w:tc>
        <w:tc>
          <w:tcPr>
            <w:tcW w:w="1136" w:type="dxa"/>
            <w:tcBorders>
              <w:top w:val="single" w:sz="4" w:space="0" w:color="auto"/>
              <w:left w:val="nil"/>
              <w:bottom w:val="nil"/>
              <w:right w:val="nil"/>
            </w:tcBorders>
            <w:shd w:val="clear" w:color="auto" w:fill="D9D9D9" w:themeFill="background1" w:themeFillShade="D9"/>
            <w:vAlign w:val="center"/>
            <w:hideMark/>
          </w:tcPr>
          <w:p w:rsidR="00C84F89" w:rsidRPr="00554853" w:rsidRDefault="00554853" w:rsidP="00C84F89">
            <w:pPr>
              <w:spacing w:before="0" w:after="0"/>
              <w:jc w:val="center"/>
              <w:rPr>
                <w:rFonts w:eastAsia="Times New Roman" w:cs="Times New Roman"/>
                <w:b/>
                <w:bCs/>
                <w:color w:val="000000"/>
                <w:sz w:val="20"/>
                <w:szCs w:val="20"/>
                <w:lang w:eastAsia="cs-CZ"/>
              </w:rPr>
            </w:pPr>
            <w:r w:rsidRPr="00554853">
              <w:rPr>
                <w:rFonts w:eastAsia="Times New Roman" w:cs="Times New Roman"/>
                <w:b/>
                <w:bCs/>
                <w:color w:val="000000"/>
                <w:sz w:val="20"/>
                <w:szCs w:val="20"/>
                <w:lang w:eastAsia="cs-CZ"/>
              </w:rPr>
              <w:t>P</w:t>
            </w:r>
            <w:r w:rsidR="00C84F89" w:rsidRPr="00554853">
              <w:rPr>
                <w:rFonts w:eastAsia="Times New Roman" w:cs="Times New Roman"/>
                <w:b/>
                <w:bCs/>
                <w:color w:val="000000"/>
                <w:sz w:val="20"/>
                <w:szCs w:val="20"/>
                <w:lang w:eastAsia="cs-CZ"/>
              </w:rPr>
              <w:t>odíl v oboru</w:t>
            </w:r>
          </w:p>
        </w:tc>
      </w:tr>
      <w:tr w:rsidR="00C84F89" w:rsidRPr="00554853" w:rsidTr="00554853">
        <w:trPr>
          <w:trHeight w:val="300"/>
        </w:trPr>
        <w:tc>
          <w:tcPr>
            <w:tcW w:w="2567" w:type="dxa"/>
            <w:tcBorders>
              <w:top w:val="single" w:sz="4" w:space="0" w:color="auto"/>
              <w:left w:val="nil"/>
              <w:bottom w:val="nil"/>
              <w:right w:val="nil"/>
            </w:tcBorders>
            <w:shd w:val="clear" w:color="auto" w:fill="auto"/>
            <w:noWrap/>
            <w:vAlign w:val="center"/>
            <w:hideMark/>
          </w:tcPr>
          <w:p w:rsidR="00C84F89" w:rsidRPr="00554853" w:rsidRDefault="00C84F89" w:rsidP="00C84F89">
            <w:pPr>
              <w:spacing w:before="0" w:after="0"/>
              <w:jc w:val="left"/>
              <w:rPr>
                <w:rFonts w:eastAsia="Times New Roman" w:cs="Times New Roman"/>
                <w:color w:val="000000"/>
                <w:sz w:val="20"/>
                <w:szCs w:val="20"/>
                <w:lang w:eastAsia="cs-CZ"/>
              </w:rPr>
            </w:pPr>
            <w:r w:rsidRPr="00554853">
              <w:rPr>
                <w:rFonts w:eastAsia="Times New Roman" w:cs="Times New Roman"/>
                <w:color w:val="000000"/>
                <w:sz w:val="20"/>
                <w:szCs w:val="20"/>
                <w:lang w:eastAsia="cs-CZ"/>
              </w:rPr>
              <w:t>Společenské vědy bez AQ</w:t>
            </w:r>
          </w:p>
        </w:tc>
        <w:tc>
          <w:tcPr>
            <w:tcW w:w="1134" w:type="dxa"/>
            <w:tcBorders>
              <w:top w:val="single" w:sz="4" w:space="0" w:color="auto"/>
              <w:left w:val="nil"/>
              <w:bottom w:val="nil"/>
              <w:right w:val="nil"/>
            </w:tcBorders>
            <w:shd w:val="clear" w:color="auto" w:fill="auto"/>
            <w:noWrap/>
            <w:vAlign w:val="center"/>
            <w:hideMark/>
          </w:tcPr>
          <w:p w:rsidR="00C84F89" w:rsidRPr="00554853" w:rsidRDefault="00C84F89" w:rsidP="00554853">
            <w:pPr>
              <w:spacing w:before="0" w:after="0"/>
              <w:ind w:left="-354" w:right="355"/>
              <w:jc w:val="right"/>
              <w:rPr>
                <w:rFonts w:eastAsia="Times New Roman" w:cs="Times New Roman"/>
                <w:color w:val="000000"/>
                <w:sz w:val="20"/>
                <w:szCs w:val="20"/>
                <w:lang w:eastAsia="cs-CZ"/>
              </w:rPr>
            </w:pPr>
            <w:r w:rsidRPr="00554853">
              <w:rPr>
                <w:rFonts w:eastAsia="Times New Roman" w:cs="Times New Roman"/>
                <w:color w:val="000000"/>
                <w:sz w:val="20"/>
                <w:szCs w:val="20"/>
                <w:lang w:eastAsia="cs-CZ"/>
              </w:rPr>
              <w:t>9</w:t>
            </w:r>
          </w:p>
        </w:tc>
        <w:tc>
          <w:tcPr>
            <w:tcW w:w="1417" w:type="dxa"/>
            <w:tcBorders>
              <w:top w:val="single" w:sz="4" w:space="0" w:color="auto"/>
              <w:left w:val="nil"/>
              <w:bottom w:val="nil"/>
              <w:right w:val="nil"/>
            </w:tcBorders>
            <w:shd w:val="clear" w:color="auto" w:fill="auto"/>
            <w:noWrap/>
            <w:vAlign w:val="center"/>
            <w:hideMark/>
          </w:tcPr>
          <w:p w:rsidR="00C84F89" w:rsidRPr="00554853" w:rsidRDefault="00C84F89" w:rsidP="00C84F89">
            <w:pPr>
              <w:spacing w:before="0" w:after="0"/>
              <w:jc w:val="center"/>
              <w:rPr>
                <w:rFonts w:eastAsia="Times New Roman" w:cs="Times New Roman"/>
                <w:color w:val="000000"/>
                <w:sz w:val="20"/>
                <w:szCs w:val="20"/>
                <w:lang w:eastAsia="cs-CZ"/>
              </w:rPr>
            </w:pPr>
            <w:r w:rsidRPr="00554853">
              <w:rPr>
                <w:rFonts w:eastAsia="Times New Roman" w:cs="Times New Roman"/>
                <w:color w:val="000000"/>
                <w:sz w:val="20"/>
                <w:szCs w:val="20"/>
                <w:lang w:eastAsia="cs-CZ"/>
              </w:rPr>
              <w:t>0</w:t>
            </w:r>
            <w:r w:rsidR="00A67FBA" w:rsidRPr="00554853">
              <w:rPr>
                <w:rFonts w:eastAsia="Times New Roman" w:cs="Times New Roman"/>
                <w:color w:val="000000"/>
                <w:sz w:val="20"/>
                <w:szCs w:val="20"/>
                <w:lang w:eastAsia="cs-CZ"/>
              </w:rPr>
              <w:t>,</w:t>
            </w:r>
            <w:r w:rsidRPr="00554853">
              <w:rPr>
                <w:rFonts w:eastAsia="Times New Roman" w:cs="Times New Roman"/>
                <w:color w:val="000000"/>
                <w:sz w:val="20"/>
                <w:szCs w:val="20"/>
                <w:lang w:eastAsia="cs-CZ"/>
              </w:rPr>
              <w:t>24</w:t>
            </w:r>
          </w:p>
        </w:tc>
        <w:tc>
          <w:tcPr>
            <w:tcW w:w="1397" w:type="dxa"/>
            <w:tcBorders>
              <w:top w:val="single" w:sz="4" w:space="0" w:color="auto"/>
              <w:left w:val="nil"/>
              <w:bottom w:val="nil"/>
              <w:right w:val="nil"/>
            </w:tcBorders>
            <w:shd w:val="clear" w:color="auto" w:fill="auto"/>
            <w:noWrap/>
            <w:vAlign w:val="center"/>
            <w:hideMark/>
          </w:tcPr>
          <w:p w:rsidR="00C84F89" w:rsidRPr="00554853" w:rsidRDefault="00C84F89" w:rsidP="00C84F89">
            <w:pPr>
              <w:spacing w:before="0" w:after="0"/>
              <w:jc w:val="center"/>
              <w:rPr>
                <w:rFonts w:eastAsia="Times New Roman" w:cs="Times New Roman"/>
                <w:color w:val="000000"/>
                <w:sz w:val="20"/>
                <w:szCs w:val="20"/>
                <w:lang w:eastAsia="cs-CZ"/>
              </w:rPr>
            </w:pPr>
            <w:r w:rsidRPr="00554853">
              <w:rPr>
                <w:rFonts w:eastAsia="Times New Roman" w:cs="Times New Roman"/>
                <w:color w:val="000000"/>
                <w:sz w:val="20"/>
                <w:szCs w:val="20"/>
                <w:lang w:eastAsia="cs-CZ"/>
              </w:rPr>
              <w:t>0</w:t>
            </w:r>
            <w:r w:rsidR="00A67FBA" w:rsidRPr="00554853">
              <w:rPr>
                <w:rFonts w:eastAsia="Times New Roman" w:cs="Times New Roman"/>
                <w:color w:val="000000"/>
                <w:sz w:val="20"/>
                <w:szCs w:val="20"/>
                <w:lang w:eastAsia="cs-CZ"/>
              </w:rPr>
              <w:t>,</w:t>
            </w:r>
            <w:r w:rsidRPr="00554853">
              <w:rPr>
                <w:rFonts w:eastAsia="Times New Roman" w:cs="Times New Roman"/>
                <w:color w:val="000000"/>
                <w:sz w:val="20"/>
                <w:szCs w:val="20"/>
                <w:lang w:eastAsia="cs-CZ"/>
              </w:rPr>
              <w:t>60</w:t>
            </w:r>
          </w:p>
        </w:tc>
        <w:tc>
          <w:tcPr>
            <w:tcW w:w="1295" w:type="dxa"/>
            <w:tcBorders>
              <w:top w:val="single" w:sz="4" w:space="0" w:color="auto"/>
              <w:left w:val="nil"/>
              <w:bottom w:val="nil"/>
              <w:right w:val="nil"/>
            </w:tcBorders>
            <w:shd w:val="clear" w:color="auto" w:fill="auto"/>
            <w:noWrap/>
            <w:vAlign w:val="center"/>
            <w:hideMark/>
          </w:tcPr>
          <w:p w:rsidR="00C84F89" w:rsidRPr="00554853" w:rsidRDefault="00C84F89" w:rsidP="00C84F89">
            <w:pPr>
              <w:spacing w:before="0" w:after="0"/>
              <w:ind w:left="-354" w:right="355"/>
              <w:jc w:val="right"/>
              <w:rPr>
                <w:rFonts w:eastAsia="Times New Roman" w:cs="Times New Roman"/>
                <w:color w:val="000000"/>
                <w:sz w:val="20"/>
                <w:szCs w:val="20"/>
                <w:lang w:eastAsia="cs-CZ"/>
              </w:rPr>
            </w:pPr>
            <w:r w:rsidRPr="00554853">
              <w:rPr>
                <w:rFonts w:eastAsia="Times New Roman" w:cs="Times New Roman"/>
                <w:color w:val="000000"/>
                <w:sz w:val="20"/>
                <w:szCs w:val="20"/>
                <w:lang w:eastAsia="cs-CZ"/>
              </w:rPr>
              <w:t>40</w:t>
            </w:r>
          </w:p>
        </w:tc>
        <w:tc>
          <w:tcPr>
            <w:tcW w:w="1136" w:type="dxa"/>
            <w:tcBorders>
              <w:top w:val="single" w:sz="4" w:space="0" w:color="auto"/>
              <w:left w:val="nil"/>
              <w:bottom w:val="nil"/>
              <w:right w:val="nil"/>
            </w:tcBorders>
            <w:shd w:val="clear" w:color="auto" w:fill="auto"/>
            <w:noWrap/>
            <w:vAlign w:val="center"/>
            <w:hideMark/>
          </w:tcPr>
          <w:p w:rsidR="00C84F89" w:rsidRPr="00554853" w:rsidRDefault="00C84F89" w:rsidP="00C84F89">
            <w:pPr>
              <w:spacing w:before="0" w:after="0"/>
              <w:jc w:val="right"/>
              <w:rPr>
                <w:rFonts w:eastAsia="Times New Roman" w:cs="Times New Roman"/>
                <w:color w:val="000000"/>
                <w:sz w:val="20"/>
                <w:szCs w:val="20"/>
                <w:lang w:eastAsia="cs-CZ"/>
              </w:rPr>
            </w:pPr>
            <w:r w:rsidRPr="00554853">
              <w:rPr>
                <w:rFonts w:eastAsia="Times New Roman" w:cs="Times New Roman"/>
                <w:color w:val="000000"/>
                <w:sz w:val="20"/>
                <w:szCs w:val="20"/>
                <w:lang w:eastAsia="cs-CZ"/>
              </w:rPr>
              <w:t>0</w:t>
            </w:r>
            <w:r w:rsidR="00A67FBA" w:rsidRPr="00554853">
              <w:rPr>
                <w:rFonts w:eastAsia="Times New Roman" w:cs="Times New Roman"/>
                <w:color w:val="000000"/>
                <w:sz w:val="20"/>
                <w:szCs w:val="20"/>
                <w:lang w:eastAsia="cs-CZ"/>
              </w:rPr>
              <w:t>,</w:t>
            </w:r>
            <w:r w:rsidRPr="00554853">
              <w:rPr>
                <w:rFonts w:eastAsia="Times New Roman" w:cs="Times New Roman"/>
                <w:color w:val="000000"/>
                <w:sz w:val="20"/>
                <w:szCs w:val="20"/>
                <w:lang w:eastAsia="cs-CZ"/>
              </w:rPr>
              <w:t>29%</w:t>
            </w:r>
          </w:p>
        </w:tc>
      </w:tr>
      <w:tr w:rsidR="00C84F89" w:rsidRPr="00554853" w:rsidTr="00554853">
        <w:trPr>
          <w:trHeight w:val="300"/>
        </w:trPr>
        <w:tc>
          <w:tcPr>
            <w:tcW w:w="2567" w:type="dxa"/>
            <w:tcBorders>
              <w:top w:val="nil"/>
              <w:left w:val="nil"/>
              <w:bottom w:val="nil"/>
              <w:right w:val="nil"/>
            </w:tcBorders>
            <w:shd w:val="clear" w:color="auto" w:fill="auto"/>
            <w:noWrap/>
            <w:vAlign w:val="center"/>
            <w:hideMark/>
          </w:tcPr>
          <w:p w:rsidR="00C84F89" w:rsidRPr="00554853" w:rsidRDefault="00C84F89" w:rsidP="00C84F89">
            <w:pPr>
              <w:spacing w:before="0" w:after="0"/>
              <w:jc w:val="left"/>
              <w:rPr>
                <w:rFonts w:eastAsia="Times New Roman" w:cs="Times New Roman"/>
                <w:color w:val="000000"/>
                <w:sz w:val="20"/>
                <w:szCs w:val="20"/>
                <w:lang w:eastAsia="cs-CZ"/>
              </w:rPr>
            </w:pPr>
            <w:r w:rsidRPr="00554853">
              <w:rPr>
                <w:rFonts w:eastAsia="Times New Roman" w:cs="Times New Roman"/>
                <w:color w:val="000000"/>
                <w:sz w:val="20"/>
                <w:szCs w:val="20"/>
                <w:lang w:eastAsia="cs-CZ"/>
              </w:rPr>
              <w:t>Bezpečnost a ochrana zdraví, člověk – stroj (AQ)</w:t>
            </w:r>
          </w:p>
        </w:tc>
        <w:tc>
          <w:tcPr>
            <w:tcW w:w="1134" w:type="dxa"/>
            <w:tcBorders>
              <w:top w:val="nil"/>
              <w:left w:val="nil"/>
              <w:bottom w:val="nil"/>
              <w:right w:val="nil"/>
            </w:tcBorders>
            <w:shd w:val="clear" w:color="auto" w:fill="auto"/>
            <w:noWrap/>
            <w:vAlign w:val="center"/>
            <w:hideMark/>
          </w:tcPr>
          <w:p w:rsidR="00C84F89" w:rsidRPr="00554853" w:rsidRDefault="00C84F89" w:rsidP="00554853">
            <w:pPr>
              <w:spacing w:before="0" w:after="0"/>
              <w:ind w:left="-354" w:right="355"/>
              <w:jc w:val="right"/>
              <w:rPr>
                <w:rFonts w:eastAsia="Times New Roman" w:cs="Times New Roman"/>
                <w:color w:val="000000"/>
                <w:sz w:val="20"/>
                <w:szCs w:val="20"/>
                <w:lang w:eastAsia="cs-CZ"/>
              </w:rPr>
            </w:pPr>
            <w:r w:rsidRPr="00554853">
              <w:rPr>
                <w:rFonts w:eastAsia="Times New Roman" w:cs="Times New Roman"/>
                <w:color w:val="000000"/>
                <w:sz w:val="20"/>
                <w:szCs w:val="20"/>
                <w:lang w:eastAsia="cs-CZ"/>
              </w:rPr>
              <w:t>6</w:t>
            </w:r>
          </w:p>
        </w:tc>
        <w:tc>
          <w:tcPr>
            <w:tcW w:w="1417" w:type="dxa"/>
            <w:tcBorders>
              <w:top w:val="nil"/>
              <w:left w:val="nil"/>
              <w:bottom w:val="nil"/>
              <w:right w:val="nil"/>
            </w:tcBorders>
            <w:shd w:val="clear" w:color="auto" w:fill="auto"/>
            <w:noWrap/>
            <w:vAlign w:val="center"/>
            <w:hideMark/>
          </w:tcPr>
          <w:p w:rsidR="00C84F89" w:rsidRPr="00554853" w:rsidRDefault="00C84F89" w:rsidP="00C84F89">
            <w:pPr>
              <w:spacing w:before="0" w:after="0"/>
              <w:jc w:val="center"/>
              <w:rPr>
                <w:rFonts w:eastAsia="Times New Roman" w:cs="Times New Roman"/>
                <w:color w:val="000000"/>
                <w:sz w:val="20"/>
                <w:szCs w:val="20"/>
                <w:lang w:eastAsia="cs-CZ"/>
              </w:rPr>
            </w:pPr>
            <w:r w:rsidRPr="00554853">
              <w:rPr>
                <w:rFonts w:eastAsia="Times New Roman" w:cs="Times New Roman"/>
                <w:color w:val="000000"/>
                <w:sz w:val="20"/>
                <w:szCs w:val="20"/>
                <w:lang w:eastAsia="cs-CZ"/>
              </w:rPr>
              <w:t>0</w:t>
            </w:r>
            <w:r w:rsidR="00A67FBA" w:rsidRPr="00554853">
              <w:rPr>
                <w:rFonts w:eastAsia="Times New Roman" w:cs="Times New Roman"/>
                <w:color w:val="000000"/>
                <w:sz w:val="20"/>
                <w:szCs w:val="20"/>
                <w:lang w:eastAsia="cs-CZ"/>
              </w:rPr>
              <w:t>,</w:t>
            </w:r>
            <w:r w:rsidRPr="00554853">
              <w:rPr>
                <w:rFonts w:eastAsia="Times New Roman" w:cs="Times New Roman"/>
                <w:color w:val="000000"/>
                <w:sz w:val="20"/>
                <w:szCs w:val="20"/>
                <w:lang w:eastAsia="cs-CZ"/>
              </w:rPr>
              <w:t>21</w:t>
            </w:r>
          </w:p>
        </w:tc>
        <w:tc>
          <w:tcPr>
            <w:tcW w:w="1397" w:type="dxa"/>
            <w:tcBorders>
              <w:top w:val="nil"/>
              <w:left w:val="nil"/>
              <w:bottom w:val="nil"/>
              <w:right w:val="nil"/>
            </w:tcBorders>
            <w:shd w:val="clear" w:color="auto" w:fill="auto"/>
            <w:noWrap/>
            <w:vAlign w:val="center"/>
            <w:hideMark/>
          </w:tcPr>
          <w:p w:rsidR="00C84F89" w:rsidRPr="00554853" w:rsidRDefault="00C84F89" w:rsidP="00C84F89">
            <w:pPr>
              <w:spacing w:before="0" w:after="0"/>
              <w:jc w:val="center"/>
              <w:rPr>
                <w:rFonts w:eastAsia="Times New Roman" w:cs="Times New Roman"/>
                <w:color w:val="000000"/>
                <w:sz w:val="20"/>
                <w:szCs w:val="20"/>
                <w:lang w:eastAsia="cs-CZ"/>
              </w:rPr>
            </w:pPr>
            <w:r w:rsidRPr="00554853">
              <w:rPr>
                <w:rFonts w:eastAsia="Times New Roman" w:cs="Times New Roman"/>
                <w:color w:val="000000"/>
                <w:sz w:val="20"/>
                <w:szCs w:val="20"/>
                <w:lang w:eastAsia="cs-CZ"/>
              </w:rPr>
              <w:t>0</w:t>
            </w:r>
            <w:r w:rsidR="00A67FBA" w:rsidRPr="00554853">
              <w:rPr>
                <w:rFonts w:eastAsia="Times New Roman" w:cs="Times New Roman"/>
                <w:color w:val="000000"/>
                <w:sz w:val="20"/>
                <w:szCs w:val="20"/>
                <w:lang w:eastAsia="cs-CZ"/>
              </w:rPr>
              <w:t>,</w:t>
            </w:r>
            <w:r w:rsidRPr="00554853">
              <w:rPr>
                <w:rFonts w:eastAsia="Times New Roman" w:cs="Times New Roman"/>
                <w:color w:val="000000"/>
                <w:sz w:val="20"/>
                <w:szCs w:val="20"/>
                <w:lang w:eastAsia="cs-CZ"/>
              </w:rPr>
              <w:t>37</w:t>
            </w:r>
          </w:p>
        </w:tc>
        <w:tc>
          <w:tcPr>
            <w:tcW w:w="1295" w:type="dxa"/>
            <w:tcBorders>
              <w:top w:val="nil"/>
              <w:left w:val="nil"/>
              <w:bottom w:val="nil"/>
              <w:right w:val="nil"/>
            </w:tcBorders>
            <w:shd w:val="clear" w:color="auto" w:fill="auto"/>
            <w:noWrap/>
            <w:vAlign w:val="center"/>
            <w:hideMark/>
          </w:tcPr>
          <w:p w:rsidR="00C84F89" w:rsidRPr="00554853" w:rsidRDefault="00C84F89" w:rsidP="00C84F89">
            <w:pPr>
              <w:spacing w:before="0" w:after="0"/>
              <w:ind w:left="-354" w:right="355"/>
              <w:jc w:val="right"/>
              <w:rPr>
                <w:rFonts w:eastAsia="Times New Roman" w:cs="Times New Roman"/>
                <w:color w:val="000000"/>
                <w:sz w:val="20"/>
                <w:szCs w:val="20"/>
                <w:lang w:eastAsia="cs-CZ"/>
              </w:rPr>
            </w:pPr>
            <w:r w:rsidRPr="00554853">
              <w:rPr>
                <w:rFonts w:eastAsia="Times New Roman" w:cs="Times New Roman"/>
                <w:color w:val="000000"/>
                <w:sz w:val="20"/>
                <w:szCs w:val="20"/>
                <w:lang w:eastAsia="cs-CZ"/>
              </w:rPr>
              <w:t>57</w:t>
            </w:r>
          </w:p>
        </w:tc>
        <w:tc>
          <w:tcPr>
            <w:tcW w:w="1136" w:type="dxa"/>
            <w:tcBorders>
              <w:top w:val="nil"/>
              <w:left w:val="nil"/>
              <w:bottom w:val="nil"/>
              <w:right w:val="nil"/>
            </w:tcBorders>
            <w:shd w:val="clear" w:color="auto" w:fill="auto"/>
            <w:noWrap/>
            <w:vAlign w:val="center"/>
            <w:hideMark/>
          </w:tcPr>
          <w:p w:rsidR="00C84F89" w:rsidRPr="00554853" w:rsidRDefault="00C84F89" w:rsidP="00C84F89">
            <w:pPr>
              <w:spacing w:before="0" w:after="0"/>
              <w:jc w:val="right"/>
              <w:rPr>
                <w:rFonts w:eastAsia="Times New Roman" w:cs="Times New Roman"/>
                <w:color w:val="000000"/>
                <w:sz w:val="20"/>
                <w:szCs w:val="20"/>
                <w:lang w:eastAsia="cs-CZ"/>
              </w:rPr>
            </w:pPr>
            <w:r w:rsidRPr="00554853">
              <w:rPr>
                <w:rFonts w:eastAsia="Times New Roman" w:cs="Times New Roman"/>
                <w:color w:val="000000"/>
                <w:sz w:val="20"/>
                <w:szCs w:val="20"/>
                <w:lang w:eastAsia="cs-CZ"/>
              </w:rPr>
              <w:t>18</w:t>
            </w:r>
            <w:r w:rsidR="00A67FBA" w:rsidRPr="00554853">
              <w:rPr>
                <w:rFonts w:eastAsia="Times New Roman" w:cs="Times New Roman"/>
                <w:color w:val="000000"/>
                <w:sz w:val="20"/>
                <w:szCs w:val="20"/>
                <w:lang w:eastAsia="cs-CZ"/>
              </w:rPr>
              <w:t>,</w:t>
            </w:r>
            <w:r w:rsidRPr="00554853">
              <w:rPr>
                <w:rFonts w:eastAsia="Times New Roman" w:cs="Times New Roman"/>
                <w:color w:val="000000"/>
                <w:sz w:val="20"/>
                <w:szCs w:val="20"/>
                <w:lang w:eastAsia="cs-CZ"/>
              </w:rPr>
              <w:t>75%</w:t>
            </w:r>
          </w:p>
        </w:tc>
      </w:tr>
      <w:tr w:rsidR="00C84F89" w:rsidRPr="00554853" w:rsidTr="00554853">
        <w:trPr>
          <w:trHeight w:val="300"/>
        </w:trPr>
        <w:tc>
          <w:tcPr>
            <w:tcW w:w="2567" w:type="dxa"/>
            <w:tcBorders>
              <w:top w:val="nil"/>
              <w:left w:val="nil"/>
              <w:bottom w:val="nil"/>
              <w:right w:val="nil"/>
            </w:tcBorders>
            <w:shd w:val="clear" w:color="auto" w:fill="auto"/>
            <w:noWrap/>
            <w:vAlign w:val="center"/>
            <w:hideMark/>
          </w:tcPr>
          <w:p w:rsidR="00C84F89" w:rsidRPr="00554853" w:rsidRDefault="00C84F89" w:rsidP="00C84F89">
            <w:pPr>
              <w:spacing w:before="0" w:after="0"/>
              <w:jc w:val="left"/>
              <w:rPr>
                <w:rFonts w:eastAsia="Times New Roman" w:cs="Times New Roman"/>
                <w:color w:val="000000"/>
                <w:sz w:val="20"/>
                <w:szCs w:val="20"/>
                <w:lang w:eastAsia="cs-CZ"/>
              </w:rPr>
            </w:pPr>
            <w:r w:rsidRPr="00554853">
              <w:rPr>
                <w:rFonts w:eastAsia="Times New Roman" w:cs="Times New Roman"/>
                <w:color w:val="000000"/>
                <w:sz w:val="20"/>
                <w:szCs w:val="20"/>
                <w:lang w:eastAsia="cs-CZ"/>
              </w:rPr>
              <w:t>Fyzika a matematika</w:t>
            </w:r>
          </w:p>
        </w:tc>
        <w:tc>
          <w:tcPr>
            <w:tcW w:w="1134" w:type="dxa"/>
            <w:tcBorders>
              <w:top w:val="nil"/>
              <w:left w:val="nil"/>
              <w:bottom w:val="nil"/>
              <w:right w:val="nil"/>
            </w:tcBorders>
            <w:shd w:val="clear" w:color="auto" w:fill="auto"/>
            <w:noWrap/>
            <w:vAlign w:val="center"/>
            <w:hideMark/>
          </w:tcPr>
          <w:p w:rsidR="00C84F89" w:rsidRPr="00554853" w:rsidRDefault="00C84F89" w:rsidP="00554853">
            <w:pPr>
              <w:spacing w:before="0" w:after="0"/>
              <w:ind w:left="-354" w:right="355"/>
              <w:jc w:val="right"/>
              <w:rPr>
                <w:rFonts w:eastAsia="Times New Roman" w:cs="Times New Roman"/>
                <w:color w:val="000000"/>
                <w:sz w:val="20"/>
                <w:szCs w:val="20"/>
                <w:lang w:eastAsia="cs-CZ"/>
              </w:rPr>
            </w:pPr>
            <w:r w:rsidRPr="00554853">
              <w:rPr>
                <w:rFonts w:eastAsia="Times New Roman" w:cs="Times New Roman"/>
                <w:color w:val="000000"/>
                <w:sz w:val="20"/>
                <w:szCs w:val="20"/>
                <w:lang w:eastAsia="cs-CZ"/>
              </w:rPr>
              <w:t>8</w:t>
            </w:r>
          </w:p>
        </w:tc>
        <w:tc>
          <w:tcPr>
            <w:tcW w:w="1417" w:type="dxa"/>
            <w:tcBorders>
              <w:top w:val="nil"/>
              <w:left w:val="nil"/>
              <w:bottom w:val="nil"/>
              <w:right w:val="nil"/>
            </w:tcBorders>
            <w:shd w:val="clear" w:color="auto" w:fill="auto"/>
            <w:noWrap/>
            <w:vAlign w:val="center"/>
            <w:hideMark/>
          </w:tcPr>
          <w:p w:rsidR="00C84F89" w:rsidRPr="00554853" w:rsidRDefault="00C84F89" w:rsidP="00C84F89">
            <w:pPr>
              <w:spacing w:before="0" w:after="0"/>
              <w:jc w:val="center"/>
              <w:rPr>
                <w:rFonts w:eastAsia="Times New Roman" w:cs="Times New Roman"/>
                <w:color w:val="000000"/>
                <w:sz w:val="20"/>
                <w:szCs w:val="20"/>
                <w:lang w:eastAsia="cs-CZ"/>
              </w:rPr>
            </w:pPr>
            <w:r w:rsidRPr="00554853">
              <w:rPr>
                <w:rFonts w:eastAsia="Times New Roman" w:cs="Times New Roman"/>
                <w:color w:val="000000"/>
                <w:sz w:val="20"/>
                <w:szCs w:val="20"/>
                <w:lang w:eastAsia="cs-CZ"/>
              </w:rPr>
              <w:t>0</w:t>
            </w:r>
            <w:r w:rsidR="00A67FBA" w:rsidRPr="00554853">
              <w:rPr>
                <w:rFonts w:eastAsia="Times New Roman" w:cs="Times New Roman"/>
                <w:color w:val="000000"/>
                <w:sz w:val="20"/>
                <w:szCs w:val="20"/>
                <w:lang w:eastAsia="cs-CZ"/>
              </w:rPr>
              <w:t>,</w:t>
            </w:r>
            <w:r w:rsidRPr="00554853">
              <w:rPr>
                <w:rFonts w:eastAsia="Times New Roman" w:cs="Times New Roman"/>
                <w:color w:val="000000"/>
                <w:sz w:val="20"/>
                <w:szCs w:val="20"/>
                <w:lang w:eastAsia="cs-CZ"/>
              </w:rPr>
              <w:t>22</w:t>
            </w:r>
          </w:p>
        </w:tc>
        <w:tc>
          <w:tcPr>
            <w:tcW w:w="1397" w:type="dxa"/>
            <w:tcBorders>
              <w:top w:val="nil"/>
              <w:left w:val="nil"/>
              <w:bottom w:val="nil"/>
              <w:right w:val="nil"/>
            </w:tcBorders>
            <w:shd w:val="clear" w:color="auto" w:fill="auto"/>
            <w:noWrap/>
            <w:vAlign w:val="center"/>
            <w:hideMark/>
          </w:tcPr>
          <w:p w:rsidR="00C84F89" w:rsidRPr="00554853" w:rsidRDefault="00C84F89" w:rsidP="00C84F89">
            <w:pPr>
              <w:spacing w:before="0" w:after="0"/>
              <w:jc w:val="center"/>
              <w:rPr>
                <w:rFonts w:eastAsia="Times New Roman" w:cs="Times New Roman"/>
                <w:color w:val="000000"/>
                <w:sz w:val="20"/>
                <w:szCs w:val="20"/>
                <w:lang w:eastAsia="cs-CZ"/>
              </w:rPr>
            </w:pPr>
            <w:r w:rsidRPr="00554853">
              <w:rPr>
                <w:rFonts w:eastAsia="Times New Roman" w:cs="Times New Roman"/>
                <w:color w:val="000000"/>
                <w:sz w:val="20"/>
                <w:szCs w:val="20"/>
                <w:lang w:eastAsia="cs-CZ"/>
              </w:rPr>
              <w:t>0</w:t>
            </w:r>
            <w:r w:rsidR="00A67FBA" w:rsidRPr="00554853">
              <w:rPr>
                <w:rFonts w:eastAsia="Times New Roman" w:cs="Times New Roman"/>
                <w:color w:val="000000"/>
                <w:sz w:val="20"/>
                <w:szCs w:val="20"/>
                <w:lang w:eastAsia="cs-CZ"/>
              </w:rPr>
              <w:t>,</w:t>
            </w:r>
            <w:r w:rsidRPr="00554853">
              <w:rPr>
                <w:rFonts w:eastAsia="Times New Roman" w:cs="Times New Roman"/>
                <w:color w:val="000000"/>
                <w:sz w:val="20"/>
                <w:szCs w:val="20"/>
                <w:lang w:eastAsia="cs-CZ"/>
              </w:rPr>
              <w:t>87</w:t>
            </w:r>
          </w:p>
        </w:tc>
        <w:tc>
          <w:tcPr>
            <w:tcW w:w="1295" w:type="dxa"/>
            <w:tcBorders>
              <w:top w:val="nil"/>
              <w:left w:val="nil"/>
              <w:bottom w:val="nil"/>
              <w:right w:val="nil"/>
            </w:tcBorders>
            <w:shd w:val="clear" w:color="auto" w:fill="auto"/>
            <w:noWrap/>
            <w:vAlign w:val="center"/>
            <w:hideMark/>
          </w:tcPr>
          <w:p w:rsidR="00C84F89" w:rsidRPr="00554853" w:rsidRDefault="00C84F89" w:rsidP="00C84F89">
            <w:pPr>
              <w:spacing w:before="0" w:after="0"/>
              <w:ind w:left="-354" w:right="355"/>
              <w:jc w:val="right"/>
              <w:rPr>
                <w:rFonts w:eastAsia="Times New Roman" w:cs="Times New Roman"/>
                <w:color w:val="000000"/>
                <w:sz w:val="20"/>
                <w:szCs w:val="20"/>
                <w:lang w:eastAsia="cs-CZ"/>
              </w:rPr>
            </w:pPr>
            <w:r w:rsidRPr="00554853">
              <w:rPr>
                <w:rFonts w:eastAsia="Times New Roman" w:cs="Times New Roman"/>
                <w:color w:val="000000"/>
                <w:sz w:val="20"/>
                <w:szCs w:val="20"/>
                <w:lang w:eastAsia="cs-CZ"/>
              </w:rPr>
              <w:t>25</w:t>
            </w:r>
          </w:p>
        </w:tc>
        <w:tc>
          <w:tcPr>
            <w:tcW w:w="1136" w:type="dxa"/>
            <w:tcBorders>
              <w:top w:val="nil"/>
              <w:left w:val="nil"/>
              <w:bottom w:val="nil"/>
              <w:right w:val="nil"/>
            </w:tcBorders>
            <w:shd w:val="clear" w:color="auto" w:fill="auto"/>
            <w:noWrap/>
            <w:vAlign w:val="center"/>
            <w:hideMark/>
          </w:tcPr>
          <w:p w:rsidR="00C84F89" w:rsidRPr="00554853" w:rsidRDefault="00C84F89" w:rsidP="00C84F89">
            <w:pPr>
              <w:spacing w:before="0" w:after="0"/>
              <w:jc w:val="right"/>
              <w:rPr>
                <w:rFonts w:eastAsia="Times New Roman" w:cs="Times New Roman"/>
                <w:color w:val="000000"/>
                <w:sz w:val="20"/>
                <w:szCs w:val="20"/>
                <w:lang w:eastAsia="cs-CZ"/>
              </w:rPr>
            </w:pPr>
            <w:r w:rsidRPr="00554853">
              <w:rPr>
                <w:rFonts w:eastAsia="Times New Roman" w:cs="Times New Roman"/>
                <w:color w:val="000000"/>
                <w:sz w:val="20"/>
                <w:szCs w:val="20"/>
                <w:lang w:eastAsia="cs-CZ"/>
              </w:rPr>
              <w:t>0</w:t>
            </w:r>
            <w:r w:rsidR="00A67FBA" w:rsidRPr="00554853">
              <w:rPr>
                <w:rFonts w:eastAsia="Times New Roman" w:cs="Times New Roman"/>
                <w:color w:val="000000"/>
                <w:sz w:val="20"/>
                <w:szCs w:val="20"/>
                <w:lang w:eastAsia="cs-CZ"/>
              </w:rPr>
              <w:t>,</w:t>
            </w:r>
            <w:r w:rsidRPr="00554853">
              <w:rPr>
                <w:rFonts w:eastAsia="Times New Roman" w:cs="Times New Roman"/>
                <w:color w:val="000000"/>
                <w:sz w:val="20"/>
                <w:szCs w:val="20"/>
                <w:lang w:eastAsia="cs-CZ"/>
              </w:rPr>
              <w:t>08%</w:t>
            </w:r>
          </w:p>
        </w:tc>
      </w:tr>
      <w:tr w:rsidR="00C84F89" w:rsidRPr="00554853" w:rsidTr="00554853">
        <w:trPr>
          <w:trHeight w:val="300"/>
        </w:trPr>
        <w:tc>
          <w:tcPr>
            <w:tcW w:w="2567" w:type="dxa"/>
            <w:tcBorders>
              <w:top w:val="nil"/>
              <w:left w:val="nil"/>
              <w:bottom w:val="nil"/>
              <w:right w:val="nil"/>
            </w:tcBorders>
            <w:shd w:val="clear" w:color="auto" w:fill="auto"/>
            <w:noWrap/>
            <w:vAlign w:val="center"/>
            <w:hideMark/>
          </w:tcPr>
          <w:p w:rsidR="00C84F89" w:rsidRPr="00554853" w:rsidRDefault="00C84F89" w:rsidP="00C84F89">
            <w:pPr>
              <w:spacing w:before="0" w:after="0"/>
              <w:jc w:val="left"/>
              <w:rPr>
                <w:rFonts w:eastAsia="Times New Roman" w:cs="Times New Roman"/>
                <w:color w:val="000000"/>
                <w:sz w:val="20"/>
                <w:szCs w:val="20"/>
                <w:lang w:eastAsia="cs-CZ"/>
              </w:rPr>
            </w:pPr>
            <w:r w:rsidRPr="00554853">
              <w:rPr>
                <w:rFonts w:eastAsia="Times New Roman" w:cs="Times New Roman"/>
                <w:color w:val="000000"/>
                <w:sz w:val="20"/>
                <w:szCs w:val="20"/>
                <w:lang w:eastAsia="cs-CZ"/>
              </w:rPr>
              <w:t>Chemie</w:t>
            </w:r>
          </w:p>
        </w:tc>
        <w:tc>
          <w:tcPr>
            <w:tcW w:w="1134" w:type="dxa"/>
            <w:tcBorders>
              <w:top w:val="nil"/>
              <w:left w:val="nil"/>
              <w:bottom w:val="nil"/>
              <w:right w:val="nil"/>
            </w:tcBorders>
            <w:shd w:val="clear" w:color="auto" w:fill="auto"/>
            <w:noWrap/>
            <w:vAlign w:val="center"/>
            <w:hideMark/>
          </w:tcPr>
          <w:p w:rsidR="00C84F89" w:rsidRPr="00554853" w:rsidRDefault="00C84F89" w:rsidP="00554853">
            <w:pPr>
              <w:spacing w:before="0" w:after="0"/>
              <w:ind w:left="-354" w:right="355"/>
              <w:jc w:val="right"/>
              <w:rPr>
                <w:rFonts w:eastAsia="Times New Roman" w:cs="Times New Roman"/>
                <w:color w:val="000000"/>
                <w:sz w:val="20"/>
                <w:szCs w:val="20"/>
                <w:lang w:eastAsia="cs-CZ"/>
              </w:rPr>
            </w:pPr>
            <w:r w:rsidRPr="00554853">
              <w:rPr>
                <w:rFonts w:eastAsia="Times New Roman" w:cs="Times New Roman"/>
                <w:color w:val="000000"/>
                <w:sz w:val="20"/>
                <w:szCs w:val="20"/>
                <w:lang w:eastAsia="cs-CZ"/>
              </w:rPr>
              <w:t>34</w:t>
            </w:r>
          </w:p>
        </w:tc>
        <w:tc>
          <w:tcPr>
            <w:tcW w:w="1417" w:type="dxa"/>
            <w:tcBorders>
              <w:top w:val="nil"/>
              <w:left w:val="nil"/>
              <w:bottom w:val="nil"/>
              <w:right w:val="nil"/>
            </w:tcBorders>
            <w:shd w:val="clear" w:color="auto" w:fill="auto"/>
            <w:noWrap/>
            <w:vAlign w:val="center"/>
            <w:hideMark/>
          </w:tcPr>
          <w:p w:rsidR="00C84F89" w:rsidRPr="00554853" w:rsidRDefault="00C84F89" w:rsidP="00C84F89">
            <w:pPr>
              <w:spacing w:before="0" w:after="0"/>
              <w:jc w:val="center"/>
              <w:rPr>
                <w:rFonts w:eastAsia="Times New Roman" w:cs="Times New Roman"/>
                <w:color w:val="000000"/>
                <w:sz w:val="20"/>
                <w:szCs w:val="20"/>
                <w:lang w:eastAsia="cs-CZ"/>
              </w:rPr>
            </w:pPr>
            <w:r w:rsidRPr="00554853">
              <w:rPr>
                <w:rFonts w:eastAsia="Times New Roman" w:cs="Times New Roman"/>
                <w:color w:val="000000"/>
                <w:sz w:val="20"/>
                <w:szCs w:val="20"/>
                <w:lang w:eastAsia="cs-CZ"/>
              </w:rPr>
              <w:t>0</w:t>
            </w:r>
            <w:r w:rsidR="00A67FBA" w:rsidRPr="00554853">
              <w:rPr>
                <w:rFonts w:eastAsia="Times New Roman" w:cs="Times New Roman"/>
                <w:color w:val="000000"/>
                <w:sz w:val="20"/>
                <w:szCs w:val="20"/>
                <w:lang w:eastAsia="cs-CZ"/>
              </w:rPr>
              <w:t>,</w:t>
            </w:r>
            <w:r w:rsidRPr="00554853">
              <w:rPr>
                <w:rFonts w:eastAsia="Times New Roman" w:cs="Times New Roman"/>
                <w:color w:val="000000"/>
                <w:sz w:val="20"/>
                <w:szCs w:val="20"/>
                <w:lang w:eastAsia="cs-CZ"/>
              </w:rPr>
              <w:t>95</w:t>
            </w:r>
          </w:p>
        </w:tc>
        <w:tc>
          <w:tcPr>
            <w:tcW w:w="1397" w:type="dxa"/>
            <w:tcBorders>
              <w:top w:val="nil"/>
              <w:left w:val="nil"/>
              <w:bottom w:val="nil"/>
              <w:right w:val="nil"/>
            </w:tcBorders>
            <w:shd w:val="clear" w:color="auto" w:fill="auto"/>
            <w:noWrap/>
            <w:vAlign w:val="center"/>
            <w:hideMark/>
          </w:tcPr>
          <w:p w:rsidR="00C84F89" w:rsidRPr="00554853" w:rsidRDefault="00C84F89" w:rsidP="00C84F89">
            <w:pPr>
              <w:spacing w:before="0" w:after="0"/>
              <w:jc w:val="center"/>
              <w:rPr>
                <w:rFonts w:eastAsia="Times New Roman" w:cs="Times New Roman"/>
                <w:color w:val="000000"/>
                <w:sz w:val="20"/>
                <w:szCs w:val="20"/>
                <w:lang w:eastAsia="cs-CZ"/>
              </w:rPr>
            </w:pPr>
            <w:r w:rsidRPr="00554853">
              <w:rPr>
                <w:rFonts w:eastAsia="Times New Roman" w:cs="Times New Roman"/>
                <w:color w:val="000000"/>
                <w:sz w:val="20"/>
                <w:szCs w:val="20"/>
                <w:lang w:eastAsia="cs-CZ"/>
              </w:rPr>
              <w:t>0</w:t>
            </w:r>
            <w:r w:rsidR="00A67FBA" w:rsidRPr="00554853">
              <w:rPr>
                <w:rFonts w:eastAsia="Times New Roman" w:cs="Times New Roman"/>
                <w:color w:val="000000"/>
                <w:sz w:val="20"/>
                <w:szCs w:val="20"/>
                <w:lang w:eastAsia="cs-CZ"/>
              </w:rPr>
              <w:t>,</w:t>
            </w:r>
            <w:r w:rsidRPr="00554853">
              <w:rPr>
                <w:rFonts w:eastAsia="Times New Roman" w:cs="Times New Roman"/>
                <w:color w:val="000000"/>
                <w:sz w:val="20"/>
                <w:szCs w:val="20"/>
                <w:lang w:eastAsia="cs-CZ"/>
              </w:rPr>
              <w:t>84</w:t>
            </w:r>
          </w:p>
        </w:tc>
        <w:tc>
          <w:tcPr>
            <w:tcW w:w="1295" w:type="dxa"/>
            <w:tcBorders>
              <w:top w:val="nil"/>
              <w:left w:val="nil"/>
              <w:bottom w:val="nil"/>
              <w:right w:val="nil"/>
            </w:tcBorders>
            <w:shd w:val="clear" w:color="auto" w:fill="auto"/>
            <w:noWrap/>
            <w:vAlign w:val="center"/>
            <w:hideMark/>
          </w:tcPr>
          <w:p w:rsidR="00C84F89" w:rsidRPr="00554853" w:rsidRDefault="00C84F89" w:rsidP="00C84F89">
            <w:pPr>
              <w:spacing w:before="0" w:after="0"/>
              <w:ind w:left="-354" w:right="355"/>
              <w:jc w:val="right"/>
              <w:rPr>
                <w:rFonts w:eastAsia="Times New Roman" w:cs="Times New Roman"/>
                <w:color w:val="000000"/>
                <w:sz w:val="20"/>
                <w:szCs w:val="20"/>
                <w:lang w:eastAsia="cs-CZ"/>
              </w:rPr>
            </w:pPr>
            <w:r w:rsidRPr="00554853">
              <w:rPr>
                <w:rFonts w:eastAsia="Times New Roman" w:cs="Times New Roman"/>
                <w:color w:val="000000"/>
                <w:sz w:val="20"/>
                <w:szCs w:val="20"/>
                <w:lang w:eastAsia="cs-CZ"/>
              </w:rPr>
              <w:t>114</w:t>
            </w:r>
          </w:p>
        </w:tc>
        <w:tc>
          <w:tcPr>
            <w:tcW w:w="1136" w:type="dxa"/>
            <w:tcBorders>
              <w:top w:val="nil"/>
              <w:left w:val="nil"/>
              <w:bottom w:val="nil"/>
              <w:right w:val="nil"/>
            </w:tcBorders>
            <w:shd w:val="clear" w:color="auto" w:fill="auto"/>
            <w:noWrap/>
            <w:vAlign w:val="center"/>
            <w:hideMark/>
          </w:tcPr>
          <w:p w:rsidR="00C84F89" w:rsidRPr="00554853" w:rsidRDefault="00C84F89" w:rsidP="00C84F89">
            <w:pPr>
              <w:spacing w:before="0" w:after="0"/>
              <w:jc w:val="right"/>
              <w:rPr>
                <w:rFonts w:eastAsia="Times New Roman" w:cs="Times New Roman"/>
                <w:color w:val="000000"/>
                <w:sz w:val="20"/>
                <w:szCs w:val="20"/>
                <w:lang w:eastAsia="cs-CZ"/>
              </w:rPr>
            </w:pPr>
            <w:r w:rsidRPr="00554853">
              <w:rPr>
                <w:rFonts w:eastAsia="Times New Roman" w:cs="Times New Roman"/>
                <w:color w:val="000000"/>
                <w:sz w:val="20"/>
                <w:szCs w:val="20"/>
                <w:lang w:eastAsia="cs-CZ"/>
              </w:rPr>
              <w:t>0</w:t>
            </w:r>
            <w:r w:rsidR="00A67FBA" w:rsidRPr="00554853">
              <w:rPr>
                <w:rFonts w:eastAsia="Times New Roman" w:cs="Times New Roman"/>
                <w:color w:val="000000"/>
                <w:sz w:val="20"/>
                <w:szCs w:val="20"/>
                <w:lang w:eastAsia="cs-CZ"/>
              </w:rPr>
              <w:t>,</w:t>
            </w:r>
            <w:r w:rsidRPr="00554853">
              <w:rPr>
                <w:rFonts w:eastAsia="Times New Roman" w:cs="Times New Roman"/>
                <w:color w:val="000000"/>
                <w:sz w:val="20"/>
                <w:szCs w:val="20"/>
                <w:lang w:eastAsia="cs-CZ"/>
              </w:rPr>
              <w:t>53%</w:t>
            </w:r>
          </w:p>
        </w:tc>
      </w:tr>
      <w:tr w:rsidR="00C84F89" w:rsidRPr="00554853" w:rsidTr="00554853">
        <w:trPr>
          <w:trHeight w:val="300"/>
        </w:trPr>
        <w:tc>
          <w:tcPr>
            <w:tcW w:w="2567" w:type="dxa"/>
            <w:tcBorders>
              <w:top w:val="nil"/>
              <w:left w:val="nil"/>
              <w:bottom w:val="nil"/>
              <w:right w:val="nil"/>
            </w:tcBorders>
            <w:shd w:val="clear" w:color="auto" w:fill="auto"/>
            <w:noWrap/>
            <w:vAlign w:val="center"/>
            <w:hideMark/>
          </w:tcPr>
          <w:p w:rsidR="00C84F89" w:rsidRPr="00554853" w:rsidRDefault="00C84F89" w:rsidP="00C84F89">
            <w:pPr>
              <w:spacing w:before="0" w:after="0"/>
              <w:jc w:val="left"/>
              <w:rPr>
                <w:rFonts w:eastAsia="Times New Roman" w:cs="Times New Roman"/>
                <w:color w:val="000000"/>
                <w:sz w:val="20"/>
                <w:szCs w:val="20"/>
                <w:lang w:eastAsia="cs-CZ"/>
              </w:rPr>
            </w:pPr>
            <w:r w:rsidRPr="00554853">
              <w:rPr>
                <w:rFonts w:eastAsia="Times New Roman" w:cs="Times New Roman"/>
                <w:color w:val="000000"/>
                <w:sz w:val="20"/>
                <w:szCs w:val="20"/>
                <w:lang w:eastAsia="cs-CZ"/>
              </w:rPr>
              <w:t>Vědy o Zemi</w:t>
            </w:r>
          </w:p>
        </w:tc>
        <w:tc>
          <w:tcPr>
            <w:tcW w:w="1134" w:type="dxa"/>
            <w:tcBorders>
              <w:top w:val="nil"/>
              <w:left w:val="nil"/>
              <w:bottom w:val="nil"/>
              <w:right w:val="nil"/>
            </w:tcBorders>
            <w:shd w:val="clear" w:color="auto" w:fill="auto"/>
            <w:noWrap/>
            <w:vAlign w:val="center"/>
            <w:hideMark/>
          </w:tcPr>
          <w:p w:rsidR="00C84F89" w:rsidRPr="00554853" w:rsidRDefault="00C84F89" w:rsidP="00554853">
            <w:pPr>
              <w:spacing w:before="0" w:after="0"/>
              <w:ind w:left="-354" w:right="355"/>
              <w:jc w:val="right"/>
              <w:rPr>
                <w:rFonts w:eastAsia="Times New Roman" w:cs="Times New Roman"/>
                <w:color w:val="000000"/>
                <w:sz w:val="20"/>
                <w:szCs w:val="20"/>
                <w:lang w:eastAsia="cs-CZ"/>
              </w:rPr>
            </w:pPr>
            <w:r w:rsidRPr="00554853">
              <w:rPr>
                <w:rFonts w:eastAsia="Times New Roman" w:cs="Times New Roman"/>
                <w:color w:val="000000"/>
                <w:sz w:val="20"/>
                <w:szCs w:val="20"/>
                <w:lang w:eastAsia="cs-CZ"/>
              </w:rPr>
              <w:t>15</w:t>
            </w:r>
          </w:p>
        </w:tc>
        <w:tc>
          <w:tcPr>
            <w:tcW w:w="1417" w:type="dxa"/>
            <w:tcBorders>
              <w:top w:val="nil"/>
              <w:left w:val="nil"/>
              <w:bottom w:val="nil"/>
              <w:right w:val="nil"/>
            </w:tcBorders>
            <w:shd w:val="clear" w:color="auto" w:fill="auto"/>
            <w:noWrap/>
            <w:vAlign w:val="center"/>
            <w:hideMark/>
          </w:tcPr>
          <w:p w:rsidR="00C84F89" w:rsidRPr="00554853" w:rsidRDefault="00C84F89" w:rsidP="00C84F89">
            <w:pPr>
              <w:spacing w:before="0" w:after="0"/>
              <w:jc w:val="center"/>
              <w:rPr>
                <w:rFonts w:eastAsia="Times New Roman" w:cs="Times New Roman"/>
                <w:color w:val="000000"/>
                <w:sz w:val="20"/>
                <w:szCs w:val="20"/>
                <w:lang w:eastAsia="cs-CZ"/>
              </w:rPr>
            </w:pPr>
            <w:r w:rsidRPr="00554853">
              <w:rPr>
                <w:rFonts w:eastAsia="Times New Roman" w:cs="Times New Roman"/>
                <w:color w:val="000000"/>
                <w:sz w:val="20"/>
                <w:szCs w:val="20"/>
                <w:lang w:eastAsia="cs-CZ"/>
              </w:rPr>
              <w:t>1</w:t>
            </w:r>
            <w:r w:rsidR="00A67FBA" w:rsidRPr="00554853">
              <w:rPr>
                <w:rFonts w:eastAsia="Times New Roman" w:cs="Times New Roman"/>
                <w:color w:val="000000"/>
                <w:sz w:val="20"/>
                <w:szCs w:val="20"/>
                <w:lang w:eastAsia="cs-CZ"/>
              </w:rPr>
              <w:t>,</w:t>
            </w:r>
            <w:r w:rsidRPr="00554853">
              <w:rPr>
                <w:rFonts w:eastAsia="Times New Roman" w:cs="Times New Roman"/>
                <w:color w:val="000000"/>
                <w:sz w:val="20"/>
                <w:szCs w:val="20"/>
                <w:lang w:eastAsia="cs-CZ"/>
              </w:rPr>
              <w:t>23</w:t>
            </w:r>
          </w:p>
        </w:tc>
        <w:tc>
          <w:tcPr>
            <w:tcW w:w="1397" w:type="dxa"/>
            <w:tcBorders>
              <w:top w:val="nil"/>
              <w:left w:val="nil"/>
              <w:bottom w:val="nil"/>
              <w:right w:val="nil"/>
            </w:tcBorders>
            <w:shd w:val="clear" w:color="auto" w:fill="auto"/>
            <w:noWrap/>
            <w:vAlign w:val="center"/>
            <w:hideMark/>
          </w:tcPr>
          <w:p w:rsidR="00C84F89" w:rsidRPr="00554853" w:rsidRDefault="00C84F89" w:rsidP="00C84F89">
            <w:pPr>
              <w:spacing w:before="0" w:after="0"/>
              <w:jc w:val="center"/>
              <w:rPr>
                <w:rFonts w:eastAsia="Times New Roman" w:cs="Times New Roman"/>
                <w:color w:val="000000"/>
                <w:sz w:val="20"/>
                <w:szCs w:val="20"/>
                <w:lang w:eastAsia="cs-CZ"/>
              </w:rPr>
            </w:pPr>
            <w:r w:rsidRPr="00554853">
              <w:rPr>
                <w:rFonts w:eastAsia="Times New Roman" w:cs="Times New Roman"/>
                <w:color w:val="000000"/>
                <w:sz w:val="20"/>
                <w:szCs w:val="20"/>
                <w:lang w:eastAsia="cs-CZ"/>
              </w:rPr>
              <w:t>0</w:t>
            </w:r>
            <w:r w:rsidR="00A67FBA" w:rsidRPr="00554853">
              <w:rPr>
                <w:rFonts w:eastAsia="Times New Roman" w:cs="Times New Roman"/>
                <w:color w:val="000000"/>
                <w:sz w:val="20"/>
                <w:szCs w:val="20"/>
                <w:lang w:eastAsia="cs-CZ"/>
              </w:rPr>
              <w:t>,</w:t>
            </w:r>
            <w:r w:rsidRPr="00554853">
              <w:rPr>
                <w:rFonts w:eastAsia="Times New Roman" w:cs="Times New Roman"/>
                <w:color w:val="000000"/>
                <w:sz w:val="20"/>
                <w:szCs w:val="20"/>
                <w:lang w:eastAsia="cs-CZ"/>
              </w:rPr>
              <w:t>68</w:t>
            </w:r>
          </w:p>
        </w:tc>
        <w:tc>
          <w:tcPr>
            <w:tcW w:w="1295" w:type="dxa"/>
            <w:tcBorders>
              <w:top w:val="nil"/>
              <w:left w:val="nil"/>
              <w:bottom w:val="nil"/>
              <w:right w:val="nil"/>
            </w:tcBorders>
            <w:shd w:val="clear" w:color="auto" w:fill="auto"/>
            <w:noWrap/>
            <w:vAlign w:val="center"/>
            <w:hideMark/>
          </w:tcPr>
          <w:p w:rsidR="00C84F89" w:rsidRPr="00554853" w:rsidRDefault="00C84F89" w:rsidP="00C84F89">
            <w:pPr>
              <w:spacing w:before="0" w:after="0"/>
              <w:ind w:left="-354" w:right="355"/>
              <w:jc w:val="right"/>
              <w:rPr>
                <w:rFonts w:eastAsia="Times New Roman" w:cs="Times New Roman"/>
                <w:color w:val="000000"/>
                <w:sz w:val="20"/>
                <w:szCs w:val="20"/>
                <w:lang w:eastAsia="cs-CZ"/>
              </w:rPr>
            </w:pPr>
            <w:r w:rsidRPr="00554853">
              <w:rPr>
                <w:rFonts w:eastAsia="Times New Roman" w:cs="Times New Roman"/>
                <w:color w:val="000000"/>
                <w:sz w:val="20"/>
                <w:szCs w:val="20"/>
                <w:lang w:eastAsia="cs-CZ"/>
              </w:rPr>
              <w:t>182</w:t>
            </w:r>
          </w:p>
        </w:tc>
        <w:tc>
          <w:tcPr>
            <w:tcW w:w="1136" w:type="dxa"/>
            <w:tcBorders>
              <w:top w:val="nil"/>
              <w:left w:val="nil"/>
              <w:bottom w:val="nil"/>
              <w:right w:val="nil"/>
            </w:tcBorders>
            <w:shd w:val="clear" w:color="auto" w:fill="auto"/>
            <w:noWrap/>
            <w:vAlign w:val="center"/>
            <w:hideMark/>
          </w:tcPr>
          <w:p w:rsidR="00C84F89" w:rsidRPr="00554853" w:rsidRDefault="00C84F89" w:rsidP="00C84F89">
            <w:pPr>
              <w:spacing w:before="0" w:after="0"/>
              <w:jc w:val="right"/>
              <w:rPr>
                <w:rFonts w:eastAsia="Times New Roman" w:cs="Times New Roman"/>
                <w:color w:val="000000"/>
                <w:sz w:val="20"/>
                <w:szCs w:val="20"/>
                <w:lang w:eastAsia="cs-CZ"/>
              </w:rPr>
            </w:pPr>
            <w:r w:rsidRPr="00554853">
              <w:rPr>
                <w:rFonts w:eastAsia="Times New Roman" w:cs="Times New Roman"/>
                <w:color w:val="000000"/>
                <w:sz w:val="20"/>
                <w:szCs w:val="20"/>
                <w:lang w:eastAsia="cs-CZ"/>
              </w:rPr>
              <w:t>0</w:t>
            </w:r>
            <w:r w:rsidR="00A67FBA" w:rsidRPr="00554853">
              <w:rPr>
                <w:rFonts w:eastAsia="Times New Roman" w:cs="Times New Roman"/>
                <w:color w:val="000000"/>
                <w:sz w:val="20"/>
                <w:szCs w:val="20"/>
                <w:lang w:eastAsia="cs-CZ"/>
              </w:rPr>
              <w:t>,</w:t>
            </w:r>
            <w:r w:rsidRPr="00554853">
              <w:rPr>
                <w:rFonts w:eastAsia="Times New Roman" w:cs="Times New Roman"/>
                <w:color w:val="000000"/>
                <w:sz w:val="20"/>
                <w:szCs w:val="20"/>
                <w:lang w:eastAsia="cs-CZ"/>
              </w:rPr>
              <w:t>57%</w:t>
            </w:r>
          </w:p>
        </w:tc>
      </w:tr>
      <w:tr w:rsidR="00C84F89" w:rsidRPr="00554853" w:rsidTr="00554853">
        <w:trPr>
          <w:trHeight w:val="300"/>
        </w:trPr>
        <w:tc>
          <w:tcPr>
            <w:tcW w:w="2567" w:type="dxa"/>
            <w:tcBorders>
              <w:top w:val="nil"/>
              <w:left w:val="nil"/>
              <w:bottom w:val="nil"/>
              <w:right w:val="nil"/>
            </w:tcBorders>
            <w:shd w:val="clear" w:color="auto" w:fill="auto"/>
            <w:noWrap/>
            <w:vAlign w:val="center"/>
            <w:hideMark/>
          </w:tcPr>
          <w:p w:rsidR="00C84F89" w:rsidRPr="00554853" w:rsidRDefault="00C84F89" w:rsidP="00C84F89">
            <w:pPr>
              <w:spacing w:before="0" w:after="0"/>
              <w:jc w:val="left"/>
              <w:rPr>
                <w:rFonts w:eastAsia="Times New Roman" w:cs="Times New Roman"/>
                <w:color w:val="000000"/>
                <w:sz w:val="20"/>
                <w:szCs w:val="20"/>
                <w:lang w:eastAsia="cs-CZ"/>
              </w:rPr>
            </w:pPr>
            <w:r w:rsidRPr="00554853">
              <w:rPr>
                <w:rFonts w:eastAsia="Times New Roman" w:cs="Times New Roman"/>
                <w:color w:val="000000"/>
                <w:sz w:val="20"/>
                <w:szCs w:val="20"/>
                <w:lang w:eastAsia="cs-CZ"/>
              </w:rPr>
              <w:t>Biovědy</w:t>
            </w:r>
          </w:p>
        </w:tc>
        <w:tc>
          <w:tcPr>
            <w:tcW w:w="1134" w:type="dxa"/>
            <w:tcBorders>
              <w:top w:val="nil"/>
              <w:left w:val="nil"/>
              <w:bottom w:val="nil"/>
              <w:right w:val="nil"/>
            </w:tcBorders>
            <w:shd w:val="clear" w:color="auto" w:fill="auto"/>
            <w:noWrap/>
            <w:vAlign w:val="center"/>
            <w:hideMark/>
          </w:tcPr>
          <w:p w:rsidR="00C84F89" w:rsidRPr="00554853" w:rsidRDefault="00C84F89" w:rsidP="00554853">
            <w:pPr>
              <w:spacing w:before="0" w:after="0"/>
              <w:ind w:left="-354" w:right="355"/>
              <w:jc w:val="right"/>
              <w:rPr>
                <w:rFonts w:eastAsia="Times New Roman" w:cs="Times New Roman"/>
                <w:color w:val="000000"/>
                <w:sz w:val="20"/>
                <w:szCs w:val="20"/>
                <w:lang w:eastAsia="cs-CZ"/>
              </w:rPr>
            </w:pPr>
            <w:r w:rsidRPr="00554853">
              <w:rPr>
                <w:rFonts w:eastAsia="Times New Roman" w:cs="Times New Roman"/>
                <w:color w:val="000000"/>
                <w:sz w:val="20"/>
                <w:szCs w:val="20"/>
                <w:lang w:eastAsia="cs-CZ"/>
              </w:rPr>
              <w:t>5</w:t>
            </w:r>
          </w:p>
        </w:tc>
        <w:tc>
          <w:tcPr>
            <w:tcW w:w="1417" w:type="dxa"/>
            <w:tcBorders>
              <w:top w:val="nil"/>
              <w:left w:val="nil"/>
              <w:bottom w:val="nil"/>
              <w:right w:val="nil"/>
            </w:tcBorders>
            <w:shd w:val="clear" w:color="auto" w:fill="auto"/>
            <w:noWrap/>
            <w:vAlign w:val="center"/>
            <w:hideMark/>
          </w:tcPr>
          <w:p w:rsidR="00C84F89" w:rsidRPr="00554853" w:rsidRDefault="00C84F89" w:rsidP="00C84F89">
            <w:pPr>
              <w:spacing w:before="0" w:after="0"/>
              <w:jc w:val="center"/>
              <w:rPr>
                <w:rFonts w:eastAsia="Times New Roman" w:cs="Times New Roman"/>
                <w:color w:val="000000"/>
                <w:sz w:val="20"/>
                <w:szCs w:val="20"/>
                <w:lang w:eastAsia="cs-CZ"/>
              </w:rPr>
            </w:pPr>
            <w:r w:rsidRPr="00554853">
              <w:rPr>
                <w:rFonts w:eastAsia="Times New Roman" w:cs="Times New Roman"/>
                <w:color w:val="000000"/>
                <w:sz w:val="20"/>
                <w:szCs w:val="20"/>
                <w:lang w:eastAsia="cs-CZ"/>
              </w:rPr>
              <w:t>0</w:t>
            </w:r>
            <w:r w:rsidR="00A67FBA" w:rsidRPr="00554853">
              <w:rPr>
                <w:rFonts w:eastAsia="Times New Roman" w:cs="Times New Roman"/>
                <w:color w:val="000000"/>
                <w:sz w:val="20"/>
                <w:szCs w:val="20"/>
                <w:lang w:eastAsia="cs-CZ"/>
              </w:rPr>
              <w:t>,</w:t>
            </w:r>
            <w:r w:rsidRPr="00554853">
              <w:rPr>
                <w:rFonts w:eastAsia="Times New Roman" w:cs="Times New Roman"/>
                <w:color w:val="000000"/>
                <w:sz w:val="20"/>
                <w:szCs w:val="20"/>
                <w:lang w:eastAsia="cs-CZ"/>
              </w:rPr>
              <w:t>62</w:t>
            </w:r>
          </w:p>
        </w:tc>
        <w:tc>
          <w:tcPr>
            <w:tcW w:w="1397" w:type="dxa"/>
            <w:tcBorders>
              <w:top w:val="nil"/>
              <w:left w:val="nil"/>
              <w:bottom w:val="nil"/>
              <w:right w:val="nil"/>
            </w:tcBorders>
            <w:shd w:val="clear" w:color="auto" w:fill="auto"/>
            <w:noWrap/>
            <w:vAlign w:val="center"/>
            <w:hideMark/>
          </w:tcPr>
          <w:p w:rsidR="00C84F89" w:rsidRPr="00554853" w:rsidRDefault="00C84F89" w:rsidP="00C84F89">
            <w:pPr>
              <w:spacing w:before="0" w:after="0"/>
              <w:jc w:val="center"/>
              <w:rPr>
                <w:rFonts w:eastAsia="Times New Roman" w:cs="Times New Roman"/>
                <w:color w:val="000000"/>
                <w:sz w:val="20"/>
                <w:szCs w:val="20"/>
                <w:lang w:eastAsia="cs-CZ"/>
              </w:rPr>
            </w:pPr>
            <w:r w:rsidRPr="00554853">
              <w:rPr>
                <w:rFonts w:eastAsia="Times New Roman" w:cs="Times New Roman"/>
                <w:color w:val="000000"/>
                <w:sz w:val="20"/>
                <w:szCs w:val="20"/>
                <w:lang w:eastAsia="cs-CZ"/>
              </w:rPr>
              <w:t>0</w:t>
            </w:r>
            <w:r w:rsidR="00A67FBA" w:rsidRPr="00554853">
              <w:rPr>
                <w:rFonts w:eastAsia="Times New Roman" w:cs="Times New Roman"/>
                <w:color w:val="000000"/>
                <w:sz w:val="20"/>
                <w:szCs w:val="20"/>
                <w:lang w:eastAsia="cs-CZ"/>
              </w:rPr>
              <w:t>,</w:t>
            </w:r>
            <w:r w:rsidRPr="00554853">
              <w:rPr>
                <w:rFonts w:eastAsia="Times New Roman" w:cs="Times New Roman"/>
                <w:color w:val="000000"/>
                <w:sz w:val="20"/>
                <w:szCs w:val="20"/>
                <w:lang w:eastAsia="cs-CZ"/>
              </w:rPr>
              <w:t>79</w:t>
            </w:r>
          </w:p>
        </w:tc>
        <w:tc>
          <w:tcPr>
            <w:tcW w:w="1295" w:type="dxa"/>
            <w:tcBorders>
              <w:top w:val="nil"/>
              <w:left w:val="nil"/>
              <w:bottom w:val="nil"/>
              <w:right w:val="nil"/>
            </w:tcBorders>
            <w:shd w:val="clear" w:color="auto" w:fill="auto"/>
            <w:noWrap/>
            <w:vAlign w:val="center"/>
            <w:hideMark/>
          </w:tcPr>
          <w:p w:rsidR="00C84F89" w:rsidRPr="00554853" w:rsidRDefault="00C84F89" w:rsidP="00C84F89">
            <w:pPr>
              <w:spacing w:before="0" w:after="0"/>
              <w:ind w:left="-354" w:right="355"/>
              <w:jc w:val="right"/>
              <w:rPr>
                <w:rFonts w:eastAsia="Times New Roman" w:cs="Times New Roman"/>
                <w:color w:val="000000"/>
                <w:sz w:val="20"/>
                <w:szCs w:val="20"/>
                <w:lang w:eastAsia="cs-CZ"/>
              </w:rPr>
            </w:pPr>
            <w:r w:rsidRPr="00554853">
              <w:rPr>
                <w:rFonts w:eastAsia="Times New Roman" w:cs="Times New Roman"/>
                <w:color w:val="000000"/>
                <w:sz w:val="20"/>
                <w:szCs w:val="20"/>
                <w:lang w:eastAsia="cs-CZ"/>
              </w:rPr>
              <w:t>79</w:t>
            </w:r>
          </w:p>
        </w:tc>
        <w:tc>
          <w:tcPr>
            <w:tcW w:w="1136" w:type="dxa"/>
            <w:tcBorders>
              <w:top w:val="nil"/>
              <w:left w:val="nil"/>
              <w:bottom w:val="nil"/>
              <w:right w:val="nil"/>
            </w:tcBorders>
            <w:shd w:val="clear" w:color="auto" w:fill="auto"/>
            <w:noWrap/>
            <w:vAlign w:val="center"/>
            <w:hideMark/>
          </w:tcPr>
          <w:p w:rsidR="00C84F89" w:rsidRPr="00554853" w:rsidRDefault="00C84F89" w:rsidP="00C84F89">
            <w:pPr>
              <w:spacing w:before="0" w:after="0"/>
              <w:jc w:val="right"/>
              <w:rPr>
                <w:rFonts w:eastAsia="Times New Roman" w:cs="Times New Roman"/>
                <w:color w:val="000000"/>
                <w:sz w:val="20"/>
                <w:szCs w:val="20"/>
                <w:lang w:eastAsia="cs-CZ"/>
              </w:rPr>
            </w:pPr>
            <w:r w:rsidRPr="00554853">
              <w:rPr>
                <w:rFonts w:eastAsia="Times New Roman" w:cs="Times New Roman"/>
                <w:color w:val="000000"/>
                <w:sz w:val="20"/>
                <w:szCs w:val="20"/>
                <w:lang w:eastAsia="cs-CZ"/>
              </w:rPr>
              <w:t>0</w:t>
            </w:r>
            <w:r w:rsidR="00A67FBA" w:rsidRPr="00554853">
              <w:rPr>
                <w:rFonts w:eastAsia="Times New Roman" w:cs="Times New Roman"/>
                <w:color w:val="000000"/>
                <w:sz w:val="20"/>
                <w:szCs w:val="20"/>
                <w:lang w:eastAsia="cs-CZ"/>
              </w:rPr>
              <w:t>,</w:t>
            </w:r>
            <w:r w:rsidRPr="00554853">
              <w:rPr>
                <w:rFonts w:eastAsia="Times New Roman" w:cs="Times New Roman"/>
                <w:color w:val="000000"/>
                <w:sz w:val="20"/>
                <w:szCs w:val="20"/>
                <w:lang w:eastAsia="cs-CZ"/>
              </w:rPr>
              <w:t>08%</w:t>
            </w:r>
          </w:p>
        </w:tc>
      </w:tr>
      <w:tr w:rsidR="00C84F89" w:rsidRPr="00554853" w:rsidTr="00554853">
        <w:trPr>
          <w:trHeight w:val="300"/>
        </w:trPr>
        <w:tc>
          <w:tcPr>
            <w:tcW w:w="2567" w:type="dxa"/>
            <w:tcBorders>
              <w:top w:val="nil"/>
              <w:left w:val="nil"/>
              <w:bottom w:val="nil"/>
              <w:right w:val="nil"/>
            </w:tcBorders>
            <w:shd w:val="clear" w:color="auto" w:fill="auto"/>
            <w:noWrap/>
            <w:vAlign w:val="center"/>
            <w:hideMark/>
          </w:tcPr>
          <w:p w:rsidR="00C84F89" w:rsidRPr="00554853" w:rsidRDefault="00C84F89" w:rsidP="00C84F89">
            <w:pPr>
              <w:spacing w:before="0" w:after="0"/>
              <w:jc w:val="left"/>
              <w:rPr>
                <w:rFonts w:eastAsia="Times New Roman" w:cs="Times New Roman"/>
                <w:color w:val="000000"/>
                <w:sz w:val="20"/>
                <w:szCs w:val="20"/>
                <w:lang w:eastAsia="cs-CZ"/>
              </w:rPr>
            </w:pPr>
            <w:r w:rsidRPr="00554853">
              <w:rPr>
                <w:rFonts w:eastAsia="Times New Roman" w:cs="Times New Roman"/>
                <w:color w:val="000000"/>
                <w:sz w:val="20"/>
                <w:szCs w:val="20"/>
                <w:lang w:eastAsia="cs-CZ"/>
              </w:rPr>
              <w:t>Lékařské vědy</w:t>
            </w:r>
          </w:p>
        </w:tc>
        <w:tc>
          <w:tcPr>
            <w:tcW w:w="1134" w:type="dxa"/>
            <w:tcBorders>
              <w:top w:val="nil"/>
              <w:left w:val="nil"/>
              <w:bottom w:val="nil"/>
              <w:right w:val="nil"/>
            </w:tcBorders>
            <w:shd w:val="clear" w:color="auto" w:fill="auto"/>
            <w:noWrap/>
            <w:vAlign w:val="center"/>
            <w:hideMark/>
          </w:tcPr>
          <w:p w:rsidR="00C84F89" w:rsidRPr="00554853" w:rsidRDefault="00C84F89" w:rsidP="00554853">
            <w:pPr>
              <w:spacing w:before="0" w:after="0"/>
              <w:ind w:left="-354" w:right="355"/>
              <w:jc w:val="right"/>
              <w:rPr>
                <w:rFonts w:eastAsia="Times New Roman" w:cs="Times New Roman"/>
                <w:color w:val="000000"/>
                <w:sz w:val="20"/>
                <w:szCs w:val="20"/>
                <w:lang w:eastAsia="cs-CZ"/>
              </w:rPr>
            </w:pPr>
            <w:r w:rsidRPr="00554853">
              <w:rPr>
                <w:rFonts w:eastAsia="Times New Roman" w:cs="Times New Roman"/>
                <w:color w:val="000000"/>
                <w:sz w:val="20"/>
                <w:szCs w:val="20"/>
                <w:lang w:eastAsia="cs-CZ"/>
              </w:rPr>
              <w:t>12</w:t>
            </w:r>
          </w:p>
        </w:tc>
        <w:tc>
          <w:tcPr>
            <w:tcW w:w="1417" w:type="dxa"/>
            <w:tcBorders>
              <w:top w:val="nil"/>
              <w:left w:val="nil"/>
              <w:bottom w:val="nil"/>
              <w:right w:val="nil"/>
            </w:tcBorders>
            <w:shd w:val="clear" w:color="auto" w:fill="auto"/>
            <w:noWrap/>
            <w:vAlign w:val="center"/>
            <w:hideMark/>
          </w:tcPr>
          <w:p w:rsidR="00C84F89" w:rsidRPr="00554853" w:rsidRDefault="00C84F89" w:rsidP="00C84F89">
            <w:pPr>
              <w:spacing w:before="0" w:after="0"/>
              <w:jc w:val="center"/>
              <w:rPr>
                <w:rFonts w:eastAsia="Times New Roman" w:cs="Times New Roman"/>
                <w:color w:val="000000"/>
                <w:sz w:val="20"/>
                <w:szCs w:val="20"/>
                <w:lang w:eastAsia="cs-CZ"/>
              </w:rPr>
            </w:pPr>
            <w:r w:rsidRPr="00554853">
              <w:rPr>
                <w:rFonts w:eastAsia="Times New Roman" w:cs="Times New Roman"/>
                <w:color w:val="000000"/>
                <w:sz w:val="20"/>
                <w:szCs w:val="20"/>
                <w:lang w:eastAsia="cs-CZ"/>
              </w:rPr>
              <w:t>0</w:t>
            </w:r>
            <w:r w:rsidR="00A67FBA" w:rsidRPr="00554853">
              <w:rPr>
                <w:rFonts w:eastAsia="Times New Roman" w:cs="Times New Roman"/>
                <w:color w:val="000000"/>
                <w:sz w:val="20"/>
                <w:szCs w:val="20"/>
                <w:lang w:eastAsia="cs-CZ"/>
              </w:rPr>
              <w:t>,</w:t>
            </w:r>
            <w:r w:rsidRPr="00554853">
              <w:rPr>
                <w:rFonts w:eastAsia="Times New Roman" w:cs="Times New Roman"/>
                <w:color w:val="000000"/>
                <w:sz w:val="20"/>
                <w:szCs w:val="20"/>
                <w:lang w:eastAsia="cs-CZ"/>
              </w:rPr>
              <w:t>25</w:t>
            </w:r>
          </w:p>
        </w:tc>
        <w:tc>
          <w:tcPr>
            <w:tcW w:w="1397" w:type="dxa"/>
            <w:tcBorders>
              <w:top w:val="nil"/>
              <w:left w:val="nil"/>
              <w:bottom w:val="nil"/>
              <w:right w:val="nil"/>
            </w:tcBorders>
            <w:shd w:val="clear" w:color="auto" w:fill="auto"/>
            <w:noWrap/>
            <w:vAlign w:val="center"/>
            <w:hideMark/>
          </w:tcPr>
          <w:p w:rsidR="00C84F89" w:rsidRPr="00554853" w:rsidRDefault="00C84F89" w:rsidP="00C84F89">
            <w:pPr>
              <w:spacing w:before="0" w:after="0"/>
              <w:jc w:val="center"/>
              <w:rPr>
                <w:rFonts w:eastAsia="Times New Roman" w:cs="Times New Roman"/>
                <w:color w:val="000000"/>
                <w:sz w:val="20"/>
                <w:szCs w:val="20"/>
                <w:lang w:eastAsia="cs-CZ"/>
              </w:rPr>
            </w:pPr>
            <w:r w:rsidRPr="00554853">
              <w:rPr>
                <w:rFonts w:eastAsia="Times New Roman" w:cs="Times New Roman"/>
                <w:color w:val="000000"/>
                <w:sz w:val="20"/>
                <w:szCs w:val="20"/>
                <w:lang w:eastAsia="cs-CZ"/>
              </w:rPr>
              <w:t>1</w:t>
            </w:r>
            <w:r w:rsidR="00A67FBA" w:rsidRPr="00554853">
              <w:rPr>
                <w:rFonts w:eastAsia="Times New Roman" w:cs="Times New Roman"/>
                <w:color w:val="000000"/>
                <w:sz w:val="20"/>
                <w:szCs w:val="20"/>
                <w:lang w:eastAsia="cs-CZ"/>
              </w:rPr>
              <w:t>,</w:t>
            </w:r>
            <w:r w:rsidRPr="00554853">
              <w:rPr>
                <w:rFonts w:eastAsia="Times New Roman" w:cs="Times New Roman"/>
                <w:color w:val="000000"/>
                <w:sz w:val="20"/>
                <w:szCs w:val="20"/>
                <w:lang w:eastAsia="cs-CZ"/>
              </w:rPr>
              <w:t>01</w:t>
            </w:r>
          </w:p>
        </w:tc>
        <w:tc>
          <w:tcPr>
            <w:tcW w:w="1295" w:type="dxa"/>
            <w:tcBorders>
              <w:top w:val="nil"/>
              <w:left w:val="nil"/>
              <w:bottom w:val="nil"/>
              <w:right w:val="nil"/>
            </w:tcBorders>
            <w:shd w:val="clear" w:color="auto" w:fill="auto"/>
            <w:noWrap/>
            <w:vAlign w:val="center"/>
            <w:hideMark/>
          </w:tcPr>
          <w:p w:rsidR="00C84F89" w:rsidRPr="00554853" w:rsidRDefault="00C84F89" w:rsidP="00C84F89">
            <w:pPr>
              <w:spacing w:before="0" w:after="0"/>
              <w:ind w:left="-354" w:right="355"/>
              <w:jc w:val="right"/>
              <w:rPr>
                <w:rFonts w:eastAsia="Times New Roman" w:cs="Times New Roman"/>
                <w:color w:val="000000"/>
                <w:sz w:val="20"/>
                <w:szCs w:val="20"/>
                <w:lang w:eastAsia="cs-CZ"/>
              </w:rPr>
            </w:pPr>
            <w:r w:rsidRPr="00554853">
              <w:rPr>
                <w:rFonts w:eastAsia="Times New Roman" w:cs="Times New Roman"/>
                <w:color w:val="000000"/>
                <w:sz w:val="20"/>
                <w:szCs w:val="20"/>
                <w:lang w:eastAsia="cs-CZ"/>
              </w:rPr>
              <w:t>25</w:t>
            </w:r>
          </w:p>
        </w:tc>
        <w:tc>
          <w:tcPr>
            <w:tcW w:w="1136" w:type="dxa"/>
            <w:tcBorders>
              <w:top w:val="nil"/>
              <w:left w:val="nil"/>
              <w:bottom w:val="nil"/>
              <w:right w:val="nil"/>
            </w:tcBorders>
            <w:shd w:val="clear" w:color="auto" w:fill="auto"/>
            <w:noWrap/>
            <w:vAlign w:val="center"/>
            <w:hideMark/>
          </w:tcPr>
          <w:p w:rsidR="00C84F89" w:rsidRPr="00554853" w:rsidRDefault="00C84F89" w:rsidP="00C84F89">
            <w:pPr>
              <w:spacing w:before="0" w:after="0"/>
              <w:jc w:val="right"/>
              <w:rPr>
                <w:rFonts w:eastAsia="Times New Roman" w:cs="Times New Roman"/>
                <w:color w:val="000000"/>
                <w:sz w:val="20"/>
                <w:szCs w:val="20"/>
                <w:lang w:eastAsia="cs-CZ"/>
              </w:rPr>
            </w:pPr>
            <w:r w:rsidRPr="00554853">
              <w:rPr>
                <w:rFonts w:eastAsia="Times New Roman" w:cs="Times New Roman"/>
                <w:color w:val="000000"/>
                <w:sz w:val="20"/>
                <w:szCs w:val="20"/>
                <w:lang w:eastAsia="cs-CZ"/>
              </w:rPr>
              <w:t>0</w:t>
            </w:r>
            <w:r w:rsidR="00A67FBA" w:rsidRPr="00554853">
              <w:rPr>
                <w:rFonts w:eastAsia="Times New Roman" w:cs="Times New Roman"/>
                <w:color w:val="000000"/>
                <w:sz w:val="20"/>
                <w:szCs w:val="20"/>
                <w:lang w:eastAsia="cs-CZ"/>
              </w:rPr>
              <w:t>,</w:t>
            </w:r>
            <w:r w:rsidRPr="00554853">
              <w:rPr>
                <w:rFonts w:eastAsia="Times New Roman" w:cs="Times New Roman"/>
                <w:color w:val="000000"/>
                <w:sz w:val="20"/>
                <w:szCs w:val="20"/>
                <w:lang w:eastAsia="cs-CZ"/>
              </w:rPr>
              <w:t>18%</w:t>
            </w:r>
          </w:p>
        </w:tc>
      </w:tr>
      <w:tr w:rsidR="00C84F89" w:rsidRPr="00554853" w:rsidTr="00554853">
        <w:trPr>
          <w:trHeight w:val="300"/>
        </w:trPr>
        <w:tc>
          <w:tcPr>
            <w:tcW w:w="2567" w:type="dxa"/>
            <w:tcBorders>
              <w:top w:val="nil"/>
              <w:left w:val="nil"/>
              <w:bottom w:val="nil"/>
              <w:right w:val="nil"/>
            </w:tcBorders>
            <w:shd w:val="clear" w:color="auto" w:fill="auto"/>
            <w:noWrap/>
            <w:vAlign w:val="center"/>
            <w:hideMark/>
          </w:tcPr>
          <w:p w:rsidR="00C84F89" w:rsidRPr="00554853" w:rsidRDefault="00C84F89" w:rsidP="00C84F89">
            <w:pPr>
              <w:spacing w:before="0" w:after="0"/>
              <w:jc w:val="left"/>
              <w:rPr>
                <w:rFonts w:eastAsia="Times New Roman" w:cs="Times New Roman"/>
                <w:color w:val="000000"/>
                <w:sz w:val="20"/>
                <w:szCs w:val="20"/>
                <w:lang w:eastAsia="cs-CZ"/>
              </w:rPr>
            </w:pPr>
            <w:r w:rsidRPr="00554853">
              <w:rPr>
                <w:rFonts w:eastAsia="Times New Roman" w:cs="Times New Roman"/>
                <w:color w:val="000000"/>
                <w:sz w:val="20"/>
                <w:szCs w:val="20"/>
                <w:lang w:eastAsia="cs-CZ"/>
              </w:rPr>
              <w:t>Zemědělství</w:t>
            </w:r>
          </w:p>
        </w:tc>
        <w:tc>
          <w:tcPr>
            <w:tcW w:w="1134" w:type="dxa"/>
            <w:tcBorders>
              <w:top w:val="nil"/>
              <w:left w:val="nil"/>
              <w:bottom w:val="nil"/>
              <w:right w:val="nil"/>
            </w:tcBorders>
            <w:shd w:val="clear" w:color="auto" w:fill="auto"/>
            <w:noWrap/>
            <w:vAlign w:val="center"/>
            <w:hideMark/>
          </w:tcPr>
          <w:p w:rsidR="00C84F89" w:rsidRPr="00554853" w:rsidRDefault="00C84F89" w:rsidP="00554853">
            <w:pPr>
              <w:spacing w:before="0" w:after="0"/>
              <w:ind w:left="-354" w:right="355"/>
              <w:jc w:val="right"/>
              <w:rPr>
                <w:rFonts w:eastAsia="Times New Roman" w:cs="Times New Roman"/>
                <w:color w:val="000000"/>
                <w:sz w:val="20"/>
                <w:szCs w:val="20"/>
                <w:lang w:eastAsia="cs-CZ"/>
              </w:rPr>
            </w:pPr>
            <w:r w:rsidRPr="00554853">
              <w:rPr>
                <w:rFonts w:eastAsia="Times New Roman" w:cs="Times New Roman"/>
                <w:color w:val="000000"/>
                <w:sz w:val="20"/>
                <w:szCs w:val="20"/>
                <w:lang w:eastAsia="cs-CZ"/>
              </w:rPr>
              <w:t>1</w:t>
            </w:r>
          </w:p>
        </w:tc>
        <w:tc>
          <w:tcPr>
            <w:tcW w:w="1417" w:type="dxa"/>
            <w:tcBorders>
              <w:top w:val="nil"/>
              <w:left w:val="nil"/>
              <w:bottom w:val="nil"/>
              <w:right w:val="nil"/>
            </w:tcBorders>
            <w:shd w:val="clear" w:color="auto" w:fill="auto"/>
            <w:noWrap/>
            <w:vAlign w:val="center"/>
            <w:hideMark/>
          </w:tcPr>
          <w:p w:rsidR="00C84F89" w:rsidRPr="00554853" w:rsidRDefault="00C84F89" w:rsidP="00C84F89">
            <w:pPr>
              <w:spacing w:before="0" w:after="0"/>
              <w:jc w:val="center"/>
              <w:rPr>
                <w:rFonts w:eastAsia="Times New Roman" w:cs="Times New Roman"/>
                <w:color w:val="000000"/>
                <w:sz w:val="20"/>
                <w:szCs w:val="20"/>
                <w:lang w:eastAsia="cs-CZ"/>
              </w:rPr>
            </w:pPr>
            <w:r w:rsidRPr="00554853">
              <w:rPr>
                <w:rFonts w:eastAsia="Times New Roman" w:cs="Times New Roman"/>
                <w:color w:val="000000"/>
                <w:sz w:val="20"/>
                <w:szCs w:val="20"/>
                <w:lang w:eastAsia="cs-CZ"/>
              </w:rPr>
              <w:t>0</w:t>
            </w:r>
            <w:r w:rsidR="00A67FBA" w:rsidRPr="00554853">
              <w:rPr>
                <w:rFonts w:eastAsia="Times New Roman" w:cs="Times New Roman"/>
                <w:color w:val="000000"/>
                <w:sz w:val="20"/>
                <w:szCs w:val="20"/>
                <w:lang w:eastAsia="cs-CZ"/>
              </w:rPr>
              <w:t>,</w:t>
            </w:r>
            <w:r w:rsidRPr="00554853">
              <w:rPr>
                <w:rFonts w:eastAsia="Times New Roman" w:cs="Times New Roman"/>
                <w:color w:val="000000"/>
                <w:sz w:val="20"/>
                <w:szCs w:val="20"/>
                <w:lang w:eastAsia="cs-CZ"/>
              </w:rPr>
              <w:t>86</w:t>
            </w:r>
          </w:p>
        </w:tc>
        <w:tc>
          <w:tcPr>
            <w:tcW w:w="1397" w:type="dxa"/>
            <w:tcBorders>
              <w:top w:val="nil"/>
              <w:left w:val="nil"/>
              <w:bottom w:val="nil"/>
              <w:right w:val="nil"/>
            </w:tcBorders>
            <w:shd w:val="clear" w:color="auto" w:fill="auto"/>
            <w:noWrap/>
            <w:vAlign w:val="center"/>
            <w:hideMark/>
          </w:tcPr>
          <w:p w:rsidR="00C84F89" w:rsidRPr="00554853" w:rsidRDefault="00C84F89" w:rsidP="00C84F89">
            <w:pPr>
              <w:spacing w:before="0" w:after="0"/>
              <w:jc w:val="center"/>
              <w:rPr>
                <w:rFonts w:eastAsia="Times New Roman" w:cs="Times New Roman"/>
                <w:color w:val="000000"/>
                <w:sz w:val="20"/>
                <w:szCs w:val="20"/>
                <w:lang w:eastAsia="cs-CZ"/>
              </w:rPr>
            </w:pPr>
            <w:r w:rsidRPr="00554853">
              <w:rPr>
                <w:rFonts w:eastAsia="Times New Roman" w:cs="Times New Roman"/>
                <w:color w:val="000000"/>
                <w:sz w:val="20"/>
                <w:szCs w:val="20"/>
                <w:lang w:eastAsia="cs-CZ"/>
              </w:rPr>
              <w:t>0</w:t>
            </w:r>
            <w:r w:rsidR="00A67FBA" w:rsidRPr="00554853">
              <w:rPr>
                <w:rFonts w:eastAsia="Times New Roman" w:cs="Times New Roman"/>
                <w:color w:val="000000"/>
                <w:sz w:val="20"/>
                <w:szCs w:val="20"/>
                <w:lang w:eastAsia="cs-CZ"/>
              </w:rPr>
              <w:t>,</w:t>
            </w:r>
            <w:r w:rsidRPr="00554853">
              <w:rPr>
                <w:rFonts w:eastAsia="Times New Roman" w:cs="Times New Roman"/>
                <w:color w:val="000000"/>
                <w:sz w:val="20"/>
                <w:szCs w:val="20"/>
                <w:lang w:eastAsia="cs-CZ"/>
              </w:rPr>
              <w:t>62</w:t>
            </w:r>
          </w:p>
        </w:tc>
        <w:tc>
          <w:tcPr>
            <w:tcW w:w="1295" w:type="dxa"/>
            <w:tcBorders>
              <w:top w:val="nil"/>
              <w:left w:val="nil"/>
              <w:bottom w:val="nil"/>
              <w:right w:val="nil"/>
            </w:tcBorders>
            <w:shd w:val="clear" w:color="auto" w:fill="auto"/>
            <w:noWrap/>
            <w:vAlign w:val="center"/>
            <w:hideMark/>
          </w:tcPr>
          <w:p w:rsidR="00C84F89" w:rsidRPr="00554853" w:rsidRDefault="00C84F89" w:rsidP="00C84F89">
            <w:pPr>
              <w:spacing w:before="0" w:after="0"/>
              <w:ind w:left="-354" w:right="355"/>
              <w:jc w:val="right"/>
              <w:rPr>
                <w:rFonts w:eastAsia="Times New Roman" w:cs="Times New Roman"/>
                <w:color w:val="000000"/>
                <w:sz w:val="20"/>
                <w:szCs w:val="20"/>
                <w:lang w:eastAsia="cs-CZ"/>
              </w:rPr>
            </w:pPr>
            <w:r w:rsidRPr="00554853">
              <w:rPr>
                <w:rFonts w:eastAsia="Times New Roman" w:cs="Times New Roman"/>
                <w:color w:val="000000"/>
                <w:sz w:val="20"/>
                <w:szCs w:val="20"/>
                <w:lang w:eastAsia="cs-CZ"/>
              </w:rPr>
              <w:t>139</w:t>
            </w:r>
          </w:p>
        </w:tc>
        <w:tc>
          <w:tcPr>
            <w:tcW w:w="1136" w:type="dxa"/>
            <w:tcBorders>
              <w:top w:val="nil"/>
              <w:left w:val="nil"/>
              <w:bottom w:val="nil"/>
              <w:right w:val="nil"/>
            </w:tcBorders>
            <w:shd w:val="clear" w:color="auto" w:fill="auto"/>
            <w:noWrap/>
            <w:vAlign w:val="center"/>
            <w:hideMark/>
          </w:tcPr>
          <w:p w:rsidR="00C84F89" w:rsidRPr="00554853" w:rsidRDefault="00C84F89" w:rsidP="00C84F89">
            <w:pPr>
              <w:spacing w:before="0" w:after="0"/>
              <w:jc w:val="right"/>
              <w:rPr>
                <w:rFonts w:eastAsia="Times New Roman" w:cs="Times New Roman"/>
                <w:color w:val="000000"/>
                <w:sz w:val="20"/>
                <w:szCs w:val="20"/>
                <w:lang w:eastAsia="cs-CZ"/>
              </w:rPr>
            </w:pPr>
            <w:r w:rsidRPr="00554853">
              <w:rPr>
                <w:rFonts w:eastAsia="Times New Roman" w:cs="Times New Roman"/>
                <w:color w:val="000000"/>
                <w:sz w:val="20"/>
                <w:szCs w:val="20"/>
                <w:lang w:eastAsia="cs-CZ"/>
              </w:rPr>
              <w:t>0</w:t>
            </w:r>
            <w:r w:rsidR="00A67FBA" w:rsidRPr="00554853">
              <w:rPr>
                <w:rFonts w:eastAsia="Times New Roman" w:cs="Times New Roman"/>
                <w:color w:val="000000"/>
                <w:sz w:val="20"/>
                <w:szCs w:val="20"/>
                <w:lang w:eastAsia="cs-CZ"/>
              </w:rPr>
              <w:t>,</w:t>
            </w:r>
            <w:r w:rsidRPr="00554853">
              <w:rPr>
                <w:rFonts w:eastAsia="Times New Roman" w:cs="Times New Roman"/>
                <w:color w:val="000000"/>
                <w:sz w:val="20"/>
                <w:szCs w:val="20"/>
                <w:lang w:eastAsia="cs-CZ"/>
              </w:rPr>
              <w:t>05%</w:t>
            </w:r>
          </w:p>
        </w:tc>
      </w:tr>
      <w:tr w:rsidR="00C84F89" w:rsidRPr="00554853" w:rsidTr="00554853">
        <w:trPr>
          <w:trHeight w:val="300"/>
        </w:trPr>
        <w:tc>
          <w:tcPr>
            <w:tcW w:w="2567" w:type="dxa"/>
            <w:tcBorders>
              <w:top w:val="nil"/>
              <w:left w:val="nil"/>
              <w:bottom w:val="nil"/>
              <w:right w:val="nil"/>
            </w:tcBorders>
            <w:shd w:val="clear" w:color="auto" w:fill="auto"/>
            <w:noWrap/>
            <w:vAlign w:val="center"/>
            <w:hideMark/>
          </w:tcPr>
          <w:p w:rsidR="00C84F89" w:rsidRPr="00554853" w:rsidRDefault="00C84F89" w:rsidP="00C84F89">
            <w:pPr>
              <w:spacing w:before="0" w:after="0"/>
              <w:jc w:val="left"/>
              <w:rPr>
                <w:rFonts w:eastAsia="Times New Roman" w:cs="Times New Roman"/>
                <w:color w:val="000000"/>
                <w:sz w:val="20"/>
                <w:szCs w:val="20"/>
                <w:lang w:eastAsia="cs-CZ"/>
              </w:rPr>
            </w:pPr>
            <w:r w:rsidRPr="00554853">
              <w:rPr>
                <w:rFonts w:eastAsia="Times New Roman" w:cs="Times New Roman"/>
                <w:color w:val="000000"/>
                <w:sz w:val="20"/>
                <w:szCs w:val="20"/>
                <w:lang w:eastAsia="cs-CZ"/>
              </w:rPr>
              <w:t>Informatika</w:t>
            </w:r>
          </w:p>
        </w:tc>
        <w:tc>
          <w:tcPr>
            <w:tcW w:w="1134" w:type="dxa"/>
            <w:tcBorders>
              <w:top w:val="nil"/>
              <w:left w:val="nil"/>
              <w:bottom w:val="nil"/>
              <w:right w:val="nil"/>
            </w:tcBorders>
            <w:shd w:val="clear" w:color="auto" w:fill="auto"/>
            <w:noWrap/>
            <w:vAlign w:val="center"/>
            <w:hideMark/>
          </w:tcPr>
          <w:p w:rsidR="00C84F89" w:rsidRPr="00554853" w:rsidRDefault="00C84F89" w:rsidP="00554853">
            <w:pPr>
              <w:spacing w:before="0" w:after="0"/>
              <w:ind w:left="-354" w:right="355"/>
              <w:jc w:val="right"/>
              <w:rPr>
                <w:rFonts w:eastAsia="Times New Roman" w:cs="Times New Roman"/>
                <w:color w:val="000000"/>
                <w:sz w:val="20"/>
                <w:szCs w:val="20"/>
                <w:lang w:eastAsia="cs-CZ"/>
              </w:rPr>
            </w:pPr>
            <w:r w:rsidRPr="00554853">
              <w:rPr>
                <w:rFonts w:eastAsia="Times New Roman" w:cs="Times New Roman"/>
                <w:color w:val="000000"/>
                <w:sz w:val="20"/>
                <w:szCs w:val="20"/>
                <w:lang w:eastAsia="cs-CZ"/>
              </w:rPr>
              <w:t>6</w:t>
            </w:r>
          </w:p>
        </w:tc>
        <w:tc>
          <w:tcPr>
            <w:tcW w:w="1417" w:type="dxa"/>
            <w:tcBorders>
              <w:top w:val="nil"/>
              <w:left w:val="nil"/>
              <w:bottom w:val="nil"/>
              <w:right w:val="nil"/>
            </w:tcBorders>
            <w:shd w:val="clear" w:color="auto" w:fill="auto"/>
            <w:noWrap/>
            <w:vAlign w:val="center"/>
            <w:hideMark/>
          </w:tcPr>
          <w:p w:rsidR="00C84F89" w:rsidRPr="00554853" w:rsidRDefault="00C84F89" w:rsidP="00C84F89">
            <w:pPr>
              <w:spacing w:before="0" w:after="0"/>
              <w:jc w:val="center"/>
              <w:rPr>
                <w:rFonts w:eastAsia="Times New Roman" w:cs="Times New Roman"/>
                <w:color w:val="000000"/>
                <w:sz w:val="20"/>
                <w:szCs w:val="20"/>
                <w:lang w:eastAsia="cs-CZ"/>
              </w:rPr>
            </w:pPr>
            <w:r w:rsidRPr="00554853">
              <w:rPr>
                <w:rFonts w:eastAsia="Times New Roman" w:cs="Times New Roman"/>
                <w:color w:val="000000"/>
                <w:sz w:val="20"/>
                <w:szCs w:val="20"/>
                <w:lang w:eastAsia="cs-CZ"/>
              </w:rPr>
              <w:t>0</w:t>
            </w:r>
            <w:r w:rsidR="00A67FBA" w:rsidRPr="00554853">
              <w:rPr>
                <w:rFonts w:eastAsia="Times New Roman" w:cs="Times New Roman"/>
                <w:color w:val="000000"/>
                <w:sz w:val="20"/>
                <w:szCs w:val="20"/>
                <w:lang w:eastAsia="cs-CZ"/>
              </w:rPr>
              <w:t>,</w:t>
            </w:r>
            <w:r w:rsidRPr="00554853">
              <w:rPr>
                <w:rFonts w:eastAsia="Times New Roman" w:cs="Times New Roman"/>
                <w:color w:val="000000"/>
                <w:sz w:val="20"/>
                <w:szCs w:val="20"/>
                <w:lang w:eastAsia="cs-CZ"/>
              </w:rPr>
              <w:t>68</w:t>
            </w:r>
          </w:p>
        </w:tc>
        <w:tc>
          <w:tcPr>
            <w:tcW w:w="1397" w:type="dxa"/>
            <w:tcBorders>
              <w:top w:val="nil"/>
              <w:left w:val="nil"/>
              <w:bottom w:val="nil"/>
              <w:right w:val="nil"/>
            </w:tcBorders>
            <w:shd w:val="clear" w:color="auto" w:fill="auto"/>
            <w:noWrap/>
            <w:vAlign w:val="center"/>
            <w:hideMark/>
          </w:tcPr>
          <w:p w:rsidR="00C84F89" w:rsidRPr="00554853" w:rsidRDefault="00C84F89" w:rsidP="00C84F89">
            <w:pPr>
              <w:spacing w:before="0" w:after="0"/>
              <w:jc w:val="center"/>
              <w:rPr>
                <w:rFonts w:eastAsia="Times New Roman" w:cs="Times New Roman"/>
                <w:color w:val="000000"/>
                <w:sz w:val="20"/>
                <w:szCs w:val="20"/>
                <w:lang w:eastAsia="cs-CZ"/>
              </w:rPr>
            </w:pPr>
            <w:r w:rsidRPr="00554853">
              <w:rPr>
                <w:rFonts w:eastAsia="Times New Roman" w:cs="Times New Roman"/>
                <w:color w:val="000000"/>
                <w:sz w:val="20"/>
                <w:szCs w:val="20"/>
                <w:lang w:eastAsia="cs-CZ"/>
              </w:rPr>
              <w:t>0</w:t>
            </w:r>
            <w:r w:rsidR="00A67FBA" w:rsidRPr="00554853">
              <w:rPr>
                <w:rFonts w:eastAsia="Times New Roman" w:cs="Times New Roman"/>
                <w:color w:val="000000"/>
                <w:sz w:val="20"/>
                <w:szCs w:val="20"/>
                <w:lang w:eastAsia="cs-CZ"/>
              </w:rPr>
              <w:t>,</w:t>
            </w:r>
            <w:r w:rsidRPr="00554853">
              <w:rPr>
                <w:rFonts w:eastAsia="Times New Roman" w:cs="Times New Roman"/>
                <w:color w:val="000000"/>
                <w:sz w:val="20"/>
                <w:szCs w:val="20"/>
                <w:lang w:eastAsia="cs-CZ"/>
              </w:rPr>
              <w:t>43</w:t>
            </w:r>
          </w:p>
        </w:tc>
        <w:tc>
          <w:tcPr>
            <w:tcW w:w="1295" w:type="dxa"/>
            <w:tcBorders>
              <w:top w:val="nil"/>
              <w:left w:val="nil"/>
              <w:bottom w:val="nil"/>
              <w:right w:val="nil"/>
            </w:tcBorders>
            <w:shd w:val="clear" w:color="auto" w:fill="auto"/>
            <w:noWrap/>
            <w:vAlign w:val="center"/>
            <w:hideMark/>
          </w:tcPr>
          <w:p w:rsidR="00C84F89" w:rsidRPr="00554853" w:rsidRDefault="00C84F89" w:rsidP="00C84F89">
            <w:pPr>
              <w:spacing w:before="0" w:after="0"/>
              <w:ind w:left="-354" w:right="355"/>
              <w:jc w:val="right"/>
              <w:rPr>
                <w:rFonts w:eastAsia="Times New Roman" w:cs="Times New Roman"/>
                <w:color w:val="000000"/>
                <w:sz w:val="20"/>
                <w:szCs w:val="20"/>
                <w:lang w:eastAsia="cs-CZ"/>
              </w:rPr>
            </w:pPr>
            <w:r w:rsidRPr="00554853">
              <w:rPr>
                <w:rFonts w:eastAsia="Times New Roman" w:cs="Times New Roman"/>
                <w:color w:val="000000"/>
                <w:sz w:val="20"/>
                <w:szCs w:val="20"/>
                <w:lang w:eastAsia="cs-CZ"/>
              </w:rPr>
              <w:t>158</w:t>
            </w:r>
          </w:p>
        </w:tc>
        <w:tc>
          <w:tcPr>
            <w:tcW w:w="1136" w:type="dxa"/>
            <w:tcBorders>
              <w:top w:val="nil"/>
              <w:left w:val="nil"/>
              <w:bottom w:val="nil"/>
              <w:right w:val="nil"/>
            </w:tcBorders>
            <w:shd w:val="clear" w:color="auto" w:fill="auto"/>
            <w:noWrap/>
            <w:vAlign w:val="center"/>
            <w:hideMark/>
          </w:tcPr>
          <w:p w:rsidR="00C84F89" w:rsidRPr="00554853" w:rsidRDefault="00C84F89" w:rsidP="00C84F89">
            <w:pPr>
              <w:spacing w:before="0" w:after="0"/>
              <w:jc w:val="right"/>
              <w:rPr>
                <w:rFonts w:eastAsia="Times New Roman" w:cs="Times New Roman"/>
                <w:color w:val="000000"/>
                <w:sz w:val="20"/>
                <w:szCs w:val="20"/>
                <w:lang w:eastAsia="cs-CZ"/>
              </w:rPr>
            </w:pPr>
            <w:r w:rsidRPr="00554853">
              <w:rPr>
                <w:rFonts w:eastAsia="Times New Roman" w:cs="Times New Roman"/>
                <w:color w:val="000000"/>
                <w:sz w:val="20"/>
                <w:szCs w:val="20"/>
                <w:lang w:eastAsia="cs-CZ"/>
              </w:rPr>
              <w:t>0</w:t>
            </w:r>
            <w:r w:rsidR="00A67FBA" w:rsidRPr="00554853">
              <w:rPr>
                <w:rFonts w:eastAsia="Times New Roman" w:cs="Times New Roman"/>
                <w:color w:val="000000"/>
                <w:sz w:val="20"/>
                <w:szCs w:val="20"/>
                <w:lang w:eastAsia="cs-CZ"/>
              </w:rPr>
              <w:t>,</w:t>
            </w:r>
            <w:r w:rsidRPr="00554853">
              <w:rPr>
                <w:rFonts w:eastAsia="Times New Roman" w:cs="Times New Roman"/>
                <w:color w:val="000000"/>
                <w:sz w:val="20"/>
                <w:szCs w:val="20"/>
                <w:lang w:eastAsia="cs-CZ"/>
              </w:rPr>
              <w:t>64%</w:t>
            </w:r>
          </w:p>
        </w:tc>
      </w:tr>
      <w:tr w:rsidR="00C84F89" w:rsidRPr="00554853" w:rsidTr="00554853">
        <w:trPr>
          <w:trHeight w:val="300"/>
        </w:trPr>
        <w:tc>
          <w:tcPr>
            <w:tcW w:w="2567" w:type="dxa"/>
            <w:tcBorders>
              <w:top w:val="nil"/>
              <w:left w:val="nil"/>
              <w:bottom w:val="nil"/>
              <w:right w:val="nil"/>
            </w:tcBorders>
            <w:shd w:val="clear" w:color="auto" w:fill="auto"/>
            <w:noWrap/>
            <w:vAlign w:val="center"/>
            <w:hideMark/>
          </w:tcPr>
          <w:p w:rsidR="00C84F89" w:rsidRPr="00554853" w:rsidRDefault="00C84F89" w:rsidP="00C84F89">
            <w:pPr>
              <w:spacing w:before="0" w:after="0"/>
              <w:jc w:val="left"/>
              <w:rPr>
                <w:rFonts w:eastAsia="Times New Roman" w:cs="Times New Roman"/>
                <w:color w:val="000000"/>
                <w:sz w:val="20"/>
                <w:szCs w:val="20"/>
                <w:lang w:eastAsia="cs-CZ"/>
              </w:rPr>
            </w:pPr>
            <w:r w:rsidRPr="00554853">
              <w:rPr>
                <w:rFonts w:eastAsia="Times New Roman" w:cs="Times New Roman"/>
                <w:color w:val="000000"/>
                <w:sz w:val="20"/>
                <w:szCs w:val="20"/>
                <w:lang w:eastAsia="cs-CZ"/>
              </w:rPr>
              <w:t>Průmysl</w:t>
            </w:r>
          </w:p>
        </w:tc>
        <w:tc>
          <w:tcPr>
            <w:tcW w:w="1134" w:type="dxa"/>
            <w:tcBorders>
              <w:top w:val="nil"/>
              <w:left w:val="nil"/>
              <w:bottom w:val="nil"/>
              <w:right w:val="nil"/>
            </w:tcBorders>
            <w:shd w:val="clear" w:color="auto" w:fill="auto"/>
            <w:noWrap/>
            <w:vAlign w:val="center"/>
            <w:hideMark/>
          </w:tcPr>
          <w:p w:rsidR="00C84F89" w:rsidRPr="00554853" w:rsidRDefault="00C84F89" w:rsidP="00554853">
            <w:pPr>
              <w:spacing w:before="0" w:after="0"/>
              <w:ind w:left="-354" w:right="355"/>
              <w:jc w:val="right"/>
              <w:rPr>
                <w:rFonts w:eastAsia="Times New Roman" w:cs="Times New Roman"/>
                <w:color w:val="000000"/>
                <w:sz w:val="20"/>
                <w:szCs w:val="20"/>
                <w:lang w:eastAsia="cs-CZ"/>
              </w:rPr>
            </w:pPr>
            <w:r w:rsidRPr="00554853">
              <w:rPr>
                <w:rFonts w:eastAsia="Times New Roman" w:cs="Times New Roman"/>
                <w:color w:val="000000"/>
                <w:sz w:val="20"/>
                <w:szCs w:val="20"/>
                <w:lang w:eastAsia="cs-CZ"/>
              </w:rPr>
              <w:t>55</w:t>
            </w:r>
          </w:p>
        </w:tc>
        <w:tc>
          <w:tcPr>
            <w:tcW w:w="1417" w:type="dxa"/>
            <w:tcBorders>
              <w:top w:val="nil"/>
              <w:left w:val="nil"/>
              <w:bottom w:val="nil"/>
              <w:right w:val="nil"/>
            </w:tcBorders>
            <w:shd w:val="clear" w:color="auto" w:fill="auto"/>
            <w:noWrap/>
            <w:vAlign w:val="center"/>
            <w:hideMark/>
          </w:tcPr>
          <w:p w:rsidR="00C84F89" w:rsidRPr="00554853" w:rsidRDefault="00C84F89" w:rsidP="00C84F89">
            <w:pPr>
              <w:spacing w:before="0" w:after="0"/>
              <w:jc w:val="center"/>
              <w:rPr>
                <w:rFonts w:eastAsia="Times New Roman" w:cs="Times New Roman"/>
                <w:color w:val="000000"/>
                <w:sz w:val="20"/>
                <w:szCs w:val="20"/>
                <w:lang w:eastAsia="cs-CZ"/>
              </w:rPr>
            </w:pPr>
            <w:r w:rsidRPr="00554853">
              <w:rPr>
                <w:rFonts w:eastAsia="Times New Roman" w:cs="Times New Roman"/>
                <w:color w:val="000000"/>
                <w:sz w:val="20"/>
                <w:szCs w:val="20"/>
                <w:lang w:eastAsia="cs-CZ"/>
              </w:rPr>
              <w:t>0</w:t>
            </w:r>
            <w:r w:rsidR="00A67FBA" w:rsidRPr="00554853">
              <w:rPr>
                <w:rFonts w:eastAsia="Times New Roman" w:cs="Times New Roman"/>
                <w:color w:val="000000"/>
                <w:sz w:val="20"/>
                <w:szCs w:val="20"/>
                <w:lang w:eastAsia="cs-CZ"/>
              </w:rPr>
              <w:t>,</w:t>
            </w:r>
            <w:r w:rsidRPr="00554853">
              <w:rPr>
                <w:rFonts w:eastAsia="Times New Roman" w:cs="Times New Roman"/>
                <w:color w:val="000000"/>
                <w:sz w:val="20"/>
                <w:szCs w:val="20"/>
                <w:lang w:eastAsia="cs-CZ"/>
              </w:rPr>
              <w:t>39</w:t>
            </w:r>
          </w:p>
        </w:tc>
        <w:tc>
          <w:tcPr>
            <w:tcW w:w="1397" w:type="dxa"/>
            <w:tcBorders>
              <w:top w:val="nil"/>
              <w:left w:val="nil"/>
              <w:bottom w:val="nil"/>
              <w:right w:val="nil"/>
            </w:tcBorders>
            <w:shd w:val="clear" w:color="auto" w:fill="auto"/>
            <w:noWrap/>
            <w:vAlign w:val="center"/>
            <w:hideMark/>
          </w:tcPr>
          <w:p w:rsidR="00C84F89" w:rsidRPr="00554853" w:rsidRDefault="00C84F89" w:rsidP="00C84F89">
            <w:pPr>
              <w:spacing w:before="0" w:after="0"/>
              <w:jc w:val="center"/>
              <w:rPr>
                <w:rFonts w:eastAsia="Times New Roman" w:cs="Times New Roman"/>
                <w:color w:val="000000"/>
                <w:sz w:val="20"/>
                <w:szCs w:val="20"/>
                <w:lang w:eastAsia="cs-CZ"/>
              </w:rPr>
            </w:pPr>
            <w:r w:rsidRPr="00554853">
              <w:rPr>
                <w:rFonts w:eastAsia="Times New Roman" w:cs="Times New Roman"/>
                <w:color w:val="000000"/>
                <w:sz w:val="20"/>
                <w:szCs w:val="20"/>
                <w:lang w:eastAsia="cs-CZ"/>
              </w:rPr>
              <w:t>0</w:t>
            </w:r>
            <w:r w:rsidR="00A67FBA" w:rsidRPr="00554853">
              <w:rPr>
                <w:rFonts w:eastAsia="Times New Roman" w:cs="Times New Roman"/>
                <w:color w:val="000000"/>
                <w:sz w:val="20"/>
                <w:szCs w:val="20"/>
                <w:lang w:eastAsia="cs-CZ"/>
              </w:rPr>
              <w:t>,</w:t>
            </w:r>
            <w:r w:rsidRPr="00554853">
              <w:rPr>
                <w:rFonts w:eastAsia="Times New Roman" w:cs="Times New Roman"/>
                <w:color w:val="000000"/>
                <w:sz w:val="20"/>
                <w:szCs w:val="20"/>
                <w:lang w:eastAsia="cs-CZ"/>
              </w:rPr>
              <w:t>50</w:t>
            </w:r>
          </w:p>
        </w:tc>
        <w:tc>
          <w:tcPr>
            <w:tcW w:w="1295" w:type="dxa"/>
            <w:tcBorders>
              <w:top w:val="nil"/>
              <w:left w:val="nil"/>
              <w:bottom w:val="nil"/>
              <w:right w:val="nil"/>
            </w:tcBorders>
            <w:shd w:val="clear" w:color="auto" w:fill="auto"/>
            <w:noWrap/>
            <w:vAlign w:val="center"/>
            <w:hideMark/>
          </w:tcPr>
          <w:p w:rsidR="00C84F89" w:rsidRPr="00554853" w:rsidRDefault="00C84F89" w:rsidP="00C84F89">
            <w:pPr>
              <w:spacing w:before="0" w:after="0"/>
              <w:ind w:left="-354" w:right="355"/>
              <w:jc w:val="right"/>
              <w:rPr>
                <w:rFonts w:eastAsia="Times New Roman" w:cs="Times New Roman"/>
                <w:color w:val="000000"/>
                <w:sz w:val="20"/>
                <w:szCs w:val="20"/>
                <w:lang w:eastAsia="cs-CZ"/>
              </w:rPr>
            </w:pPr>
            <w:r w:rsidRPr="00554853">
              <w:rPr>
                <w:rFonts w:eastAsia="Times New Roman" w:cs="Times New Roman"/>
                <w:color w:val="000000"/>
                <w:sz w:val="20"/>
                <w:szCs w:val="20"/>
                <w:lang w:eastAsia="cs-CZ"/>
              </w:rPr>
              <w:t>78</w:t>
            </w:r>
          </w:p>
        </w:tc>
        <w:tc>
          <w:tcPr>
            <w:tcW w:w="1136" w:type="dxa"/>
            <w:tcBorders>
              <w:top w:val="nil"/>
              <w:left w:val="nil"/>
              <w:bottom w:val="nil"/>
              <w:right w:val="nil"/>
            </w:tcBorders>
            <w:shd w:val="clear" w:color="auto" w:fill="auto"/>
            <w:noWrap/>
            <w:vAlign w:val="center"/>
            <w:hideMark/>
          </w:tcPr>
          <w:p w:rsidR="00C84F89" w:rsidRPr="00554853" w:rsidRDefault="00C84F89" w:rsidP="00C84F89">
            <w:pPr>
              <w:spacing w:before="0" w:after="0"/>
              <w:jc w:val="right"/>
              <w:rPr>
                <w:rFonts w:eastAsia="Times New Roman" w:cs="Times New Roman"/>
                <w:color w:val="000000"/>
                <w:sz w:val="20"/>
                <w:szCs w:val="20"/>
                <w:lang w:eastAsia="cs-CZ"/>
              </w:rPr>
            </w:pPr>
            <w:r w:rsidRPr="00554853">
              <w:rPr>
                <w:rFonts w:eastAsia="Times New Roman" w:cs="Times New Roman"/>
                <w:color w:val="000000"/>
                <w:sz w:val="20"/>
                <w:szCs w:val="20"/>
                <w:lang w:eastAsia="cs-CZ"/>
              </w:rPr>
              <w:t>1</w:t>
            </w:r>
            <w:r w:rsidR="00A67FBA" w:rsidRPr="00554853">
              <w:rPr>
                <w:rFonts w:eastAsia="Times New Roman" w:cs="Times New Roman"/>
                <w:color w:val="000000"/>
                <w:sz w:val="20"/>
                <w:szCs w:val="20"/>
                <w:lang w:eastAsia="cs-CZ"/>
              </w:rPr>
              <w:t>,</w:t>
            </w:r>
            <w:r w:rsidRPr="00554853">
              <w:rPr>
                <w:rFonts w:eastAsia="Times New Roman" w:cs="Times New Roman"/>
                <w:color w:val="000000"/>
                <w:sz w:val="20"/>
                <w:szCs w:val="20"/>
                <w:lang w:eastAsia="cs-CZ"/>
              </w:rPr>
              <w:t>26%</w:t>
            </w:r>
          </w:p>
        </w:tc>
      </w:tr>
      <w:tr w:rsidR="00C84F89" w:rsidRPr="00554853" w:rsidTr="00554853">
        <w:trPr>
          <w:trHeight w:val="300"/>
        </w:trPr>
        <w:tc>
          <w:tcPr>
            <w:tcW w:w="2567" w:type="dxa"/>
            <w:tcBorders>
              <w:top w:val="nil"/>
              <w:left w:val="nil"/>
              <w:bottom w:val="single" w:sz="4" w:space="0" w:color="auto"/>
              <w:right w:val="nil"/>
            </w:tcBorders>
            <w:shd w:val="clear" w:color="auto" w:fill="auto"/>
            <w:noWrap/>
            <w:vAlign w:val="center"/>
            <w:hideMark/>
          </w:tcPr>
          <w:p w:rsidR="00C84F89" w:rsidRPr="00554853" w:rsidRDefault="00C84F89" w:rsidP="00C84F89">
            <w:pPr>
              <w:spacing w:before="0" w:after="0"/>
              <w:jc w:val="left"/>
              <w:rPr>
                <w:rFonts w:eastAsia="Times New Roman" w:cs="Times New Roman"/>
                <w:color w:val="000000"/>
                <w:sz w:val="20"/>
                <w:szCs w:val="20"/>
                <w:lang w:eastAsia="cs-CZ"/>
              </w:rPr>
            </w:pPr>
            <w:r w:rsidRPr="00554853">
              <w:rPr>
                <w:rFonts w:eastAsia="Times New Roman" w:cs="Times New Roman"/>
                <w:color w:val="000000"/>
                <w:sz w:val="20"/>
                <w:szCs w:val="20"/>
                <w:lang w:eastAsia="cs-CZ"/>
              </w:rPr>
              <w:t>Vojenství</w:t>
            </w:r>
          </w:p>
        </w:tc>
        <w:tc>
          <w:tcPr>
            <w:tcW w:w="1134" w:type="dxa"/>
            <w:tcBorders>
              <w:top w:val="nil"/>
              <w:left w:val="nil"/>
              <w:bottom w:val="single" w:sz="4" w:space="0" w:color="auto"/>
              <w:right w:val="nil"/>
            </w:tcBorders>
            <w:shd w:val="clear" w:color="auto" w:fill="auto"/>
            <w:noWrap/>
            <w:vAlign w:val="center"/>
            <w:hideMark/>
          </w:tcPr>
          <w:p w:rsidR="00C84F89" w:rsidRPr="00554853" w:rsidRDefault="00C84F89" w:rsidP="00554853">
            <w:pPr>
              <w:spacing w:before="0" w:after="0"/>
              <w:ind w:left="-354" w:right="355"/>
              <w:jc w:val="right"/>
              <w:rPr>
                <w:rFonts w:eastAsia="Times New Roman" w:cs="Times New Roman"/>
                <w:color w:val="000000"/>
                <w:sz w:val="20"/>
                <w:szCs w:val="20"/>
                <w:lang w:eastAsia="cs-CZ"/>
              </w:rPr>
            </w:pPr>
            <w:r w:rsidRPr="00554853">
              <w:rPr>
                <w:rFonts w:eastAsia="Times New Roman" w:cs="Times New Roman"/>
                <w:color w:val="000000"/>
                <w:sz w:val="20"/>
                <w:szCs w:val="20"/>
                <w:lang w:eastAsia="cs-CZ"/>
              </w:rPr>
              <w:t>3</w:t>
            </w:r>
          </w:p>
        </w:tc>
        <w:tc>
          <w:tcPr>
            <w:tcW w:w="1417" w:type="dxa"/>
            <w:tcBorders>
              <w:top w:val="nil"/>
              <w:left w:val="nil"/>
              <w:bottom w:val="single" w:sz="4" w:space="0" w:color="auto"/>
              <w:right w:val="nil"/>
            </w:tcBorders>
            <w:shd w:val="clear" w:color="auto" w:fill="auto"/>
            <w:noWrap/>
            <w:vAlign w:val="center"/>
            <w:hideMark/>
          </w:tcPr>
          <w:p w:rsidR="00C84F89" w:rsidRPr="00554853" w:rsidRDefault="00C84F89" w:rsidP="00C84F89">
            <w:pPr>
              <w:spacing w:before="0" w:after="0"/>
              <w:jc w:val="center"/>
              <w:rPr>
                <w:rFonts w:eastAsia="Times New Roman" w:cs="Times New Roman"/>
                <w:color w:val="000000"/>
                <w:sz w:val="20"/>
                <w:szCs w:val="20"/>
                <w:lang w:eastAsia="cs-CZ"/>
              </w:rPr>
            </w:pPr>
            <w:r w:rsidRPr="00554853">
              <w:rPr>
                <w:rFonts w:eastAsia="Times New Roman" w:cs="Times New Roman"/>
                <w:color w:val="000000"/>
                <w:sz w:val="20"/>
                <w:szCs w:val="20"/>
                <w:lang w:eastAsia="cs-CZ"/>
              </w:rPr>
              <w:t>0</w:t>
            </w:r>
            <w:r w:rsidR="00A67FBA" w:rsidRPr="00554853">
              <w:rPr>
                <w:rFonts w:eastAsia="Times New Roman" w:cs="Times New Roman"/>
                <w:color w:val="000000"/>
                <w:sz w:val="20"/>
                <w:szCs w:val="20"/>
                <w:lang w:eastAsia="cs-CZ"/>
              </w:rPr>
              <w:t>,</w:t>
            </w:r>
            <w:r w:rsidRPr="00554853">
              <w:rPr>
                <w:rFonts w:eastAsia="Times New Roman" w:cs="Times New Roman"/>
                <w:color w:val="000000"/>
                <w:sz w:val="20"/>
                <w:szCs w:val="20"/>
                <w:lang w:eastAsia="cs-CZ"/>
              </w:rPr>
              <w:t>20</w:t>
            </w:r>
          </w:p>
        </w:tc>
        <w:tc>
          <w:tcPr>
            <w:tcW w:w="1397" w:type="dxa"/>
            <w:tcBorders>
              <w:top w:val="nil"/>
              <w:left w:val="nil"/>
              <w:bottom w:val="single" w:sz="4" w:space="0" w:color="auto"/>
              <w:right w:val="nil"/>
            </w:tcBorders>
            <w:shd w:val="clear" w:color="auto" w:fill="auto"/>
            <w:noWrap/>
            <w:vAlign w:val="center"/>
            <w:hideMark/>
          </w:tcPr>
          <w:p w:rsidR="00C84F89" w:rsidRPr="00554853" w:rsidRDefault="00C84F89" w:rsidP="00C84F89">
            <w:pPr>
              <w:spacing w:before="0" w:after="0"/>
              <w:jc w:val="center"/>
              <w:rPr>
                <w:rFonts w:eastAsia="Times New Roman" w:cs="Times New Roman"/>
                <w:color w:val="000000"/>
                <w:sz w:val="20"/>
                <w:szCs w:val="20"/>
                <w:lang w:eastAsia="cs-CZ"/>
              </w:rPr>
            </w:pPr>
            <w:r w:rsidRPr="00554853">
              <w:rPr>
                <w:rFonts w:eastAsia="Times New Roman" w:cs="Times New Roman"/>
                <w:color w:val="000000"/>
                <w:sz w:val="20"/>
                <w:szCs w:val="20"/>
                <w:lang w:eastAsia="cs-CZ"/>
              </w:rPr>
              <w:t>0</w:t>
            </w:r>
            <w:r w:rsidR="00A67FBA" w:rsidRPr="00554853">
              <w:rPr>
                <w:rFonts w:eastAsia="Times New Roman" w:cs="Times New Roman"/>
                <w:color w:val="000000"/>
                <w:sz w:val="20"/>
                <w:szCs w:val="20"/>
                <w:lang w:eastAsia="cs-CZ"/>
              </w:rPr>
              <w:t>,</w:t>
            </w:r>
            <w:r w:rsidRPr="00554853">
              <w:rPr>
                <w:rFonts w:eastAsia="Times New Roman" w:cs="Times New Roman"/>
                <w:color w:val="000000"/>
                <w:sz w:val="20"/>
                <w:szCs w:val="20"/>
                <w:lang w:eastAsia="cs-CZ"/>
              </w:rPr>
              <w:t>19</w:t>
            </w:r>
          </w:p>
        </w:tc>
        <w:tc>
          <w:tcPr>
            <w:tcW w:w="1295" w:type="dxa"/>
            <w:tcBorders>
              <w:top w:val="nil"/>
              <w:left w:val="nil"/>
              <w:bottom w:val="single" w:sz="4" w:space="0" w:color="auto"/>
              <w:right w:val="nil"/>
            </w:tcBorders>
            <w:shd w:val="clear" w:color="auto" w:fill="auto"/>
            <w:noWrap/>
            <w:vAlign w:val="center"/>
            <w:hideMark/>
          </w:tcPr>
          <w:p w:rsidR="00C84F89" w:rsidRPr="00554853" w:rsidRDefault="00C84F89" w:rsidP="00C84F89">
            <w:pPr>
              <w:spacing w:before="0" w:after="0"/>
              <w:ind w:left="-354" w:right="355"/>
              <w:jc w:val="right"/>
              <w:rPr>
                <w:rFonts w:eastAsia="Times New Roman" w:cs="Times New Roman"/>
                <w:color w:val="000000"/>
                <w:sz w:val="20"/>
                <w:szCs w:val="20"/>
                <w:lang w:eastAsia="cs-CZ"/>
              </w:rPr>
            </w:pPr>
            <w:r w:rsidRPr="00554853">
              <w:rPr>
                <w:rFonts w:eastAsia="Times New Roman" w:cs="Times New Roman"/>
                <w:color w:val="000000"/>
                <w:sz w:val="20"/>
                <w:szCs w:val="20"/>
                <w:lang w:eastAsia="cs-CZ"/>
              </w:rPr>
              <w:t>105</w:t>
            </w:r>
          </w:p>
        </w:tc>
        <w:tc>
          <w:tcPr>
            <w:tcW w:w="1136" w:type="dxa"/>
            <w:tcBorders>
              <w:top w:val="nil"/>
              <w:left w:val="nil"/>
              <w:bottom w:val="single" w:sz="4" w:space="0" w:color="auto"/>
              <w:right w:val="nil"/>
            </w:tcBorders>
            <w:shd w:val="clear" w:color="auto" w:fill="auto"/>
            <w:noWrap/>
            <w:vAlign w:val="center"/>
            <w:hideMark/>
          </w:tcPr>
          <w:p w:rsidR="00C84F89" w:rsidRPr="00554853" w:rsidRDefault="00C84F89" w:rsidP="00C84F89">
            <w:pPr>
              <w:spacing w:before="0" w:after="0"/>
              <w:jc w:val="right"/>
              <w:rPr>
                <w:rFonts w:eastAsia="Times New Roman" w:cs="Times New Roman"/>
                <w:color w:val="000000"/>
                <w:sz w:val="20"/>
                <w:szCs w:val="20"/>
                <w:lang w:eastAsia="cs-CZ"/>
              </w:rPr>
            </w:pPr>
            <w:r w:rsidRPr="00554853">
              <w:rPr>
                <w:rFonts w:eastAsia="Times New Roman" w:cs="Times New Roman"/>
                <w:color w:val="000000"/>
                <w:sz w:val="20"/>
                <w:szCs w:val="20"/>
                <w:lang w:eastAsia="cs-CZ"/>
              </w:rPr>
              <w:t>2</w:t>
            </w:r>
            <w:r w:rsidR="00A67FBA" w:rsidRPr="00554853">
              <w:rPr>
                <w:rFonts w:eastAsia="Times New Roman" w:cs="Times New Roman"/>
                <w:color w:val="000000"/>
                <w:sz w:val="20"/>
                <w:szCs w:val="20"/>
                <w:lang w:eastAsia="cs-CZ"/>
              </w:rPr>
              <w:t>,</w:t>
            </w:r>
            <w:r w:rsidRPr="00554853">
              <w:rPr>
                <w:rFonts w:eastAsia="Times New Roman" w:cs="Times New Roman"/>
                <w:color w:val="000000"/>
                <w:sz w:val="20"/>
                <w:szCs w:val="20"/>
                <w:lang w:eastAsia="cs-CZ"/>
              </w:rPr>
              <w:t>59%</w:t>
            </w:r>
          </w:p>
        </w:tc>
      </w:tr>
    </w:tbl>
    <w:p w:rsidR="006B3A6C" w:rsidRPr="006B3A6C" w:rsidRDefault="00C84F89" w:rsidP="00C84F89">
      <w:pPr>
        <w:rPr>
          <w:sz w:val="16"/>
          <w:szCs w:val="16"/>
        </w:rPr>
      </w:pPr>
      <w:r w:rsidRPr="00C84F89">
        <w:rPr>
          <w:i/>
          <w:sz w:val="16"/>
          <w:szCs w:val="16"/>
        </w:rPr>
        <w:t>Pozn.: Citovanosti publikací v případě souborů o méně než deseti publikací mají nepatrnou výpovědní hodnotu</w:t>
      </w:r>
      <w:r w:rsidR="004E503E">
        <w:rPr>
          <w:i/>
          <w:sz w:val="16"/>
          <w:szCs w:val="16"/>
        </w:rPr>
        <w:t xml:space="preserve"> a v</w:t>
      </w:r>
      <w:r w:rsidRPr="00C84F89">
        <w:rPr>
          <w:i/>
          <w:sz w:val="16"/>
          <w:szCs w:val="16"/>
        </w:rPr>
        <w:t> tabulce jsou uvedeny pouze pro úplnost. Citovanost relativně k ČR je podíl průměrné normalizované citovanost</w:t>
      </w:r>
      <w:r w:rsidR="004E503E">
        <w:rPr>
          <w:i/>
          <w:sz w:val="16"/>
          <w:szCs w:val="16"/>
        </w:rPr>
        <w:t>i</w:t>
      </w:r>
      <w:r w:rsidRPr="00C84F89">
        <w:rPr>
          <w:i/>
          <w:sz w:val="16"/>
          <w:szCs w:val="16"/>
        </w:rPr>
        <w:t xml:space="preserve"> publikací v bezpečnostním výzkumu k průměrné normalizované citovanosti v daném oboru pro ČR vynásobený stem. Hodnoty větší než 100 ukazují nadprůměrnou citovanost na národní úrovni, hodnoty menší na citovanost nižší</w:t>
      </w:r>
      <w:r w:rsidR="004E503E">
        <w:rPr>
          <w:i/>
          <w:sz w:val="16"/>
          <w:szCs w:val="16"/>
        </w:rPr>
        <w:t>,</w:t>
      </w:r>
      <w:r w:rsidR="00762B1A">
        <w:rPr>
          <w:i/>
          <w:sz w:val="16"/>
          <w:szCs w:val="16"/>
        </w:rPr>
        <w:t xml:space="preserve"> než je národní průměr.</w:t>
      </w:r>
    </w:p>
    <w:p w:rsidR="006B3A6C" w:rsidRDefault="006B3A6C" w:rsidP="006B3A6C"/>
    <w:p w:rsidR="000D6D11" w:rsidRDefault="000D6D11" w:rsidP="00F056A2">
      <w:pPr>
        <w:pStyle w:val="Nadpis4"/>
      </w:pPr>
      <w:bookmarkStart w:id="90" w:name="_Toc459723283"/>
      <w:r>
        <w:t>Významní tvůrci publikačních výstupů</w:t>
      </w:r>
      <w:bookmarkEnd w:id="90"/>
    </w:p>
    <w:p w:rsidR="000D6D11" w:rsidRPr="00C84F89" w:rsidRDefault="00AD186C" w:rsidP="000D6D11">
      <w:r w:rsidRPr="00C84F89">
        <w:t>Pracoviště, kter</w:t>
      </w:r>
      <w:r>
        <w:t>á</w:t>
      </w:r>
      <w:r w:rsidRPr="00C84F89">
        <w:t xml:space="preserve"> vyprodukoval</w:t>
      </w:r>
      <w:r>
        <w:t>a</w:t>
      </w:r>
      <w:r w:rsidRPr="00C84F89">
        <w:t xml:space="preserve"> devět desetin publikačních výstupů bezpečnostních programů, jsou uveden</w:t>
      </w:r>
      <w:r w:rsidR="00372314">
        <w:t>a</w:t>
      </w:r>
      <w:r w:rsidRPr="00C84F89">
        <w:t xml:space="preserve"> v</w:t>
      </w:r>
      <w:r>
        <w:t xml:space="preserve"> </w:t>
      </w:r>
      <w:r>
        <w:fldChar w:fldCharType="begin"/>
      </w:r>
      <w:r>
        <w:instrText xml:space="preserve"> REF  _Ref450502176 \* Lower \h  \* MERGEFORMAT </w:instrText>
      </w:r>
      <w:r>
        <w:fldChar w:fldCharType="separate"/>
      </w:r>
      <w:r w:rsidR="003F08E5">
        <w:t xml:space="preserve">tab. </w:t>
      </w:r>
      <w:r w:rsidR="003F08E5">
        <w:rPr>
          <w:noProof/>
        </w:rPr>
        <w:t>22</w:t>
      </w:r>
      <w:r>
        <w:fldChar w:fldCharType="end"/>
      </w:r>
      <w:r w:rsidRPr="00C84F89">
        <w:t>.</w:t>
      </w:r>
      <w:r>
        <w:t xml:space="preserve"> </w:t>
      </w:r>
      <w:r w:rsidR="000D6D11" w:rsidRPr="00C84F89">
        <w:t xml:space="preserve">Nejvýznamnějšími tvůrci publikačních výsledků v bezpečnostním výzkumu </w:t>
      </w:r>
      <w:r w:rsidR="002608BB" w:rsidRPr="00C84F89">
        <w:t xml:space="preserve">v letech 2010 </w:t>
      </w:r>
      <w:r w:rsidR="002608BB">
        <w:t>až</w:t>
      </w:r>
      <w:r w:rsidR="002608BB" w:rsidRPr="00C84F89">
        <w:t xml:space="preserve"> 2014</w:t>
      </w:r>
      <w:r w:rsidR="002608BB">
        <w:t xml:space="preserve"> </w:t>
      </w:r>
      <w:r w:rsidR="000D6D11" w:rsidRPr="00C84F89">
        <w:t>byl</w:t>
      </w:r>
      <w:r w:rsidR="002608BB">
        <w:t>y</w:t>
      </w:r>
      <w:r w:rsidR="000D6D11" w:rsidRPr="00C84F89">
        <w:t xml:space="preserve"> ČVUT</w:t>
      </w:r>
      <w:r w:rsidR="004E503E">
        <w:t xml:space="preserve"> v Praze</w:t>
      </w:r>
      <w:r w:rsidR="000D6D11" w:rsidRPr="00C84F89">
        <w:t>, V</w:t>
      </w:r>
      <w:r>
        <w:t xml:space="preserve">ŠB </w:t>
      </w:r>
      <w:r w:rsidR="000D6D11" w:rsidRPr="00C84F89">
        <w:t>-</w:t>
      </w:r>
      <w:r>
        <w:t xml:space="preserve"> </w:t>
      </w:r>
      <w:r w:rsidR="000D6D11" w:rsidRPr="00C84F89">
        <w:t>TU Ostrava, Ministerstvo vnitra</w:t>
      </w:r>
      <w:r w:rsidR="00372314">
        <w:t>,</w:t>
      </w:r>
      <w:r w:rsidR="000D6D11" w:rsidRPr="00C84F89">
        <w:t xml:space="preserve"> VUT </w:t>
      </w:r>
      <w:r w:rsidR="00372314">
        <w:t xml:space="preserve">v </w:t>
      </w:r>
      <w:r w:rsidR="000D6D11" w:rsidRPr="00C84F89">
        <w:t>Brn</w:t>
      </w:r>
      <w:r w:rsidR="00372314">
        <w:t>ě, Masarykova univerzita v </w:t>
      </w:r>
      <w:r w:rsidR="004E503E">
        <w:t>B</w:t>
      </w:r>
      <w:r w:rsidR="00372314">
        <w:t>rn</w:t>
      </w:r>
      <w:r w:rsidR="004E503E">
        <w:t>ě</w:t>
      </w:r>
      <w:r w:rsidR="00372314">
        <w:t xml:space="preserve"> a Univerzita Karlova v Praze, které vytvořily 100 a více publikací.</w:t>
      </w:r>
      <w:r w:rsidR="006521E9">
        <w:t xml:space="preserve"> </w:t>
      </w:r>
      <w:r w:rsidR="000D6D11" w:rsidRPr="00C84F89">
        <w:t>V sektoru veřejných výzkumných institucí největší počet publikačních výstupů vznikl ve SÚJCHBO a v </w:t>
      </w:r>
      <w:r w:rsidRPr="00C84F89">
        <w:t xml:space="preserve">Ústavu analytické chemie </w:t>
      </w:r>
      <w:r w:rsidR="000D6D11" w:rsidRPr="00C84F89">
        <w:t>AV</w:t>
      </w:r>
      <w:r>
        <w:t xml:space="preserve"> </w:t>
      </w:r>
      <w:r w:rsidR="00055777">
        <w:t>ČR</w:t>
      </w:r>
      <w:r w:rsidR="007A38B5" w:rsidRPr="002B0120">
        <w:t xml:space="preserve">. </w:t>
      </w:r>
      <w:r w:rsidR="000D6D11" w:rsidRPr="002B0120">
        <w:t xml:space="preserve">Oborově rozdělené výstupy podle organizačních jednotek institucí jsou uvedeny v příloze </w:t>
      </w:r>
      <w:r w:rsidR="000D6D11" w:rsidRPr="002B0120">
        <w:rPr>
          <w:i/>
        </w:rPr>
        <w:t xml:space="preserve">P </w:t>
      </w:r>
      <w:r w:rsidR="001450A2" w:rsidRPr="002B0120">
        <w:rPr>
          <w:i/>
        </w:rPr>
        <w:t>3</w:t>
      </w:r>
      <w:r w:rsidR="001450A2">
        <w:rPr>
          <w:i/>
        </w:rPr>
        <w:t>4</w:t>
      </w:r>
      <w:r w:rsidR="001450A2" w:rsidRPr="002B0120">
        <w:t xml:space="preserve"> </w:t>
      </w:r>
      <w:r w:rsidR="000D6D11" w:rsidRPr="002B0120">
        <w:t>a souhrny</w:t>
      </w:r>
      <w:r w:rsidR="001450A2">
        <w:t xml:space="preserve"> publikačních výstupů</w:t>
      </w:r>
      <w:r w:rsidR="000D6D11" w:rsidRPr="002B0120">
        <w:t xml:space="preserve"> pro instituce v příloze </w:t>
      </w:r>
      <w:r w:rsidR="000D6D11" w:rsidRPr="002B0120">
        <w:rPr>
          <w:i/>
        </w:rPr>
        <w:t xml:space="preserve">P </w:t>
      </w:r>
      <w:r w:rsidR="001450A2" w:rsidRPr="002B0120">
        <w:rPr>
          <w:i/>
        </w:rPr>
        <w:t>3</w:t>
      </w:r>
      <w:r w:rsidR="001450A2">
        <w:rPr>
          <w:i/>
        </w:rPr>
        <w:t>5</w:t>
      </w:r>
      <w:r w:rsidR="000D6D11" w:rsidRPr="002B0120">
        <w:t>.</w:t>
      </w:r>
    </w:p>
    <w:p w:rsidR="00AD186C" w:rsidRDefault="00AD186C" w:rsidP="00AD186C">
      <w:pPr>
        <w:pStyle w:val="Titulek"/>
        <w:keepNext/>
      </w:pPr>
      <w:bookmarkStart w:id="91" w:name="_Ref450502176"/>
      <w:r>
        <w:t xml:space="preserve">Tab. </w:t>
      </w:r>
      <w:r w:rsidR="00990E2D">
        <w:fldChar w:fldCharType="begin"/>
      </w:r>
      <w:r w:rsidR="00990E2D">
        <w:instrText xml:space="preserve"> SEQ Tab. \* ARABIC </w:instrText>
      </w:r>
      <w:r w:rsidR="00990E2D">
        <w:fldChar w:fldCharType="separate"/>
      </w:r>
      <w:r w:rsidR="003F08E5">
        <w:rPr>
          <w:noProof/>
        </w:rPr>
        <w:t>22</w:t>
      </w:r>
      <w:r w:rsidR="00990E2D">
        <w:rPr>
          <w:noProof/>
        </w:rPr>
        <w:fldChar w:fldCharType="end"/>
      </w:r>
      <w:bookmarkEnd w:id="91"/>
      <w:r>
        <w:tab/>
      </w:r>
      <w:r w:rsidRPr="00AD186C">
        <w:t xml:space="preserve">Instituce, které vyprodukovaly 90 % publikačních výstupů v programech bezpečnostního výzkumu v letech 2010 </w:t>
      </w:r>
      <w:r>
        <w:t>–</w:t>
      </w:r>
      <w:r w:rsidRPr="00AD186C">
        <w:t xml:space="preserve"> 2014</w:t>
      </w:r>
      <w:r>
        <w:t>. Zdroj: IS VaVaI</w:t>
      </w:r>
    </w:p>
    <w:tbl>
      <w:tblPr>
        <w:tblW w:w="7480" w:type="dxa"/>
        <w:jc w:val="center"/>
        <w:tblInd w:w="55" w:type="dxa"/>
        <w:tblCellMar>
          <w:left w:w="70" w:type="dxa"/>
          <w:right w:w="70" w:type="dxa"/>
        </w:tblCellMar>
        <w:tblLook w:val="04A0" w:firstRow="1" w:lastRow="0" w:firstColumn="1" w:lastColumn="0" w:noHBand="0" w:noVBand="1"/>
      </w:tblPr>
      <w:tblGrid>
        <w:gridCol w:w="6309"/>
        <w:gridCol w:w="1171"/>
      </w:tblGrid>
      <w:tr w:rsidR="000D6D11" w:rsidRPr="00AD186C" w:rsidTr="00AD186C">
        <w:trPr>
          <w:trHeight w:val="300"/>
          <w:jc w:val="center"/>
        </w:trPr>
        <w:tc>
          <w:tcPr>
            <w:tcW w:w="6309" w:type="dxa"/>
            <w:tcBorders>
              <w:top w:val="single" w:sz="4" w:space="0" w:color="auto"/>
              <w:left w:val="nil"/>
              <w:bottom w:val="single" w:sz="4" w:space="0" w:color="auto"/>
              <w:right w:val="nil"/>
            </w:tcBorders>
            <w:shd w:val="clear" w:color="auto" w:fill="D9D9D9" w:themeFill="background1" w:themeFillShade="D9"/>
            <w:noWrap/>
            <w:vAlign w:val="center"/>
            <w:hideMark/>
          </w:tcPr>
          <w:p w:rsidR="000D6D11" w:rsidRPr="00AD186C" w:rsidRDefault="00AD186C" w:rsidP="00AD186C">
            <w:pPr>
              <w:spacing w:before="60" w:after="60"/>
              <w:jc w:val="left"/>
              <w:rPr>
                <w:rFonts w:eastAsia="Times New Roman" w:cs="Times New Roman"/>
                <w:b/>
                <w:color w:val="000000"/>
                <w:sz w:val="20"/>
                <w:szCs w:val="20"/>
                <w:lang w:eastAsia="cs-CZ"/>
              </w:rPr>
            </w:pPr>
            <w:r>
              <w:rPr>
                <w:rFonts w:eastAsia="Times New Roman" w:cs="Times New Roman"/>
                <w:b/>
                <w:color w:val="000000"/>
                <w:sz w:val="20"/>
                <w:szCs w:val="20"/>
                <w:lang w:eastAsia="cs-CZ"/>
              </w:rPr>
              <w:t>I</w:t>
            </w:r>
            <w:r w:rsidR="000D6D11" w:rsidRPr="00AD186C">
              <w:rPr>
                <w:rFonts w:eastAsia="Times New Roman" w:cs="Times New Roman"/>
                <w:b/>
                <w:color w:val="000000"/>
                <w:sz w:val="20"/>
                <w:szCs w:val="20"/>
                <w:lang w:eastAsia="cs-CZ"/>
              </w:rPr>
              <w:t>nstituce</w:t>
            </w:r>
          </w:p>
        </w:tc>
        <w:tc>
          <w:tcPr>
            <w:tcW w:w="1171" w:type="dxa"/>
            <w:tcBorders>
              <w:top w:val="single" w:sz="4" w:space="0" w:color="auto"/>
              <w:left w:val="nil"/>
              <w:bottom w:val="single" w:sz="4" w:space="0" w:color="auto"/>
              <w:right w:val="nil"/>
            </w:tcBorders>
            <w:shd w:val="clear" w:color="auto" w:fill="D9D9D9" w:themeFill="background1" w:themeFillShade="D9"/>
            <w:noWrap/>
            <w:vAlign w:val="center"/>
            <w:hideMark/>
          </w:tcPr>
          <w:p w:rsidR="000D6D11" w:rsidRPr="00AD186C" w:rsidRDefault="00AD186C" w:rsidP="00AD186C">
            <w:pPr>
              <w:spacing w:before="60" w:after="60"/>
              <w:jc w:val="center"/>
              <w:rPr>
                <w:rFonts w:eastAsia="Times New Roman" w:cs="Times New Roman"/>
                <w:b/>
                <w:color w:val="000000"/>
                <w:sz w:val="20"/>
                <w:szCs w:val="20"/>
                <w:lang w:eastAsia="cs-CZ"/>
              </w:rPr>
            </w:pPr>
            <w:r>
              <w:rPr>
                <w:rFonts w:eastAsia="Times New Roman" w:cs="Times New Roman"/>
                <w:b/>
                <w:color w:val="000000"/>
                <w:sz w:val="20"/>
                <w:szCs w:val="20"/>
                <w:lang w:eastAsia="cs-CZ"/>
              </w:rPr>
              <w:t xml:space="preserve">Počet publikací </w:t>
            </w:r>
          </w:p>
        </w:tc>
      </w:tr>
      <w:tr w:rsidR="000D6D11" w:rsidRPr="00AD186C" w:rsidTr="00AD186C">
        <w:trPr>
          <w:trHeight w:val="240"/>
          <w:jc w:val="center"/>
        </w:trPr>
        <w:tc>
          <w:tcPr>
            <w:tcW w:w="6309" w:type="dxa"/>
            <w:tcBorders>
              <w:top w:val="nil"/>
              <w:left w:val="nil"/>
              <w:bottom w:val="nil"/>
              <w:right w:val="nil"/>
            </w:tcBorders>
            <w:shd w:val="clear" w:color="auto" w:fill="auto"/>
            <w:noWrap/>
            <w:vAlign w:val="center"/>
            <w:hideMark/>
          </w:tcPr>
          <w:p w:rsidR="000D6D11" w:rsidRPr="00AD186C" w:rsidRDefault="000D6D11" w:rsidP="00AD186C">
            <w:pPr>
              <w:spacing w:before="20" w:after="20"/>
              <w:jc w:val="left"/>
              <w:rPr>
                <w:rFonts w:eastAsia="Times New Roman" w:cs="Times New Roman"/>
                <w:color w:val="000000"/>
                <w:sz w:val="20"/>
                <w:szCs w:val="20"/>
                <w:lang w:eastAsia="cs-CZ"/>
              </w:rPr>
            </w:pPr>
            <w:r w:rsidRPr="00AD186C">
              <w:rPr>
                <w:rFonts w:eastAsia="Times New Roman" w:cs="Times New Roman"/>
                <w:color w:val="000000"/>
                <w:sz w:val="20"/>
                <w:szCs w:val="20"/>
                <w:lang w:eastAsia="cs-CZ"/>
              </w:rPr>
              <w:t>České vysoké učení technické v Praze</w:t>
            </w:r>
          </w:p>
        </w:tc>
        <w:tc>
          <w:tcPr>
            <w:tcW w:w="1171" w:type="dxa"/>
            <w:tcBorders>
              <w:top w:val="nil"/>
              <w:left w:val="nil"/>
              <w:bottom w:val="nil"/>
              <w:right w:val="nil"/>
            </w:tcBorders>
            <w:shd w:val="clear" w:color="auto" w:fill="auto"/>
            <w:noWrap/>
            <w:vAlign w:val="center"/>
            <w:hideMark/>
          </w:tcPr>
          <w:p w:rsidR="000D6D11" w:rsidRPr="00AD186C" w:rsidRDefault="000D6D11" w:rsidP="00AD186C">
            <w:pPr>
              <w:spacing w:before="20" w:after="20"/>
              <w:ind w:right="211"/>
              <w:jc w:val="right"/>
              <w:rPr>
                <w:rFonts w:eastAsia="Times New Roman" w:cs="Times New Roman"/>
                <w:color w:val="000000"/>
                <w:sz w:val="20"/>
                <w:szCs w:val="20"/>
                <w:lang w:eastAsia="cs-CZ"/>
              </w:rPr>
            </w:pPr>
            <w:r w:rsidRPr="00AD186C">
              <w:rPr>
                <w:rFonts w:eastAsia="Times New Roman" w:cs="Times New Roman"/>
                <w:color w:val="000000"/>
                <w:sz w:val="20"/>
                <w:szCs w:val="20"/>
                <w:lang w:eastAsia="cs-CZ"/>
              </w:rPr>
              <w:t>293</w:t>
            </w:r>
          </w:p>
        </w:tc>
      </w:tr>
      <w:tr w:rsidR="000D6D11" w:rsidRPr="00AD186C" w:rsidTr="00AD186C">
        <w:trPr>
          <w:trHeight w:val="240"/>
          <w:jc w:val="center"/>
        </w:trPr>
        <w:tc>
          <w:tcPr>
            <w:tcW w:w="6309" w:type="dxa"/>
            <w:tcBorders>
              <w:top w:val="nil"/>
              <w:left w:val="nil"/>
              <w:bottom w:val="nil"/>
              <w:right w:val="nil"/>
            </w:tcBorders>
            <w:shd w:val="clear" w:color="auto" w:fill="auto"/>
            <w:noWrap/>
            <w:vAlign w:val="center"/>
            <w:hideMark/>
          </w:tcPr>
          <w:p w:rsidR="000D6D11" w:rsidRPr="00AD186C" w:rsidRDefault="000D6D11" w:rsidP="00AD186C">
            <w:pPr>
              <w:spacing w:before="20" w:after="20"/>
              <w:jc w:val="left"/>
              <w:rPr>
                <w:rFonts w:eastAsia="Times New Roman" w:cs="Times New Roman"/>
                <w:color w:val="000000"/>
                <w:sz w:val="20"/>
                <w:szCs w:val="20"/>
                <w:lang w:eastAsia="cs-CZ"/>
              </w:rPr>
            </w:pPr>
            <w:r w:rsidRPr="00AD186C">
              <w:rPr>
                <w:rFonts w:eastAsia="Times New Roman" w:cs="Times New Roman"/>
                <w:color w:val="000000"/>
                <w:sz w:val="20"/>
                <w:szCs w:val="20"/>
                <w:lang w:eastAsia="cs-CZ"/>
              </w:rPr>
              <w:t>Vysoká škola báňská - Technická univerzita Ostrava</w:t>
            </w:r>
          </w:p>
        </w:tc>
        <w:tc>
          <w:tcPr>
            <w:tcW w:w="1171" w:type="dxa"/>
            <w:tcBorders>
              <w:top w:val="nil"/>
              <w:left w:val="nil"/>
              <w:bottom w:val="nil"/>
              <w:right w:val="nil"/>
            </w:tcBorders>
            <w:shd w:val="clear" w:color="auto" w:fill="auto"/>
            <w:noWrap/>
            <w:vAlign w:val="center"/>
            <w:hideMark/>
          </w:tcPr>
          <w:p w:rsidR="000D6D11" w:rsidRPr="00AD186C" w:rsidRDefault="000D6D11" w:rsidP="00AD186C">
            <w:pPr>
              <w:spacing w:before="20" w:after="20"/>
              <w:ind w:right="211"/>
              <w:jc w:val="right"/>
              <w:rPr>
                <w:rFonts w:eastAsia="Times New Roman" w:cs="Times New Roman"/>
                <w:color w:val="000000"/>
                <w:sz w:val="20"/>
                <w:szCs w:val="20"/>
                <w:lang w:eastAsia="cs-CZ"/>
              </w:rPr>
            </w:pPr>
            <w:r w:rsidRPr="00AD186C">
              <w:rPr>
                <w:rFonts w:eastAsia="Times New Roman" w:cs="Times New Roman"/>
                <w:color w:val="000000"/>
                <w:sz w:val="20"/>
                <w:szCs w:val="20"/>
                <w:lang w:eastAsia="cs-CZ"/>
              </w:rPr>
              <w:t>197</w:t>
            </w:r>
          </w:p>
        </w:tc>
      </w:tr>
      <w:tr w:rsidR="000D6D11" w:rsidRPr="00AD186C" w:rsidTr="00AD186C">
        <w:trPr>
          <w:trHeight w:val="240"/>
          <w:jc w:val="center"/>
        </w:trPr>
        <w:tc>
          <w:tcPr>
            <w:tcW w:w="6309" w:type="dxa"/>
            <w:tcBorders>
              <w:top w:val="nil"/>
              <w:left w:val="nil"/>
              <w:bottom w:val="nil"/>
              <w:right w:val="nil"/>
            </w:tcBorders>
            <w:shd w:val="clear" w:color="auto" w:fill="auto"/>
            <w:noWrap/>
            <w:vAlign w:val="center"/>
            <w:hideMark/>
          </w:tcPr>
          <w:p w:rsidR="000D6D11" w:rsidRPr="00AD186C" w:rsidRDefault="000D6D11" w:rsidP="00AD186C">
            <w:pPr>
              <w:spacing w:before="20" w:after="20"/>
              <w:jc w:val="left"/>
              <w:rPr>
                <w:rFonts w:eastAsia="Times New Roman" w:cs="Times New Roman"/>
                <w:color w:val="000000"/>
                <w:sz w:val="20"/>
                <w:szCs w:val="20"/>
                <w:lang w:eastAsia="cs-CZ"/>
              </w:rPr>
            </w:pPr>
            <w:r w:rsidRPr="00AD186C">
              <w:rPr>
                <w:rFonts w:eastAsia="Times New Roman" w:cs="Times New Roman"/>
                <w:color w:val="000000"/>
                <w:sz w:val="20"/>
                <w:szCs w:val="20"/>
                <w:lang w:eastAsia="cs-CZ"/>
              </w:rPr>
              <w:t>Ministerstvo vnitra</w:t>
            </w:r>
          </w:p>
        </w:tc>
        <w:tc>
          <w:tcPr>
            <w:tcW w:w="1171" w:type="dxa"/>
            <w:tcBorders>
              <w:top w:val="nil"/>
              <w:left w:val="nil"/>
              <w:bottom w:val="nil"/>
              <w:right w:val="nil"/>
            </w:tcBorders>
            <w:shd w:val="clear" w:color="auto" w:fill="auto"/>
            <w:noWrap/>
            <w:vAlign w:val="center"/>
            <w:hideMark/>
          </w:tcPr>
          <w:p w:rsidR="000D6D11" w:rsidRPr="00AD186C" w:rsidRDefault="000D6D11" w:rsidP="00AD186C">
            <w:pPr>
              <w:spacing w:before="20" w:after="20"/>
              <w:ind w:right="211"/>
              <w:jc w:val="right"/>
              <w:rPr>
                <w:rFonts w:eastAsia="Times New Roman" w:cs="Times New Roman"/>
                <w:color w:val="000000"/>
                <w:sz w:val="20"/>
                <w:szCs w:val="20"/>
                <w:lang w:eastAsia="cs-CZ"/>
              </w:rPr>
            </w:pPr>
            <w:r w:rsidRPr="00AD186C">
              <w:rPr>
                <w:rFonts w:eastAsia="Times New Roman" w:cs="Times New Roman"/>
                <w:color w:val="000000"/>
                <w:sz w:val="20"/>
                <w:szCs w:val="20"/>
                <w:lang w:eastAsia="cs-CZ"/>
              </w:rPr>
              <w:t>171</w:t>
            </w:r>
          </w:p>
        </w:tc>
      </w:tr>
      <w:tr w:rsidR="000D6D11" w:rsidRPr="00AD186C" w:rsidTr="00AD186C">
        <w:trPr>
          <w:trHeight w:val="240"/>
          <w:jc w:val="center"/>
        </w:trPr>
        <w:tc>
          <w:tcPr>
            <w:tcW w:w="6309" w:type="dxa"/>
            <w:tcBorders>
              <w:top w:val="nil"/>
              <w:left w:val="nil"/>
              <w:bottom w:val="nil"/>
              <w:right w:val="nil"/>
            </w:tcBorders>
            <w:shd w:val="clear" w:color="auto" w:fill="auto"/>
            <w:noWrap/>
            <w:vAlign w:val="center"/>
            <w:hideMark/>
          </w:tcPr>
          <w:p w:rsidR="000D6D11" w:rsidRPr="00AD186C" w:rsidRDefault="000D6D11" w:rsidP="00AD186C">
            <w:pPr>
              <w:spacing w:before="20" w:after="20"/>
              <w:jc w:val="left"/>
              <w:rPr>
                <w:rFonts w:eastAsia="Times New Roman" w:cs="Times New Roman"/>
                <w:color w:val="000000"/>
                <w:sz w:val="20"/>
                <w:szCs w:val="20"/>
                <w:lang w:eastAsia="cs-CZ"/>
              </w:rPr>
            </w:pPr>
            <w:r w:rsidRPr="00AD186C">
              <w:rPr>
                <w:rFonts w:eastAsia="Times New Roman" w:cs="Times New Roman"/>
                <w:color w:val="000000"/>
                <w:sz w:val="20"/>
                <w:szCs w:val="20"/>
                <w:lang w:eastAsia="cs-CZ"/>
              </w:rPr>
              <w:t>Vysoké učení technické v Brně</w:t>
            </w:r>
          </w:p>
        </w:tc>
        <w:tc>
          <w:tcPr>
            <w:tcW w:w="1171" w:type="dxa"/>
            <w:tcBorders>
              <w:top w:val="nil"/>
              <w:left w:val="nil"/>
              <w:bottom w:val="nil"/>
              <w:right w:val="nil"/>
            </w:tcBorders>
            <w:shd w:val="clear" w:color="auto" w:fill="auto"/>
            <w:noWrap/>
            <w:vAlign w:val="center"/>
            <w:hideMark/>
          </w:tcPr>
          <w:p w:rsidR="000D6D11" w:rsidRPr="00AD186C" w:rsidRDefault="000D6D11" w:rsidP="00AD186C">
            <w:pPr>
              <w:spacing w:before="20" w:after="20"/>
              <w:ind w:right="211"/>
              <w:jc w:val="right"/>
              <w:rPr>
                <w:rFonts w:eastAsia="Times New Roman" w:cs="Times New Roman"/>
                <w:color w:val="000000"/>
                <w:sz w:val="20"/>
                <w:szCs w:val="20"/>
                <w:lang w:eastAsia="cs-CZ"/>
              </w:rPr>
            </w:pPr>
            <w:r w:rsidRPr="00AD186C">
              <w:rPr>
                <w:rFonts w:eastAsia="Times New Roman" w:cs="Times New Roman"/>
                <w:color w:val="000000"/>
                <w:sz w:val="20"/>
                <w:szCs w:val="20"/>
                <w:lang w:eastAsia="cs-CZ"/>
              </w:rPr>
              <w:t>123</w:t>
            </w:r>
          </w:p>
        </w:tc>
      </w:tr>
      <w:tr w:rsidR="000D6D11" w:rsidRPr="00AD186C" w:rsidTr="00AD186C">
        <w:trPr>
          <w:trHeight w:val="240"/>
          <w:jc w:val="center"/>
        </w:trPr>
        <w:tc>
          <w:tcPr>
            <w:tcW w:w="6309" w:type="dxa"/>
            <w:tcBorders>
              <w:top w:val="nil"/>
              <w:left w:val="nil"/>
              <w:bottom w:val="nil"/>
              <w:right w:val="nil"/>
            </w:tcBorders>
            <w:shd w:val="clear" w:color="auto" w:fill="auto"/>
            <w:noWrap/>
            <w:vAlign w:val="center"/>
            <w:hideMark/>
          </w:tcPr>
          <w:p w:rsidR="000D6D11" w:rsidRPr="00AD186C" w:rsidRDefault="000D6D11" w:rsidP="00AD186C">
            <w:pPr>
              <w:spacing w:before="20" w:after="20"/>
              <w:jc w:val="left"/>
              <w:rPr>
                <w:rFonts w:eastAsia="Times New Roman" w:cs="Times New Roman"/>
                <w:color w:val="000000"/>
                <w:sz w:val="20"/>
                <w:szCs w:val="20"/>
                <w:lang w:eastAsia="cs-CZ"/>
              </w:rPr>
            </w:pPr>
            <w:r w:rsidRPr="00AD186C">
              <w:rPr>
                <w:rFonts w:eastAsia="Times New Roman" w:cs="Times New Roman"/>
                <w:color w:val="000000"/>
                <w:sz w:val="20"/>
                <w:szCs w:val="20"/>
                <w:lang w:eastAsia="cs-CZ"/>
              </w:rPr>
              <w:t>Masarykova univerzita</w:t>
            </w:r>
            <w:r w:rsidR="00372314">
              <w:rPr>
                <w:rFonts w:eastAsia="Times New Roman" w:cs="Times New Roman"/>
                <w:color w:val="000000"/>
                <w:sz w:val="20"/>
                <w:szCs w:val="20"/>
                <w:lang w:eastAsia="cs-CZ"/>
              </w:rPr>
              <w:t xml:space="preserve"> v Brně</w:t>
            </w:r>
          </w:p>
        </w:tc>
        <w:tc>
          <w:tcPr>
            <w:tcW w:w="1171" w:type="dxa"/>
            <w:tcBorders>
              <w:top w:val="nil"/>
              <w:left w:val="nil"/>
              <w:bottom w:val="nil"/>
              <w:right w:val="nil"/>
            </w:tcBorders>
            <w:shd w:val="clear" w:color="auto" w:fill="auto"/>
            <w:noWrap/>
            <w:vAlign w:val="center"/>
            <w:hideMark/>
          </w:tcPr>
          <w:p w:rsidR="000D6D11" w:rsidRPr="00AD186C" w:rsidRDefault="000D6D11" w:rsidP="00AD186C">
            <w:pPr>
              <w:spacing w:before="20" w:after="20"/>
              <w:ind w:right="211"/>
              <w:jc w:val="right"/>
              <w:rPr>
                <w:rFonts w:eastAsia="Times New Roman" w:cs="Times New Roman"/>
                <w:color w:val="000000"/>
                <w:sz w:val="20"/>
                <w:szCs w:val="20"/>
                <w:lang w:eastAsia="cs-CZ"/>
              </w:rPr>
            </w:pPr>
            <w:r w:rsidRPr="00AD186C">
              <w:rPr>
                <w:rFonts w:eastAsia="Times New Roman" w:cs="Times New Roman"/>
                <w:color w:val="000000"/>
                <w:sz w:val="20"/>
                <w:szCs w:val="20"/>
                <w:lang w:eastAsia="cs-CZ"/>
              </w:rPr>
              <w:t>119</w:t>
            </w:r>
          </w:p>
        </w:tc>
      </w:tr>
      <w:tr w:rsidR="000D6D11" w:rsidRPr="00AD186C" w:rsidTr="00AD186C">
        <w:trPr>
          <w:trHeight w:val="240"/>
          <w:jc w:val="center"/>
        </w:trPr>
        <w:tc>
          <w:tcPr>
            <w:tcW w:w="6309" w:type="dxa"/>
            <w:tcBorders>
              <w:top w:val="nil"/>
              <w:left w:val="nil"/>
              <w:bottom w:val="nil"/>
              <w:right w:val="nil"/>
            </w:tcBorders>
            <w:shd w:val="clear" w:color="auto" w:fill="auto"/>
            <w:noWrap/>
            <w:vAlign w:val="center"/>
            <w:hideMark/>
          </w:tcPr>
          <w:p w:rsidR="000D6D11" w:rsidRPr="00AD186C" w:rsidRDefault="000D6D11" w:rsidP="00AD186C">
            <w:pPr>
              <w:spacing w:before="20" w:after="20"/>
              <w:jc w:val="left"/>
              <w:rPr>
                <w:rFonts w:eastAsia="Times New Roman" w:cs="Times New Roman"/>
                <w:color w:val="000000"/>
                <w:sz w:val="20"/>
                <w:szCs w:val="20"/>
                <w:lang w:eastAsia="cs-CZ"/>
              </w:rPr>
            </w:pPr>
            <w:r w:rsidRPr="00AD186C">
              <w:rPr>
                <w:rFonts w:eastAsia="Times New Roman" w:cs="Times New Roman"/>
                <w:color w:val="000000"/>
                <w:sz w:val="20"/>
                <w:szCs w:val="20"/>
                <w:lang w:eastAsia="cs-CZ"/>
              </w:rPr>
              <w:t>Univerzita Karlova v Praze</w:t>
            </w:r>
          </w:p>
        </w:tc>
        <w:tc>
          <w:tcPr>
            <w:tcW w:w="1171" w:type="dxa"/>
            <w:tcBorders>
              <w:top w:val="nil"/>
              <w:left w:val="nil"/>
              <w:bottom w:val="nil"/>
              <w:right w:val="nil"/>
            </w:tcBorders>
            <w:shd w:val="clear" w:color="auto" w:fill="auto"/>
            <w:noWrap/>
            <w:vAlign w:val="center"/>
            <w:hideMark/>
          </w:tcPr>
          <w:p w:rsidR="000D6D11" w:rsidRPr="00AD186C" w:rsidRDefault="000D6D11" w:rsidP="00AD186C">
            <w:pPr>
              <w:spacing w:before="20" w:after="20"/>
              <w:ind w:right="211"/>
              <w:jc w:val="right"/>
              <w:rPr>
                <w:rFonts w:eastAsia="Times New Roman" w:cs="Times New Roman"/>
                <w:color w:val="000000"/>
                <w:sz w:val="20"/>
                <w:szCs w:val="20"/>
                <w:lang w:eastAsia="cs-CZ"/>
              </w:rPr>
            </w:pPr>
            <w:r w:rsidRPr="00AD186C">
              <w:rPr>
                <w:rFonts w:eastAsia="Times New Roman" w:cs="Times New Roman"/>
                <w:color w:val="000000"/>
                <w:sz w:val="20"/>
                <w:szCs w:val="20"/>
                <w:lang w:eastAsia="cs-CZ"/>
              </w:rPr>
              <w:t>100</w:t>
            </w:r>
          </w:p>
        </w:tc>
      </w:tr>
      <w:tr w:rsidR="000D6D11" w:rsidRPr="00AD186C" w:rsidTr="00AD186C">
        <w:trPr>
          <w:trHeight w:val="240"/>
          <w:jc w:val="center"/>
        </w:trPr>
        <w:tc>
          <w:tcPr>
            <w:tcW w:w="6309" w:type="dxa"/>
            <w:tcBorders>
              <w:top w:val="nil"/>
              <w:left w:val="nil"/>
              <w:bottom w:val="nil"/>
              <w:right w:val="nil"/>
            </w:tcBorders>
            <w:shd w:val="clear" w:color="auto" w:fill="auto"/>
            <w:noWrap/>
            <w:vAlign w:val="center"/>
            <w:hideMark/>
          </w:tcPr>
          <w:p w:rsidR="000D6D11" w:rsidRPr="00AD186C" w:rsidRDefault="000D6D11" w:rsidP="00AD186C">
            <w:pPr>
              <w:spacing w:before="20" w:after="20"/>
              <w:jc w:val="left"/>
              <w:rPr>
                <w:rFonts w:eastAsia="Times New Roman" w:cs="Times New Roman"/>
                <w:color w:val="000000"/>
                <w:sz w:val="20"/>
                <w:szCs w:val="20"/>
                <w:lang w:eastAsia="cs-CZ"/>
              </w:rPr>
            </w:pPr>
            <w:r w:rsidRPr="00AD186C">
              <w:rPr>
                <w:rFonts w:eastAsia="Times New Roman" w:cs="Times New Roman"/>
                <w:color w:val="000000"/>
                <w:sz w:val="20"/>
                <w:szCs w:val="20"/>
                <w:lang w:eastAsia="cs-CZ"/>
              </w:rPr>
              <w:t>Státní ústav jaderné, chemické a biologické ochrany, v.v.i.</w:t>
            </w:r>
          </w:p>
        </w:tc>
        <w:tc>
          <w:tcPr>
            <w:tcW w:w="1171" w:type="dxa"/>
            <w:tcBorders>
              <w:top w:val="nil"/>
              <w:left w:val="nil"/>
              <w:bottom w:val="nil"/>
              <w:right w:val="nil"/>
            </w:tcBorders>
            <w:shd w:val="clear" w:color="auto" w:fill="auto"/>
            <w:noWrap/>
            <w:vAlign w:val="center"/>
            <w:hideMark/>
          </w:tcPr>
          <w:p w:rsidR="000D6D11" w:rsidRPr="00AD186C" w:rsidRDefault="000D6D11" w:rsidP="00AD186C">
            <w:pPr>
              <w:spacing w:before="20" w:after="20"/>
              <w:ind w:right="211"/>
              <w:jc w:val="right"/>
              <w:rPr>
                <w:rFonts w:eastAsia="Times New Roman" w:cs="Times New Roman"/>
                <w:color w:val="000000"/>
                <w:sz w:val="20"/>
                <w:szCs w:val="20"/>
                <w:lang w:eastAsia="cs-CZ"/>
              </w:rPr>
            </w:pPr>
            <w:r w:rsidRPr="00AD186C">
              <w:rPr>
                <w:rFonts w:eastAsia="Times New Roman" w:cs="Times New Roman"/>
                <w:color w:val="000000"/>
                <w:sz w:val="20"/>
                <w:szCs w:val="20"/>
                <w:lang w:eastAsia="cs-CZ"/>
              </w:rPr>
              <w:t>86</w:t>
            </w:r>
          </w:p>
        </w:tc>
      </w:tr>
      <w:tr w:rsidR="000D6D11" w:rsidRPr="00AD186C" w:rsidTr="00AD186C">
        <w:trPr>
          <w:trHeight w:val="240"/>
          <w:jc w:val="center"/>
        </w:trPr>
        <w:tc>
          <w:tcPr>
            <w:tcW w:w="6309" w:type="dxa"/>
            <w:tcBorders>
              <w:top w:val="nil"/>
              <w:left w:val="nil"/>
              <w:bottom w:val="nil"/>
              <w:right w:val="nil"/>
            </w:tcBorders>
            <w:shd w:val="clear" w:color="auto" w:fill="auto"/>
            <w:noWrap/>
            <w:vAlign w:val="center"/>
            <w:hideMark/>
          </w:tcPr>
          <w:p w:rsidR="000D6D11" w:rsidRPr="00AD186C" w:rsidRDefault="000D6D11" w:rsidP="00AD186C">
            <w:pPr>
              <w:spacing w:before="20" w:after="20"/>
              <w:jc w:val="left"/>
              <w:rPr>
                <w:rFonts w:eastAsia="Times New Roman" w:cs="Times New Roman"/>
                <w:color w:val="000000"/>
                <w:sz w:val="20"/>
                <w:szCs w:val="20"/>
                <w:lang w:eastAsia="cs-CZ"/>
              </w:rPr>
            </w:pPr>
            <w:r w:rsidRPr="00AD186C">
              <w:rPr>
                <w:rFonts w:eastAsia="Times New Roman" w:cs="Times New Roman"/>
                <w:color w:val="000000"/>
                <w:sz w:val="20"/>
                <w:szCs w:val="20"/>
                <w:lang w:eastAsia="cs-CZ"/>
              </w:rPr>
              <w:t>Ministerstvo obrany</w:t>
            </w:r>
          </w:p>
        </w:tc>
        <w:tc>
          <w:tcPr>
            <w:tcW w:w="1171" w:type="dxa"/>
            <w:tcBorders>
              <w:top w:val="nil"/>
              <w:left w:val="nil"/>
              <w:bottom w:val="nil"/>
              <w:right w:val="nil"/>
            </w:tcBorders>
            <w:shd w:val="clear" w:color="auto" w:fill="auto"/>
            <w:noWrap/>
            <w:vAlign w:val="center"/>
            <w:hideMark/>
          </w:tcPr>
          <w:p w:rsidR="000D6D11" w:rsidRPr="00AD186C" w:rsidRDefault="000D6D11" w:rsidP="00AD186C">
            <w:pPr>
              <w:spacing w:before="20" w:after="20"/>
              <w:ind w:right="211"/>
              <w:jc w:val="right"/>
              <w:rPr>
                <w:rFonts w:eastAsia="Times New Roman" w:cs="Times New Roman"/>
                <w:color w:val="000000"/>
                <w:sz w:val="20"/>
                <w:szCs w:val="20"/>
                <w:lang w:eastAsia="cs-CZ"/>
              </w:rPr>
            </w:pPr>
            <w:r w:rsidRPr="00AD186C">
              <w:rPr>
                <w:rFonts w:eastAsia="Times New Roman" w:cs="Times New Roman"/>
                <w:color w:val="000000"/>
                <w:sz w:val="20"/>
                <w:szCs w:val="20"/>
                <w:lang w:eastAsia="cs-CZ"/>
              </w:rPr>
              <w:t>69</w:t>
            </w:r>
          </w:p>
        </w:tc>
      </w:tr>
      <w:tr w:rsidR="000D6D11" w:rsidRPr="00AD186C" w:rsidTr="00AD186C">
        <w:trPr>
          <w:trHeight w:val="240"/>
          <w:jc w:val="center"/>
        </w:trPr>
        <w:tc>
          <w:tcPr>
            <w:tcW w:w="6309" w:type="dxa"/>
            <w:tcBorders>
              <w:top w:val="nil"/>
              <w:left w:val="nil"/>
              <w:bottom w:val="nil"/>
              <w:right w:val="nil"/>
            </w:tcBorders>
            <w:shd w:val="clear" w:color="auto" w:fill="auto"/>
            <w:noWrap/>
            <w:vAlign w:val="center"/>
            <w:hideMark/>
          </w:tcPr>
          <w:p w:rsidR="000D6D11" w:rsidRPr="00AD186C" w:rsidRDefault="000D6D11" w:rsidP="00AD186C">
            <w:pPr>
              <w:spacing w:before="20" w:after="20"/>
              <w:jc w:val="left"/>
              <w:rPr>
                <w:rFonts w:eastAsia="Times New Roman" w:cs="Times New Roman"/>
                <w:color w:val="000000"/>
                <w:sz w:val="20"/>
                <w:szCs w:val="20"/>
                <w:lang w:eastAsia="cs-CZ"/>
              </w:rPr>
            </w:pPr>
            <w:r w:rsidRPr="00AD186C">
              <w:rPr>
                <w:rFonts w:eastAsia="Times New Roman" w:cs="Times New Roman"/>
                <w:color w:val="000000"/>
                <w:sz w:val="20"/>
                <w:szCs w:val="20"/>
                <w:lang w:eastAsia="cs-CZ"/>
              </w:rPr>
              <w:t>Univerzita Pardubice</w:t>
            </w:r>
          </w:p>
        </w:tc>
        <w:tc>
          <w:tcPr>
            <w:tcW w:w="1171" w:type="dxa"/>
            <w:tcBorders>
              <w:top w:val="nil"/>
              <w:left w:val="nil"/>
              <w:bottom w:val="nil"/>
              <w:right w:val="nil"/>
            </w:tcBorders>
            <w:shd w:val="clear" w:color="auto" w:fill="auto"/>
            <w:noWrap/>
            <w:vAlign w:val="center"/>
            <w:hideMark/>
          </w:tcPr>
          <w:p w:rsidR="000D6D11" w:rsidRPr="00AD186C" w:rsidRDefault="000D6D11" w:rsidP="00AD186C">
            <w:pPr>
              <w:spacing w:before="20" w:after="20"/>
              <w:ind w:right="211"/>
              <w:jc w:val="right"/>
              <w:rPr>
                <w:rFonts w:eastAsia="Times New Roman" w:cs="Times New Roman"/>
                <w:color w:val="000000"/>
                <w:sz w:val="20"/>
                <w:szCs w:val="20"/>
                <w:lang w:eastAsia="cs-CZ"/>
              </w:rPr>
            </w:pPr>
            <w:r w:rsidRPr="00AD186C">
              <w:rPr>
                <w:rFonts w:eastAsia="Times New Roman" w:cs="Times New Roman"/>
                <w:color w:val="000000"/>
                <w:sz w:val="20"/>
                <w:szCs w:val="20"/>
                <w:lang w:eastAsia="cs-CZ"/>
              </w:rPr>
              <w:t>51</w:t>
            </w:r>
          </w:p>
        </w:tc>
      </w:tr>
      <w:tr w:rsidR="000D6D11" w:rsidRPr="00AD186C" w:rsidTr="00AD186C">
        <w:trPr>
          <w:trHeight w:val="240"/>
          <w:jc w:val="center"/>
        </w:trPr>
        <w:tc>
          <w:tcPr>
            <w:tcW w:w="6309" w:type="dxa"/>
            <w:tcBorders>
              <w:top w:val="nil"/>
              <w:left w:val="nil"/>
              <w:bottom w:val="nil"/>
              <w:right w:val="nil"/>
            </w:tcBorders>
            <w:shd w:val="clear" w:color="auto" w:fill="auto"/>
            <w:noWrap/>
            <w:vAlign w:val="center"/>
            <w:hideMark/>
          </w:tcPr>
          <w:p w:rsidR="000D6D11" w:rsidRPr="00AD186C" w:rsidRDefault="000D6D11" w:rsidP="00AD186C">
            <w:pPr>
              <w:spacing w:before="20" w:after="20"/>
              <w:jc w:val="left"/>
              <w:rPr>
                <w:rFonts w:eastAsia="Times New Roman" w:cs="Times New Roman"/>
                <w:color w:val="000000"/>
                <w:sz w:val="20"/>
                <w:szCs w:val="20"/>
                <w:lang w:eastAsia="cs-CZ"/>
              </w:rPr>
            </w:pPr>
            <w:r w:rsidRPr="00AD186C">
              <w:rPr>
                <w:rFonts w:eastAsia="Times New Roman" w:cs="Times New Roman"/>
                <w:color w:val="000000"/>
                <w:sz w:val="20"/>
                <w:szCs w:val="20"/>
                <w:lang w:eastAsia="cs-CZ"/>
              </w:rPr>
              <w:t>Univerzita Tomáše Bati ve Zlíně</w:t>
            </w:r>
          </w:p>
        </w:tc>
        <w:tc>
          <w:tcPr>
            <w:tcW w:w="1171" w:type="dxa"/>
            <w:tcBorders>
              <w:top w:val="nil"/>
              <w:left w:val="nil"/>
              <w:bottom w:val="nil"/>
              <w:right w:val="nil"/>
            </w:tcBorders>
            <w:shd w:val="clear" w:color="auto" w:fill="auto"/>
            <w:noWrap/>
            <w:vAlign w:val="center"/>
            <w:hideMark/>
          </w:tcPr>
          <w:p w:rsidR="000D6D11" w:rsidRPr="00AD186C" w:rsidRDefault="000D6D11" w:rsidP="00AD186C">
            <w:pPr>
              <w:spacing w:before="20" w:after="20"/>
              <w:ind w:right="211"/>
              <w:jc w:val="right"/>
              <w:rPr>
                <w:rFonts w:eastAsia="Times New Roman" w:cs="Times New Roman"/>
                <w:color w:val="000000"/>
                <w:sz w:val="20"/>
                <w:szCs w:val="20"/>
                <w:lang w:eastAsia="cs-CZ"/>
              </w:rPr>
            </w:pPr>
            <w:r w:rsidRPr="00AD186C">
              <w:rPr>
                <w:rFonts w:eastAsia="Times New Roman" w:cs="Times New Roman"/>
                <w:color w:val="000000"/>
                <w:sz w:val="20"/>
                <w:szCs w:val="20"/>
                <w:lang w:eastAsia="cs-CZ"/>
              </w:rPr>
              <w:t>48</w:t>
            </w:r>
          </w:p>
        </w:tc>
      </w:tr>
      <w:tr w:rsidR="000D6D11" w:rsidRPr="00AD186C" w:rsidTr="00AD186C">
        <w:trPr>
          <w:trHeight w:val="240"/>
          <w:jc w:val="center"/>
        </w:trPr>
        <w:tc>
          <w:tcPr>
            <w:tcW w:w="6309" w:type="dxa"/>
            <w:tcBorders>
              <w:top w:val="nil"/>
              <w:left w:val="nil"/>
              <w:bottom w:val="nil"/>
              <w:right w:val="nil"/>
            </w:tcBorders>
            <w:shd w:val="clear" w:color="auto" w:fill="auto"/>
            <w:noWrap/>
            <w:vAlign w:val="center"/>
            <w:hideMark/>
          </w:tcPr>
          <w:p w:rsidR="000D6D11" w:rsidRPr="00AD186C" w:rsidRDefault="000D6D11" w:rsidP="00AD186C">
            <w:pPr>
              <w:spacing w:before="20" w:after="20"/>
              <w:jc w:val="left"/>
              <w:rPr>
                <w:rFonts w:eastAsia="Times New Roman" w:cs="Times New Roman"/>
                <w:color w:val="000000"/>
                <w:sz w:val="20"/>
                <w:szCs w:val="20"/>
                <w:lang w:eastAsia="cs-CZ"/>
              </w:rPr>
            </w:pPr>
            <w:r w:rsidRPr="00AD186C">
              <w:rPr>
                <w:rFonts w:eastAsia="Times New Roman" w:cs="Times New Roman"/>
                <w:color w:val="000000"/>
                <w:sz w:val="20"/>
                <w:szCs w:val="20"/>
                <w:lang w:eastAsia="cs-CZ"/>
              </w:rPr>
              <w:t>Ústav analytické chemie AV ČR, v. v. i.</w:t>
            </w:r>
          </w:p>
        </w:tc>
        <w:tc>
          <w:tcPr>
            <w:tcW w:w="1171" w:type="dxa"/>
            <w:tcBorders>
              <w:top w:val="nil"/>
              <w:left w:val="nil"/>
              <w:bottom w:val="nil"/>
              <w:right w:val="nil"/>
            </w:tcBorders>
            <w:shd w:val="clear" w:color="auto" w:fill="auto"/>
            <w:noWrap/>
            <w:vAlign w:val="center"/>
            <w:hideMark/>
          </w:tcPr>
          <w:p w:rsidR="000D6D11" w:rsidRPr="00AD186C" w:rsidRDefault="000D6D11" w:rsidP="00AD186C">
            <w:pPr>
              <w:spacing w:before="20" w:after="20"/>
              <w:ind w:right="211"/>
              <w:jc w:val="right"/>
              <w:rPr>
                <w:rFonts w:eastAsia="Times New Roman" w:cs="Times New Roman"/>
                <w:color w:val="000000"/>
                <w:sz w:val="20"/>
                <w:szCs w:val="20"/>
                <w:lang w:eastAsia="cs-CZ"/>
              </w:rPr>
            </w:pPr>
            <w:r w:rsidRPr="00AD186C">
              <w:rPr>
                <w:rFonts w:eastAsia="Times New Roman" w:cs="Times New Roman"/>
                <w:color w:val="000000"/>
                <w:sz w:val="20"/>
                <w:szCs w:val="20"/>
                <w:lang w:eastAsia="cs-CZ"/>
              </w:rPr>
              <w:t>37</w:t>
            </w:r>
          </w:p>
        </w:tc>
      </w:tr>
      <w:tr w:rsidR="000D6D11" w:rsidRPr="00AD186C" w:rsidTr="00AD186C">
        <w:trPr>
          <w:trHeight w:val="240"/>
          <w:jc w:val="center"/>
        </w:trPr>
        <w:tc>
          <w:tcPr>
            <w:tcW w:w="6309" w:type="dxa"/>
            <w:tcBorders>
              <w:top w:val="nil"/>
              <w:left w:val="nil"/>
              <w:bottom w:val="nil"/>
              <w:right w:val="nil"/>
            </w:tcBorders>
            <w:shd w:val="clear" w:color="auto" w:fill="auto"/>
            <w:noWrap/>
            <w:vAlign w:val="center"/>
            <w:hideMark/>
          </w:tcPr>
          <w:p w:rsidR="000D6D11" w:rsidRPr="00AD186C" w:rsidRDefault="000D6D11" w:rsidP="00AD186C">
            <w:pPr>
              <w:spacing w:before="20" w:after="20"/>
              <w:jc w:val="left"/>
              <w:rPr>
                <w:rFonts w:eastAsia="Times New Roman" w:cs="Times New Roman"/>
                <w:color w:val="000000"/>
                <w:sz w:val="20"/>
                <w:szCs w:val="20"/>
                <w:lang w:eastAsia="cs-CZ"/>
              </w:rPr>
            </w:pPr>
            <w:r w:rsidRPr="00AD186C">
              <w:rPr>
                <w:rFonts w:eastAsia="Times New Roman" w:cs="Times New Roman"/>
                <w:color w:val="000000"/>
                <w:sz w:val="20"/>
                <w:szCs w:val="20"/>
                <w:lang w:eastAsia="cs-CZ"/>
              </w:rPr>
              <w:t>Výzkumný ústav vodohospodářský T. G. M., v.v.i.</w:t>
            </w:r>
          </w:p>
        </w:tc>
        <w:tc>
          <w:tcPr>
            <w:tcW w:w="1171" w:type="dxa"/>
            <w:tcBorders>
              <w:top w:val="nil"/>
              <w:left w:val="nil"/>
              <w:bottom w:val="nil"/>
              <w:right w:val="nil"/>
            </w:tcBorders>
            <w:shd w:val="clear" w:color="auto" w:fill="auto"/>
            <w:noWrap/>
            <w:vAlign w:val="center"/>
            <w:hideMark/>
          </w:tcPr>
          <w:p w:rsidR="000D6D11" w:rsidRPr="00AD186C" w:rsidRDefault="000D6D11" w:rsidP="00AD186C">
            <w:pPr>
              <w:spacing w:before="20" w:after="20"/>
              <w:ind w:right="211"/>
              <w:jc w:val="right"/>
              <w:rPr>
                <w:rFonts w:eastAsia="Times New Roman" w:cs="Times New Roman"/>
                <w:color w:val="000000"/>
                <w:sz w:val="20"/>
                <w:szCs w:val="20"/>
                <w:lang w:eastAsia="cs-CZ"/>
              </w:rPr>
            </w:pPr>
            <w:r w:rsidRPr="00AD186C">
              <w:rPr>
                <w:rFonts w:eastAsia="Times New Roman" w:cs="Times New Roman"/>
                <w:color w:val="000000"/>
                <w:sz w:val="20"/>
                <w:szCs w:val="20"/>
                <w:lang w:eastAsia="cs-CZ"/>
              </w:rPr>
              <w:t>32</w:t>
            </w:r>
          </w:p>
        </w:tc>
      </w:tr>
      <w:tr w:rsidR="000D6D11" w:rsidRPr="00AD186C" w:rsidTr="00AD186C">
        <w:trPr>
          <w:trHeight w:val="240"/>
          <w:jc w:val="center"/>
        </w:trPr>
        <w:tc>
          <w:tcPr>
            <w:tcW w:w="6309" w:type="dxa"/>
            <w:tcBorders>
              <w:top w:val="nil"/>
              <w:left w:val="nil"/>
              <w:bottom w:val="nil"/>
              <w:right w:val="nil"/>
            </w:tcBorders>
            <w:shd w:val="clear" w:color="auto" w:fill="auto"/>
            <w:noWrap/>
            <w:vAlign w:val="center"/>
            <w:hideMark/>
          </w:tcPr>
          <w:p w:rsidR="000D6D11" w:rsidRPr="00AD186C" w:rsidRDefault="000D6D11" w:rsidP="00AD186C">
            <w:pPr>
              <w:spacing w:before="20" w:after="20"/>
              <w:jc w:val="left"/>
              <w:rPr>
                <w:rFonts w:eastAsia="Times New Roman" w:cs="Times New Roman"/>
                <w:color w:val="000000"/>
                <w:sz w:val="20"/>
                <w:szCs w:val="20"/>
                <w:lang w:eastAsia="cs-CZ"/>
              </w:rPr>
            </w:pPr>
            <w:r w:rsidRPr="00AD186C">
              <w:rPr>
                <w:rFonts w:eastAsia="Times New Roman" w:cs="Times New Roman"/>
                <w:color w:val="000000"/>
                <w:sz w:val="20"/>
                <w:szCs w:val="20"/>
                <w:lang w:eastAsia="cs-CZ"/>
              </w:rPr>
              <w:t>Státní ústav radiační ochrany, v.v.i.</w:t>
            </w:r>
          </w:p>
        </w:tc>
        <w:tc>
          <w:tcPr>
            <w:tcW w:w="1171" w:type="dxa"/>
            <w:tcBorders>
              <w:top w:val="nil"/>
              <w:left w:val="nil"/>
              <w:bottom w:val="nil"/>
              <w:right w:val="nil"/>
            </w:tcBorders>
            <w:shd w:val="clear" w:color="auto" w:fill="auto"/>
            <w:noWrap/>
            <w:vAlign w:val="center"/>
            <w:hideMark/>
          </w:tcPr>
          <w:p w:rsidR="000D6D11" w:rsidRPr="00AD186C" w:rsidRDefault="000D6D11" w:rsidP="00AD186C">
            <w:pPr>
              <w:spacing w:before="20" w:after="20"/>
              <w:ind w:right="211"/>
              <w:jc w:val="right"/>
              <w:rPr>
                <w:rFonts w:eastAsia="Times New Roman" w:cs="Times New Roman"/>
                <w:color w:val="000000"/>
                <w:sz w:val="20"/>
                <w:szCs w:val="20"/>
                <w:lang w:eastAsia="cs-CZ"/>
              </w:rPr>
            </w:pPr>
            <w:r w:rsidRPr="00AD186C">
              <w:rPr>
                <w:rFonts w:eastAsia="Times New Roman" w:cs="Times New Roman"/>
                <w:color w:val="000000"/>
                <w:sz w:val="20"/>
                <w:szCs w:val="20"/>
                <w:lang w:eastAsia="cs-CZ"/>
              </w:rPr>
              <w:t>31</w:t>
            </w:r>
          </w:p>
        </w:tc>
      </w:tr>
      <w:tr w:rsidR="000D6D11" w:rsidRPr="00AD186C" w:rsidTr="00AD186C">
        <w:trPr>
          <w:trHeight w:val="240"/>
          <w:jc w:val="center"/>
        </w:trPr>
        <w:tc>
          <w:tcPr>
            <w:tcW w:w="6309" w:type="dxa"/>
            <w:tcBorders>
              <w:top w:val="nil"/>
              <w:left w:val="nil"/>
              <w:bottom w:val="nil"/>
              <w:right w:val="nil"/>
            </w:tcBorders>
            <w:shd w:val="clear" w:color="auto" w:fill="auto"/>
            <w:noWrap/>
            <w:vAlign w:val="center"/>
            <w:hideMark/>
          </w:tcPr>
          <w:p w:rsidR="000D6D11" w:rsidRPr="00AD186C" w:rsidRDefault="000D6D11" w:rsidP="00AD186C">
            <w:pPr>
              <w:spacing w:before="20" w:after="20"/>
              <w:jc w:val="left"/>
              <w:rPr>
                <w:rFonts w:eastAsia="Times New Roman" w:cs="Times New Roman"/>
                <w:color w:val="000000"/>
                <w:sz w:val="20"/>
                <w:szCs w:val="20"/>
                <w:lang w:eastAsia="cs-CZ"/>
              </w:rPr>
            </w:pPr>
            <w:r w:rsidRPr="00AD186C">
              <w:rPr>
                <w:rFonts w:eastAsia="Times New Roman" w:cs="Times New Roman"/>
                <w:color w:val="000000"/>
                <w:sz w:val="20"/>
                <w:szCs w:val="20"/>
                <w:lang w:eastAsia="cs-CZ"/>
              </w:rPr>
              <w:lastRenderedPageBreak/>
              <w:t>Technická univerzita v Liberci</w:t>
            </w:r>
          </w:p>
        </w:tc>
        <w:tc>
          <w:tcPr>
            <w:tcW w:w="1171" w:type="dxa"/>
            <w:tcBorders>
              <w:top w:val="nil"/>
              <w:left w:val="nil"/>
              <w:bottom w:val="nil"/>
              <w:right w:val="nil"/>
            </w:tcBorders>
            <w:shd w:val="clear" w:color="auto" w:fill="auto"/>
            <w:noWrap/>
            <w:vAlign w:val="center"/>
            <w:hideMark/>
          </w:tcPr>
          <w:p w:rsidR="000D6D11" w:rsidRPr="00AD186C" w:rsidRDefault="000D6D11" w:rsidP="00AD186C">
            <w:pPr>
              <w:spacing w:before="20" w:after="20"/>
              <w:ind w:right="211"/>
              <w:jc w:val="right"/>
              <w:rPr>
                <w:rFonts w:eastAsia="Times New Roman" w:cs="Times New Roman"/>
                <w:color w:val="000000"/>
                <w:sz w:val="20"/>
                <w:szCs w:val="20"/>
                <w:lang w:eastAsia="cs-CZ"/>
              </w:rPr>
            </w:pPr>
            <w:r w:rsidRPr="00AD186C">
              <w:rPr>
                <w:rFonts w:eastAsia="Times New Roman" w:cs="Times New Roman"/>
                <w:color w:val="000000"/>
                <w:sz w:val="20"/>
                <w:szCs w:val="20"/>
                <w:lang w:eastAsia="cs-CZ"/>
              </w:rPr>
              <w:t>27</w:t>
            </w:r>
          </w:p>
        </w:tc>
      </w:tr>
      <w:tr w:rsidR="000D6D11" w:rsidRPr="00AD186C" w:rsidTr="00AD186C">
        <w:trPr>
          <w:trHeight w:val="240"/>
          <w:jc w:val="center"/>
        </w:trPr>
        <w:tc>
          <w:tcPr>
            <w:tcW w:w="6309" w:type="dxa"/>
            <w:tcBorders>
              <w:top w:val="nil"/>
              <w:left w:val="nil"/>
              <w:bottom w:val="nil"/>
              <w:right w:val="nil"/>
            </w:tcBorders>
            <w:shd w:val="clear" w:color="auto" w:fill="auto"/>
            <w:noWrap/>
            <w:vAlign w:val="center"/>
            <w:hideMark/>
          </w:tcPr>
          <w:p w:rsidR="000D6D11" w:rsidRPr="00AD186C" w:rsidRDefault="000D6D11" w:rsidP="00AD186C">
            <w:pPr>
              <w:spacing w:before="20" w:after="20"/>
              <w:jc w:val="left"/>
              <w:rPr>
                <w:rFonts w:eastAsia="Times New Roman" w:cs="Times New Roman"/>
                <w:color w:val="000000"/>
                <w:sz w:val="20"/>
                <w:szCs w:val="20"/>
                <w:lang w:eastAsia="cs-CZ"/>
              </w:rPr>
            </w:pPr>
            <w:r w:rsidRPr="00AD186C">
              <w:rPr>
                <w:rFonts w:eastAsia="Times New Roman" w:cs="Times New Roman"/>
                <w:color w:val="000000"/>
                <w:sz w:val="20"/>
                <w:szCs w:val="20"/>
                <w:lang w:eastAsia="cs-CZ"/>
              </w:rPr>
              <w:t>Centrum dopravního výzkumu, v.v.i.</w:t>
            </w:r>
          </w:p>
        </w:tc>
        <w:tc>
          <w:tcPr>
            <w:tcW w:w="1171" w:type="dxa"/>
            <w:tcBorders>
              <w:top w:val="nil"/>
              <w:left w:val="nil"/>
              <w:bottom w:val="nil"/>
              <w:right w:val="nil"/>
            </w:tcBorders>
            <w:shd w:val="clear" w:color="auto" w:fill="auto"/>
            <w:noWrap/>
            <w:vAlign w:val="center"/>
            <w:hideMark/>
          </w:tcPr>
          <w:p w:rsidR="000D6D11" w:rsidRPr="00AD186C" w:rsidRDefault="000D6D11" w:rsidP="00AD186C">
            <w:pPr>
              <w:spacing w:before="20" w:after="20"/>
              <w:ind w:right="211"/>
              <w:jc w:val="right"/>
              <w:rPr>
                <w:rFonts w:eastAsia="Times New Roman" w:cs="Times New Roman"/>
                <w:color w:val="000000"/>
                <w:sz w:val="20"/>
                <w:szCs w:val="20"/>
                <w:lang w:eastAsia="cs-CZ"/>
              </w:rPr>
            </w:pPr>
            <w:r w:rsidRPr="00AD186C">
              <w:rPr>
                <w:rFonts w:eastAsia="Times New Roman" w:cs="Times New Roman"/>
                <w:color w:val="000000"/>
                <w:sz w:val="20"/>
                <w:szCs w:val="20"/>
                <w:lang w:eastAsia="cs-CZ"/>
              </w:rPr>
              <w:t>25</w:t>
            </w:r>
          </w:p>
        </w:tc>
      </w:tr>
      <w:tr w:rsidR="000D6D11" w:rsidRPr="00AD186C" w:rsidTr="00AD186C">
        <w:trPr>
          <w:trHeight w:val="240"/>
          <w:jc w:val="center"/>
        </w:trPr>
        <w:tc>
          <w:tcPr>
            <w:tcW w:w="6309" w:type="dxa"/>
            <w:tcBorders>
              <w:top w:val="nil"/>
              <w:left w:val="nil"/>
              <w:bottom w:val="nil"/>
              <w:right w:val="nil"/>
            </w:tcBorders>
            <w:shd w:val="clear" w:color="auto" w:fill="auto"/>
            <w:noWrap/>
            <w:vAlign w:val="center"/>
            <w:hideMark/>
          </w:tcPr>
          <w:p w:rsidR="000D6D11" w:rsidRPr="00AD186C" w:rsidRDefault="000D6D11" w:rsidP="00AD186C">
            <w:pPr>
              <w:spacing w:before="20" w:after="20"/>
              <w:jc w:val="left"/>
              <w:rPr>
                <w:rFonts w:eastAsia="Times New Roman" w:cs="Times New Roman"/>
                <w:color w:val="000000"/>
                <w:sz w:val="20"/>
                <w:szCs w:val="20"/>
                <w:lang w:eastAsia="cs-CZ"/>
              </w:rPr>
            </w:pPr>
            <w:r w:rsidRPr="00AD186C">
              <w:rPr>
                <w:rFonts w:eastAsia="Times New Roman" w:cs="Times New Roman"/>
                <w:color w:val="000000"/>
                <w:sz w:val="20"/>
                <w:szCs w:val="20"/>
                <w:lang w:eastAsia="cs-CZ"/>
              </w:rPr>
              <w:t>Ústav teorie informace a automatizace AV ČR, v. v. i.</w:t>
            </w:r>
          </w:p>
        </w:tc>
        <w:tc>
          <w:tcPr>
            <w:tcW w:w="1171" w:type="dxa"/>
            <w:tcBorders>
              <w:top w:val="nil"/>
              <w:left w:val="nil"/>
              <w:bottom w:val="nil"/>
              <w:right w:val="nil"/>
            </w:tcBorders>
            <w:shd w:val="clear" w:color="auto" w:fill="auto"/>
            <w:noWrap/>
            <w:vAlign w:val="center"/>
            <w:hideMark/>
          </w:tcPr>
          <w:p w:rsidR="000D6D11" w:rsidRPr="00AD186C" w:rsidRDefault="000D6D11" w:rsidP="00AD186C">
            <w:pPr>
              <w:spacing w:before="20" w:after="20"/>
              <w:ind w:right="211"/>
              <w:jc w:val="right"/>
              <w:rPr>
                <w:rFonts w:eastAsia="Times New Roman" w:cs="Times New Roman"/>
                <w:color w:val="000000"/>
                <w:sz w:val="20"/>
                <w:szCs w:val="20"/>
                <w:lang w:eastAsia="cs-CZ"/>
              </w:rPr>
            </w:pPr>
            <w:r w:rsidRPr="00AD186C">
              <w:rPr>
                <w:rFonts w:eastAsia="Times New Roman" w:cs="Times New Roman"/>
                <w:color w:val="000000"/>
                <w:sz w:val="20"/>
                <w:szCs w:val="20"/>
                <w:lang w:eastAsia="cs-CZ"/>
              </w:rPr>
              <w:t>22</w:t>
            </w:r>
          </w:p>
        </w:tc>
      </w:tr>
      <w:tr w:rsidR="000D6D11" w:rsidRPr="00AD186C" w:rsidTr="00AD186C">
        <w:trPr>
          <w:trHeight w:val="240"/>
          <w:jc w:val="center"/>
        </w:trPr>
        <w:tc>
          <w:tcPr>
            <w:tcW w:w="6309" w:type="dxa"/>
            <w:tcBorders>
              <w:top w:val="nil"/>
              <w:left w:val="nil"/>
              <w:bottom w:val="nil"/>
              <w:right w:val="nil"/>
            </w:tcBorders>
            <w:shd w:val="clear" w:color="auto" w:fill="auto"/>
            <w:noWrap/>
            <w:vAlign w:val="center"/>
            <w:hideMark/>
          </w:tcPr>
          <w:p w:rsidR="000D6D11" w:rsidRPr="00AD186C" w:rsidRDefault="000D6D11" w:rsidP="00AD186C">
            <w:pPr>
              <w:spacing w:before="20" w:after="20"/>
              <w:jc w:val="left"/>
              <w:rPr>
                <w:rFonts w:eastAsia="Times New Roman" w:cs="Times New Roman"/>
                <w:color w:val="000000"/>
                <w:sz w:val="20"/>
                <w:szCs w:val="20"/>
                <w:lang w:eastAsia="cs-CZ"/>
              </w:rPr>
            </w:pPr>
            <w:r w:rsidRPr="00AD186C">
              <w:rPr>
                <w:rFonts w:eastAsia="Times New Roman" w:cs="Times New Roman"/>
                <w:color w:val="000000"/>
                <w:sz w:val="20"/>
                <w:szCs w:val="20"/>
                <w:lang w:eastAsia="cs-CZ"/>
              </w:rPr>
              <w:t>Česká zemědělská univerzita v Praze</w:t>
            </w:r>
          </w:p>
        </w:tc>
        <w:tc>
          <w:tcPr>
            <w:tcW w:w="1171" w:type="dxa"/>
            <w:tcBorders>
              <w:top w:val="nil"/>
              <w:left w:val="nil"/>
              <w:bottom w:val="nil"/>
              <w:right w:val="nil"/>
            </w:tcBorders>
            <w:shd w:val="clear" w:color="auto" w:fill="auto"/>
            <w:noWrap/>
            <w:vAlign w:val="center"/>
            <w:hideMark/>
          </w:tcPr>
          <w:p w:rsidR="000D6D11" w:rsidRPr="00AD186C" w:rsidRDefault="000D6D11" w:rsidP="00AD186C">
            <w:pPr>
              <w:spacing w:before="20" w:after="20"/>
              <w:ind w:right="211"/>
              <w:jc w:val="right"/>
              <w:rPr>
                <w:rFonts w:eastAsia="Times New Roman" w:cs="Times New Roman"/>
                <w:color w:val="000000"/>
                <w:sz w:val="20"/>
                <w:szCs w:val="20"/>
                <w:lang w:eastAsia="cs-CZ"/>
              </w:rPr>
            </w:pPr>
            <w:r w:rsidRPr="00AD186C">
              <w:rPr>
                <w:rFonts w:eastAsia="Times New Roman" w:cs="Times New Roman"/>
                <w:color w:val="000000"/>
                <w:sz w:val="20"/>
                <w:szCs w:val="20"/>
                <w:lang w:eastAsia="cs-CZ"/>
              </w:rPr>
              <w:t>20</w:t>
            </w:r>
          </w:p>
        </w:tc>
      </w:tr>
      <w:tr w:rsidR="000D6D11" w:rsidRPr="00AD186C" w:rsidTr="00AD186C">
        <w:trPr>
          <w:trHeight w:val="240"/>
          <w:jc w:val="center"/>
        </w:trPr>
        <w:tc>
          <w:tcPr>
            <w:tcW w:w="6309" w:type="dxa"/>
            <w:tcBorders>
              <w:top w:val="nil"/>
              <w:left w:val="nil"/>
              <w:bottom w:val="nil"/>
              <w:right w:val="nil"/>
            </w:tcBorders>
            <w:shd w:val="clear" w:color="auto" w:fill="auto"/>
            <w:noWrap/>
            <w:vAlign w:val="center"/>
            <w:hideMark/>
          </w:tcPr>
          <w:p w:rsidR="000D6D11" w:rsidRPr="00AD186C" w:rsidRDefault="000D6D11" w:rsidP="00AD186C">
            <w:pPr>
              <w:spacing w:before="20" w:after="20"/>
              <w:jc w:val="left"/>
              <w:rPr>
                <w:rFonts w:eastAsia="Times New Roman" w:cs="Times New Roman"/>
                <w:color w:val="000000"/>
                <w:sz w:val="20"/>
                <w:szCs w:val="20"/>
                <w:lang w:eastAsia="cs-CZ"/>
              </w:rPr>
            </w:pPr>
            <w:r w:rsidRPr="00AD186C">
              <w:rPr>
                <w:rFonts w:eastAsia="Times New Roman" w:cs="Times New Roman"/>
                <w:color w:val="000000"/>
                <w:sz w:val="20"/>
                <w:szCs w:val="20"/>
                <w:lang w:eastAsia="cs-CZ"/>
              </w:rPr>
              <w:t>Vysoká škola chemicko-technologická v Praze</w:t>
            </w:r>
          </w:p>
        </w:tc>
        <w:tc>
          <w:tcPr>
            <w:tcW w:w="1171" w:type="dxa"/>
            <w:tcBorders>
              <w:top w:val="nil"/>
              <w:left w:val="nil"/>
              <w:bottom w:val="nil"/>
              <w:right w:val="nil"/>
            </w:tcBorders>
            <w:shd w:val="clear" w:color="auto" w:fill="auto"/>
            <w:noWrap/>
            <w:vAlign w:val="center"/>
            <w:hideMark/>
          </w:tcPr>
          <w:p w:rsidR="000D6D11" w:rsidRPr="00AD186C" w:rsidRDefault="000D6D11" w:rsidP="00AD186C">
            <w:pPr>
              <w:spacing w:before="20" w:after="20"/>
              <w:ind w:right="211"/>
              <w:jc w:val="right"/>
              <w:rPr>
                <w:rFonts w:eastAsia="Times New Roman" w:cs="Times New Roman"/>
                <w:color w:val="000000"/>
                <w:sz w:val="20"/>
                <w:szCs w:val="20"/>
                <w:lang w:eastAsia="cs-CZ"/>
              </w:rPr>
            </w:pPr>
            <w:r w:rsidRPr="00AD186C">
              <w:rPr>
                <w:rFonts w:eastAsia="Times New Roman" w:cs="Times New Roman"/>
                <w:color w:val="000000"/>
                <w:sz w:val="20"/>
                <w:szCs w:val="20"/>
                <w:lang w:eastAsia="cs-CZ"/>
              </w:rPr>
              <w:t>17</w:t>
            </w:r>
          </w:p>
        </w:tc>
      </w:tr>
      <w:tr w:rsidR="000D6D11" w:rsidRPr="00AD186C" w:rsidTr="00AD186C">
        <w:trPr>
          <w:trHeight w:val="240"/>
          <w:jc w:val="center"/>
        </w:trPr>
        <w:tc>
          <w:tcPr>
            <w:tcW w:w="6309" w:type="dxa"/>
            <w:tcBorders>
              <w:top w:val="nil"/>
              <w:left w:val="nil"/>
              <w:bottom w:val="nil"/>
              <w:right w:val="nil"/>
            </w:tcBorders>
            <w:shd w:val="clear" w:color="auto" w:fill="auto"/>
            <w:noWrap/>
            <w:vAlign w:val="center"/>
            <w:hideMark/>
          </w:tcPr>
          <w:p w:rsidR="000D6D11" w:rsidRPr="00AD186C" w:rsidRDefault="000D6D11" w:rsidP="00AD186C">
            <w:pPr>
              <w:spacing w:before="20" w:after="20"/>
              <w:jc w:val="left"/>
              <w:rPr>
                <w:rFonts w:eastAsia="Times New Roman" w:cs="Times New Roman"/>
                <w:color w:val="000000"/>
                <w:sz w:val="20"/>
                <w:szCs w:val="20"/>
                <w:lang w:eastAsia="cs-CZ"/>
              </w:rPr>
            </w:pPr>
            <w:r w:rsidRPr="00AD186C">
              <w:rPr>
                <w:rFonts w:eastAsia="Times New Roman" w:cs="Times New Roman"/>
                <w:color w:val="000000"/>
                <w:sz w:val="20"/>
                <w:szCs w:val="20"/>
                <w:lang w:eastAsia="cs-CZ"/>
              </w:rPr>
              <w:t>Jihočeská univerzita v Českých Budějovicích</w:t>
            </w:r>
          </w:p>
        </w:tc>
        <w:tc>
          <w:tcPr>
            <w:tcW w:w="1171" w:type="dxa"/>
            <w:tcBorders>
              <w:top w:val="nil"/>
              <w:left w:val="nil"/>
              <w:bottom w:val="nil"/>
              <w:right w:val="nil"/>
            </w:tcBorders>
            <w:shd w:val="clear" w:color="auto" w:fill="auto"/>
            <w:noWrap/>
            <w:vAlign w:val="center"/>
            <w:hideMark/>
          </w:tcPr>
          <w:p w:rsidR="000D6D11" w:rsidRPr="00AD186C" w:rsidRDefault="000D6D11" w:rsidP="00AD186C">
            <w:pPr>
              <w:spacing w:before="20" w:after="20"/>
              <w:ind w:right="211"/>
              <w:jc w:val="right"/>
              <w:rPr>
                <w:rFonts w:eastAsia="Times New Roman" w:cs="Times New Roman"/>
                <w:color w:val="000000"/>
                <w:sz w:val="20"/>
                <w:szCs w:val="20"/>
                <w:lang w:eastAsia="cs-CZ"/>
              </w:rPr>
            </w:pPr>
            <w:r w:rsidRPr="00AD186C">
              <w:rPr>
                <w:rFonts w:eastAsia="Times New Roman" w:cs="Times New Roman"/>
                <w:color w:val="000000"/>
                <w:sz w:val="20"/>
                <w:szCs w:val="20"/>
                <w:lang w:eastAsia="cs-CZ"/>
              </w:rPr>
              <w:t>15</w:t>
            </w:r>
          </w:p>
        </w:tc>
      </w:tr>
      <w:tr w:rsidR="000D6D11" w:rsidRPr="00AD186C" w:rsidTr="00AD186C">
        <w:trPr>
          <w:trHeight w:val="240"/>
          <w:jc w:val="center"/>
        </w:trPr>
        <w:tc>
          <w:tcPr>
            <w:tcW w:w="6309" w:type="dxa"/>
            <w:tcBorders>
              <w:top w:val="nil"/>
              <w:left w:val="nil"/>
              <w:bottom w:val="nil"/>
              <w:right w:val="nil"/>
            </w:tcBorders>
            <w:shd w:val="clear" w:color="auto" w:fill="auto"/>
            <w:noWrap/>
            <w:vAlign w:val="center"/>
            <w:hideMark/>
          </w:tcPr>
          <w:p w:rsidR="000D6D11" w:rsidRPr="00AD186C" w:rsidRDefault="000D6D11" w:rsidP="00AD186C">
            <w:pPr>
              <w:spacing w:before="20" w:after="20"/>
              <w:jc w:val="left"/>
              <w:rPr>
                <w:rFonts w:eastAsia="Times New Roman" w:cs="Times New Roman"/>
                <w:color w:val="000000"/>
                <w:sz w:val="20"/>
                <w:szCs w:val="20"/>
                <w:lang w:eastAsia="cs-CZ"/>
              </w:rPr>
            </w:pPr>
            <w:r w:rsidRPr="00AD186C">
              <w:rPr>
                <w:rFonts w:eastAsia="Times New Roman" w:cs="Times New Roman"/>
                <w:color w:val="000000"/>
                <w:sz w:val="20"/>
                <w:szCs w:val="20"/>
                <w:lang w:eastAsia="cs-CZ"/>
              </w:rPr>
              <w:t>AF-CITYPLAN  s.r.o.</w:t>
            </w:r>
          </w:p>
        </w:tc>
        <w:tc>
          <w:tcPr>
            <w:tcW w:w="1171" w:type="dxa"/>
            <w:tcBorders>
              <w:top w:val="nil"/>
              <w:left w:val="nil"/>
              <w:bottom w:val="nil"/>
              <w:right w:val="nil"/>
            </w:tcBorders>
            <w:shd w:val="clear" w:color="auto" w:fill="auto"/>
            <w:noWrap/>
            <w:vAlign w:val="center"/>
            <w:hideMark/>
          </w:tcPr>
          <w:p w:rsidR="000D6D11" w:rsidRPr="00AD186C" w:rsidRDefault="000D6D11" w:rsidP="00AD186C">
            <w:pPr>
              <w:spacing w:before="20" w:after="20"/>
              <w:ind w:right="211"/>
              <w:jc w:val="right"/>
              <w:rPr>
                <w:rFonts w:eastAsia="Times New Roman" w:cs="Times New Roman"/>
                <w:color w:val="000000"/>
                <w:sz w:val="20"/>
                <w:szCs w:val="20"/>
                <w:lang w:eastAsia="cs-CZ"/>
              </w:rPr>
            </w:pPr>
            <w:r w:rsidRPr="00AD186C">
              <w:rPr>
                <w:rFonts w:eastAsia="Times New Roman" w:cs="Times New Roman"/>
                <w:color w:val="000000"/>
                <w:sz w:val="20"/>
                <w:szCs w:val="20"/>
                <w:lang w:eastAsia="cs-CZ"/>
              </w:rPr>
              <w:t>15</w:t>
            </w:r>
          </w:p>
        </w:tc>
      </w:tr>
      <w:tr w:rsidR="000D6D11" w:rsidRPr="00AD186C" w:rsidTr="00AD186C">
        <w:trPr>
          <w:trHeight w:val="240"/>
          <w:jc w:val="center"/>
        </w:trPr>
        <w:tc>
          <w:tcPr>
            <w:tcW w:w="6309" w:type="dxa"/>
            <w:tcBorders>
              <w:top w:val="nil"/>
              <w:left w:val="nil"/>
              <w:bottom w:val="nil"/>
              <w:right w:val="nil"/>
            </w:tcBorders>
            <w:shd w:val="clear" w:color="auto" w:fill="auto"/>
            <w:noWrap/>
            <w:vAlign w:val="center"/>
            <w:hideMark/>
          </w:tcPr>
          <w:p w:rsidR="000D6D11" w:rsidRPr="00AD186C" w:rsidRDefault="000D6D11" w:rsidP="00AD186C">
            <w:pPr>
              <w:spacing w:before="20" w:after="20"/>
              <w:jc w:val="left"/>
              <w:rPr>
                <w:rFonts w:eastAsia="Times New Roman" w:cs="Times New Roman"/>
                <w:color w:val="000000"/>
                <w:sz w:val="20"/>
                <w:szCs w:val="20"/>
                <w:lang w:eastAsia="cs-CZ"/>
              </w:rPr>
            </w:pPr>
            <w:r w:rsidRPr="00AD186C">
              <w:rPr>
                <w:rFonts w:eastAsia="Times New Roman" w:cs="Times New Roman"/>
                <w:color w:val="000000"/>
                <w:sz w:val="20"/>
                <w:szCs w:val="20"/>
                <w:lang w:eastAsia="cs-CZ"/>
              </w:rPr>
              <w:t>Ústav organické chemie a biochemie AV ČR, v. v. i.</w:t>
            </w:r>
          </w:p>
        </w:tc>
        <w:tc>
          <w:tcPr>
            <w:tcW w:w="1171" w:type="dxa"/>
            <w:tcBorders>
              <w:top w:val="nil"/>
              <w:left w:val="nil"/>
              <w:bottom w:val="nil"/>
              <w:right w:val="nil"/>
            </w:tcBorders>
            <w:shd w:val="clear" w:color="auto" w:fill="auto"/>
            <w:noWrap/>
            <w:vAlign w:val="center"/>
            <w:hideMark/>
          </w:tcPr>
          <w:p w:rsidR="000D6D11" w:rsidRPr="00AD186C" w:rsidRDefault="000D6D11" w:rsidP="00AD186C">
            <w:pPr>
              <w:spacing w:before="20" w:after="20"/>
              <w:ind w:right="211"/>
              <w:jc w:val="right"/>
              <w:rPr>
                <w:rFonts w:eastAsia="Times New Roman" w:cs="Times New Roman"/>
                <w:color w:val="000000"/>
                <w:sz w:val="20"/>
                <w:szCs w:val="20"/>
                <w:lang w:eastAsia="cs-CZ"/>
              </w:rPr>
            </w:pPr>
            <w:r w:rsidRPr="00AD186C">
              <w:rPr>
                <w:rFonts w:eastAsia="Times New Roman" w:cs="Times New Roman"/>
                <w:color w:val="000000"/>
                <w:sz w:val="20"/>
                <w:szCs w:val="20"/>
                <w:lang w:eastAsia="cs-CZ"/>
              </w:rPr>
              <w:t>14</w:t>
            </w:r>
          </w:p>
        </w:tc>
      </w:tr>
      <w:tr w:rsidR="000D6D11" w:rsidRPr="00AD186C" w:rsidTr="00AD186C">
        <w:trPr>
          <w:trHeight w:val="240"/>
          <w:jc w:val="center"/>
        </w:trPr>
        <w:tc>
          <w:tcPr>
            <w:tcW w:w="6309" w:type="dxa"/>
            <w:tcBorders>
              <w:top w:val="nil"/>
              <w:left w:val="nil"/>
              <w:bottom w:val="nil"/>
              <w:right w:val="nil"/>
            </w:tcBorders>
            <w:shd w:val="clear" w:color="auto" w:fill="auto"/>
            <w:noWrap/>
            <w:vAlign w:val="center"/>
            <w:hideMark/>
          </w:tcPr>
          <w:p w:rsidR="000D6D11" w:rsidRPr="00AD186C" w:rsidRDefault="000D6D11" w:rsidP="00AD186C">
            <w:pPr>
              <w:spacing w:before="20" w:after="20"/>
              <w:jc w:val="left"/>
              <w:rPr>
                <w:rFonts w:eastAsia="Times New Roman" w:cs="Times New Roman"/>
                <w:color w:val="000000"/>
                <w:sz w:val="20"/>
                <w:szCs w:val="20"/>
                <w:lang w:eastAsia="cs-CZ"/>
              </w:rPr>
            </w:pPr>
            <w:r w:rsidRPr="00AD186C">
              <w:rPr>
                <w:rFonts w:eastAsia="Times New Roman" w:cs="Times New Roman"/>
                <w:color w:val="000000"/>
                <w:sz w:val="20"/>
                <w:szCs w:val="20"/>
                <w:lang w:eastAsia="cs-CZ"/>
              </w:rPr>
              <w:t>Ústav geoniky AV ČR, v. v. i.</w:t>
            </w:r>
          </w:p>
        </w:tc>
        <w:tc>
          <w:tcPr>
            <w:tcW w:w="1171" w:type="dxa"/>
            <w:tcBorders>
              <w:top w:val="nil"/>
              <w:left w:val="nil"/>
              <w:bottom w:val="nil"/>
              <w:right w:val="nil"/>
            </w:tcBorders>
            <w:shd w:val="clear" w:color="auto" w:fill="auto"/>
            <w:noWrap/>
            <w:vAlign w:val="center"/>
            <w:hideMark/>
          </w:tcPr>
          <w:p w:rsidR="000D6D11" w:rsidRPr="00AD186C" w:rsidRDefault="000D6D11" w:rsidP="00AD186C">
            <w:pPr>
              <w:spacing w:before="20" w:after="20"/>
              <w:ind w:right="211"/>
              <w:jc w:val="right"/>
              <w:rPr>
                <w:rFonts w:eastAsia="Times New Roman" w:cs="Times New Roman"/>
                <w:color w:val="000000"/>
                <w:sz w:val="20"/>
                <w:szCs w:val="20"/>
                <w:lang w:eastAsia="cs-CZ"/>
              </w:rPr>
            </w:pPr>
            <w:r w:rsidRPr="00AD186C">
              <w:rPr>
                <w:rFonts w:eastAsia="Times New Roman" w:cs="Times New Roman"/>
                <w:color w:val="000000"/>
                <w:sz w:val="20"/>
                <w:szCs w:val="20"/>
                <w:lang w:eastAsia="cs-CZ"/>
              </w:rPr>
              <w:t>11</w:t>
            </w:r>
          </w:p>
        </w:tc>
      </w:tr>
      <w:tr w:rsidR="000D6D11" w:rsidRPr="00AD186C" w:rsidTr="00AD186C">
        <w:trPr>
          <w:trHeight w:val="240"/>
          <w:jc w:val="center"/>
        </w:trPr>
        <w:tc>
          <w:tcPr>
            <w:tcW w:w="6309" w:type="dxa"/>
            <w:tcBorders>
              <w:top w:val="nil"/>
              <w:left w:val="nil"/>
              <w:bottom w:val="nil"/>
              <w:right w:val="nil"/>
            </w:tcBorders>
            <w:shd w:val="clear" w:color="auto" w:fill="auto"/>
            <w:noWrap/>
            <w:vAlign w:val="center"/>
            <w:hideMark/>
          </w:tcPr>
          <w:p w:rsidR="000D6D11" w:rsidRPr="00AD186C" w:rsidRDefault="000D6D11" w:rsidP="00AD186C">
            <w:pPr>
              <w:spacing w:before="20" w:after="20"/>
              <w:jc w:val="left"/>
              <w:rPr>
                <w:rFonts w:eastAsia="Times New Roman" w:cs="Times New Roman"/>
                <w:color w:val="000000"/>
                <w:sz w:val="20"/>
                <w:szCs w:val="20"/>
                <w:lang w:eastAsia="cs-CZ"/>
              </w:rPr>
            </w:pPr>
            <w:r w:rsidRPr="00AD186C">
              <w:rPr>
                <w:rFonts w:eastAsia="Times New Roman" w:cs="Times New Roman"/>
                <w:color w:val="000000"/>
                <w:sz w:val="20"/>
                <w:szCs w:val="20"/>
                <w:lang w:eastAsia="cs-CZ"/>
              </w:rPr>
              <w:t>EBIS, spol. s r.o.</w:t>
            </w:r>
          </w:p>
        </w:tc>
        <w:tc>
          <w:tcPr>
            <w:tcW w:w="1171" w:type="dxa"/>
            <w:tcBorders>
              <w:top w:val="nil"/>
              <w:left w:val="nil"/>
              <w:bottom w:val="nil"/>
              <w:right w:val="nil"/>
            </w:tcBorders>
            <w:shd w:val="clear" w:color="auto" w:fill="auto"/>
            <w:noWrap/>
            <w:vAlign w:val="center"/>
            <w:hideMark/>
          </w:tcPr>
          <w:p w:rsidR="000D6D11" w:rsidRPr="00AD186C" w:rsidRDefault="000D6D11" w:rsidP="00AD186C">
            <w:pPr>
              <w:spacing w:before="20" w:after="20"/>
              <w:ind w:right="211"/>
              <w:jc w:val="right"/>
              <w:rPr>
                <w:rFonts w:eastAsia="Times New Roman" w:cs="Times New Roman"/>
                <w:color w:val="000000"/>
                <w:sz w:val="20"/>
                <w:szCs w:val="20"/>
                <w:lang w:eastAsia="cs-CZ"/>
              </w:rPr>
            </w:pPr>
            <w:r w:rsidRPr="00AD186C">
              <w:rPr>
                <w:rFonts w:eastAsia="Times New Roman" w:cs="Times New Roman"/>
                <w:color w:val="000000"/>
                <w:sz w:val="20"/>
                <w:szCs w:val="20"/>
                <w:lang w:eastAsia="cs-CZ"/>
              </w:rPr>
              <w:t>10</w:t>
            </w:r>
          </w:p>
        </w:tc>
      </w:tr>
      <w:tr w:rsidR="000D6D11" w:rsidRPr="00AD186C" w:rsidTr="00AD186C">
        <w:trPr>
          <w:trHeight w:val="240"/>
          <w:jc w:val="center"/>
        </w:trPr>
        <w:tc>
          <w:tcPr>
            <w:tcW w:w="6309" w:type="dxa"/>
            <w:tcBorders>
              <w:top w:val="nil"/>
              <w:left w:val="nil"/>
              <w:bottom w:val="nil"/>
              <w:right w:val="nil"/>
            </w:tcBorders>
            <w:shd w:val="clear" w:color="auto" w:fill="auto"/>
            <w:noWrap/>
            <w:vAlign w:val="center"/>
            <w:hideMark/>
          </w:tcPr>
          <w:p w:rsidR="000D6D11" w:rsidRPr="00AD186C" w:rsidRDefault="000D6D11" w:rsidP="00AD186C">
            <w:pPr>
              <w:spacing w:before="20" w:after="20"/>
              <w:jc w:val="left"/>
              <w:rPr>
                <w:rFonts w:eastAsia="Times New Roman" w:cs="Times New Roman"/>
                <w:color w:val="000000"/>
                <w:sz w:val="20"/>
                <w:szCs w:val="20"/>
                <w:lang w:eastAsia="cs-CZ"/>
              </w:rPr>
            </w:pPr>
            <w:r w:rsidRPr="00AD186C">
              <w:rPr>
                <w:rFonts w:eastAsia="Times New Roman" w:cs="Times New Roman"/>
                <w:color w:val="000000"/>
                <w:sz w:val="20"/>
                <w:szCs w:val="20"/>
                <w:lang w:eastAsia="cs-CZ"/>
              </w:rPr>
              <w:t>Výzkumný ústav Silva Taroucy pro krajinu a okrasné zahradnictví,  v.v.i.</w:t>
            </w:r>
          </w:p>
        </w:tc>
        <w:tc>
          <w:tcPr>
            <w:tcW w:w="1171" w:type="dxa"/>
            <w:tcBorders>
              <w:top w:val="nil"/>
              <w:left w:val="nil"/>
              <w:bottom w:val="nil"/>
              <w:right w:val="nil"/>
            </w:tcBorders>
            <w:shd w:val="clear" w:color="auto" w:fill="auto"/>
            <w:noWrap/>
            <w:vAlign w:val="center"/>
            <w:hideMark/>
          </w:tcPr>
          <w:p w:rsidR="000D6D11" w:rsidRPr="00AD186C" w:rsidRDefault="000D6D11" w:rsidP="00AD186C">
            <w:pPr>
              <w:spacing w:before="20" w:after="20"/>
              <w:ind w:right="211"/>
              <w:jc w:val="right"/>
              <w:rPr>
                <w:rFonts w:eastAsia="Times New Roman" w:cs="Times New Roman"/>
                <w:color w:val="000000"/>
                <w:sz w:val="20"/>
                <w:szCs w:val="20"/>
                <w:lang w:eastAsia="cs-CZ"/>
              </w:rPr>
            </w:pPr>
            <w:r w:rsidRPr="00AD186C">
              <w:rPr>
                <w:rFonts w:eastAsia="Times New Roman" w:cs="Times New Roman"/>
                <w:color w:val="000000"/>
                <w:sz w:val="20"/>
                <w:szCs w:val="20"/>
                <w:lang w:eastAsia="cs-CZ"/>
              </w:rPr>
              <w:t>9</w:t>
            </w:r>
          </w:p>
        </w:tc>
      </w:tr>
      <w:tr w:rsidR="000D6D11" w:rsidRPr="00AD186C" w:rsidTr="00AD186C">
        <w:trPr>
          <w:trHeight w:val="240"/>
          <w:jc w:val="center"/>
        </w:trPr>
        <w:tc>
          <w:tcPr>
            <w:tcW w:w="6309" w:type="dxa"/>
            <w:tcBorders>
              <w:top w:val="nil"/>
              <w:left w:val="nil"/>
              <w:bottom w:val="nil"/>
              <w:right w:val="nil"/>
            </w:tcBorders>
            <w:shd w:val="clear" w:color="auto" w:fill="auto"/>
            <w:noWrap/>
            <w:vAlign w:val="center"/>
            <w:hideMark/>
          </w:tcPr>
          <w:p w:rsidR="000D6D11" w:rsidRPr="00AD186C" w:rsidRDefault="000D6D11" w:rsidP="00AD186C">
            <w:pPr>
              <w:spacing w:before="20" w:after="20"/>
              <w:jc w:val="left"/>
              <w:rPr>
                <w:rFonts w:eastAsia="Times New Roman" w:cs="Times New Roman"/>
                <w:color w:val="000000"/>
                <w:sz w:val="20"/>
                <w:szCs w:val="20"/>
                <w:lang w:eastAsia="cs-CZ"/>
              </w:rPr>
            </w:pPr>
            <w:r w:rsidRPr="00AD186C">
              <w:rPr>
                <w:rFonts w:eastAsia="Times New Roman" w:cs="Times New Roman"/>
                <w:color w:val="000000"/>
                <w:sz w:val="20"/>
                <w:szCs w:val="20"/>
                <w:lang w:eastAsia="cs-CZ"/>
              </w:rPr>
              <w:t>KPM CONSULT, a.s.</w:t>
            </w:r>
          </w:p>
        </w:tc>
        <w:tc>
          <w:tcPr>
            <w:tcW w:w="1171" w:type="dxa"/>
            <w:tcBorders>
              <w:top w:val="nil"/>
              <w:left w:val="nil"/>
              <w:bottom w:val="nil"/>
              <w:right w:val="nil"/>
            </w:tcBorders>
            <w:shd w:val="clear" w:color="auto" w:fill="auto"/>
            <w:noWrap/>
            <w:vAlign w:val="center"/>
            <w:hideMark/>
          </w:tcPr>
          <w:p w:rsidR="000D6D11" w:rsidRPr="00AD186C" w:rsidRDefault="000D6D11" w:rsidP="00AD186C">
            <w:pPr>
              <w:spacing w:before="20" w:after="20"/>
              <w:ind w:right="211"/>
              <w:jc w:val="right"/>
              <w:rPr>
                <w:rFonts w:eastAsia="Times New Roman" w:cs="Times New Roman"/>
                <w:color w:val="000000"/>
                <w:sz w:val="20"/>
                <w:szCs w:val="20"/>
                <w:lang w:eastAsia="cs-CZ"/>
              </w:rPr>
            </w:pPr>
            <w:r w:rsidRPr="00AD186C">
              <w:rPr>
                <w:rFonts w:eastAsia="Times New Roman" w:cs="Times New Roman"/>
                <w:color w:val="000000"/>
                <w:sz w:val="20"/>
                <w:szCs w:val="20"/>
                <w:lang w:eastAsia="cs-CZ"/>
              </w:rPr>
              <w:t>9</w:t>
            </w:r>
          </w:p>
        </w:tc>
      </w:tr>
      <w:tr w:rsidR="000D6D11" w:rsidRPr="00AD186C" w:rsidTr="00AD186C">
        <w:trPr>
          <w:trHeight w:val="240"/>
          <w:jc w:val="center"/>
        </w:trPr>
        <w:tc>
          <w:tcPr>
            <w:tcW w:w="6309" w:type="dxa"/>
            <w:tcBorders>
              <w:top w:val="nil"/>
              <w:left w:val="nil"/>
              <w:bottom w:val="nil"/>
              <w:right w:val="nil"/>
            </w:tcBorders>
            <w:shd w:val="clear" w:color="auto" w:fill="auto"/>
            <w:noWrap/>
            <w:vAlign w:val="center"/>
            <w:hideMark/>
          </w:tcPr>
          <w:p w:rsidR="000D6D11" w:rsidRPr="00AD186C" w:rsidRDefault="000D6D11" w:rsidP="00AD186C">
            <w:pPr>
              <w:spacing w:before="20" w:after="20"/>
              <w:jc w:val="left"/>
              <w:rPr>
                <w:rFonts w:eastAsia="Times New Roman" w:cs="Times New Roman"/>
                <w:color w:val="000000"/>
                <w:sz w:val="20"/>
                <w:szCs w:val="20"/>
                <w:lang w:eastAsia="cs-CZ"/>
              </w:rPr>
            </w:pPr>
            <w:r w:rsidRPr="00AD186C">
              <w:rPr>
                <w:rFonts w:eastAsia="Times New Roman" w:cs="Times New Roman"/>
                <w:color w:val="000000"/>
                <w:sz w:val="20"/>
                <w:szCs w:val="20"/>
                <w:lang w:eastAsia="cs-CZ"/>
              </w:rPr>
              <w:t>Česká asociace hasičských důstojníků, o.s.</w:t>
            </w:r>
          </w:p>
        </w:tc>
        <w:tc>
          <w:tcPr>
            <w:tcW w:w="1171" w:type="dxa"/>
            <w:tcBorders>
              <w:top w:val="nil"/>
              <w:left w:val="nil"/>
              <w:bottom w:val="nil"/>
              <w:right w:val="nil"/>
            </w:tcBorders>
            <w:shd w:val="clear" w:color="auto" w:fill="auto"/>
            <w:noWrap/>
            <w:vAlign w:val="center"/>
            <w:hideMark/>
          </w:tcPr>
          <w:p w:rsidR="000D6D11" w:rsidRPr="00AD186C" w:rsidRDefault="000D6D11" w:rsidP="00AD186C">
            <w:pPr>
              <w:spacing w:before="20" w:after="20"/>
              <w:ind w:right="211"/>
              <w:jc w:val="right"/>
              <w:rPr>
                <w:rFonts w:eastAsia="Times New Roman" w:cs="Times New Roman"/>
                <w:color w:val="000000"/>
                <w:sz w:val="20"/>
                <w:szCs w:val="20"/>
                <w:lang w:eastAsia="cs-CZ"/>
              </w:rPr>
            </w:pPr>
            <w:r w:rsidRPr="00AD186C">
              <w:rPr>
                <w:rFonts w:eastAsia="Times New Roman" w:cs="Times New Roman"/>
                <w:color w:val="000000"/>
                <w:sz w:val="20"/>
                <w:szCs w:val="20"/>
                <w:lang w:eastAsia="cs-CZ"/>
              </w:rPr>
              <w:t>9</w:t>
            </w:r>
          </w:p>
        </w:tc>
      </w:tr>
      <w:tr w:rsidR="000D6D11" w:rsidRPr="00AD186C" w:rsidTr="00AD186C">
        <w:trPr>
          <w:trHeight w:val="240"/>
          <w:jc w:val="center"/>
        </w:trPr>
        <w:tc>
          <w:tcPr>
            <w:tcW w:w="6309" w:type="dxa"/>
            <w:tcBorders>
              <w:top w:val="nil"/>
              <w:left w:val="nil"/>
              <w:bottom w:val="nil"/>
              <w:right w:val="nil"/>
            </w:tcBorders>
            <w:shd w:val="clear" w:color="auto" w:fill="auto"/>
            <w:noWrap/>
            <w:vAlign w:val="center"/>
            <w:hideMark/>
          </w:tcPr>
          <w:p w:rsidR="000D6D11" w:rsidRPr="00AD186C" w:rsidRDefault="000D6D11" w:rsidP="00AD186C">
            <w:pPr>
              <w:spacing w:before="20" w:after="20"/>
              <w:jc w:val="left"/>
              <w:rPr>
                <w:rFonts w:eastAsia="Times New Roman" w:cs="Times New Roman"/>
                <w:color w:val="000000"/>
                <w:sz w:val="20"/>
                <w:szCs w:val="20"/>
                <w:lang w:eastAsia="cs-CZ"/>
              </w:rPr>
            </w:pPr>
            <w:r w:rsidRPr="00AD186C">
              <w:rPr>
                <w:rFonts w:eastAsia="Times New Roman" w:cs="Times New Roman"/>
                <w:color w:val="000000"/>
                <w:sz w:val="20"/>
                <w:szCs w:val="20"/>
                <w:lang w:eastAsia="cs-CZ"/>
              </w:rPr>
              <w:t>Akademie, o.p.s.</w:t>
            </w:r>
          </w:p>
        </w:tc>
        <w:tc>
          <w:tcPr>
            <w:tcW w:w="1171" w:type="dxa"/>
            <w:tcBorders>
              <w:top w:val="nil"/>
              <w:left w:val="nil"/>
              <w:bottom w:val="nil"/>
              <w:right w:val="nil"/>
            </w:tcBorders>
            <w:shd w:val="clear" w:color="auto" w:fill="auto"/>
            <w:noWrap/>
            <w:vAlign w:val="center"/>
            <w:hideMark/>
          </w:tcPr>
          <w:p w:rsidR="000D6D11" w:rsidRPr="00AD186C" w:rsidRDefault="000D6D11" w:rsidP="00AD186C">
            <w:pPr>
              <w:spacing w:before="20" w:after="20"/>
              <w:ind w:right="211"/>
              <w:jc w:val="right"/>
              <w:rPr>
                <w:rFonts w:eastAsia="Times New Roman" w:cs="Times New Roman"/>
                <w:color w:val="000000"/>
                <w:sz w:val="20"/>
                <w:szCs w:val="20"/>
                <w:lang w:eastAsia="cs-CZ"/>
              </w:rPr>
            </w:pPr>
            <w:r w:rsidRPr="00AD186C">
              <w:rPr>
                <w:rFonts w:eastAsia="Times New Roman" w:cs="Times New Roman"/>
                <w:color w:val="000000"/>
                <w:sz w:val="20"/>
                <w:szCs w:val="20"/>
                <w:lang w:eastAsia="cs-CZ"/>
              </w:rPr>
              <w:t>9</w:t>
            </w:r>
          </w:p>
        </w:tc>
      </w:tr>
      <w:tr w:rsidR="000D6D11" w:rsidRPr="00AD186C" w:rsidTr="00AD186C">
        <w:trPr>
          <w:trHeight w:val="240"/>
          <w:jc w:val="center"/>
        </w:trPr>
        <w:tc>
          <w:tcPr>
            <w:tcW w:w="6309" w:type="dxa"/>
            <w:tcBorders>
              <w:top w:val="nil"/>
              <w:left w:val="nil"/>
              <w:bottom w:val="nil"/>
              <w:right w:val="nil"/>
            </w:tcBorders>
            <w:shd w:val="clear" w:color="auto" w:fill="auto"/>
            <w:noWrap/>
            <w:vAlign w:val="center"/>
            <w:hideMark/>
          </w:tcPr>
          <w:p w:rsidR="000D6D11" w:rsidRPr="00AD186C" w:rsidRDefault="000D6D11" w:rsidP="00AD186C">
            <w:pPr>
              <w:spacing w:before="20" w:after="20"/>
              <w:jc w:val="left"/>
              <w:rPr>
                <w:rFonts w:eastAsia="Times New Roman" w:cs="Times New Roman"/>
                <w:color w:val="000000"/>
                <w:sz w:val="20"/>
                <w:szCs w:val="20"/>
                <w:lang w:eastAsia="cs-CZ"/>
              </w:rPr>
            </w:pPr>
            <w:r w:rsidRPr="00AD186C">
              <w:rPr>
                <w:rFonts w:eastAsia="Times New Roman" w:cs="Times New Roman"/>
                <w:color w:val="000000"/>
                <w:sz w:val="20"/>
                <w:szCs w:val="20"/>
                <w:lang w:eastAsia="cs-CZ"/>
              </w:rPr>
              <w:t>Národní ústav duševního zdraví</w:t>
            </w:r>
          </w:p>
        </w:tc>
        <w:tc>
          <w:tcPr>
            <w:tcW w:w="1171" w:type="dxa"/>
            <w:tcBorders>
              <w:top w:val="nil"/>
              <w:left w:val="nil"/>
              <w:bottom w:val="nil"/>
              <w:right w:val="nil"/>
            </w:tcBorders>
            <w:shd w:val="clear" w:color="auto" w:fill="auto"/>
            <w:noWrap/>
            <w:vAlign w:val="center"/>
            <w:hideMark/>
          </w:tcPr>
          <w:p w:rsidR="000D6D11" w:rsidRPr="00AD186C" w:rsidRDefault="000D6D11" w:rsidP="00AD186C">
            <w:pPr>
              <w:spacing w:before="20" w:after="20"/>
              <w:ind w:right="211"/>
              <w:jc w:val="right"/>
              <w:rPr>
                <w:rFonts w:eastAsia="Times New Roman" w:cs="Times New Roman"/>
                <w:color w:val="000000"/>
                <w:sz w:val="20"/>
                <w:szCs w:val="20"/>
                <w:lang w:eastAsia="cs-CZ"/>
              </w:rPr>
            </w:pPr>
            <w:r w:rsidRPr="00AD186C">
              <w:rPr>
                <w:rFonts w:eastAsia="Times New Roman" w:cs="Times New Roman"/>
                <w:color w:val="000000"/>
                <w:sz w:val="20"/>
                <w:szCs w:val="20"/>
                <w:lang w:eastAsia="cs-CZ"/>
              </w:rPr>
              <w:t>8</w:t>
            </w:r>
          </w:p>
        </w:tc>
      </w:tr>
      <w:tr w:rsidR="000D6D11" w:rsidRPr="00AD186C" w:rsidTr="00AD186C">
        <w:trPr>
          <w:trHeight w:val="240"/>
          <w:jc w:val="center"/>
        </w:trPr>
        <w:tc>
          <w:tcPr>
            <w:tcW w:w="6309" w:type="dxa"/>
            <w:tcBorders>
              <w:top w:val="nil"/>
              <w:left w:val="nil"/>
              <w:bottom w:val="nil"/>
              <w:right w:val="nil"/>
            </w:tcBorders>
            <w:shd w:val="clear" w:color="auto" w:fill="auto"/>
            <w:noWrap/>
            <w:vAlign w:val="center"/>
            <w:hideMark/>
          </w:tcPr>
          <w:p w:rsidR="000D6D11" w:rsidRPr="00AD186C" w:rsidRDefault="000D6D11" w:rsidP="002C6A11">
            <w:pPr>
              <w:spacing w:before="20" w:after="20"/>
              <w:jc w:val="left"/>
              <w:rPr>
                <w:rFonts w:eastAsia="Times New Roman" w:cs="Times New Roman"/>
                <w:color w:val="000000"/>
                <w:sz w:val="20"/>
                <w:szCs w:val="20"/>
                <w:lang w:eastAsia="cs-CZ"/>
              </w:rPr>
            </w:pPr>
            <w:r w:rsidRPr="00AD186C">
              <w:rPr>
                <w:rFonts w:eastAsia="Times New Roman" w:cs="Times New Roman"/>
                <w:color w:val="000000"/>
                <w:sz w:val="20"/>
                <w:szCs w:val="20"/>
                <w:lang w:eastAsia="cs-CZ"/>
              </w:rPr>
              <w:t>Vysoká škola finanční a správní,</w:t>
            </w:r>
            <w:r w:rsidR="002C6A11">
              <w:rPr>
                <w:rFonts w:eastAsia="Times New Roman" w:cs="Times New Roman"/>
                <w:color w:val="000000"/>
                <w:sz w:val="20"/>
                <w:szCs w:val="20"/>
                <w:lang w:eastAsia="cs-CZ"/>
              </w:rPr>
              <w:t xml:space="preserve"> </w:t>
            </w:r>
            <w:r w:rsidRPr="00AD186C">
              <w:rPr>
                <w:rFonts w:eastAsia="Times New Roman" w:cs="Times New Roman"/>
                <w:color w:val="000000"/>
                <w:sz w:val="20"/>
                <w:szCs w:val="20"/>
                <w:lang w:eastAsia="cs-CZ"/>
              </w:rPr>
              <w:t>z.ú.</w:t>
            </w:r>
          </w:p>
        </w:tc>
        <w:tc>
          <w:tcPr>
            <w:tcW w:w="1171" w:type="dxa"/>
            <w:tcBorders>
              <w:top w:val="nil"/>
              <w:left w:val="nil"/>
              <w:bottom w:val="nil"/>
              <w:right w:val="nil"/>
            </w:tcBorders>
            <w:shd w:val="clear" w:color="auto" w:fill="auto"/>
            <w:noWrap/>
            <w:vAlign w:val="center"/>
            <w:hideMark/>
          </w:tcPr>
          <w:p w:rsidR="000D6D11" w:rsidRPr="00AD186C" w:rsidRDefault="000D6D11" w:rsidP="00AD186C">
            <w:pPr>
              <w:spacing w:before="20" w:after="20"/>
              <w:ind w:right="211"/>
              <w:jc w:val="right"/>
              <w:rPr>
                <w:rFonts w:eastAsia="Times New Roman" w:cs="Times New Roman"/>
                <w:color w:val="000000"/>
                <w:sz w:val="20"/>
                <w:szCs w:val="20"/>
                <w:lang w:eastAsia="cs-CZ"/>
              </w:rPr>
            </w:pPr>
            <w:r w:rsidRPr="00AD186C">
              <w:rPr>
                <w:rFonts w:eastAsia="Times New Roman" w:cs="Times New Roman"/>
                <w:color w:val="000000"/>
                <w:sz w:val="20"/>
                <w:szCs w:val="20"/>
                <w:lang w:eastAsia="cs-CZ"/>
              </w:rPr>
              <w:t>8</w:t>
            </w:r>
          </w:p>
        </w:tc>
      </w:tr>
      <w:tr w:rsidR="000D6D11" w:rsidRPr="00AD186C" w:rsidTr="00AD186C">
        <w:trPr>
          <w:trHeight w:val="240"/>
          <w:jc w:val="center"/>
        </w:trPr>
        <w:tc>
          <w:tcPr>
            <w:tcW w:w="6309" w:type="dxa"/>
            <w:tcBorders>
              <w:top w:val="nil"/>
              <w:left w:val="nil"/>
              <w:bottom w:val="nil"/>
              <w:right w:val="nil"/>
            </w:tcBorders>
            <w:shd w:val="clear" w:color="auto" w:fill="auto"/>
            <w:noWrap/>
            <w:vAlign w:val="center"/>
            <w:hideMark/>
          </w:tcPr>
          <w:p w:rsidR="000D6D11" w:rsidRPr="00AD186C" w:rsidRDefault="000D6D11" w:rsidP="00AD186C">
            <w:pPr>
              <w:spacing w:before="20" w:after="20"/>
              <w:jc w:val="left"/>
              <w:rPr>
                <w:rFonts w:eastAsia="Times New Roman" w:cs="Times New Roman"/>
                <w:color w:val="000000"/>
                <w:sz w:val="20"/>
                <w:szCs w:val="20"/>
                <w:lang w:eastAsia="cs-CZ"/>
              </w:rPr>
            </w:pPr>
            <w:r w:rsidRPr="00AD186C">
              <w:rPr>
                <w:rFonts w:eastAsia="Times New Roman" w:cs="Times New Roman"/>
                <w:color w:val="000000"/>
                <w:sz w:val="20"/>
                <w:szCs w:val="20"/>
                <w:lang w:eastAsia="cs-CZ"/>
              </w:rPr>
              <w:t>ANAKAN s.r.o.</w:t>
            </w:r>
          </w:p>
        </w:tc>
        <w:tc>
          <w:tcPr>
            <w:tcW w:w="1171" w:type="dxa"/>
            <w:tcBorders>
              <w:top w:val="nil"/>
              <w:left w:val="nil"/>
              <w:bottom w:val="nil"/>
              <w:right w:val="nil"/>
            </w:tcBorders>
            <w:shd w:val="clear" w:color="auto" w:fill="auto"/>
            <w:noWrap/>
            <w:vAlign w:val="center"/>
            <w:hideMark/>
          </w:tcPr>
          <w:p w:rsidR="000D6D11" w:rsidRPr="00AD186C" w:rsidRDefault="000D6D11" w:rsidP="00AD186C">
            <w:pPr>
              <w:spacing w:before="20" w:after="20"/>
              <w:ind w:right="211"/>
              <w:jc w:val="right"/>
              <w:rPr>
                <w:rFonts w:eastAsia="Times New Roman" w:cs="Times New Roman"/>
                <w:color w:val="000000"/>
                <w:sz w:val="20"/>
                <w:szCs w:val="20"/>
                <w:lang w:eastAsia="cs-CZ"/>
              </w:rPr>
            </w:pPr>
            <w:r w:rsidRPr="00AD186C">
              <w:rPr>
                <w:rFonts w:eastAsia="Times New Roman" w:cs="Times New Roman"/>
                <w:color w:val="000000"/>
                <w:sz w:val="20"/>
                <w:szCs w:val="20"/>
                <w:lang w:eastAsia="cs-CZ"/>
              </w:rPr>
              <w:t>8</w:t>
            </w:r>
          </w:p>
        </w:tc>
      </w:tr>
      <w:tr w:rsidR="000D6D11" w:rsidRPr="00AD186C" w:rsidTr="00AD186C">
        <w:trPr>
          <w:trHeight w:val="240"/>
          <w:jc w:val="center"/>
        </w:trPr>
        <w:tc>
          <w:tcPr>
            <w:tcW w:w="6309" w:type="dxa"/>
            <w:tcBorders>
              <w:top w:val="nil"/>
              <w:left w:val="nil"/>
              <w:bottom w:val="single" w:sz="4" w:space="0" w:color="auto"/>
              <w:right w:val="nil"/>
            </w:tcBorders>
            <w:shd w:val="clear" w:color="auto" w:fill="auto"/>
            <w:noWrap/>
            <w:vAlign w:val="center"/>
            <w:hideMark/>
          </w:tcPr>
          <w:p w:rsidR="000D6D11" w:rsidRPr="00AD186C" w:rsidRDefault="000D6D11" w:rsidP="00AD186C">
            <w:pPr>
              <w:spacing w:before="20" w:after="20"/>
              <w:jc w:val="left"/>
              <w:rPr>
                <w:rFonts w:eastAsia="Times New Roman" w:cs="Times New Roman"/>
                <w:color w:val="000000"/>
                <w:sz w:val="20"/>
                <w:szCs w:val="20"/>
                <w:lang w:eastAsia="cs-CZ"/>
              </w:rPr>
            </w:pPr>
            <w:r w:rsidRPr="00AD186C">
              <w:rPr>
                <w:rFonts w:eastAsia="Times New Roman" w:cs="Times New Roman"/>
                <w:color w:val="000000"/>
                <w:sz w:val="20"/>
                <w:szCs w:val="20"/>
                <w:lang w:eastAsia="cs-CZ"/>
              </w:rPr>
              <w:t>ORITEST spol. s r.o.</w:t>
            </w:r>
          </w:p>
        </w:tc>
        <w:tc>
          <w:tcPr>
            <w:tcW w:w="1171" w:type="dxa"/>
            <w:tcBorders>
              <w:top w:val="nil"/>
              <w:left w:val="nil"/>
              <w:bottom w:val="single" w:sz="4" w:space="0" w:color="auto"/>
              <w:right w:val="nil"/>
            </w:tcBorders>
            <w:shd w:val="clear" w:color="auto" w:fill="auto"/>
            <w:noWrap/>
            <w:vAlign w:val="center"/>
            <w:hideMark/>
          </w:tcPr>
          <w:p w:rsidR="000D6D11" w:rsidRPr="00AD186C" w:rsidRDefault="000D6D11" w:rsidP="00AD186C">
            <w:pPr>
              <w:spacing w:before="20" w:after="20"/>
              <w:ind w:right="211"/>
              <w:jc w:val="right"/>
              <w:rPr>
                <w:rFonts w:eastAsia="Times New Roman" w:cs="Times New Roman"/>
                <w:color w:val="000000"/>
                <w:sz w:val="20"/>
                <w:szCs w:val="20"/>
                <w:lang w:eastAsia="cs-CZ"/>
              </w:rPr>
            </w:pPr>
            <w:r w:rsidRPr="00AD186C">
              <w:rPr>
                <w:rFonts w:eastAsia="Times New Roman" w:cs="Times New Roman"/>
                <w:color w:val="000000"/>
                <w:sz w:val="20"/>
                <w:szCs w:val="20"/>
                <w:lang w:eastAsia="cs-CZ"/>
              </w:rPr>
              <w:t>8</w:t>
            </w:r>
          </w:p>
        </w:tc>
      </w:tr>
    </w:tbl>
    <w:p w:rsidR="000D6D11" w:rsidRPr="00C84F89" w:rsidRDefault="000D6D11" w:rsidP="002C6A11">
      <w:pPr>
        <w:spacing w:after="0"/>
        <w:rPr>
          <w:rFonts w:ascii="Calibri" w:eastAsia="Times New Roman" w:hAnsi="Calibri" w:cs="Times New Roman"/>
          <w:i/>
          <w:iCs/>
          <w:color w:val="000000"/>
          <w:sz w:val="16"/>
          <w:szCs w:val="16"/>
          <w:lang w:eastAsia="cs-CZ"/>
        </w:rPr>
      </w:pPr>
      <w:r w:rsidRPr="00C84F89">
        <w:rPr>
          <w:rFonts w:ascii="Calibri" w:eastAsia="Times New Roman" w:hAnsi="Calibri" w:cs="Times New Roman"/>
          <w:i/>
          <w:iCs/>
          <w:color w:val="000000"/>
          <w:sz w:val="16"/>
          <w:szCs w:val="16"/>
          <w:lang w:eastAsia="cs-CZ"/>
        </w:rPr>
        <w:t>Pozn.: Počet výstupů je stanoven celkovou metodou</w:t>
      </w:r>
      <w:r w:rsidR="002C6A11">
        <w:rPr>
          <w:rFonts w:ascii="Calibri" w:eastAsia="Times New Roman" w:hAnsi="Calibri" w:cs="Times New Roman"/>
          <w:i/>
          <w:iCs/>
          <w:color w:val="000000"/>
          <w:sz w:val="16"/>
          <w:szCs w:val="16"/>
          <w:lang w:eastAsia="cs-CZ"/>
        </w:rPr>
        <w:t>,</w:t>
      </w:r>
      <w:r w:rsidRPr="00C84F89">
        <w:rPr>
          <w:rFonts w:ascii="Calibri" w:eastAsia="Times New Roman" w:hAnsi="Calibri" w:cs="Times New Roman"/>
          <w:i/>
          <w:iCs/>
          <w:color w:val="000000"/>
          <w:sz w:val="16"/>
          <w:szCs w:val="16"/>
          <w:lang w:eastAsia="cs-CZ"/>
        </w:rPr>
        <w:t xml:space="preserve"> tj. výstup je započten jako</w:t>
      </w:r>
      <w:r w:rsidR="00CE23C3">
        <w:rPr>
          <w:rFonts w:ascii="Calibri" w:eastAsia="Times New Roman" w:hAnsi="Calibri" w:cs="Times New Roman"/>
          <w:i/>
          <w:iCs/>
          <w:color w:val="000000"/>
          <w:sz w:val="16"/>
          <w:szCs w:val="16"/>
          <w:lang w:eastAsia="cs-CZ"/>
        </w:rPr>
        <w:t xml:space="preserve"> celek</w:t>
      </w:r>
      <w:r w:rsidRPr="00C84F89">
        <w:rPr>
          <w:rFonts w:ascii="Calibri" w:eastAsia="Times New Roman" w:hAnsi="Calibri" w:cs="Times New Roman"/>
          <w:i/>
          <w:iCs/>
          <w:color w:val="000000"/>
          <w:sz w:val="16"/>
          <w:szCs w:val="16"/>
          <w:lang w:eastAsia="cs-CZ"/>
        </w:rPr>
        <w:t xml:space="preserve"> každé ze spoluautorských institucí.</w:t>
      </w:r>
    </w:p>
    <w:p w:rsidR="000D6D11" w:rsidRDefault="000D6D11" w:rsidP="000D6D11">
      <w:pPr>
        <w:spacing w:before="0" w:after="0"/>
        <w:rPr>
          <w:rFonts w:ascii="Calibri" w:eastAsia="Times New Roman" w:hAnsi="Calibri" w:cs="Times New Roman"/>
          <w:i/>
          <w:iCs/>
          <w:color w:val="000000"/>
          <w:sz w:val="16"/>
          <w:szCs w:val="16"/>
          <w:lang w:eastAsia="cs-CZ"/>
        </w:rPr>
      </w:pPr>
      <w:r w:rsidRPr="00C84F89">
        <w:rPr>
          <w:rFonts w:ascii="Calibri" w:eastAsia="Times New Roman" w:hAnsi="Calibri" w:cs="Times New Roman"/>
          <w:i/>
          <w:iCs/>
          <w:color w:val="000000"/>
          <w:sz w:val="16"/>
          <w:szCs w:val="16"/>
          <w:lang w:eastAsia="cs-CZ"/>
        </w:rPr>
        <w:t xml:space="preserve">Publikační výstupy jsou </w:t>
      </w:r>
      <w:r w:rsidR="00CE23C3">
        <w:rPr>
          <w:rFonts w:ascii="Calibri" w:eastAsia="Times New Roman" w:hAnsi="Calibri" w:cs="Times New Roman"/>
          <w:i/>
          <w:iCs/>
          <w:color w:val="000000"/>
          <w:sz w:val="16"/>
          <w:szCs w:val="16"/>
          <w:lang w:eastAsia="cs-CZ"/>
        </w:rPr>
        <w:t xml:space="preserve">výsledky </w:t>
      </w:r>
      <w:r w:rsidRPr="00C84F89">
        <w:rPr>
          <w:rFonts w:ascii="Calibri" w:eastAsia="Times New Roman" w:hAnsi="Calibri" w:cs="Times New Roman"/>
          <w:i/>
          <w:iCs/>
          <w:color w:val="000000"/>
          <w:sz w:val="16"/>
          <w:szCs w:val="16"/>
          <w:lang w:eastAsia="cs-CZ"/>
        </w:rPr>
        <w:t>typ</w:t>
      </w:r>
      <w:r w:rsidR="00CE23C3">
        <w:rPr>
          <w:rFonts w:ascii="Calibri" w:eastAsia="Times New Roman" w:hAnsi="Calibri" w:cs="Times New Roman"/>
          <w:i/>
          <w:iCs/>
          <w:color w:val="000000"/>
          <w:sz w:val="16"/>
          <w:szCs w:val="16"/>
          <w:lang w:eastAsia="cs-CZ"/>
        </w:rPr>
        <w:t>u</w:t>
      </w:r>
      <w:r w:rsidRPr="00C84F89">
        <w:rPr>
          <w:rFonts w:ascii="Calibri" w:eastAsia="Times New Roman" w:hAnsi="Calibri" w:cs="Times New Roman"/>
          <w:i/>
          <w:iCs/>
          <w:color w:val="000000"/>
          <w:sz w:val="16"/>
          <w:szCs w:val="16"/>
          <w:lang w:eastAsia="cs-CZ"/>
        </w:rPr>
        <w:t xml:space="preserve"> J, D, B, C a V</w:t>
      </w:r>
    </w:p>
    <w:p w:rsidR="00055777" w:rsidRPr="00C84F89" w:rsidRDefault="00055777" w:rsidP="000D6D11">
      <w:pPr>
        <w:spacing w:before="0" w:after="0"/>
        <w:rPr>
          <w:rFonts w:ascii="Calibri" w:eastAsia="Times New Roman" w:hAnsi="Calibri" w:cs="Times New Roman"/>
          <w:i/>
          <w:iCs/>
          <w:color w:val="000000"/>
          <w:sz w:val="16"/>
          <w:szCs w:val="16"/>
          <w:lang w:eastAsia="cs-CZ"/>
        </w:rPr>
      </w:pPr>
    </w:p>
    <w:p w:rsidR="00585039" w:rsidRDefault="00380A89" w:rsidP="000D6D11">
      <w:r>
        <w:t>Detailnější p</w:t>
      </w:r>
      <w:r w:rsidR="00585039">
        <w:t>řehled p</w:t>
      </w:r>
      <w:r w:rsidR="000D6D11" w:rsidRPr="00C84F89">
        <w:t>ublikační</w:t>
      </w:r>
      <w:r w:rsidR="00585039">
        <w:t>ch</w:t>
      </w:r>
      <w:r w:rsidR="000D6D11" w:rsidRPr="00C84F89">
        <w:t xml:space="preserve"> výstup</w:t>
      </w:r>
      <w:r w:rsidR="00585039">
        <w:t>ů</w:t>
      </w:r>
      <w:r w:rsidR="000D6D11" w:rsidRPr="00C84F89">
        <w:t xml:space="preserve"> projektů </w:t>
      </w:r>
      <w:r w:rsidR="00D915FD">
        <w:t>BV</w:t>
      </w:r>
      <w:r w:rsidR="000D6D11" w:rsidRPr="00C84F89">
        <w:t xml:space="preserve"> institucí</w:t>
      </w:r>
      <w:r w:rsidR="00D915FD">
        <w:t xml:space="preserve"> spadajících do rozpočtové kapitoly MV je uveden v </w:t>
      </w:r>
      <w:r w:rsidR="00585039">
        <w:fldChar w:fldCharType="begin"/>
      </w:r>
      <w:r w:rsidR="00585039">
        <w:instrText xml:space="preserve"> REF  _Ref450503206 \* Lower \h  \* MERGEFORMAT </w:instrText>
      </w:r>
      <w:r w:rsidR="00585039">
        <w:fldChar w:fldCharType="separate"/>
      </w:r>
      <w:r w:rsidR="003F08E5">
        <w:t xml:space="preserve">tab. </w:t>
      </w:r>
      <w:r w:rsidR="003F08E5">
        <w:rPr>
          <w:noProof/>
        </w:rPr>
        <w:t>23</w:t>
      </w:r>
      <w:r w:rsidR="00585039">
        <w:fldChar w:fldCharType="end"/>
      </w:r>
      <w:r w:rsidR="00D915FD">
        <w:t>.</w:t>
      </w:r>
      <w:r w:rsidR="000D6D11" w:rsidRPr="00C84F89">
        <w:t xml:space="preserve"> </w:t>
      </w:r>
      <w:r w:rsidR="00585039">
        <w:t>N</w:t>
      </w:r>
      <w:r w:rsidR="000D6D11" w:rsidRPr="00C84F89">
        <w:t xml:space="preserve">ejvíce </w:t>
      </w:r>
      <w:r w:rsidR="00585039">
        <w:t>publikačních výstupů</w:t>
      </w:r>
      <w:r w:rsidR="000D6D11" w:rsidRPr="00C84F89">
        <w:t xml:space="preserve"> vzniklo v Institutu ochrany obyvatelstva (GŘ HZS) a ve Státním ústav</w:t>
      </w:r>
      <w:r w:rsidR="002C6A11">
        <w:t>u</w:t>
      </w:r>
      <w:r w:rsidR="000D6D11" w:rsidRPr="00C84F89">
        <w:t xml:space="preserve"> jaderné, chemické a biologické ochrany</w:t>
      </w:r>
      <w:r>
        <w:t xml:space="preserve"> (SÚJCHBO)</w:t>
      </w:r>
      <w:r w:rsidR="000D6D11" w:rsidRPr="00C84F89">
        <w:t xml:space="preserve">. </w:t>
      </w:r>
      <w:r w:rsidR="00585039">
        <w:t>Ve výstupech však dominují články v neimpaktovaných periodikách nebo ve sbornících z konferencí. V Institutu ochrany obyvatelstva vznik</w:t>
      </w:r>
      <w:r>
        <w:t>l</w:t>
      </w:r>
      <w:r w:rsidR="00585039">
        <w:t xml:space="preserve"> také poměrně vysoký počet zpráv obsahujících utajované informace</w:t>
      </w:r>
      <w:r w:rsidR="008E5456">
        <w:rPr>
          <w:rStyle w:val="Znakapoznpodarou"/>
        </w:rPr>
        <w:footnoteReference w:id="23"/>
      </w:r>
      <w:r w:rsidR="00585039">
        <w:t>.</w:t>
      </w:r>
    </w:p>
    <w:p w:rsidR="000D6D11" w:rsidRPr="00C84F89" w:rsidRDefault="000D6D11" w:rsidP="000D6D11">
      <w:r w:rsidRPr="00C84F89">
        <w:t xml:space="preserve">Nejvyšší zastoupení (i nejvyšší absolutní počet) impaktovaných časopiseckých publikací vykazuje Státní ústav radiační ochrany (68 %) a Kriminalistický ústav (46 %). </w:t>
      </w:r>
      <w:r w:rsidR="00CA53D1">
        <w:t>M</w:t>
      </w:r>
      <w:r w:rsidRPr="00C84F89">
        <w:t xml:space="preserve">ezinárodní </w:t>
      </w:r>
      <w:r w:rsidRPr="002B0120">
        <w:t xml:space="preserve">ohlas výzkumu je </w:t>
      </w:r>
      <w:r w:rsidR="00CA53D1" w:rsidRPr="002B0120">
        <w:t xml:space="preserve">však </w:t>
      </w:r>
      <w:r w:rsidRPr="002B0120">
        <w:t>výrazně nižší. Přehled oborově roztříděných publikačních výstupů těchto instituc</w:t>
      </w:r>
      <w:r w:rsidR="00380A89" w:rsidRPr="002B0120">
        <w:t>í</w:t>
      </w:r>
      <w:r w:rsidRPr="002B0120">
        <w:t xml:space="preserve"> je uveden v příloze </w:t>
      </w:r>
      <w:r w:rsidRPr="002B0120">
        <w:rPr>
          <w:i/>
        </w:rPr>
        <w:t>P</w:t>
      </w:r>
      <w:r w:rsidR="002B0120" w:rsidRPr="002B0120">
        <w:rPr>
          <w:i/>
        </w:rPr>
        <w:t> </w:t>
      </w:r>
      <w:r w:rsidR="00B6110B" w:rsidRPr="002B0120">
        <w:rPr>
          <w:i/>
        </w:rPr>
        <w:t>3</w:t>
      </w:r>
      <w:r w:rsidR="00B6110B">
        <w:rPr>
          <w:i/>
        </w:rPr>
        <w:t>6</w:t>
      </w:r>
      <w:r w:rsidRPr="002B0120">
        <w:t xml:space="preserve">.  Oborová struktura výstupů nepublikačního (aplikovaného) charakteru je shrnuta v příloze </w:t>
      </w:r>
      <w:r w:rsidRPr="002B0120">
        <w:rPr>
          <w:i/>
        </w:rPr>
        <w:t xml:space="preserve">P </w:t>
      </w:r>
      <w:r w:rsidR="001450A2" w:rsidRPr="002B0120">
        <w:rPr>
          <w:i/>
        </w:rPr>
        <w:t>3</w:t>
      </w:r>
      <w:r w:rsidR="00B6110B">
        <w:rPr>
          <w:i/>
        </w:rPr>
        <w:t>7</w:t>
      </w:r>
      <w:r w:rsidRPr="002B0120">
        <w:t>.</w:t>
      </w:r>
    </w:p>
    <w:p w:rsidR="00585039" w:rsidRDefault="00585039" w:rsidP="00585039">
      <w:pPr>
        <w:pStyle w:val="Titulek"/>
        <w:keepNext/>
        <w:spacing w:after="120"/>
      </w:pPr>
      <w:bookmarkStart w:id="92" w:name="_Ref450503206"/>
      <w:r>
        <w:t xml:space="preserve">Tab. </w:t>
      </w:r>
      <w:r w:rsidR="00990E2D">
        <w:fldChar w:fldCharType="begin"/>
      </w:r>
      <w:r w:rsidR="00990E2D">
        <w:instrText xml:space="preserve"> SEQ Tab. \* ARABIC </w:instrText>
      </w:r>
      <w:r w:rsidR="00990E2D">
        <w:fldChar w:fldCharType="separate"/>
      </w:r>
      <w:r w:rsidR="003F08E5">
        <w:rPr>
          <w:noProof/>
        </w:rPr>
        <w:t>23</w:t>
      </w:r>
      <w:r w:rsidR="00990E2D">
        <w:rPr>
          <w:noProof/>
        </w:rPr>
        <w:fldChar w:fldCharType="end"/>
      </w:r>
      <w:bookmarkEnd w:id="92"/>
      <w:r>
        <w:tab/>
      </w:r>
      <w:r w:rsidRPr="00585039">
        <w:t xml:space="preserve">Publikační výstupy vybraných institucí provádějících  bezpečnostního výzkumu registrované v RIV v letech 2010 </w:t>
      </w:r>
      <w:r>
        <w:t>–</w:t>
      </w:r>
      <w:r w:rsidRPr="00585039">
        <w:t xml:space="preserve"> 2014</w:t>
      </w:r>
      <w:r>
        <w:t>. Zdroj: IS VaVaI</w:t>
      </w:r>
    </w:p>
    <w:tbl>
      <w:tblPr>
        <w:tblpPr w:leftFromText="141" w:rightFromText="141" w:vertAnchor="text" w:horzAnchor="margin" w:tblpXSpec="center" w:tblpY="304"/>
        <w:tblW w:w="8711" w:type="dxa"/>
        <w:tblCellMar>
          <w:left w:w="70" w:type="dxa"/>
          <w:right w:w="70" w:type="dxa"/>
        </w:tblCellMar>
        <w:tblLook w:val="04A0" w:firstRow="1" w:lastRow="0" w:firstColumn="1" w:lastColumn="0" w:noHBand="0" w:noVBand="1"/>
      </w:tblPr>
      <w:tblGrid>
        <w:gridCol w:w="1204"/>
        <w:gridCol w:w="2410"/>
        <w:gridCol w:w="708"/>
        <w:gridCol w:w="3828"/>
        <w:gridCol w:w="561"/>
      </w:tblGrid>
      <w:tr w:rsidR="000D6D11" w:rsidRPr="002C6A11" w:rsidTr="00585039">
        <w:trPr>
          <w:trHeight w:val="244"/>
        </w:trPr>
        <w:tc>
          <w:tcPr>
            <w:tcW w:w="1204"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rsidR="000D6D11" w:rsidRPr="002C6A11" w:rsidRDefault="002C6A11" w:rsidP="00585039">
            <w:pPr>
              <w:keepNext/>
              <w:spacing w:before="0" w:after="0"/>
              <w:jc w:val="left"/>
              <w:rPr>
                <w:rFonts w:eastAsia="Times New Roman" w:cs="Times New Roman"/>
                <w:b/>
                <w:bCs/>
                <w:color w:val="000000"/>
                <w:sz w:val="18"/>
                <w:szCs w:val="18"/>
                <w:lang w:eastAsia="cs-CZ"/>
              </w:rPr>
            </w:pPr>
            <w:r w:rsidRPr="002C6A11">
              <w:rPr>
                <w:rFonts w:eastAsia="Times New Roman" w:cs="Times New Roman"/>
                <w:b/>
                <w:bCs/>
                <w:color w:val="000000"/>
                <w:sz w:val="18"/>
                <w:szCs w:val="18"/>
                <w:lang w:eastAsia="cs-CZ"/>
              </w:rPr>
              <w:t>I</w:t>
            </w:r>
            <w:r w:rsidR="000D6D11" w:rsidRPr="002C6A11">
              <w:rPr>
                <w:rFonts w:eastAsia="Times New Roman" w:cs="Times New Roman"/>
                <w:b/>
                <w:bCs/>
                <w:color w:val="000000"/>
                <w:sz w:val="18"/>
                <w:szCs w:val="18"/>
                <w:lang w:eastAsia="cs-CZ"/>
              </w:rPr>
              <w:t>nstituce</w:t>
            </w:r>
          </w:p>
        </w:tc>
        <w:tc>
          <w:tcPr>
            <w:tcW w:w="2410"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rsidR="000D6D11" w:rsidRPr="002C6A11" w:rsidRDefault="002C6A11" w:rsidP="00585039">
            <w:pPr>
              <w:keepNext/>
              <w:spacing w:before="0" w:after="0"/>
              <w:jc w:val="left"/>
              <w:rPr>
                <w:rFonts w:eastAsia="Times New Roman" w:cs="Times New Roman"/>
                <w:b/>
                <w:bCs/>
                <w:color w:val="000000"/>
                <w:sz w:val="18"/>
                <w:szCs w:val="18"/>
                <w:lang w:eastAsia="cs-CZ"/>
              </w:rPr>
            </w:pPr>
            <w:r w:rsidRPr="002C6A11">
              <w:rPr>
                <w:rFonts w:eastAsia="Times New Roman" w:cs="Times New Roman"/>
                <w:b/>
                <w:bCs/>
                <w:color w:val="000000"/>
                <w:sz w:val="18"/>
                <w:szCs w:val="18"/>
                <w:lang w:eastAsia="cs-CZ"/>
              </w:rPr>
              <w:t>O</w:t>
            </w:r>
            <w:r w:rsidR="000D6D11" w:rsidRPr="002C6A11">
              <w:rPr>
                <w:rFonts w:eastAsia="Times New Roman" w:cs="Times New Roman"/>
                <w:b/>
                <w:bCs/>
                <w:color w:val="000000"/>
                <w:sz w:val="18"/>
                <w:szCs w:val="18"/>
                <w:lang w:eastAsia="cs-CZ"/>
              </w:rPr>
              <w:t>rganizační jednotka</w:t>
            </w:r>
          </w:p>
        </w:tc>
        <w:tc>
          <w:tcPr>
            <w:tcW w:w="708"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rsidR="000D6D11" w:rsidRPr="002C6A11" w:rsidRDefault="002C6A11" w:rsidP="00585039">
            <w:pPr>
              <w:keepNext/>
              <w:spacing w:before="0" w:after="0"/>
              <w:jc w:val="center"/>
              <w:rPr>
                <w:rFonts w:eastAsia="Times New Roman" w:cs="Times New Roman"/>
                <w:b/>
                <w:bCs/>
                <w:color w:val="000000"/>
                <w:sz w:val="18"/>
                <w:szCs w:val="18"/>
                <w:lang w:eastAsia="cs-CZ"/>
              </w:rPr>
            </w:pPr>
            <w:r w:rsidRPr="002C6A11">
              <w:rPr>
                <w:rFonts w:eastAsia="Times New Roman" w:cs="Times New Roman"/>
                <w:b/>
                <w:bCs/>
                <w:color w:val="000000"/>
                <w:sz w:val="18"/>
                <w:szCs w:val="18"/>
                <w:lang w:eastAsia="cs-CZ"/>
              </w:rPr>
              <w:t>K</w:t>
            </w:r>
            <w:r w:rsidR="000D6D11" w:rsidRPr="002C6A11">
              <w:rPr>
                <w:rFonts w:eastAsia="Times New Roman" w:cs="Times New Roman"/>
                <w:b/>
                <w:bCs/>
                <w:color w:val="000000"/>
                <w:sz w:val="18"/>
                <w:szCs w:val="18"/>
                <w:lang w:eastAsia="cs-CZ"/>
              </w:rPr>
              <w:t>ód</w:t>
            </w:r>
          </w:p>
        </w:tc>
        <w:tc>
          <w:tcPr>
            <w:tcW w:w="3828"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rsidR="000D6D11" w:rsidRPr="002C6A11" w:rsidRDefault="002C6A11" w:rsidP="00585039">
            <w:pPr>
              <w:keepNext/>
              <w:spacing w:before="0" w:after="0"/>
              <w:jc w:val="left"/>
              <w:rPr>
                <w:rFonts w:eastAsia="Times New Roman" w:cs="Times New Roman"/>
                <w:b/>
                <w:bCs/>
                <w:color w:val="000000"/>
                <w:sz w:val="18"/>
                <w:szCs w:val="18"/>
                <w:lang w:eastAsia="cs-CZ"/>
              </w:rPr>
            </w:pPr>
            <w:r w:rsidRPr="002C6A11">
              <w:rPr>
                <w:rFonts w:eastAsia="Times New Roman" w:cs="Times New Roman"/>
                <w:b/>
                <w:bCs/>
                <w:color w:val="000000"/>
                <w:sz w:val="18"/>
                <w:szCs w:val="18"/>
                <w:lang w:eastAsia="cs-CZ"/>
              </w:rPr>
              <w:t>D</w:t>
            </w:r>
            <w:r w:rsidR="000D6D11" w:rsidRPr="002C6A11">
              <w:rPr>
                <w:rFonts w:eastAsia="Times New Roman" w:cs="Times New Roman"/>
                <w:b/>
                <w:bCs/>
                <w:color w:val="000000"/>
                <w:sz w:val="18"/>
                <w:szCs w:val="18"/>
                <w:lang w:eastAsia="cs-CZ"/>
              </w:rPr>
              <w:t>ruh výsledku</w:t>
            </w:r>
          </w:p>
        </w:tc>
        <w:tc>
          <w:tcPr>
            <w:tcW w:w="561"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rsidR="000D6D11" w:rsidRPr="002C6A11" w:rsidRDefault="002C6A11" w:rsidP="00585039">
            <w:pPr>
              <w:keepNext/>
              <w:spacing w:before="0" w:after="0"/>
              <w:jc w:val="center"/>
              <w:rPr>
                <w:rFonts w:eastAsia="Times New Roman" w:cs="Times New Roman"/>
                <w:b/>
                <w:bCs/>
                <w:color w:val="000000"/>
                <w:sz w:val="18"/>
                <w:szCs w:val="18"/>
                <w:lang w:eastAsia="cs-CZ"/>
              </w:rPr>
            </w:pPr>
            <w:r w:rsidRPr="002C6A11">
              <w:rPr>
                <w:rFonts w:eastAsia="Times New Roman" w:cs="Times New Roman"/>
                <w:b/>
                <w:bCs/>
                <w:color w:val="000000"/>
                <w:sz w:val="18"/>
                <w:szCs w:val="18"/>
                <w:lang w:eastAsia="cs-CZ"/>
              </w:rPr>
              <w:t>P</w:t>
            </w:r>
            <w:r w:rsidR="000D6D11" w:rsidRPr="002C6A11">
              <w:rPr>
                <w:rFonts w:eastAsia="Times New Roman" w:cs="Times New Roman"/>
                <w:b/>
                <w:bCs/>
                <w:color w:val="000000"/>
                <w:sz w:val="18"/>
                <w:szCs w:val="18"/>
                <w:lang w:eastAsia="cs-CZ"/>
              </w:rPr>
              <w:t>očet</w:t>
            </w:r>
          </w:p>
        </w:tc>
      </w:tr>
      <w:tr w:rsidR="000D6D11" w:rsidRPr="002C6A11" w:rsidTr="00585039">
        <w:trPr>
          <w:trHeight w:val="244"/>
        </w:trPr>
        <w:tc>
          <w:tcPr>
            <w:tcW w:w="1204"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0D6D11" w:rsidRPr="002C6A11" w:rsidRDefault="000D6D11" w:rsidP="00585039">
            <w:pPr>
              <w:keepNext/>
              <w:spacing w:before="0" w:after="0"/>
              <w:jc w:val="left"/>
              <w:rPr>
                <w:rFonts w:eastAsia="Times New Roman" w:cs="Times New Roman"/>
                <w:b/>
                <w:bCs/>
                <w:color w:val="000000"/>
                <w:sz w:val="18"/>
                <w:szCs w:val="18"/>
                <w:lang w:eastAsia="cs-CZ"/>
              </w:rPr>
            </w:pPr>
          </w:p>
        </w:tc>
        <w:tc>
          <w:tcPr>
            <w:tcW w:w="2410"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0D6D11" w:rsidRPr="002C6A11" w:rsidRDefault="000D6D11" w:rsidP="00585039">
            <w:pPr>
              <w:keepNext/>
              <w:spacing w:before="0" w:after="0"/>
              <w:jc w:val="left"/>
              <w:rPr>
                <w:rFonts w:eastAsia="Times New Roman" w:cs="Times New Roman"/>
                <w:b/>
                <w:bCs/>
                <w:color w:val="000000"/>
                <w:sz w:val="18"/>
                <w:szCs w:val="18"/>
                <w:lang w:eastAsia="cs-CZ"/>
              </w:rPr>
            </w:pPr>
          </w:p>
        </w:tc>
        <w:tc>
          <w:tcPr>
            <w:tcW w:w="708"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0D6D11" w:rsidRPr="002C6A11" w:rsidRDefault="000D6D11" w:rsidP="00585039">
            <w:pPr>
              <w:keepNext/>
              <w:spacing w:before="0" w:after="0"/>
              <w:jc w:val="left"/>
              <w:rPr>
                <w:rFonts w:eastAsia="Times New Roman" w:cs="Times New Roman"/>
                <w:b/>
                <w:bCs/>
                <w:color w:val="000000"/>
                <w:sz w:val="18"/>
                <w:szCs w:val="18"/>
                <w:lang w:eastAsia="cs-CZ"/>
              </w:rPr>
            </w:pPr>
          </w:p>
        </w:tc>
        <w:tc>
          <w:tcPr>
            <w:tcW w:w="3828"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0D6D11" w:rsidRPr="002C6A11" w:rsidRDefault="000D6D11" w:rsidP="00585039">
            <w:pPr>
              <w:keepNext/>
              <w:spacing w:before="0" w:after="0"/>
              <w:jc w:val="left"/>
              <w:rPr>
                <w:rFonts w:eastAsia="Times New Roman" w:cs="Times New Roman"/>
                <w:b/>
                <w:bCs/>
                <w:color w:val="000000"/>
                <w:sz w:val="18"/>
                <w:szCs w:val="18"/>
                <w:lang w:eastAsia="cs-CZ"/>
              </w:rPr>
            </w:pPr>
          </w:p>
        </w:tc>
        <w:tc>
          <w:tcPr>
            <w:tcW w:w="561"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0D6D11" w:rsidRPr="002C6A11" w:rsidRDefault="000D6D11" w:rsidP="00585039">
            <w:pPr>
              <w:keepNext/>
              <w:spacing w:before="0" w:after="0"/>
              <w:jc w:val="left"/>
              <w:rPr>
                <w:rFonts w:eastAsia="Times New Roman" w:cs="Times New Roman"/>
                <w:b/>
                <w:bCs/>
                <w:color w:val="000000"/>
                <w:sz w:val="18"/>
                <w:szCs w:val="18"/>
                <w:lang w:eastAsia="cs-CZ"/>
              </w:rPr>
            </w:pPr>
          </w:p>
        </w:tc>
      </w:tr>
      <w:tr w:rsidR="000D6D11" w:rsidRPr="002C6A11" w:rsidTr="00585039">
        <w:trPr>
          <w:trHeight w:val="225"/>
        </w:trPr>
        <w:tc>
          <w:tcPr>
            <w:tcW w:w="1204"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0D6D11" w:rsidRPr="002C6A11" w:rsidRDefault="000D6D11" w:rsidP="00585039">
            <w:pPr>
              <w:keepNext/>
              <w:spacing w:before="0" w:after="0"/>
              <w:jc w:val="center"/>
              <w:rPr>
                <w:rFonts w:eastAsia="Times New Roman" w:cs="Times New Roman"/>
                <w:color w:val="000000"/>
                <w:sz w:val="18"/>
                <w:szCs w:val="18"/>
                <w:lang w:eastAsia="cs-CZ"/>
              </w:rPr>
            </w:pPr>
            <w:r w:rsidRPr="002C6A11">
              <w:rPr>
                <w:rFonts w:eastAsia="Times New Roman" w:cs="Times New Roman"/>
                <w:color w:val="000000"/>
                <w:sz w:val="18"/>
                <w:szCs w:val="18"/>
                <w:lang w:eastAsia="cs-CZ"/>
              </w:rPr>
              <w:t>Ministerstvo vnitra</w:t>
            </w:r>
          </w:p>
        </w:tc>
        <w:tc>
          <w:tcPr>
            <w:tcW w:w="2410"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0D6D11" w:rsidRPr="002C6A11" w:rsidRDefault="000D6D11" w:rsidP="00585039">
            <w:pPr>
              <w:keepNext/>
              <w:spacing w:before="0" w:after="0"/>
              <w:jc w:val="left"/>
              <w:rPr>
                <w:rFonts w:eastAsia="Times New Roman" w:cs="Times New Roman"/>
                <w:color w:val="000000"/>
                <w:sz w:val="18"/>
                <w:szCs w:val="18"/>
                <w:lang w:eastAsia="cs-CZ"/>
              </w:rPr>
            </w:pPr>
            <w:r w:rsidRPr="002C6A11">
              <w:rPr>
                <w:rFonts w:eastAsia="Times New Roman" w:cs="Times New Roman"/>
                <w:color w:val="000000"/>
                <w:sz w:val="18"/>
                <w:szCs w:val="18"/>
                <w:lang w:eastAsia="cs-CZ"/>
              </w:rPr>
              <w:t>Generální ředitelství HZS - Institut ochrany obyvatelstva</w:t>
            </w:r>
          </w:p>
        </w:tc>
        <w:tc>
          <w:tcPr>
            <w:tcW w:w="708" w:type="dxa"/>
            <w:tcBorders>
              <w:top w:val="nil"/>
              <w:left w:val="nil"/>
              <w:bottom w:val="single" w:sz="4" w:space="0" w:color="auto"/>
              <w:right w:val="single" w:sz="4" w:space="0" w:color="auto"/>
            </w:tcBorders>
            <w:shd w:val="clear" w:color="auto" w:fill="auto"/>
            <w:noWrap/>
            <w:vAlign w:val="bottom"/>
            <w:hideMark/>
          </w:tcPr>
          <w:p w:rsidR="000D6D11" w:rsidRPr="002C6A11" w:rsidRDefault="000D6D11" w:rsidP="00585039">
            <w:pPr>
              <w:keepNext/>
              <w:spacing w:before="0" w:after="0"/>
              <w:jc w:val="center"/>
              <w:rPr>
                <w:rFonts w:eastAsia="Times New Roman" w:cs="Times New Roman"/>
                <w:color w:val="000000"/>
                <w:sz w:val="18"/>
                <w:szCs w:val="18"/>
                <w:lang w:eastAsia="cs-CZ"/>
              </w:rPr>
            </w:pPr>
            <w:r w:rsidRPr="002C6A11">
              <w:rPr>
                <w:rFonts w:eastAsia="Times New Roman" w:cs="Times New Roman"/>
                <w:color w:val="000000"/>
                <w:sz w:val="18"/>
                <w:szCs w:val="18"/>
                <w:lang w:eastAsia="cs-CZ"/>
              </w:rPr>
              <w:t>B</w:t>
            </w:r>
          </w:p>
        </w:tc>
        <w:tc>
          <w:tcPr>
            <w:tcW w:w="3828" w:type="dxa"/>
            <w:tcBorders>
              <w:top w:val="nil"/>
              <w:left w:val="nil"/>
              <w:bottom w:val="single" w:sz="4" w:space="0" w:color="auto"/>
              <w:right w:val="single" w:sz="4" w:space="0" w:color="auto"/>
            </w:tcBorders>
            <w:shd w:val="clear" w:color="auto" w:fill="auto"/>
            <w:noWrap/>
            <w:vAlign w:val="bottom"/>
            <w:hideMark/>
          </w:tcPr>
          <w:p w:rsidR="000D6D11" w:rsidRPr="002C6A11" w:rsidRDefault="000D6D11" w:rsidP="00585039">
            <w:pPr>
              <w:keepNext/>
              <w:spacing w:before="0" w:after="0"/>
              <w:jc w:val="left"/>
              <w:rPr>
                <w:rFonts w:eastAsia="Times New Roman" w:cs="Times New Roman"/>
                <w:color w:val="000000"/>
                <w:sz w:val="18"/>
                <w:szCs w:val="18"/>
                <w:lang w:eastAsia="cs-CZ"/>
              </w:rPr>
            </w:pPr>
            <w:r w:rsidRPr="002C6A11">
              <w:rPr>
                <w:rFonts w:eastAsia="Times New Roman" w:cs="Times New Roman"/>
                <w:color w:val="000000"/>
                <w:sz w:val="18"/>
                <w:szCs w:val="18"/>
                <w:lang w:eastAsia="cs-CZ"/>
              </w:rPr>
              <w:t>Odborná monografie</w:t>
            </w:r>
          </w:p>
        </w:tc>
        <w:tc>
          <w:tcPr>
            <w:tcW w:w="561" w:type="dxa"/>
            <w:tcBorders>
              <w:top w:val="nil"/>
              <w:left w:val="nil"/>
              <w:bottom w:val="single" w:sz="4" w:space="0" w:color="auto"/>
              <w:right w:val="single" w:sz="4" w:space="0" w:color="auto"/>
            </w:tcBorders>
            <w:shd w:val="clear" w:color="auto" w:fill="auto"/>
            <w:noWrap/>
            <w:vAlign w:val="bottom"/>
            <w:hideMark/>
          </w:tcPr>
          <w:p w:rsidR="000D6D11" w:rsidRPr="002C6A11" w:rsidRDefault="000D6D11" w:rsidP="00585039">
            <w:pPr>
              <w:keepNext/>
              <w:spacing w:before="0" w:after="0"/>
              <w:ind w:left="-506" w:right="30"/>
              <w:jc w:val="right"/>
              <w:rPr>
                <w:rFonts w:eastAsia="Times New Roman" w:cs="Times New Roman"/>
                <w:color w:val="000000"/>
                <w:sz w:val="18"/>
                <w:szCs w:val="18"/>
                <w:lang w:eastAsia="cs-CZ"/>
              </w:rPr>
            </w:pPr>
            <w:r w:rsidRPr="002C6A11">
              <w:rPr>
                <w:rFonts w:eastAsia="Times New Roman" w:cs="Times New Roman"/>
                <w:color w:val="000000"/>
                <w:sz w:val="18"/>
                <w:szCs w:val="18"/>
                <w:lang w:eastAsia="cs-CZ"/>
              </w:rPr>
              <w:t>8</w:t>
            </w:r>
          </w:p>
        </w:tc>
      </w:tr>
      <w:tr w:rsidR="000D6D11" w:rsidRPr="002C6A11" w:rsidTr="00585039">
        <w:trPr>
          <w:trHeight w:val="225"/>
        </w:trPr>
        <w:tc>
          <w:tcPr>
            <w:tcW w:w="1204" w:type="dxa"/>
            <w:vMerge/>
            <w:tcBorders>
              <w:top w:val="nil"/>
              <w:left w:val="single" w:sz="4" w:space="0" w:color="auto"/>
              <w:bottom w:val="single" w:sz="4" w:space="0" w:color="000000"/>
              <w:right w:val="single" w:sz="4" w:space="0" w:color="auto"/>
            </w:tcBorders>
            <w:vAlign w:val="center"/>
            <w:hideMark/>
          </w:tcPr>
          <w:p w:rsidR="000D6D11" w:rsidRPr="002C6A11" w:rsidRDefault="000D6D11" w:rsidP="00585039">
            <w:pPr>
              <w:keepNext/>
              <w:spacing w:before="0" w:after="0"/>
              <w:jc w:val="left"/>
              <w:rPr>
                <w:rFonts w:eastAsia="Times New Roman" w:cs="Times New Roman"/>
                <w:color w:val="000000"/>
                <w:sz w:val="18"/>
                <w:szCs w:val="18"/>
                <w:lang w:eastAsia="cs-CZ"/>
              </w:rPr>
            </w:pPr>
          </w:p>
        </w:tc>
        <w:tc>
          <w:tcPr>
            <w:tcW w:w="2410" w:type="dxa"/>
            <w:vMerge/>
            <w:tcBorders>
              <w:top w:val="nil"/>
              <w:left w:val="single" w:sz="4" w:space="0" w:color="auto"/>
              <w:bottom w:val="single" w:sz="4" w:space="0" w:color="000000"/>
              <w:right w:val="single" w:sz="4" w:space="0" w:color="auto"/>
            </w:tcBorders>
            <w:vAlign w:val="center"/>
            <w:hideMark/>
          </w:tcPr>
          <w:p w:rsidR="000D6D11" w:rsidRPr="002C6A11" w:rsidRDefault="000D6D11" w:rsidP="00585039">
            <w:pPr>
              <w:keepNext/>
              <w:spacing w:before="0" w:after="0"/>
              <w:jc w:val="left"/>
              <w:rPr>
                <w:rFonts w:eastAsia="Times New Roman" w:cs="Times New Roman"/>
                <w:color w:val="000000"/>
                <w:sz w:val="18"/>
                <w:szCs w:val="18"/>
                <w:lang w:eastAsia="cs-CZ"/>
              </w:rPr>
            </w:pPr>
          </w:p>
        </w:tc>
        <w:tc>
          <w:tcPr>
            <w:tcW w:w="708" w:type="dxa"/>
            <w:tcBorders>
              <w:top w:val="nil"/>
              <w:left w:val="nil"/>
              <w:bottom w:val="single" w:sz="4" w:space="0" w:color="auto"/>
              <w:right w:val="single" w:sz="4" w:space="0" w:color="auto"/>
            </w:tcBorders>
            <w:shd w:val="clear" w:color="auto" w:fill="auto"/>
            <w:noWrap/>
            <w:vAlign w:val="bottom"/>
            <w:hideMark/>
          </w:tcPr>
          <w:p w:rsidR="000D6D11" w:rsidRPr="002C6A11" w:rsidRDefault="000D6D11" w:rsidP="00585039">
            <w:pPr>
              <w:keepNext/>
              <w:spacing w:before="0" w:after="0"/>
              <w:jc w:val="center"/>
              <w:rPr>
                <w:rFonts w:eastAsia="Times New Roman" w:cs="Times New Roman"/>
                <w:color w:val="000000"/>
                <w:sz w:val="18"/>
                <w:szCs w:val="18"/>
                <w:lang w:eastAsia="cs-CZ"/>
              </w:rPr>
            </w:pPr>
            <w:r w:rsidRPr="002C6A11">
              <w:rPr>
                <w:rFonts w:eastAsia="Times New Roman" w:cs="Times New Roman"/>
                <w:color w:val="000000"/>
                <w:sz w:val="18"/>
                <w:szCs w:val="18"/>
                <w:lang w:eastAsia="cs-CZ"/>
              </w:rPr>
              <w:t>C</w:t>
            </w:r>
          </w:p>
        </w:tc>
        <w:tc>
          <w:tcPr>
            <w:tcW w:w="3828" w:type="dxa"/>
            <w:tcBorders>
              <w:top w:val="nil"/>
              <w:left w:val="nil"/>
              <w:bottom w:val="single" w:sz="4" w:space="0" w:color="auto"/>
              <w:right w:val="single" w:sz="4" w:space="0" w:color="auto"/>
            </w:tcBorders>
            <w:shd w:val="clear" w:color="auto" w:fill="auto"/>
            <w:noWrap/>
            <w:vAlign w:val="bottom"/>
            <w:hideMark/>
          </w:tcPr>
          <w:p w:rsidR="000D6D11" w:rsidRPr="002C6A11" w:rsidRDefault="000D6D11" w:rsidP="00585039">
            <w:pPr>
              <w:keepNext/>
              <w:spacing w:before="0" w:after="0"/>
              <w:jc w:val="left"/>
              <w:rPr>
                <w:rFonts w:eastAsia="Times New Roman" w:cs="Times New Roman"/>
                <w:color w:val="000000"/>
                <w:sz w:val="18"/>
                <w:szCs w:val="18"/>
                <w:lang w:eastAsia="cs-CZ"/>
              </w:rPr>
            </w:pPr>
            <w:r w:rsidRPr="002C6A11">
              <w:rPr>
                <w:rFonts w:eastAsia="Times New Roman" w:cs="Times New Roman"/>
                <w:color w:val="000000"/>
                <w:sz w:val="18"/>
                <w:szCs w:val="18"/>
                <w:lang w:eastAsia="cs-CZ"/>
              </w:rPr>
              <w:t>Kapitola resp. kapitoly v odborné knize</w:t>
            </w:r>
          </w:p>
        </w:tc>
        <w:tc>
          <w:tcPr>
            <w:tcW w:w="561" w:type="dxa"/>
            <w:tcBorders>
              <w:top w:val="nil"/>
              <w:left w:val="nil"/>
              <w:bottom w:val="single" w:sz="4" w:space="0" w:color="auto"/>
              <w:right w:val="single" w:sz="4" w:space="0" w:color="auto"/>
            </w:tcBorders>
            <w:shd w:val="clear" w:color="auto" w:fill="auto"/>
            <w:noWrap/>
            <w:vAlign w:val="bottom"/>
            <w:hideMark/>
          </w:tcPr>
          <w:p w:rsidR="000D6D11" w:rsidRPr="002C6A11" w:rsidRDefault="000D6D11" w:rsidP="00585039">
            <w:pPr>
              <w:keepNext/>
              <w:spacing w:before="0" w:after="0"/>
              <w:ind w:left="-506" w:right="30"/>
              <w:jc w:val="right"/>
              <w:rPr>
                <w:rFonts w:eastAsia="Times New Roman" w:cs="Times New Roman"/>
                <w:color w:val="000000"/>
                <w:sz w:val="18"/>
                <w:szCs w:val="18"/>
                <w:lang w:eastAsia="cs-CZ"/>
              </w:rPr>
            </w:pPr>
            <w:r w:rsidRPr="002C6A11">
              <w:rPr>
                <w:rFonts w:eastAsia="Times New Roman" w:cs="Times New Roman"/>
                <w:color w:val="000000"/>
                <w:sz w:val="18"/>
                <w:szCs w:val="18"/>
                <w:lang w:eastAsia="cs-CZ"/>
              </w:rPr>
              <w:t>2</w:t>
            </w:r>
          </w:p>
        </w:tc>
      </w:tr>
      <w:tr w:rsidR="000D6D11" w:rsidRPr="002C6A11" w:rsidTr="00585039">
        <w:trPr>
          <w:trHeight w:val="225"/>
        </w:trPr>
        <w:tc>
          <w:tcPr>
            <w:tcW w:w="1204" w:type="dxa"/>
            <w:vMerge/>
            <w:tcBorders>
              <w:top w:val="nil"/>
              <w:left w:val="single" w:sz="4" w:space="0" w:color="auto"/>
              <w:bottom w:val="single" w:sz="4" w:space="0" w:color="000000"/>
              <w:right w:val="single" w:sz="4" w:space="0" w:color="auto"/>
            </w:tcBorders>
            <w:vAlign w:val="center"/>
            <w:hideMark/>
          </w:tcPr>
          <w:p w:rsidR="000D6D11" w:rsidRPr="002C6A11" w:rsidRDefault="000D6D11" w:rsidP="00585039">
            <w:pPr>
              <w:keepNext/>
              <w:spacing w:before="0" w:after="0"/>
              <w:jc w:val="left"/>
              <w:rPr>
                <w:rFonts w:eastAsia="Times New Roman" w:cs="Times New Roman"/>
                <w:color w:val="000000"/>
                <w:sz w:val="18"/>
                <w:szCs w:val="18"/>
                <w:lang w:eastAsia="cs-CZ"/>
              </w:rPr>
            </w:pPr>
          </w:p>
        </w:tc>
        <w:tc>
          <w:tcPr>
            <w:tcW w:w="2410" w:type="dxa"/>
            <w:vMerge/>
            <w:tcBorders>
              <w:top w:val="nil"/>
              <w:left w:val="single" w:sz="4" w:space="0" w:color="auto"/>
              <w:bottom w:val="single" w:sz="4" w:space="0" w:color="000000"/>
              <w:right w:val="single" w:sz="4" w:space="0" w:color="auto"/>
            </w:tcBorders>
            <w:vAlign w:val="center"/>
            <w:hideMark/>
          </w:tcPr>
          <w:p w:rsidR="000D6D11" w:rsidRPr="002C6A11" w:rsidRDefault="000D6D11" w:rsidP="00585039">
            <w:pPr>
              <w:keepNext/>
              <w:spacing w:before="0" w:after="0"/>
              <w:jc w:val="left"/>
              <w:rPr>
                <w:rFonts w:eastAsia="Times New Roman" w:cs="Times New Roman"/>
                <w:color w:val="000000"/>
                <w:sz w:val="18"/>
                <w:szCs w:val="18"/>
                <w:lang w:eastAsia="cs-CZ"/>
              </w:rPr>
            </w:pPr>
          </w:p>
        </w:tc>
        <w:tc>
          <w:tcPr>
            <w:tcW w:w="708" w:type="dxa"/>
            <w:tcBorders>
              <w:top w:val="nil"/>
              <w:left w:val="nil"/>
              <w:bottom w:val="single" w:sz="4" w:space="0" w:color="auto"/>
              <w:right w:val="single" w:sz="4" w:space="0" w:color="auto"/>
            </w:tcBorders>
            <w:shd w:val="clear" w:color="auto" w:fill="auto"/>
            <w:noWrap/>
            <w:vAlign w:val="bottom"/>
            <w:hideMark/>
          </w:tcPr>
          <w:p w:rsidR="000D6D11" w:rsidRPr="002C6A11" w:rsidRDefault="000D6D11" w:rsidP="00585039">
            <w:pPr>
              <w:keepNext/>
              <w:spacing w:before="0" w:after="0"/>
              <w:jc w:val="center"/>
              <w:rPr>
                <w:rFonts w:eastAsia="Times New Roman" w:cs="Times New Roman"/>
                <w:color w:val="000000"/>
                <w:sz w:val="18"/>
                <w:szCs w:val="18"/>
                <w:lang w:eastAsia="cs-CZ"/>
              </w:rPr>
            </w:pPr>
            <w:r w:rsidRPr="002C6A11">
              <w:rPr>
                <w:rFonts w:eastAsia="Times New Roman" w:cs="Times New Roman"/>
                <w:color w:val="000000"/>
                <w:sz w:val="18"/>
                <w:szCs w:val="18"/>
                <w:lang w:eastAsia="cs-CZ"/>
              </w:rPr>
              <w:t>D</w:t>
            </w:r>
          </w:p>
        </w:tc>
        <w:tc>
          <w:tcPr>
            <w:tcW w:w="3828" w:type="dxa"/>
            <w:tcBorders>
              <w:top w:val="nil"/>
              <w:left w:val="nil"/>
              <w:bottom w:val="single" w:sz="4" w:space="0" w:color="auto"/>
              <w:right w:val="single" w:sz="4" w:space="0" w:color="auto"/>
            </w:tcBorders>
            <w:shd w:val="clear" w:color="auto" w:fill="auto"/>
            <w:noWrap/>
            <w:vAlign w:val="bottom"/>
            <w:hideMark/>
          </w:tcPr>
          <w:p w:rsidR="000D6D11" w:rsidRPr="002C6A11" w:rsidRDefault="000D6D11" w:rsidP="00585039">
            <w:pPr>
              <w:keepNext/>
              <w:spacing w:before="0" w:after="0"/>
              <w:jc w:val="left"/>
              <w:rPr>
                <w:rFonts w:eastAsia="Times New Roman" w:cs="Times New Roman"/>
                <w:color w:val="000000"/>
                <w:sz w:val="18"/>
                <w:szCs w:val="18"/>
                <w:lang w:eastAsia="cs-CZ"/>
              </w:rPr>
            </w:pPr>
            <w:r w:rsidRPr="002C6A11">
              <w:rPr>
                <w:rFonts w:eastAsia="Times New Roman" w:cs="Times New Roman"/>
                <w:color w:val="000000"/>
                <w:sz w:val="18"/>
                <w:szCs w:val="18"/>
                <w:lang w:eastAsia="cs-CZ"/>
              </w:rPr>
              <w:t>Článek ve sborníku z akce</w:t>
            </w:r>
          </w:p>
        </w:tc>
        <w:tc>
          <w:tcPr>
            <w:tcW w:w="561" w:type="dxa"/>
            <w:tcBorders>
              <w:top w:val="nil"/>
              <w:left w:val="nil"/>
              <w:bottom w:val="single" w:sz="4" w:space="0" w:color="auto"/>
              <w:right w:val="single" w:sz="4" w:space="0" w:color="auto"/>
            </w:tcBorders>
            <w:shd w:val="clear" w:color="auto" w:fill="auto"/>
            <w:noWrap/>
            <w:vAlign w:val="bottom"/>
            <w:hideMark/>
          </w:tcPr>
          <w:p w:rsidR="000D6D11" w:rsidRPr="002C6A11" w:rsidRDefault="000D6D11" w:rsidP="00585039">
            <w:pPr>
              <w:keepNext/>
              <w:spacing w:before="0" w:after="0"/>
              <w:ind w:left="-506" w:right="30"/>
              <w:jc w:val="right"/>
              <w:rPr>
                <w:rFonts w:eastAsia="Times New Roman" w:cs="Times New Roman"/>
                <w:color w:val="000000"/>
                <w:sz w:val="18"/>
                <w:szCs w:val="18"/>
                <w:lang w:eastAsia="cs-CZ"/>
              </w:rPr>
            </w:pPr>
            <w:r w:rsidRPr="002C6A11">
              <w:rPr>
                <w:rFonts w:eastAsia="Times New Roman" w:cs="Times New Roman"/>
                <w:color w:val="000000"/>
                <w:sz w:val="18"/>
                <w:szCs w:val="18"/>
                <w:lang w:eastAsia="cs-CZ"/>
              </w:rPr>
              <w:t>17</w:t>
            </w:r>
          </w:p>
        </w:tc>
      </w:tr>
      <w:tr w:rsidR="000D6D11" w:rsidRPr="002C6A11" w:rsidTr="00585039">
        <w:trPr>
          <w:trHeight w:val="225"/>
        </w:trPr>
        <w:tc>
          <w:tcPr>
            <w:tcW w:w="1204" w:type="dxa"/>
            <w:vMerge/>
            <w:tcBorders>
              <w:top w:val="nil"/>
              <w:left w:val="single" w:sz="4" w:space="0" w:color="auto"/>
              <w:bottom w:val="single" w:sz="4" w:space="0" w:color="000000"/>
              <w:right w:val="single" w:sz="4" w:space="0" w:color="auto"/>
            </w:tcBorders>
            <w:vAlign w:val="center"/>
            <w:hideMark/>
          </w:tcPr>
          <w:p w:rsidR="000D6D11" w:rsidRPr="002C6A11" w:rsidRDefault="000D6D11" w:rsidP="00585039">
            <w:pPr>
              <w:keepNext/>
              <w:spacing w:before="0" w:after="0"/>
              <w:jc w:val="left"/>
              <w:rPr>
                <w:rFonts w:eastAsia="Times New Roman" w:cs="Times New Roman"/>
                <w:color w:val="000000"/>
                <w:sz w:val="18"/>
                <w:szCs w:val="18"/>
                <w:lang w:eastAsia="cs-CZ"/>
              </w:rPr>
            </w:pPr>
          </w:p>
        </w:tc>
        <w:tc>
          <w:tcPr>
            <w:tcW w:w="2410" w:type="dxa"/>
            <w:vMerge/>
            <w:tcBorders>
              <w:top w:val="nil"/>
              <w:left w:val="single" w:sz="4" w:space="0" w:color="auto"/>
              <w:bottom w:val="single" w:sz="4" w:space="0" w:color="000000"/>
              <w:right w:val="single" w:sz="4" w:space="0" w:color="auto"/>
            </w:tcBorders>
            <w:vAlign w:val="center"/>
            <w:hideMark/>
          </w:tcPr>
          <w:p w:rsidR="000D6D11" w:rsidRPr="002C6A11" w:rsidRDefault="000D6D11" w:rsidP="00585039">
            <w:pPr>
              <w:keepNext/>
              <w:spacing w:before="0" w:after="0"/>
              <w:jc w:val="left"/>
              <w:rPr>
                <w:rFonts w:eastAsia="Times New Roman" w:cs="Times New Roman"/>
                <w:color w:val="000000"/>
                <w:sz w:val="18"/>
                <w:szCs w:val="18"/>
                <w:lang w:eastAsia="cs-CZ"/>
              </w:rPr>
            </w:pPr>
          </w:p>
        </w:tc>
        <w:tc>
          <w:tcPr>
            <w:tcW w:w="708" w:type="dxa"/>
            <w:tcBorders>
              <w:top w:val="nil"/>
              <w:left w:val="nil"/>
              <w:bottom w:val="single" w:sz="4" w:space="0" w:color="auto"/>
              <w:right w:val="single" w:sz="4" w:space="0" w:color="auto"/>
            </w:tcBorders>
            <w:shd w:val="clear" w:color="auto" w:fill="auto"/>
            <w:noWrap/>
            <w:vAlign w:val="bottom"/>
            <w:hideMark/>
          </w:tcPr>
          <w:p w:rsidR="000D6D11" w:rsidRPr="002C6A11" w:rsidRDefault="000D6D11" w:rsidP="00585039">
            <w:pPr>
              <w:keepNext/>
              <w:spacing w:before="0" w:after="0"/>
              <w:jc w:val="center"/>
              <w:rPr>
                <w:rFonts w:eastAsia="Times New Roman" w:cs="Times New Roman"/>
                <w:color w:val="000000"/>
                <w:sz w:val="18"/>
                <w:szCs w:val="18"/>
                <w:lang w:eastAsia="cs-CZ"/>
              </w:rPr>
            </w:pPr>
            <w:r w:rsidRPr="002C6A11">
              <w:rPr>
                <w:rFonts w:eastAsia="Times New Roman" w:cs="Times New Roman"/>
                <w:color w:val="000000"/>
                <w:sz w:val="18"/>
                <w:szCs w:val="18"/>
                <w:lang w:eastAsia="cs-CZ"/>
              </w:rPr>
              <w:t>J</w:t>
            </w:r>
          </w:p>
        </w:tc>
        <w:tc>
          <w:tcPr>
            <w:tcW w:w="3828" w:type="dxa"/>
            <w:tcBorders>
              <w:top w:val="nil"/>
              <w:left w:val="nil"/>
              <w:bottom w:val="single" w:sz="4" w:space="0" w:color="auto"/>
              <w:right w:val="single" w:sz="4" w:space="0" w:color="auto"/>
            </w:tcBorders>
            <w:shd w:val="clear" w:color="auto" w:fill="auto"/>
            <w:noWrap/>
            <w:vAlign w:val="bottom"/>
            <w:hideMark/>
          </w:tcPr>
          <w:p w:rsidR="000D6D11" w:rsidRPr="002C6A11" w:rsidRDefault="000D6D11" w:rsidP="00585039">
            <w:pPr>
              <w:keepNext/>
              <w:spacing w:before="0" w:after="0"/>
              <w:jc w:val="left"/>
              <w:rPr>
                <w:rFonts w:eastAsia="Times New Roman" w:cs="Times New Roman"/>
                <w:color w:val="000000"/>
                <w:sz w:val="18"/>
                <w:szCs w:val="18"/>
                <w:lang w:eastAsia="cs-CZ"/>
              </w:rPr>
            </w:pPr>
            <w:r w:rsidRPr="002C6A11">
              <w:rPr>
                <w:rFonts w:eastAsia="Times New Roman" w:cs="Times New Roman"/>
                <w:color w:val="000000"/>
                <w:sz w:val="18"/>
                <w:szCs w:val="18"/>
                <w:lang w:eastAsia="cs-CZ"/>
              </w:rPr>
              <w:t>Článek v odborném periodiku</w:t>
            </w:r>
          </w:p>
        </w:tc>
        <w:tc>
          <w:tcPr>
            <w:tcW w:w="561" w:type="dxa"/>
            <w:tcBorders>
              <w:top w:val="nil"/>
              <w:left w:val="nil"/>
              <w:bottom w:val="single" w:sz="4" w:space="0" w:color="auto"/>
              <w:right w:val="single" w:sz="4" w:space="0" w:color="auto"/>
            </w:tcBorders>
            <w:shd w:val="clear" w:color="auto" w:fill="auto"/>
            <w:noWrap/>
            <w:vAlign w:val="bottom"/>
            <w:hideMark/>
          </w:tcPr>
          <w:p w:rsidR="000D6D11" w:rsidRPr="002C6A11" w:rsidRDefault="000D6D11" w:rsidP="00585039">
            <w:pPr>
              <w:keepNext/>
              <w:spacing w:before="0" w:after="0"/>
              <w:ind w:left="-506" w:right="30"/>
              <w:jc w:val="right"/>
              <w:rPr>
                <w:rFonts w:eastAsia="Times New Roman" w:cs="Times New Roman"/>
                <w:color w:val="000000"/>
                <w:sz w:val="18"/>
                <w:szCs w:val="18"/>
                <w:lang w:eastAsia="cs-CZ"/>
              </w:rPr>
            </w:pPr>
            <w:r w:rsidRPr="002C6A11">
              <w:rPr>
                <w:rFonts w:eastAsia="Times New Roman" w:cs="Times New Roman"/>
                <w:color w:val="000000"/>
                <w:sz w:val="18"/>
                <w:szCs w:val="18"/>
                <w:lang w:eastAsia="cs-CZ"/>
              </w:rPr>
              <w:t>57</w:t>
            </w:r>
          </w:p>
        </w:tc>
      </w:tr>
      <w:tr w:rsidR="000D6D11" w:rsidRPr="002C6A11" w:rsidTr="00585039">
        <w:trPr>
          <w:trHeight w:val="225"/>
        </w:trPr>
        <w:tc>
          <w:tcPr>
            <w:tcW w:w="1204" w:type="dxa"/>
            <w:vMerge/>
            <w:tcBorders>
              <w:top w:val="nil"/>
              <w:left w:val="single" w:sz="4" w:space="0" w:color="auto"/>
              <w:bottom w:val="single" w:sz="4" w:space="0" w:color="000000"/>
              <w:right w:val="single" w:sz="4" w:space="0" w:color="auto"/>
            </w:tcBorders>
            <w:vAlign w:val="center"/>
            <w:hideMark/>
          </w:tcPr>
          <w:p w:rsidR="000D6D11" w:rsidRPr="002C6A11" w:rsidRDefault="000D6D11" w:rsidP="00585039">
            <w:pPr>
              <w:keepNext/>
              <w:spacing w:before="0" w:after="0"/>
              <w:jc w:val="left"/>
              <w:rPr>
                <w:rFonts w:eastAsia="Times New Roman" w:cs="Times New Roman"/>
                <w:color w:val="000000"/>
                <w:sz w:val="18"/>
                <w:szCs w:val="18"/>
                <w:lang w:eastAsia="cs-CZ"/>
              </w:rPr>
            </w:pPr>
          </w:p>
        </w:tc>
        <w:tc>
          <w:tcPr>
            <w:tcW w:w="2410" w:type="dxa"/>
            <w:vMerge/>
            <w:tcBorders>
              <w:top w:val="nil"/>
              <w:left w:val="single" w:sz="4" w:space="0" w:color="auto"/>
              <w:bottom w:val="single" w:sz="4" w:space="0" w:color="000000"/>
              <w:right w:val="single" w:sz="4" w:space="0" w:color="auto"/>
            </w:tcBorders>
            <w:vAlign w:val="center"/>
            <w:hideMark/>
          </w:tcPr>
          <w:p w:rsidR="000D6D11" w:rsidRPr="002C6A11" w:rsidRDefault="000D6D11" w:rsidP="00585039">
            <w:pPr>
              <w:keepNext/>
              <w:spacing w:before="0" w:after="0"/>
              <w:jc w:val="left"/>
              <w:rPr>
                <w:rFonts w:eastAsia="Times New Roman" w:cs="Times New Roman"/>
                <w:color w:val="000000"/>
                <w:sz w:val="18"/>
                <w:szCs w:val="18"/>
                <w:lang w:eastAsia="cs-CZ"/>
              </w:rPr>
            </w:pPr>
          </w:p>
        </w:tc>
        <w:tc>
          <w:tcPr>
            <w:tcW w:w="708" w:type="dxa"/>
            <w:tcBorders>
              <w:top w:val="nil"/>
              <w:left w:val="nil"/>
              <w:bottom w:val="single" w:sz="4" w:space="0" w:color="auto"/>
              <w:right w:val="single" w:sz="4" w:space="0" w:color="auto"/>
            </w:tcBorders>
            <w:shd w:val="clear" w:color="auto" w:fill="auto"/>
            <w:noWrap/>
            <w:vAlign w:val="bottom"/>
            <w:hideMark/>
          </w:tcPr>
          <w:p w:rsidR="000D6D11" w:rsidRPr="002C6A11" w:rsidRDefault="000D6D11" w:rsidP="00585039">
            <w:pPr>
              <w:keepNext/>
              <w:spacing w:before="0" w:after="0"/>
              <w:jc w:val="center"/>
              <w:rPr>
                <w:rFonts w:eastAsia="Times New Roman" w:cs="Times New Roman"/>
                <w:color w:val="000000"/>
                <w:sz w:val="18"/>
                <w:szCs w:val="18"/>
                <w:lang w:eastAsia="cs-CZ"/>
              </w:rPr>
            </w:pPr>
            <w:r w:rsidRPr="002C6A11">
              <w:rPr>
                <w:rFonts w:eastAsia="Times New Roman" w:cs="Times New Roman"/>
                <w:color w:val="000000"/>
                <w:sz w:val="18"/>
                <w:szCs w:val="18"/>
                <w:lang w:eastAsia="cs-CZ"/>
              </w:rPr>
              <w:t>J-imp</w:t>
            </w:r>
          </w:p>
        </w:tc>
        <w:tc>
          <w:tcPr>
            <w:tcW w:w="3828" w:type="dxa"/>
            <w:tcBorders>
              <w:top w:val="nil"/>
              <w:left w:val="nil"/>
              <w:bottom w:val="single" w:sz="4" w:space="0" w:color="auto"/>
              <w:right w:val="single" w:sz="4" w:space="0" w:color="auto"/>
            </w:tcBorders>
            <w:shd w:val="clear" w:color="auto" w:fill="auto"/>
            <w:noWrap/>
            <w:vAlign w:val="bottom"/>
            <w:hideMark/>
          </w:tcPr>
          <w:p w:rsidR="000D6D11" w:rsidRPr="002C6A11" w:rsidRDefault="000D6D11" w:rsidP="00585039">
            <w:pPr>
              <w:keepNext/>
              <w:spacing w:before="0" w:after="0"/>
              <w:jc w:val="left"/>
              <w:rPr>
                <w:rFonts w:eastAsia="Times New Roman" w:cs="Times New Roman"/>
                <w:color w:val="000000"/>
                <w:sz w:val="18"/>
                <w:szCs w:val="18"/>
                <w:lang w:eastAsia="cs-CZ"/>
              </w:rPr>
            </w:pPr>
            <w:r w:rsidRPr="002C6A11">
              <w:rPr>
                <w:rFonts w:eastAsia="Times New Roman" w:cs="Times New Roman"/>
                <w:color w:val="000000"/>
                <w:sz w:val="18"/>
                <w:szCs w:val="18"/>
                <w:lang w:eastAsia="cs-CZ"/>
              </w:rPr>
              <w:t>Impaktovaný článek v odborném periodiku</w:t>
            </w:r>
          </w:p>
        </w:tc>
        <w:tc>
          <w:tcPr>
            <w:tcW w:w="561" w:type="dxa"/>
            <w:tcBorders>
              <w:top w:val="nil"/>
              <w:left w:val="nil"/>
              <w:bottom w:val="single" w:sz="4" w:space="0" w:color="auto"/>
              <w:right w:val="single" w:sz="4" w:space="0" w:color="auto"/>
            </w:tcBorders>
            <w:shd w:val="clear" w:color="auto" w:fill="auto"/>
            <w:noWrap/>
            <w:vAlign w:val="bottom"/>
            <w:hideMark/>
          </w:tcPr>
          <w:p w:rsidR="000D6D11" w:rsidRPr="002C6A11" w:rsidRDefault="000D6D11" w:rsidP="00585039">
            <w:pPr>
              <w:keepNext/>
              <w:spacing w:before="0" w:after="0"/>
              <w:ind w:left="-506" w:right="30"/>
              <w:jc w:val="right"/>
              <w:rPr>
                <w:rFonts w:eastAsia="Times New Roman" w:cs="Times New Roman"/>
                <w:color w:val="000000"/>
                <w:sz w:val="18"/>
                <w:szCs w:val="18"/>
                <w:lang w:eastAsia="cs-CZ"/>
              </w:rPr>
            </w:pPr>
            <w:r w:rsidRPr="002C6A11">
              <w:rPr>
                <w:rFonts w:eastAsia="Times New Roman" w:cs="Times New Roman"/>
                <w:color w:val="000000"/>
                <w:sz w:val="18"/>
                <w:szCs w:val="18"/>
                <w:lang w:eastAsia="cs-CZ"/>
              </w:rPr>
              <w:t>2</w:t>
            </w:r>
          </w:p>
        </w:tc>
      </w:tr>
      <w:tr w:rsidR="000D6D11" w:rsidRPr="002C6A11" w:rsidTr="00585039">
        <w:trPr>
          <w:trHeight w:val="225"/>
        </w:trPr>
        <w:tc>
          <w:tcPr>
            <w:tcW w:w="1204" w:type="dxa"/>
            <w:vMerge/>
            <w:tcBorders>
              <w:top w:val="nil"/>
              <w:left w:val="single" w:sz="4" w:space="0" w:color="auto"/>
              <w:bottom w:val="single" w:sz="4" w:space="0" w:color="000000"/>
              <w:right w:val="single" w:sz="4" w:space="0" w:color="auto"/>
            </w:tcBorders>
            <w:vAlign w:val="center"/>
            <w:hideMark/>
          </w:tcPr>
          <w:p w:rsidR="000D6D11" w:rsidRPr="002C6A11" w:rsidRDefault="000D6D11" w:rsidP="00585039">
            <w:pPr>
              <w:keepNext/>
              <w:spacing w:before="0" w:after="0"/>
              <w:jc w:val="left"/>
              <w:rPr>
                <w:rFonts w:eastAsia="Times New Roman" w:cs="Times New Roman"/>
                <w:color w:val="000000"/>
                <w:sz w:val="18"/>
                <w:szCs w:val="18"/>
                <w:lang w:eastAsia="cs-CZ"/>
              </w:rPr>
            </w:pPr>
          </w:p>
        </w:tc>
        <w:tc>
          <w:tcPr>
            <w:tcW w:w="2410" w:type="dxa"/>
            <w:vMerge/>
            <w:tcBorders>
              <w:top w:val="nil"/>
              <w:left w:val="single" w:sz="4" w:space="0" w:color="auto"/>
              <w:bottom w:val="single" w:sz="4" w:space="0" w:color="000000"/>
              <w:right w:val="single" w:sz="4" w:space="0" w:color="auto"/>
            </w:tcBorders>
            <w:vAlign w:val="center"/>
            <w:hideMark/>
          </w:tcPr>
          <w:p w:rsidR="000D6D11" w:rsidRPr="002C6A11" w:rsidRDefault="000D6D11" w:rsidP="00585039">
            <w:pPr>
              <w:keepNext/>
              <w:spacing w:before="0" w:after="0"/>
              <w:jc w:val="left"/>
              <w:rPr>
                <w:rFonts w:eastAsia="Times New Roman" w:cs="Times New Roman"/>
                <w:color w:val="000000"/>
                <w:sz w:val="18"/>
                <w:szCs w:val="18"/>
                <w:lang w:eastAsia="cs-CZ"/>
              </w:rPr>
            </w:pPr>
          </w:p>
        </w:tc>
        <w:tc>
          <w:tcPr>
            <w:tcW w:w="708" w:type="dxa"/>
            <w:tcBorders>
              <w:top w:val="nil"/>
              <w:left w:val="nil"/>
              <w:bottom w:val="single" w:sz="4" w:space="0" w:color="auto"/>
              <w:right w:val="single" w:sz="4" w:space="0" w:color="auto"/>
            </w:tcBorders>
            <w:shd w:val="clear" w:color="auto" w:fill="auto"/>
            <w:noWrap/>
            <w:vAlign w:val="bottom"/>
            <w:hideMark/>
          </w:tcPr>
          <w:p w:rsidR="000D6D11" w:rsidRPr="002C6A11" w:rsidRDefault="000D6D11" w:rsidP="00585039">
            <w:pPr>
              <w:keepNext/>
              <w:spacing w:before="0" w:after="0"/>
              <w:jc w:val="center"/>
              <w:rPr>
                <w:rFonts w:eastAsia="Times New Roman" w:cs="Times New Roman"/>
                <w:color w:val="000000"/>
                <w:sz w:val="18"/>
                <w:szCs w:val="18"/>
                <w:lang w:eastAsia="cs-CZ"/>
              </w:rPr>
            </w:pPr>
            <w:r w:rsidRPr="002C6A11">
              <w:rPr>
                <w:rFonts w:eastAsia="Times New Roman" w:cs="Times New Roman"/>
                <w:color w:val="000000"/>
                <w:sz w:val="18"/>
                <w:szCs w:val="18"/>
                <w:lang w:eastAsia="cs-CZ"/>
              </w:rPr>
              <w:t>V</w:t>
            </w:r>
          </w:p>
        </w:tc>
        <w:tc>
          <w:tcPr>
            <w:tcW w:w="3828" w:type="dxa"/>
            <w:tcBorders>
              <w:top w:val="nil"/>
              <w:left w:val="nil"/>
              <w:bottom w:val="single" w:sz="4" w:space="0" w:color="auto"/>
              <w:right w:val="single" w:sz="4" w:space="0" w:color="auto"/>
            </w:tcBorders>
            <w:shd w:val="clear" w:color="auto" w:fill="auto"/>
            <w:noWrap/>
            <w:vAlign w:val="bottom"/>
            <w:hideMark/>
          </w:tcPr>
          <w:p w:rsidR="000D6D11" w:rsidRPr="002C6A11" w:rsidRDefault="000D6D11" w:rsidP="00585039">
            <w:pPr>
              <w:keepNext/>
              <w:spacing w:before="0" w:after="0"/>
              <w:jc w:val="left"/>
              <w:rPr>
                <w:rFonts w:eastAsia="Times New Roman" w:cs="Times New Roman"/>
                <w:color w:val="000000"/>
                <w:sz w:val="18"/>
                <w:szCs w:val="18"/>
                <w:lang w:eastAsia="cs-CZ"/>
              </w:rPr>
            </w:pPr>
            <w:r w:rsidRPr="002C6A11">
              <w:rPr>
                <w:rFonts w:eastAsia="Times New Roman" w:cs="Times New Roman"/>
                <w:color w:val="000000"/>
                <w:sz w:val="18"/>
                <w:szCs w:val="18"/>
                <w:lang w:eastAsia="cs-CZ"/>
              </w:rPr>
              <w:t>Výzkumná zpráva obsahující utajované informace</w:t>
            </w:r>
          </w:p>
        </w:tc>
        <w:tc>
          <w:tcPr>
            <w:tcW w:w="561" w:type="dxa"/>
            <w:tcBorders>
              <w:top w:val="nil"/>
              <w:left w:val="nil"/>
              <w:bottom w:val="single" w:sz="4" w:space="0" w:color="auto"/>
              <w:right w:val="single" w:sz="4" w:space="0" w:color="auto"/>
            </w:tcBorders>
            <w:shd w:val="clear" w:color="auto" w:fill="auto"/>
            <w:noWrap/>
            <w:vAlign w:val="bottom"/>
            <w:hideMark/>
          </w:tcPr>
          <w:p w:rsidR="000D6D11" w:rsidRPr="002C6A11" w:rsidRDefault="000D6D11" w:rsidP="00585039">
            <w:pPr>
              <w:keepNext/>
              <w:spacing w:before="0" w:after="0"/>
              <w:ind w:left="-506" w:right="30"/>
              <w:jc w:val="right"/>
              <w:rPr>
                <w:rFonts w:eastAsia="Times New Roman" w:cs="Times New Roman"/>
                <w:color w:val="000000"/>
                <w:sz w:val="18"/>
                <w:szCs w:val="18"/>
                <w:lang w:eastAsia="cs-CZ"/>
              </w:rPr>
            </w:pPr>
            <w:r w:rsidRPr="002C6A11">
              <w:rPr>
                <w:rFonts w:eastAsia="Times New Roman" w:cs="Times New Roman"/>
                <w:color w:val="000000"/>
                <w:sz w:val="18"/>
                <w:szCs w:val="18"/>
                <w:lang w:eastAsia="cs-CZ"/>
              </w:rPr>
              <w:t>24</w:t>
            </w:r>
          </w:p>
        </w:tc>
      </w:tr>
      <w:tr w:rsidR="000D6D11" w:rsidRPr="002C6A11" w:rsidTr="00585039">
        <w:trPr>
          <w:trHeight w:val="225"/>
        </w:trPr>
        <w:tc>
          <w:tcPr>
            <w:tcW w:w="1204" w:type="dxa"/>
            <w:vMerge/>
            <w:tcBorders>
              <w:top w:val="nil"/>
              <w:left w:val="single" w:sz="4" w:space="0" w:color="auto"/>
              <w:bottom w:val="single" w:sz="4" w:space="0" w:color="000000"/>
              <w:right w:val="single" w:sz="4" w:space="0" w:color="auto"/>
            </w:tcBorders>
            <w:vAlign w:val="center"/>
            <w:hideMark/>
          </w:tcPr>
          <w:p w:rsidR="000D6D11" w:rsidRPr="002C6A11" w:rsidRDefault="000D6D11" w:rsidP="00585039">
            <w:pPr>
              <w:keepNext/>
              <w:spacing w:before="0" w:after="0"/>
              <w:jc w:val="left"/>
              <w:rPr>
                <w:rFonts w:eastAsia="Times New Roman" w:cs="Times New Roman"/>
                <w:color w:val="000000"/>
                <w:sz w:val="18"/>
                <w:szCs w:val="18"/>
                <w:lang w:eastAsia="cs-CZ"/>
              </w:rPr>
            </w:pPr>
          </w:p>
        </w:tc>
        <w:tc>
          <w:tcPr>
            <w:tcW w:w="2410"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0D6D11" w:rsidRPr="002C6A11" w:rsidRDefault="000D6D11" w:rsidP="00585039">
            <w:pPr>
              <w:keepNext/>
              <w:spacing w:before="0" w:after="0"/>
              <w:jc w:val="left"/>
              <w:rPr>
                <w:rFonts w:eastAsia="Times New Roman" w:cs="Times New Roman"/>
                <w:color w:val="000000"/>
                <w:sz w:val="18"/>
                <w:szCs w:val="18"/>
                <w:lang w:eastAsia="cs-CZ"/>
              </w:rPr>
            </w:pPr>
            <w:r w:rsidRPr="002C6A11">
              <w:rPr>
                <w:rFonts w:eastAsia="Times New Roman" w:cs="Times New Roman"/>
                <w:color w:val="000000"/>
                <w:sz w:val="18"/>
                <w:szCs w:val="18"/>
                <w:lang w:eastAsia="cs-CZ"/>
              </w:rPr>
              <w:t>Generální ředitelství HZS - Technický ústav požární ochrany</w:t>
            </w:r>
          </w:p>
        </w:tc>
        <w:tc>
          <w:tcPr>
            <w:tcW w:w="708" w:type="dxa"/>
            <w:tcBorders>
              <w:top w:val="nil"/>
              <w:left w:val="nil"/>
              <w:bottom w:val="single" w:sz="4" w:space="0" w:color="auto"/>
              <w:right w:val="single" w:sz="4" w:space="0" w:color="auto"/>
            </w:tcBorders>
            <w:shd w:val="clear" w:color="auto" w:fill="auto"/>
            <w:noWrap/>
            <w:vAlign w:val="bottom"/>
            <w:hideMark/>
          </w:tcPr>
          <w:p w:rsidR="000D6D11" w:rsidRPr="002C6A11" w:rsidRDefault="000D6D11" w:rsidP="00585039">
            <w:pPr>
              <w:keepNext/>
              <w:spacing w:before="0" w:after="0"/>
              <w:jc w:val="center"/>
              <w:rPr>
                <w:rFonts w:eastAsia="Times New Roman" w:cs="Times New Roman"/>
                <w:color w:val="000000"/>
                <w:sz w:val="18"/>
                <w:szCs w:val="18"/>
                <w:lang w:eastAsia="cs-CZ"/>
              </w:rPr>
            </w:pPr>
            <w:r w:rsidRPr="002C6A11">
              <w:rPr>
                <w:rFonts w:eastAsia="Times New Roman" w:cs="Times New Roman"/>
                <w:color w:val="000000"/>
                <w:sz w:val="18"/>
                <w:szCs w:val="18"/>
                <w:lang w:eastAsia="cs-CZ"/>
              </w:rPr>
              <w:t>D</w:t>
            </w:r>
          </w:p>
        </w:tc>
        <w:tc>
          <w:tcPr>
            <w:tcW w:w="3828" w:type="dxa"/>
            <w:tcBorders>
              <w:top w:val="nil"/>
              <w:left w:val="nil"/>
              <w:bottom w:val="single" w:sz="4" w:space="0" w:color="auto"/>
              <w:right w:val="single" w:sz="4" w:space="0" w:color="auto"/>
            </w:tcBorders>
            <w:shd w:val="clear" w:color="auto" w:fill="auto"/>
            <w:noWrap/>
            <w:vAlign w:val="bottom"/>
            <w:hideMark/>
          </w:tcPr>
          <w:p w:rsidR="000D6D11" w:rsidRPr="002C6A11" w:rsidRDefault="000D6D11" w:rsidP="00585039">
            <w:pPr>
              <w:keepNext/>
              <w:spacing w:before="0" w:after="0"/>
              <w:jc w:val="left"/>
              <w:rPr>
                <w:rFonts w:eastAsia="Times New Roman" w:cs="Times New Roman"/>
                <w:color w:val="000000"/>
                <w:sz w:val="18"/>
                <w:szCs w:val="18"/>
                <w:lang w:eastAsia="cs-CZ"/>
              </w:rPr>
            </w:pPr>
            <w:r w:rsidRPr="002C6A11">
              <w:rPr>
                <w:rFonts w:eastAsia="Times New Roman" w:cs="Times New Roman"/>
                <w:color w:val="000000"/>
                <w:sz w:val="18"/>
                <w:szCs w:val="18"/>
                <w:lang w:eastAsia="cs-CZ"/>
              </w:rPr>
              <w:t>Článek ve sborníku z akce</w:t>
            </w:r>
          </w:p>
        </w:tc>
        <w:tc>
          <w:tcPr>
            <w:tcW w:w="561" w:type="dxa"/>
            <w:tcBorders>
              <w:top w:val="nil"/>
              <w:left w:val="nil"/>
              <w:bottom w:val="single" w:sz="4" w:space="0" w:color="auto"/>
              <w:right w:val="single" w:sz="4" w:space="0" w:color="auto"/>
            </w:tcBorders>
            <w:shd w:val="clear" w:color="auto" w:fill="auto"/>
            <w:noWrap/>
            <w:vAlign w:val="bottom"/>
            <w:hideMark/>
          </w:tcPr>
          <w:p w:rsidR="000D6D11" w:rsidRPr="002C6A11" w:rsidRDefault="000D6D11" w:rsidP="00585039">
            <w:pPr>
              <w:keepNext/>
              <w:spacing w:before="0" w:after="0"/>
              <w:ind w:left="-506" w:right="30"/>
              <w:jc w:val="right"/>
              <w:rPr>
                <w:rFonts w:eastAsia="Times New Roman" w:cs="Times New Roman"/>
                <w:color w:val="000000"/>
                <w:sz w:val="18"/>
                <w:szCs w:val="18"/>
                <w:lang w:eastAsia="cs-CZ"/>
              </w:rPr>
            </w:pPr>
            <w:r w:rsidRPr="002C6A11">
              <w:rPr>
                <w:rFonts w:eastAsia="Times New Roman" w:cs="Times New Roman"/>
                <w:color w:val="000000"/>
                <w:sz w:val="18"/>
                <w:szCs w:val="18"/>
                <w:lang w:eastAsia="cs-CZ"/>
              </w:rPr>
              <w:t>20</w:t>
            </w:r>
          </w:p>
        </w:tc>
      </w:tr>
      <w:tr w:rsidR="000D6D11" w:rsidRPr="002C6A11" w:rsidTr="00585039">
        <w:trPr>
          <w:trHeight w:val="225"/>
        </w:trPr>
        <w:tc>
          <w:tcPr>
            <w:tcW w:w="1204" w:type="dxa"/>
            <w:vMerge/>
            <w:tcBorders>
              <w:top w:val="nil"/>
              <w:left w:val="single" w:sz="4" w:space="0" w:color="auto"/>
              <w:bottom w:val="single" w:sz="4" w:space="0" w:color="000000"/>
              <w:right w:val="single" w:sz="4" w:space="0" w:color="auto"/>
            </w:tcBorders>
            <w:vAlign w:val="center"/>
            <w:hideMark/>
          </w:tcPr>
          <w:p w:rsidR="000D6D11" w:rsidRPr="002C6A11" w:rsidRDefault="000D6D11" w:rsidP="00585039">
            <w:pPr>
              <w:keepNext/>
              <w:spacing w:before="0" w:after="0"/>
              <w:jc w:val="left"/>
              <w:rPr>
                <w:rFonts w:eastAsia="Times New Roman" w:cs="Times New Roman"/>
                <w:color w:val="000000"/>
                <w:sz w:val="18"/>
                <w:szCs w:val="18"/>
                <w:lang w:eastAsia="cs-CZ"/>
              </w:rPr>
            </w:pPr>
          </w:p>
        </w:tc>
        <w:tc>
          <w:tcPr>
            <w:tcW w:w="2410" w:type="dxa"/>
            <w:vMerge/>
            <w:tcBorders>
              <w:top w:val="nil"/>
              <w:left w:val="single" w:sz="4" w:space="0" w:color="auto"/>
              <w:bottom w:val="single" w:sz="4" w:space="0" w:color="000000"/>
              <w:right w:val="single" w:sz="4" w:space="0" w:color="auto"/>
            </w:tcBorders>
            <w:vAlign w:val="center"/>
            <w:hideMark/>
          </w:tcPr>
          <w:p w:rsidR="000D6D11" w:rsidRPr="002C6A11" w:rsidRDefault="000D6D11" w:rsidP="00585039">
            <w:pPr>
              <w:keepNext/>
              <w:spacing w:before="0" w:after="0"/>
              <w:jc w:val="left"/>
              <w:rPr>
                <w:rFonts w:eastAsia="Times New Roman" w:cs="Times New Roman"/>
                <w:color w:val="000000"/>
                <w:sz w:val="18"/>
                <w:szCs w:val="18"/>
                <w:lang w:eastAsia="cs-CZ"/>
              </w:rPr>
            </w:pPr>
          </w:p>
        </w:tc>
        <w:tc>
          <w:tcPr>
            <w:tcW w:w="708" w:type="dxa"/>
            <w:tcBorders>
              <w:top w:val="nil"/>
              <w:left w:val="nil"/>
              <w:bottom w:val="single" w:sz="4" w:space="0" w:color="auto"/>
              <w:right w:val="single" w:sz="4" w:space="0" w:color="auto"/>
            </w:tcBorders>
            <w:shd w:val="clear" w:color="auto" w:fill="auto"/>
            <w:noWrap/>
            <w:vAlign w:val="bottom"/>
            <w:hideMark/>
          </w:tcPr>
          <w:p w:rsidR="000D6D11" w:rsidRPr="002C6A11" w:rsidRDefault="000D6D11" w:rsidP="00585039">
            <w:pPr>
              <w:keepNext/>
              <w:spacing w:before="0" w:after="0"/>
              <w:jc w:val="center"/>
              <w:rPr>
                <w:rFonts w:eastAsia="Times New Roman" w:cs="Times New Roman"/>
                <w:color w:val="000000"/>
                <w:sz w:val="18"/>
                <w:szCs w:val="18"/>
                <w:lang w:eastAsia="cs-CZ"/>
              </w:rPr>
            </w:pPr>
            <w:r w:rsidRPr="002C6A11">
              <w:rPr>
                <w:rFonts w:eastAsia="Times New Roman" w:cs="Times New Roman"/>
                <w:color w:val="000000"/>
                <w:sz w:val="18"/>
                <w:szCs w:val="18"/>
                <w:lang w:eastAsia="cs-CZ"/>
              </w:rPr>
              <w:t>J</w:t>
            </w:r>
          </w:p>
        </w:tc>
        <w:tc>
          <w:tcPr>
            <w:tcW w:w="3828" w:type="dxa"/>
            <w:tcBorders>
              <w:top w:val="nil"/>
              <w:left w:val="nil"/>
              <w:bottom w:val="single" w:sz="4" w:space="0" w:color="auto"/>
              <w:right w:val="single" w:sz="4" w:space="0" w:color="auto"/>
            </w:tcBorders>
            <w:shd w:val="clear" w:color="auto" w:fill="auto"/>
            <w:noWrap/>
            <w:vAlign w:val="bottom"/>
            <w:hideMark/>
          </w:tcPr>
          <w:p w:rsidR="000D6D11" w:rsidRPr="002C6A11" w:rsidRDefault="000D6D11" w:rsidP="00585039">
            <w:pPr>
              <w:keepNext/>
              <w:spacing w:before="0" w:after="0"/>
              <w:jc w:val="left"/>
              <w:rPr>
                <w:rFonts w:eastAsia="Times New Roman" w:cs="Times New Roman"/>
                <w:color w:val="000000"/>
                <w:sz w:val="18"/>
                <w:szCs w:val="18"/>
                <w:lang w:eastAsia="cs-CZ"/>
              </w:rPr>
            </w:pPr>
            <w:r w:rsidRPr="002C6A11">
              <w:rPr>
                <w:rFonts w:eastAsia="Times New Roman" w:cs="Times New Roman"/>
                <w:color w:val="000000"/>
                <w:sz w:val="18"/>
                <w:szCs w:val="18"/>
                <w:lang w:eastAsia="cs-CZ"/>
              </w:rPr>
              <w:t>Článek v odborném periodiku</w:t>
            </w:r>
          </w:p>
        </w:tc>
        <w:tc>
          <w:tcPr>
            <w:tcW w:w="561" w:type="dxa"/>
            <w:tcBorders>
              <w:top w:val="nil"/>
              <w:left w:val="nil"/>
              <w:bottom w:val="single" w:sz="4" w:space="0" w:color="auto"/>
              <w:right w:val="single" w:sz="4" w:space="0" w:color="auto"/>
            </w:tcBorders>
            <w:shd w:val="clear" w:color="auto" w:fill="auto"/>
            <w:noWrap/>
            <w:vAlign w:val="bottom"/>
            <w:hideMark/>
          </w:tcPr>
          <w:p w:rsidR="000D6D11" w:rsidRPr="002C6A11" w:rsidRDefault="000D6D11" w:rsidP="00585039">
            <w:pPr>
              <w:keepNext/>
              <w:spacing w:before="0" w:after="0"/>
              <w:ind w:left="-506" w:right="30"/>
              <w:jc w:val="right"/>
              <w:rPr>
                <w:rFonts w:eastAsia="Times New Roman" w:cs="Times New Roman"/>
                <w:color w:val="000000"/>
                <w:sz w:val="18"/>
                <w:szCs w:val="18"/>
                <w:lang w:eastAsia="cs-CZ"/>
              </w:rPr>
            </w:pPr>
            <w:r w:rsidRPr="002C6A11">
              <w:rPr>
                <w:rFonts w:eastAsia="Times New Roman" w:cs="Times New Roman"/>
                <w:color w:val="000000"/>
                <w:sz w:val="18"/>
                <w:szCs w:val="18"/>
                <w:lang w:eastAsia="cs-CZ"/>
              </w:rPr>
              <w:t>11</w:t>
            </w:r>
          </w:p>
        </w:tc>
      </w:tr>
      <w:tr w:rsidR="000D6D11" w:rsidRPr="002C6A11" w:rsidTr="00585039">
        <w:trPr>
          <w:trHeight w:val="225"/>
        </w:trPr>
        <w:tc>
          <w:tcPr>
            <w:tcW w:w="1204" w:type="dxa"/>
            <w:vMerge/>
            <w:tcBorders>
              <w:top w:val="nil"/>
              <w:left w:val="single" w:sz="4" w:space="0" w:color="auto"/>
              <w:bottom w:val="single" w:sz="4" w:space="0" w:color="000000"/>
              <w:right w:val="single" w:sz="4" w:space="0" w:color="auto"/>
            </w:tcBorders>
            <w:vAlign w:val="center"/>
            <w:hideMark/>
          </w:tcPr>
          <w:p w:rsidR="000D6D11" w:rsidRPr="002C6A11" w:rsidRDefault="000D6D11" w:rsidP="00585039">
            <w:pPr>
              <w:keepNext/>
              <w:spacing w:before="0" w:after="0"/>
              <w:jc w:val="left"/>
              <w:rPr>
                <w:rFonts w:eastAsia="Times New Roman" w:cs="Times New Roman"/>
                <w:color w:val="000000"/>
                <w:sz w:val="18"/>
                <w:szCs w:val="18"/>
                <w:lang w:eastAsia="cs-CZ"/>
              </w:rPr>
            </w:pPr>
          </w:p>
        </w:tc>
        <w:tc>
          <w:tcPr>
            <w:tcW w:w="2410" w:type="dxa"/>
            <w:vMerge/>
            <w:tcBorders>
              <w:top w:val="nil"/>
              <w:left w:val="single" w:sz="4" w:space="0" w:color="auto"/>
              <w:bottom w:val="single" w:sz="4" w:space="0" w:color="000000"/>
              <w:right w:val="single" w:sz="4" w:space="0" w:color="auto"/>
            </w:tcBorders>
            <w:vAlign w:val="center"/>
            <w:hideMark/>
          </w:tcPr>
          <w:p w:rsidR="000D6D11" w:rsidRPr="002C6A11" w:rsidRDefault="000D6D11" w:rsidP="00585039">
            <w:pPr>
              <w:keepNext/>
              <w:spacing w:before="0" w:after="0"/>
              <w:jc w:val="left"/>
              <w:rPr>
                <w:rFonts w:eastAsia="Times New Roman" w:cs="Times New Roman"/>
                <w:color w:val="000000"/>
                <w:sz w:val="18"/>
                <w:szCs w:val="18"/>
                <w:lang w:eastAsia="cs-CZ"/>
              </w:rPr>
            </w:pPr>
          </w:p>
        </w:tc>
        <w:tc>
          <w:tcPr>
            <w:tcW w:w="708" w:type="dxa"/>
            <w:tcBorders>
              <w:top w:val="nil"/>
              <w:left w:val="nil"/>
              <w:bottom w:val="single" w:sz="4" w:space="0" w:color="auto"/>
              <w:right w:val="single" w:sz="4" w:space="0" w:color="auto"/>
            </w:tcBorders>
            <w:shd w:val="clear" w:color="auto" w:fill="auto"/>
            <w:noWrap/>
            <w:vAlign w:val="bottom"/>
            <w:hideMark/>
          </w:tcPr>
          <w:p w:rsidR="000D6D11" w:rsidRPr="002C6A11" w:rsidRDefault="000D6D11" w:rsidP="00585039">
            <w:pPr>
              <w:keepNext/>
              <w:spacing w:before="0" w:after="0"/>
              <w:jc w:val="center"/>
              <w:rPr>
                <w:rFonts w:eastAsia="Times New Roman" w:cs="Times New Roman"/>
                <w:color w:val="000000"/>
                <w:sz w:val="18"/>
                <w:szCs w:val="18"/>
                <w:lang w:eastAsia="cs-CZ"/>
              </w:rPr>
            </w:pPr>
            <w:r w:rsidRPr="002C6A11">
              <w:rPr>
                <w:rFonts w:eastAsia="Times New Roman" w:cs="Times New Roman"/>
                <w:color w:val="000000"/>
                <w:sz w:val="18"/>
                <w:szCs w:val="18"/>
                <w:lang w:eastAsia="cs-CZ"/>
              </w:rPr>
              <w:t>J-imp</w:t>
            </w:r>
          </w:p>
        </w:tc>
        <w:tc>
          <w:tcPr>
            <w:tcW w:w="3828" w:type="dxa"/>
            <w:tcBorders>
              <w:top w:val="nil"/>
              <w:left w:val="nil"/>
              <w:bottom w:val="single" w:sz="4" w:space="0" w:color="auto"/>
              <w:right w:val="single" w:sz="4" w:space="0" w:color="auto"/>
            </w:tcBorders>
            <w:shd w:val="clear" w:color="auto" w:fill="auto"/>
            <w:noWrap/>
            <w:vAlign w:val="bottom"/>
            <w:hideMark/>
          </w:tcPr>
          <w:p w:rsidR="000D6D11" w:rsidRPr="002C6A11" w:rsidRDefault="000D6D11" w:rsidP="00585039">
            <w:pPr>
              <w:keepNext/>
              <w:spacing w:before="0" w:after="0"/>
              <w:jc w:val="left"/>
              <w:rPr>
                <w:rFonts w:eastAsia="Times New Roman" w:cs="Times New Roman"/>
                <w:color w:val="000000"/>
                <w:sz w:val="18"/>
                <w:szCs w:val="18"/>
                <w:lang w:eastAsia="cs-CZ"/>
              </w:rPr>
            </w:pPr>
            <w:r w:rsidRPr="002C6A11">
              <w:rPr>
                <w:rFonts w:eastAsia="Times New Roman" w:cs="Times New Roman"/>
                <w:color w:val="000000"/>
                <w:sz w:val="18"/>
                <w:szCs w:val="18"/>
                <w:lang w:eastAsia="cs-CZ"/>
              </w:rPr>
              <w:t>Impaktovaný článek v odborném periodiku</w:t>
            </w:r>
          </w:p>
        </w:tc>
        <w:tc>
          <w:tcPr>
            <w:tcW w:w="561" w:type="dxa"/>
            <w:tcBorders>
              <w:top w:val="nil"/>
              <w:left w:val="nil"/>
              <w:bottom w:val="single" w:sz="4" w:space="0" w:color="auto"/>
              <w:right w:val="single" w:sz="4" w:space="0" w:color="auto"/>
            </w:tcBorders>
            <w:shd w:val="clear" w:color="auto" w:fill="auto"/>
            <w:noWrap/>
            <w:vAlign w:val="bottom"/>
            <w:hideMark/>
          </w:tcPr>
          <w:p w:rsidR="000D6D11" w:rsidRPr="002C6A11" w:rsidRDefault="000D6D11" w:rsidP="00585039">
            <w:pPr>
              <w:keepNext/>
              <w:spacing w:before="0" w:after="0"/>
              <w:ind w:left="-506" w:right="30"/>
              <w:jc w:val="right"/>
              <w:rPr>
                <w:rFonts w:eastAsia="Times New Roman" w:cs="Times New Roman"/>
                <w:color w:val="000000"/>
                <w:sz w:val="18"/>
                <w:szCs w:val="18"/>
                <w:lang w:eastAsia="cs-CZ"/>
              </w:rPr>
            </w:pPr>
            <w:r w:rsidRPr="002C6A11">
              <w:rPr>
                <w:rFonts w:eastAsia="Times New Roman" w:cs="Times New Roman"/>
                <w:color w:val="000000"/>
                <w:sz w:val="18"/>
                <w:szCs w:val="18"/>
                <w:lang w:eastAsia="cs-CZ"/>
              </w:rPr>
              <w:t>2</w:t>
            </w:r>
          </w:p>
        </w:tc>
      </w:tr>
      <w:tr w:rsidR="000D6D11" w:rsidRPr="002C6A11" w:rsidTr="00585039">
        <w:trPr>
          <w:trHeight w:val="225"/>
        </w:trPr>
        <w:tc>
          <w:tcPr>
            <w:tcW w:w="1204" w:type="dxa"/>
            <w:vMerge/>
            <w:tcBorders>
              <w:top w:val="nil"/>
              <w:left w:val="single" w:sz="4" w:space="0" w:color="auto"/>
              <w:bottom w:val="single" w:sz="4" w:space="0" w:color="000000"/>
              <w:right w:val="single" w:sz="4" w:space="0" w:color="auto"/>
            </w:tcBorders>
            <w:vAlign w:val="center"/>
            <w:hideMark/>
          </w:tcPr>
          <w:p w:rsidR="000D6D11" w:rsidRPr="002C6A11" w:rsidRDefault="000D6D11" w:rsidP="00585039">
            <w:pPr>
              <w:keepNext/>
              <w:spacing w:before="0" w:after="0"/>
              <w:jc w:val="left"/>
              <w:rPr>
                <w:rFonts w:eastAsia="Times New Roman" w:cs="Times New Roman"/>
                <w:color w:val="000000"/>
                <w:sz w:val="18"/>
                <w:szCs w:val="18"/>
                <w:lang w:eastAsia="cs-CZ"/>
              </w:rPr>
            </w:pPr>
          </w:p>
        </w:tc>
        <w:tc>
          <w:tcPr>
            <w:tcW w:w="2410"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0D6D11" w:rsidRPr="002C6A11" w:rsidRDefault="000D6D11" w:rsidP="00585039">
            <w:pPr>
              <w:keepNext/>
              <w:spacing w:before="0" w:after="0"/>
              <w:jc w:val="left"/>
              <w:rPr>
                <w:rFonts w:eastAsia="Times New Roman" w:cs="Times New Roman"/>
                <w:color w:val="000000"/>
                <w:sz w:val="18"/>
                <w:szCs w:val="18"/>
                <w:lang w:eastAsia="cs-CZ"/>
              </w:rPr>
            </w:pPr>
            <w:r w:rsidRPr="002C6A11">
              <w:rPr>
                <w:rFonts w:eastAsia="Times New Roman" w:cs="Times New Roman"/>
                <w:color w:val="000000"/>
                <w:sz w:val="18"/>
                <w:szCs w:val="18"/>
                <w:lang w:eastAsia="cs-CZ"/>
              </w:rPr>
              <w:t>Policie ČR Kriminalistický ústav Praha</w:t>
            </w:r>
          </w:p>
        </w:tc>
        <w:tc>
          <w:tcPr>
            <w:tcW w:w="708" w:type="dxa"/>
            <w:tcBorders>
              <w:top w:val="nil"/>
              <w:left w:val="nil"/>
              <w:bottom w:val="single" w:sz="4" w:space="0" w:color="auto"/>
              <w:right w:val="single" w:sz="4" w:space="0" w:color="auto"/>
            </w:tcBorders>
            <w:shd w:val="clear" w:color="auto" w:fill="auto"/>
            <w:noWrap/>
            <w:vAlign w:val="bottom"/>
            <w:hideMark/>
          </w:tcPr>
          <w:p w:rsidR="000D6D11" w:rsidRPr="002C6A11" w:rsidRDefault="000D6D11" w:rsidP="00585039">
            <w:pPr>
              <w:keepNext/>
              <w:spacing w:before="0" w:after="0"/>
              <w:jc w:val="center"/>
              <w:rPr>
                <w:rFonts w:eastAsia="Times New Roman" w:cs="Times New Roman"/>
                <w:color w:val="000000"/>
                <w:sz w:val="18"/>
                <w:szCs w:val="18"/>
                <w:lang w:eastAsia="cs-CZ"/>
              </w:rPr>
            </w:pPr>
            <w:r w:rsidRPr="002C6A11">
              <w:rPr>
                <w:rFonts w:eastAsia="Times New Roman" w:cs="Times New Roman"/>
                <w:color w:val="000000"/>
                <w:sz w:val="18"/>
                <w:szCs w:val="18"/>
                <w:lang w:eastAsia="cs-CZ"/>
              </w:rPr>
              <w:t>B</w:t>
            </w:r>
          </w:p>
        </w:tc>
        <w:tc>
          <w:tcPr>
            <w:tcW w:w="3828" w:type="dxa"/>
            <w:tcBorders>
              <w:top w:val="nil"/>
              <w:left w:val="nil"/>
              <w:bottom w:val="single" w:sz="4" w:space="0" w:color="auto"/>
              <w:right w:val="single" w:sz="4" w:space="0" w:color="auto"/>
            </w:tcBorders>
            <w:shd w:val="clear" w:color="auto" w:fill="auto"/>
            <w:noWrap/>
            <w:vAlign w:val="bottom"/>
            <w:hideMark/>
          </w:tcPr>
          <w:p w:rsidR="000D6D11" w:rsidRPr="002C6A11" w:rsidRDefault="000D6D11" w:rsidP="00585039">
            <w:pPr>
              <w:keepNext/>
              <w:spacing w:before="0" w:after="0"/>
              <w:jc w:val="left"/>
              <w:rPr>
                <w:rFonts w:eastAsia="Times New Roman" w:cs="Times New Roman"/>
                <w:color w:val="000000"/>
                <w:sz w:val="18"/>
                <w:szCs w:val="18"/>
                <w:lang w:eastAsia="cs-CZ"/>
              </w:rPr>
            </w:pPr>
            <w:r w:rsidRPr="002C6A11">
              <w:rPr>
                <w:rFonts w:eastAsia="Times New Roman" w:cs="Times New Roman"/>
                <w:color w:val="000000"/>
                <w:sz w:val="18"/>
                <w:szCs w:val="18"/>
                <w:lang w:eastAsia="cs-CZ"/>
              </w:rPr>
              <w:t>Odborná monografie</w:t>
            </w:r>
          </w:p>
        </w:tc>
        <w:tc>
          <w:tcPr>
            <w:tcW w:w="561" w:type="dxa"/>
            <w:tcBorders>
              <w:top w:val="nil"/>
              <w:left w:val="nil"/>
              <w:bottom w:val="single" w:sz="4" w:space="0" w:color="auto"/>
              <w:right w:val="single" w:sz="4" w:space="0" w:color="auto"/>
            </w:tcBorders>
            <w:shd w:val="clear" w:color="auto" w:fill="auto"/>
            <w:noWrap/>
            <w:vAlign w:val="bottom"/>
            <w:hideMark/>
          </w:tcPr>
          <w:p w:rsidR="000D6D11" w:rsidRPr="002C6A11" w:rsidRDefault="000D6D11" w:rsidP="00585039">
            <w:pPr>
              <w:keepNext/>
              <w:spacing w:before="0" w:after="0"/>
              <w:ind w:left="-506" w:right="30"/>
              <w:jc w:val="right"/>
              <w:rPr>
                <w:rFonts w:eastAsia="Times New Roman" w:cs="Times New Roman"/>
                <w:color w:val="000000"/>
                <w:sz w:val="18"/>
                <w:szCs w:val="18"/>
                <w:lang w:eastAsia="cs-CZ"/>
              </w:rPr>
            </w:pPr>
            <w:r w:rsidRPr="002C6A11">
              <w:rPr>
                <w:rFonts w:eastAsia="Times New Roman" w:cs="Times New Roman"/>
                <w:color w:val="000000"/>
                <w:sz w:val="18"/>
                <w:szCs w:val="18"/>
                <w:lang w:eastAsia="cs-CZ"/>
              </w:rPr>
              <w:t>1</w:t>
            </w:r>
          </w:p>
        </w:tc>
      </w:tr>
      <w:tr w:rsidR="000D6D11" w:rsidRPr="002C6A11" w:rsidTr="00585039">
        <w:trPr>
          <w:trHeight w:val="225"/>
        </w:trPr>
        <w:tc>
          <w:tcPr>
            <w:tcW w:w="1204" w:type="dxa"/>
            <w:vMerge/>
            <w:tcBorders>
              <w:top w:val="nil"/>
              <w:left w:val="single" w:sz="4" w:space="0" w:color="auto"/>
              <w:bottom w:val="single" w:sz="4" w:space="0" w:color="000000"/>
              <w:right w:val="single" w:sz="4" w:space="0" w:color="auto"/>
            </w:tcBorders>
            <w:vAlign w:val="center"/>
            <w:hideMark/>
          </w:tcPr>
          <w:p w:rsidR="000D6D11" w:rsidRPr="002C6A11" w:rsidRDefault="000D6D11" w:rsidP="00585039">
            <w:pPr>
              <w:keepNext/>
              <w:spacing w:before="0" w:after="0"/>
              <w:jc w:val="left"/>
              <w:rPr>
                <w:rFonts w:eastAsia="Times New Roman" w:cs="Times New Roman"/>
                <w:color w:val="000000"/>
                <w:sz w:val="18"/>
                <w:szCs w:val="18"/>
                <w:lang w:eastAsia="cs-CZ"/>
              </w:rPr>
            </w:pPr>
          </w:p>
        </w:tc>
        <w:tc>
          <w:tcPr>
            <w:tcW w:w="2410" w:type="dxa"/>
            <w:vMerge/>
            <w:tcBorders>
              <w:top w:val="nil"/>
              <w:left w:val="single" w:sz="4" w:space="0" w:color="auto"/>
              <w:bottom w:val="single" w:sz="4" w:space="0" w:color="000000"/>
              <w:right w:val="single" w:sz="4" w:space="0" w:color="auto"/>
            </w:tcBorders>
            <w:vAlign w:val="center"/>
            <w:hideMark/>
          </w:tcPr>
          <w:p w:rsidR="000D6D11" w:rsidRPr="002C6A11" w:rsidRDefault="000D6D11" w:rsidP="00585039">
            <w:pPr>
              <w:keepNext/>
              <w:spacing w:before="0" w:after="0"/>
              <w:jc w:val="left"/>
              <w:rPr>
                <w:rFonts w:eastAsia="Times New Roman" w:cs="Times New Roman"/>
                <w:color w:val="000000"/>
                <w:sz w:val="18"/>
                <w:szCs w:val="18"/>
                <w:lang w:eastAsia="cs-CZ"/>
              </w:rPr>
            </w:pPr>
          </w:p>
        </w:tc>
        <w:tc>
          <w:tcPr>
            <w:tcW w:w="708" w:type="dxa"/>
            <w:tcBorders>
              <w:top w:val="nil"/>
              <w:left w:val="nil"/>
              <w:bottom w:val="single" w:sz="4" w:space="0" w:color="auto"/>
              <w:right w:val="single" w:sz="4" w:space="0" w:color="auto"/>
            </w:tcBorders>
            <w:shd w:val="clear" w:color="auto" w:fill="auto"/>
            <w:noWrap/>
            <w:vAlign w:val="bottom"/>
            <w:hideMark/>
          </w:tcPr>
          <w:p w:rsidR="000D6D11" w:rsidRPr="002C6A11" w:rsidRDefault="000D6D11" w:rsidP="00585039">
            <w:pPr>
              <w:keepNext/>
              <w:spacing w:before="0" w:after="0"/>
              <w:jc w:val="center"/>
              <w:rPr>
                <w:rFonts w:eastAsia="Times New Roman" w:cs="Times New Roman"/>
                <w:color w:val="000000"/>
                <w:sz w:val="18"/>
                <w:szCs w:val="18"/>
                <w:lang w:eastAsia="cs-CZ"/>
              </w:rPr>
            </w:pPr>
            <w:r w:rsidRPr="002C6A11">
              <w:rPr>
                <w:rFonts w:eastAsia="Times New Roman" w:cs="Times New Roman"/>
                <w:color w:val="000000"/>
                <w:sz w:val="18"/>
                <w:szCs w:val="18"/>
                <w:lang w:eastAsia="cs-CZ"/>
              </w:rPr>
              <w:t>C</w:t>
            </w:r>
          </w:p>
        </w:tc>
        <w:tc>
          <w:tcPr>
            <w:tcW w:w="3828" w:type="dxa"/>
            <w:tcBorders>
              <w:top w:val="nil"/>
              <w:left w:val="nil"/>
              <w:bottom w:val="single" w:sz="4" w:space="0" w:color="auto"/>
              <w:right w:val="single" w:sz="4" w:space="0" w:color="auto"/>
            </w:tcBorders>
            <w:shd w:val="clear" w:color="auto" w:fill="auto"/>
            <w:noWrap/>
            <w:vAlign w:val="bottom"/>
            <w:hideMark/>
          </w:tcPr>
          <w:p w:rsidR="000D6D11" w:rsidRPr="002C6A11" w:rsidRDefault="000D6D11" w:rsidP="00585039">
            <w:pPr>
              <w:keepNext/>
              <w:spacing w:before="0" w:after="0"/>
              <w:jc w:val="left"/>
              <w:rPr>
                <w:rFonts w:eastAsia="Times New Roman" w:cs="Times New Roman"/>
                <w:color w:val="000000"/>
                <w:sz w:val="18"/>
                <w:szCs w:val="18"/>
                <w:lang w:eastAsia="cs-CZ"/>
              </w:rPr>
            </w:pPr>
            <w:r w:rsidRPr="002C6A11">
              <w:rPr>
                <w:rFonts w:eastAsia="Times New Roman" w:cs="Times New Roman"/>
                <w:color w:val="000000"/>
                <w:sz w:val="18"/>
                <w:szCs w:val="18"/>
                <w:lang w:eastAsia="cs-CZ"/>
              </w:rPr>
              <w:t>Kapitola resp. kapitoly v odborné knize</w:t>
            </w:r>
          </w:p>
        </w:tc>
        <w:tc>
          <w:tcPr>
            <w:tcW w:w="561" w:type="dxa"/>
            <w:tcBorders>
              <w:top w:val="nil"/>
              <w:left w:val="nil"/>
              <w:bottom w:val="single" w:sz="4" w:space="0" w:color="auto"/>
              <w:right w:val="single" w:sz="4" w:space="0" w:color="auto"/>
            </w:tcBorders>
            <w:shd w:val="clear" w:color="auto" w:fill="auto"/>
            <w:noWrap/>
            <w:vAlign w:val="bottom"/>
            <w:hideMark/>
          </w:tcPr>
          <w:p w:rsidR="000D6D11" w:rsidRPr="002C6A11" w:rsidRDefault="000D6D11" w:rsidP="00585039">
            <w:pPr>
              <w:keepNext/>
              <w:spacing w:before="0" w:after="0"/>
              <w:ind w:left="-506" w:right="30"/>
              <w:jc w:val="right"/>
              <w:rPr>
                <w:rFonts w:eastAsia="Times New Roman" w:cs="Times New Roman"/>
                <w:color w:val="000000"/>
                <w:sz w:val="18"/>
                <w:szCs w:val="18"/>
                <w:lang w:eastAsia="cs-CZ"/>
              </w:rPr>
            </w:pPr>
            <w:r w:rsidRPr="002C6A11">
              <w:rPr>
                <w:rFonts w:eastAsia="Times New Roman" w:cs="Times New Roman"/>
                <w:color w:val="000000"/>
                <w:sz w:val="18"/>
                <w:szCs w:val="18"/>
                <w:lang w:eastAsia="cs-CZ"/>
              </w:rPr>
              <w:t>3</w:t>
            </w:r>
          </w:p>
        </w:tc>
      </w:tr>
      <w:tr w:rsidR="000D6D11" w:rsidRPr="002C6A11" w:rsidTr="00585039">
        <w:trPr>
          <w:trHeight w:val="225"/>
        </w:trPr>
        <w:tc>
          <w:tcPr>
            <w:tcW w:w="1204" w:type="dxa"/>
            <w:vMerge/>
            <w:tcBorders>
              <w:top w:val="nil"/>
              <w:left w:val="single" w:sz="4" w:space="0" w:color="auto"/>
              <w:bottom w:val="single" w:sz="4" w:space="0" w:color="000000"/>
              <w:right w:val="single" w:sz="4" w:space="0" w:color="auto"/>
            </w:tcBorders>
            <w:vAlign w:val="center"/>
            <w:hideMark/>
          </w:tcPr>
          <w:p w:rsidR="000D6D11" w:rsidRPr="002C6A11" w:rsidRDefault="000D6D11" w:rsidP="00585039">
            <w:pPr>
              <w:keepNext/>
              <w:spacing w:before="0" w:after="0"/>
              <w:jc w:val="left"/>
              <w:rPr>
                <w:rFonts w:eastAsia="Times New Roman" w:cs="Times New Roman"/>
                <w:color w:val="000000"/>
                <w:sz w:val="18"/>
                <w:szCs w:val="18"/>
                <w:lang w:eastAsia="cs-CZ"/>
              </w:rPr>
            </w:pPr>
          </w:p>
        </w:tc>
        <w:tc>
          <w:tcPr>
            <w:tcW w:w="2410" w:type="dxa"/>
            <w:vMerge/>
            <w:tcBorders>
              <w:top w:val="nil"/>
              <w:left w:val="single" w:sz="4" w:space="0" w:color="auto"/>
              <w:bottom w:val="single" w:sz="4" w:space="0" w:color="000000"/>
              <w:right w:val="single" w:sz="4" w:space="0" w:color="auto"/>
            </w:tcBorders>
            <w:vAlign w:val="center"/>
            <w:hideMark/>
          </w:tcPr>
          <w:p w:rsidR="000D6D11" w:rsidRPr="002C6A11" w:rsidRDefault="000D6D11" w:rsidP="00585039">
            <w:pPr>
              <w:keepNext/>
              <w:spacing w:before="0" w:after="0"/>
              <w:jc w:val="left"/>
              <w:rPr>
                <w:rFonts w:eastAsia="Times New Roman" w:cs="Times New Roman"/>
                <w:color w:val="000000"/>
                <w:sz w:val="18"/>
                <w:szCs w:val="18"/>
                <w:lang w:eastAsia="cs-CZ"/>
              </w:rPr>
            </w:pPr>
          </w:p>
        </w:tc>
        <w:tc>
          <w:tcPr>
            <w:tcW w:w="708" w:type="dxa"/>
            <w:tcBorders>
              <w:top w:val="nil"/>
              <w:left w:val="nil"/>
              <w:bottom w:val="single" w:sz="4" w:space="0" w:color="auto"/>
              <w:right w:val="single" w:sz="4" w:space="0" w:color="auto"/>
            </w:tcBorders>
            <w:shd w:val="clear" w:color="auto" w:fill="auto"/>
            <w:noWrap/>
            <w:vAlign w:val="bottom"/>
            <w:hideMark/>
          </w:tcPr>
          <w:p w:rsidR="000D6D11" w:rsidRPr="002C6A11" w:rsidRDefault="000D6D11" w:rsidP="00585039">
            <w:pPr>
              <w:keepNext/>
              <w:spacing w:before="0" w:after="0"/>
              <w:jc w:val="center"/>
              <w:rPr>
                <w:rFonts w:eastAsia="Times New Roman" w:cs="Times New Roman"/>
                <w:color w:val="000000"/>
                <w:sz w:val="18"/>
                <w:szCs w:val="18"/>
                <w:lang w:eastAsia="cs-CZ"/>
              </w:rPr>
            </w:pPr>
            <w:r w:rsidRPr="002C6A11">
              <w:rPr>
                <w:rFonts w:eastAsia="Times New Roman" w:cs="Times New Roman"/>
                <w:color w:val="000000"/>
                <w:sz w:val="18"/>
                <w:szCs w:val="18"/>
                <w:lang w:eastAsia="cs-CZ"/>
              </w:rPr>
              <w:t>D</w:t>
            </w:r>
          </w:p>
        </w:tc>
        <w:tc>
          <w:tcPr>
            <w:tcW w:w="3828" w:type="dxa"/>
            <w:tcBorders>
              <w:top w:val="nil"/>
              <w:left w:val="nil"/>
              <w:bottom w:val="single" w:sz="4" w:space="0" w:color="auto"/>
              <w:right w:val="single" w:sz="4" w:space="0" w:color="auto"/>
            </w:tcBorders>
            <w:shd w:val="clear" w:color="auto" w:fill="auto"/>
            <w:noWrap/>
            <w:vAlign w:val="bottom"/>
            <w:hideMark/>
          </w:tcPr>
          <w:p w:rsidR="000D6D11" w:rsidRPr="002C6A11" w:rsidRDefault="000D6D11" w:rsidP="00585039">
            <w:pPr>
              <w:keepNext/>
              <w:spacing w:before="0" w:after="0"/>
              <w:jc w:val="left"/>
              <w:rPr>
                <w:rFonts w:eastAsia="Times New Roman" w:cs="Times New Roman"/>
                <w:color w:val="000000"/>
                <w:sz w:val="18"/>
                <w:szCs w:val="18"/>
                <w:lang w:eastAsia="cs-CZ"/>
              </w:rPr>
            </w:pPr>
            <w:r w:rsidRPr="002C6A11">
              <w:rPr>
                <w:rFonts w:eastAsia="Times New Roman" w:cs="Times New Roman"/>
                <w:color w:val="000000"/>
                <w:sz w:val="18"/>
                <w:szCs w:val="18"/>
                <w:lang w:eastAsia="cs-CZ"/>
              </w:rPr>
              <w:t>Článek ve sborníku z akce</w:t>
            </w:r>
          </w:p>
        </w:tc>
        <w:tc>
          <w:tcPr>
            <w:tcW w:w="561" w:type="dxa"/>
            <w:tcBorders>
              <w:top w:val="nil"/>
              <w:left w:val="nil"/>
              <w:bottom w:val="single" w:sz="4" w:space="0" w:color="auto"/>
              <w:right w:val="single" w:sz="4" w:space="0" w:color="auto"/>
            </w:tcBorders>
            <w:shd w:val="clear" w:color="auto" w:fill="auto"/>
            <w:noWrap/>
            <w:vAlign w:val="bottom"/>
            <w:hideMark/>
          </w:tcPr>
          <w:p w:rsidR="000D6D11" w:rsidRPr="002C6A11" w:rsidRDefault="000D6D11" w:rsidP="00585039">
            <w:pPr>
              <w:keepNext/>
              <w:spacing w:before="0" w:after="0"/>
              <w:ind w:left="-506" w:right="30"/>
              <w:jc w:val="right"/>
              <w:rPr>
                <w:rFonts w:eastAsia="Times New Roman" w:cs="Times New Roman"/>
                <w:color w:val="000000"/>
                <w:sz w:val="18"/>
                <w:szCs w:val="18"/>
                <w:lang w:eastAsia="cs-CZ"/>
              </w:rPr>
            </w:pPr>
            <w:r w:rsidRPr="002C6A11">
              <w:rPr>
                <w:rFonts w:eastAsia="Times New Roman" w:cs="Times New Roman"/>
                <w:color w:val="000000"/>
                <w:sz w:val="18"/>
                <w:szCs w:val="18"/>
                <w:lang w:eastAsia="cs-CZ"/>
              </w:rPr>
              <w:t>4</w:t>
            </w:r>
          </w:p>
        </w:tc>
      </w:tr>
      <w:tr w:rsidR="000D6D11" w:rsidRPr="002C6A11" w:rsidTr="00585039">
        <w:trPr>
          <w:trHeight w:val="225"/>
        </w:trPr>
        <w:tc>
          <w:tcPr>
            <w:tcW w:w="1204" w:type="dxa"/>
            <w:vMerge/>
            <w:tcBorders>
              <w:top w:val="nil"/>
              <w:left w:val="single" w:sz="4" w:space="0" w:color="auto"/>
              <w:bottom w:val="single" w:sz="4" w:space="0" w:color="000000"/>
              <w:right w:val="single" w:sz="4" w:space="0" w:color="auto"/>
            </w:tcBorders>
            <w:vAlign w:val="center"/>
            <w:hideMark/>
          </w:tcPr>
          <w:p w:rsidR="000D6D11" w:rsidRPr="002C6A11" w:rsidRDefault="000D6D11" w:rsidP="00585039">
            <w:pPr>
              <w:keepNext/>
              <w:spacing w:before="0" w:after="0"/>
              <w:jc w:val="left"/>
              <w:rPr>
                <w:rFonts w:eastAsia="Times New Roman" w:cs="Times New Roman"/>
                <w:color w:val="000000"/>
                <w:sz w:val="18"/>
                <w:szCs w:val="18"/>
                <w:lang w:eastAsia="cs-CZ"/>
              </w:rPr>
            </w:pPr>
          </w:p>
        </w:tc>
        <w:tc>
          <w:tcPr>
            <w:tcW w:w="2410" w:type="dxa"/>
            <w:vMerge/>
            <w:tcBorders>
              <w:top w:val="nil"/>
              <w:left w:val="single" w:sz="4" w:space="0" w:color="auto"/>
              <w:bottom w:val="single" w:sz="4" w:space="0" w:color="000000"/>
              <w:right w:val="single" w:sz="4" w:space="0" w:color="auto"/>
            </w:tcBorders>
            <w:vAlign w:val="center"/>
            <w:hideMark/>
          </w:tcPr>
          <w:p w:rsidR="000D6D11" w:rsidRPr="002C6A11" w:rsidRDefault="000D6D11" w:rsidP="00585039">
            <w:pPr>
              <w:keepNext/>
              <w:spacing w:before="0" w:after="0"/>
              <w:jc w:val="left"/>
              <w:rPr>
                <w:rFonts w:eastAsia="Times New Roman" w:cs="Times New Roman"/>
                <w:color w:val="000000"/>
                <w:sz w:val="18"/>
                <w:szCs w:val="18"/>
                <w:lang w:eastAsia="cs-CZ"/>
              </w:rPr>
            </w:pPr>
          </w:p>
        </w:tc>
        <w:tc>
          <w:tcPr>
            <w:tcW w:w="708" w:type="dxa"/>
            <w:tcBorders>
              <w:top w:val="nil"/>
              <w:left w:val="nil"/>
              <w:bottom w:val="single" w:sz="4" w:space="0" w:color="auto"/>
              <w:right w:val="single" w:sz="4" w:space="0" w:color="auto"/>
            </w:tcBorders>
            <w:shd w:val="clear" w:color="auto" w:fill="auto"/>
            <w:noWrap/>
            <w:vAlign w:val="bottom"/>
            <w:hideMark/>
          </w:tcPr>
          <w:p w:rsidR="000D6D11" w:rsidRPr="002C6A11" w:rsidRDefault="000D6D11" w:rsidP="00585039">
            <w:pPr>
              <w:keepNext/>
              <w:spacing w:before="0" w:after="0"/>
              <w:jc w:val="center"/>
              <w:rPr>
                <w:rFonts w:eastAsia="Times New Roman" w:cs="Times New Roman"/>
                <w:color w:val="000000"/>
                <w:sz w:val="18"/>
                <w:szCs w:val="18"/>
                <w:lang w:eastAsia="cs-CZ"/>
              </w:rPr>
            </w:pPr>
            <w:r w:rsidRPr="002C6A11">
              <w:rPr>
                <w:rFonts w:eastAsia="Times New Roman" w:cs="Times New Roman"/>
                <w:color w:val="000000"/>
                <w:sz w:val="18"/>
                <w:szCs w:val="18"/>
                <w:lang w:eastAsia="cs-CZ"/>
              </w:rPr>
              <w:t>D-imp</w:t>
            </w:r>
          </w:p>
        </w:tc>
        <w:tc>
          <w:tcPr>
            <w:tcW w:w="3828" w:type="dxa"/>
            <w:tcBorders>
              <w:top w:val="nil"/>
              <w:left w:val="nil"/>
              <w:bottom w:val="single" w:sz="4" w:space="0" w:color="auto"/>
              <w:right w:val="single" w:sz="4" w:space="0" w:color="auto"/>
            </w:tcBorders>
            <w:shd w:val="clear" w:color="auto" w:fill="auto"/>
            <w:noWrap/>
            <w:vAlign w:val="bottom"/>
            <w:hideMark/>
          </w:tcPr>
          <w:p w:rsidR="000D6D11" w:rsidRPr="002C6A11" w:rsidRDefault="000D6D11" w:rsidP="00585039">
            <w:pPr>
              <w:keepNext/>
              <w:spacing w:before="0" w:after="0"/>
              <w:jc w:val="left"/>
              <w:rPr>
                <w:rFonts w:eastAsia="Times New Roman" w:cs="Times New Roman"/>
                <w:color w:val="000000"/>
                <w:sz w:val="18"/>
                <w:szCs w:val="18"/>
                <w:lang w:eastAsia="cs-CZ"/>
              </w:rPr>
            </w:pPr>
            <w:r w:rsidRPr="002C6A11">
              <w:rPr>
                <w:rFonts w:eastAsia="Times New Roman" w:cs="Times New Roman"/>
                <w:color w:val="000000"/>
                <w:sz w:val="18"/>
                <w:szCs w:val="18"/>
                <w:lang w:eastAsia="cs-CZ"/>
              </w:rPr>
              <w:t>Impaktovaný článek ve sborníku</w:t>
            </w:r>
          </w:p>
        </w:tc>
        <w:tc>
          <w:tcPr>
            <w:tcW w:w="561" w:type="dxa"/>
            <w:tcBorders>
              <w:top w:val="nil"/>
              <w:left w:val="nil"/>
              <w:bottom w:val="single" w:sz="4" w:space="0" w:color="auto"/>
              <w:right w:val="single" w:sz="4" w:space="0" w:color="auto"/>
            </w:tcBorders>
            <w:shd w:val="clear" w:color="auto" w:fill="auto"/>
            <w:noWrap/>
            <w:vAlign w:val="bottom"/>
            <w:hideMark/>
          </w:tcPr>
          <w:p w:rsidR="000D6D11" w:rsidRPr="002C6A11" w:rsidRDefault="000D6D11" w:rsidP="00585039">
            <w:pPr>
              <w:keepNext/>
              <w:spacing w:before="0" w:after="0"/>
              <w:ind w:left="-506" w:right="30"/>
              <w:jc w:val="right"/>
              <w:rPr>
                <w:rFonts w:eastAsia="Times New Roman" w:cs="Times New Roman"/>
                <w:color w:val="000000"/>
                <w:sz w:val="18"/>
                <w:szCs w:val="18"/>
                <w:lang w:eastAsia="cs-CZ"/>
              </w:rPr>
            </w:pPr>
            <w:r w:rsidRPr="002C6A11">
              <w:rPr>
                <w:rFonts w:eastAsia="Times New Roman" w:cs="Times New Roman"/>
                <w:color w:val="000000"/>
                <w:sz w:val="18"/>
                <w:szCs w:val="18"/>
                <w:lang w:eastAsia="cs-CZ"/>
              </w:rPr>
              <w:t>1</w:t>
            </w:r>
          </w:p>
        </w:tc>
      </w:tr>
      <w:tr w:rsidR="000D6D11" w:rsidRPr="002C6A11" w:rsidTr="00585039">
        <w:trPr>
          <w:trHeight w:val="225"/>
        </w:trPr>
        <w:tc>
          <w:tcPr>
            <w:tcW w:w="1204" w:type="dxa"/>
            <w:vMerge/>
            <w:tcBorders>
              <w:top w:val="nil"/>
              <w:left w:val="single" w:sz="4" w:space="0" w:color="auto"/>
              <w:bottom w:val="single" w:sz="4" w:space="0" w:color="000000"/>
              <w:right w:val="single" w:sz="4" w:space="0" w:color="auto"/>
            </w:tcBorders>
            <w:vAlign w:val="center"/>
            <w:hideMark/>
          </w:tcPr>
          <w:p w:rsidR="000D6D11" w:rsidRPr="002C6A11" w:rsidRDefault="000D6D11" w:rsidP="00585039">
            <w:pPr>
              <w:keepNext/>
              <w:spacing w:before="0" w:after="0"/>
              <w:jc w:val="left"/>
              <w:rPr>
                <w:rFonts w:eastAsia="Times New Roman" w:cs="Times New Roman"/>
                <w:color w:val="000000"/>
                <w:sz w:val="18"/>
                <w:szCs w:val="18"/>
                <w:lang w:eastAsia="cs-CZ"/>
              </w:rPr>
            </w:pPr>
          </w:p>
        </w:tc>
        <w:tc>
          <w:tcPr>
            <w:tcW w:w="2410" w:type="dxa"/>
            <w:vMerge/>
            <w:tcBorders>
              <w:top w:val="nil"/>
              <w:left w:val="single" w:sz="4" w:space="0" w:color="auto"/>
              <w:bottom w:val="single" w:sz="4" w:space="0" w:color="000000"/>
              <w:right w:val="single" w:sz="4" w:space="0" w:color="auto"/>
            </w:tcBorders>
            <w:vAlign w:val="center"/>
            <w:hideMark/>
          </w:tcPr>
          <w:p w:rsidR="000D6D11" w:rsidRPr="002C6A11" w:rsidRDefault="000D6D11" w:rsidP="00585039">
            <w:pPr>
              <w:keepNext/>
              <w:spacing w:before="0" w:after="0"/>
              <w:jc w:val="left"/>
              <w:rPr>
                <w:rFonts w:eastAsia="Times New Roman" w:cs="Times New Roman"/>
                <w:color w:val="000000"/>
                <w:sz w:val="18"/>
                <w:szCs w:val="18"/>
                <w:lang w:eastAsia="cs-CZ"/>
              </w:rPr>
            </w:pPr>
          </w:p>
        </w:tc>
        <w:tc>
          <w:tcPr>
            <w:tcW w:w="708" w:type="dxa"/>
            <w:tcBorders>
              <w:top w:val="nil"/>
              <w:left w:val="nil"/>
              <w:bottom w:val="single" w:sz="4" w:space="0" w:color="auto"/>
              <w:right w:val="single" w:sz="4" w:space="0" w:color="auto"/>
            </w:tcBorders>
            <w:shd w:val="clear" w:color="auto" w:fill="auto"/>
            <w:noWrap/>
            <w:vAlign w:val="bottom"/>
            <w:hideMark/>
          </w:tcPr>
          <w:p w:rsidR="000D6D11" w:rsidRPr="002C6A11" w:rsidRDefault="000D6D11" w:rsidP="00585039">
            <w:pPr>
              <w:keepNext/>
              <w:spacing w:before="0" w:after="0"/>
              <w:jc w:val="center"/>
              <w:rPr>
                <w:rFonts w:eastAsia="Times New Roman" w:cs="Times New Roman"/>
                <w:color w:val="000000"/>
                <w:sz w:val="18"/>
                <w:szCs w:val="18"/>
                <w:lang w:eastAsia="cs-CZ"/>
              </w:rPr>
            </w:pPr>
            <w:r w:rsidRPr="002C6A11">
              <w:rPr>
                <w:rFonts w:eastAsia="Times New Roman" w:cs="Times New Roman"/>
                <w:color w:val="000000"/>
                <w:sz w:val="18"/>
                <w:szCs w:val="18"/>
                <w:lang w:eastAsia="cs-CZ"/>
              </w:rPr>
              <w:t>J</w:t>
            </w:r>
          </w:p>
        </w:tc>
        <w:tc>
          <w:tcPr>
            <w:tcW w:w="3828" w:type="dxa"/>
            <w:tcBorders>
              <w:top w:val="nil"/>
              <w:left w:val="nil"/>
              <w:bottom w:val="single" w:sz="4" w:space="0" w:color="auto"/>
              <w:right w:val="single" w:sz="4" w:space="0" w:color="auto"/>
            </w:tcBorders>
            <w:shd w:val="clear" w:color="auto" w:fill="auto"/>
            <w:noWrap/>
            <w:vAlign w:val="bottom"/>
            <w:hideMark/>
          </w:tcPr>
          <w:p w:rsidR="000D6D11" w:rsidRPr="002C6A11" w:rsidRDefault="000D6D11" w:rsidP="00585039">
            <w:pPr>
              <w:keepNext/>
              <w:spacing w:before="0" w:after="0"/>
              <w:jc w:val="left"/>
              <w:rPr>
                <w:rFonts w:eastAsia="Times New Roman" w:cs="Times New Roman"/>
                <w:color w:val="000000"/>
                <w:sz w:val="18"/>
                <w:szCs w:val="18"/>
                <w:lang w:eastAsia="cs-CZ"/>
              </w:rPr>
            </w:pPr>
            <w:r w:rsidRPr="002C6A11">
              <w:rPr>
                <w:rFonts w:eastAsia="Times New Roman" w:cs="Times New Roman"/>
                <w:color w:val="000000"/>
                <w:sz w:val="18"/>
                <w:szCs w:val="18"/>
                <w:lang w:eastAsia="cs-CZ"/>
              </w:rPr>
              <w:t>Článek v odborném periodiku</w:t>
            </w:r>
          </w:p>
        </w:tc>
        <w:tc>
          <w:tcPr>
            <w:tcW w:w="561" w:type="dxa"/>
            <w:tcBorders>
              <w:top w:val="nil"/>
              <w:left w:val="nil"/>
              <w:bottom w:val="single" w:sz="4" w:space="0" w:color="auto"/>
              <w:right w:val="single" w:sz="4" w:space="0" w:color="auto"/>
            </w:tcBorders>
            <w:shd w:val="clear" w:color="auto" w:fill="auto"/>
            <w:noWrap/>
            <w:vAlign w:val="bottom"/>
            <w:hideMark/>
          </w:tcPr>
          <w:p w:rsidR="000D6D11" w:rsidRPr="002C6A11" w:rsidRDefault="000D6D11" w:rsidP="00585039">
            <w:pPr>
              <w:keepNext/>
              <w:spacing w:before="0" w:after="0"/>
              <w:ind w:left="-506" w:right="30"/>
              <w:jc w:val="right"/>
              <w:rPr>
                <w:rFonts w:eastAsia="Times New Roman" w:cs="Times New Roman"/>
                <w:color w:val="000000"/>
                <w:sz w:val="18"/>
                <w:szCs w:val="18"/>
                <w:lang w:eastAsia="cs-CZ"/>
              </w:rPr>
            </w:pPr>
            <w:r w:rsidRPr="002C6A11">
              <w:rPr>
                <w:rFonts w:eastAsia="Times New Roman" w:cs="Times New Roman"/>
                <w:color w:val="000000"/>
                <w:sz w:val="18"/>
                <w:szCs w:val="18"/>
                <w:lang w:eastAsia="cs-CZ"/>
              </w:rPr>
              <w:t>24</w:t>
            </w:r>
          </w:p>
        </w:tc>
      </w:tr>
      <w:tr w:rsidR="000D6D11" w:rsidRPr="002C6A11" w:rsidTr="00585039">
        <w:trPr>
          <w:trHeight w:val="225"/>
        </w:trPr>
        <w:tc>
          <w:tcPr>
            <w:tcW w:w="1204" w:type="dxa"/>
            <w:vMerge/>
            <w:tcBorders>
              <w:top w:val="nil"/>
              <w:left w:val="single" w:sz="4" w:space="0" w:color="auto"/>
              <w:bottom w:val="single" w:sz="4" w:space="0" w:color="000000"/>
              <w:right w:val="single" w:sz="4" w:space="0" w:color="auto"/>
            </w:tcBorders>
            <w:vAlign w:val="center"/>
            <w:hideMark/>
          </w:tcPr>
          <w:p w:rsidR="000D6D11" w:rsidRPr="002C6A11" w:rsidRDefault="000D6D11" w:rsidP="00585039">
            <w:pPr>
              <w:keepNext/>
              <w:spacing w:before="0" w:after="0"/>
              <w:jc w:val="left"/>
              <w:rPr>
                <w:rFonts w:eastAsia="Times New Roman" w:cs="Times New Roman"/>
                <w:color w:val="000000"/>
                <w:sz w:val="18"/>
                <w:szCs w:val="18"/>
                <w:lang w:eastAsia="cs-CZ"/>
              </w:rPr>
            </w:pPr>
          </w:p>
        </w:tc>
        <w:tc>
          <w:tcPr>
            <w:tcW w:w="2410" w:type="dxa"/>
            <w:vMerge/>
            <w:tcBorders>
              <w:top w:val="nil"/>
              <w:left w:val="single" w:sz="4" w:space="0" w:color="auto"/>
              <w:bottom w:val="single" w:sz="4" w:space="0" w:color="000000"/>
              <w:right w:val="single" w:sz="4" w:space="0" w:color="auto"/>
            </w:tcBorders>
            <w:vAlign w:val="center"/>
            <w:hideMark/>
          </w:tcPr>
          <w:p w:rsidR="000D6D11" w:rsidRPr="002C6A11" w:rsidRDefault="000D6D11" w:rsidP="00585039">
            <w:pPr>
              <w:keepNext/>
              <w:spacing w:before="0" w:after="0"/>
              <w:jc w:val="left"/>
              <w:rPr>
                <w:rFonts w:eastAsia="Times New Roman" w:cs="Times New Roman"/>
                <w:color w:val="000000"/>
                <w:sz w:val="18"/>
                <w:szCs w:val="18"/>
                <w:lang w:eastAsia="cs-CZ"/>
              </w:rPr>
            </w:pPr>
          </w:p>
        </w:tc>
        <w:tc>
          <w:tcPr>
            <w:tcW w:w="708" w:type="dxa"/>
            <w:tcBorders>
              <w:top w:val="nil"/>
              <w:left w:val="nil"/>
              <w:bottom w:val="single" w:sz="4" w:space="0" w:color="auto"/>
              <w:right w:val="single" w:sz="4" w:space="0" w:color="auto"/>
            </w:tcBorders>
            <w:shd w:val="clear" w:color="auto" w:fill="auto"/>
            <w:noWrap/>
            <w:vAlign w:val="bottom"/>
            <w:hideMark/>
          </w:tcPr>
          <w:p w:rsidR="000D6D11" w:rsidRPr="002C6A11" w:rsidRDefault="000D6D11" w:rsidP="00585039">
            <w:pPr>
              <w:keepNext/>
              <w:spacing w:before="0" w:after="0"/>
              <w:jc w:val="center"/>
              <w:rPr>
                <w:rFonts w:eastAsia="Times New Roman" w:cs="Times New Roman"/>
                <w:color w:val="000000"/>
                <w:sz w:val="18"/>
                <w:szCs w:val="18"/>
                <w:lang w:eastAsia="cs-CZ"/>
              </w:rPr>
            </w:pPr>
            <w:r w:rsidRPr="002C6A11">
              <w:rPr>
                <w:rFonts w:eastAsia="Times New Roman" w:cs="Times New Roman"/>
                <w:color w:val="000000"/>
                <w:sz w:val="18"/>
                <w:szCs w:val="18"/>
                <w:lang w:eastAsia="cs-CZ"/>
              </w:rPr>
              <w:t>J-imp</w:t>
            </w:r>
          </w:p>
        </w:tc>
        <w:tc>
          <w:tcPr>
            <w:tcW w:w="3828" w:type="dxa"/>
            <w:tcBorders>
              <w:top w:val="nil"/>
              <w:left w:val="nil"/>
              <w:bottom w:val="single" w:sz="4" w:space="0" w:color="auto"/>
              <w:right w:val="single" w:sz="4" w:space="0" w:color="auto"/>
            </w:tcBorders>
            <w:shd w:val="clear" w:color="auto" w:fill="auto"/>
            <w:noWrap/>
            <w:vAlign w:val="bottom"/>
            <w:hideMark/>
          </w:tcPr>
          <w:p w:rsidR="000D6D11" w:rsidRPr="002C6A11" w:rsidRDefault="000D6D11" w:rsidP="00585039">
            <w:pPr>
              <w:keepNext/>
              <w:spacing w:before="0" w:after="0"/>
              <w:jc w:val="left"/>
              <w:rPr>
                <w:rFonts w:eastAsia="Times New Roman" w:cs="Times New Roman"/>
                <w:color w:val="000000"/>
                <w:sz w:val="18"/>
                <w:szCs w:val="18"/>
                <w:lang w:eastAsia="cs-CZ"/>
              </w:rPr>
            </w:pPr>
            <w:r w:rsidRPr="002C6A11">
              <w:rPr>
                <w:rFonts w:eastAsia="Times New Roman" w:cs="Times New Roman"/>
                <w:color w:val="000000"/>
                <w:sz w:val="18"/>
                <w:szCs w:val="18"/>
                <w:lang w:eastAsia="cs-CZ"/>
              </w:rPr>
              <w:t>Impaktovaný článek v odborném periodiku</w:t>
            </w:r>
          </w:p>
        </w:tc>
        <w:tc>
          <w:tcPr>
            <w:tcW w:w="561" w:type="dxa"/>
            <w:tcBorders>
              <w:top w:val="nil"/>
              <w:left w:val="nil"/>
              <w:bottom w:val="single" w:sz="4" w:space="0" w:color="auto"/>
              <w:right w:val="single" w:sz="4" w:space="0" w:color="auto"/>
            </w:tcBorders>
            <w:shd w:val="clear" w:color="auto" w:fill="auto"/>
            <w:noWrap/>
            <w:vAlign w:val="bottom"/>
            <w:hideMark/>
          </w:tcPr>
          <w:p w:rsidR="000D6D11" w:rsidRPr="002C6A11" w:rsidRDefault="000D6D11" w:rsidP="00585039">
            <w:pPr>
              <w:keepNext/>
              <w:spacing w:before="0" w:after="0"/>
              <w:ind w:left="-506" w:right="30"/>
              <w:jc w:val="right"/>
              <w:rPr>
                <w:rFonts w:eastAsia="Times New Roman" w:cs="Times New Roman"/>
                <w:color w:val="000000"/>
                <w:sz w:val="18"/>
                <w:szCs w:val="18"/>
                <w:lang w:eastAsia="cs-CZ"/>
              </w:rPr>
            </w:pPr>
            <w:r w:rsidRPr="002C6A11">
              <w:rPr>
                <w:rFonts w:eastAsia="Times New Roman" w:cs="Times New Roman"/>
                <w:color w:val="000000"/>
                <w:sz w:val="18"/>
                <w:szCs w:val="18"/>
                <w:lang w:eastAsia="cs-CZ"/>
              </w:rPr>
              <w:t>11</w:t>
            </w:r>
          </w:p>
        </w:tc>
      </w:tr>
      <w:tr w:rsidR="000D6D11" w:rsidRPr="002C6A11" w:rsidTr="00585039">
        <w:trPr>
          <w:trHeight w:val="225"/>
        </w:trPr>
        <w:tc>
          <w:tcPr>
            <w:tcW w:w="3614" w:type="dxa"/>
            <w:gridSpan w:val="2"/>
            <w:vMerge w:val="restart"/>
            <w:tcBorders>
              <w:top w:val="single" w:sz="4" w:space="0" w:color="auto"/>
              <w:left w:val="single" w:sz="4" w:space="0" w:color="auto"/>
              <w:bottom w:val="single" w:sz="4" w:space="0" w:color="000000"/>
              <w:right w:val="single" w:sz="4" w:space="0" w:color="000000"/>
            </w:tcBorders>
            <w:shd w:val="clear" w:color="auto" w:fill="auto"/>
            <w:noWrap/>
            <w:vAlign w:val="center"/>
            <w:hideMark/>
          </w:tcPr>
          <w:p w:rsidR="000D6D11" w:rsidRPr="002C6A11" w:rsidRDefault="000D6D11" w:rsidP="00585039">
            <w:pPr>
              <w:keepNext/>
              <w:spacing w:before="0" w:after="0"/>
              <w:jc w:val="center"/>
              <w:rPr>
                <w:rFonts w:eastAsia="Times New Roman" w:cs="Times New Roman"/>
                <w:color w:val="000000"/>
                <w:sz w:val="18"/>
                <w:szCs w:val="18"/>
                <w:lang w:eastAsia="cs-CZ"/>
              </w:rPr>
            </w:pPr>
            <w:r w:rsidRPr="002C6A11">
              <w:rPr>
                <w:rFonts w:eastAsia="Times New Roman" w:cs="Times New Roman"/>
                <w:color w:val="000000"/>
                <w:sz w:val="18"/>
                <w:szCs w:val="18"/>
                <w:lang w:eastAsia="cs-CZ"/>
              </w:rPr>
              <w:lastRenderedPageBreak/>
              <w:t>Institut pro kriminologii a sociální prevenci</w:t>
            </w:r>
          </w:p>
        </w:tc>
        <w:tc>
          <w:tcPr>
            <w:tcW w:w="708" w:type="dxa"/>
            <w:tcBorders>
              <w:top w:val="nil"/>
              <w:left w:val="nil"/>
              <w:bottom w:val="single" w:sz="4" w:space="0" w:color="auto"/>
              <w:right w:val="single" w:sz="4" w:space="0" w:color="auto"/>
            </w:tcBorders>
            <w:shd w:val="clear" w:color="auto" w:fill="auto"/>
            <w:noWrap/>
            <w:vAlign w:val="bottom"/>
            <w:hideMark/>
          </w:tcPr>
          <w:p w:rsidR="000D6D11" w:rsidRPr="002C6A11" w:rsidRDefault="000D6D11" w:rsidP="00585039">
            <w:pPr>
              <w:keepNext/>
              <w:spacing w:before="0" w:after="0"/>
              <w:jc w:val="center"/>
              <w:rPr>
                <w:rFonts w:eastAsia="Times New Roman" w:cs="Times New Roman"/>
                <w:color w:val="000000"/>
                <w:sz w:val="18"/>
                <w:szCs w:val="18"/>
                <w:lang w:eastAsia="cs-CZ"/>
              </w:rPr>
            </w:pPr>
            <w:r w:rsidRPr="002C6A11">
              <w:rPr>
                <w:rFonts w:eastAsia="Times New Roman" w:cs="Times New Roman"/>
                <w:color w:val="000000"/>
                <w:sz w:val="18"/>
                <w:szCs w:val="18"/>
                <w:lang w:eastAsia="cs-CZ"/>
              </w:rPr>
              <w:t>B</w:t>
            </w:r>
          </w:p>
        </w:tc>
        <w:tc>
          <w:tcPr>
            <w:tcW w:w="3828" w:type="dxa"/>
            <w:tcBorders>
              <w:top w:val="nil"/>
              <w:left w:val="nil"/>
              <w:bottom w:val="single" w:sz="4" w:space="0" w:color="auto"/>
              <w:right w:val="single" w:sz="4" w:space="0" w:color="auto"/>
            </w:tcBorders>
            <w:shd w:val="clear" w:color="auto" w:fill="auto"/>
            <w:noWrap/>
            <w:vAlign w:val="bottom"/>
            <w:hideMark/>
          </w:tcPr>
          <w:p w:rsidR="000D6D11" w:rsidRPr="002C6A11" w:rsidRDefault="000D6D11" w:rsidP="00585039">
            <w:pPr>
              <w:keepNext/>
              <w:spacing w:before="0" w:after="0"/>
              <w:jc w:val="left"/>
              <w:rPr>
                <w:rFonts w:eastAsia="Times New Roman" w:cs="Times New Roman"/>
                <w:color w:val="000000"/>
                <w:sz w:val="18"/>
                <w:szCs w:val="18"/>
                <w:lang w:eastAsia="cs-CZ"/>
              </w:rPr>
            </w:pPr>
            <w:r w:rsidRPr="002C6A11">
              <w:rPr>
                <w:rFonts w:eastAsia="Times New Roman" w:cs="Times New Roman"/>
                <w:color w:val="000000"/>
                <w:sz w:val="18"/>
                <w:szCs w:val="18"/>
                <w:lang w:eastAsia="cs-CZ"/>
              </w:rPr>
              <w:t>Odborná monografie</w:t>
            </w:r>
          </w:p>
        </w:tc>
        <w:tc>
          <w:tcPr>
            <w:tcW w:w="561" w:type="dxa"/>
            <w:tcBorders>
              <w:top w:val="nil"/>
              <w:left w:val="nil"/>
              <w:bottom w:val="single" w:sz="4" w:space="0" w:color="auto"/>
              <w:right w:val="single" w:sz="4" w:space="0" w:color="auto"/>
            </w:tcBorders>
            <w:shd w:val="clear" w:color="auto" w:fill="auto"/>
            <w:noWrap/>
            <w:vAlign w:val="bottom"/>
            <w:hideMark/>
          </w:tcPr>
          <w:p w:rsidR="000D6D11" w:rsidRPr="002C6A11" w:rsidRDefault="000D6D11" w:rsidP="00585039">
            <w:pPr>
              <w:keepNext/>
              <w:spacing w:before="0" w:after="0"/>
              <w:ind w:left="-506" w:right="30"/>
              <w:jc w:val="right"/>
              <w:rPr>
                <w:rFonts w:eastAsia="Times New Roman" w:cs="Times New Roman"/>
                <w:color w:val="000000"/>
                <w:sz w:val="18"/>
                <w:szCs w:val="18"/>
                <w:lang w:eastAsia="cs-CZ"/>
              </w:rPr>
            </w:pPr>
            <w:r w:rsidRPr="002C6A11">
              <w:rPr>
                <w:rFonts w:eastAsia="Times New Roman" w:cs="Times New Roman"/>
                <w:color w:val="000000"/>
                <w:sz w:val="18"/>
                <w:szCs w:val="18"/>
                <w:lang w:eastAsia="cs-CZ"/>
              </w:rPr>
              <w:t>3</w:t>
            </w:r>
          </w:p>
        </w:tc>
      </w:tr>
      <w:tr w:rsidR="000D6D11" w:rsidRPr="002C6A11" w:rsidTr="00585039">
        <w:trPr>
          <w:trHeight w:val="225"/>
        </w:trPr>
        <w:tc>
          <w:tcPr>
            <w:tcW w:w="3614" w:type="dxa"/>
            <w:gridSpan w:val="2"/>
            <w:vMerge/>
            <w:tcBorders>
              <w:top w:val="single" w:sz="4" w:space="0" w:color="auto"/>
              <w:left w:val="single" w:sz="4" w:space="0" w:color="auto"/>
              <w:bottom w:val="single" w:sz="4" w:space="0" w:color="000000"/>
              <w:right w:val="single" w:sz="4" w:space="0" w:color="000000"/>
            </w:tcBorders>
            <w:vAlign w:val="center"/>
            <w:hideMark/>
          </w:tcPr>
          <w:p w:rsidR="000D6D11" w:rsidRPr="002C6A11" w:rsidRDefault="000D6D11" w:rsidP="00585039">
            <w:pPr>
              <w:keepNext/>
              <w:spacing w:before="0" w:after="0"/>
              <w:jc w:val="left"/>
              <w:rPr>
                <w:rFonts w:eastAsia="Times New Roman" w:cs="Times New Roman"/>
                <w:color w:val="000000"/>
                <w:sz w:val="18"/>
                <w:szCs w:val="18"/>
                <w:lang w:eastAsia="cs-CZ"/>
              </w:rPr>
            </w:pPr>
          </w:p>
        </w:tc>
        <w:tc>
          <w:tcPr>
            <w:tcW w:w="708" w:type="dxa"/>
            <w:tcBorders>
              <w:top w:val="nil"/>
              <w:left w:val="nil"/>
              <w:bottom w:val="single" w:sz="4" w:space="0" w:color="auto"/>
              <w:right w:val="single" w:sz="4" w:space="0" w:color="auto"/>
            </w:tcBorders>
            <w:shd w:val="clear" w:color="auto" w:fill="auto"/>
            <w:noWrap/>
            <w:vAlign w:val="bottom"/>
            <w:hideMark/>
          </w:tcPr>
          <w:p w:rsidR="000D6D11" w:rsidRPr="002C6A11" w:rsidRDefault="000D6D11" w:rsidP="00585039">
            <w:pPr>
              <w:keepNext/>
              <w:spacing w:before="0" w:after="0"/>
              <w:jc w:val="center"/>
              <w:rPr>
                <w:rFonts w:eastAsia="Times New Roman" w:cs="Times New Roman"/>
                <w:color w:val="000000"/>
                <w:sz w:val="18"/>
                <w:szCs w:val="18"/>
                <w:lang w:eastAsia="cs-CZ"/>
              </w:rPr>
            </w:pPr>
            <w:r w:rsidRPr="002C6A11">
              <w:rPr>
                <w:rFonts w:eastAsia="Times New Roman" w:cs="Times New Roman"/>
                <w:color w:val="000000"/>
                <w:sz w:val="18"/>
                <w:szCs w:val="18"/>
                <w:lang w:eastAsia="cs-CZ"/>
              </w:rPr>
              <w:t>J</w:t>
            </w:r>
          </w:p>
        </w:tc>
        <w:tc>
          <w:tcPr>
            <w:tcW w:w="3828" w:type="dxa"/>
            <w:tcBorders>
              <w:top w:val="nil"/>
              <w:left w:val="nil"/>
              <w:bottom w:val="single" w:sz="4" w:space="0" w:color="auto"/>
              <w:right w:val="single" w:sz="4" w:space="0" w:color="auto"/>
            </w:tcBorders>
            <w:shd w:val="clear" w:color="auto" w:fill="auto"/>
            <w:noWrap/>
            <w:vAlign w:val="bottom"/>
            <w:hideMark/>
          </w:tcPr>
          <w:p w:rsidR="000D6D11" w:rsidRPr="002C6A11" w:rsidRDefault="000D6D11" w:rsidP="00585039">
            <w:pPr>
              <w:keepNext/>
              <w:spacing w:before="0" w:after="0"/>
              <w:jc w:val="left"/>
              <w:rPr>
                <w:rFonts w:eastAsia="Times New Roman" w:cs="Times New Roman"/>
                <w:color w:val="000000"/>
                <w:sz w:val="18"/>
                <w:szCs w:val="18"/>
                <w:lang w:eastAsia="cs-CZ"/>
              </w:rPr>
            </w:pPr>
            <w:r w:rsidRPr="002C6A11">
              <w:rPr>
                <w:rFonts w:eastAsia="Times New Roman" w:cs="Times New Roman"/>
                <w:color w:val="000000"/>
                <w:sz w:val="18"/>
                <w:szCs w:val="18"/>
                <w:lang w:eastAsia="cs-CZ"/>
              </w:rPr>
              <w:t>Článek v odborném periodiku</w:t>
            </w:r>
          </w:p>
        </w:tc>
        <w:tc>
          <w:tcPr>
            <w:tcW w:w="561" w:type="dxa"/>
            <w:tcBorders>
              <w:top w:val="nil"/>
              <w:left w:val="nil"/>
              <w:bottom w:val="single" w:sz="4" w:space="0" w:color="auto"/>
              <w:right w:val="single" w:sz="4" w:space="0" w:color="auto"/>
            </w:tcBorders>
            <w:shd w:val="clear" w:color="auto" w:fill="auto"/>
            <w:noWrap/>
            <w:vAlign w:val="bottom"/>
            <w:hideMark/>
          </w:tcPr>
          <w:p w:rsidR="000D6D11" w:rsidRPr="002C6A11" w:rsidRDefault="000D6D11" w:rsidP="00585039">
            <w:pPr>
              <w:keepNext/>
              <w:spacing w:before="0" w:after="0"/>
              <w:ind w:left="-506" w:right="30"/>
              <w:jc w:val="right"/>
              <w:rPr>
                <w:rFonts w:eastAsia="Times New Roman" w:cs="Times New Roman"/>
                <w:color w:val="000000"/>
                <w:sz w:val="18"/>
                <w:szCs w:val="18"/>
                <w:lang w:eastAsia="cs-CZ"/>
              </w:rPr>
            </w:pPr>
            <w:r w:rsidRPr="002C6A11">
              <w:rPr>
                <w:rFonts w:eastAsia="Times New Roman" w:cs="Times New Roman"/>
                <w:color w:val="000000"/>
                <w:sz w:val="18"/>
                <w:szCs w:val="18"/>
                <w:lang w:eastAsia="cs-CZ"/>
              </w:rPr>
              <w:t>3</w:t>
            </w:r>
          </w:p>
        </w:tc>
      </w:tr>
      <w:tr w:rsidR="000D6D11" w:rsidRPr="002C6A11" w:rsidTr="00585039">
        <w:trPr>
          <w:trHeight w:val="225"/>
        </w:trPr>
        <w:tc>
          <w:tcPr>
            <w:tcW w:w="3614" w:type="dxa"/>
            <w:gridSpan w:val="2"/>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0D6D11" w:rsidRPr="002C6A11" w:rsidRDefault="000D6D11" w:rsidP="00585039">
            <w:pPr>
              <w:keepNext/>
              <w:spacing w:before="0" w:after="0"/>
              <w:jc w:val="center"/>
              <w:rPr>
                <w:rFonts w:eastAsia="Times New Roman" w:cs="Times New Roman"/>
                <w:color w:val="000000"/>
                <w:sz w:val="18"/>
                <w:szCs w:val="18"/>
                <w:lang w:eastAsia="cs-CZ"/>
              </w:rPr>
            </w:pPr>
            <w:r w:rsidRPr="002C6A11">
              <w:rPr>
                <w:rFonts w:eastAsia="Times New Roman" w:cs="Times New Roman"/>
                <w:color w:val="000000"/>
                <w:sz w:val="18"/>
                <w:szCs w:val="18"/>
                <w:lang w:eastAsia="cs-CZ"/>
              </w:rPr>
              <w:t>Národní archiv</w:t>
            </w:r>
          </w:p>
        </w:tc>
        <w:tc>
          <w:tcPr>
            <w:tcW w:w="708" w:type="dxa"/>
            <w:tcBorders>
              <w:top w:val="nil"/>
              <w:left w:val="nil"/>
              <w:bottom w:val="single" w:sz="4" w:space="0" w:color="auto"/>
              <w:right w:val="single" w:sz="4" w:space="0" w:color="auto"/>
            </w:tcBorders>
            <w:shd w:val="clear" w:color="auto" w:fill="auto"/>
            <w:noWrap/>
            <w:vAlign w:val="bottom"/>
            <w:hideMark/>
          </w:tcPr>
          <w:p w:rsidR="000D6D11" w:rsidRPr="002C6A11" w:rsidRDefault="000D6D11" w:rsidP="00585039">
            <w:pPr>
              <w:keepNext/>
              <w:spacing w:before="0" w:after="0"/>
              <w:jc w:val="center"/>
              <w:rPr>
                <w:rFonts w:eastAsia="Times New Roman" w:cs="Times New Roman"/>
                <w:color w:val="000000"/>
                <w:sz w:val="18"/>
                <w:szCs w:val="18"/>
                <w:lang w:eastAsia="cs-CZ"/>
              </w:rPr>
            </w:pPr>
            <w:r w:rsidRPr="002C6A11">
              <w:rPr>
                <w:rFonts w:eastAsia="Times New Roman" w:cs="Times New Roman"/>
                <w:color w:val="000000"/>
                <w:sz w:val="18"/>
                <w:szCs w:val="18"/>
                <w:lang w:eastAsia="cs-CZ"/>
              </w:rPr>
              <w:t>J</w:t>
            </w:r>
          </w:p>
        </w:tc>
        <w:tc>
          <w:tcPr>
            <w:tcW w:w="3828" w:type="dxa"/>
            <w:tcBorders>
              <w:top w:val="nil"/>
              <w:left w:val="nil"/>
              <w:bottom w:val="single" w:sz="4" w:space="0" w:color="auto"/>
              <w:right w:val="single" w:sz="4" w:space="0" w:color="auto"/>
            </w:tcBorders>
            <w:shd w:val="clear" w:color="auto" w:fill="auto"/>
            <w:noWrap/>
            <w:vAlign w:val="bottom"/>
            <w:hideMark/>
          </w:tcPr>
          <w:p w:rsidR="000D6D11" w:rsidRPr="002C6A11" w:rsidRDefault="000D6D11" w:rsidP="00585039">
            <w:pPr>
              <w:keepNext/>
              <w:spacing w:before="0" w:after="0"/>
              <w:jc w:val="left"/>
              <w:rPr>
                <w:rFonts w:eastAsia="Times New Roman" w:cs="Times New Roman"/>
                <w:color w:val="000000"/>
                <w:sz w:val="18"/>
                <w:szCs w:val="18"/>
                <w:lang w:eastAsia="cs-CZ"/>
              </w:rPr>
            </w:pPr>
            <w:r w:rsidRPr="002C6A11">
              <w:rPr>
                <w:rFonts w:eastAsia="Times New Roman" w:cs="Times New Roman"/>
                <w:color w:val="000000"/>
                <w:sz w:val="18"/>
                <w:szCs w:val="18"/>
                <w:lang w:eastAsia="cs-CZ"/>
              </w:rPr>
              <w:t>Článek v odborném periodiku</w:t>
            </w:r>
          </w:p>
        </w:tc>
        <w:tc>
          <w:tcPr>
            <w:tcW w:w="561" w:type="dxa"/>
            <w:tcBorders>
              <w:top w:val="nil"/>
              <w:left w:val="nil"/>
              <w:bottom w:val="single" w:sz="4" w:space="0" w:color="auto"/>
              <w:right w:val="single" w:sz="4" w:space="0" w:color="auto"/>
            </w:tcBorders>
            <w:shd w:val="clear" w:color="auto" w:fill="auto"/>
            <w:noWrap/>
            <w:vAlign w:val="bottom"/>
            <w:hideMark/>
          </w:tcPr>
          <w:p w:rsidR="000D6D11" w:rsidRPr="002C6A11" w:rsidRDefault="000D6D11" w:rsidP="00585039">
            <w:pPr>
              <w:keepNext/>
              <w:spacing w:before="0" w:after="0"/>
              <w:ind w:left="-506" w:right="30"/>
              <w:jc w:val="right"/>
              <w:rPr>
                <w:rFonts w:eastAsia="Times New Roman" w:cs="Times New Roman"/>
                <w:color w:val="000000"/>
                <w:sz w:val="18"/>
                <w:szCs w:val="18"/>
                <w:lang w:eastAsia="cs-CZ"/>
              </w:rPr>
            </w:pPr>
            <w:r w:rsidRPr="002C6A11">
              <w:rPr>
                <w:rFonts w:eastAsia="Times New Roman" w:cs="Times New Roman"/>
                <w:color w:val="000000"/>
                <w:sz w:val="18"/>
                <w:szCs w:val="18"/>
                <w:lang w:eastAsia="cs-CZ"/>
              </w:rPr>
              <w:t>1</w:t>
            </w:r>
          </w:p>
        </w:tc>
      </w:tr>
      <w:tr w:rsidR="000D6D11" w:rsidRPr="002C6A11" w:rsidTr="00585039">
        <w:trPr>
          <w:trHeight w:val="225"/>
        </w:trPr>
        <w:tc>
          <w:tcPr>
            <w:tcW w:w="3614" w:type="dxa"/>
            <w:gridSpan w:val="2"/>
            <w:vMerge w:val="restart"/>
            <w:tcBorders>
              <w:top w:val="single" w:sz="4" w:space="0" w:color="auto"/>
              <w:left w:val="single" w:sz="4" w:space="0" w:color="auto"/>
              <w:bottom w:val="single" w:sz="4" w:space="0" w:color="000000"/>
              <w:right w:val="single" w:sz="4" w:space="0" w:color="000000"/>
            </w:tcBorders>
            <w:shd w:val="clear" w:color="auto" w:fill="auto"/>
            <w:noWrap/>
            <w:vAlign w:val="center"/>
            <w:hideMark/>
          </w:tcPr>
          <w:p w:rsidR="000D6D11" w:rsidRPr="002C6A11" w:rsidRDefault="000D6D11" w:rsidP="00585039">
            <w:pPr>
              <w:keepNext/>
              <w:spacing w:before="0" w:after="0"/>
              <w:jc w:val="center"/>
              <w:rPr>
                <w:rFonts w:eastAsia="Times New Roman" w:cs="Times New Roman"/>
                <w:color w:val="000000"/>
                <w:sz w:val="18"/>
                <w:szCs w:val="18"/>
                <w:lang w:eastAsia="cs-CZ"/>
              </w:rPr>
            </w:pPr>
            <w:r w:rsidRPr="002C6A11">
              <w:rPr>
                <w:rFonts w:eastAsia="Times New Roman" w:cs="Times New Roman"/>
                <w:color w:val="000000"/>
                <w:sz w:val="18"/>
                <w:szCs w:val="18"/>
                <w:lang w:eastAsia="cs-CZ"/>
              </w:rPr>
              <w:t>Policejní akademie České republiky v Praze</w:t>
            </w:r>
          </w:p>
        </w:tc>
        <w:tc>
          <w:tcPr>
            <w:tcW w:w="708" w:type="dxa"/>
            <w:tcBorders>
              <w:top w:val="nil"/>
              <w:left w:val="nil"/>
              <w:bottom w:val="single" w:sz="4" w:space="0" w:color="auto"/>
              <w:right w:val="single" w:sz="4" w:space="0" w:color="auto"/>
            </w:tcBorders>
            <w:shd w:val="clear" w:color="auto" w:fill="auto"/>
            <w:noWrap/>
            <w:vAlign w:val="bottom"/>
            <w:hideMark/>
          </w:tcPr>
          <w:p w:rsidR="000D6D11" w:rsidRPr="002C6A11" w:rsidRDefault="000D6D11" w:rsidP="00585039">
            <w:pPr>
              <w:keepNext/>
              <w:spacing w:before="0" w:after="0"/>
              <w:jc w:val="center"/>
              <w:rPr>
                <w:rFonts w:eastAsia="Times New Roman" w:cs="Times New Roman"/>
                <w:color w:val="000000"/>
                <w:sz w:val="18"/>
                <w:szCs w:val="18"/>
                <w:lang w:eastAsia="cs-CZ"/>
              </w:rPr>
            </w:pPr>
            <w:r w:rsidRPr="002C6A11">
              <w:rPr>
                <w:rFonts w:eastAsia="Times New Roman" w:cs="Times New Roman"/>
                <w:color w:val="000000"/>
                <w:sz w:val="18"/>
                <w:szCs w:val="18"/>
                <w:lang w:eastAsia="cs-CZ"/>
              </w:rPr>
              <w:t>B</w:t>
            </w:r>
          </w:p>
        </w:tc>
        <w:tc>
          <w:tcPr>
            <w:tcW w:w="3828" w:type="dxa"/>
            <w:tcBorders>
              <w:top w:val="nil"/>
              <w:left w:val="nil"/>
              <w:bottom w:val="single" w:sz="4" w:space="0" w:color="auto"/>
              <w:right w:val="single" w:sz="4" w:space="0" w:color="auto"/>
            </w:tcBorders>
            <w:shd w:val="clear" w:color="auto" w:fill="auto"/>
            <w:noWrap/>
            <w:vAlign w:val="bottom"/>
            <w:hideMark/>
          </w:tcPr>
          <w:p w:rsidR="000D6D11" w:rsidRPr="002C6A11" w:rsidRDefault="000D6D11" w:rsidP="00585039">
            <w:pPr>
              <w:keepNext/>
              <w:spacing w:before="0" w:after="0"/>
              <w:jc w:val="left"/>
              <w:rPr>
                <w:rFonts w:eastAsia="Times New Roman" w:cs="Times New Roman"/>
                <w:color w:val="000000"/>
                <w:sz w:val="18"/>
                <w:szCs w:val="18"/>
                <w:lang w:eastAsia="cs-CZ"/>
              </w:rPr>
            </w:pPr>
            <w:r w:rsidRPr="002C6A11">
              <w:rPr>
                <w:rFonts w:eastAsia="Times New Roman" w:cs="Times New Roman"/>
                <w:color w:val="000000"/>
                <w:sz w:val="18"/>
                <w:szCs w:val="18"/>
                <w:lang w:eastAsia="cs-CZ"/>
              </w:rPr>
              <w:t>Odborná monografie</w:t>
            </w:r>
          </w:p>
        </w:tc>
        <w:tc>
          <w:tcPr>
            <w:tcW w:w="561" w:type="dxa"/>
            <w:tcBorders>
              <w:top w:val="nil"/>
              <w:left w:val="nil"/>
              <w:bottom w:val="single" w:sz="4" w:space="0" w:color="auto"/>
              <w:right w:val="single" w:sz="4" w:space="0" w:color="auto"/>
            </w:tcBorders>
            <w:shd w:val="clear" w:color="auto" w:fill="auto"/>
            <w:noWrap/>
            <w:vAlign w:val="bottom"/>
            <w:hideMark/>
          </w:tcPr>
          <w:p w:rsidR="000D6D11" w:rsidRPr="002C6A11" w:rsidRDefault="000D6D11" w:rsidP="00585039">
            <w:pPr>
              <w:keepNext/>
              <w:spacing w:before="0" w:after="0"/>
              <w:ind w:left="-506" w:right="30"/>
              <w:jc w:val="right"/>
              <w:rPr>
                <w:rFonts w:eastAsia="Times New Roman" w:cs="Times New Roman"/>
                <w:color w:val="000000"/>
                <w:sz w:val="18"/>
                <w:szCs w:val="18"/>
                <w:lang w:eastAsia="cs-CZ"/>
              </w:rPr>
            </w:pPr>
            <w:r w:rsidRPr="002C6A11">
              <w:rPr>
                <w:rFonts w:eastAsia="Times New Roman" w:cs="Times New Roman"/>
                <w:color w:val="000000"/>
                <w:sz w:val="18"/>
                <w:szCs w:val="18"/>
                <w:lang w:eastAsia="cs-CZ"/>
              </w:rPr>
              <w:t>1</w:t>
            </w:r>
          </w:p>
        </w:tc>
      </w:tr>
      <w:tr w:rsidR="000D6D11" w:rsidRPr="002C6A11" w:rsidTr="00585039">
        <w:trPr>
          <w:trHeight w:val="225"/>
        </w:trPr>
        <w:tc>
          <w:tcPr>
            <w:tcW w:w="3614" w:type="dxa"/>
            <w:gridSpan w:val="2"/>
            <w:vMerge/>
            <w:tcBorders>
              <w:top w:val="single" w:sz="4" w:space="0" w:color="auto"/>
              <w:left w:val="single" w:sz="4" w:space="0" w:color="auto"/>
              <w:bottom w:val="single" w:sz="4" w:space="0" w:color="000000"/>
              <w:right w:val="single" w:sz="4" w:space="0" w:color="000000"/>
            </w:tcBorders>
            <w:vAlign w:val="center"/>
            <w:hideMark/>
          </w:tcPr>
          <w:p w:rsidR="000D6D11" w:rsidRPr="002C6A11" w:rsidRDefault="000D6D11" w:rsidP="00585039">
            <w:pPr>
              <w:keepNext/>
              <w:spacing w:before="0" w:after="0"/>
              <w:jc w:val="left"/>
              <w:rPr>
                <w:rFonts w:eastAsia="Times New Roman" w:cs="Times New Roman"/>
                <w:color w:val="000000"/>
                <w:sz w:val="18"/>
                <w:szCs w:val="18"/>
                <w:lang w:eastAsia="cs-CZ"/>
              </w:rPr>
            </w:pPr>
          </w:p>
        </w:tc>
        <w:tc>
          <w:tcPr>
            <w:tcW w:w="708" w:type="dxa"/>
            <w:tcBorders>
              <w:top w:val="nil"/>
              <w:left w:val="nil"/>
              <w:bottom w:val="single" w:sz="4" w:space="0" w:color="auto"/>
              <w:right w:val="single" w:sz="4" w:space="0" w:color="auto"/>
            </w:tcBorders>
            <w:shd w:val="clear" w:color="auto" w:fill="auto"/>
            <w:noWrap/>
            <w:vAlign w:val="bottom"/>
            <w:hideMark/>
          </w:tcPr>
          <w:p w:rsidR="000D6D11" w:rsidRPr="002C6A11" w:rsidRDefault="000D6D11" w:rsidP="00585039">
            <w:pPr>
              <w:keepNext/>
              <w:spacing w:before="0" w:after="0"/>
              <w:jc w:val="center"/>
              <w:rPr>
                <w:rFonts w:eastAsia="Times New Roman" w:cs="Times New Roman"/>
                <w:color w:val="000000"/>
                <w:sz w:val="18"/>
                <w:szCs w:val="18"/>
                <w:lang w:eastAsia="cs-CZ"/>
              </w:rPr>
            </w:pPr>
            <w:r w:rsidRPr="002C6A11">
              <w:rPr>
                <w:rFonts w:eastAsia="Times New Roman" w:cs="Times New Roman"/>
                <w:color w:val="000000"/>
                <w:sz w:val="18"/>
                <w:szCs w:val="18"/>
                <w:lang w:eastAsia="cs-CZ"/>
              </w:rPr>
              <w:t>D</w:t>
            </w:r>
          </w:p>
        </w:tc>
        <w:tc>
          <w:tcPr>
            <w:tcW w:w="3828" w:type="dxa"/>
            <w:tcBorders>
              <w:top w:val="nil"/>
              <w:left w:val="nil"/>
              <w:bottom w:val="single" w:sz="4" w:space="0" w:color="auto"/>
              <w:right w:val="single" w:sz="4" w:space="0" w:color="auto"/>
            </w:tcBorders>
            <w:shd w:val="clear" w:color="auto" w:fill="auto"/>
            <w:noWrap/>
            <w:vAlign w:val="bottom"/>
            <w:hideMark/>
          </w:tcPr>
          <w:p w:rsidR="000D6D11" w:rsidRPr="002C6A11" w:rsidRDefault="000D6D11" w:rsidP="00585039">
            <w:pPr>
              <w:keepNext/>
              <w:spacing w:before="0" w:after="0"/>
              <w:jc w:val="left"/>
              <w:rPr>
                <w:rFonts w:eastAsia="Times New Roman" w:cs="Times New Roman"/>
                <w:color w:val="000000"/>
                <w:sz w:val="18"/>
                <w:szCs w:val="18"/>
                <w:lang w:eastAsia="cs-CZ"/>
              </w:rPr>
            </w:pPr>
            <w:r w:rsidRPr="002C6A11">
              <w:rPr>
                <w:rFonts w:eastAsia="Times New Roman" w:cs="Times New Roman"/>
                <w:color w:val="000000"/>
                <w:sz w:val="18"/>
                <w:szCs w:val="18"/>
                <w:lang w:eastAsia="cs-CZ"/>
              </w:rPr>
              <w:t>Článek ve sborníku z akce</w:t>
            </w:r>
          </w:p>
        </w:tc>
        <w:tc>
          <w:tcPr>
            <w:tcW w:w="561" w:type="dxa"/>
            <w:tcBorders>
              <w:top w:val="nil"/>
              <w:left w:val="nil"/>
              <w:bottom w:val="single" w:sz="4" w:space="0" w:color="auto"/>
              <w:right w:val="single" w:sz="4" w:space="0" w:color="auto"/>
            </w:tcBorders>
            <w:shd w:val="clear" w:color="auto" w:fill="auto"/>
            <w:noWrap/>
            <w:vAlign w:val="bottom"/>
            <w:hideMark/>
          </w:tcPr>
          <w:p w:rsidR="000D6D11" w:rsidRPr="002C6A11" w:rsidRDefault="000D6D11" w:rsidP="00585039">
            <w:pPr>
              <w:keepNext/>
              <w:spacing w:before="0" w:after="0"/>
              <w:ind w:left="-506" w:right="30"/>
              <w:jc w:val="right"/>
              <w:rPr>
                <w:rFonts w:eastAsia="Times New Roman" w:cs="Times New Roman"/>
                <w:color w:val="000000"/>
                <w:sz w:val="18"/>
                <w:szCs w:val="18"/>
                <w:lang w:eastAsia="cs-CZ"/>
              </w:rPr>
            </w:pPr>
            <w:r w:rsidRPr="002C6A11">
              <w:rPr>
                <w:rFonts w:eastAsia="Times New Roman" w:cs="Times New Roman"/>
                <w:color w:val="000000"/>
                <w:sz w:val="18"/>
                <w:szCs w:val="18"/>
                <w:lang w:eastAsia="cs-CZ"/>
              </w:rPr>
              <w:t>2</w:t>
            </w:r>
          </w:p>
        </w:tc>
      </w:tr>
      <w:tr w:rsidR="000D6D11" w:rsidRPr="002C6A11" w:rsidTr="00585039">
        <w:trPr>
          <w:trHeight w:val="225"/>
        </w:trPr>
        <w:tc>
          <w:tcPr>
            <w:tcW w:w="3614" w:type="dxa"/>
            <w:gridSpan w:val="2"/>
            <w:vMerge/>
            <w:tcBorders>
              <w:top w:val="single" w:sz="4" w:space="0" w:color="auto"/>
              <w:left w:val="single" w:sz="4" w:space="0" w:color="auto"/>
              <w:bottom w:val="single" w:sz="4" w:space="0" w:color="000000"/>
              <w:right w:val="single" w:sz="4" w:space="0" w:color="000000"/>
            </w:tcBorders>
            <w:vAlign w:val="center"/>
            <w:hideMark/>
          </w:tcPr>
          <w:p w:rsidR="000D6D11" w:rsidRPr="002C6A11" w:rsidRDefault="000D6D11" w:rsidP="00D0312B">
            <w:pPr>
              <w:spacing w:before="0" w:after="0"/>
              <w:jc w:val="left"/>
              <w:rPr>
                <w:rFonts w:eastAsia="Times New Roman" w:cs="Times New Roman"/>
                <w:color w:val="000000"/>
                <w:sz w:val="18"/>
                <w:szCs w:val="18"/>
                <w:lang w:eastAsia="cs-CZ"/>
              </w:rPr>
            </w:pPr>
          </w:p>
        </w:tc>
        <w:tc>
          <w:tcPr>
            <w:tcW w:w="708" w:type="dxa"/>
            <w:tcBorders>
              <w:top w:val="nil"/>
              <w:left w:val="nil"/>
              <w:bottom w:val="single" w:sz="4" w:space="0" w:color="auto"/>
              <w:right w:val="single" w:sz="4" w:space="0" w:color="auto"/>
            </w:tcBorders>
            <w:shd w:val="clear" w:color="auto" w:fill="auto"/>
            <w:noWrap/>
            <w:vAlign w:val="bottom"/>
            <w:hideMark/>
          </w:tcPr>
          <w:p w:rsidR="000D6D11" w:rsidRPr="002C6A11" w:rsidRDefault="000D6D11" w:rsidP="00D0312B">
            <w:pPr>
              <w:spacing w:before="0" w:after="0"/>
              <w:jc w:val="center"/>
              <w:rPr>
                <w:rFonts w:eastAsia="Times New Roman" w:cs="Times New Roman"/>
                <w:color w:val="000000"/>
                <w:sz w:val="18"/>
                <w:szCs w:val="18"/>
                <w:lang w:eastAsia="cs-CZ"/>
              </w:rPr>
            </w:pPr>
            <w:r w:rsidRPr="002C6A11">
              <w:rPr>
                <w:rFonts w:eastAsia="Times New Roman" w:cs="Times New Roman"/>
                <w:color w:val="000000"/>
                <w:sz w:val="18"/>
                <w:szCs w:val="18"/>
                <w:lang w:eastAsia="cs-CZ"/>
              </w:rPr>
              <w:t>J</w:t>
            </w:r>
          </w:p>
        </w:tc>
        <w:tc>
          <w:tcPr>
            <w:tcW w:w="3828" w:type="dxa"/>
            <w:tcBorders>
              <w:top w:val="nil"/>
              <w:left w:val="nil"/>
              <w:bottom w:val="single" w:sz="4" w:space="0" w:color="auto"/>
              <w:right w:val="single" w:sz="4" w:space="0" w:color="auto"/>
            </w:tcBorders>
            <w:shd w:val="clear" w:color="auto" w:fill="auto"/>
            <w:noWrap/>
            <w:vAlign w:val="bottom"/>
            <w:hideMark/>
          </w:tcPr>
          <w:p w:rsidR="000D6D11" w:rsidRPr="002C6A11" w:rsidRDefault="000D6D11" w:rsidP="00D0312B">
            <w:pPr>
              <w:spacing w:before="0" w:after="0"/>
              <w:jc w:val="left"/>
              <w:rPr>
                <w:rFonts w:eastAsia="Times New Roman" w:cs="Times New Roman"/>
                <w:color w:val="000000"/>
                <w:sz w:val="18"/>
                <w:szCs w:val="18"/>
                <w:lang w:eastAsia="cs-CZ"/>
              </w:rPr>
            </w:pPr>
            <w:r w:rsidRPr="002C6A11">
              <w:rPr>
                <w:rFonts w:eastAsia="Times New Roman" w:cs="Times New Roman"/>
                <w:color w:val="000000"/>
                <w:sz w:val="18"/>
                <w:szCs w:val="18"/>
                <w:lang w:eastAsia="cs-CZ"/>
              </w:rPr>
              <w:t>Článek v odborném periodiku</w:t>
            </w:r>
          </w:p>
        </w:tc>
        <w:tc>
          <w:tcPr>
            <w:tcW w:w="561" w:type="dxa"/>
            <w:tcBorders>
              <w:top w:val="nil"/>
              <w:left w:val="nil"/>
              <w:bottom w:val="single" w:sz="4" w:space="0" w:color="auto"/>
              <w:right w:val="single" w:sz="4" w:space="0" w:color="auto"/>
            </w:tcBorders>
            <w:shd w:val="clear" w:color="auto" w:fill="auto"/>
            <w:noWrap/>
            <w:vAlign w:val="bottom"/>
            <w:hideMark/>
          </w:tcPr>
          <w:p w:rsidR="000D6D11" w:rsidRPr="002C6A11" w:rsidRDefault="000D6D11" w:rsidP="00D0312B">
            <w:pPr>
              <w:spacing w:before="0" w:after="0"/>
              <w:ind w:left="-506" w:right="30"/>
              <w:jc w:val="right"/>
              <w:rPr>
                <w:rFonts w:eastAsia="Times New Roman" w:cs="Times New Roman"/>
                <w:color w:val="000000"/>
                <w:sz w:val="18"/>
                <w:szCs w:val="18"/>
                <w:lang w:eastAsia="cs-CZ"/>
              </w:rPr>
            </w:pPr>
            <w:r w:rsidRPr="002C6A11">
              <w:rPr>
                <w:rFonts w:eastAsia="Times New Roman" w:cs="Times New Roman"/>
                <w:color w:val="000000"/>
                <w:sz w:val="18"/>
                <w:szCs w:val="18"/>
                <w:lang w:eastAsia="cs-CZ"/>
              </w:rPr>
              <w:t>2</w:t>
            </w:r>
          </w:p>
        </w:tc>
      </w:tr>
      <w:tr w:rsidR="000D6D11" w:rsidRPr="002C6A11" w:rsidTr="00585039">
        <w:trPr>
          <w:trHeight w:val="225"/>
        </w:trPr>
        <w:tc>
          <w:tcPr>
            <w:tcW w:w="3614" w:type="dxa"/>
            <w:gridSpan w:val="2"/>
            <w:vMerge w:val="restart"/>
            <w:tcBorders>
              <w:top w:val="single" w:sz="4" w:space="0" w:color="auto"/>
              <w:left w:val="single" w:sz="4" w:space="0" w:color="auto"/>
              <w:bottom w:val="single" w:sz="4" w:space="0" w:color="000000"/>
              <w:right w:val="single" w:sz="4" w:space="0" w:color="000000"/>
            </w:tcBorders>
            <w:shd w:val="clear" w:color="auto" w:fill="auto"/>
            <w:noWrap/>
            <w:vAlign w:val="center"/>
            <w:hideMark/>
          </w:tcPr>
          <w:p w:rsidR="000D6D11" w:rsidRPr="002C6A11" w:rsidRDefault="000D6D11" w:rsidP="00D0312B">
            <w:pPr>
              <w:spacing w:before="0" w:after="0"/>
              <w:jc w:val="center"/>
              <w:rPr>
                <w:rFonts w:eastAsia="Times New Roman" w:cs="Times New Roman"/>
                <w:color w:val="000000"/>
                <w:sz w:val="18"/>
                <w:szCs w:val="18"/>
                <w:lang w:eastAsia="cs-CZ"/>
              </w:rPr>
            </w:pPr>
            <w:r w:rsidRPr="002C6A11">
              <w:rPr>
                <w:rFonts w:eastAsia="Times New Roman" w:cs="Times New Roman"/>
                <w:color w:val="000000"/>
                <w:sz w:val="18"/>
                <w:szCs w:val="18"/>
                <w:lang w:eastAsia="cs-CZ"/>
              </w:rPr>
              <w:t>Státní ústav jaderné, chemické a biologické ochrany, v.v.i.</w:t>
            </w:r>
          </w:p>
        </w:tc>
        <w:tc>
          <w:tcPr>
            <w:tcW w:w="708" w:type="dxa"/>
            <w:tcBorders>
              <w:top w:val="nil"/>
              <w:left w:val="nil"/>
              <w:bottom w:val="single" w:sz="4" w:space="0" w:color="auto"/>
              <w:right w:val="single" w:sz="4" w:space="0" w:color="auto"/>
            </w:tcBorders>
            <w:shd w:val="clear" w:color="auto" w:fill="auto"/>
            <w:noWrap/>
            <w:vAlign w:val="bottom"/>
            <w:hideMark/>
          </w:tcPr>
          <w:p w:rsidR="000D6D11" w:rsidRPr="002C6A11" w:rsidRDefault="000D6D11" w:rsidP="00D0312B">
            <w:pPr>
              <w:spacing w:before="0" w:after="0"/>
              <w:jc w:val="center"/>
              <w:rPr>
                <w:rFonts w:eastAsia="Times New Roman" w:cs="Times New Roman"/>
                <w:color w:val="000000"/>
                <w:sz w:val="18"/>
                <w:szCs w:val="18"/>
                <w:lang w:eastAsia="cs-CZ"/>
              </w:rPr>
            </w:pPr>
            <w:r w:rsidRPr="002C6A11">
              <w:rPr>
                <w:rFonts w:eastAsia="Times New Roman" w:cs="Times New Roman"/>
                <w:color w:val="000000"/>
                <w:sz w:val="18"/>
                <w:szCs w:val="18"/>
                <w:lang w:eastAsia="cs-CZ"/>
              </w:rPr>
              <w:t>C</w:t>
            </w:r>
          </w:p>
        </w:tc>
        <w:tc>
          <w:tcPr>
            <w:tcW w:w="3828" w:type="dxa"/>
            <w:tcBorders>
              <w:top w:val="nil"/>
              <w:left w:val="nil"/>
              <w:bottom w:val="single" w:sz="4" w:space="0" w:color="auto"/>
              <w:right w:val="single" w:sz="4" w:space="0" w:color="auto"/>
            </w:tcBorders>
            <w:shd w:val="clear" w:color="auto" w:fill="auto"/>
            <w:noWrap/>
            <w:vAlign w:val="bottom"/>
            <w:hideMark/>
          </w:tcPr>
          <w:p w:rsidR="000D6D11" w:rsidRPr="002C6A11" w:rsidRDefault="000D6D11" w:rsidP="00D0312B">
            <w:pPr>
              <w:spacing w:before="0" w:after="0"/>
              <w:jc w:val="left"/>
              <w:rPr>
                <w:rFonts w:eastAsia="Times New Roman" w:cs="Times New Roman"/>
                <w:color w:val="000000"/>
                <w:sz w:val="18"/>
                <w:szCs w:val="18"/>
                <w:lang w:eastAsia="cs-CZ"/>
              </w:rPr>
            </w:pPr>
            <w:r w:rsidRPr="002C6A11">
              <w:rPr>
                <w:rFonts w:eastAsia="Times New Roman" w:cs="Times New Roman"/>
                <w:color w:val="000000"/>
                <w:sz w:val="18"/>
                <w:szCs w:val="18"/>
                <w:lang w:eastAsia="cs-CZ"/>
              </w:rPr>
              <w:t>Kapitola resp. kapitoly v odborné knize</w:t>
            </w:r>
          </w:p>
        </w:tc>
        <w:tc>
          <w:tcPr>
            <w:tcW w:w="561" w:type="dxa"/>
            <w:tcBorders>
              <w:top w:val="nil"/>
              <w:left w:val="nil"/>
              <w:bottom w:val="single" w:sz="4" w:space="0" w:color="auto"/>
              <w:right w:val="single" w:sz="4" w:space="0" w:color="auto"/>
            </w:tcBorders>
            <w:shd w:val="clear" w:color="auto" w:fill="auto"/>
            <w:noWrap/>
            <w:vAlign w:val="bottom"/>
            <w:hideMark/>
          </w:tcPr>
          <w:p w:rsidR="000D6D11" w:rsidRPr="002C6A11" w:rsidRDefault="000D6D11" w:rsidP="00D0312B">
            <w:pPr>
              <w:spacing w:before="0" w:after="0"/>
              <w:ind w:left="-506" w:right="30"/>
              <w:jc w:val="right"/>
              <w:rPr>
                <w:rFonts w:eastAsia="Times New Roman" w:cs="Times New Roman"/>
                <w:color w:val="000000"/>
                <w:sz w:val="18"/>
                <w:szCs w:val="18"/>
                <w:lang w:eastAsia="cs-CZ"/>
              </w:rPr>
            </w:pPr>
            <w:r w:rsidRPr="002C6A11">
              <w:rPr>
                <w:rFonts w:eastAsia="Times New Roman" w:cs="Times New Roman"/>
                <w:color w:val="000000"/>
                <w:sz w:val="18"/>
                <w:szCs w:val="18"/>
                <w:lang w:eastAsia="cs-CZ"/>
              </w:rPr>
              <w:t>1</w:t>
            </w:r>
          </w:p>
        </w:tc>
      </w:tr>
      <w:tr w:rsidR="000D6D11" w:rsidRPr="002C6A11" w:rsidTr="00585039">
        <w:trPr>
          <w:trHeight w:val="225"/>
        </w:trPr>
        <w:tc>
          <w:tcPr>
            <w:tcW w:w="3614" w:type="dxa"/>
            <w:gridSpan w:val="2"/>
            <w:vMerge/>
            <w:tcBorders>
              <w:top w:val="single" w:sz="4" w:space="0" w:color="auto"/>
              <w:left w:val="single" w:sz="4" w:space="0" w:color="auto"/>
              <w:bottom w:val="single" w:sz="4" w:space="0" w:color="000000"/>
              <w:right w:val="single" w:sz="4" w:space="0" w:color="000000"/>
            </w:tcBorders>
            <w:vAlign w:val="center"/>
            <w:hideMark/>
          </w:tcPr>
          <w:p w:rsidR="000D6D11" w:rsidRPr="002C6A11" w:rsidRDefault="000D6D11" w:rsidP="00D0312B">
            <w:pPr>
              <w:spacing w:before="0" w:after="0"/>
              <w:jc w:val="left"/>
              <w:rPr>
                <w:rFonts w:eastAsia="Times New Roman" w:cs="Times New Roman"/>
                <w:color w:val="000000"/>
                <w:sz w:val="18"/>
                <w:szCs w:val="18"/>
                <w:lang w:eastAsia="cs-CZ"/>
              </w:rPr>
            </w:pPr>
          </w:p>
        </w:tc>
        <w:tc>
          <w:tcPr>
            <w:tcW w:w="708" w:type="dxa"/>
            <w:tcBorders>
              <w:top w:val="nil"/>
              <w:left w:val="nil"/>
              <w:bottom w:val="single" w:sz="4" w:space="0" w:color="auto"/>
              <w:right w:val="single" w:sz="4" w:space="0" w:color="auto"/>
            </w:tcBorders>
            <w:shd w:val="clear" w:color="auto" w:fill="auto"/>
            <w:noWrap/>
            <w:vAlign w:val="bottom"/>
            <w:hideMark/>
          </w:tcPr>
          <w:p w:rsidR="000D6D11" w:rsidRPr="002C6A11" w:rsidRDefault="000D6D11" w:rsidP="00D0312B">
            <w:pPr>
              <w:spacing w:before="0" w:after="0"/>
              <w:jc w:val="center"/>
              <w:rPr>
                <w:rFonts w:eastAsia="Times New Roman" w:cs="Times New Roman"/>
                <w:color w:val="000000"/>
                <w:sz w:val="18"/>
                <w:szCs w:val="18"/>
                <w:lang w:eastAsia="cs-CZ"/>
              </w:rPr>
            </w:pPr>
            <w:r w:rsidRPr="002C6A11">
              <w:rPr>
                <w:rFonts w:eastAsia="Times New Roman" w:cs="Times New Roman"/>
                <w:color w:val="000000"/>
                <w:sz w:val="18"/>
                <w:szCs w:val="18"/>
                <w:lang w:eastAsia="cs-CZ"/>
              </w:rPr>
              <w:t>D</w:t>
            </w:r>
          </w:p>
        </w:tc>
        <w:tc>
          <w:tcPr>
            <w:tcW w:w="3828" w:type="dxa"/>
            <w:tcBorders>
              <w:top w:val="nil"/>
              <w:left w:val="nil"/>
              <w:bottom w:val="single" w:sz="4" w:space="0" w:color="auto"/>
              <w:right w:val="single" w:sz="4" w:space="0" w:color="auto"/>
            </w:tcBorders>
            <w:shd w:val="clear" w:color="auto" w:fill="auto"/>
            <w:noWrap/>
            <w:vAlign w:val="bottom"/>
            <w:hideMark/>
          </w:tcPr>
          <w:p w:rsidR="000D6D11" w:rsidRPr="002C6A11" w:rsidRDefault="000D6D11" w:rsidP="00D0312B">
            <w:pPr>
              <w:spacing w:before="0" w:after="0"/>
              <w:jc w:val="left"/>
              <w:rPr>
                <w:rFonts w:eastAsia="Times New Roman" w:cs="Times New Roman"/>
                <w:color w:val="000000"/>
                <w:sz w:val="18"/>
                <w:szCs w:val="18"/>
                <w:lang w:eastAsia="cs-CZ"/>
              </w:rPr>
            </w:pPr>
            <w:r w:rsidRPr="002C6A11">
              <w:rPr>
                <w:rFonts w:eastAsia="Times New Roman" w:cs="Times New Roman"/>
                <w:color w:val="000000"/>
                <w:sz w:val="18"/>
                <w:szCs w:val="18"/>
                <w:lang w:eastAsia="cs-CZ"/>
              </w:rPr>
              <w:t>Článek ve sborníku z akce</w:t>
            </w:r>
          </w:p>
        </w:tc>
        <w:tc>
          <w:tcPr>
            <w:tcW w:w="561" w:type="dxa"/>
            <w:tcBorders>
              <w:top w:val="nil"/>
              <w:left w:val="nil"/>
              <w:bottom w:val="single" w:sz="4" w:space="0" w:color="auto"/>
              <w:right w:val="single" w:sz="4" w:space="0" w:color="auto"/>
            </w:tcBorders>
            <w:shd w:val="clear" w:color="auto" w:fill="auto"/>
            <w:noWrap/>
            <w:vAlign w:val="bottom"/>
            <w:hideMark/>
          </w:tcPr>
          <w:p w:rsidR="000D6D11" w:rsidRPr="002C6A11" w:rsidRDefault="000D6D11" w:rsidP="00D0312B">
            <w:pPr>
              <w:spacing w:before="0" w:after="0"/>
              <w:ind w:left="-506" w:right="30"/>
              <w:jc w:val="right"/>
              <w:rPr>
                <w:rFonts w:eastAsia="Times New Roman" w:cs="Times New Roman"/>
                <w:color w:val="000000"/>
                <w:sz w:val="18"/>
                <w:szCs w:val="18"/>
                <w:lang w:eastAsia="cs-CZ"/>
              </w:rPr>
            </w:pPr>
            <w:r w:rsidRPr="002C6A11">
              <w:rPr>
                <w:rFonts w:eastAsia="Times New Roman" w:cs="Times New Roman"/>
                <w:color w:val="000000"/>
                <w:sz w:val="18"/>
                <w:szCs w:val="18"/>
                <w:lang w:eastAsia="cs-CZ"/>
              </w:rPr>
              <w:t>47</w:t>
            </w:r>
          </w:p>
        </w:tc>
      </w:tr>
      <w:tr w:rsidR="000D6D11" w:rsidRPr="002C6A11" w:rsidTr="00585039">
        <w:trPr>
          <w:trHeight w:val="225"/>
        </w:trPr>
        <w:tc>
          <w:tcPr>
            <w:tcW w:w="3614" w:type="dxa"/>
            <w:gridSpan w:val="2"/>
            <w:vMerge/>
            <w:tcBorders>
              <w:top w:val="single" w:sz="4" w:space="0" w:color="auto"/>
              <w:left w:val="single" w:sz="4" w:space="0" w:color="auto"/>
              <w:bottom w:val="single" w:sz="4" w:space="0" w:color="000000"/>
              <w:right w:val="single" w:sz="4" w:space="0" w:color="000000"/>
            </w:tcBorders>
            <w:vAlign w:val="center"/>
            <w:hideMark/>
          </w:tcPr>
          <w:p w:rsidR="000D6D11" w:rsidRPr="002C6A11" w:rsidRDefault="000D6D11" w:rsidP="00D0312B">
            <w:pPr>
              <w:spacing w:before="0" w:after="0"/>
              <w:jc w:val="left"/>
              <w:rPr>
                <w:rFonts w:eastAsia="Times New Roman" w:cs="Times New Roman"/>
                <w:color w:val="000000"/>
                <w:sz w:val="18"/>
                <w:szCs w:val="18"/>
                <w:lang w:eastAsia="cs-CZ"/>
              </w:rPr>
            </w:pPr>
          </w:p>
        </w:tc>
        <w:tc>
          <w:tcPr>
            <w:tcW w:w="708" w:type="dxa"/>
            <w:tcBorders>
              <w:top w:val="nil"/>
              <w:left w:val="nil"/>
              <w:bottom w:val="single" w:sz="4" w:space="0" w:color="auto"/>
              <w:right w:val="single" w:sz="4" w:space="0" w:color="auto"/>
            </w:tcBorders>
            <w:shd w:val="clear" w:color="auto" w:fill="auto"/>
            <w:noWrap/>
            <w:vAlign w:val="bottom"/>
            <w:hideMark/>
          </w:tcPr>
          <w:p w:rsidR="000D6D11" w:rsidRPr="002C6A11" w:rsidRDefault="000D6D11" w:rsidP="00D0312B">
            <w:pPr>
              <w:spacing w:before="0" w:after="0"/>
              <w:jc w:val="center"/>
              <w:rPr>
                <w:rFonts w:eastAsia="Times New Roman" w:cs="Times New Roman"/>
                <w:color w:val="000000"/>
                <w:sz w:val="18"/>
                <w:szCs w:val="18"/>
                <w:lang w:eastAsia="cs-CZ"/>
              </w:rPr>
            </w:pPr>
            <w:r w:rsidRPr="002C6A11">
              <w:rPr>
                <w:rFonts w:eastAsia="Times New Roman" w:cs="Times New Roman"/>
                <w:color w:val="000000"/>
                <w:sz w:val="18"/>
                <w:szCs w:val="18"/>
                <w:lang w:eastAsia="cs-CZ"/>
              </w:rPr>
              <w:t>D-imp</w:t>
            </w:r>
          </w:p>
        </w:tc>
        <w:tc>
          <w:tcPr>
            <w:tcW w:w="3828" w:type="dxa"/>
            <w:tcBorders>
              <w:top w:val="nil"/>
              <w:left w:val="nil"/>
              <w:bottom w:val="single" w:sz="4" w:space="0" w:color="auto"/>
              <w:right w:val="single" w:sz="4" w:space="0" w:color="auto"/>
            </w:tcBorders>
            <w:shd w:val="clear" w:color="auto" w:fill="auto"/>
            <w:noWrap/>
            <w:vAlign w:val="bottom"/>
            <w:hideMark/>
          </w:tcPr>
          <w:p w:rsidR="000D6D11" w:rsidRPr="002C6A11" w:rsidRDefault="000D6D11" w:rsidP="00D0312B">
            <w:pPr>
              <w:spacing w:before="0" w:after="0"/>
              <w:jc w:val="left"/>
              <w:rPr>
                <w:rFonts w:eastAsia="Times New Roman" w:cs="Times New Roman"/>
                <w:color w:val="000000"/>
                <w:sz w:val="18"/>
                <w:szCs w:val="18"/>
                <w:lang w:eastAsia="cs-CZ"/>
              </w:rPr>
            </w:pPr>
            <w:r w:rsidRPr="002C6A11">
              <w:rPr>
                <w:rFonts w:eastAsia="Times New Roman" w:cs="Times New Roman"/>
                <w:color w:val="000000"/>
                <w:sz w:val="18"/>
                <w:szCs w:val="18"/>
                <w:lang w:eastAsia="cs-CZ"/>
              </w:rPr>
              <w:t>Impaktovaný článek ve sborníku</w:t>
            </w:r>
          </w:p>
        </w:tc>
        <w:tc>
          <w:tcPr>
            <w:tcW w:w="561" w:type="dxa"/>
            <w:tcBorders>
              <w:top w:val="nil"/>
              <w:left w:val="nil"/>
              <w:bottom w:val="single" w:sz="4" w:space="0" w:color="auto"/>
              <w:right w:val="single" w:sz="4" w:space="0" w:color="auto"/>
            </w:tcBorders>
            <w:shd w:val="clear" w:color="auto" w:fill="auto"/>
            <w:noWrap/>
            <w:vAlign w:val="bottom"/>
            <w:hideMark/>
          </w:tcPr>
          <w:p w:rsidR="000D6D11" w:rsidRPr="002C6A11" w:rsidRDefault="000D6D11" w:rsidP="00D0312B">
            <w:pPr>
              <w:spacing w:before="0" w:after="0"/>
              <w:ind w:left="-506" w:right="30"/>
              <w:jc w:val="right"/>
              <w:rPr>
                <w:rFonts w:eastAsia="Times New Roman" w:cs="Times New Roman"/>
                <w:color w:val="000000"/>
                <w:sz w:val="18"/>
                <w:szCs w:val="18"/>
                <w:lang w:eastAsia="cs-CZ"/>
              </w:rPr>
            </w:pPr>
            <w:r w:rsidRPr="002C6A11">
              <w:rPr>
                <w:rFonts w:eastAsia="Times New Roman" w:cs="Times New Roman"/>
                <w:color w:val="000000"/>
                <w:sz w:val="18"/>
                <w:szCs w:val="18"/>
                <w:lang w:eastAsia="cs-CZ"/>
              </w:rPr>
              <w:t>1</w:t>
            </w:r>
          </w:p>
        </w:tc>
      </w:tr>
      <w:tr w:rsidR="000D6D11" w:rsidRPr="002C6A11" w:rsidTr="00585039">
        <w:trPr>
          <w:trHeight w:val="225"/>
        </w:trPr>
        <w:tc>
          <w:tcPr>
            <w:tcW w:w="3614" w:type="dxa"/>
            <w:gridSpan w:val="2"/>
            <w:vMerge/>
            <w:tcBorders>
              <w:top w:val="single" w:sz="4" w:space="0" w:color="auto"/>
              <w:left w:val="single" w:sz="4" w:space="0" w:color="auto"/>
              <w:bottom w:val="single" w:sz="4" w:space="0" w:color="000000"/>
              <w:right w:val="single" w:sz="4" w:space="0" w:color="000000"/>
            </w:tcBorders>
            <w:vAlign w:val="center"/>
            <w:hideMark/>
          </w:tcPr>
          <w:p w:rsidR="000D6D11" w:rsidRPr="002C6A11" w:rsidRDefault="000D6D11" w:rsidP="00D0312B">
            <w:pPr>
              <w:spacing w:before="0" w:after="0"/>
              <w:jc w:val="left"/>
              <w:rPr>
                <w:rFonts w:eastAsia="Times New Roman" w:cs="Times New Roman"/>
                <w:color w:val="000000"/>
                <w:sz w:val="18"/>
                <w:szCs w:val="18"/>
                <w:lang w:eastAsia="cs-CZ"/>
              </w:rPr>
            </w:pPr>
          </w:p>
        </w:tc>
        <w:tc>
          <w:tcPr>
            <w:tcW w:w="708" w:type="dxa"/>
            <w:tcBorders>
              <w:top w:val="nil"/>
              <w:left w:val="nil"/>
              <w:bottom w:val="single" w:sz="4" w:space="0" w:color="auto"/>
              <w:right w:val="single" w:sz="4" w:space="0" w:color="auto"/>
            </w:tcBorders>
            <w:shd w:val="clear" w:color="auto" w:fill="auto"/>
            <w:noWrap/>
            <w:vAlign w:val="bottom"/>
            <w:hideMark/>
          </w:tcPr>
          <w:p w:rsidR="000D6D11" w:rsidRPr="002C6A11" w:rsidRDefault="000D6D11" w:rsidP="00D0312B">
            <w:pPr>
              <w:spacing w:before="0" w:after="0"/>
              <w:jc w:val="center"/>
              <w:rPr>
                <w:rFonts w:eastAsia="Times New Roman" w:cs="Times New Roman"/>
                <w:color w:val="000000"/>
                <w:sz w:val="18"/>
                <w:szCs w:val="18"/>
                <w:lang w:eastAsia="cs-CZ"/>
              </w:rPr>
            </w:pPr>
            <w:r w:rsidRPr="002C6A11">
              <w:rPr>
                <w:rFonts w:eastAsia="Times New Roman" w:cs="Times New Roman"/>
                <w:color w:val="000000"/>
                <w:sz w:val="18"/>
                <w:szCs w:val="18"/>
                <w:lang w:eastAsia="cs-CZ"/>
              </w:rPr>
              <w:t>J</w:t>
            </w:r>
          </w:p>
        </w:tc>
        <w:tc>
          <w:tcPr>
            <w:tcW w:w="3828" w:type="dxa"/>
            <w:tcBorders>
              <w:top w:val="nil"/>
              <w:left w:val="nil"/>
              <w:bottom w:val="single" w:sz="4" w:space="0" w:color="auto"/>
              <w:right w:val="single" w:sz="4" w:space="0" w:color="auto"/>
            </w:tcBorders>
            <w:shd w:val="clear" w:color="auto" w:fill="auto"/>
            <w:noWrap/>
            <w:vAlign w:val="bottom"/>
            <w:hideMark/>
          </w:tcPr>
          <w:p w:rsidR="000D6D11" w:rsidRPr="002C6A11" w:rsidRDefault="000D6D11" w:rsidP="00D0312B">
            <w:pPr>
              <w:spacing w:before="0" w:after="0"/>
              <w:jc w:val="left"/>
              <w:rPr>
                <w:rFonts w:eastAsia="Times New Roman" w:cs="Times New Roman"/>
                <w:color w:val="000000"/>
                <w:sz w:val="18"/>
                <w:szCs w:val="18"/>
                <w:lang w:eastAsia="cs-CZ"/>
              </w:rPr>
            </w:pPr>
            <w:r w:rsidRPr="002C6A11">
              <w:rPr>
                <w:rFonts w:eastAsia="Times New Roman" w:cs="Times New Roman"/>
                <w:color w:val="000000"/>
                <w:sz w:val="18"/>
                <w:szCs w:val="18"/>
                <w:lang w:eastAsia="cs-CZ"/>
              </w:rPr>
              <w:t>Článek v odborném periodiku</w:t>
            </w:r>
          </w:p>
        </w:tc>
        <w:tc>
          <w:tcPr>
            <w:tcW w:w="561" w:type="dxa"/>
            <w:tcBorders>
              <w:top w:val="nil"/>
              <w:left w:val="nil"/>
              <w:bottom w:val="single" w:sz="4" w:space="0" w:color="auto"/>
              <w:right w:val="single" w:sz="4" w:space="0" w:color="auto"/>
            </w:tcBorders>
            <w:shd w:val="clear" w:color="auto" w:fill="auto"/>
            <w:noWrap/>
            <w:vAlign w:val="bottom"/>
            <w:hideMark/>
          </w:tcPr>
          <w:p w:rsidR="000D6D11" w:rsidRPr="002C6A11" w:rsidRDefault="000D6D11" w:rsidP="00D0312B">
            <w:pPr>
              <w:spacing w:before="0" w:after="0"/>
              <w:ind w:left="-506" w:right="30"/>
              <w:jc w:val="right"/>
              <w:rPr>
                <w:rFonts w:eastAsia="Times New Roman" w:cs="Times New Roman"/>
                <w:color w:val="000000"/>
                <w:sz w:val="18"/>
                <w:szCs w:val="18"/>
                <w:lang w:eastAsia="cs-CZ"/>
              </w:rPr>
            </w:pPr>
            <w:r w:rsidRPr="002C6A11">
              <w:rPr>
                <w:rFonts w:eastAsia="Times New Roman" w:cs="Times New Roman"/>
                <w:color w:val="000000"/>
                <w:sz w:val="18"/>
                <w:szCs w:val="18"/>
                <w:lang w:eastAsia="cs-CZ"/>
              </w:rPr>
              <w:t>38</w:t>
            </w:r>
          </w:p>
        </w:tc>
      </w:tr>
      <w:tr w:rsidR="000D6D11" w:rsidRPr="002C6A11" w:rsidTr="00CA53D1">
        <w:trPr>
          <w:trHeight w:val="225"/>
        </w:trPr>
        <w:tc>
          <w:tcPr>
            <w:tcW w:w="3614" w:type="dxa"/>
            <w:gridSpan w:val="2"/>
            <w:vMerge/>
            <w:tcBorders>
              <w:top w:val="single" w:sz="4" w:space="0" w:color="auto"/>
              <w:left w:val="single" w:sz="4" w:space="0" w:color="auto"/>
              <w:bottom w:val="single" w:sz="4" w:space="0" w:color="000000"/>
              <w:right w:val="single" w:sz="4" w:space="0" w:color="000000"/>
            </w:tcBorders>
            <w:vAlign w:val="center"/>
            <w:hideMark/>
          </w:tcPr>
          <w:p w:rsidR="000D6D11" w:rsidRPr="002C6A11" w:rsidRDefault="000D6D11" w:rsidP="00D0312B">
            <w:pPr>
              <w:spacing w:before="0" w:after="0"/>
              <w:jc w:val="left"/>
              <w:rPr>
                <w:rFonts w:eastAsia="Times New Roman" w:cs="Times New Roman"/>
                <w:color w:val="000000"/>
                <w:sz w:val="18"/>
                <w:szCs w:val="18"/>
                <w:lang w:eastAsia="cs-CZ"/>
              </w:rPr>
            </w:pPr>
          </w:p>
        </w:tc>
        <w:tc>
          <w:tcPr>
            <w:tcW w:w="708" w:type="dxa"/>
            <w:tcBorders>
              <w:top w:val="nil"/>
              <w:left w:val="nil"/>
              <w:bottom w:val="single" w:sz="4" w:space="0" w:color="auto"/>
              <w:right w:val="single" w:sz="4" w:space="0" w:color="auto"/>
            </w:tcBorders>
            <w:shd w:val="clear" w:color="auto" w:fill="auto"/>
            <w:noWrap/>
            <w:vAlign w:val="bottom"/>
            <w:hideMark/>
          </w:tcPr>
          <w:p w:rsidR="000D6D11" w:rsidRPr="002C6A11" w:rsidRDefault="000D6D11" w:rsidP="00D0312B">
            <w:pPr>
              <w:spacing w:before="0" w:after="0"/>
              <w:jc w:val="center"/>
              <w:rPr>
                <w:rFonts w:eastAsia="Times New Roman" w:cs="Times New Roman"/>
                <w:color w:val="000000"/>
                <w:sz w:val="18"/>
                <w:szCs w:val="18"/>
                <w:lang w:eastAsia="cs-CZ"/>
              </w:rPr>
            </w:pPr>
            <w:r w:rsidRPr="002C6A11">
              <w:rPr>
                <w:rFonts w:eastAsia="Times New Roman" w:cs="Times New Roman"/>
                <w:color w:val="000000"/>
                <w:sz w:val="18"/>
                <w:szCs w:val="18"/>
                <w:lang w:eastAsia="cs-CZ"/>
              </w:rPr>
              <w:t>J-imp</w:t>
            </w:r>
          </w:p>
        </w:tc>
        <w:tc>
          <w:tcPr>
            <w:tcW w:w="3828" w:type="dxa"/>
            <w:tcBorders>
              <w:top w:val="nil"/>
              <w:left w:val="nil"/>
              <w:bottom w:val="single" w:sz="4" w:space="0" w:color="auto"/>
              <w:right w:val="single" w:sz="4" w:space="0" w:color="auto"/>
            </w:tcBorders>
            <w:shd w:val="clear" w:color="auto" w:fill="auto"/>
            <w:noWrap/>
            <w:vAlign w:val="bottom"/>
            <w:hideMark/>
          </w:tcPr>
          <w:p w:rsidR="000D6D11" w:rsidRPr="002C6A11" w:rsidRDefault="000D6D11" w:rsidP="00D0312B">
            <w:pPr>
              <w:spacing w:before="0" w:after="0"/>
              <w:jc w:val="left"/>
              <w:rPr>
                <w:rFonts w:eastAsia="Times New Roman" w:cs="Times New Roman"/>
                <w:color w:val="000000"/>
                <w:sz w:val="18"/>
                <w:szCs w:val="18"/>
                <w:lang w:eastAsia="cs-CZ"/>
              </w:rPr>
            </w:pPr>
            <w:r w:rsidRPr="002C6A11">
              <w:rPr>
                <w:rFonts w:eastAsia="Times New Roman" w:cs="Times New Roman"/>
                <w:color w:val="000000"/>
                <w:sz w:val="18"/>
                <w:szCs w:val="18"/>
                <w:lang w:eastAsia="cs-CZ"/>
              </w:rPr>
              <w:t>Impaktovaný článek v odborném periodiku</w:t>
            </w:r>
          </w:p>
        </w:tc>
        <w:tc>
          <w:tcPr>
            <w:tcW w:w="561" w:type="dxa"/>
            <w:tcBorders>
              <w:top w:val="nil"/>
              <w:left w:val="nil"/>
              <w:bottom w:val="single" w:sz="4" w:space="0" w:color="auto"/>
              <w:right w:val="single" w:sz="4" w:space="0" w:color="auto"/>
            </w:tcBorders>
            <w:shd w:val="clear" w:color="auto" w:fill="auto"/>
            <w:noWrap/>
            <w:vAlign w:val="bottom"/>
            <w:hideMark/>
          </w:tcPr>
          <w:p w:rsidR="000D6D11" w:rsidRPr="002C6A11" w:rsidRDefault="000D6D11" w:rsidP="00D0312B">
            <w:pPr>
              <w:spacing w:before="0" w:after="0"/>
              <w:ind w:left="-506" w:right="30"/>
              <w:jc w:val="right"/>
              <w:rPr>
                <w:rFonts w:eastAsia="Times New Roman" w:cs="Times New Roman"/>
                <w:color w:val="000000"/>
                <w:sz w:val="18"/>
                <w:szCs w:val="18"/>
                <w:lang w:eastAsia="cs-CZ"/>
              </w:rPr>
            </w:pPr>
            <w:r w:rsidRPr="002C6A11">
              <w:rPr>
                <w:rFonts w:eastAsia="Times New Roman" w:cs="Times New Roman"/>
                <w:color w:val="000000"/>
                <w:sz w:val="18"/>
                <w:szCs w:val="18"/>
                <w:lang w:eastAsia="cs-CZ"/>
              </w:rPr>
              <w:t>7</w:t>
            </w:r>
          </w:p>
        </w:tc>
      </w:tr>
      <w:tr w:rsidR="000D6D11" w:rsidRPr="002C6A11" w:rsidTr="00CA53D1">
        <w:trPr>
          <w:trHeight w:val="225"/>
        </w:trPr>
        <w:tc>
          <w:tcPr>
            <w:tcW w:w="3614" w:type="dxa"/>
            <w:gridSpan w:val="2"/>
            <w:vMerge w:val="restart"/>
            <w:tcBorders>
              <w:top w:val="single" w:sz="4" w:space="0" w:color="000000"/>
              <w:left w:val="single" w:sz="4" w:space="0" w:color="auto"/>
              <w:right w:val="single" w:sz="4" w:space="0" w:color="000000"/>
            </w:tcBorders>
            <w:shd w:val="clear" w:color="auto" w:fill="auto"/>
            <w:noWrap/>
            <w:vAlign w:val="center"/>
            <w:hideMark/>
          </w:tcPr>
          <w:p w:rsidR="000D6D11" w:rsidRPr="002C6A11" w:rsidRDefault="000D6D11" w:rsidP="00D0312B">
            <w:pPr>
              <w:spacing w:before="0" w:after="0"/>
              <w:jc w:val="center"/>
              <w:rPr>
                <w:rFonts w:eastAsia="Times New Roman" w:cs="Times New Roman"/>
                <w:color w:val="000000"/>
                <w:sz w:val="18"/>
                <w:szCs w:val="18"/>
                <w:lang w:eastAsia="cs-CZ"/>
              </w:rPr>
            </w:pPr>
            <w:r w:rsidRPr="002C6A11">
              <w:rPr>
                <w:rFonts w:eastAsia="Times New Roman" w:cs="Times New Roman"/>
                <w:color w:val="000000"/>
                <w:sz w:val="18"/>
                <w:szCs w:val="18"/>
                <w:lang w:eastAsia="cs-CZ"/>
              </w:rPr>
              <w:t>Státní ústav radiační ochrany, v.v.i.</w:t>
            </w:r>
          </w:p>
        </w:tc>
        <w:tc>
          <w:tcPr>
            <w:tcW w:w="708" w:type="dxa"/>
            <w:tcBorders>
              <w:top w:val="nil"/>
              <w:left w:val="nil"/>
              <w:bottom w:val="single" w:sz="4" w:space="0" w:color="auto"/>
              <w:right w:val="single" w:sz="4" w:space="0" w:color="auto"/>
            </w:tcBorders>
            <w:shd w:val="clear" w:color="auto" w:fill="auto"/>
            <w:noWrap/>
            <w:vAlign w:val="bottom"/>
            <w:hideMark/>
          </w:tcPr>
          <w:p w:rsidR="000D6D11" w:rsidRPr="002C6A11" w:rsidRDefault="000D6D11" w:rsidP="00D0312B">
            <w:pPr>
              <w:spacing w:before="0" w:after="0"/>
              <w:jc w:val="center"/>
              <w:rPr>
                <w:rFonts w:eastAsia="Times New Roman" w:cs="Times New Roman"/>
                <w:color w:val="000000"/>
                <w:sz w:val="18"/>
                <w:szCs w:val="18"/>
                <w:lang w:eastAsia="cs-CZ"/>
              </w:rPr>
            </w:pPr>
            <w:r w:rsidRPr="002C6A11">
              <w:rPr>
                <w:rFonts w:eastAsia="Times New Roman" w:cs="Times New Roman"/>
                <w:color w:val="000000"/>
                <w:sz w:val="18"/>
                <w:szCs w:val="18"/>
                <w:lang w:eastAsia="cs-CZ"/>
              </w:rPr>
              <w:t>C</w:t>
            </w:r>
          </w:p>
        </w:tc>
        <w:tc>
          <w:tcPr>
            <w:tcW w:w="3828" w:type="dxa"/>
            <w:tcBorders>
              <w:top w:val="nil"/>
              <w:left w:val="nil"/>
              <w:bottom w:val="single" w:sz="4" w:space="0" w:color="auto"/>
              <w:right w:val="single" w:sz="4" w:space="0" w:color="auto"/>
            </w:tcBorders>
            <w:shd w:val="clear" w:color="auto" w:fill="auto"/>
            <w:noWrap/>
            <w:vAlign w:val="bottom"/>
            <w:hideMark/>
          </w:tcPr>
          <w:p w:rsidR="000D6D11" w:rsidRPr="002C6A11" w:rsidRDefault="000D6D11" w:rsidP="00D0312B">
            <w:pPr>
              <w:spacing w:before="0" w:after="0"/>
              <w:jc w:val="left"/>
              <w:rPr>
                <w:rFonts w:eastAsia="Times New Roman" w:cs="Times New Roman"/>
                <w:color w:val="000000"/>
                <w:sz w:val="18"/>
                <w:szCs w:val="18"/>
                <w:lang w:eastAsia="cs-CZ"/>
              </w:rPr>
            </w:pPr>
            <w:r w:rsidRPr="002C6A11">
              <w:rPr>
                <w:rFonts w:eastAsia="Times New Roman" w:cs="Times New Roman"/>
                <w:color w:val="000000"/>
                <w:sz w:val="18"/>
                <w:szCs w:val="18"/>
                <w:lang w:eastAsia="cs-CZ"/>
              </w:rPr>
              <w:t>Kapitola resp. kapitoly v odborné knize</w:t>
            </w:r>
          </w:p>
        </w:tc>
        <w:tc>
          <w:tcPr>
            <w:tcW w:w="561" w:type="dxa"/>
            <w:tcBorders>
              <w:top w:val="nil"/>
              <w:left w:val="nil"/>
              <w:bottom w:val="single" w:sz="4" w:space="0" w:color="auto"/>
              <w:right w:val="single" w:sz="4" w:space="0" w:color="auto"/>
            </w:tcBorders>
            <w:shd w:val="clear" w:color="auto" w:fill="auto"/>
            <w:noWrap/>
            <w:vAlign w:val="bottom"/>
            <w:hideMark/>
          </w:tcPr>
          <w:p w:rsidR="000D6D11" w:rsidRPr="002C6A11" w:rsidRDefault="000D6D11" w:rsidP="00D0312B">
            <w:pPr>
              <w:spacing w:before="0" w:after="0"/>
              <w:ind w:left="-506" w:right="30"/>
              <w:jc w:val="right"/>
              <w:rPr>
                <w:rFonts w:eastAsia="Times New Roman" w:cs="Times New Roman"/>
                <w:color w:val="000000"/>
                <w:sz w:val="18"/>
                <w:szCs w:val="18"/>
                <w:lang w:eastAsia="cs-CZ"/>
              </w:rPr>
            </w:pPr>
            <w:r w:rsidRPr="002C6A11">
              <w:rPr>
                <w:rFonts w:eastAsia="Times New Roman" w:cs="Times New Roman"/>
                <w:color w:val="000000"/>
                <w:sz w:val="18"/>
                <w:szCs w:val="18"/>
                <w:lang w:eastAsia="cs-CZ"/>
              </w:rPr>
              <w:t>2</w:t>
            </w:r>
          </w:p>
        </w:tc>
      </w:tr>
      <w:tr w:rsidR="000D6D11" w:rsidRPr="002C6A11" w:rsidTr="00CA53D1">
        <w:trPr>
          <w:trHeight w:val="225"/>
        </w:trPr>
        <w:tc>
          <w:tcPr>
            <w:tcW w:w="3614" w:type="dxa"/>
            <w:gridSpan w:val="2"/>
            <w:vMerge/>
            <w:tcBorders>
              <w:top w:val="single" w:sz="4" w:space="0" w:color="000000"/>
              <w:left w:val="single" w:sz="4" w:space="0" w:color="auto"/>
              <w:right w:val="single" w:sz="4" w:space="0" w:color="000000"/>
            </w:tcBorders>
            <w:vAlign w:val="center"/>
            <w:hideMark/>
          </w:tcPr>
          <w:p w:rsidR="000D6D11" w:rsidRPr="002C6A11" w:rsidRDefault="000D6D11" w:rsidP="00D0312B">
            <w:pPr>
              <w:spacing w:before="0" w:after="0"/>
              <w:jc w:val="left"/>
              <w:rPr>
                <w:rFonts w:eastAsia="Times New Roman" w:cs="Times New Roman"/>
                <w:color w:val="000000"/>
                <w:sz w:val="18"/>
                <w:szCs w:val="18"/>
                <w:lang w:eastAsia="cs-CZ"/>
              </w:rPr>
            </w:pPr>
          </w:p>
        </w:tc>
        <w:tc>
          <w:tcPr>
            <w:tcW w:w="708" w:type="dxa"/>
            <w:tcBorders>
              <w:top w:val="nil"/>
              <w:left w:val="nil"/>
              <w:bottom w:val="single" w:sz="4" w:space="0" w:color="auto"/>
              <w:right w:val="single" w:sz="4" w:space="0" w:color="auto"/>
            </w:tcBorders>
            <w:shd w:val="clear" w:color="auto" w:fill="auto"/>
            <w:noWrap/>
            <w:vAlign w:val="bottom"/>
            <w:hideMark/>
          </w:tcPr>
          <w:p w:rsidR="000D6D11" w:rsidRPr="002C6A11" w:rsidRDefault="000D6D11" w:rsidP="00D0312B">
            <w:pPr>
              <w:spacing w:before="0" w:after="0"/>
              <w:jc w:val="center"/>
              <w:rPr>
                <w:rFonts w:eastAsia="Times New Roman" w:cs="Times New Roman"/>
                <w:color w:val="000000"/>
                <w:sz w:val="18"/>
                <w:szCs w:val="18"/>
                <w:lang w:eastAsia="cs-CZ"/>
              </w:rPr>
            </w:pPr>
            <w:r w:rsidRPr="002C6A11">
              <w:rPr>
                <w:rFonts w:eastAsia="Times New Roman" w:cs="Times New Roman"/>
                <w:color w:val="000000"/>
                <w:sz w:val="18"/>
                <w:szCs w:val="18"/>
                <w:lang w:eastAsia="cs-CZ"/>
              </w:rPr>
              <w:t>D</w:t>
            </w:r>
          </w:p>
        </w:tc>
        <w:tc>
          <w:tcPr>
            <w:tcW w:w="3828" w:type="dxa"/>
            <w:tcBorders>
              <w:top w:val="nil"/>
              <w:left w:val="nil"/>
              <w:bottom w:val="single" w:sz="4" w:space="0" w:color="auto"/>
              <w:right w:val="single" w:sz="4" w:space="0" w:color="auto"/>
            </w:tcBorders>
            <w:shd w:val="clear" w:color="auto" w:fill="auto"/>
            <w:noWrap/>
            <w:vAlign w:val="bottom"/>
            <w:hideMark/>
          </w:tcPr>
          <w:p w:rsidR="000D6D11" w:rsidRPr="002C6A11" w:rsidRDefault="000D6D11" w:rsidP="00D0312B">
            <w:pPr>
              <w:spacing w:before="0" w:after="0"/>
              <w:jc w:val="left"/>
              <w:rPr>
                <w:rFonts w:eastAsia="Times New Roman" w:cs="Times New Roman"/>
                <w:color w:val="000000"/>
                <w:sz w:val="18"/>
                <w:szCs w:val="18"/>
                <w:lang w:eastAsia="cs-CZ"/>
              </w:rPr>
            </w:pPr>
            <w:r w:rsidRPr="002C6A11">
              <w:rPr>
                <w:rFonts w:eastAsia="Times New Roman" w:cs="Times New Roman"/>
                <w:color w:val="000000"/>
                <w:sz w:val="18"/>
                <w:szCs w:val="18"/>
                <w:lang w:eastAsia="cs-CZ"/>
              </w:rPr>
              <w:t>Článek ve sborníku z akce</w:t>
            </w:r>
          </w:p>
        </w:tc>
        <w:tc>
          <w:tcPr>
            <w:tcW w:w="561" w:type="dxa"/>
            <w:tcBorders>
              <w:top w:val="nil"/>
              <w:left w:val="nil"/>
              <w:bottom w:val="single" w:sz="4" w:space="0" w:color="auto"/>
              <w:right w:val="single" w:sz="4" w:space="0" w:color="auto"/>
            </w:tcBorders>
            <w:shd w:val="clear" w:color="auto" w:fill="auto"/>
            <w:noWrap/>
            <w:vAlign w:val="bottom"/>
            <w:hideMark/>
          </w:tcPr>
          <w:p w:rsidR="000D6D11" w:rsidRPr="002C6A11" w:rsidRDefault="000D6D11" w:rsidP="00D0312B">
            <w:pPr>
              <w:spacing w:before="0" w:after="0"/>
              <w:ind w:left="-506" w:right="30"/>
              <w:jc w:val="right"/>
              <w:rPr>
                <w:rFonts w:eastAsia="Times New Roman" w:cs="Times New Roman"/>
                <w:color w:val="000000"/>
                <w:sz w:val="18"/>
                <w:szCs w:val="18"/>
                <w:lang w:eastAsia="cs-CZ"/>
              </w:rPr>
            </w:pPr>
            <w:r w:rsidRPr="002C6A11">
              <w:rPr>
                <w:rFonts w:eastAsia="Times New Roman" w:cs="Times New Roman"/>
                <w:color w:val="000000"/>
                <w:sz w:val="18"/>
                <w:szCs w:val="18"/>
                <w:lang w:eastAsia="cs-CZ"/>
              </w:rPr>
              <w:t>1</w:t>
            </w:r>
          </w:p>
        </w:tc>
      </w:tr>
      <w:tr w:rsidR="000D6D11" w:rsidRPr="002C6A11" w:rsidTr="00CA53D1">
        <w:trPr>
          <w:trHeight w:val="225"/>
        </w:trPr>
        <w:tc>
          <w:tcPr>
            <w:tcW w:w="3614" w:type="dxa"/>
            <w:gridSpan w:val="2"/>
            <w:vMerge/>
            <w:tcBorders>
              <w:top w:val="single" w:sz="4" w:space="0" w:color="000000"/>
              <w:left w:val="single" w:sz="4" w:space="0" w:color="auto"/>
              <w:right w:val="single" w:sz="4" w:space="0" w:color="000000"/>
            </w:tcBorders>
            <w:vAlign w:val="center"/>
            <w:hideMark/>
          </w:tcPr>
          <w:p w:rsidR="000D6D11" w:rsidRPr="002C6A11" w:rsidRDefault="000D6D11" w:rsidP="00D0312B">
            <w:pPr>
              <w:spacing w:before="0" w:after="0"/>
              <w:jc w:val="left"/>
              <w:rPr>
                <w:rFonts w:eastAsia="Times New Roman" w:cs="Times New Roman"/>
                <w:color w:val="000000"/>
                <w:sz w:val="18"/>
                <w:szCs w:val="18"/>
                <w:lang w:eastAsia="cs-CZ"/>
              </w:rPr>
            </w:pPr>
          </w:p>
        </w:tc>
        <w:tc>
          <w:tcPr>
            <w:tcW w:w="708" w:type="dxa"/>
            <w:tcBorders>
              <w:top w:val="nil"/>
              <w:left w:val="nil"/>
              <w:bottom w:val="single" w:sz="4" w:space="0" w:color="auto"/>
              <w:right w:val="single" w:sz="4" w:space="0" w:color="auto"/>
            </w:tcBorders>
            <w:shd w:val="clear" w:color="auto" w:fill="auto"/>
            <w:noWrap/>
            <w:vAlign w:val="bottom"/>
            <w:hideMark/>
          </w:tcPr>
          <w:p w:rsidR="000D6D11" w:rsidRPr="002C6A11" w:rsidRDefault="000D6D11" w:rsidP="00D0312B">
            <w:pPr>
              <w:spacing w:before="0" w:after="0"/>
              <w:jc w:val="center"/>
              <w:rPr>
                <w:rFonts w:eastAsia="Times New Roman" w:cs="Times New Roman"/>
                <w:color w:val="000000"/>
                <w:sz w:val="18"/>
                <w:szCs w:val="18"/>
                <w:lang w:eastAsia="cs-CZ"/>
              </w:rPr>
            </w:pPr>
            <w:r w:rsidRPr="002C6A11">
              <w:rPr>
                <w:rFonts w:eastAsia="Times New Roman" w:cs="Times New Roman"/>
                <w:color w:val="000000"/>
                <w:sz w:val="18"/>
                <w:szCs w:val="18"/>
                <w:lang w:eastAsia="cs-CZ"/>
              </w:rPr>
              <w:t>J</w:t>
            </w:r>
          </w:p>
        </w:tc>
        <w:tc>
          <w:tcPr>
            <w:tcW w:w="3828" w:type="dxa"/>
            <w:tcBorders>
              <w:top w:val="nil"/>
              <w:left w:val="nil"/>
              <w:bottom w:val="single" w:sz="4" w:space="0" w:color="auto"/>
              <w:right w:val="single" w:sz="4" w:space="0" w:color="auto"/>
            </w:tcBorders>
            <w:shd w:val="clear" w:color="auto" w:fill="auto"/>
            <w:noWrap/>
            <w:vAlign w:val="bottom"/>
            <w:hideMark/>
          </w:tcPr>
          <w:p w:rsidR="000D6D11" w:rsidRPr="002C6A11" w:rsidRDefault="000D6D11" w:rsidP="00D0312B">
            <w:pPr>
              <w:spacing w:before="0" w:after="0"/>
              <w:jc w:val="left"/>
              <w:rPr>
                <w:rFonts w:eastAsia="Times New Roman" w:cs="Times New Roman"/>
                <w:color w:val="000000"/>
                <w:sz w:val="18"/>
                <w:szCs w:val="18"/>
                <w:lang w:eastAsia="cs-CZ"/>
              </w:rPr>
            </w:pPr>
            <w:r w:rsidRPr="002C6A11">
              <w:rPr>
                <w:rFonts w:eastAsia="Times New Roman" w:cs="Times New Roman"/>
                <w:color w:val="000000"/>
                <w:sz w:val="18"/>
                <w:szCs w:val="18"/>
                <w:lang w:eastAsia="cs-CZ"/>
              </w:rPr>
              <w:t>Článek v odborném periodiku</w:t>
            </w:r>
          </w:p>
        </w:tc>
        <w:tc>
          <w:tcPr>
            <w:tcW w:w="561" w:type="dxa"/>
            <w:tcBorders>
              <w:top w:val="nil"/>
              <w:left w:val="nil"/>
              <w:bottom w:val="single" w:sz="4" w:space="0" w:color="auto"/>
              <w:right w:val="single" w:sz="4" w:space="0" w:color="auto"/>
            </w:tcBorders>
            <w:shd w:val="clear" w:color="auto" w:fill="auto"/>
            <w:noWrap/>
            <w:vAlign w:val="bottom"/>
            <w:hideMark/>
          </w:tcPr>
          <w:p w:rsidR="000D6D11" w:rsidRPr="002C6A11" w:rsidRDefault="000D6D11" w:rsidP="00D0312B">
            <w:pPr>
              <w:spacing w:before="0" w:after="0"/>
              <w:ind w:left="-506" w:right="30"/>
              <w:jc w:val="right"/>
              <w:rPr>
                <w:rFonts w:eastAsia="Times New Roman" w:cs="Times New Roman"/>
                <w:color w:val="000000"/>
                <w:sz w:val="18"/>
                <w:szCs w:val="18"/>
                <w:lang w:eastAsia="cs-CZ"/>
              </w:rPr>
            </w:pPr>
            <w:r w:rsidRPr="002C6A11">
              <w:rPr>
                <w:rFonts w:eastAsia="Times New Roman" w:cs="Times New Roman"/>
                <w:color w:val="000000"/>
                <w:sz w:val="18"/>
                <w:szCs w:val="18"/>
                <w:lang w:eastAsia="cs-CZ"/>
              </w:rPr>
              <w:t>28</w:t>
            </w:r>
          </w:p>
        </w:tc>
      </w:tr>
      <w:tr w:rsidR="000D6D11" w:rsidRPr="002C6A11" w:rsidTr="00CA53D1">
        <w:trPr>
          <w:trHeight w:val="225"/>
        </w:trPr>
        <w:tc>
          <w:tcPr>
            <w:tcW w:w="3614" w:type="dxa"/>
            <w:gridSpan w:val="2"/>
            <w:vMerge/>
            <w:tcBorders>
              <w:top w:val="single" w:sz="4" w:space="0" w:color="000000"/>
              <w:left w:val="single" w:sz="4" w:space="0" w:color="auto"/>
              <w:right w:val="single" w:sz="4" w:space="0" w:color="000000"/>
            </w:tcBorders>
            <w:vAlign w:val="center"/>
            <w:hideMark/>
          </w:tcPr>
          <w:p w:rsidR="000D6D11" w:rsidRPr="002C6A11" w:rsidRDefault="000D6D11" w:rsidP="00D0312B">
            <w:pPr>
              <w:spacing w:before="0" w:after="0"/>
              <w:jc w:val="left"/>
              <w:rPr>
                <w:rFonts w:eastAsia="Times New Roman" w:cs="Times New Roman"/>
                <w:color w:val="000000"/>
                <w:sz w:val="18"/>
                <w:szCs w:val="18"/>
                <w:lang w:eastAsia="cs-CZ"/>
              </w:rPr>
            </w:pPr>
          </w:p>
        </w:tc>
        <w:tc>
          <w:tcPr>
            <w:tcW w:w="708" w:type="dxa"/>
            <w:tcBorders>
              <w:top w:val="nil"/>
              <w:left w:val="nil"/>
              <w:bottom w:val="single" w:sz="4" w:space="0" w:color="auto"/>
              <w:right w:val="single" w:sz="4" w:space="0" w:color="auto"/>
            </w:tcBorders>
            <w:shd w:val="clear" w:color="auto" w:fill="auto"/>
            <w:noWrap/>
            <w:vAlign w:val="bottom"/>
            <w:hideMark/>
          </w:tcPr>
          <w:p w:rsidR="000D6D11" w:rsidRPr="002C6A11" w:rsidRDefault="000D6D11" w:rsidP="00D0312B">
            <w:pPr>
              <w:spacing w:before="0" w:after="0"/>
              <w:jc w:val="center"/>
              <w:rPr>
                <w:rFonts w:eastAsia="Times New Roman" w:cs="Times New Roman"/>
                <w:color w:val="000000"/>
                <w:sz w:val="18"/>
                <w:szCs w:val="18"/>
                <w:lang w:eastAsia="cs-CZ"/>
              </w:rPr>
            </w:pPr>
            <w:r w:rsidRPr="002C6A11">
              <w:rPr>
                <w:rFonts w:eastAsia="Times New Roman" w:cs="Times New Roman"/>
                <w:color w:val="000000"/>
                <w:sz w:val="18"/>
                <w:szCs w:val="18"/>
                <w:lang w:eastAsia="cs-CZ"/>
              </w:rPr>
              <w:t>J-imp</w:t>
            </w:r>
          </w:p>
        </w:tc>
        <w:tc>
          <w:tcPr>
            <w:tcW w:w="3828" w:type="dxa"/>
            <w:tcBorders>
              <w:top w:val="nil"/>
              <w:left w:val="nil"/>
              <w:bottom w:val="single" w:sz="4" w:space="0" w:color="auto"/>
              <w:right w:val="single" w:sz="4" w:space="0" w:color="auto"/>
            </w:tcBorders>
            <w:shd w:val="clear" w:color="auto" w:fill="auto"/>
            <w:noWrap/>
            <w:vAlign w:val="bottom"/>
            <w:hideMark/>
          </w:tcPr>
          <w:p w:rsidR="000D6D11" w:rsidRPr="002C6A11" w:rsidRDefault="000D6D11" w:rsidP="00D0312B">
            <w:pPr>
              <w:spacing w:before="0" w:after="0"/>
              <w:jc w:val="left"/>
              <w:rPr>
                <w:rFonts w:eastAsia="Times New Roman" w:cs="Times New Roman"/>
                <w:color w:val="000000"/>
                <w:sz w:val="18"/>
                <w:szCs w:val="18"/>
                <w:lang w:eastAsia="cs-CZ"/>
              </w:rPr>
            </w:pPr>
            <w:r w:rsidRPr="002C6A11">
              <w:rPr>
                <w:rFonts w:eastAsia="Times New Roman" w:cs="Times New Roman"/>
                <w:color w:val="000000"/>
                <w:sz w:val="18"/>
                <w:szCs w:val="18"/>
                <w:lang w:eastAsia="cs-CZ"/>
              </w:rPr>
              <w:t>Impaktovaný článek v odborném periodiku</w:t>
            </w:r>
          </w:p>
        </w:tc>
        <w:tc>
          <w:tcPr>
            <w:tcW w:w="561" w:type="dxa"/>
            <w:tcBorders>
              <w:top w:val="nil"/>
              <w:left w:val="nil"/>
              <w:bottom w:val="single" w:sz="4" w:space="0" w:color="auto"/>
              <w:right w:val="single" w:sz="4" w:space="0" w:color="auto"/>
            </w:tcBorders>
            <w:shd w:val="clear" w:color="auto" w:fill="auto"/>
            <w:noWrap/>
            <w:vAlign w:val="bottom"/>
            <w:hideMark/>
          </w:tcPr>
          <w:p w:rsidR="000D6D11" w:rsidRPr="002C6A11" w:rsidRDefault="000D6D11" w:rsidP="00D0312B">
            <w:pPr>
              <w:spacing w:before="0" w:after="0"/>
              <w:ind w:left="-506" w:right="30"/>
              <w:jc w:val="right"/>
              <w:rPr>
                <w:rFonts w:eastAsia="Times New Roman" w:cs="Times New Roman"/>
                <w:color w:val="000000"/>
                <w:sz w:val="18"/>
                <w:szCs w:val="18"/>
                <w:lang w:eastAsia="cs-CZ"/>
              </w:rPr>
            </w:pPr>
            <w:r w:rsidRPr="002C6A11">
              <w:rPr>
                <w:rFonts w:eastAsia="Times New Roman" w:cs="Times New Roman"/>
                <w:color w:val="000000"/>
                <w:sz w:val="18"/>
                <w:szCs w:val="18"/>
                <w:lang w:eastAsia="cs-CZ"/>
              </w:rPr>
              <w:t>19</w:t>
            </w:r>
          </w:p>
        </w:tc>
      </w:tr>
    </w:tbl>
    <w:p w:rsidR="00CA53D1" w:rsidRDefault="00CA53D1" w:rsidP="000D6D11">
      <w:pPr>
        <w:rPr>
          <w:i/>
          <w:sz w:val="16"/>
          <w:szCs w:val="16"/>
        </w:rPr>
      </w:pPr>
    </w:p>
    <w:p w:rsidR="000D6D11" w:rsidRPr="00C84F89" w:rsidRDefault="000D6D11" w:rsidP="000D6D11">
      <w:pPr>
        <w:rPr>
          <w:i/>
          <w:sz w:val="16"/>
          <w:szCs w:val="16"/>
        </w:rPr>
      </w:pPr>
      <w:r w:rsidRPr="00C84F89">
        <w:rPr>
          <w:i/>
          <w:sz w:val="16"/>
          <w:szCs w:val="16"/>
        </w:rPr>
        <w:t>Pozn.: Počet výstupů je stanoven celkovou metodou</w:t>
      </w:r>
      <w:r w:rsidR="002C6A11">
        <w:rPr>
          <w:i/>
          <w:sz w:val="16"/>
          <w:szCs w:val="16"/>
        </w:rPr>
        <w:t>,</w:t>
      </w:r>
      <w:r w:rsidRPr="00C84F89">
        <w:rPr>
          <w:i/>
          <w:sz w:val="16"/>
          <w:szCs w:val="16"/>
        </w:rPr>
        <w:t xml:space="preserve"> tj. výstup je započten jako jednotka každé ze spoluautorských institucí.</w:t>
      </w:r>
    </w:p>
    <w:p w:rsidR="000D6D11" w:rsidRPr="00C84F89" w:rsidRDefault="000D6D11" w:rsidP="000D6D11">
      <w:pPr>
        <w:rPr>
          <w:i/>
          <w:sz w:val="16"/>
          <w:szCs w:val="16"/>
        </w:rPr>
      </w:pPr>
    </w:p>
    <w:p w:rsidR="00123C7E" w:rsidRDefault="00123C7E" w:rsidP="0057397D">
      <w:pPr>
        <w:rPr>
          <w:lang w:eastAsia="cs-CZ"/>
        </w:rPr>
      </w:pPr>
    </w:p>
    <w:p w:rsidR="0057397D" w:rsidRDefault="0057397D" w:rsidP="0057397D">
      <w:pPr>
        <w:pStyle w:val="Nadpis2"/>
      </w:pPr>
      <w:bookmarkStart w:id="93" w:name="_Ref449971407"/>
      <w:bookmarkStart w:id="94" w:name="_Toc459723284"/>
      <w:r>
        <w:t>Aplik</w:t>
      </w:r>
      <w:r w:rsidR="00C05E35">
        <w:t>ačně zaměřené výsledky</w:t>
      </w:r>
      <w:bookmarkEnd w:id="93"/>
      <w:r w:rsidR="00342A4C">
        <w:t xml:space="preserve"> bezpečnostního výzkumu</w:t>
      </w:r>
      <w:bookmarkEnd w:id="94"/>
    </w:p>
    <w:tbl>
      <w:tblPr>
        <w:tblW w:w="0" w:type="auto"/>
        <w:tblBorders>
          <w:top w:val="single" w:sz="4" w:space="0" w:color="auto"/>
          <w:left w:val="single" w:sz="4" w:space="0" w:color="auto"/>
          <w:bottom w:val="single" w:sz="4" w:space="0" w:color="auto"/>
          <w:right w:val="single" w:sz="4" w:space="0" w:color="auto"/>
        </w:tblBorders>
        <w:shd w:val="clear" w:color="auto" w:fill="F2F2F2" w:themeFill="background1" w:themeFillShade="F2"/>
        <w:tblLook w:val="04A0" w:firstRow="1" w:lastRow="0" w:firstColumn="1" w:lastColumn="0" w:noHBand="0" w:noVBand="1"/>
      </w:tblPr>
      <w:tblGrid>
        <w:gridCol w:w="9354"/>
      </w:tblGrid>
      <w:tr w:rsidR="00AB5089" w:rsidTr="00F4064B">
        <w:tc>
          <w:tcPr>
            <w:tcW w:w="9354" w:type="dxa"/>
            <w:shd w:val="clear" w:color="auto" w:fill="F2F2F2" w:themeFill="background1" w:themeFillShade="F2"/>
          </w:tcPr>
          <w:p w:rsidR="00C20C25" w:rsidRDefault="00C20C25" w:rsidP="00AB5089">
            <w:pPr>
              <w:rPr>
                <w:lang w:eastAsia="cs-CZ"/>
              </w:rPr>
            </w:pPr>
            <w:r>
              <w:rPr>
                <w:lang w:eastAsia="cs-CZ"/>
              </w:rPr>
              <w:t>V</w:t>
            </w:r>
            <w:r w:rsidR="00C05E35">
              <w:rPr>
                <w:lang w:eastAsia="cs-CZ"/>
              </w:rPr>
              <w:t> </w:t>
            </w:r>
            <w:r>
              <w:rPr>
                <w:lang w:eastAsia="cs-CZ"/>
              </w:rPr>
              <w:t>programech BV bylo v letech 2010 – 2014 vytvořeno téměř 900 výsledků aplikačního charakteru. Přibližně třetinu výsledků tvoří ostatní výsledky (O),</w:t>
            </w:r>
            <w:r>
              <w:t xml:space="preserve"> které nespadají do žádného druhu výsledku definovaného v Metodice</w:t>
            </w:r>
            <w:r>
              <w:rPr>
                <w:lang w:eastAsia="cs-CZ"/>
              </w:rPr>
              <w:t xml:space="preserve"> a audiovizuální tvorba (A). Necelých 30 % výsledků tvoří certifikované metodiky a specializované mapy, patenty a užitné a průmyslové vzory tvoří pouze 7 % z celkového počtu výsledků aplikační povahy vytvořených v programech BV.</w:t>
            </w:r>
            <w:r w:rsidR="002E0C03">
              <w:rPr>
                <w:lang w:eastAsia="cs-CZ"/>
              </w:rPr>
              <w:t xml:space="preserve"> </w:t>
            </w:r>
            <w:r w:rsidR="002E0C03" w:rsidRPr="002E0C03">
              <w:rPr>
                <w:lang w:eastAsia="cs-CZ"/>
              </w:rPr>
              <w:t>Největší počet výsledků aplikačního charakteru vznikl v</w:t>
            </w:r>
            <w:r w:rsidR="002E0C03">
              <w:rPr>
                <w:lang w:eastAsia="cs-CZ"/>
              </w:rPr>
              <w:t> </w:t>
            </w:r>
            <w:r w:rsidR="002E0C03" w:rsidRPr="002E0C03">
              <w:rPr>
                <w:lang w:eastAsia="cs-CZ"/>
              </w:rPr>
              <w:t>průmysl</w:t>
            </w:r>
            <w:r w:rsidR="002E0C03">
              <w:rPr>
                <w:lang w:eastAsia="cs-CZ"/>
              </w:rPr>
              <w:t xml:space="preserve">ových oborech a ve vojenství. Největší počet výsledků </w:t>
            </w:r>
            <w:r w:rsidR="002E0C03" w:rsidRPr="002E0C03">
              <w:rPr>
                <w:lang w:eastAsia="cs-CZ"/>
              </w:rPr>
              <w:t>typu duševního vlastnictví</w:t>
            </w:r>
            <w:r w:rsidR="002E0C03">
              <w:rPr>
                <w:lang w:eastAsia="cs-CZ"/>
              </w:rPr>
              <w:t xml:space="preserve"> (patenty, průmyslové a užitné vzory) vznikl v chemii.</w:t>
            </w:r>
          </w:p>
          <w:p w:rsidR="0068054D" w:rsidRDefault="0068054D" w:rsidP="00AB5089">
            <w:pPr>
              <w:rPr>
                <w:lang w:eastAsia="cs-CZ"/>
              </w:rPr>
            </w:pPr>
            <w:r>
              <w:rPr>
                <w:lang w:eastAsia="cs-CZ"/>
              </w:rPr>
              <w:t xml:space="preserve">Nejvýznamnější </w:t>
            </w:r>
            <w:r w:rsidR="00C20C25">
              <w:rPr>
                <w:lang w:eastAsia="cs-CZ"/>
              </w:rPr>
              <w:t xml:space="preserve">roli v tvorbě </w:t>
            </w:r>
            <w:r w:rsidR="00AB5089" w:rsidRPr="00AB5089">
              <w:rPr>
                <w:lang w:eastAsia="cs-CZ"/>
              </w:rPr>
              <w:t xml:space="preserve">aplikačních výsledků </w:t>
            </w:r>
            <w:r w:rsidR="00EA1F1A">
              <w:rPr>
                <w:lang w:eastAsia="cs-CZ"/>
              </w:rPr>
              <w:t xml:space="preserve">programů BV </w:t>
            </w:r>
            <w:r>
              <w:rPr>
                <w:lang w:eastAsia="cs-CZ"/>
              </w:rPr>
              <w:t>mají zejména</w:t>
            </w:r>
            <w:r w:rsidR="00C20C25">
              <w:rPr>
                <w:lang w:eastAsia="cs-CZ"/>
              </w:rPr>
              <w:t xml:space="preserve"> </w:t>
            </w:r>
            <w:r w:rsidR="00AB5089" w:rsidRPr="00AB5089">
              <w:rPr>
                <w:lang w:eastAsia="cs-CZ"/>
              </w:rPr>
              <w:t>technick</w:t>
            </w:r>
            <w:r w:rsidR="00C20C25">
              <w:rPr>
                <w:lang w:eastAsia="cs-CZ"/>
              </w:rPr>
              <w:t>y zaměřené VŠ</w:t>
            </w:r>
            <w:r>
              <w:rPr>
                <w:lang w:eastAsia="cs-CZ"/>
              </w:rPr>
              <w:t xml:space="preserve">, kde vzniklo i nejvíce výsledků </w:t>
            </w:r>
            <w:r w:rsidRPr="002E0C03">
              <w:rPr>
                <w:lang w:eastAsia="cs-CZ"/>
              </w:rPr>
              <w:t>typu duševního vlastnictví</w:t>
            </w:r>
            <w:r w:rsidR="00AB5089" w:rsidRPr="00AB5089">
              <w:rPr>
                <w:lang w:eastAsia="cs-CZ"/>
              </w:rPr>
              <w:t>.</w:t>
            </w:r>
            <w:r>
              <w:rPr>
                <w:lang w:eastAsia="cs-CZ"/>
              </w:rPr>
              <w:t xml:space="preserve"> Poněkud méně výsledků vzniklo ve veřejných výzkumných institucích a podnikatelském sektoru. </w:t>
            </w:r>
            <w:r w:rsidRPr="0068054D">
              <w:rPr>
                <w:lang w:eastAsia="cs-CZ"/>
              </w:rPr>
              <w:t>Nejvýznamnějším tvůrcem těchto výsledků je ČVUT v</w:t>
            </w:r>
            <w:r>
              <w:rPr>
                <w:lang w:eastAsia="cs-CZ"/>
              </w:rPr>
              <w:t> </w:t>
            </w:r>
            <w:r w:rsidRPr="0068054D">
              <w:rPr>
                <w:lang w:eastAsia="cs-CZ"/>
              </w:rPr>
              <w:t xml:space="preserve">Praze. </w:t>
            </w:r>
            <w:r>
              <w:rPr>
                <w:lang w:eastAsia="cs-CZ"/>
              </w:rPr>
              <w:t xml:space="preserve">Dalšími významnými tvůrci výsledků </w:t>
            </w:r>
            <w:r w:rsidR="00F4064B">
              <w:rPr>
                <w:lang w:eastAsia="cs-CZ"/>
              </w:rPr>
              <w:t xml:space="preserve">aplikačního charakteru </w:t>
            </w:r>
            <w:r>
              <w:rPr>
                <w:lang w:eastAsia="cs-CZ"/>
              </w:rPr>
              <w:t xml:space="preserve">jsou </w:t>
            </w:r>
            <w:r w:rsidRPr="0068054D">
              <w:rPr>
                <w:lang w:eastAsia="cs-CZ"/>
              </w:rPr>
              <w:t>CENIA a Výzkumn</w:t>
            </w:r>
            <w:r w:rsidR="00F4064B">
              <w:rPr>
                <w:lang w:eastAsia="cs-CZ"/>
              </w:rPr>
              <w:t>ý</w:t>
            </w:r>
            <w:r w:rsidRPr="0068054D">
              <w:rPr>
                <w:lang w:eastAsia="cs-CZ"/>
              </w:rPr>
              <w:t xml:space="preserve"> ústav S</w:t>
            </w:r>
            <w:r w:rsidR="00687EDC">
              <w:rPr>
                <w:lang w:eastAsia="cs-CZ"/>
              </w:rPr>
              <w:t>i</w:t>
            </w:r>
            <w:r w:rsidRPr="0068054D">
              <w:rPr>
                <w:lang w:eastAsia="cs-CZ"/>
              </w:rPr>
              <w:t xml:space="preserve">lva Taroucy </w:t>
            </w:r>
            <w:r>
              <w:rPr>
                <w:lang w:eastAsia="cs-CZ"/>
              </w:rPr>
              <w:t xml:space="preserve">(zde se však jedná o mapy </w:t>
            </w:r>
            <w:r w:rsidRPr="0068054D">
              <w:rPr>
                <w:lang w:eastAsia="cs-CZ"/>
              </w:rPr>
              <w:t>zemědělské půdy</w:t>
            </w:r>
            <w:r>
              <w:rPr>
                <w:lang w:eastAsia="cs-CZ"/>
              </w:rPr>
              <w:t xml:space="preserve">). </w:t>
            </w:r>
          </w:p>
          <w:p w:rsidR="00EA1F1A" w:rsidRDefault="004E3642" w:rsidP="00AB5089">
            <w:pPr>
              <w:rPr>
                <w:lang w:eastAsia="cs-CZ"/>
              </w:rPr>
            </w:pPr>
            <w:r>
              <w:rPr>
                <w:lang w:eastAsia="cs-CZ"/>
              </w:rPr>
              <w:t>O něco vyšší počet výsledků aplikačního charakteru (celkem 956) vznikl v bezpečnostně zaměřených projektech podpořených v programech jiných poskytovatelů. Vzhledem k</w:t>
            </w:r>
            <w:r w:rsidR="00F4064B">
              <w:rPr>
                <w:lang w:eastAsia="cs-CZ"/>
              </w:rPr>
              <w:t> </w:t>
            </w:r>
            <w:r>
              <w:rPr>
                <w:lang w:eastAsia="cs-CZ"/>
              </w:rPr>
              <w:t>tomu</w:t>
            </w:r>
            <w:r w:rsidR="00F4064B">
              <w:rPr>
                <w:lang w:eastAsia="cs-CZ"/>
              </w:rPr>
              <w:t>,</w:t>
            </w:r>
            <w:r>
              <w:rPr>
                <w:lang w:eastAsia="cs-CZ"/>
              </w:rPr>
              <w:t xml:space="preserve"> že těchto projektů bylo nalezeno více 1 300 (což </w:t>
            </w:r>
            <w:r w:rsidR="00F4064B">
              <w:rPr>
                <w:lang w:eastAsia="cs-CZ"/>
              </w:rPr>
              <w:t>přibližně</w:t>
            </w:r>
            <w:r>
              <w:rPr>
                <w:lang w:eastAsia="cs-CZ"/>
              </w:rPr>
              <w:t xml:space="preserve"> šes</w:t>
            </w:r>
            <w:r w:rsidR="00343544">
              <w:rPr>
                <w:lang w:eastAsia="cs-CZ"/>
              </w:rPr>
              <w:t>t</w:t>
            </w:r>
            <w:r>
              <w:rPr>
                <w:lang w:eastAsia="cs-CZ"/>
              </w:rPr>
              <w:t>krát více</w:t>
            </w:r>
            <w:r w:rsidR="00F4064B">
              <w:rPr>
                <w:lang w:eastAsia="cs-CZ"/>
              </w:rPr>
              <w:t>,</w:t>
            </w:r>
            <w:r>
              <w:rPr>
                <w:lang w:eastAsia="cs-CZ"/>
              </w:rPr>
              <w:t xml:space="preserve"> než bylo podpořeno projektů v programech BV), je v těchto projektech podpor</w:t>
            </w:r>
            <w:r w:rsidR="00343544">
              <w:rPr>
                <w:lang w:eastAsia="cs-CZ"/>
              </w:rPr>
              <w:t>o</w:t>
            </w:r>
            <w:r>
              <w:rPr>
                <w:lang w:eastAsia="cs-CZ"/>
              </w:rPr>
              <w:t xml:space="preserve">ván spíše základní výzkum. Také zde </w:t>
            </w:r>
            <w:r w:rsidR="00F4064B">
              <w:rPr>
                <w:lang w:eastAsia="cs-CZ"/>
              </w:rPr>
              <w:t xml:space="preserve">tvoří </w:t>
            </w:r>
            <w:r>
              <w:rPr>
                <w:lang w:eastAsia="cs-CZ"/>
              </w:rPr>
              <w:t>největší část výsledků ostatní výsledky a audiovizuální tvorba. Výsledky s průmyslově právní ochranou tvoří 8 % z celkového počtu aplikačně zaměřených výsledků.</w:t>
            </w:r>
          </w:p>
          <w:p w:rsidR="00EA1F1A" w:rsidRDefault="004E3642" w:rsidP="00F4064B">
            <w:pPr>
              <w:rPr>
                <w:lang w:eastAsia="cs-CZ"/>
              </w:rPr>
            </w:pPr>
            <w:r>
              <w:rPr>
                <w:lang w:eastAsia="cs-CZ"/>
              </w:rPr>
              <w:t>Nejvíce výsledků aplikačního charakteru v těchto projektech vzniklo v</w:t>
            </w:r>
            <w:r>
              <w:t xml:space="preserve"> průmyslových oborech a v informatice. </w:t>
            </w:r>
            <w:r w:rsidR="00343544">
              <w:t>Autoři přibližně poloviny těchto výsledků jsou výzkumní pracovníci z VŠ, poměrně vysoký počet aplikačně zaměřených výsledků byl vytvořen také subjekty z podnikatelského sektoru. Nejvíce aplikačně zamřených výsledků vytvořil CESNET, Univerzita Tomáše Bati ve Zlíně a ČVUT v Praze.</w:t>
            </w:r>
          </w:p>
        </w:tc>
      </w:tr>
    </w:tbl>
    <w:p w:rsidR="00123C7E" w:rsidRDefault="00123C7E" w:rsidP="00123C7E">
      <w:pPr>
        <w:pStyle w:val="Nadpis3"/>
      </w:pPr>
      <w:bookmarkStart w:id="95" w:name="_Toc459723285"/>
      <w:r w:rsidRPr="00FF26F9">
        <w:t>Analýza aplikačně zaměřených výsledků vzniklých v programech MV</w:t>
      </w:r>
      <w:bookmarkEnd w:id="95"/>
    </w:p>
    <w:p w:rsidR="00FF74D5" w:rsidRDefault="00FF26F9" w:rsidP="00FF26F9">
      <w:pPr>
        <w:rPr>
          <w:lang w:eastAsia="cs-CZ"/>
        </w:rPr>
      </w:pPr>
      <w:r>
        <w:rPr>
          <w:lang w:eastAsia="cs-CZ"/>
        </w:rPr>
        <w:t xml:space="preserve">Kromě výsledků publikačního charakteru, které jsou blíže popsány v kap. 3.2, bylo v letech 2010 – 2014 v programech BV vytvořeno 884 výsledků aplikačního charakteru. Jak je patrné v </w:t>
      </w:r>
      <w:r>
        <w:rPr>
          <w:lang w:eastAsia="cs-CZ"/>
        </w:rPr>
        <w:fldChar w:fldCharType="begin"/>
      </w:r>
      <w:r>
        <w:rPr>
          <w:lang w:eastAsia="cs-CZ"/>
        </w:rPr>
        <w:instrText xml:space="preserve"> REF  _Ref453749858 \* Lower \h  \* MERGEFORMAT </w:instrText>
      </w:r>
      <w:r>
        <w:rPr>
          <w:lang w:eastAsia="cs-CZ"/>
        </w:rPr>
      </w:r>
      <w:r>
        <w:rPr>
          <w:lang w:eastAsia="cs-CZ"/>
        </w:rPr>
        <w:fldChar w:fldCharType="separate"/>
      </w:r>
      <w:r w:rsidR="003F08E5">
        <w:t xml:space="preserve">tab. </w:t>
      </w:r>
      <w:r w:rsidR="003F08E5">
        <w:rPr>
          <w:noProof/>
        </w:rPr>
        <w:t>24</w:t>
      </w:r>
      <w:r>
        <w:rPr>
          <w:lang w:eastAsia="cs-CZ"/>
        </w:rPr>
        <w:fldChar w:fldCharType="end"/>
      </w:r>
      <w:r>
        <w:rPr>
          <w:lang w:eastAsia="cs-CZ"/>
        </w:rPr>
        <w:t>, přibližně třetinu z těchto výsledků tvořily ostatní výsledky (O)</w:t>
      </w:r>
      <w:r w:rsidR="00AB5089">
        <w:rPr>
          <w:lang w:eastAsia="cs-CZ"/>
        </w:rPr>
        <w:t>,</w:t>
      </w:r>
      <w:r w:rsidR="00AB5089">
        <w:t xml:space="preserve"> které nespadají do žádného druhu výsledku definovaného v Metodice hodnocení výsledků VO a hodnocení výsledků ukončených programů platné </w:t>
      </w:r>
      <w:r w:rsidR="00AB5089">
        <w:lastRenderedPageBreak/>
        <w:t xml:space="preserve">pro léta 2013 až 2015 </w:t>
      </w:r>
      <w:r w:rsidR="00AB5089">
        <w:fldChar w:fldCharType="begin"/>
      </w:r>
      <w:r w:rsidR="00AB5089">
        <w:instrText xml:space="preserve"> REF _Ref452478026 \r \h </w:instrText>
      </w:r>
      <w:r w:rsidR="00AB5089">
        <w:fldChar w:fldCharType="separate"/>
      </w:r>
      <w:r w:rsidR="003F08E5">
        <w:t>[14]</w:t>
      </w:r>
      <w:r w:rsidR="00AB5089">
        <w:fldChar w:fldCharType="end"/>
      </w:r>
      <w:r w:rsidR="00AB5089">
        <w:t xml:space="preserve"> (dále jen Metodika)</w:t>
      </w:r>
      <w:r>
        <w:rPr>
          <w:lang w:eastAsia="cs-CZ"/>
        </w:rPr>
        <w:t xml:space="preserve"> a audiovizuální tvorba (A). Druhým nejpočetněji zastoupeným typem výstupů byly certifikované metodiky a specializované mapy (celkem 257 výsledků, 29 % celku). Patenty a výsledky s právní ochranou (užitné a průmyslové vzory) tvořily pouze 7 % z celkového počtu výsledků aplikační povahy vytvořených v programech BV (viz </w:t>
      </w:r>
      <w:r>
        <w:rPr>
          <w:lang w:eastAsia="cs-CZ"/>
        </w:rPr>
        <w:fldChar w:fldCharType="begin"/>
      </w:r>
      <w:r>
        <w:rPr>
          <w:lang w:eastAsia="cs-CZ"/>
        </w:rPr>
        <w:instrText xml:space="preserve"> REF  _Ref453749858 \* Lower \h  \* MERGEFORMAT </w:instrText>
      </w:r>
      <w:r>
        <w:rPr>
          <w:lang w:eastAsia="cs-CZ"/>
        </w:rPr>
      </w:r>
      <w:r>
        <w:rPr>
          <w:lang w:eastAsia="cs-CZ"/>
        </w:rPr>
        <w:fldChar w:fldCharType="separate"/>
      </w:r>
      <w:r w:rsidR="003F08E5">
        <w:t xml:space="preserve">tab. </w:t>
      </w:r>
      <w:r w:rsidR="003F08E5">
        <w:rPr>
          <w:noProof/>
        </w:rPr>
        <w:t>24</w:t>
      </w:r>
      <w:r>
        <w:rPr>
          <w:lang w:eastAsia="cs-CZ"/>
        </w:rPr>
        <w:fldChar w:fldCharType="end"/>
      </w:r>
      <w:r>
        <w:rPr>
          <w:lang w:eastAsia="cs-CZ"/>
        </w:rPr>
        <w:t>).</w:t>
      </w:r>
      <w:r w:rsidR="00FF74D5">
        <w:rPr>
          <w:lang w:eastAsia="cs-CZ"/>
        </w:rPr>
        <w:t xml:space="preserve"> </w:t>
      </w:r>
    </w:p>
    <w:p w:rsidR="00FF26F9" w:rsidRDefault="00FF74D5" w:rsidP="00FF26F9">
      <w:pPr>
        <w:rPr>
          <w:lang w:eastAsia="cs-CZ"/>
        </w:rPr>
      </w:pPr>
      <w:r>
        <w:rPr>
          <w:lang w:eastAsia="cs-CZ"/>
        </w:rPr>
        <w:t>Největší počet výsledků aplikačního charakteru vznikl v</w:t>
      </w:r>
      <w:r w:rsidR="002E0C03">
        <w:rPr>
          <w:lang w:eastAsia="cs-CZ"/>
        </w:rPr>
        <w:t> </w:t>
      </w:r>
      <w:r>
        <w:rPr>
          <w:lang w:eastAsia="cs-CZ"/>
        </w:rPr>
        <w:t>průmysl</w:t>
      </w:r>
      <w:r w:rsidR="002E0C03">
        <w:rPr>
          <w:lang w:eastAsia="cs-CZ"/>
        </w:rPr>
        <w:t>ových oborech</w:t>
      </w:r>
      <w:r>
        <w:rPr>
          <w:lang w:eastAsia="cs-CZ"/>
        </w:rPr>
        <w:t>. Oblast vojenství byla původcem druhého (po průmyslu) největšího počtu výsledků typu poloprovozu, ověřených technologií a technicky realizovaných výsledků (35 záznamů). Jediným vědním oborem, v kterém vznikl významný počet výsledků typu duševního vlastnictví, je chemie (19 záznamů).</w:t>
      </w:r>
    </w:p>
    <w:p w:rsidR="00FF26F9" w:rsidRDefault="00FF26F9" w:rsidP="00FF26F9">
      <w:pPr>
        <w:pStyle w:val="Titulek"/>
        <w:keepNext/>
        <w:jc w:val="both"/>
      </w:pPr>
      <w:bookmarkStart w:id="96" w:name="_Ref453749858"/>
      <w:r>
        <w:t xml:space="preserve">Tab. </w:t>
      </w:r>
      <w:r w:rsidR="00990E2D">
        <w:fldChar w:fldCharType="begin"/>
      </w:r>
      <w:r w:rsidR="00990E2D">
        <w:instrText xml:space="preserve"> SEQ Tab. \* ARABIC </w:instrText>
      </w:r>
      <w:r w:rsidR="00990E2D">
        <w:fldChar w:fldCharType="separate"/>
      </w:r>
      <w:r w:rsidR="003F08E5">
        <w:rPr>
          <w:noProof/>
        </w:rPr>
        <w:t>24</w:t>
      </w:r>
      <w:r w:rsidR="00990E2D">
        <w:rPr>
          <w:noProof/>
        </w:rPr>
        <w:fldChar w:fldCharType="end"/>
      </w:r>
      <w:bookmarkEnd w:id="96"/>
      <w:r>
        <w:tab/>
      </w:r>
      <w:r w:rsidRPr="00FF26F9">
        <w:t>Výsledky aplikační povahy, publikované v letech 2010 - 2014, vytvořené v programech MV, rozdělené podle druhů výsledků a oborů. Zdroj: IS VaVaI</w:t>
      </w:r>
    </w:p>
    <w:p w:rsidR="00FF26F9" w:rsidRDefault="00FF26F9" w:rsidP="00FF26F9">
      <w:pPr>
        <w:rPr>
          <w:lang w:eastAsia="cs-CZ"/>
        </w:rPr>
      </w:pPr>
      <w:r>
        <w:rPr>
          <w:noProof/>
          <w:lang w:eastAsia="cs-CZ"/>
        </w:rPr>
        <w:drawing>
          <wp:inline distT="0" distB="0" distL="0" distR="0" wp14:anchorId="25AD6DF7" wp14:editId="096069AF">
            <wp:extent cx="5852795" cy="2670175"/>
            <wp:effectExtent l="0" t="0" r="0" b="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852795" cy="2670175"/>
                    </a:xfrm>
                    <a:prstGeom prst="rect">
                      <a:avLst/>
                    </a:prstGeom>
                    <a:noFill/>
                  </pic:spPr>
                </pic:pic>
              </a:graphicData>
            </a:graphic>
          </wp:inline>
        </w:drawing>
      </w:r>
    </w:p>
    <w:p w:rsidR="00FF26F9" w:rsidRDefault="00FF26F9" w:rsidP="00FF26F9">
      <w:pPr>
        <w:rPr>
          <w:lang w:eastAsia="cs-CZ"/>
        </w:rPr>
      </w:pPr>
    </w:p>
    <w:p w:rsidR="00FF26F9" w:rsidRDefault="00FF26F9" w:rsidP="00FF26F9">
      <w:pPr>
        <w:rPr>
          <w:lang w:eastAsia="cs-CZ"/>
        </w:rPr>
      </w:pPr>
      <w:r>
        <w:rPr>
          <w:lang w:eastAsia="cs-CZ"/>
        </w:rPr>
        <w:t>Hlavním tvůrcem aplikačních výsledků v BV jsou veřejné vysoké školy (372 záznamů) a veřejné výzkumné instituce (viz</w:t>
      </w:r>
      <w:r w:rsidR="00FF74D5">
        <w:rPr>
          <w:lang w:eastAsia="cs-CZ"/>
        </w:rPr>
        <w:t xml:space="preserve"> </w:t>
      </w:r>
      <w:r w:rsidR="00FF74D5">
        <w:rPr>
          <w:lang w:eastAsia="cs-CZ"/>
        </w:rPr>
        <w:fldChar w:fldCharType="begin"/>
      </w:r>
      <w:r w:rsidR="00FF74D5">
        <w:rPr>
          <w:lang w:eastAsia="cs-CZ"/>
        </w:rPr>
        <w:instrText xml:space="preserve"> REF  _Ref453750221 \* Lower \h  \* MERGEFORMAT </w:instrText>
      </w:r>
      <w:r w:rsidR="00FF74D5">
        <w:rPr>
          <w:lang w:eastAsia="cs-CZ"/>
        </w:rPr>
      </w:r>
      <w:r w:rsidR="00FF74D5">
        <w:rPr>
          <w:lang w:eastAsia="cs-CZ"/>
        </w:rPr>
        <w:fldChar w:fldCharType="separate"/>
      </w:r>
      <w:r w:rsidR="003F08E5">
        <w:t xml:space="preserve">tab. </w:t>
      </w:r>
      <w:r w:rsidR="003F08E5">
        <w:rPr>
          <w:noProof/>
        </w:rPr>
        <w:t>25</w:t>
      </w:r>
      <w:r w:rsidR="00FF74D5">
        <w:rPr>
          <w:lang w:eastAsia="cs-CZ"/>
        </w:rPr>
        <w:fldChar w:fldCharType="end"/>
      </w:r>
      <w:r>
        <w:rPr>
          <w:lang w:eastAsia="cs-CZ"/>
        </w:rPr>
        <w:t xml:space="preserve">). </w:t>
      </w:r>
      <w:r w:rsidR="00AB5089">
        <w:rPr>
          <w:lang w:eastAsia="cs-CZ"/>
        </w:rPr>
        <w:t>VŠ jsou rovněž dominantním tvůrcem</w:t>
      </w:r>
      <w:r>
        <w:rPr>
          <w:lang w:eastAsia="cs-CZ"/>
        </w:rPr>
        <w:t xml:space="preserve"> výsledků typu duševního vlastnictví. Ve srovnání s VŠ </w:t>
      </w:r>
      <w:r w:rsidR="00AB5089">
        <w:rPr>
          <w:lang w:eastAsia="cs-CZ"/>
        </w:rPr>
        <w:t>v</w:t>
      </w:r>
      <w:r>
        <w:rPr>
          <w:lang w:eastAsia="cs-CZ"/>
        </w:rPr>
        <w:t xml:space="preserve"> podnikatelském prostředí vznikla přibližně pouze polovina výsledků tohoto typu. Veřejné výzkumné instituce byly na úrovni srovnatelné s podnikatelskou sférou. </w:t>
      </w:r>
      <w:r w:rsidR="00AB5089">
        <w:rPr>
          <w:lang w:eastAsia="cs-CZ"/>
        </w:rPr>
        <w:t>Vyšší počet výsledků typu duševního vlastnictví u VŠ může souviset i s tím, že tyto výsledky jsou zohledněny v metodice hodnocení a rozdělování institucionální podpory na rozvoj VO.</w:t>
      </w:r>
    </w:p>
    <w:p w:rsidR="00FF26F9" w:rsidRDefault="00FF26F9" w:rsidP="00FF26F9">
      <w:pPr>
        <w:rPr>
          <w:lang w:eastAsia="cs-CZ"/>
        </w:rPr>
      </w:pPr>
      <w:r>
        <w:rPr>
          <w:lang w:eastAsia="cs-CZ"/>
        </w:rPr>
        <w:t>Hlavními tvůrci výsledků typu certifikovaných metodik a specializovaných map byly veřejné výzkumné instituce a příspěvkové organizace. Z bližšího pohledu na konkr</w:t>
      </w:r>
      <w:r w:rsidR="00AB5089">
        <w:rPr>
          <w:lang w:eastAsia="cs-CZ"/>
        </w:rPr>
        <w:t>é</w:t>
      </w:r>
      <w:r>
        <w:rPr>
          <w:lang w:eastAsia="cs-CZ"/>
        </w:rPr>
        <w:t>tní tvůrce výsledků tohoto typu je zřejmé</w:t>
      </w:r>
      <w:r w:rsidR="00AB5089">
        <w:rPr>
          <w:lang w:eastAsia="cs-CZ"/>
        </w:rPr>
        <w:t>,</w:t>
      </w:r>
      <w:r>
        <w:rPr>
          <w:lang w:eastAsia="cs-CZ"/>
        </w:rPr>
        <w:t xml:space="preserve"> že toto je důsledkem jednoho projektu, v jehož rámci byla mapov</w:t>
      </w:r>
      <w:r w:rsidR="00AB5089">
        <w:rPr>
          <w:lang w:eastAsia="cs-CZ"/>
        </w:rPr>
        <w:t>á</w:t>
      </w:r>
      <w:r>
        <w:rPr>
          <w:lang w:eastAsia="cs-CZ"/>
        </w:rPr>
        <w:t>n</w:t>
      </w:r>
      <w:r w:rsidR="00AB5089">
        <w:rPr>
          <w:lang w:eastAsia="cs-CZ"/>
        </w:rPr>
        <w:t>a</w:t>
      </w:r>
      <w:r>
        <w:rPr>
          <w:lang w:eastAsia="cs-CZ"/>
        </w:rPr>
        <w:t xml:space="preserve"> zemědělská půda</w:t>
      </w:r>
      <w:r w:rsidR="00AB5089">
        <w:rPr>
          <w:lang w:eastAsia="cs-CZ"/>
        </w:rPr>
        <w:t xml:space="preserve"> v</w:t>
      </w:r>
      <w:r>
        <w:rPr>
          <w:lang w:eastAsia="cs-CZ"/>
        </w:rPr>
        <w:t xml:space="preserve"> ČR z hlediska potravinové bezpečnosti a výsledky byly prezentovány jako série map malých území.</w:t>
      </w:r>
    </w:p>
    <w:p w:rsidR="00FF26F9" w:rsidRDefault="00FF26F9" w:rsidP="00FF26F9">
      <w:pPr>
        <w:rPr>
          <w:lang w:eastAsia="cs-CZ"/>
        </w:rPr>
      </w:pPr>
      <w:r>
        <w:rPr>
          <w:lang w:eastAsia="cs-CZ"/>
        </w:rPr>
        <w:t xml:space="preserve">Výsledky typu poloprovozu a technických realizací rovněž převážně vytvářely </w:t>
      </w:r>
      <w:r w:rsidR="00AB5089">
        <w:rPr>
          <w:lang w:eastAsia="cs-CZ"/>
        </w:rPr>
        <w:t>VŠ,</w:t>
      </w:r>
      <w:r>
        <w:rPr>
          <w:lang w:eastAsia="cs-CZ"/>
        </w:rPr>
        <w:t xml:space="preserve"> avšak </w:t>
      </w:r>
      <w:r w:rsidR="00AB5089">
        <w:rPr>
          <w:lang w:eastAsia="cs-CZ"/>
        </w:rPr>
        <w:t xml:space="preserve">poměrně </w:t>
      </w:r>
      <w:r>
        <w:rPr>
          <w:lang w:eastAsia="cs-CZ"/>
        </w:rPr>
        <w:t xml:space="preserve">významný podíl </w:t>
      </w:r>
      <w:r w:rsidR="00AB5089">
        <w:rPr>
          <w:lang w:eastAsia="cs-CZ"/>
        </w:rPr>
        <w:t xml:space="preserve">těchto výsledků </w:t>
      </w:r>
      <w:r>
        <w:rPr>
          <w:lang w:eastAsia="cs-CZ"/>
        </w:rPr>
        <w:t xml:space="preserve">(přibližně 30 %) vznikl </w:t>
      </w:r>
      <w:r w:rsidR="00AB5089">
        <w:rPr>
          <w:lang w:eastAsia="cs-CZ"/>
        </w:rPr>
        <w:t xml:space="preserve">také </w:t>
      </w:r>
      <w:r>
        <w:rPr>
          <w:lang w:eastAsia="cs-CZ"/>
        </w:rPr>
        <w:t>v podnikatelské sféře a 20 % v organizačních složkách státu.</w:t>
      </w:r>
      <w:r w:rsidR="00AB5089">
        <w:rPr>
          <w:lang w:eastAsia="cs-CZ"/>
        </w:rPr>
        <w:t xml:space="preserve"> </w:t>
      </w:r>
      <w:r>
        <w:rPr>
          <w:lang w:eastAsia="cs-CZ"/>
        </w:rPr>
        <w:t xml:space="preserve">Tvorba softwaru byla téměř ze ¾ soustředěna na </w:t>
      </w:r>
      <w:r w:rsidR="00AB5089">
        <w:rPr>
          <w:lang w:eastAsia="cs-CZ"/>
        </w:rPr>
        <w:t>VŠ</w:t>
      </w:r>
      <w:r>
        <w:rPr>
          <w:lang w:eastAsia="cs-CZ"/>
        </w:rPr>
        <w:t xml:space="preserve"> a přibližně 20 % bylo vytvořeno v podnikatelské sféře.</w:t>
      </w:r>
    </w:p>
    <w:p w:rsidR="00FF26F9" w:rsidRDefault="00FF26F9" w:rsidP="00FF26F9">
      <w:pPr>
        <w:rPr>
          <w:lang w:eastAsia="cs-CZ"/>
        </w:rPr>
      </w:pPr>
      <w:r>
        <w:rPr>
          <w:lang w:eastAsia="cs-CZ"/>
        </w:rPr>
        <w:t xml:space="preserve">Přehled nejvýznamnějších výzkumných institucí, které vytvořily většinu aplikačních výsledků, je uveden v </w:t>
      </w:r>
      <w:r w:rsidR="00AB5089">
        <w:rPr>
          <w:lang w:eastAsia="cs-CZ"/>
        </w:rPr>
        <w:fldChar w:fldCharType="begin"/>
      </w:r>
      <w:r w:rsidR="00AB5089">
        <w:rPr>
          <w:lang w:eastAsia="cs-CZ"/>
        </w:rPr>
        <w:instrText xml:space="preserve"> REF  _Ref453750738 \* Lower \h  \* MERGEFORMAT </w:instrText>
      </w:r>
      <w:r w:rsidR="00AB5089">
        <w:rPr>
          <w:lang w:eastAsia="cs-CZ"/>
        </w:rPr>
      </w:r>
      <w:r w:rsidR="00AB5089">
        <w:rPr>
          <w:lang w:eastAsia="cs-CZ"/>
        </w:rPr>
        <w:fldChar w:fldCharType="separate"/>
      </w:r>
      <w:r w:rsidR="003F08E5">
        <w:t xml:space="preserve">tab. </w:t>
      </w:r>
      <w:r w:rsidR="003F08E5">
        <w:rPr>
          <w:noProof/>
        </w:rPr>
        <w:t>26</w:t>
      </w:r>
      <w:r w:rsidR="00AB5089">
        <w:rPr>
          <w:lang w:eastAsia="cs-CZ"/>
        </w:rPr>
        <w:fldChar w:fldCharType="end"/>
      </w:r>
      <w:r>
        <w:rPr>
          <w:lang w:eastAsia="cs-CZ"/>
        </w:rPr>
        <w:t>. Nejv</w:t>
      </w:r>
      <w:r w:rsidR="00AB5089">
        <w:rPr>
          <w:lang w:eastAsia="cs-CZ"/>
        </w:rPr>
        <w:t>ýznamněj</w:t>
      </w:r>
      <w:r>
        <w:rPr>
          <w:lang w:eastAsia="cs-CZ"/>
        </w:rPr>
        <w:t xml:space="preserve">ším tvůrcem těchto výsledků je </w:t>
      </w:r>
      <w:r w:rsidR="00AB5089">
        <w:rPr>
          <w:lang w:eastAsia="cs-CZ"/>
        </w:rPr>
        <w:t>Č</w:t>
      </w:r>
      <w:r>
        <w:rPr>
          <w:lang w:eastAsia="cs-CZ"/>
        </w:rPr>
        <w:t xml:space="preserve">VUT </w:t>
      </w:r>
      <w:r w:rsidR="00AB5089">
        <w:rPr>
          <w:lang w:eastAsia="cs-CZ"/>
        </w:rPr>
        <w:t xml:space="preserve">v </w:t>
      </w:r>
      <w:r>
        <w:rPr>
          <w:lang w:eastAsia="cs-CZ"/>
        </w:rPr>
        <w:t>Pra</w:t>
      </w:r>
      <w:r w:rsidR="00AB5089">
        <w:rPr>
          <w:lang w:eastAsia="cs-CZ"/>
        </w:rPr>
        <w:t>ze</w:t>
      </w:r>
      <w:r>
        <w:rPr>
          <w:lang w:eastAsia="cs-CZ"/>
        </w:rPr>
        <w:t xml:space="preserve">. Pozice agentury CENIA a </w:t>
      </w:r>
      <w:r w:rsidR="00AB5089">
        <w:rPr>
          <w:lang w:eastAsia="cs-CZ"/>
        </w:rPr>
        <w:t>Výzkumné ústavu</w:t>
      </w:r>
      <w:r>
        <w:rPr>
          <w:lang w:eastAsia="cs-CZ"/>
        </w:rPr>
        <w:t xml:space="preserve"> S</w:t>
      </w:r>
      <w:r w:rsidR="00AC2B4E">
        <w:rPr>
          <w:lang w:eastAsia="cs-CZ"/>
        </w:rPr>
        <w:t>i</w:t>
      </w:r>
      <w:r>
        <w:rPr>
          <w:lang w:eastAsia="cs-CZ"/>
        </w:rPr>
        <w:t>lva Taroucy je d</w:t>
      </w:r>
      <w:r w:rsidR="00AB5089">
        <w:rPr>
          <w:lang w:eastAsia="cs-CZ"/>
        </w:rPr>
        <w:t>ů</w:t>
      </w:r>
      <w:r>
        <w:rPr>
          <w:lang w:eastAsia="cs-CZ"/>
        </w:rPr>
        <w:t>sledk</w:t>
      </w:r>
      <w:r w:rsidR="00AB5089">
        <w:rPr>
          <w:lang w:eastAsia="cs-CZ"/>
        </w:rPr>
        <w:t>em</w:t>
      </w:r>
      <w:r>
        <w:rPr>
          <w:lang w:eastAsia="cs-CZ"/>
        </w:rPr>
        <w:t xml:space="preserve"> výše zmíněného projektu mapovaní zemědělské půdy. Dalšími významnými tvůrci jsou MV, VUT </w:t>
      </w:r>
      <w:r w:rsidR="00AB5089">
        <w:rPr>
          <w:lang w:eastAsia="cs-CZ"/>
        </w:rPr>
        <w:t xml:space="preserve">v </w:t>
      </w:r>
      <w:r>
        <w:rPr>
          <w:lang w:eastAsia="cs-CZ"/>
        </w:rPr>
        <w:t>Brn</w:t>
      </w:r>
      <w:r w:rsidR="00AB5089">
        <w:rPr>
          <w:lang w:eastAsia="cs-CZ"/>
        </w:rPr>
        <w:t>ě</w:t>
      </w:r>
      <w:r>
        <w:rPr>
          <w:lang w:eastAsia="cs-CZ"/>
        </w:rPr>
        <w:t>, SÚRO, MO</w:t>
      </w:r>
      <w:r w:rsidR="00AB5089">
        <w:rPr>
          <w:lang w:eastAsia="cs-CZ"/>
        </w:rPr>
        <w:t>,</w:t>
      </w:r>
      <w:r>
        <w:rPr>
          <w:lang w:eastAsia="cs-CZ"/>
        </w:rPr>
        <w:t xml:space="preserve"> SÚJBCHO a VŠB – TU Ostrava. </w:t>
      </w:r>
    </w:p>
    <w:p w:rsidR="00FF74D5" w:rsidRDefault="00FF74D5" w:rsidP="00FF74D5">
      <w:pPr>
        <w:pStyle w:val="Titulek"/>
        <w:keepNext/>
        <w:jc w:val="both"/>
      </w:pPr>
      <w:bookmarkStart w:id="97" w:name="_Ref453750221"/>
      <w:r>
        <w:lastRenderedPageBreak/>
        <w:t xml:space="preserve">Tab. </w:t>
      </w:r>
      <w:r w:rsidR="00990E2D">
        <w:fldChar w:fldCharType="begin"/>
      </w:r>
      <w:r w:rsidR="00990E2D">
        <w:instrText xml:space="preserve"> SEQ Tab. \* ARABIC </w:instrText>
      </w:r>
      <w:r w:rsidR="00990E2D">
        <w:fldChar w:fldCharType="separate"/>
      </w:r>
      <w:r w:rsidR="003F08E5">
        <w:rPr>
          <w:noProof/>
        </w:rPr>
        <w:t>25</w:t>
      </w:r>
      <w:r w:rsidR="00990E2D">
        <w:rPr>
          <w:noProof/>
        </w:rPr>
        <w:fldChar w:fldCharType="end"/>
      </w:r>
      <w:bookmarkEnd w:id="97"/>
      <w:r>
        <w:tab/>
      </w:r>
      <w:r w:rsidRPr="00FF74D5">
        <w:t>Výsledky aplikační povahy, publikované v letech 2010 - 2014, vytvořené v programech MV, rozdělené podle druhů výsledků a právní formy autora. Zdroj: IS VaVaI</w:t>
      </w:r>
    </w:p>
    <w:p w:rsidR="00FF74D5" w:rsidRDefault="00FF74D5" w:rsidP="00FF26F9">
      <w:pPr>
        <w:rPr>
          <w:lang w:eastAsia="cs-CZ"/>
        </w:rPr>
      </w:pPr>
      <w:r>
        <w:rPr>
          <w:noProof/>
          <w:lang w:eastAsia="cs-CZ"/>
        </w:rPr>
        <w:drawing>
          <wp:inline distT="0" distB="0" distL="0" distR="0" wp14:anchorId="52C326F4" wp14:editId="23BA4A51">
            <wp:extent cx="5853600" cy="2329200"/>
            <wp:effectExtent l="0" t="0" r="0" b="0"/>
            <wp:docPr id="31" name="Obráze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853600" cy="2329200"/>
                    </a:xfrm>
                    <a:prstGeom prst="rect">
                      <a:avLst/>
                    </a:prstGeom>
                    <a:noFill/>
                  </pic:spPr>
                </pic:pic>
              </a:graphicData>
            </a:graphic>
          </wp:inline>
        </w:drawing>
      </w:r>
    </w:p>
    <w:p w:rsidR="00FF74D5" w:rsidRDefault="00FF74D5" w:rsidP="00FF74D5">
      <w:pPr>
        <w:pStyle w:val="Titulek"/>
        <w:keepNext/>
        <w:jc w:val="both"/>
      </w:pPr>
      <w:bookmarkStart w:id="98" w:name="_Ref453750738"/>
      <w:r>
        <w:lastRenderedPageBreak/>
        <w:t xml:space="preserve">Tab. </w:t>
      </w:r>
      <w:r w:rsidR="00990E2D">
        <w:fldChar w:fldCharType="begin"/>
      </w:r>
      <w:r w:rsidR="00990E2D">
        <w:instrText xml:space="preserve"> SEQ Tab. \* ARABIC </w:instrText>
      </w:r>
      <w:r w:rsidR="00990E2D">
        <w:fldChar w:fldCharType="separate"/>
      </w:r>
      <w:r w:rsidR="003F08E5">
        <w:rPr>
          <w:noProof/>
        </w:rPr>
        <w:t>26</w:t>
      </w:r>
      <w:r w:rsidR="00990E2D">
        <w:rPr>
          <w:noProof/>
        </w:rPr>
        <w:fldChar w:fldCharType="end"/>
      </w:r>
      <w:bookmarkEnd w:id="98"/>
      <w:r>
        <w:tab/>
      </w:r>
      <w:r w:rsidRPr="00FF74D5">
        <w:t>Nejvýznamnější tvůrci výsled</w:t>
      </w:r>
      <w:r w:rsidR="00687EDC">
        <w:t>ky aplikační povahy, publikovaných</w:t>
      </w:r>
      <w:r w:rsidRPr="00FF74D5">
        <w:t xml:space="preserve"> v letech 2010 - 2014, vytvořených v programech MV. Zdroj: IS VaVaI</w:t>
      </w:r>
    </w:p>
    <w:p w:rsidR="00FF74D5" w:rsidRDefault="00FF74D5" w:rsidP="00FF74D5">
      <w:pPr>
        <w:jc w:val="center"/>
        <w:rPr>
          <w:lang w:eastAsia="cs-CZ"/>
        </w:rPr>
      </w:pPr>
      <w:r>
        <w:rPr>
          <w:noProof/>
          <w:lang w:eastAsia="cs-CZ"/>
        </w:rPr>
        <w:drawing>
          <wp:inline distT="0" distB="0" distL="0" distR="0" wp14:anchorId="3CC1B994" wp14:editId="6EF9266C">
            <wp:extent cx="5387955" cy="5695950"/>
            <wp:effectExtent l="0" t="0" r="3810" b="0"/>
            <wp:docPr id="39" name="Obrázek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391368" cy="5699559"/>
                    </a:xfrm>
                    <a:prstGeom prst="rect">
                      <a:avLst/>
                    </a:prstGeom>
                    <a:noFill/>
                  </pic:spPr>
                </pic:pic>
              </a:graphicData>
            </a:graphic>
          </wp:inline>
        </w:drawing>
      </w:r>
    </w:p>
    <w:p w:rsidR="00FF74D5" w:rsidRPr="00AB5089" w:rsidRDefault="00AB5089" w:rsidP="00FF26F9">
      <w:pPr>
        <w:rPr>
          <w:i/>
          <w:sz w:val="20"/>
          <w:lang w:eastAsia="cs-CZ"/>
        </w:rPr>
      </w:pPr>
      <w:r w:rsidRPr="00AB5089">
        <w:rPr>
          <w:i/>
          <w:sz w:val="20"/>
          <w:lang w:eastAsia="cs-CZ"/>
        </w:rPr>
        <w:t>Poznámka: Seznam je omezen na VO, které v uvedeném období vytvořily alespoň pět výstupů aplikační povahy. Tabulka všech VO s výsledky aplikační povahy je uveden v příloze.</w:t>
      </w:r>
    </w:p>
    <w:p w:rsidR="00FF74D5" w:rsidRDefault="00FF74D5" w:rsidP="00FF26F9">
      <w:pPr>
        <w:rPr>
          <w:lang w:eastAsia="cs-CZ"/>
        </w:rPr>
      </w:pPr>
    </w:p>
    <w:p w:rsidR="00FF74D5" w:rsidRDefault="00AB5089" w:rsidP="00AB5089">
      <w:pPr>
        <w:pStyle w:val="Nadpis3"/>
      </w:pPr>
      <w:bookmarkStart w:id="99" w:name="_Toc459723286"/>
      <w:r w:rsidRPr="00AB5089">
        <w:t>Analýza aplikačně zaměřených výsledků vzniklých v programech tematicky souvisejících s BV</w:t>
      </w:r>
      <w:bookmarkEnd w:id="99"/>
    </w:p>
    <w:p w:rsidR="00D20C68" w:rsidRDefault="00782738" w:rsidP="00996E9C">
      <w:r>
        <w:t xml:space="preserve">Kromě výsledků publikačního charakteru, které jsou blíže popsány v kap. </w:t>
      </w:r>
      <w:r>
        <w:fldChar w:fldCharType="begin"/>
      </w:r>
      <w:r>
        <w:instrText xml:space="preserve"> REF _Ref449971404 \r \h </w:instrText>
      </w:r>
      <w:r>
        <w:fldChar w:fldCharType="separate"/>
      </w:r>
      <w:r w:rsidR="003F08E5">
        <w:t>3.2</w:t>
      </w:r>
      <w:r>
        <w:fldChar w:fldCharType="end"/>
      </w:r>
      <w:r w:rsidR="008D691F">
        <w:t>, bylo v letech 2010 – 201</w:t>
      </w:r>
      <w:r w:rsidR="00EA1F1A">
        <w:t>4</w:t>
      </w:r>
      <w:r w:rsidR="008D691F">
        <w:t xml:space="preserve"> v projektech souvisejících s bezpečnostní problematikou podpořených z rozpočtových kapitol jiných poskytovatelů (viz kap. </w:t>
      </w:r>
      <w:r w:rsidR="008D691F">
        <w:fldChar w:fldCharType="begin"/>
      </w:r>
      <w:r w:rsidR="008D691F">
        <w:instrText xml:space="preserve"> REF _Ref451692670 \r \h </w:instrText>
      </w:r>
      <w:r w:rsidR="008D691F">
        <w:fldChar w:fldCharType="separate"/>
      </w:r>
      <w:r w:rsidR="003F08E5">
        <w:t>2.2.1</w:t>
      </w:r>
      <w:r w:rsidR="008D691F">
        <w:fldChar w:fldCharType="end"/>
      </w:r>
      <w:r w:rsidR="008D691F">
        <w:t xml:space="preserve"> a </w:t>
      </w:r>
      <w:r w:rsidR="008D691F">
        <w:fldChar w:fldCharType="begin"/>
      </w:r>
      <w:r w:rsidR="008D691F">
        <w:instrText xml:space="preserve"> REF _Ref452122298 \r \h </w:instrText>
      </w:r>
      <w:r w:rsidR="008D691F">
        <w:fldChar w:fldCharType="separate"/>
      </w:r>
      <w:r w:rsidR="003F08E5">
        <w:t>2.3.1.2</w:t>
      </w:r>
      <w:r w:rsidR="008D691F">
        <w:fldChar w:fldCharType="end"/>
      </w:r>
      <w:r w:rsidR="008D691F">
        <w:t>) vytvořeno 956 výsledků aplikační povahy, které jsou evidován</w:t>
      </w:r>
      <w:r w:rsidR="00EA1F1A">
        <w:t>y</w:t>
      </w:r>
      <w:r w:rsidR="008D691F">
        <w:t xml:space="preserve"> v RIV IS VaVaI. </w:t>
      </w:r>
      <w:r w:rsidR="009E3E3E">
        <w:t xml:space="preserve">Jak je patrné z </w:t>
      </w:r>
      <w:r w:rsidR="009E3E3E">
        <w:fldChar w:fldCharType="begin"/>
      </w:r>
      <w:r w:rsidR="009E3E3E">
        <w:instrText xml:space="preserve"> REF  _Ref452478120 \* Lower \h  \* MERGEFORMAT </w:instrText>
      </w:r>
      <w:r w:rsidR="009E3E3E">
        <w:fldChar w:fldCharType="separate"/>
      </w:r>
      <w:r w:rsidR="003F08E5">
        <w:t xml:space="preserve">tab. </w:t>
      </w:r>
      <w:r w:rsidR="003F08E5">
        <w:rPr>
          <w:noProof/>
        </w:rPr>
        <w:t>27</w:t>
      </w:r>
      <w:r w:rsidR="009E3E3E">
        <w:fldChar w:fldCharType="end"/>
      </w:r>
      <w:r w:rsidR="009E3E3E">
        <w:t xml:space="preserve">, </w:t>
      </w:r>
      <w:r w:rsidR="008D691F">
        <w:t>t</w:t>
      </w:r>
      <w:r w:rsidR="00B20B25">
        <w:t>éměř 40 % těchto výsledků tvořily tzv. ostatní výsledky (kategorie O</w:t>
      </w:r>
      <w:r w:rsidR="00AB5089">
        <w:t>)</w:t>
      </w:r>
      <w:r w:rsidR="009E3E3E">
        <w:t xml:space="preserve"> a audiovizuální tvorba (A).</w:t>
      </w:r>
      <w:r w:rsidR="004D39DA">
        <w:t xml:space="preserve"> Druhou nejpočetnější skupinou jsou výsledky typu poloprovoz, ověřená technologie (Z) a technicky realizované výsledky </w:t>
      </w:r>
      <w:r w:rsidR="0091018B">
        <w:t>(</w:t>
      </w:r>
      <w:r w:rsidR="004D39DA">
        <w:t xml:space="preserve">G), které společně tvořily více než čtvrtinu výsledků aplikačního charakteru. Pouze 8 % z celkového počtu výsledků aplikačního charakteru byly patenty a výsledky s právní ochranou (užitné a průmyslové vzory) a 7 % těchto výsledků tvořily certifikované metodiky, postupy a specializované mapy (viz </w:t>
      </w:r>
      <w:r w:rsidR="004D39DA">
        <w:fldChar w:fldCharType="begin"/>
      </w:r>
      <w:r w:rsidR="004D39DA">
        <w:instrText xml:space="preserve"> REF  _Ref452478120 \* Lower \h  \* MERGEFORMAT </w:instrText>
      </w:r>
      <w:r w:rsidR="004D39DA">
        <w:fldChar w:fldCharType="separate"/>
      </w:r>
      <w:r w:rsidR="003F08E5">
        <w:t xml:space="preserve">tab. </w:t>
      </w:r>
      <w:r w:rsidR="003F08E5">
        <w:rPr>
          <w:noProof/>
        </w:rPr>
        <w:t>27</w:t>
      </w:r>
      <w:r w:rsidR="004D39DA">
        <w:fldChar w:fldCharType="end"/>
      </w:r>
      <w:r w:rsidR="004D39DA">
        <w:t>).</w:t>
      </w:r>
      <w:r w:rsidR="008D691F">
        <w:t xml:space="preserve"> </w:t>
      </w:r>
    </w:p>
    <w:p w:rsidR="00342A4C" w:rsidRDefault="0091018B" w:rsidP="00342A4C">
      <w:pPr>
        <w:rPr>
          <w:lang w:eastAsia="cs-CZ"/>
        </w:rPr>
      </w:pPr>
      <w:r>
        <w:lastRenderedPageBreak/>
        <w:t>Výrazně n</w:t>
      </w:r>
      <w:r w:rsidR="004D39DA">
        <w:t xml:space="preserve">ejvíce výsledků aplikačního charakteru vzniklo podle očekávání v průmyslových oborech </w:t>
      </w:r>
      <w:r>
        <w:t xml:space="preserve">a v informatice. V průmyslových oborech dominují výsledky typu poloprovoz, ověřená technologie a technicky realizované výsledky. Přibližně tři čtvrtiny výsledků v informatice jsou však ostatní výsledky a audiovizuální tvorba (viz </w:t>
      </w:r>
      <w:r>
        <w:fldChar w:fldCharType="begin"/>
      </w:r>
      <w:r>
        <w:instrText xml:space="preserve"> REF  _Ref452478120 \* Lower \h  \* MERGEFORMAT </w:instrText>
      </w:r>
      <w:r>
        <w:fldChar w:fldCharType="separate"/>
      </w:r>
      <w:r w:rsidR="003F08E5">
        <w:t xml:space="preserve">tab. </w:t>
      </w:r>
      <w:r w:rsidR="003F08E5">
        <w:rPr>
          <w:noProof/>
        </w:rPr>
        <w:t>27</w:t>
      </w:r>
      <w:r>
        <w:fldChar w:fldCharType="end"/>
      </w:r>
      <w:r>
        <w:t xml:space="preserve">). Dalším oborem, kde vzniklo více výsledků aplikačního charakteru, jsou vědy o Zemi, </w:t>
      </w:r>
      <w:r w:rsidR="008D691F">
        <w:t xml:space="preserve">kde </w:t>
      </w:r>
      <w:r>
        <w:t>většin</w:t>
      </w:r>
      <w:r w:rsidR="008D691F">
        <w:t>u</w:t>
      </w:r>
      <w:r>
        <w:t xml:space="preserve"> z těchto výsledků tvoří mapy a certifikované metodiky. </w:t>
      </w:r>
    </w:p>
    <w:p w:rsidR="00C03B41" w:rsidRDefault="00C03B41" w:rsidP="00C03B41">
      <w:pPr>
        <w:pStyle w:val="Titulek"/>
        <w:keepNext/>
        <w:jc w:val="both"/>
      </w:pPr>
      <w:bookmarkStart w:id="100" w:name="_Ref452478120"/>
      <w:r>
        <w:t xml:space="preserve">Tab. </w:t>
      </w:r>
      <w:r w:rsidR="00990E2D">
        <w:fldChar w:fldCharType="begin"/>
      </w:r>
      <w:r w:rsidR="00990E2D">
        <w:instrText xml:space="preserve"> SEQ Tab. \* ARABIC </w:instrText>
      </w:r>
      <w:r w:rsidR="00990E2D">
        <w:fldChar w:fldCharType="separate"/>
      </w:r>
      <w:r w:rsidR="003F08E5">
        <w:rPr>
          <w:noProof/>
        </w:rPr>
        <w:t>27</w:t>
      </w:r>
      <w:r w:rsidR="00990E2D">
        <w:rPr>
          <w:noProof/>
        </w:rPr>
        <w:fldChar w:fldCharType="end"/>
      </w:r>
      <w:bookmarkEnd w:id="100"/>
      <w:r>
        <w:tab/>
      </w:r>
      <w:r w:rsidRPr="00C03B41">
        <w:t xml:space="preserve">Výsledky aplikační povahy přiřazené projektům </w:t>
      </w:r>
      <w:r w:rsidRPr="00EA1F1A">
        <w:t xml:space="preserve">tematicky souvisejícím s bezpečnostním výzkumem podpořeným od roku </w:t>
      </w:r>
      <w:r w:rsidR="009E3E3E" w:rsidRPr="00EA1F1A">
        <w:t>2010 rozdělené podle druhů výsledků a oborů</w:t>
      </w:r>
      <w:r w:rsidRPr="00EA1F1A">
        <w:t>. Zdroj: IS VaVaI.</w:t>
      </w:r>
    </w:p>
    <w:p w:rsidR="00342A4C" w:rsidRDefault="00C03B41" w:rsidP="00342A4C">
      <w:r w:rsidRPr="00C03B41">
        <w:rPr>
          <w:noProof/>
          <w:lang w:eastAsia="cs-CZ"/>
        </w:rPr>
        <w:drawing>
          <wp:inline distT="0" distB="0" distL="0" distR="0" wp14:anchorId="6743FE42" wp14:editId="367E2216">
            <wp:extent cx="5958000" cy="2721600"/>
            <wp:effectExtent l="0" t="0" r="5080" b="3175"/>
            <wp:docPr id="37" name="Obrázek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958000" cy="2721600"/>
                    </a:xfrm>
                    <a:prstGeom prst="rect">
                      <a:avLst/>
                    </a:prstGeom>
                    <a:noFill/>
                    <a:ln>
                      <a:noFill/>
                    </a:ln>
                  </pic:spPr>
                </pic:pic>
              </a:graphicData>
            </a:graphic>
          </wp:inline>
        </w:drawing>
      </w:r>
    </w:p>
    <w:p w:rsidR="00342A4C" w:rsidRDefault="00342A4C" w:rsidP="00342A4C"/>
    <w:p w:rsidR="00C01BFE" w:rsidRDefault="00B37160" w:rsidP="00C01BFE">
      <w:r>
        <w:t xml:space="preserve">Jak je patrné z </w:t>
      </w:r>
      <w:r>
        <w:fldChar w:fldCharType="begin"/>
      </w:r>
      <w:r>
        <w:instrText xml:space="preserve"> REF  _Ref452479440 \* Lower \h  \* MERGEFORMAT </w:instrText>
      </w:r>
      <w:r>
        <w:fldChar w:fldCharType="separate"/>
      </w:r>
      <w:r w:rsidR="003F08E5">
        <w:t xml:space="preserve">tab. </w:t>
      </w:r>
      <w:r w:rsidR="003F08E5">
        <w:rPr>
          <w:noProof/>
        </w:rPr>
        <w:t>28</w:t>
      </w:r>
      <w:r>
        <w:fldChar w:fldCharType="end"/>
      </w:r>
      <w:r>
        <w:t xml:space="preserve">, kde jsou uvedeny </w:t>
      </w:r>
      <w:r w:rsidRPr="00B37160">
        <w:t>Výsledky aplikační povahy přiřazené projektům tematicky souvisejícím s bezpečnostním výzkumem podpořeným od roku 2010 rozdělené podle druhů výsledků a právní formy řešitele projektu</w:t>
      </w:r>
      <w:r w:rsidR="00EA1F1A">
        <w:t xml:space="preserve">, </w:t>
      </w:r>
      <w:r>
        <w:t xml:space="preserve">autoři přibližně poloviny těchto výsledků jsou výzkumní pracovníci z VŠ. Nejčastějším výsledkem VŠ jsou </w:t>
      </w:r>
      <w:r w:rsidR="00C01BFE">
        <w:t>certifikované metodiky, postupy a specializované mapy (N), ostatní výsledky (kategorie O), audiovizuální tvorba (A) a software (R), které tvoří společně více než 80 % výsledků aplikační povahy vzniklých ve VŠ</w:t>
      </w:r>
      <w:r w:rsidR="00EA1F1A">
        <w:t xml:space="preserve"> prostředí</w:t>
      </w:r>
      <w:r w:rsidR="00C01BFE">
        <w:t>.</w:t>
      </w:r>
    </w:p>
    <w:p w:rsidR="00342A4C" w:rsidRDefault="00C01BFE" w:rsidP="00342A4C">
      <w:r>
        <w:t xml:space="preserve">Poměrně vysoký počet aplikačně zaměřených výsledků byl vytvořen také podniky (resp. právnickými osobami) a zájmovými sdruženími právnických osob. Téměř polovinu výsledků právnických osob tvoří patenty a výsledky s právní ochranou, přibližně čtvrtinu </w:t>
      </w:r>
      <w:r w:rsidRPr="00C01BFE">
        <w:t xml:space="preserve">ostatní výsledky </w:t>
      </w:r>
      <w:r>
        <w:t>a audiovizuální tvorba (</w:t>
      </w:r>
      <w:r>
        <w:fldChar w:fldCharType="begin"/>
      </w:r>
      <w:r>
        <w:instrText xml:space="preserve"> REF  _Ref452479440 \* Lower \h  \* MERGEFORMAT </w:instrText>
      </w:r>
      <w:r>
        <w:fldChar w:fldCharType="separate"/>
      </w:r>
      <w:r w:rsidR="003F08E5">
        <w:t xml:space="preserve">tab. </w:t>
      </w:r>
      <w:r w:rsidR="003F08E5">
        <w:rPr>
          <w:noProof/>
        </w:rPr>
        <w:t>28</w:t>
      </w:r>
      <w:r>
        <w:fldChar w:fldCharType="end"/>
      </w:r>
      <w:r>
        <w:t xml:space="preserve">). </w:t>
      </w:r>
    </w:p>
    <w:p w:rsidR="00F4064B" w:rsidRDefault="00F4064B" w:rsidP="00F4064B">
      <w:r>
        <w:t xml:space="preserve">Jak je patrné z </w:t>
      </w:r>
      <w:r>
        <w:fldChar w:fldCharType="begin"/>
      </w:r>
      <w:r>
        <w:instrText xml:space="preserve"> REF  _Ref452480237 \* Lower \h  \* MERGEFORMAT </w:instrText>
      </w:r>
      <w:r>
        <w:fldChar w:fldCharType="separate"/>
      </w:r>
      <w:r w:rsidR="003F08E5">
        <w:t xml:space="preserve">tab. </w:t>
      </w:r>
      <w:r w:rsidR="003F08E5">
        <w:rPr>
          <w:noProof/>
        </w:rPr>
        <w:t>29</w:t>
      </w:r>
      <w:r>
        <w:fldChar w:fldCharType="end"/>
      </w:r>
      <w:r>
        <w:t>, nejvíce výsledků vytvořil CESNET, naprostou většinu však tvoří výsledky typu O (ostatní výsledky) a A (audiovizuální tvorba). CESNET je zároveň jediným autorem výsledků aplikačního charakteru ze zájmových sdružení právnických osob. Výrazně nejaktivnějšími VŠ jsou Univerzita Tomáše Bati ve Zlíně. Poměrně vysoký počet těchto výsledků také vznikl na ČVUT v Praze, VUT v Brně, Univerzitě Karlově v Praze, Západočeské univerzitě v Plzni a Masarykově univerzitě v Brně.</w:t>
      </w:r>
    </w:p>
    <w:p w:rsidR="007C572B" w:rsidRPr="00454B35" w:rsidRDefault="00F4064B" w:rsidP="00F4064B">
      <w:pPr>
        <w:rPr>
          <w:i/>
        </w:rPr>
      </w:pPr>
      <w:r>
        <w:t xml:space="preserve">Nejvíce výsledků aplikačního charakteru v sektoru výzkumných ústavů vytvořil Výzkumný ústav stavebních hmot, a.s., Vojenský výzkumný ústav, s.p., Státní ústav radiační ochrany, v.v.i., Výzkumný ústav potravinářský Praha, v.v.i. Z podnikového sektoru je nejaktivnější ELTODO, a.s., INOTEX spol. s r.o., SPUR a.s. a VOP CZ, s.p. (viz </w:t>
      </w:r>
      <w:r>
        <w:fldChar w:fldCharType="begin"/>
      </w:r>
      <w:r>
        <w:instrText xml:space="preserve"> REF  _Ref452480237 \* Lower \h  \* MERGEFORMAT </w:instrText>
      </w:r>
      <w:r>
        <w:fldChar w:fldCharType="separate"/>
      </w:r>
      <w:r w:rsidR="003F08E5">
        <w:t xml:space="preserve">tab. </w:t>
      </w:r>
      <w:r w:rsidR="003F08E5">
        <w:rPr>
          <w:noProof/>
        </w:rPr>
        <w:t>29</w:t>
      </w:r>
      <w:r>
        <w:fldChar w:fldCharType="end"/>
      </w:r>
      <w:r>
        <w:t>).</w:t>
      </w:r>
      <w:r w:rsidR="007C572B">
        <w:t xml:space="preserve"> Podrobnější přeh</w:t>
      </w:r>
      <w:r w:rsidR="00454B35">
        <w:t>led výsledků aplikační povahy te</w:t>
      </w:r>
      <w:r w:rsidR="007C572B">
        <w:t xml:space="preserve">maticky souvisejících s bezpečnostním výzkumem je uveden v přílohách </w:t>
      </w:r>
      <w:r w:rsidR="007C572B">
        <w:rPr>
          <w:i/>
        </w:rPr>
        <w:t xml:space="preserve">P </w:t>
      </w:r>
      <w:r w:rsidR="00B6110B">
        <w:rPr>
          <w:i/>
        </w:rPr>
        <w:t>38</w:t>
      </w:r>
      <w:r w:rsidR="007C572B">
        <w:rPr>
          <w:i/>
        </w:rPr>
        <w:t xml:space="preserve">– P </w:t>
      </w:r>
      <w:r w:rsidR="00B6110B">
        <w:rPr>
          <w:i/>
        </w:rPr>
        <w:t>41</w:t>
      </w:r>
      <w:r w:rsidR="00454B35">
        <w:rPr>
          <w:i/>
        </w:rPr>
        <w:t>.</w:t>
      </w:r>
    </w:p>
    <w:p w:rsidR="00F4064B" w:rsidRDefault="00F4064B" w:rsidP="00342A4C"/>
    <w:p w:rsidR="00D21ADA" w:rsidRDefault="00D21ADA" w:rsidP="00D21ADA">
      <w:pPr>
        <w:pStyle w:val="Titulek"/>
        <w:keepNext/>
        <w:jc w:val="both"/>
      </w:pPr>
      <w:bookmarkStart w:id="101" w:name="_Ref452479440"/>
      <w:r>
        <w:lastRenderedPageBreak/>
        <w:t xml:space="preserve">Tab. </w:t>
      </w:r>
      <w:r w:rsidR="00990E2D">
        <w:fldChar w:fldCharType="begin"/>
      </w:r>
      <w:r w:rsidR="00990E2D">
        <w:instrText xml:space="preserve"> SEQ Tab. \* ARABIC </w:instrText>
      </w:r>
      <w:r w:rsidR="00990E2D">
        <w:fldChar w:fldCharType="separate"/>
      </w:r>
      <w:r w:rsidR="003F08E5">
        <w:rPr>
          <w:noProof/>
        </w:rPr>
        <w:t>28</w:t>
      </w:r>
      <w:r w:rsidR="00990E2D">
        <w:rPr>
          <w:noProof/>
        </w:rPr>
        <w:fldChar w:fldCharType="end"/>
      </w:r>
      <w:bookmarkEnd w:id="101"/>
      <w:r>
        <w:tab/>
      </w:r>
      <w:r w:rsidRPr="00D21ADA">
        <w:t>Výsledky aplikační povahy přiřazené projektům tematicky souvisejícím s bezpečnostním výzkumem podpořen</w:t>
      </w:r>
      <w:r w:rsidRPr="00EA1F1A">
        <w:t xml:space="preserve">ým od roku 2010 rozdělené podle druhů výsledků a právní formy </w:t>
      </w:r>
      <w:r w:rsidR="00EA1F1A" w:rsidRPr="00EA1F1A">
        <w:t>autora</w:t>
      </w:r>
      <w:r w:rsidRPr="00EA1F1A">
        <w:t>. Zdroj: IS VaVaI</w:t>
      </w:r>
    </w:p>
    <w:p w:rsidR="00342A4C" w:rsidRDefault="00C03B41" w:rsidP="00342A4C">
      <w:r w:rsidRPr="00C03B41">
        <w:rPr>
          <w:noProof/>
          <w:lang w:eastAsia="cs-CZ"/>
        </w:rPr>
        <w:drawing>
          <wp:inline distT="0" distB="0" distL="0" distR="0" wp14:anchorId="1FEE865A" wp14:editId="1CA4F4CD">
            <wp:extent cx="5958000" cy="2232000"/>
            <wp:effectExtent l="0" t="0" r="5080" b="0"/>
            <wp:docPr id="38" name="Obrázek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958000" cy="2232000"/>
                    </a:xfrm>
                    <a:prstGeom prst="rect">
                      <a:avLst/>
                    </a:prstGeom>
                    <a:noFill/>
                    <a:ln>
                      <a:noFill/>
                    </a:ln>
                  </pic:spPr>
                </pic:pic>
              </a:graphicData>
            </a:graphic>
          </wp:inline>
        </w:drawing>
      </w:r>
    </w:p>
    <w:p w:rsidR="00516AE1" w:rsidRDefault="00516AE1" w:rsidP="00516AE1">
      <w:pPr>
        <w:pStyle w:val="Titulek"/>
        <w:keepNext/>
      </w:pPr>
      <w:bookmarkStart w:id="102" w:name="_Ref452480237"/>
      <w:r>
        <w:lastRenderedPageBreak/>
        <w:t xml:space="preserve">Tab. </w:t>
      </w:r>
      <w:r w:rsidR="00990E2D">
        <w:fldChar w:fldCharType="begin"/>
      </w:r>
      <w:r w:rsidR="00990E2D">
        <w:instrText xml:space="preserve"> SEQ Tab. \* ARABIC </w:instrText>
      </w:r>
      <w:r w:rsidR="00990E2D">
        <w:fldChar w:fldCharType="separate"/>
      </w:r>
      <w:r w:rsidR="003F08E5">
        <w:rPr>
          <w:noProof/>
        </w:rPr>
        <w:t>29</w:t>
      </w:r>
      <w:r w:rsidR="00990E2D">
        <w:rPr>
          <w:noProof/>
        </w:rPr>
        <w:fldChar w:fldCharType="end"/>
      </w:r>
      <w:bookmarkEnd w:id="102"/>
      <w:r>
        <w:tab/>
        <w:t>Nejvýznamnější tvůrci výsledků aplikačního charakteru. V tabulce jsou uvedeny pouze subjekty, které vytvořily alespoň pět výsledků tohoto typu. Zdroj: IS VaVaI</w:t>
      </w:r>
    </w:p>
    <w:p w:rsidR="00342A4C" w:rsidRDefault="00342A4C" w:rsidP="00342A4C">
      <w:pPr>
        <w:jc w:val="center"/>
      </w:pPr>
      <w:r w:rsidRPr="008615C2">
        <w:rPr>
          <w:noProof/>
          <w:lang w:eastAsia="cs-CZ"/>
        </w:rPr>
        <w:drawing>
          <wp:inline distT="0" distB="0" distL="0" distR="0" wp14:anchorId="7F502899" wp14:editId="41326467">
            <wp:extent cx="5276870" cy="6905625"/>
            <wp:effectExtent l="0" t="0" r="0" b="0"/>
            <wp:docPr id="25" name="Obráze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276870" cy="6905625"/>
                    </a:xfrm>
                    <a:prstGeom prst="rect">
                      <a:avLst/>
                    </a:prstGeom>
                    <a:noFill/>
                    <a:ln>
                      <a:noFill/>
                    </a:ln>
                  </pic:spPr>
                </pic:pic>
              </a:graphicData>
            </a:graphic>
          </wp:inline>
        </w:drawing>
      </w:r>
    </w:p>
    <w:p w:rsidR="0047024C" w:rsidRDefault="0047024C" w:rsidP="00342A4C"/>
    <w:p w:rsidR="00EF1743" w:rsidRDefault="0047024C" w:rsidP="00C2281E">
      <w:pPr>
        <w:pStyle w:val="Nadpis3"/>
        <w:keepLines w:val="0"/>
      </w:pPr>
      <w:bookmarkStart w:id="103" w:name="_Ref454729567"/>
      <w:bookmarkStart w:id="104" w:name="_Toc459723287"/>
      <w:r>
        <w:lastRenderedPageBreak/>
        <w:t>Orientační analýza přihlášek subjektů z ČR v databázi Evropského patentového úřadu PATSTAT</w:t>
      </w:r>
      <w:bookmarkEnd w:id="103"/>
      <w:bookmarkEnd w:id="104"/>
      <w:r>
        <w:t xml:space="preserve"> </w:t>
      </w: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9430"/>
      </w:tblGrid>
      <w:tr w:rsidR="00F212BD" w:rsidTr="00F4064B">
        <w:tc>
          <w:tcPr>
            <w:tcW w:w="9430" w:type="dxa"/>
            <w:shd w:val="clear" w:color="auto" w:fill="F2F2F2" w:themeFill="background1" w:themeFillShade="F2"/>
          </w:tcPr>
          <w:p w:rsidR="00F212BD" w:rsidRDefault="001871FA" w:rsidP="00C2281E">
            <w:pPr>
              <w:keepNext/>
              <w:rPr>
                <w:lang w:eastAsia="cs-CZ"/>
              </w:rPr>
            </w:pPr>
            <w:r>
              <w:rPr>
                <w:lang w:eastAsia="cs-CZ"/>
              </w:rPr>
              <w:t>O</w:t>
            </w:r>
            <w:r w:rsidR="00F212BD">
              <w:rPr>
                <w:lang w:eastAsia="cs-CZ"/>
              </w:rPr>
              <w:t>rientační analýza databáze patentových přihlášek Evropského patentového úřadu PATSTAT potvrdila, že subjekty z ČR vytvářejí výsledky s průmyslově právní ochranou, které mohou najít uplatnění v různých oblastech bezpečnosti.</w:t>
            </w:r>
          </w:p>
        </w:tc>
      </w:tr>
    </w:tbl>
    <w:p w:rsidR="0047024C" w:rsidRDefault="0060736B" w:rsidP="00C2281E">
      <w:pPr>
        <w:keepNext/>
        <w:rPr>
          <w:lang w:eastAsia="cs-CZ"/>
        </w:rPr>
      </w:pPr>
      <w:r>
        <w:rPr>
          <w:lang w:eastAsia="cs-CZ"/>
        </w:rPr>
        <w:t>Cílem této orientační analýzy bylo posoudit aktivitu subjektů v průmyslově-právní ochraně výsledků VaV, které mají uplatnění v oblasti bezpečnosti. K tomuto účelu byla využita databáze přihlášek Evropského patentového úřadu (EPO) PATSTAT</w:t>
      </w:r>
      <w:r w:rsidR="00BC11C6">
        <w:rPr>
          <w:rStyle w:val="Znakapoznpodarou"/>
          <w:lang w:eastAsia="cs-CZ"/>
        </w:rPr>
        <w:footnoteReference w:id="24"/>
      </w:r>
      <w:r>
        <w:rPr>
          <w:lang w:eastAsia="cs-CZ"/>
        </w:rPr>
        <w:t xml:space="preserve"> zveřejněná na jaře 2016 (2016 Spring Edition). Analýza byla provedena pro období od roku 2010 do </w:t>
      </w:r>
      <w:r w:rsidR="001871FA">
        <w:rPr>
          <w:lang w:eastAsia="cs-CZ"/>
        </w:rPr>
        <w:t>roku 2015</w:t>
      </w:r>
      <w:r>
        <w:rPr>
          <w:lang w:eastAsia="cs-CZ"/>
        </w:rPr>
        <w:t>.</w:t>
      </w:r>
    </w:p>
    <w:p w:rsidR="0018423D" w:rsidRDefault="0060736B" w:rsidP="0047024C">
      <w:pPr>
        <w:rPr>
          <w:lang w:eastAsia="cs-CZ"/>
        </w:rPr>
      </w:pPr>
      <w:r>
        <w:rPr>
          <w:lang w:eastAsia="cs-CZ"/>
        </w:rPr>
        <w:t>Při analýze byly sledovány patentové přihlášky a přihlášky průmyslový</w:t>
      </w:r>
      <w:r w:rsidR="00A47BBD">
        <w:rPr>
          <w:lang w:eastAsia="cs-CZ"/>
        </w:rPr>
        <w:t>ch</w:t>
      </w:r>
      <w:r>
        <w:rPr>
          <w:lang w:eastAsia="cs-CZ"/>
        </w:rPr>
        <w:t xml:space="preserve"> a užitných vzorů, jejichž přihlašovatel (tj. vlastník) byl subjekt z ČR. Pro výběr přihlášek byl využit soubor stejných klíčových slov jako v případě analýzy publikací v databázi Web of Science (viz kap. </w:t>
      </w:r>
      <w:r w:rsidR="003767CA">
        <w:rPr>
          <w:lang w:eastAsia="cs-CZ"/>
        </w:rPr>
        <w:fldChar w:fldCharType="begin"/>
      </w:r>
      <w:r w:rsidR="003767CA">
        <w:rPr>
          <w:lang w:eastAsia="cs-CZ"/>
        </w:rPr>
        <w:instrText xml:space="preserve"> REF _Ref452118979 \r \h </w:instrText>
      </w:r>
      <w:r w:rsidR="003767CA">
        <w:rPr>
          <w:lang w:eastAsia="cs-CZ"/>
        </w:rPr>
      </w:r>
      <w:r w:rsidR="003767CA">
        <w:rPr>
          <w:lang w:eastAsia="cs-CZ"/>
        </w:rPr>
        <w:fldChar w:fldCharType="separate"/>
      </w:r>
      <w:r w:rsidR="003F08E5">
        <w:rPr>
          <w:lang w:eastAsia="cs-CZ"/>
        </w:rPr>
        <w:t>2.3.2</w:t>
      </w:r>
      <w:r w:rsidR="003767CA">
        <w:rPr>
          <w:lang w:eastAsia="cs-CZ"/>
        </w:rPr>
        <w:fldChar w:fldCharType="end"/>
      </w:r>
      <w:r>
        <w:rPr>
          <w:lang w:eastAsia="cs-CZ"/>
        </w:rPr>
        <w:t>).</w:t>
      </w:r>
      <w:r w:rsidR="0018423D">
        <w:rPr>
          <w:lang w:eastAsia="cs-CZ"/>
        </w:rPr>
        <w:t xml:space="preserve"> </w:t>
      </w:r>
    </w:p>
    <w:p w:rsidR="004819AA" w:rsidRDefault="00462737" w:rsidP="0047024C">
      <w:pPr>
        <w:rPr>
          <w:lang w:eastAsia="cs-CZ"/>
        </w:rPr>
      </w:pPr>
      <w:r>
        <w:rPr>
          <w:lang w:eastAsia="cs-CZ"/>
        </w:rPr>
        <w:t xml:space="preserve">Počet přihlášek nalezených s využitím klíčových slov byl nízký a pohyboval se v nižších desítkách ročně (viz </w:t>
      </w:r>
      <w:r>
        <w:fldChar w:fldCharType="begin"/>
      </w:r>
      <w:r>
        <w:instrText xml:space="preserve"> REF  _Ref453923403 \* Lower \h  \* MERGEFORMAT </w:instrText>
      </w:r>
      <w:r>
        <w:fldChar w:fldCharType="separate"/>
      </w:r>
      <w:r w:rsidR="003F08E5">
        <w:t xml:space="preserve">tab. </w:t>
      </w:r>
      <w:r w:rsidR="003F08E5">
        <w:rPr>
          <w:noProof/>
        </w:rPr>
        <w:t>30</w:t>
      </w:r>
      <w:r>
        <w:fldChar w:fldCharType="end"/>
      </w:r>
      <w:r>
        <w:t>)</w:t>
      </w:r>
      <w:r>
        <w:rPr>
          <w:lang w:eastAsia="cs-CZ"/>
        </w:rPr>
        <w:t xml:space="preserve">. Z tohoto důvodu bylo snahou rozšířit tento soubor o další přihlášky, které souvisí s bezpečnostní problematikou. V tomto kroku bylo využito přiřazení oborů v </w:t>
      </w:r>
      <w:r w:rsidR="00155EFC">
        <w:rPr>
          <w:lang w:eastAsia="cs-CZ"/>
        </w:rPr>
        <w:t>Mezinárodní</w:t>
      </w:r>
      <w:r>
        <w:rPr>
          <w:lang w:eastAsia="cs-CZ"/>
        </w:rPr>
        <w:t>m</w:t>
      </w:r>
      <w:r w:rsidR="00155EFC">
        <w:rPr>
          <w:lang w:eastAsia="cs-CZ"/>
        </w:rPr>
        <w:t xml:space="preserve"> patentové</w:t>
      </w:r>
      <w:r>
        <w:rPr>
          <w:lang w:eastAsia="cs-CZ"/>
        </w:rPr>
        <w:t>m</w:t>
      </w:r>
      <w:r w:rsidR="00155EFC">
        <w:rPr>
          <w:lang w:eastAsia="cs-CZ"/>
        </w:rPr>
        <w:t xml:space="preserve"> třídění</w:t>
      </w:r>
      <w:r w:rsidR="008D1C30">
        <w:rPr>
          <w:rStyle w:val="Znakapoznpodarou"/>
          <w:lang w:eastAsia="cs-CZ"/>
        </w:rPr>
        <w:footnoteReference w:id="25"/>
      </w:r>
      <w:r w:rsidR="00155EFC">
        <w:rPr>
          <w:lang w:eastAsia="cs-CZ"/>
        </w:rPr>
        <w:t xml:space="preserve"> (IPC)</w:t>
      </w:r>
      <w:r>
        <w:rPr>
          <w:lang w:eastAsia="cs-CZ"/>
        </w:rPr>
        <w:t xml:space="preserve"> ke konkrétním </w:t>
      </w:r>
      <w:r w:rsidR="00F4064B">
        <w:rPr>
          <w:lang w:eastAsia="cs-CZ"/>
        </w:rPr>
        <w:t>oblastem</w:t>
      </w:r>
      <w:r>
        <w:rPr>
          <w:lang w:eastAsia="cs-CZ"/>
        </w:rPr>
        <w:t xml:space="preserve"> bezpečnosti. Toto přiřazení se však podařilo nalézt pouze v několika </w:t>
      </w:r>
      <w:r w:rsidR="001871FA">
        <w:rPr>
          <w:lang w:eastAsia="cs-CZ"/>
        </w:rPr>
        <w:t xml:space="preserve">relativně </w:t>
      </w:r>
      <w:r w:rsidR="006848B9">
        <w:rPr>
          <w:lang w:eastAsia="cs-CZ"/>
        </w:rPr>
        <w:t xml:space="preserve">úzkých </w:t>
      </w:r>
      <w:r w:rsidR="00F4064B">
        <w:rPr>
          <w:lang w:eastAsia="cs-CZ"/>
        </w:rPr>
        <w:t>oblastech</w:t>
      </w:r>
      <w:r>
        <w:rPr>
          <w:lang w:eastAsia="cs-CZ"/>
        </w:rPr>
        <w:t xml:space="preserve"> bezpečnosti</w:t>
      </w:r>
      <w:r w:rsidR="006848B9">
        <w:rPr>
          <w:lang w:eastAsia="cs-CZ"/>
        </w:rPr>
        <w:t xml:space="preserve"> - zbraně a munice, dekontaminace CBRN, ochrana počítačů a komunikace a autorizace. Z tohoto důvodu vybrané přihlášky </w:t>
      </w:r>
      <w:r w:rsidR="006848B9" w:rsidRPr="006848B9">
        <w:rPr>
          <w:b/>
          <w:lang w:eastAsia="cs-CZ"/>
        </w:rPr>
        <w:t xml:space="preserve">nejsou reprezentativním výběrem a všechny výsledky uvedené v této kapitole </w:t>
      </w:r>
      <w:r w:rsidR="004819AA" w:rsidRPr="00383EEC">
        <w:rPr>
          <w:b/>
          <w:lang w:eastAsia="cs-CZ"/>
        </w:rPr>
        <w:t xml:space="preserve">je nutné považovat </w:t>
      </w:r>
      <w:r w:rsidR="006848B9">
        <w:rPr>
          <w:b/>
          <w:lang w:eastAsia="cs-CZ"/>
        </w:rPr>
        <w:t xml:space="preserve">pouze za </w:t>
      </w:r>
      <w:r w:rsidR="004819AA" w:rsidRPr="00383EEC">
        <w:rPr>
          <w:b/>
          <w:lang w:eastAsia="cs-CZ"/>
        </w:rPr>
        <w:t>orientační</w:t>
      </w:r>
      <w:r w:rsidR="006848B9">
        <w:rPr>
          <w:lang w:eastAsia="cs-CZ"/>
        </w:rPr>
        <w:t>. Detailnější a úplnější přiřazení přihlášek v oborovém třídění IPC představuje časově náročný proces, který značně přesahuje ráme</w:t>
      </w:r>
      <w:r w:rsidR="00F4064B">
        <w:rPr>
          <w:lang w:eastAsia="cs-CZ"/>
        </w:rPr>
        <w:t>c</w:t>
      </w:r>
      <w:r w:rsidR="006848B9">
        <w:rPr>
          <w:lang w:eastAsia="cs-CZ"/>
        </w:rPr>
        <w:t xml:space="preserve"> a cíle této studie.</w:t>
      </w:r>
    </w:p>
    <w:p w:rsidR="00BC5EB0" w:rsidRDefault="00795CD4" w:rsidP="0080793D">
      <w:r>
        <w:t xml:space="preserve">Přehled přihlášek nalezených výše popsaným způsobem a jejich časový vývoj v letech 2010 – 2015 je uveden v </w:t>
      </w:r>
      <w:r>
        <w:fldChar w:fldCharType="begin"/>
      </w:r>
      <w:r>
        <w:instrText xml:space="preserve"> REF  _Ref453923403 \* Lower \h  \* MERGEFORMAT </w:instrText>
      </w:r>
      <w:r>
        <w:fldChar w:fldCharType="separate"/>
      </w:r>
      <w:r w:rsidR="003F08E5">
        <w:t xml:space="preserve">tab. </w:t>
      </w:r>
      <w:r w:rsidR="003F08E5">
        <w:rPr>
          <w:noProof/>
        </w:rPr>
        <w:t>30</w:t>
      </w:r>
      <w:r>
        <w:fldChar w:fldCharType="end"/>
      </w:r>
      <w:r>
        <w:t xml:space="preserve">. </w:t>
      </w:r>
      <w:r w:rsidR="00383EEC">
        <w:t>Počet patentových přihlášek se v letech 2010 až 2015 výrazněji neměn</w:t>
      </w:r>
      <w:r w:rsidR="00F4064B">
        <w:t>il</w:t>
      </w:r>
      <w:r w:rsidR="00383EEC">
        <w:t xml:space="preserve"> (pokles od roku 2014 souvisí především s tím, že databáze PATSTAT vydaná na jaře 2016 ještě neobsahuje kompletní údaje z těchto let). Přibližně tři čtvrtiny z nich mají alespoň jednoho přihlašovatele z ČR. Čtvrtina přihlášek má sice původce z ČR, ale je vlastněna zahraničním subjektem. O trochu více než polovinu přihlášek tvoří patentové přihlášky, zbývající část jsou přihlášky užitných vzorů (viz </w:t>
      </w:r>
      <w:r w:rsidR="00383EEC">
        <w:fldChar w:fldCharType="begin"/>
      </w:r>
      <w:r w:rsidR="00383EEC">
        <w:instrText xml:space="preserve"> REF  _Ref453923403 \* Lower \h  \* MERGEFORMAT </w:instrText>
      </w:r>
      <w:r w:rsidR="00383EEC">
        <w:fldChar w:fldCharType="separate"/>
      </w:r>
      <w:r w:rsidR="003F08E5">
        <w:t xml:space="preserve">tab. </w:t>
      </w:r>
      <w:r w:rsidR="003F08E5">
        <w:rPr>
          <w:noProof/>
        </w:rPr>
        <w:t>30</w:t>
      </w:r>
      <w:r w:rsidR="00383EEC">
        <w:fldChar w:fldCharType="end"/>
      </w:r>
      <w:r w:rsidR="00383EEC">
        <w:t>).</w:t>
      </w:r>
    </w:p>
    <w:p w:rsidR="00BC5EB0" w:rsidRDefault="00BC5EB0" w:rsidP="00BC5EB0">
      <w:pPr>
        <w:pStyle w:val="Titulek"/>
        <w:keepNext/>
      </w:pPr>
      <w:bookmarkStart w:id="105" w:name="_Ref453923403"/>
      <w:r>
        <w:t xml:space="preserve">Tab. </w:t>
      </w:r>
      <w:r w:rsidR="00990E2D">
        <w:fldChar w:fldCharType="begin"/>
      </w:r>
      <w:r w:rsidR="00990E2D">
        <w:instrText xml:space="preserve"> SEQ Tab. \* ARABIC </w:instrText>
      </w:r>
      <w:r w:rsidR="00990E2D">
        <w:fldChar w:fldCharType="separate"/>
      </w:r>
      <w:r w:rsidR="003F08E5">
        <w:rPr>
          <w:noProof/>
        </w:rPr>
        <w:t>30</w:t>
      </w:r>
      <w:r w:rsidR="00990E2D">
        <w:rPr>
          <w:noProof/>
        </w:rPr>
        <w:fldChar w:fldCharType="end"/>
      </w:r>
      <w:bookmarkEnd w:id="105"/>
      <w:r>
        <w:tab/>
        <w:t>Počet přihlášek subjektů z ČR týkajících se problematiky bezpečnosti. Zdroj: Databáze EPO PATSAT z jara 2016</w:t>
      </w:r>
    </w:p>
    <w:p w:rsidR="00BC5EB0" w:rsidRDefault="006848B9" w:rsidP="00BC5EB0">
      <w:pPr>
        <w:jc w:val="center"/>
      </w:pPr>
      <w:r w:rsidRPr="006848B9">
        <w:rPr>
          <w:noProof/>
          <w:lang w:eastAsia="cs-CZ"/>
        </w:rPr>
        <w:drawing>
          <wp:inline distT="0" distB="0" distL="0" distR="0" wp14:anchorId="45428FC5" wp14:editId="259255EE">
            <wp:extent cx="5438775" cy="2438400"/>
            <wp:effectExtent l="0" t="0" r="9525" b="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438775" cy="2438400"/>
                    </a:xfrm>
                    <a:prstGeom prst="rect">
                      <a:avLst/>
                    </a:prstGeom>
                    <a:noFill/>
                    <a:ln>
                      <a:noFill/>
                    </a:ln>
                  </pic:spPr>
                </pic:pic>
              </a:graphicData>
            </a:graphic>
          </wp:inline>
        </w:drawing>
      </w:r>
    </w:p>
    <w:p w:rsidR="00C40AB4" w:rsidRDefault="00383EEC" w:rsidP="0080793D">
      <w:r>
        <w:lastRenderedPageBreak/>
        <w:t xml:space="preserve">Nejvýznamnějším přihlašovatelem je Česká zbrojovka (viz </w:t>
      </w:r>
      <w:r>
        <w:fldChar w:fldCharType="begin"/>
      </w:r>
      <w:r>
        <w:instrText xml:space="preserve"> REF  _Ref453923991 \* Lower \h  \* MERGEFORMAT </w:instrText>
      </w:r>
      <w:r>
        <w:fldChar w:fldCharType="separate"/>
      </w:r>
      <w:r w:rsidR="003F08E5">
        <w:t xml:space="preserve">tab. </w:t>
      </w:r>
      <w:r w:rsidR="003F08E5">
        <w:rPr>
          <w:noProof/>
        </w:rPr>
        <w:t>31</w:t>
      </w:r>
      <w:r>
        <w:fldChar w:fldCharType="end"/>
      </w:r>
      <w:r>
        <w:t xml:space="preserve">). Z VŠ má nejvíce přihlášek ČVUT v Praze, VUT v Brně a Česká zemědělská univerzita (kde však většinu tvoří přihlášky užitných vzorů). </w:t>
      </w:r>
    </w:p>
    <w:p w:rsidR="00383EEC" w:rsidRDefault="00BC11C6" w:rsidP="0080793D">
      <w:r>
        <w:t xml:space="preserve">Jak je patrné z </w:t>
      </w:r>
      <w:r w:rsidR="00D719BD">
        <w:fldChar w:fldCharType="begin"/>
      </w:r>
      <w:r w:rsidR="00D719BD">
        <w:instrText xml:space="preserve"> REF  _Ref453935190 \* Lower \h  \* MERGEFORMAT </w:instrText>
      </w:r>
      <w:r w:rsidR="00D719BD">
        <w:fldChar w:fldCharType="separate"/>
      </w:r>
      <w:r w:rsidR="003F08E5">
        <w:t xml:space="preserve">tab. </w:t>
      </w:r>
      <w:r w:rsidR="003F08E5">
        <w:rPr>
          <w:noProof/>
        </w:rPr>
        <w:t>32</w:t>
      </w:r>
      <w:r w:rsidR="00D719BD">
        <w:fldChar w:fldCharType="end"/>
      </w:r>
      <w:r>
        <w:t xml:space="preserve">, nejvíce přihlášek </w:t>
      </w:r>
      <w:r w:rsidR="001871FA">
        <w:t xml:space="preserve">je z </w:t>
      </w:r>
      <w:r>
        <w:t>obor</w:t>
      </w:r>
      <w:r w:rsidR="001871FA">
        <w:t>ů</w:t>
      </w:r>
      <w:r>
        <w:t xml:space="preserve">, které se </w:t>
      </w:r>
      <w:r w:rsidR="00F4064B">
        <w:t xml:space="preserve">týkají </w:t>
      </w:r>
      <w:r>
        <w:t xml:space="preserve">přenosu informací a zabezpečení počítačů, což souvisí i s tím, že takto zaměřené byly zařazeny do výběru </w:t>
      </w:r>
      <w:r w:rsidR="00F4064B">
        <w:t>po</w:t>
      </w:r>
      <w:r>
        <w:t xml:space="preserve">dle IPC oborů. </w:t>
      </w:r>
      <w:r w:rsidR="00D719BD">
        <w:t xml:space="preserve">Na dalších místech podle četnosti jsou obory zahrnující vodní stavby a ochranu břehů apod. Z podrobnějšího rozboru abstraktů těchto přihlášek vyplývá, že se nejvíce jedná o ochranu proti povodním. </w:t>
      </w:r>
      <w:r w:rsidR="0032276D">
        <w:t>Č</w:t>
      </w:r>
      <w:r w:rsidR="00D719BD">
        <w:t xml:space="preserve">asto se také vyskytují obory zahrnující zbraně a střelivo (viz </w:t>
      </w:r>
      <w:r w:rsidR="00D719BD">
        <w:fldChar w:fldCharType="begin"/>
      </w:r>
      <w:r w:rsidR="00D719BD">
        <w:instrText xml:space="preserve"> REF  _Ref453935190 \* Lower \h  \* MERGEFORMAT </w:instrText>
      </w:r>
      <w:r w:rsidR="00D719BD">
        <w:fldChar w:fldCharType="separate"/>
      </w:r>
      <w:r w:rsidR="003F08E5">
        <w:t xml:space="preserve">tab. </w:t>
      </w:r>
      <w:r w:rsidR="003F08E5">
        <w:rPr>
          <w:noProof/>
        </w:rPr>
        <w:t>32</w:t>
      </w:r>
      <w:r w:rsidR="00D719BD">
        <w:fldChar w:fldCharType="end"/>
      </w:r>
      <w:r w:rsidR="00D719BD">
        <w:t xml:space="preserve">), což opět souvisí s tím, že takto zaměřené přihlášky byly do výběru zařazeny s využitím IPC kódů. </w:t>
      </w:r>
    </w:p>
    <w:p w:rsidR="0032276D" w:rsidRDefault="0024581D" w:rsidP="0032276D">
      <w:pPr>
        <w:pStyle w:val="Titulek"/>
        <w:keepNext/>
        <w:rPr>
          <w:noProof/>
          <w:lang w:eastAsia="cs-CZ"/>
        </w:rPr>
      </w:pPr>
      <w:bookmarkStart w:id="106" w:name="_Ref453923991"/>
      <w:r>
        <w:t xml:space="preserve">Tab. </w:t>
      </w:r>
      <w:r w:rsidR="00990E2D">
        <w:fldChar w:fldCharType="begin"/>
      </w:r>
      <w:r w:rsidR="00990E2D">
        <w:instrText xml:space="preserve"> SEQ Tab. \* ARABIC </w:instrText>
      </w:r>
      <w:r w:rsidR="00990E2D">
        <w:fldChar w:fldCharType="separate"/>
      </w:r>
      <w:r w:rsidR="003F08E5">
        <w:rPr>
          <w:noProof/>
        </w:rPr>
        <w:t>31</w:t>
      </w:r>
      <w:r w:rsidR="00990E2D">
        <w:rPr>
          <w:noProof/>
        </w:rPr>
        <w:fldChar w:fldCharType="end"/>
      </w:r>
      <w:bookmarkEnd w:id="106"/>
      <w:r>
        <w:tab/>
        <w:t xml:space="preserve">Přehled subjektů s nejvyšším počtem přihlášek týkajících se bezpečnosti </w:t>
      </w:r>
      <w:r w:rsidR="00383EEC">
        <w:t xml:space="preserve">v letech </w:t>
      </w:r>
      <w:r>
        <w:t>2010</w:t>
      </w:r>
      <w:r w:rsidR="00383EEC">
        <w:t xml:space="preserve"> - 2015</w:t>
      </w:r>
      <w:r>
        <w:t xml:space="preserve">. </w:t>
      </w:r>
      <w:r w:rsidR="00E81A18">
        <w:t xml:space="preserve">V tabulce jsou uvedeny jen subjekty, které v tomto období měly alespoň tři přihlášky. </w:t>
      </w:r>
      <w:r w:rsidR="001871FA">
        <w:t xml:space="preserve">V tabulce je celkový počet přihlášek patentů, užitných vzorů a průmyslových vzorů a počet přihlášek patentů. </w:t>
      </w:r>
      <w:r>
        <w:t>Zdroj: Databáze EPO PATSAT z jara 2016</w:t>
      </w:r>
    </w:p>
    <w:p w:rsidR="00C40AB4" w:rsidRDefault="0024581D" w:rsidP="0024581D">
      <w:pPr>
        <w:jc w:val="center"/>
      </w:pPr>
      <w:r w:rsidRPr="0024581D">
        <w:rPr>
          <w:noProof/>
          <w:lang w:eastAsia="cs-CZ"/>
        </w:rPr>
        <w:drawing>
          <wp:inline distT="0" distB="0" distL="0" distR="0" wp14:anchorId="79F74B5F" wp14:editId="1F137965">
            <wp:extent cx="4531360" cy="4853001"/>
            <wp:effectExtent l="0" t="0" r="2540" b="5080"/>
            <wp:docPr id="26" name="Obráze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538891" cy="4861067"/>
                    </a:xfrm>
                    <a:prstGeom prst="rect">
                      <a:avLst/>
                    </a:prstGeom>
                    <a:noFill/>
                    <a:ln>
                      <a:noFill/>
                    </a:ln>
                  </pic:spPr>
                </pic:pic>
              </a:graphicData>
            </a:graphic>
          </wp:inline>
        </w:drawing>
      </w:r>
    </w:p>
    <w:p w:rsidR="00795CD4" w:rsidRPr="0047024C" w:rsidRDefault="00795CD4" w:rsidP="00795CD4">
      <w:pPr>
        <w:rPr>
          <w:lang w:eastAsia="cs-CZ"/>
        </w:rPr>
      </w:pPr>
    </w:p>
    <w:p w:rsidR="008D1C30" w:rsidRDefault="008D1C30" w:rsidP="00C2281E">
      <w:pPr>
        <w:pStyle w:val="Titulek"/>
        <w:keepNext/>
      </w:pPr>
      <w:bookmarkStart w:id="107" w:name="_Ref453935190"/>
      <w:r>
        <w:lastRenderedPageBreak/>
        <w:t xml:space="preserve">Tab. </w:t>
      </w:r>
      <w:r w:rsidR="00990E2D">
        <w:fldChar w:fldCharType="begin"/>
      </w:r>
      <w:r w:rsidR="00990E2D">
        <w:instrText xml:space="preserve"> SEQ Tab. \* ARABIC </w:instrText>
      </w:r>
      <w:r w:rsidR="00990E2D">
        <w:fldChar w:fldCharType="separate"/>
      </w:r>
      <w:r w:rsidR="003F08E5">
        <w:rPr>
          <w:noProof/>
        </w:rPr>
        <w:t>32</w:t>
      </w:r>
      <w:r w:rsidR="00990E2D">
        <w:rPr>
          <w:noProof/>
        </w:rPr>
        <w:fldChar w:fldCharType="end"/>
      </w:r>
      <w:bookmarkEnd w:id="107"/>
      <w:r>
        <w:tab/>
        <w:t>Obory Mezinárodního patent</w:t>
      </w:r>
      <w:r w:rsidR="00BC11C6">
        <w:t>ového třídění, kde podaly subjekty nejvíce přihlášek v letech 2010 – 2015. Zdroj: Databáze EPO PATSAT z jara 2016</w:t>
      </w:r>
    </w:p>
    <w:tbl>
      <w:tblPr>
        <w:tblW w:w="9040" w:type="dxa"/>
        <w:tblInd w:w="55" w:type="dxa"/>
        <w:tblCellMar>
          <w:left w:w="70" w:type="dxa"/>
          <w:right w:w="70" w:type="dxa"/>
        </w:tblCellMar>
        <w:tblLook w:val="04A0" w:firstRow="1" w:lastRow="0" w:firstColumn="1" w:lastColumn="0" w:noHBand="0" w:noVBand="1"/>
      </w:tblPr>
      <w:tblGrid>
        <w:gridCol w:w="1360"/>
        <w:gridCol w:w="6920"/>
        <w:gridCol w:w="760"/>
      </w:tblGrid>
      <w:tr w:rsidR="008D1C30" w:rsidRPr="008D1C30" w:rsidTr="008D1C30">
        <w:trPr>
          <w:trHeight w:val="499"/>
        </w:trPr>
        <w:tc>
          <w:tcPr>
            <w:tcW w:w="1360" w:type="dxa"/>
            <w:tcBorders>
              <w:top w:val="single" w:sz="4" w:space="0" w:color="auto"/>
              <w:left w:val="nil"/>
              <w:bottom w:val="single" w:sz="4" w:space="0" w:color="auto"/>
              <w:right w:val="nil"/>
            </w:tcBorders>
            <w:shd w:val="clear" w:color="000000" w:fill="D9D9D9"/>
            <w:noWrap/>
            <w:vAlign w:val="center"/>
            <w:hideMark/>
          </w:tcPr>
          <w:p w:rsidR="008D1C30" w:rsidRPr="008D1C30" w:rsidRDefault="008D1C30" w:rsidP="00C2281E">
            <w:pPr>
              <w:keepNext/>
              <w:spacing w:before="0" w:after="0"/>
              <w:jc w:val="center"/>
              <w:rPr>
                <w:rFonts w:ascii="Calibri" w:eastAsia="Times New Roman" w:hAnsi="Calibri" w:cs="Times New Roman"/>
                <w:b/>
                <w:bCs/>
                <w:color w:val="000000"/>
                <w:sz w:val="20"/>
                <w:szCs w:val="20"/>
                <w:lang w:eastAsia="cs-CZ"/>
              </w:rPr>
            </w:pPr>
            <w:r w:rsidRPr="008D1C30">
              <w:rPr>
                <w:rFonts w:ascii="Calibri" w:eastAsia="Times New Roman" w:hAnsi="Calibri" w:cs="Times New Roman"/>
                <w:b/>
                <w:bCs/>
                <w:color w:val="000000"/>
                <w:sz w:val="20"/>
                <w:szCs w:val="20"/>
                <w:lang w:eastAsia="cs-CZ"/>
              </w:rPr>
              <w:t>Třída</w:t>
            </w:r>
          </w:p>
        </w:tc>
        <w:tc>
          <w:tcPr>
            <w:tcW w:w="6920" w:type="dxa"/>
            <w:tcBorders>
              <w:top w:val="single" w:sz="4" w:space="0" w:color="auto"/>
              <w:left w:val="nil"/>
              <w:bottom w:val="single" w:sz="4" w:space="0" w:color="auto"/>
              <w:right w:val="nil"/>
            </w:tcBorders>
            <w:shd w:val="clear" w:color="000000" w:fill="D9D9D9"/>
            <w:noWrap/>
            <w:vAlign w:val="center"/>
            <w:hideMark/>
          </w:tcPr>
          <w:p w:rsidR="008D1C30" w:rsidRPr="008D1C30" w:rsidRDefault="008D1C30" w:rsidP="00C2281E">
            <w:pPr>
              <w:keepNext/>
              <w:spacing w:before="0" w:after="0"/>
              <w:jc w:val="left"/>
              <w:rPr>
                <w:rFonts w:ascii="Calibri" w:eastAsia="Times New Roman" w:hAnsi="Calibri" w:cs="Times New Roman"/>
                <w:b/>
                <w:bCs/>
                <w:color w:val="000000"/>
                <w:sz w:val="20"/>
                <w:szCs w:val="20"/>
                <w:lang w:eastAsia="cs-CZ"/>
              </w:rPr>
            </w:pPr>
            <w:r w:rsidRPr="008D1C30">
              <w:rPr>
                <w:rFonts w:ascii="Calibri" w:eastAsia="Times New Roman" w:hAnsi="Calibri" w:cs="Times New Roman"/>
                <w:b/>
                <w:bCs/>
                <w:color w:val="000000"/>
                <w:sz w:val="20"/>
                <w:szCs w:val="20"/>
                <w:lang w:eastAsia="cs-CZ"/>
              </w:rPr>
              <w:t>Popis</w:t>
            </w:r>
          </w:p>
        </w:tc>
        <w:tc>
          <w:tcPr>
            <w:tcW w:w="760" w:type="dxa"/>
            <w:tcBorders>
              <w:top w:val="single" w:sz="4" w:space="0" w:color="auto"/>
              <w:left w:val="nil"/>
              <w:bottom w:val="single" w:sz="4" w:space="0" w:color="auto"/>
              <w:right w:val="nil"/>
            </w:tcBorders>
            <w:shd w:val="clear" w:color="000000" w:fill="D9D9D9"/>
            <w:noWrap/>
            <w:vAlign w:val="center"/>
            <w:hideMark/>
          </w:tcPr>
          <w:p w:rsidR="008D1C30" w:rsidRPr="008D1C30" w:rsidRDefault="008D1C30" w:rsidP="00C2281E">
            <w:pPr>
              <w:keepNext/>
              <w:spacing w:before="0" w:after="0"/>
              <w:jc w:val="center"/>
              <w:rPr>
                <w:rFonts w:ascii="Calibri" w:eastAsia="Times New Roman" w:hAnsi="Calibri" w:cs="Times New Roman"/>
                <w:b/>
                <w:bCs/>
                <w:color w:val="000000"/>
                <w:sz w:val="20"/>
                <w:szCs w:val="20"/>
                <w:lang w:eastAsia="cs-CZ"/>
              </w:rPr>
            </w:pPr>
            <w:r w:rsidRPr="008D1C30">
              <w:rPr>
                <w:rFonts w:ascii="Calibri" w:eastAsia="Times New Roman" w:hAnsi="Calibri" w:cs="Times New Roman"/>
                <w:b/>
                <w:bCs/>
                <w:color w:val="000000"/>
                <w:sz w:val="20"/>
                <w:szCs w:val="20"/>
                <w:lang w:eastAsia="cs-CZ"/>
              </w:rPr>
              <w:t>Počet</w:t>
            </w:r>
          </w:p>
        </w:tc>
      </w:tr>
      <w:tr w:rsidR="008D1C30" w:rsidRPr="008D1C30" w:rsidTr="008D1C30">
        <w:trPr>
          <w:trHeight w:val="499"/>
        </w:trPr>
        <w:tc>
          <w:tcPr>
            <w:tcW w:w="1360" w:type="dxa"/>
            <w:tcBorders>
              <w:top w:val="nil"/>
              <w:left w:val="nil"/>
              <w:bottom w:val="nil"/>
              <w:right w:val="nil"/>
            </w:tcBorders>
            <w:shd w:val="clear" w:color="auto" w:fill="auto"/>
            <w:noWrap/>
            <w:vAlign w:val="center"/>
            <w:hideMark/>
          </w:tcPr>
          <w:p w:rsidR="008D1C30" w:rsidRPr="008D1C30" w:rsidRDefault="008D1C30" w:rsidP="00C2281E">
            <w:pPr>
              <w:keepNext/>
              <w:spacing w:before="0" w:after="0"/>
              <w:jc w:val="center"/>
              <w:rPr>
                <w:rFonts w:ascii="Calibri" w:eastAsia="Times New Roman" w:hAnsi="Calibri" w:cs="Times New Roman"/>
                <w:color w:val="000000"/>
                <w:sz w:val="20"/>
                <w:szCs w:val="20"/>
                <w:lang w:eastAsia="cs-CZ"/>
              </w:rPr>
            </w:pPr>
            <w:r w:rsidRPr="008D1C30">
              <w:rPr>
                <w:rFonts w:ascii="Calibri" w:eastAsia="Times New Roman" w:hAnsi="Calibri" w:cs="Times New Roman"/>
                <w:color w:val="000000"/>
                <w:sz w:val="20"/>
                <w:szCs w:val="20"/>
                <w:lang w:eastAsia="cs-CZ"/>
              </w:rPr>
              <w:t>H04L  29/06</w:t>
            </w:r>
          </w:p>
        </w:tc>
        <w:tc>
          <w:tcPr>
            <w:tcW w:w="6920" w:type="dxa"/>
            <w:tcBorders>
              <w:top w:val="nil"/>
              <w:left w:val="nil"/>
              <w:bottom w:val="nil"/>
              <w:right w:val="nil"/>
            </w:tcBorders>
            <w:shd w:val="clear" w:color="auto" w:fill="auto"/>
            <w:vAlign w:val="center"/>
            <w:hideMark/>
          </w:tcPr>
          <w:p w:rsidR="008D1C30" w:rsidRPr="008D1C30" w:rsidRDefault="008D1C30" w:rsidP="00C2281E">
            <w:pPr>
              <w:keepNext/>
              <w:spacing w:before="0" w:after="0"/>
              <w:jc w:val="left"/>
              <w:rPr>
                <w:rFonts w:ascii="Calibri" w:eastAsia="Times New Roman" w:hAnsi="Calibri" w:cs="Times New Roman"/>
                <w:color w:val="000000"/>
                <w:sz w:val="20"/>
                <w:szCs w:val="20"/>
                <w:lang w:eastAsia="cs-CZ"/>
              </w:rPr>
            </w:pPr>
            <w:r w:rsidRPr="008D1C30">
              <w:rPr>
                <w:rFonts w:ascii="Calibri" w:eastAsia="Times New Roman" w:hAnsi="Calibri" w:cs="Times New Roman"/>
                <w:color w:val="000000"/>
                <w:sz w:val="20"/>
                <w:szCs w:val="20"/>
                <w:lang w:eastAsia="cs-CZ"/>
              </w:rPr>
              <w:t>Přenos digitálních informací (uspořádání, přístroje, obvody nebo systémy)</w:t>
            </w:r>
          </w:p>
        </w:tc>
        <w:tc>
          <w:tcPr>
            <w:tcW w:w="760" w:type="dxa"/>
            <w:tcBorders>
              <w:top w:val="nil"/>
              <w:left w:val="nil"/>
              <w:bottom w:val="nil"/>
              <w:right w:val="nil"/>
            </w:tcBorders>
            <w:shd w:val="clear" w:color="auto" w:fill="auto"/>
            <w:noWrap/>
            <w:vAlign w:val="center"/>
            <w:hideMark/>
          </w:tcPr>
          <w:p w:rsidR="008D1C30" w:rsidRPr="008D1C30" w:rsidRDefault="008D1C30" w:rsidP="00C2281E">
            <w:pPr>
              <w:keepNext/>
              <w:spacing w:before="0" w:after="0"/>
              <w:jc w:val="center"/>
              <w:rPr>
                <w:rFonts w:ascii="Calibri" w:eastAsia="Times New Roman" w:hAnsi="Calibri" w:cs="Times New Roman"/>
                <w:color w:val="000000"/>
                <w:sz w:val="20"/>
                <w:szCs w:val="20"/>
                <w:lang w:eastAsia="cs-CZ"/>
              </w:rPr>
            </w:pPr>
            <w:r w:rsidRPr="008D1C30">
              <w:rPr>
                <w:rFonts w:ascii="Calibri" w:eastAsia="Times New Roman" w:hAnsi="Calibri" w:cs="Times New Roman"/>
                <w:color w:val="000000"/>
                <w:sz w:val="20"/>
                <w:szCs w:val="20"/>
                <w:lang w:eastAsia="cs-CZ"/>
              </w:rPr>
              <w:t>26</w:t>
            </w:r>
          </w:p>
        </w:tc>
      </w:tr>
      <w:tr w:rsidR="008D1C30" w:rsidRPr="008D1C30" w:rsidTr="008D1C30">
        <w:trPr>
          <w:trHeight w:val="499"/>
        </w:trPr>
        <w:tc>
          <w:tcPr>
            <w:tcW w:w="1360" w:type="dxa"/>
            <w:tcBorders>
              <w:top w:val="nil"/>
              <w:left w:val="nil"/>
              <w:bottom w:val="nil"/>
              <w:right w:val="nil"/>
            </w:tcBorders>
            <w:shd w:val="clear" w:color="auto" w:fill="auto"/>
            <w:noWrap/>
            <w:vAlign w:val="center"/>
            <w:hideMark/>
          </w:tcPr>
          <w:p w:rsidR="008D1C30" w:rsidRPr="008D1C30" w:rsidRDefault="008D1C30" w:rsidP="00C2281E">
            <w:pPr>
              <w:keepNext/>
              <w:spacing w:before="0" w:after="0"/>
              <w:jc w:val="center"/>
              <w:rPr>
                <w:rFonts w:ascii="Calibri" w:eastAsia="Times New Roman" w:hAnsi="Calibri" w:cs="Times New Roman"/>
                <w:color w:val="000000"/>
                <w:sz w:val="20"/>
                <w:szCs w:val="20"/>
                <w:lang w:eastAsia="cs-CZ"/>
              </w:rPr>
            </w:pPr>
            <w:r w:rsidRPr="008D1C30">
              <w:rPr>
                <w:rFonts w:ascii="Calibri" w:eastAsia="Times New Roman" w:hAnsi="Calibri" w:cs="Times New Roman"/>
                <w:color w:val="000000"/>
                <w:sz w:val="20"/>
                <w:szCs w:val="20"/>
                <w:lang w:eastAsia="cs-CZ"/>
              </w:rPr>
              <w:t>G06F  21/00</w:t>
            </w:r>
          </w:p>
        </w:tc>
        <w:tc>
          <w:tcPr>
            <w:tcW w:w="6920" w:type="dxa"/>
            <w:tcBorders>
              <w:top w:val="nil"/>
              <w:left w:val="nil"/>
              <w:bottom w:val="nil"/>
              <w:right w:val="nil"/>
            </w:tcBorders>
            <w:shd w:val="clear" w:color="auto" w:fill="auto"/>
            <w:vAlign w:val="center"/>
            <w:hideMark/>
          </w:tcPr>
          <w:p w:rsidR="008D1C30" w:rsidRPr="008D1C30" w:rsidRDefault="008D1C30" w:rsidP="00C2281E">
            <w:pPr>
              <w:keepNext/>
              <w:spacing w:before="0" w:after="0"/>
              <w:jc w:val="left"/>
              <w:rPr>
                <w:rFonts w:ascii="Calibri" w:eastAsia="Times New Roman" w:hAnsi="Calibri" w:cs="Times New Roman"/>
                <w:color w:val="000000"/>
                <w:sz w:val="20"/>
                <w:szCs w:val="20"/>
                <w:lang w:eastAsia="cs-CZ"/>
              </w:rPr>
            </w:pPr>
            <w:r w:rsidRPr="008D1C30">
              <w:rPr>
                <w:rFonts w:ascii="Calibri" w:eastAsia="Times New Roman" w:hAnsi="Calibri" w:cs="Times New Roman"/>
                <w:color w:val="000000"/>
                <w:sz w:val="20"/>
                <w:szCs w:val="20"/>
                <w:lang w:eastAsia="cs-CZ"/>
              </w:rPr>
              <w:t>Bezpečnostní opatření na ochranu počítačů nebo počítačových systémů proti neoprávněné činnosti</w:t>
            </w:r>
          </w:p>
        </w:tc>
        <w:tc>
          <w:tcPr>
            <w:tcW w:w="760" w:type="dxa"/>
            <w:tcBorders>
              <w:top w:val="nil"/>
              <w:left w:val="nil"/>
              <w:bottom w:val="nil"/>
              <w:right w:val="nil"/>
            </w:tcBorders>
            <w:shd w:val="clear" w:color="auto" w:fill="auto"/>
            <w:noWrap/>
            <w:vAlign w:val="center"/>
            <w:hideMark/>
          </w:tcPr>
          <w:p w:rsidR="008D1C30" w:rsidRPr="008D1C30" w:rsidRDefault="008D1C30" w:rsidP="00C2281E">
            <w:pPr>
              <w:keepNext/>
              <w:spacing w:before="0" w:after="0"/>
              <w:jc w:val="center"/>
              <w:rPr>
                <w:rFonts w:ascii="Calibri" w:eastAsia="Times New Roman" w:hAnsi="Calibri" w:cs="Times New Roman"/>
                <w:color w:val="000000"/>
                <w:sz w:val="20"/>
                <w:szCs w:val="20"/>
                <w:lang w:eastAsia="cs-CZ"/>
              </w:rPr>
            </w:pPr>
            <w:r w:rsidRPr="008D1C30">
              <w:rPr>
                <w:rFonts w:ascii="Calibri" w:eastAsia="Times New Roman" w:hAnsi="Calibri" w:cs="Times New Roman"/>
                <w:color w:val="000000"/>
                <w:sz w:val="20"/>
                <w:szCs w:val="20"/>
                <w:lang w:eastAsia="cs-CZ"/>
              </w:rPr>
              <w:t>23</w:t>
            </w:r>
          </w:p>
        </w:tc>
      </w:tr>
      <w:tr w:rsidR="008D1C30" w:rsidRPr="008D1C30" w:rsidTr="008D1C30">
        <w:trPr>
          <w:trHeight w:val="499"/>
        </w:trPr>
        <w:tc>
          <w:tcPr>
            <w:tcW w:w="1360" w:type="dxa"/>
            <w:tcBorders>
              <w:top w:val="nil"/>
              <w:left w:val="nil"/>
              <w:bottom w:val="nil"/>
              <w:right w:val="nil"/>
            </w:tcBorders>
            <w:shd w:val="clear" w:color="auto" w:fill="auto"/>
            <w:noWrap/>
            <w:vAlign w:val="center"/>
            <w:hideMark/>
          </w:tcPr>
          <w:p w:rsidR="008D1C30" w:rsidRPr="008D1C30" w:rsidRDefault="008D1C30" w:rsidP="008D1C30">
            <w:pPr>
              <w:spacing w:before="0" w:after="0"/>
              <w:jc w:val="center"/>
              <w:rPr>
                <w:rFonts w:ascii="Calibri" w:eastAsia="Times New Roman" w:hAnsi="Calibri" w:cs="Times New Roman"/>
                <w:color w:val="000000"/>
                <w:sz w:val="20"/>
                <w:szCs w:val="20"/>
                <w:lang w:eastAsia="cs-CZ"/>
              </w:rPr>
            </w:pPr>
            <w:r w:rsidRPr="008D1C30">
              <w:rPr>
                <w:rFonts w:ascii="Calibri" w:eastAsia="Times New Roman" w:hAnsi="Calibri" w:cs="Times New Roman"/>
                <w:color w:val="000000"/>
                <w:sz w:val="20"/>
                <w:szCs w:val="20"/>
                <w:lang w:eastAsia="cs-CZ"/>
              </w:rPr>
              <w:t>E02B   3/10</w:t>
            </w:r>
          </w:p>
        </w:tc>
        <w:tc>
          <w:tcPr>
            <w:tcW w:w="6920" w:type="dxa"/>
            <w:tcBorders>
              <w:top w:val="nil"/>
              <w:left w:val="nil"/>
              <w:bottom w:val="nil"/>
              <w:right w:val="nil"/>
            </w:tcBorders>
            <w:shd w:val="clear" w:color="auto" w:fill="auto"/>
            <w:vAlign w:val="center"/>
            <w:hideMark/>
          </w:tcPr>
          <w:p w:rsidR="008D1C30" w:rsidRPr="008D1C30" w:rsidRDefault="008D1C30" w:rsidP="008D1C30">
            <w:pPr>
              <w:spacing w:before="0" w:after="0"/>
              <w:jc w:val="left"/>
              <w:rPr>
                <w:rFonts w:ascii="Calibri" w:eastAsia="Times New Roman" w:hAnsi="Calibri" w:cs="Times New Roman"/>
                <w:color w:val="000000"/>
                <w:sz w:val="20"/>
                <w:szCs w:val="20"/>
                <w:lang w:eastAsia="cs-CZ"/>
              </w:rPr>
            </w:pPr>
            <w:r w:rsidRPr="008D1C30">
              <w:rPr>
                <w:rFonts w:ascii="Calibri" w:eastAsia="Times New Roman" w:hAnsi="Calibri" w:cs="Times New Roman"/>
                <w:color w:val="000000"/>
                <w:sz w:val="20"/>
                <w:szCs w:val="20"/>
                <w:lang w:eastAsia="cs-CZ"/>
              </w:rPr>
              <w:t>Inženýrské stavby, pokud se vztahují k zajištění nebo využití toků, řek, pobřeží nebo jiných mořských míst (hráze, náspy, …)</w:t>
            </w:r>
          </w:p>
        </w:tc>
        <w:tc>
          <w:tcPr>
            <w:tcW w:w="760" w:type="dxa"/>
            <w:tcBorders>
              <w:top w:val="nil"/>
              <w:left w:val="nil"/>
              <w:bottom w:val="nil"/>
              <w:right w:val="nil"/>
            </w:tcBorders>
            <w:shd w:val="clear" w:color="auto" w:fill="auto"/>
            <w:noWrap/>
            <w:vAlign w:val="center"/>
            <w:hideMark/>
          </w:tcPr>
          <w:p w:rsidR="008D1C30" w:rsidRPr="008D1C30" w:rsidRDefault="008D1C30" w:rsidP="008D1C30">
            <w:pPr>
              <w:spacing w:before="0" w:after="0"/>
              <w:jc w:val="center"/>
              <w:rPr>
                <w:rFonts w:ascii="Calibri" w:eastAsia="Times New Roman" w:hAnsi="Calibri" w:cs="Times New Roman"/>
                <w:color w:val="000000"/>
                <w:sz w:val="20"/>
                <w:szCs w:val="20"/>
                <w:lang w:eastAsia="cs-CZ"/>
              </w:rPr>
            </w:pPr>
            <w:r w:rsidRPr="008D1C30">
              <w:rPr>
                <w:rFonts w:ascii="Calibri" w:eastAsia="Times New Roman" w:hAnsi="Calibri" w:cs="Times New Roman"/>
                <w:color w:val="000000"/>
                <w:sz w:val="20"/>
                <w:szCs w:val="20"/>
                <w:lang w:eastAsia="cs-CZ"/>
              </w:rPr>
              <w:t>18</w:t>
            </w:r>
          </w:p>
        </w:tc>
      </w:tr>
      <w:tr w:rsidR="008D1C30" w:rsidRPr="008D1C30" w:rsidTr="008D1C30">
        <w:trPr>
          <w:trHeight w:val="499"/>
        </w:trPr>
        <w:tc>
          <w:tcPr>
            <w:tcW w:w="1360" w:type="dxa"/>
            <w:tcBorders>
              <w:top w:val="nil"/>
              <w:left w:val="nil"/>
              <w:bottom w:val="nil"/>
              <w:right w:val="nil"/>
            </w:tcBorders>
            <w:shd w:val="clear" w:color="auto" w:fill="auto"/>
            <w:noWrap/>
            <w:vAlign w:val="center"/>
            <w:hideMark/>
          </w:tcPr>
          <w:p w:rsidR="008D1C30" w:rsidRPr="008D1C30" w:rsidRDefault="008D1C30" w:rsidP="008D1C30">
            <w:pPr>
              <w:spacing w:before="0" w:after="0"/>
              <w:jc w:val="center"/>
              <w:rPr>
                <w:rFonts w:ascii="Calibri" w:eastAsia="Times New Roman" w:hAnsi="Calibri" w:cs="Times New Roman"/>
                <w:color w:val="000000"/>
                <w:sz w:val="20"/>
                <w:szCs w:val="20"/>
                <w:lang w:eastAsia="cs-CZ"/>
              </w:rPr>
            </w:pPr>
            <w:r w:rsidRPr="008D1C30">
              <w:rPr>
                <w:rFonts w:ascii="Calibri" w:eastAsia="Times New Roman" w:hAnsi="Calibri" w:cs="Times New Roman"/>
                <w:color w:val="000000"/>
                <w:sz w:val="20"/>
                <w:szCs w:val="20"/>
                <w:lang w:eastAsia="cs-CZ"/>
              </w:rPr>
              <w:t>E02B   3/04</w:t>
            </w:r>
          </w:p>
        </w:tc>
        <w:tc>
          <w:tcPr>
            <w:tcW w:w="6920" w:type="dxa"/>
            <w:tcBorders>
              <w:top w:val="nil"/>
              <w:left w:val="nil"/>
              <w:bottom w:val="nil"/>
              <w:right w:val="nil"/>
            </w:tcBorders>
            <w:shd w:val="clear" w:color="auto" w:fill="auto"/>
            <w:vAlign w:val="center"/>
            <w:hideMark/>
          </w:tcPr>
          <w:p w:rsidR="008D1C30" w:rsidRPr="008D1C30" w:rsidRDefault="008D1C30" w:rsidP="008D1C30">
            <w:pPr>
              <w:spacing w:before="0" w:after="0"/>
              <w:jc w:val="left"/>
              <w:rPr>
                <w:rFonts w:ascii="Calibri" w:eastAsia="Times New Roman" w:hAnsi="Calibri" w:cs="Times New Roman"/>
                <w:color w:val="000000"/>
                <w:sz w:val="20"/>
                <w:szCs w:val="20"/>
                <w:lang w:eastAsia="cs-CZ"/>
              </w:rPr>
            </w:pPr>
            <w:r w:rsidRPr="008D1C30">
              <w:rPr>
                <w:rFonts w:ascii="Calibri" w:eastAsia="Times New Roman" w:hAnsi="Calibri" w:cs="Times New Roman"/>
                <w:color w:val="000000"/>
                <w:sz w:val="20"/>
                <w:szCs w:val="20"/>
                <w:lang w:eastAsia="cs-CZ"/>
              </w:rPr>
              <w:t>Inženýrské stavby, pokud se vztahují k zajištění nebo využití toků, řek, pobřeží nebo jiných mořských míst (stavební díla, zařízení a způ</w:t>
            </w:r>
            <w:r>
              <w:rPr>
                <w:rFonts w:ascii="Calibri" w:eastAsia="Times New Roman" w:hAnsi="Calibri" w:cs="Times New Roman"/>
                <w:color w:val="000000"/>
                <w:sz w:val="20"/>
                <w:szCs w:val="20"/>
                <w:lang w:eastAsia="cs-CZ"/>
              </w:rPr>
              <w:t>so</w:t>
            </w:r>
            <w:r w:rsidRPr="008D1C30">
              <w:rPr>
                <w:rFonts w:ascii="Calibri" w:eastAsia="Times New Roman" w:hAnsi="Calibri" w:cs="Times New Roman"/>
                <w:color w:val="000000"/>
                <w:sz w:val="20"/>
                <w:szCs w:val="20"/>
                <w:lang w:eastAsia="cs-CZ"/>
              </w:rPr>
              <w:t>by ochrany břehů, pobřeží, …)</w:t>
            </w:r>
          </w:p>
        </w:tc>
        <w:tc>
          <w:tcPr>
            <w:tcW w:w="760" w:type="dxa"/>
            <w:tcBorders>
              <w:top w:val="nil"/>
              <w:left w:val="nil"/>
              <w:bottom w:val="nil"/>
              <w:right w:val="nil"/>
            </w:tcBorders>
            <w:shd w:val="clear" w:color="auto" w:fill="auto"/>
            <w:noWrap/>
            <w:vAlign w:val="center"/>
            <w:hideMark/>
          </w:tcPr>
          <w:p w:rsidR="008D1C30" w:rsidRPr="008D1C30" w:rsidRDefault="008D1C30" w:rsidP="008D1C30">
            <w:pPr>
              <w:spacing w:before="0" w:after="0"/>
              <w:jc w:val="center"/>
              <w:rPr>
                <w:rFonts w:ascii="Calibri" w:eastAsia="Times New Roman" w:hAnsi="Calibri" w:cs="Times New Roman"/>
                <w:color w:val="000000"/>
                <w:sz w:val="20"/>
                <w:szCs w:val="20"/>
                <w:lang w:eastAsia="cs-CZ"/>
              </w:rPr>
            </w:pPr>
            <w:r w:rsidRPr="008D1C30">
              <w:rPr>
                <w:rFonts w:ascii="Calibri" w:eastAsia="Times New Roman" w:hAnsi="Calibri" w:cs="Times New Roman"/>
                <w:color w:val="000000"/>
                <w:sz w:val="20"/>
                <w:szCs w:val="20"/>
                <w:lang w:eastAsia="cs-CZ"/>
              </w:rPr>
              <w:t>16</w:t>
            </w:r>
          </w:p>
        </w:tc>
      </w:tr>
      <w:tr w:rsidR="008D1C30" w:rsidRPr="008D1C30" w:rsidTr="008D1C30">
        <w:trPr>
          <w:trHeight w:val="499"/>
        </w:trPr>
        <w:tc>
          <w:tcPr>
            <w:tcW w:w="1360" w:type="dxa"/>
            <w:tcBorders>
              <w:top w:val="nil"/>
              <w:left w:val="nil"/>
              <w:bottom w:val="nil"/>
              <w:right w:val="nil"/>
            </w:tcBorders>
            <w:shd w:val="clear" w:color="auto" w:fill="auto"/>
            <w:noWrap/>
            <w:vAlign w:val="center"/>
            <w:hideMark/>
          </w:tcPr>
          <w:p w:rsidR="008D1C30" w:rsidRPr="008D1C30" w:rsidRDefault="008D1C30" w:rsidP="008D1C30">
            <w:pPr>
              <w:spacing w:before="0" w:after="0"/>
              <w:jc w:val="center"/>
              <w:rPr>
                <w:rFonts w:ascii="Calibri" w:eastAsia="Times New Roman" w:hAnsi="Calibri" w:cs="Times New Roman"/>
                <w:color w:val="000000"/>
                <w:sz w:val="20"/>
                <w:szCs w:val="20"/>
                <w:lang w:eastAsia="cs-CZ"/>
              </w:rPr>
            </w:pPr>
            <w:r w:rsidRPr="008D1C30">
              <w:rPr>
                <w:rFonts w:ascii="Calibri" w:eastAsia="Times New Roman" w:hAnsi="Calibri" w:cs="Times New Roman"/>
                <w:color w:val="000000"/>
                <w:sz w:val="20"/>
                <w:szCs w:val="20"/>
                <w:lang w:eastAsia="cs-CZ"/>
              </w:rPr>
              <w:t>G06K   9/00</w:t>
            </w:r>
          </w:p>
        </w:tc>
        <w:tc>
          <w:tcPr>
            <w:tcW w:w="6920" w:type="dxa"/>
            <w:tcBorders>
              <w:top w:val="nil"/>
              <w:left w:val="nil"/>
              <w:bottom w:val="nil"/>
              <w:right w:val="nil"/>
            </w:tcBorders>
            <w:shd w:val="clear" w:color="auto" w:fill="auto"/>
            <w:vAlign w:val="center"/>
            <w:hideMark/>
          </w:tcPr>
          <w:p w:rsidR="008D1C30" w:rsidRPr="008D1C30" w:rsidRDefault="008D1C30" w:rsidP="008D1C30">
            <w:pPr>
              <w:spacing w:before="0" w:after="0"/>
              <w:jc w:val="left"/>
              <w:rPr>
                <w:rFonts w:ascii="Calibri" w:eastAsia="Times New Roman" w:hAnsi="Calibri" w:cs="Times New Roman"/>
                <w:color w:val="000000"/>
                <w:sz w:val="20"/>
                <w:szCs w:val="20"/>
                <w:lang w:eastAsia="cs-CZ"/>
              </w:rPr>
            </w:pPr>
            <w:r w:rsidRPr="008D1C30">
              <w:rPr>
                <w:rFonts w:ascii="Calibri" w:eastAsia="Times New Roman" w:hAnsi="Calibri" w:cs="Times New Roman"/>
                <w:color w:val="000000"/>
                <w:sz w:val="20"/>
                <w:szCs w:val="20"/>
                <w:lang w:eastAsia="cs-CZ"/>
              </w:rPr>
              <w:t>Způsoby nebo zařízení pro čtení nebo rozpoznávání tištěných nebo psaných znaků nebo geometrických obrazů, např. otisků prstů</w:t>
            </w:r>
          </w:p>
        </w:tc>
        <w:tc>
          <w:tcPr>
            <w:tcW w:w="760" w:type="dxa"/>
            <w:tcBorders>
              <w:top w:val="nil"/>
              <w:left w:val="nil"/>
              <w:bottom w:val="nil"/>
              <w:right w:val="nil"/>
            </w:tcBorders>
            <w:shd w:val="clear" w:color="auto" w:fill="auto"/>
            <w:noWrap/>
            <w:vAlign w:val="center"/>
            <w:hideMark/>
          </w:tcPr>
          <w:p w:rsidR="008D1C30" w:rsidRPr="008D1C30" w:rsidRDefault="008D1C30" w:rsidP="008D1C30">
            <w:pPr>
              <w:spacing w:before="0" w:after="0"/>
              <w:jc w:val="center"/>
              <w:rPr>
                <w:rFonts w:ascii="Calibri" w:eastAsia="Times New Roman" w:hAnsi="Calibri" w:cs="Times New Roman"/>
                <w:color w:val="000000"/>
                <w:sz w:val="20"/>
                <w:szCs w:val="20"/>
                <w:lang w:eastAsia="cs-CZ"/>
              </w:rPr>
            </w:pPr>
            <w:r w:rsidRPr="008D1C30">
              <w:rPr>
                <w:rFonts w:ascii="Calibri" w:eastAsia="Times New Roman" w:hAnsi="Calibri" w:cs="Times New Roman"/>
                <w:color w:val="000000"/>
                <w:sz w:val="20"/>
                <w:szCs w:val="20"/>
                <w:lang w:eastAsia="cs-CZ"/>
              </w:rPr>
              <w:t>15</w:t>
            </w:r>
          </w:p>
        </w:tc>
      </w:tr>
      <w:tr w:rsidR="008D1C30" w:rsidRPr="008D1C30" w:rsidTr="008D1C30">
        <w:trPr>
          <w:trHeight w:val="499"/>
        </w:trPr>
        <w:tc>
          <w:tcPr>
            <w:tcW w:w="1360" w:type="dxa"/>
            <w:tcBorders>
              <w:top w:val="nil"/>
              <w:left w:val="nil"/>
              <w:bottom w:val="nil"/>
              <w:right w:val="nil"/>
            </w:tcBorders>
            <w:shd w:val="clear" w:color="auto" w:fill="auto"/>
            <w:noWrap/>
            <w:vAlign w:val="center"/>
            <w:hideMark/>
          </w:tcPr>
          <w:p w:rsidR="008D1C30" w:rsidRPr="008D1C30" w:rsidRDefault="008D1C30" w:rsidP="008D1C30">
            <w:pPr>
              <w:spacing w:before="0" w:after="0"/>
              <w:jc w:val="center"/>
              <w:rPr>
                <w:rFonts w:ascii="Calibri" w:eastAsia="Times New Roman" w:hAnsi="Calibri" w:cs="Times New Roman"/>
                <w:color w:val="000000"/>
                <w:sz w:val="20"/>
                <w:szCs w:val="20"/>
                <w:lang w:eastAsia="cs-CZ"/>
              </w:rPr>
            </w:pPr>
            <w:r w:rsidRPr="008D1C30">
              <w:rPr>
                <w:rFonts w:ascii="Calibri" w:eastAsia="Times New Roman" w:hAnsi="Calibri" w:cs="Times New Roman"/>
                <w:color w:val="000000"/>
                <w:sz w:val="20"/>
                <w:szCs w:val="20"/>
                <w:lang w:eastAsia="cs-CZ"/>
              </w:rPr>
              <w:t>H04L  29/08</w:t>
            </w:r>
          </w:p>
        </w:tc>
        <w:tc>
          <w:tcPr>
            <w:tcW w:w="6920" w:type="dxa"/>
            <w:tcBorders>
              <w:top w:val="nil"/>
              <w:left w:val="nil"/>
              <w:bottom w:val="nil"/>
              <w:right w:val="nil"/>
            </w:tcBorders>
            <w:shd w:val="clear" w:color="auto" w:fill="auto"/>
            <w:vAlign w:val="center"/>
            <w:hideMark/>
          </w:tcPr>
          <w:p w:rsidR="008D1C30" w:rsidRPr="008D1C30" w:rsidRDefault="008D1C30" w:rsidP="008D1C30">
            <w:pPr>
              <w:spacing w:before="0" w:after="0"/>
              <w:jc w:val="left"/>
              <w:rPr>
                <w:rFonts w:ascii="Calibri" w:eastAsia="Times New Roman" w:hAnsi="Calibri" w:cs="Times New Roman"/>
                <w:color w:val="000000"/>
                <w:sz w:val="20"/>
                <w:szCs w:val="20"/>
                <w:lang w:eastAsia="cs-CZ"/>
              </w:rPr>
            </w:pPr>
            <w:r w:rsidRPr="008D1C30">
              <w:rPr>
                <w:rFonts w:ascii="Calibri" w:eastAsia="Times New Roman" w:hAnsi="Calibri" w:cs="Times New Roman"/>
                <w:color w:val="000000"/>
                <w:sz w:val="20"/>
                <w:szCs w:val="20"/>
                <w:lang w:eastAsia="cs-CZ"/>
              </w:rPr>
              <w:t>Přenos digitálních informací (uspořádání, přístroje, obvody nebo systémy) - řízení vysílacích postupů</w:t>
            </w:r>
          </w:p>
        </w:tc>
        <w:tc>
          <w:tcPr>
            <w:tcW w:w="760" w:type="dxa"/>
            <w:tcBorders>
              <w:top w:val="nil"/>
              <w:left w:val="nil"/>
              <w:bottom w:val="nil"/>
              <w:right w:val="nil"/>
            </w:tcBorders>
            <w:shd w:val="clear" w:color="auto" w:fill="auto"/>
            <w:noWrap/>
            <w:vAlign w:val="center"/>
            <w:hideMark/>
          </w:tcPr>
          <w:p w:rsidR="008D1C30" w:rsidRPr="008D1C30" w:rsidRDefault="008D1C30" w:rsidP="008D1C30">
            <w:pPr>
              <w:spacing w:before="0" w:after="0"/>
              <w:jc w:val="center"/>
              <w:rPr>
                <w:rFonts w:ascii="Calibri" w:eastAsia="Times New Roman" w:hAnsi="Calibri" w:cs="Times New Roman"/>
                <w:color w:val="000000"/>
                <w:sz w:val="20"/>
                <w:szCs w:val="20"/>
                <w:lang w:eastAsia="cs-CZ"/>
              </w:rPr>
            </w:pPr>
            <w:r w:rsidRPr="008D1C30">
              <w:rPr>
                <w:rFonts w:ascii="Calibri" w:eastAsia="Times New Roman" w:hAnsi="Calibri" w:cs="Times New Roman"/>
                <w:color w:val="000000"/>
                <w:sz w:val="20"/>
                <w:szCs w:val="20"/>
                <w:lang w:eastAsia="cs-CZ"/>
              </w:rPr>
              <w:t>13</w:t>
            </w:r>
          </w:p>
        </w:tc>
      </w:tr>
      <w:tr w:rsidR="008D1C30" w:rsidRPr="008D1C30" w:rsidTr="008D1C30">
        <w:trPr>
          <w:trHeight w:val="499"/>
        </w:trPr>
        <w:tc>
          <w:tcPr>
            <w:tcW w:w="1360" w:type="dxa"/>
            <w:tcBorders>
              <w:top w:val="nil"/>
              <w:left w:val="nil"/>
              <w:bottom w:val="nil"/>
              <w:right w:val="nil"/>
            </w:tcBorders>
            <w:shd w:val="clear" w:color="auto" w:fill="auto"/>
            <w:noWrap/>
            <w:vAlign w:val="center"/>
            <w:hideMark/>
          </w:tcPr>
          <w:p w:rsidR="008D1C30" w:rsidRPr="008D1C30" w:rsidRDefault="008D1C30" w:rsidP="008D1C30">
            <w:pPr>
              <w:spacing w:before="0" w:after="0"/>
              <w:jc w:val="center"/>
              <w:rPr>
                <w:rFonts w:ascii="Calibri" w:eastAsia="Times New Roman" w:hAnsi="Calibri" w:cs="Times New Roman"/>
                <w:color w:val="000000"/>
                <w:sz w:val="20"/>
                <w:szCs w:val="20"/>
                <w:lang w:eastAsia="cs-CZ"/>
              </w:rPr>
            </w:pPr>
            <w:r w:rsidRPr="008D1C30">
              <w:rPr>
                <w:rFonts w:ascii="Calibri" w:eastAsia="Times New Roman" w:hAnsi="Calibri" w:cs="Times New Roman"/>
                <w:color w:val="000000"/>
                <w:sz w:val="20"/>
                <w:szCs w:val="20"/>
                <w:lang w:eastAsia="cs-CZ"/>
              </w:rPr>
              <w:t>F41G  11/00</w:t>
            </w:r>
          </w:p>
        </w:tc>
        <w:tc>
          <w:tcPr>
            <w:tcW w:w="6920" w:type="dxa"/>
            <w:tcBorders>
              <w:top w:val="nil"/>
              <w:left w:val="nil"/>
              <w:bottom w:val="nil"/>
              <w:right w:val="nil"/>
            </w:tcBorders>
            <w:shd w:val="clear" w:color="auto" w:fill="auto"/>
            <w:vAlign w:val="center"/>
            <w:hideMark/>
          </w:tcPr>
          <w:p w:rsidR="008D1C30" w:rsidRPr="008D1C30" w:rsidRDefault="008D1C30" w:rsidP="008D1C30">
            <w:pPr>
              <w:spacing w:before="0" w:after="0"/>
              <w:jc w:val="left"/>
              <w:rPr>
                <w:rFonts w:ascii="Calibri" w:eastAsia="Times New Roman" w:hAnsi="Calibri" w:cs="Times New Roman"/>
                <w:color w:val="000000"/>
                <w:sz w:val="20"/>
                <w:szCs w:val="20"/>
                <w:lang w:eastAsia="cs-CZ"/>
              </w:rPr>
            </w:pPr>
            <w:r w:rsidRPr="008D1C30">
              <w:rPr>
                <w:rFonts w:ascii="Calibri" w:eastAsia="Times New Roman" w:hAnsi="Calibri" w:cs="Times New Roman"/>
                <w:color w:val="000000"/>
                <w:sz w:val="20"/>
                <w:szCs w:val="20"/>
                <w:lang w:eastAsia="cs-CZ"/>
              </w:rPr>
              <w:t>Mířidla zbraní, míření (součásti mířicích nebo zaměřovacích přístrojů, příslušenství)</w:t>
            </w:r>
          </w:p>
        </w:tc>
        <w:tc>
          <w:tcPr>
            <w:tcW w:w="760" w:type="dxa"/>
            <w:tcBorders>
              <w:top w:val="nil"/>
              <w:left w:val="nil"/>
              <w:bottom w:val="nil"/>
              <w:right w:val="nil"/>
            </w:tcBorders>
            <w:shd w:val="clear" w:color="auto" w:fill="auto"/>
            <w:noWrap/>
            <w:vAlign w:val="center"/>
            <w:hideMark/>
          </w:tcPr>
          <w:p w:rsidR="008D1C30" w:rsidRPr="008D1C30" w:rsidRDefault="008D1C30" w:rsidP="008D1C30">
            <w:pPr>
              <w:spacing w:before="0" w:after="0"/>
              <w:jc w:val="center"/>
              <w:rPr>
                <w:rFonts w:ascii="Calibri" w:eastAsia="Times New Roman" w:hAnsi="Calibri" w:cs="Times New Roman"/>
                <w:color w:val="000000"/>
                <w:sz w:val="20"/>
                <w:szCs w:val="20"/>
                <w:lang w:eastAsia="cs-CZ"/>
              </w:rPr>
            </w:pPr>
            <w:r w:rsidRPr="008D1C30">
              <w:rPr>
                <w:rFonts w:ascii="Calibri" w:eastAsia="Times New Roman" w:hAnsi="Calibri" w:cs="Times New Roman"/>
                <w:color w:val="000000"/>
                <w:sz w:val="20"/>
                <w:szCs w:val="20"/>
                <w:lang w:eastAsia="cs-CZ"/>
              </w:rPr>
              <w:t>12</w:t>
            </w:r>
          </w:p>
        </w:tc>
      </w:tr>
      <w:tr w:rsidR="008D1C30" w:rsidRPr="008D1C30" w:rsidTr="008D1C30">
        <w:trPr>
          <w:trHeight w:val="499"/>
        </w:trPr>
        <w:tc>
          <w:tcPr>
            <w:tcW w:w="1360" w:type="dxa"/>
            <w:tcBorders>
              <w:top w:val="nil"/>
              <w:left w:val="nil"/>
              <w:bottom w:val="nil"/>
              <w:right w:val="nil"/>
            </w:tcBorders>
            <w:shd w:val="clear" w:color="auto" w:fill="auto"/>
            <w:noWrap/>
            <w:vAlign w:val="center"/>
            <w:hideMark/>
          </w:tcPr>
          <w:p w:rsidR="008D1C30" w:rsidRPr="008D1C30" w:rsidRDefault="008D1C30" w:rsidP="008D1C30">
            <w:pPr>
              <w:spacing w:before="0" w:after="0"/>
              <w:jc w:val="center"/>
              <w:rPr>
                <w:rFonts w:ascii="Calibri" w:eastAsia="Times New Roman" w:hAnsi="Calibri" w:cs="Times New Roman"/>
                <w:color w:val="000000"/>
                <w:sz w:val="20"/>
                <w:szCs w:val="20"/>
                <w:lang w:eastAsia="cs-CZ"/>
              </w:rPr>
            </w:pPr>
            <w:r w:rsidRPr="008D1C30">
              <w:rPr>
                <w:rFonts w:ascii="Calibri" w:eastAsia="Times New Roman" w:hAnsi="Calibri" w:cs="Times New Roman"/>
                <w:color w:val="000000"/>
                <w:sz w:val="20"/>
                <w:szCs w:val="20"/>
                <w:lang w:eastAsia="cs-CZ"/>
              </w:rPr>
              <w:t>F41C   7/00</w:t>
            </w:r>
          </w:p>
        </w:tc>
        <w:tc>
          <w:tcPr>
            <w:tcW w:w="6920" w:type="dxa"/>
            <w:tcBorders>
              <w:top w:val="nil"/>
              <w:left w:val="nil"/>
              <w:bottom w:val="nil"/>
              <w:right w:val="nil"/>
            </w:tcBorders>
            <w:shd w:val="clear" w:color="auto" w:fill="auto"/>
            <w:vAlign w:val="center"/>
            <w:hideMark/>
          </w:tcPr>
          <w:p w:rsidR="008D1C30" w:rsidRPr="008D1C30" w:rsidRDefault="008D1C30" w:rsidP="008D1C30">
            <w:pPr>
              <w:spacing w:before="0" w:after="0"/>
              <w:jc w:val="left"/>
              <w:rPr>
                <w:rFonts w:ascii="Calibri" w:eastAsia="Times New Roman" w:hAnsi="Calibri" w:cs="Times New Roman"/>
                <w:color w:val="000000"/>
                <w:sz w:val="20"/>
                <w:szCs w:val="20"/>
                <w:lang w:eastAsia="cs-CZ"/>
              </w:rPr>
            </w:pPr>
            <w:r w:rsidRPr="008D1C30">
              <w:rPr>
                <w:rFonts w:ascii="Calibri" w:eastAsia="Times New Roman" w:hAnsi="Calibri" w:cs="Times New Roman"/>
                <w:color w:val="000000"/>
                <w:sz w:val="20"/>
                <w:szCs w:val="20"/>
                <w:lang w:eastAsia="cs-CZ"/>
              </w:rPr>
              <w:t>Malé střelné zbraně náramenní, např. pušky, karabiny, brokovnice</w:t>
            </w:r>
          </w:p>
        </w:tc>
        <w:tc>
          <w:tcPr>
            <w:tcW w:w="760" w:type="dxa"/>
            <w:tcBorders>
              <w:top w:val="nil"/>
              <w:left w:val="nil"/>
              <w:bottom w:val="nil"/>
              <w:right w:val="nil"/>
            </w:tcBorders>
            <w:shd w:val="clear" w:color="auto" w:fill="auto"/>
            <w:noWrap/>
            <w:vAlign w:val="center"/>
            <w:hideMark/>
          </w:tcPr>
          <w:p w:rsidR="008D1C30" w:rsidRPr="008D1C30" w:rsidRDefault="008D1C30" w:rsidP="008D1C30">
            <w:pPr>
              <w:spacing w:before="0" w:after="0"/>
              <w:jc w:val="center"/>
              <w:rPr>
                <w:rFonts w:ascii="Calibri" w:eastAsia="Times New Roman" w:hAnsi="Calibri" w:cs="Times New Roman"/>
                <w:color w:val="000000"/>
                <w:sz w:val="20"/>
                <w:szCs w:val="20"/>
                <w:lang w:eastAsia="cs-CZ"/>
              </w:rPr>
            </w:pPr>
            <w:r w:rsidRPr="008D1C30">
              <w:rPr>
                <w:rFonts w:ascii="Calibri" w:eastAsia="Times New Roman" w:hAnsi="Calibri" w:cs="Times New Roman"/>
                <w:color w:val="000000"/>
                <w:sz w:val="20"/>
                <w:szCs w:val="20"/>
                <w:lang w:eastAsia="cs-CZ"/>
              </w:rPr>
              <w:t>12</w:t>
            </w:r>
          </w:p>
        </w:tc>
      </w:tr>
      <w:tr w:rsidR="008D1C30" w:rsidRPr="008D1C30" w:rsidTr="008D1C30">
        <w:trPr>
          <w:trHeight w:val="499"/>
        </w:trPr>
        <w:tc>
          <w:tcPr>
            <w:tcW w:w="1360" w:type="dxa"/>
            <w:tcBorders>
              <w:top w:val="nil"/>
              <w:left w:val="nil"/>
              <w:bottom w:val="nil"/>
              <w:right w:val="nil"/>
            </w:tcBorders>
            <w:shd w:val="clear" w:color="auto" w:fill="auto"/>
            <w:noWrap/>
            <w:vAlign w:val="center"/>
            <w:hideMark/>
          </w:tcPr>
          <w:p w:rsidR="008D1C30" w:rsidRPr="008D1C30" w:rsidRDefault="008D1C30" w:rsidP="008D1C30">
            <w:pPr>
              <w:spacing w:before="0" w:after="0"/>
              <w:jc w:val="center"/>
              <w:rPr>
                <w:rFonts w:ascii="Calibri" w:eastAsia="Times New Roman" w:hAnsi="Calibri" w:cs="Times New Roman"/>
                <w:color w:val="000000"/>
                <w:sz w:val="20"/>
                <w:szCs w:val="20"/>
                <w:lang w:eastAsia="cs-CZ"/>
              </w:rPr>
            </w:pPr>
            <w:r w:rsidRPr="008D1C30">
              <w:rPr>
                <w:rFonts w:ascii="Calibri" w:eastAsia="Times New Roman" w:hAnsi="Calibri" w:cs="Times New Roman"/>
                <w:color w:val="000000"/>
                <w:sz w:val="20"/>
                <w:szCs w:val="20"/>
                <w:lang w:eastAsia="cs-CZ"/>
              </w:rPr>
              <w:t>H04L   9/32</w:t>
            </w:r>
          </w:p>
        </w:tc>
        <w:tc>
          <w:tcPr>
            <w:tcW w:w="6920" w:type="dxa"/>
            <w:tcBorders>
              <w:top w:val="nil"/>
              <w:left w:val="nil"/>
              <w:bottom w:val="nil"/>
              <w:right w:val="nil"/>
            </w:tcBorders>
            <w:shd w:val="clear" w:color="auto" w:fill="auto"/>
            <w:vAlign w:val="center"/>
            <w:hideMark/>
          </w:tcPr>
          <w:p w:rsidR="008D1C30" w:rsidRPr="008D1C30" w:rsidRDefault="008D1C30" w:rsidP="008D1C30">
            <w:pPr>
              <w:spacing w:before="0" w:after="0"/>
              <w:jc w:val="left"/>
              <w:rPr>
                <w:rFonts w:ascii="Calibri" w:eastAsia="Times New Roman" w:hAnsi="Calibri" w:cs="Times New Roman"/>
                <w:color w:val="000000"/>
                <w:sz w:val="20"/>
                <w:szCs w:val="20"/>
                <w:lang w:eastAsia="cs-CZ"/>
              </w:rPr>
            </w:pPr>
            <w:r w:rsidRPr="008D1C30">
              <w:rPr>
                <w:rFonts w:ascii="Calibri" w:eastAsia="Times New Roman" w:hAnsi="Calibri" w:cs="Times New Roman"/>
                <w:color w:val="000000"/>
                <w:sz w:val="20"/>
                <w:szCs w:val="20"/>
                <w:lang w:eastAsia="cs-CZ"/>
              </w:rPr>
              <w:t>Přenos digitálních informací - uspořádání pro utajované sdělování nebo zabezpečení proti odposlechu (zahrnující prostředky k ověření identity)</w:t>
            </w:r>
          </w:p>
        </w:tc>
        <w:tc>
          <w:tcPr>
            <w:tcW w:w="760" w:type="dxa"/>
            <w:tcBorders>
              <w:top w:val="nil"/>
              <w:left w:val="nil"/>
              <w:bottom w:val="nil"/>
              <w:right w:val="nil"/>
            </w:tcBorders>
            <w:shd w:val="clear" w:color="auto" w:fill="auto"/>
            <w:noWrap/>
            <w:vAlign w:val="center"/>
            <w:hideMark/>
          </w:tcPr>
          <w:p w:rsidR="008D1C30" w:rsidRPr="008D1C30" w:rsidRDefault="008D1C30" w:rsidP="008D1C30">
            <w:pPr>
              <w:spacing w:before="0" w:after="0"/>
              <w:jc w:val="center"/>
              <w:rPr>
                <w:rFonts w:ascii="Calibri" w:eastAsia="Times New Roman" w:hAnsi="Calibri" w:cs="Times New Roman"/>
                <w:color w:val="000000"/>
                <w:sz w:val="20"/>
                <w:szCs w:val="20"/>
                <w:lang w:eastAsia="cs-CZ"/>
              </w:rPr>
            </w:pPr>
            <w:r w:rsidRPr="008D1C30">
              <w:rPr>
                <w:rFonts w:ascii="Calibri" w:eastAsia="Times New Roman" w:hAnsi="Calibri" w:cs="Times New Roman"/>
                <w:color w:val="000000"/>
                <w:sz w:val="20"/>
                <w:szCs w:val="20"/>
                <w:lang w:eastAsia="cs-CZ"/>
              </w:rPr>
              <w:t>12</w:t>
            </w:r>
          </w:p>
        </w:tc>
      </w:tr>
      <w:tr w:rsidR="008D1C30" w:rsidRPr="008D1C30" w:rsidTr="008D1C30">
        <w:trPr>
          <w:trHeight w:val="499"/>
        </w:trPr>
        <w:tc>
          <w:tcPr>
            <w:tcW w:w="1360" w:type="dxa"/>
            <w:tcBorders>
              <w:top w:val="nil"/>
              <w:left w:val="nil"/>
              <w:bottom w:val="nil"/>
              <w:right w:val="nil"/>
            </w:tcBorders>
            <w:shd w:val="clear" w:color="auto" w:fill="auto"/>
            <w:noWrap/>
            <w:vAlign w:val="center"/>
            <w:hideMark/>
          </w:tcPr>
          <w:p w:rsidR="008D1C30" w:rsidRPr="008D1C30" w:rsidRDefault="008D1C30" w:rsidP="008D1C30">
            <w:pPr>
              <w:spacing w:before="0" w:after="0"/>
              <w:jc w:val="center"/>
              <w:rPr>
                <w:rFonts w:ascii="Calibri" w:eastAsia="Times New Roman" w:hAnsi="Calibri" w:cs="Times New Roman"/>
                <w:color w:val="000000"/>
                <w:sz w:val="20"/>
                <w:szCs w:val="20"/>
                <w:lang w:eastAsia="cs-CZ"/>
              </w:rPr>
            </w:pPr>
            <w:r w:rsidRPr="008D1C30">
              <w:rPr>
                <w:rFonts w:ascii="Calibri" w:eastAsia="Times New Roman" w:hAnsi="Calibri" w:cs="Times New Roman"/>
                <w:color w:val="000000"/>
                <w:sz w:val="20"/>
                <w:szCs w:val="20"/>
                <w:lang w:eastAsia="cs-CZ"/>
              </w:rPr>
              <w:t>F41H   1/02</w:t>
            </w:r>
          </w:p>
        </w:tc>
        <w:tc>
          <w:tcPr>
            <w:tcW w:w="6920" w:type="dxa"/>
            <w:tcBorders>
              <w:top w:val="nil"/>
              <w:left w:val="nil"/>
              <w:bottom w:val="nil"/>
              <w:right w:val="nil"/>
            </w:tcBorders>
            <w:shd w:val="clear" w:color="auto" w:fill="auto"/>
            <w:vAlign w:val="center"/>
            <w:hideMark/>
          </w:tcPr>
          <w:p w:rsidR="008D1C30" w:rsidRPr="008D1C30" w:rsidRDefault="008D1C30" w:rsidP="008D1C30">
            <w:pPr>
              <w:spacing w:before="0" w:after="0"/>
              <w:jc w:val="left"/>
              <w:rPr>
                <w:rFonts w:ascii="Calibri" w:eastAsia="Times New Roman" w:hAnsi="Calibri" w:cs="Times New Roman"/>
                <w:color w:val="000000"/>
                <w:sz w:val="20"/>
                <w:szCs w:val="20"/>
                <w:lang w:eastAsia="cs-CZ"/>
              </w:rPr>
            </w:pPr>
            <w:r w:rsidRPr="008D1C30">
              <w:rPr>
                <w:rFonts w:ascii="Calibri" w:eastAsia="Times New Roman" w:hAnsi="Calibri" w:cs="Times New Roman"/>
                <w:color w:val="000000"/>
                <w:sz w:val="20"/>
                <w:szCs w:val="20"/>
                <w:lang w:eastAsia="cs-CZ"/>
              </w:rPr>
              <w:t>Osobní ochranná výzbroj - pancéřové nebo střelám odolné součásti oděvů, kombinované ochranné tkaniny</w:t>
            </w:r>
          </w:p>
        </w:tc>
        <w:tc>
          <w:tcPr>
            <w:tcW w:w="760" w:type="dxa"/>
            <w:tcBorders>
              <w:top w:val="nil"/>
              <w:left w:val="nil"/>
              <w:bottom w:val="nil"/>
              <w:right w:val="nil"/>
            </w:tcBorders>
            <w:shd w:val="clear" w:color="auto" w:fill="auto"/>
            <w:noWrap/>
            <w:vAlign w:val="center"/>
            <w:hideMark/>
          </w:tcPr>
          <w:p w:rsidR="008D1C30" w:rsidRPr="008D1C30" w:rsidRDefault="008D1C30" w:rsidP="008D1C30">
            <w:pPr>
              <w:spacing w:before="0" w:after="0"/>
              <w:jc w:val="center"/>
              <w:rPr>
                <w:rFonts w:ascii="Calibri" w:eastAsia="Times New Roman" w:hAnsi="Calibri" w:cs="Times New Roman"/>
                <w:color w:val="000000"/>
                <w:sz w:val="20"/>
                <w:szCs w:val="20"/>
                <w:lang w:eastAsia="cs-CZ"/>
              </w:rPr>
            </w:pPr>
            <w:r w:rsidRPr="008D1C30">
              <w:rPr>
                <w:rFonts w:ascii="Calibri" w:eastAsia="Times New Roman" w:hAnsi="Calibri" w:cs="Times New Roman"/>
                <w:color w:val="000000"/>
                <w:sz w:val="20"/>
                <w:szCs w:val="20"/>
                <w:lang w:eastAsia="cs-CZ"/>
              </w:rPr>
              <w:t>11</w:t>
            </w:r>
          </w:p>
        </w:tc>
      </w:tr>
      <w:tr w:rsidR="008D1C30" w:rsidRPr="008D1C30" w:rsidTr="008D1C30">
        <w:trPr>
          <w:trHeight w:val="499"/>
        </w:trPr>
        <w:tc>
          <w:tcPr>
            <w:tcW w:w="1360" w:type="dxa"/>
            <w:tcBorders>
              <w:top w:val="nil"/>
              <w:left w:val="nil"/>
              <w:bottom w:val="nil"/>
              <w:right w:val="nil"/>
            </w:tcBorders>
            <w:shd w:val="clear" w:color="auto" w:fill="auto"/>
            <w:noWrap/>
            <w:vAlign w:val="center"/>
            <w:hideMark/>
          </w:tcPr>
          <w:p w:rsidR="008D1C30" w:rsidRPr="008D1C30" w:rsidRDefault="008D1C30" w:rsidP="008D1C30">
            <w:pPr>
              <w:spacing w:before="0" w:after="0"/>
              <w:jc w:val="center"/>
              <w:rPr>
                <w:rFonts w:ascii="Calibri" w:eastAsia="Times New Roman" w:hAnsi="Calibri" w:cs="Times New Roman"/>
                <w:color w:val="000000"/>
                <w:sz w:val="20"/>
                <w:szCs w:val="20"/>
                <w:lang w:eastAsia="cs-CZ"/>
              </w:rPr>
            </w:pPr>
            <w:r w:rsidRPr="008D1C30">
              <w:rPr>
                <w:rFonts w:ascii="Calibri" w:eastAsia="Times New Roman" w:hAnsi="Calibri" w:cs="Times New Roman"/>
                <w:color w:val="000000"/>
                <w:sz w:val="20"/>
                <w:szCs w:val="20"/>
                <w:lang w:eastAsia="cs-CZ"/>
              </w:rPr>
              <w:t>F42B  12/02</w:t>
            </w:r>
          </w:p>
        </w:tc>
        <w:tc>
          <w:tcPr>
            <w:tcW w:w="6920" w:type="dxa"/>
            <w:tcBorders>
              <w:top w:val="nil"/>
              <w:left w:val="nil"/>
              <w:bottom w:val="nil"/>
              <w:right w:val="nil"/>
            </w:tcBorders>
            <w:shd w:val="clear" w:color="auto" w:fill="auto"/>
            <w:vAlign w:val="center"/>
            <w:hideMark/>
          </w:tcPr>
          <w:p w:rsidR="008D1C30" w:rsidRPr="008D1C30" w:rsidRDefault="008D1C30" w:rsidP="008D1C30">
            <w:pPr>
              <w:spacing w:before="0" w:after="0"/>
              <w:jc w:val="left"/>
              <w:rPr>
                <w:rFonts w:ascii="Calibri" w:eastAsia="Times New Roman" w:hAnsi="Calibri" w:cs="Times New Roman"/>
                <w:color w:val="000000"/>
                <w:sz w:val="20"/>
                <w:szCs w:val="20"/>
                <w:lang w:eastAsia="cs-CZ"/>
              </w:rPr>
            </w:pPr>
            <w:r w:rsidRPr="008D1C30">
              <w:rPr>
                <w:rFonts w:ascii="Calibri" w:eastAsia="Times New Roman" w:hAnsi="Calibri" w:cs="Times New Roman"/>
                <w:color w:val="000000"/>
                <w:sz w:val="20"/>
                <w:szCs w:val="20"/>
                <w:lang w:eastAsia="cs-CZ"/>
              </w:rPr>
              <w:t>Střely nebo miny vyznačené hlavicí s náloží, zamýšleným účinkem nebo materiálem (vyznačené hlavicí s náloží nebo zamýšleným účinkem)</w:t>
            </w:r>
          </w:p>
        </w:tc>
        <w:tc>
          <w:tcPr>
            <w:tcW w:w="760" w:type="dxa"/>
            <w:tcBorders>
              <w:top w:val="nil"/>
              <w:left w:val="nil"/>
              <w:bottom w:val="nil"/>
              <w:right w:val="nil"/>
            </w:tcBorders>
            <w:shd w:val="clear" w:color="auto" w:fill="auto"/>
            <w:noWrap/>
            <w:vAlign w:val="center"/>
            <w:hideMark/>
          </w:tcPr>
          <w:p w:rsidR="008D1C30" w:rsidRPr="008D1C30" w:rsidRDefault="008D1C30" w:rsidP="008D1C30">
            <w:pPr>
              <w:spacing w:before="0" w:after="0"/>
              <w:jc w:val="center"/>
              <w:rPr>
                <w:rFonts w:ascii="Calibri" w:eastAsia="Times New Roman" w:hAnsi="Calibri" w:cs="Times New Roman"/>
                <w:color w:val="000000"/>
                <w:sz w:val="20"/>
                <w:szCs w:val="20"/>
                <w:lang w:eastAsia="cs-CZ"/>
              </w:rPr>
            </w:pPr>
            <w:r w:rsidRPr="008D1C30">
              <w:rPr>
                <w:rFonts w:ascii="Calibri" w:eastAsia="Times New Roman" w:hAnsi="Calibri" w:cs="Times New Roman"/>
                <w:color w:val="000000"/>
                <w:sz w:val="20"/>
                <w:szCs w:val="20"/>
                <w:lang w:eastAsia="cs-CZ"/>
              </w:rPr>
              <w:t>10</w:t>
            </w:r>
          </w:p>
        </w:tc>
      </w:tr>
      <w:tr w:rsidR="008D1C30" w:rsidRPr="008D1C30" w:rsidTr="008D1C30">
        <w:trPr>
          <w:trHeight w:val="499"/>
        </w:trPr>
        <w:tc>
          <w:tcPr>
            <w:tcW w:w="1360" w:type="dxa"/>
            <w:tcBorders>
              <w:top w:val="nil"/>
              <w:left w:val="nil"/>
              <w:bottom w:val="nil"/>
              <w:right w:val="nil"/>
            </w:tcBorders>
            <w:shd w:val="clear" w:color="auto" w:fill="auto"/>
            <w:noWrap/>
            <w:vAlign w:val="center"/>
            <w:hideMark/>
          </w:tcPr>
          <w:p w:rsidR="008D1C30" w:rsidRPr="008D1C30" w:rsidRDefault="008D1C30" w:rsidP="008D1C30">
            <w:pPr>
              <w:spacing w:before="0" w:after="0"/>
              <w:jc w:val="center"/>
              <w:rPr>
                <w:rFonts w:ascii="Calibri" w:eastAsia="Times New Roman" w:hAnsi="Calibri" w:cs="Times New Roman"/>
                <w:color w:val="000000"/>
                <w:sz w:val="20"/>
                <w:szCs w:val="20"/>
                <w:lang w:eastAsia="cs-CZ"/>
              </w:rPr>
            </w:pPr>
            <w:r w:rsidRPr="008D1C30">
              <w:rPr>
                <w:rFonts w:ascii="Calibri" w:eastAsia="Times New Roman" w:hAnsi="Calibri" w:cs="Times New Roman"/>
                <w:color w:val="000000"/>
                <w:sz w:val="20"/>
                <w:szCs w:val="20"/>
                <w:lang w:eastAsia="cs-CZ"/>
              </w:rPr>
              <w:t>F41A  33/00</w:t>
            </w:r>
          </w:p>
        </w:tc>
        <w:tc>
          <w:tcPr>
            <w:tcW w:w="6920" w:type="dxa"/>
            <w:tcBorders>
              <w:top w:val="nil"/>
              <w:left w:val="nil"/>
              <w:bottom w:val="nil"/>
              <w:right w:val="nil"/>
            </w:tcBorders>
            <w:shd w:val="clear" w:color="auto" w:fill="auto"/>
            <w:vAlign w:val="center"/>
            <w:hideMark/>
          </w:tcPr>
          <w:p w:rsidR="008D1C30" w:rsidRPr="008D1C30" w:rsidRDefault="008D1C30" w:rsidP="008D1C30">
            <w:pPr>
              <w:spacing w:before="0" w:after="0"/>
              <w:jc w:val="left"/>
              <w:rPr>
                <w:rFonts w:ascii="Calibri" w:eastAsia="Times New Roman" w:hAnsi="Calibri" w:cs="Times New Roman"/>
                <w:color w:val="000000"/>
                <w:sz w:val="20"/>
                <w:szCs w:val="20"/>
                <w:lang w:eastAsia="cs-CZ"/>
              </w:rPr>
            </w:pPr>
            <w:r w:rsidRPr="008D1C30">
              <w:rPr>
                <w:rFonts w:ascii="Calibri" w:eastAsia="Times New Roman" w:hAnsi="Calibri" w:cs="Times New Roman"/>
                <w:color w:val="000000"/>
                <w:sz w:val="20"/>
                <w:szCs w:val="20"/>
                <w:lang w:eastAsia="cs-CZ"/>
              </w:rPr>
              <w:t xml:space="preserve">Funkční tvary nebo součásti společné jak pro malé střelné zbraně, tak pro dělostřelectvo - adaptace pro cvičení </w:t>
            </w:r>
          </w:p>
        </w:tc>
        <w:tc>
          <w:tcPr>
            <w:tcW w:w="760" w:type="dxa"/>
            <w:tcBorders>
              <w:top w:val="nil"/>
              <w:left w:val="nil"/>
              <w:bottom w:val="nil"/>
              <w:right w:val="nil"/>
            </w:tcBorders>
            <w:shd w:val="clear" w:color="auto" w:fill="auto"/>
            <w:noWrap/>
            <w:vAlign w:val="center"/>
            <w:hideMark/>
          </w:tcPr>
          <w:p w:rsidR="008D1C30" w:rsidRPr="008D1C30" w:rsidRDefault="008D1C30" w:rsidP="008D1C30">
            <w:pPr>
              <w:spacing w:before="0" w:after="0"/>
              <w:jc w:val="center"/>
              <w:rPr>
                <w:rFonts w:ascii="Calibri" w:eastAsia="Times New Roman" w:hAnsi="Calibri" w:cs="Times New Roman"/>
                <w:color w:val="000000"/>
                <w:sz w:val="20"/>
                <w:szCs w:val="20"/>
                <w:lang w:eastAsia="cs-CZ"/>
              </w:rPr>
            </w:pPr>
            <w:r w:rsidRPr="008D1C30">
              <w:rPr>
                <w:rFonts w:ascii="Calibri" w:eastAsia="Times New Roman" w:hAnsi="Calibri" w:cs="Times New Roman"/>
                <w:color w:val="000000"/>
                <w:sz w:val="20"/>
                <w:szCs w:val="20"/>
                <w:lang w:eastAsia="cs-CZ"/>
              </w:rPr>
              <w:t>10</w:t>
            </w:r>
          </w:p>
        </w:tc>
      </w:tr>
      <w:tr w:rsidR="008D1C30" w:rsidRPr="008D1C30" w:rsidTr="008D1C30">
        <w:trPr>
          <w:trHeight w:val="499"/>
        </w:trPr>
        <w:tc>
          <w:tcPr>
            <w:tcW w:w="1360" w:type="dxa"/>
            <w:tcBorders>
              <w:top w:val="nil"/>
              <w:left w:val="nil"/>
              <w:bottom w:val="single" w:sz="4" w:space="0" w:color="auto"/>
              <w:right w:val="nil"/>
            </w:tcBorders>
            <w:shd w:val="clear" w:color="auto" w:fill="auto"/>
            <w:noWrap/>
            <w:vAlign w:val="center"/>
            <w:hideMark/>
          </w:tcPr>
          <w:p w:rsidR="008D1C30" w:rsidRPr="008D1C30" w:rsidRDefault="008D1C30" w:rsidP="008D1C30">
            <w:pPr>
              <w:spacing w:before="0" w:after="0"/>
              <w:jc w:val="center"/>
              <w:rPr>
                <w:rFonts w:ascii="Calibri" w:eastAsia="Times New Roman" w:hAnsi="Calibri" w:cs="Times New Roman"/>
                <w:color w:val="000000"/>
                <w:sz w:val="20"/>
                <w:szCs w:val="20"/>
                <w:lang w:eastAsia="cs-CZ"/>
              </w:rPr>
            </w:pPr>
            <w:r w:rsidRPr="008D1C30">
              <w:rPr>
                <w:rFonts w:ascii="Calibri" w:eastAsia="Times New Roman" w:hAnsi="Calibri" w:cs="Times New Roman"/>
                <w:color w:val="000000"/>
                <w:sz w:val="20"/>
                <w:szCs w:val="20"/>
                <w:lang w:eastAsia="cs-CZ"/>
              </w:rPr>
              <w:t>G06F  21/10</w:t>
            </w:r>
          </w:p>
        </w:tc>
        <w:tc>
          <w:tcPr>
            <w:tcW w:w="6920" w:type="dxa"/>
            <w:tcBorders>
              <w:top w:val="nil"/>
              <w:left w:val="nil"/>
              <w:bottom w:val="single" w:sz="4" w:space="0" w:color="auto"/>
              <w:right w:val="nil"/>
            </w:tcBorders>
            <w:shd w:val="clear" w:color="auto" w:fill="auto"/>
            <w:vAlign w:val="center"/>
            <w:hideMark/>
          </w:tcPr>
          <w:p w:rsidR="008D1C30" w:rsidRPr="008D1C30" w:rsidRDefault="008D1C30" w:rsidP="008D1C30">
            <w:pPr>
              <w:spacing w:before="0" w:after="0"/>
              <w:jc w:val="left"/>
              <w:rPr>
                <w:rFonts w:ascii="Calibri" w:eastAsia="Times New Roman" w:hAnsi="Calibri" w:cs="Times New Roman"/>
                <w:color w:val="000000"/>
                <w:sz w:val="20"/>
                <w:szCs w:val="20"/>
                <w:lang w:eastAsia="cs-CZ"/>
              </w:rPr>
            </w:pPr>
            <w:r w:rsidRPr="008D1C30">
              <w:rPr>
                <w:rFonts w:ascii="Calibri" w:eastAsia="Times New Roman" w:hAnsi="Calibri" w:cs="Times New Roman"/>
                <w:color w:val="000000"/>
                <w:sz w:val="20"/>
                <w:szCs w:val="20"/>
                <w:lang w:eastAsia="cs-CZ"/>
              </w:rPr>
              <w:t>Bezpečnostní opatření na ochranu počítačů nebo počítačových systémů proti neoprávněné činnosti - ochraňující distribuované programy nebo obsah</w:t>
            </w:r>
          </w:p>
        </w:tc>
        <w:tc>
          <w:tcPr>
            <w:tcW w:w="760" w:type="dxa"/>
            <w:tcBorders>
              <w:top w:val="nil"/>
              <w:left w:val="nil"/>
              <w:bottom w:val="single" w:sz="4" w:space="0" w:color="auto"/>
              <w:right w:val="nil"/>
            </w:tcBorders>
            <w:shd w:val="clear" w:color="auto" w:fill="auto"/>
            <w:noWrap/>
            <w:vAlign w:val="center"/>
            <w:hideMark/>
          </w:tcPr>
          <w:p w:rsidR="008D1C30" w:rsidRPr="008D1C30" w:rsidRDefault="008D1C30" w:rsidP="008D1C30">
            <w:pPr>
              <w:spacing w:before="0" w:after="0"/>
              <w:jc w:val="center"/>
              <w:rPr>
                <w:rFonts w:ascii="Calibri" w:eastAsia="Times New Roman" w:hAnsi="Calibri" w:cs="Times New Roman"/>
                <w:color w:val="000000"/>
                <w:sz w:val="20"/>
                <w:szCs w:val="20"/>
                <w:lang w:eastAsia="cs-CZ"/>
              </w:rPr>
            </w:pPr>
            <w:r w:rsidRPr="008D1C30">
              <w:rPr>
                <w:rFonts w:ascii="Calibri" w:eastAsia="Times New Roman" w:hAnsi="Calibri" w:cs="Times New Roman"/>
                <w:color w:val="000000"/>
                <w:sz w:val="20"/>
                <w:szCs w:val="20"/>
                <w:lang w:eastAsia="cs-CZ"/>
              </w:rPr>
              <w:t>10</w:t>
            </w:r>
          </w:p>
        </w:tc>
      </w:tr>
    </w:tbl>
    <w:p w:rsidR="0024581D" w:rsidRDefault="0024581D" w:rsidP="0080793D"/>
    <w:p w:rsidR="00123C7E" w:rsidRDefault="00123C7E" w:rsidP="00123C7E">
      <w:pPr>
        <w:pStyle w:val="Nadpis3"/>
      </w:pPr>
      <w:bookmarkStart w:id="108" w:name="_Toc459723288"/>
      <w:r>
        <w:t>Uplatňování aplikačně zaměřených výsledků bezpečnostního výzkumu</w:t>
      </w:r>
      <w:bookmarkEnd w:id="108"/>
      <w:r>
        <w:t xml:space="preserve"> </w:t>
      </w: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9354"/>
      </w:tblGrid>
      <w:tr w:rsidR="0032276D" w:rsidTr="005731BE">
        <w:tc>
          <w:tcPr>
            <w:tcW w:w="9354" w:type="dxa"/>
            <w:shd w:val="clear" w:color="auto" w:fill="F2F2F2" w:themeFill="background1" w:themeFillShade="F2"/>
          </w:tcPr>
          <w:p w:rsidR="0032276D" w:rsidRDefault="0032276D" w:rsidP="00597B96">
            <w:pPr>
              <w:rPr>
                <w:lang w:eastAsia="cs-CZ"/>
              </w:rPr>
            </w:pPr>
            <w:r w:rsidRPr="0032276D">
              <w:rPr>
                <w:lang w:eastAsia="cs-CZ"/>
              </w:rPr>
              <w:t xml:space="preserve">Organizace účastníků </w:t>
            </w:r>
            <w:r w:rsidR="007A5E64">
              <w:rPr>
                <w:lang w:eastAsia="cs-CZ"/>
              </w:rPr>
              <w:t>dotazníkového šetření</w:t>
            </w:r>
            <w:r w:rsidRPr="0032276D">
              <w:rPr>
                <w:lang w:eastAsia="cs-CZ"/>
              </w:rPr>
              <w:t xml:space="preserve"> v průměru v praxi uplatní </w:t>
            </w:r>
            <w:r w:rsidR="001871FA">
              <w:rPr>
                <w:lang w:eastAsia="cs-CZ"/>
              </w:rPr>
              <w:t xml:space="preserve">více než polovinu </w:t>
            </w:r>
            <w:r w:rsidRPr="0032276D">
              <w:rPr>
                <w:lang w:eastAsia="cs-CZ"/>
              </w:rPr>
              <w:t>vytvořených výsledků bezpečnostního výzkumu. Mezi nejvýznamnější faktory pomáhající uplatnění patří podle mínění respondentů možnost spolupráce s potenciálním uživatelem při vývoji a možnost vlastního stanovení cíle výzkumu.  Významnou roli hraje také vlastní nebo zprostředkovaná schopnost transferu znalostí.</w:t>
            </w:r>
          </w:p>
        </w:tc>
      </w:tr>
    </w:tbl>
    <w:p w:rsidR="0032276D" w:rsidRDefault="0032276D" w:rsidP="0057397D">
      <w:pPr>
        <w:rPr>
          <w:lang w:eastAsia="cs-CZ"/>
        </w:rPr>
      </w:pPr>
      <w:r w:rsidRPr="0032276D">
        <w:rPr>
          <w:lang w:eastAsia="cs-CZ"/>
        </w:rPr>
        <w:t xml:space="preserve">V rámci </w:t>
      </w:r>
      <w:r w:rsidR="007A5E64">
        <w:rPr>
          <w:lang w:eastAsia="cs-CZ"/>
        </w:rPr>
        <w:t>dotazníkového šetření</w:t>
      </w:r>
      <w:r w:rsidRPr="0032276D">
        <w:rPr>
          <w:lang w:eastAsia="cs-CZ"/>
        </w:rPr>
        <w:t xml:space="preserve"> realizovaného mezi zástupci výzkumné sféry celkem 81 z 97 respondentů uvedlo, že v období 2010 – 2015 vytvořili alespoň jeden výsledek bezpečnostního výzkumu.  V průměru pak tito respondenti v praxi uplatnili 52 % vytvořených výsledků. Hodnocení nejvýznamnějších faktorů </w:t>
      </w:r>
      <w:r w:rsidR="00EE2801">
        <w:rPr>
          <w:lang w:eastAsia="cs-CZ"/>
        </w:rPr>
        <w:t>na</w:t>
      </w:r>
      <w:r w:rsidRPr="0032276D">
        <w:rPr>
          <w:lang w:eastAsia="cs-CZ"/>
        </w:rPr>
        <w:t>pomáhajících úspěšnému uplatnění výsledků bezpečnostního výzkumu v praxi ukazuj</w:t>
      </w:r>
      <w:r w:rsidR="00EE2801">
        <w:rPr>
          <w:lang w:eastAsia="cs-CZ"/>
        </w:rPr>
        <w:t>e</w:t>
      </w:r>
      <w:r w:rsidRPr="0032276D">
        <w:rPr>
          <w:lang w:eastAsia="cs-CZ"/>
        </w:rPr>
        <w:t xml:space="preserve"> graf </w:t>
      </w:r>
      <w:r>
        <w:rPr>
          <w:lang w:eastAsia="cs-CZ"/>
        </w:rPr>
        <w:t xml:space="preserve">na </w:t>
      </w:r>
      <w:r>
        <w:rPr>
          <w:lang w:eastAsia="cs-CZ"/>
        </w:rPr>
        <w:fldChar w:fldCharType="begin"/>
      </w:r>
      <w:r>
        <w:rPr>
          <w:lang w:eastAsia="cs-CZ"/>
        </w:rPr>
        <w:instrText xml:space="preserve"> REF  _Ref454186451 \* Lower \h  \* MERGEFORMAT </w:instrText>
      </w:r>
      <w:r>
        <w:rPr>
          <w:lang w:eastAsia="cs-CZ"/>
        </w:rPr>
      </w:r>
      <w:r>
        <w:rPr>
          <w:lang w:eastAsia="cs-CZ"/>
        </w:rPr>
        <w:fldChar w:fldCharType="separate"/>
      </w:r>
      <w:r w:rsidR="003F08E5">
        <w:t xml:space="preserve">obr. </w:t>
      </w:r>
      <w:r w:rsidR="003F08E5">
        <w:rPr>
          <w:noProof/>
        </w:rPr>
        <w:t>7</w:t>
      </w:r>
      <w:r>
        <w:rPr>
          <w:lang w:eastAsia="cs-CZ"/>
        </w:rPr>
        <w:fldChar w:fldCharType="end"/>
      </w:r>
      <w:r w:rsidRPr="0032276D">
        <w:rPr>
          <w:lang w:eastAsia="cs-CZ"/>
        </w:rPr>
        <w:t>.</w:t>
      </w:r>
    </w:p>
    <w:p w:rsidR="00EE2801" w:rsidRDefault="00EE2801" w:rsidP="0057397D">
      <w:pPr>
        <w:rPr>
          <w:lang w:eastAsia="cs-CZ"/>
        </w:rPr>
      </w:pPr>
    </w:p>
    <w:p w:rsidR="0032276D" w:rsidRDefault="0032276D" w:rsidP="0032276D">
      <w:pPr>
        <w:keepNext/>
        <w:jc w:val="center"/>
      </w:pPr>
      <w:r>
        <w:rPr>
          <w:noProof/>
          <w:lang w:eastAsia="cs-CZ"/>
        </w:rPr>
        <w:lastRenderedPageBreak/>
        <w:drawing>
          <wp:inline distT="0" distB="0" distL="0" distR="0" wp14:anchorId="4924D129" wp14:editId="2478F7F3">
            <wp:extent cx="5038725" cy="2265867"/>
            <wp:effectExtent l="0" t="0" r="0" b="1270"/>
            <wp:docPr id="57" name="Obrázek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041978" cy="2267330"/>
                    </a:xfrm>
                    <a:prstGeom prst="rect">
                      <a:avLst/>
                    </a:prstGeom>
                    <a:noFill/>
                  </pic:spPr>
                </pic:pic>
              </a:graphicData>
            </a:graphic>
          </wp:inline>
        </w:drawing>
      </w:r>
    </w:p>
    <w:p w:rsidR="0032276D" w:rsidRDefault="0032276D" w:rsidP="0032276D">
      <w:pPr>
        <w:pStyle w:val="Titulek"/>
      </w:pPr>
      <w:bookmarkStart w:id="109" w:name="_Ref454186451"/>
      <w:r>
        <w:t xml:space="preserve">Obr. </w:t>
      </w:r>
      <w:r w:rsidR="00990E2D">
        <w:fldChar w:fldCharType="begin"/>
      </w:r>
      <w:r w:rsidR="00990E2D">
        <w:instrText xml:space="preserve"> SEQ Obr. \* ARABIC </w:instrText>
      </w:r>
      <w:r w:rsidR="00990E2D">
        <w:fldChar w:fldCharType="separate"/>
      </w:r>
      <w:r w:rsidR="003F08E5">
        <w:rPr>
          <w:noProof/>
        </w:rPr>
        <w:t>7</w:t>
      </w:r>
      <w:r w:rsidR="00990E2D">
        <w:rPr>
          <w:noProof/>
        </w:rPr>
        <w:fldChar w:fldCharType="end"/>
      </w:r>
      <w:bookmarkEnd w:id="109"/>
      <w:r>
        <w:tab/>
      </w:r>
      <w:r w:rsidRPr="0032276D">
        <w:t>Faktory pomáhající úspěšnému uplatnění výsledků BV v praxi (% respondentů, kteří souhlasí s tím, že daný faktor pomáhá nebo pomáhá významně)</w:t>
      </w:r>
    </w:p>
    <w:p w:rsidR="00687EDC" w:rsidRPr="00687EDC" w:rsidRDefault="00687EDC" w:rsidP="00687EDC"/>
    <w:p w:rsidR="0032276D" w:rsidRDefault="00EE2801" w:rsidP="0032276D">
      <w:r w:rsidRPr="00EE2801">
        <w:t>Mezi nejvýznamnější faktory pomáhající uplatnění patří podle mínění respondentů možnost spolupráce s potenciálním uživatelem při vývoji a možnost vlastního stanovení cíle výzkumu.  Významnou roli hraje také vlastní nebo zprostředkovaná schopnost transferu znalostí.</w:t>
      </w:r>
      <w:r>
        <w:t xml:space="preserve"> Pozitivní roli hraje i spolupráce s jinými pracovišti na řešení projektu (na národní i mezinárodní úrovni).</w:t>
      </w:r>
    </w:p>
    <w:p w:rsidR="00EE2801" w:rsidRDefault="00EE2801" w:rsidP="00EE2801">
      <w:pPr>
        <w:rPr>
          <w:lang w:eastAsia="cs-CZ"/>
        </w:rPr>
      </w:pPr>
      <w:r>
        <w:rPr>
          <w:lang w:eastAsia="cs-CZ"/>
        </w:rPr>
        <w:t>Mezi další faktory pomáhající úspěšnému uplatnění výsledků BV v praxi podle mínění respondentů patří:</w:t>
      </w:r>
    </w:p>
    <w:p w:rsidR="00EE2801" w:rsidRPr="0032276D" w:rsidRDefault="00EE2801" w:rsidP="00EE2801">
      <w:pPr>
        <w:pStyle w:val="Odstavecseseznamem"/>
        <w:numPr>
          <w:ilvl w:val="0"/>
          <w:numId w:val="3"/>
        </w:numPr>
        <w:spacing w:before="60" w:after="60"/>
        <w:ind w:left="714" w:hanging="357"/>
        <w:contextualSpacing w:val="0"/>
      </w:pPr>
      <w:r w:rsidRPr="0032276D">
        <w:t>Zkušenosti z jiných oblastí výzkumu</w:t>
      </w:r>
    </w:p>
    <w:p w:rsidR="00EE2801" w:rsidRPr="0032276D" w:rsidRDefault="00EE2801" w:rsidP="00EE2801">
      <w:pPr>
        <w:pStyle w:val="Odstavecseseznamem"/>
        <w:numPr>
          <w:ilvl w:val="0"/>
          <w:numId w:val="3"/>
        </w:numPr>
        <w:spacing w:before="60" w:after="60"/>
        <w:ind w:left="714" w:hanging="357"/>
        <w:contextualSpacing w:val="0"/>
      </w:pPr>
      <w:r w:rsidRPr="0032276D">
        <w:t>Legislativa</w:t>
      </w:r>
    </w:p>
    <w:p w:rsidR="00EE2801" w:rsidRPr="0032276D" w:rsidRDefault="00EE2801" w:rsidP="00EE2801">
      <w:pPr>
        <w:pStyle w:val="Odstavecseseznamem"/>
        <w:numPr>
          <w:ilvl w:val="0"/>
          <w:numId w:val="3"/>
        </w:numPr>
        <w:spacing w:before="60" w:after="60"/>
        <w:ind w:left="714" w:hanging="357"/>
        <w:contextualSpacing w:val="0"/>
      </w:pPr>
      <w:r w:rsidRPr="0032276D">
        <w:t>Znalost reálné situace problému v praxi</w:t>
      </w:r>
    </w:p>
    <w:p w:rsidR="00EE2801" w:rsidRPr="0032276D" w:rsidRDefault="00EE2801" w:rsidP="00EE2801">
      <w:pPr>
        <w:pStyle w:val="Odstavecseseznamem"/>
        <w:numPr>
          <w:ilvl w:val="0"/>
          <w:numId w:val="3"/>
        </w:numPr>
        <w:spacing w:before="60" w:after="60"/>
        <w:ind w:left="714" w:hanging="357"/>
        <w:contextualSpacing w:val="0"/>
      </w:pPr>
      <w:r w:rsidRPr="0032276D">
        <w:t>Možnost dynamicky pozměnit cíl v závislosti na potřebách trhu</w:t>
      </w:r>
    </w:p>
    <w:p w:rsidR="00EE2801" w:rsidRPr="0032276D" w:rsidRDefault="00EE2801" w:rsidP="00EE2801">
      <w:pPr>
        <w:pStyle w:val="Odstavecseseznamem"/>
        <w:numPr>
          <w:ilvl w:val="0"/>
          <w:numId w:val="3"/>
        </w:numPr>
        <w:spacing w:before="60" w:after="60"/>
        <w:ind w:left="714" w:hanging="357"/>
        <w:contextualSpacing w:val="0"/>
      </w:pPr>
      <w:r w:rsidRPr="0032276D">
        <w:t>Ochota praxe přijímat nové možnosti práce v ČR</w:t>
      </w:r>
    </w:p>
    <w:p w:rsidR="00EE2801" w:rsidRPr="0032276D" w:rsidRDefault="00EE2801" w:rsidP="00EE2801">
      <w:pPr>
        <w:pStyle w:val="Odstavecseseznamem"/>
        <w:numPr>
          <w:ilvl w:val="0"/>
          <w:numId w:val="3"/>
        </w:numPr>
        <w:spacing w:before="60" w:after="60"/>
        <w:ind w:left="714" w:hanging="357"/>
        <w:contextualSpacing w:val="0"/>
      </w:pPr>
      <w:r w:rsidRPr="0032276D">
        <w:t>Kvalitní průzkum trhu</w:t>
      </w:r>
    </w:p>
    <w:p w:rsidR="00EE2801" w:rsidRPr="0032276D" w:rsidRDefault="00EE2801" w:rsidP="00EE2801">
      <w:pPr>
        <w:pStyle w:val="Odstavecseseznamem"/>
        <w:numPr>
          <w:ilvl w:val="0"/>
          <w:numId w:val="3"/>
        </w:numPr>
        <w:spacing w:before="60" w:after="60"/>
        <w:ind w:left="714" w:hanging="357"/>
        <w:contextualSpacing w:val="0"/>
      </w:pPr>
      <w:r w:rsidRPr="0032276D">
        <w:t>Tradice pracoviště</w:t>
      </w:r>
    </w:p>
    <w:p w:rsidR="00EE2801" w:rsidRPr="0032276D" w:rsidRDefault="00EE2801" w:rsidP="00EE2801">
      <w:pPr>
        <w:pStyle w:val="Odstavecseseznamem"/>
        <w:numPr>
          <w:ilvl w:val="0"/>
          <w:numId w:val="3"/>
        </w:numPr>
        <w:spacing w:before="60" w:after="60"/>
        <w:ind w:left="714" w:hanging="357"/>
        <w:contextualSpacing w:val="0"/>
      </w:pPr>
      <w:r w:rsidRPr="0032276D">
        <w:t>Potenciální uživatel a jeho finan</w:t>
      </w:r>
      <w:r>
        <w:t>ční</w:t>
      </w:r>
      <w:r w:rsidRPr="0032276D">
        <w:t xml:space="preserve"> spolu</w:t>
      </w:r>
      <w:r>
        <w:t>úč</w:t>
      </w:r>
      <w:r w:rsidRPr="0032276D">
        <w:t>ast</w:t>
      </w:r>
    </w:p>
    <w:p w:rsidR="00EE2801" w:rsidRPr="0032276D" w:rsidRDefault="00EE2801" w:rsidP="00EE2801">
      <w:pPr>
        <w:pStyle w:val="Odstavecseseznamem"/>
        <w:numPr>
          <w:ilvl w:val="0"/>
          <w:numId w:val="3"/>
        </w:numPr>
        <w:spacing w:before="60" w:after="60"/>
        <w:ind w:left="714" w:hanging="357"/>
        <w:contextualSpacing w:val="0"/>
      </w:pPr>
      <w:r w:rsidRPr="0032276D">
        <w:t>Osobní kontakty pracovníků dlouhodobě působící ve firmě</w:t>
      </w:r>
    </w:p>
    <w:p w:rsidR="00EE2801" w:rsidRPr="0032276D" w:rsidRDefault="00EE2801" w:rsidP="00EE2801">
      <w:pPr>
        <w:pStyle w:val="Odstavecseseznamem"/>
        <w:numPr>
          <w:ilvl w:val="0"/>
          <w:numId w:val="3"/>
        </w:numPr>
        <w:spacing w:before="60" w:after="60"/>
        <w:ind w:left="714" w:hanging="357"/>
        <w:contextualSpacing w:val="0"/>
      </w:pPr>
      <w:r w:rsidRPr="0032276D">
        <w:t>Existence metodiky pro zavádění výsledků do praxe</w:t>
      </w:r>
    </w:p>
    <w:p w:rsidR="00EE2801" w:rsidRPr="0032276D" w:rsidRDefault="00EE2801" w:rsidP="00EE2801">
      <w:pPr>
        <w:pStyle w:val="Odstavecseseznamem"/>
        <w:numPr>
          <w:ilvl w:val="0"/>
          <w:numId w:val="3"/>
        </w:numPr>
        <w:spacing w:before="60" w:after="60"/>
        <w:ind w:left="714" w:hanging="357"/>
        <w:contextualSpacing w:val="0"/>
      </w:pPr>
      <w:r w:rsidRPr="0032276D">
        <w:t>Soulad s př</w:t>
      </w:r>
      <w:r>
        <w:t>i</w:t>
      </w:r>
      <w:r w:rsidRPr="0032276D">
        <w:t>pravovanými standardy mezinárodními (IEC) a evropskými (Cenelec)</w:t>
      </w:r>
    </w:p>
    <w:p w:rsidR="00EE2801" w:rsidRPr="0032276D" w:rsidRDefault="00EE2801" w:rsidP="00EE2801">
      <w:pPr>
        <w:pStyle w:val="Odstavecseseznamem"/>
        <w:numPr>
          <w:ilvl w:val="0"/>
          <w:numId w:val="3"/>
        </w:numPr>
        <w:spacing w:before="60" w:after="60"/>
        <w:ind w:left="714" w:hanging="357"/>
        <w:contextualSpacing w:val="0"/>
      </w:pPr>
      <w:r w:rsidRPr="0032276D">
        <w:t>Prezentace výsledků na odborných seminářích a konferencích</w:t>
      </w:r>
    </w:p>
    <w:p w:rsidR="00EE2801" w:rsidRPr="0032276D" w:rsidRDefault="00EE2801" w:rsidP="00EE2801">
      <w:pPr>
        <w:pStyle w:val="Odstavecseseznamem"/>
        <w:numPr>
          <w:ilvl w:val="0"/>
          <w:numId w:val="3"/>
        </w:numPr>
        <w:spacing w:before="60" w:after="60"/>
        <w:ind w:left="714" w:hanging="357"/>
        <w:contextualSpacing w:val="0"/>
      </w:pPr>
      <w:r w:rsidRPr="0032276D">
        <w:t>Správné zadáni, resp. nevhodné zadání znemožňuje rozumný výsledek</w:t>
      </w:r>
    </w:p>
    <w:p w:rsidR="00EE2801" w:rsidRPr="0032276D" w:rsidRDefault="00EE2801" w:rsidP="00EE2801">
      <w:pPr>
        <w:pStyle w:val="Odstavecseseznamem"/>
        <w:numPr>
          <w:ilvl w:val="0"/>
          <w:numId w:val="3"/>
        </w:numPr>
        <w:spacing w:before="60" w:after="60"/>
        <w:ind w:left="714" w:hanging="357"/>
        <w:contextualSpacing w:val="0"/>
      </w:pPr>
      <w:r w:rsidRPr="0032276D">
        <w:t>Zveřejňování poznatků a vzdělávání odborné i laické veřejnosti</w:t>
      </w:r>
    </w:p>
    <w:p w:rsidR="00EE2801" w:rsidRDefault="00EE2801" w:rsidP="0032276D">
      <w:r>
        <w:rPr>
          <w:lang w:eastAsia="cs-CZ"/>
        </w:rPr>
        <w:t xml:space="preserve">Nejvýznamnější faktory </w:t>
      </w:r>
      <w:r w:rsidRPr="0032276D">
        <w:rPr>
          <w:lang w:eastAsia="cs-CZ"/>
        </w:rPr>
        <w:t xml:space="preserve">bránící úspěšnému uplatnění výsledků bezpečnostního výzkumu </w:t>
      </w:r>
      <w:r>
        <w:rPr>
          <w:lang w:eastAsia="cs-CZ"/>
        </w:rPr>
        <w:t xml:space="preserve">jsou uvedeny na </w:t>
      </w:r>
      <w:r>
        <w:rPr>
          <w:lang w:eastAsia="cs-CZ"/>
        </w:rPr>
        <w:fldChar w:fldCharType="begin"/>
      </w:r>
      <w:r>
        <w:rPr>
          <w:lang w:eastAsia="cs-CZ"/>
        </w:rPr>
        <w:instrText xml:space="preserve"> REF  _Ref454186455 \* Lower \h  \* MERGEFORMAT </w:instrText>
      </w:r>
      <w:r>
        <w:rPr>
          <w:lang w:eastAsia="cs-CZ"/>
        </w:rPr>
      </w:r>
      <w:r>
        <w:rPr>
          <w:lang w:eastAsia="cs-CZ"/>
        </w:rPr>
        <w:fldChar w:fldCharType="separate"/>
      </w:r>
      <w:r w:rsidR="003F08E5">
        <w:t xml:space="preserve">obr. </w:t>
      </w:r>
      <w:r w:rsidR="003F08E5">
        <w:rPr>
          <w:noProof/>
        </w:rPr>
        <w:t>8</w:t>
      </w:r>
      <w:r>
        <w:rPr>
          <w:lang w:eastAsia="cs-CZ"/>
        </w:rPr>
        <w:fldChar w:fldCharType="end"/>
      </w:r>
      <w:r w:rsidRPr="0032276D">
        <w:rPr>
          <w:lang w:eastAsia="cs-CZ"/>
        </w:rPr>
        <w:t>.</w:t>
      </w:r>
    </w:p>
    <w:p w:rsidR="0032276D" w:rsidRDefault="0032276D" w:rsidP="0032276D">
      <w:pPr>
        <w:keepNext/>
        <w:jc w:val="center"/>
      </w:pPr>
      <w:r>
        <w:rPr>
          <w:noProof/>
          <w:lang w:eastAsia="cs-CZ"/>
        </w:rPr>
        <w:lastRenderedPageBreak/>
        <w:drawing>
          <wp:inline distT="0" distB="0" distL="0" distR="0" wp14:anchorId="4FCCE7E3" wp14:editId="02E8DBAA">
            <wp:extent cx="5295900" cy="2068541"/>
            <wp:effectExtent l="0" t="0" r="0" b="8255"/>
            <wp:docPr id="59" name="Obrázek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299317" cy="2069876"/>
                    </a:xfrm>
                    <a:prstGeom prst="rect">
                      <a:avLst/>
                    </a:prstGeom>
                    <a:noFill/>
                  </pic:spPr>
                </pic:pic>
              </a:graphicData>
            </a:graphic>
          </wp:inline>
        </w:drawing>
      </w:r>
    </w:p>
    <w:p w:rsidR="0032276D" w:rsidRPr="0032276D" w:rsidRDefault="0032276D" w:rsidP="0032276D">
      <w:pPr>
        <w:pStyle w:val="Titulek"/>
        <w:jc w:val="both"/>
      </w:pPr>
      <w:bookmarkStart w:id="110" w:name="_Ref454186455"/>
      <w:r>
        <w:t xml:space="preserve">Obr. </w:t>
      </w:r>
      <w:r w:rsidR="00990E2D">
        <w:fldChar w:fldCharType="begin"/>
      </w:r>
      <w:r w:rsidR="00990E2D">
        <w:instrText xml:space="preserve"> SEQ Obr. \* ARABIC </w:instrText>
      </w:r>
      <w:r w:rsidR="00990E2D">
        <w:fldChar w:fldCharType="separate"/>
      </w:r>
      <w:r w:rsidR="003F08E5">
        <w:rPr>
          <w:noProof/>
        </w:rPr>
        <w:t>8</w:t>
      </w:r>
      <w:r w:rsidR="00990E2D">
        <w:rPr>
          <w:noProof/>
        </w:rPr>
        <w:fldChar w:fldCharType="end"/>
      </w:r>
      <w:bookmarkEnd w:id="110"/>
      <w:r>
        <w:tab/>
      </w:r>
      <w:r w:rsidRPr="0032276D">
        <w:t>Faktory bránící úspěšnému uplatnění výsledků BV v praxi (% respondentů, kteří souhlasí s tím, že daný faktor brání nebo brání významně)</w:t>
      </w:r>
    </w:p>
    <w:p w:rsidR="00EE2801" w:rsidRDefault="00EE2801" w:rsidP="0032276D">
      <w:pPr>
        <w:rPr>
          <w:lang w:eastAsia="cs-CZ"/>
        </w:rPr>
      </w:pPr>
    </w:p>
    <w:p w:rsidR="0032276D" w:rsidRDefault="00EE2801" w:rsidP="0032276D">
      <w:pPr>
        <w:rPr>
          <w:lang w:eastAsia="cs-CZ"/>
        </w:rPr>
      </w:pPr>
      <w:r>
        <w:rPr>
          <w:lang w:eastAsia="cs-CZ"/>
        </w:rPr>
        <w:t xml:space="preserve">Realizaci výsledků BV nejvíce brání nezájem potenciálních uživatelů výsledků o spolupráci při VaV. Na využívání výsledků VaV se také negativně projevuje také nedostatek finančních prostředků na prezentaci a realizaci výsledků VaV a omezené kapacity či schopnosti transferu znalostí. </w:t>
      </w:r>
      <w:r w:rsidR="007E2832">
        <w:rPr>
          <w:lang w:eastAsia="cs-CZ"/>
        </w:rPr>
        <w:t>M</w:t>
      </w:r>
      <w:r w:rsidR="0032276D">
        <w:rPr>
          <w:lang w:eastAsia="cs-CZ"/>
        </w:rPr>
        <w:t>ezi další faktory bránící</w:t>
      </w:r>
      <w:r w:rsidR="007E2832">
        <w:rPr>
          <w:lang w:eastAsia="cs-CZ"/>
        </w:rPr>
        <w:t>mi</w:t>
      </w:r>
      <w:r w:rsidR="0032276D">
        <w:rPr>
          <w:lang w:eastAsia="cs-CZ"/>
        </w:rPr>
        <w:t xml:space="preserve"> úspěšnému uplatnění výsledků BV v</w:t>
      </w:r>
      <w:r>
        <w:rPr>
          <w:lang w:eastAsia="cs-CZ"/>
        </w:rPr>
        <w:t> </w:t>
      </w:r>
      <w:r w:rsidR="0032276D">
        <w:rPr>
          <w:lang w:eastAsia="cs-CZ"/>
        </w:rPr>
        <w:t>praxi</w:t>
      </w:r>
      <w:r>
        <w:rPr>
          <w:lang w:eastAsia="cs-CZ"/>
        </w:rPr>
        <w:t>,</w:t>
      </w:r>
      <w:r w:rsidR="0032276D">
        <w:rPr>
          <w:lang w:eastAsia="cs-CZ"/>
        </w:rPr>
        <w:t xml:space="preserve"> respondent</w:t>
      </w:r>
      <w:r w:rsidR="007E2832">
        <w:rPr>
          <w:lang w:eastAsia="cs-CZ"/>
        </w:rPr>
        <w:t>i zařazovali</w:t>
      </w:r>
      <w:r w:rsidR="0032276D">
        <w:rPr>
          <w:lang w:eastAsia="cs-CZ"/>
        </w:rPr>
        <w:t>:</w:t>
      </w:r>
    </w:p>
    <w:p w:rsidR="0032276D" w:rsidRDefault="0032276D" w:rsidP="004F74B7">
      <w:pPr>
        <w:pStyle w:val="Odstavecseseznamem"/>
        <w:numPr>
          <w:ilvl w:val="0"/>
          <w:numId w:val="3"/>
        </w:numPr>
        <w:spacing w:before="60" w:after="60"/>
        <w:ind w:left="714" w:hanging="357"/>
        <w:contextualSpacing w:val="0"/>
      </w:pPr>
      <w:r>
        <w:t>Komunikace se státní správou</w:t>
      </w:r>
    </w:p>
    <w:p w:rsidR="0032276D" w:rsidRDefault="0032276D" w:rsidP="004F74B7">
      <w:pPr>
        <w:pStyle w:val="Odstavecseseznamem"/>
        <w:numPr>
          <w:ilvl w:val="0"/>
          <w:numId w:val="3"/>
        </w:numPr>
        <w:spacing w:before="60" w:after="60"/>
        <w:ind w:left="714" w:hanging="357"/>
        <w:contextualSpacing w:val="0"/>
      </w:pPr>
      <w:r>
        <w:t>Konzervativnost uživatelů</w:t>
      </w:r>
    </w:p>
    <w:p w:rsidR="0032276D" w:rsidRDefault="0032276D" w:rsidP="004F74B7">
      <w:pPr>
        <w:pStyle w:val="Odstavecseseznamem"/>
        <w:numPr>
          <w:ilvl w:val="0"/>
          <w:numId w:val="3"/>
        </w:numPr>
        <w:spacing w:before="60" w:after="60"/>
        <w:ind w:left="714" w:hanging="357"/>
        <w:contextualSpacing w:val="0"/>
      </w:pPr>
      <w:r>
        <w:t>Administrativa spojená s komercializační fází</w:t>
      </w:r>
    </w:p>
    <w:p w:rsidR="0032276D" w:rsidRDefault="0032276D" w:rsidP="004F74B7">
      <w:pPr>
        <w:pStyle w:val="Odstavecseseznamem"/>
        <w:numPr>
          <w:ilvl w:val="0"/>
          <w:numId w:val="3"/>
        </w:numPr>
        <w:spacing w:before="60" w:after="60"/>
        <w:ind w:left="714" w:hanging="357"/>
        <w:contextualSpacing w:val="0"/>
      </w:pPr>
      <w:r>
        <w:t>Nezájem potenciálních zákazníků o výsledky výzkumu z ekonomického hlediska</w:t>
      </w:r>
    </w:p>
    <w:p w:rsidR="0032276D" w:rsidRDefault="0032276D" w:rsidP="004F74B7">
      <w:pPr>
        <w:pStyle w:val="Odstavecseseznamem"/>
        <w:numPr>
          <w:ilvl w:val="0"/>
          <w:numId w:val="3"/>
        </w:numPr>
        <w:spacing w:before="60" w:after="60"/>
        <w:ind w:left="714" w:hanging="357"/>
        <w:contextualSpacing w:val="0"/>
      </w:pPr>
      <w:r>
        <w:t>V oblasti řešení krizových situací schází (v celku pochopitelně) představa o málo pravděpodobných kombinacích nepříznivých vlivů a toto nemohou státní ani regionální orgány aktivně vyhledávat - tudíž si nemusí uvědomit potřebu připravenosti na takové neočekávané situace.</w:t>
      </w:r>
    </w:p>
    <w:p w:rsidR="00EE2801" w:rsidRDefault="00EE2801" w:rsidP="008E5456">
      <w:pPr>
        <w:spacing w:before="60" w:after="60"/>
      </w:pPr>
    </w:p>
    <w:p w:rsidR="00EB6DBD" w:rsidRDefault="00EB6DBD" w:rsidP="00EB6DBD">
      <w:pPr>
        <w:pStyle w:val="Nadpis2"/>
      </w:pPr>
      <w:bookmarkStart w:id="111" w:name="_Toc459723289"/>
      <w:r>
        <w:t>Spolupráce mezi subjekty zapojenými v programech bezpečnostního výzkumu MV</w:t>
      </w:r>
      <w:bookmarkEnd w:id="111"/>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9430"/>
      </w:tblGrid>
      <w:tr w:rsidR="00F212BD" w:rsidTr="005731BE">
        <w:tc>
          <w:tcPr>
            <w:tcW w:w="9430" w:type="dxa"/>
            <w:shd w:val="clear" w:color="auto" w:fill="F2F2F2" w:themeFill="background1" w:themeFillShade="F2"/>
          </w:tcPr>
          <w:p w:rsidR="00F212BD" w:rsidRDefault="0019136B" w:rsidP="00AC5D89">
            <w:pPr>
              <w:rPr>
                <w:lang w:eastAsia="cs-CZ"/>
              </w:rPr>
            </w:pPr>
            <w:r>
              <w:rPr>
                <w:lang w:eastAsia="cs-CZ"/>
              </w:rPr>
              <w:t xml:space="preserve">Řada </w:t>
            </w:r>
            <w:r w:rsidR="00E67FC3">
              <w:rPr>
                <w:lang w:eastAsia="cs-CZ"/>
              </w:rPr>
              <w:t>projektů BV je realizována ve spolupráci více subjektů. Tato spolupráce je patrná nejen ve společné účasti v projektech, ale i ve spoluautorství výstupů. Ze shlukové analýzy a vytvoření map vzájemné spolupráce mezi subjekty zapojenými v programech BV vyplynulo, že některé subjekty představují centra, na něž se napojují další organizace. Mezi tato centra patří zejména VŠB – TU Ostrava</w:t>
            </w:r>
            <w:r w:rsidR="00E67FC3" w:rsidRPr="00996F36">
              <w:rPr>
                <w:lang w:eastAsia="cs-CZ"/>
              </w:rPr>
              <w:t xml:space="preserve"> </w:t>
            </w:r>
            <w:r w:rsidR="00E67FC3">
              <w:rPr>
                <w:lang w:eastAsia="cs-CZ"/>
              </w:rPr>
              <w:t>(f</w:t>
            </w:r>
            <w:r w:rsidR="00E67FC3" w:rsidRPr="00996F36">
              <w:rPr>
                <w:lang w:eastAsia="cs-CZ"/>
              </w:rPr>
              <w:t>akult</w:t>
            </w:r>
            <w:r w:rsidR="00E67FC3">
              <w:rPr>
                <w:lang w:eastAsia="cs-CZ"/>
              </w:rPr>
              <w:t>a</w:t>
            </w:r>
            <w:r w:rsidR="00E67FC3" w:rsidRPr="00996F36">
              <w:rPr>
                <w:lang w:eastAsia="cs-CZ"/>
              </w:rPr>
              <w:t xml:space="preserve"> bezpečn</w:t>
            </w:r>
            <w:r w:rsidR="005731BE">
              <w:rPr>
                <w:lang w:eastAsia="cs-CZ"/>
              </w:rPr>
              <w:t>ostního inženýrství) a Institut</w:t>
            </w:r>
            <w:r w:rsidR="00E67FC3" w:rsidRPr="00996F36">
              <w:rPr>
                <w:lang w:eastAsia="cs-CZ"/>
              </w:rPr>
              <w:t xml:space="preserve"> ochrany obyvatelstva.</w:t>
            </w:r>
            <w:r w:rsidR="00E67FC3">
              <w:rPr>
                <w:lang w:eastAsia="cs-CZ"/>
              </w:rPr>
              <w:t xml:space="preserve"> </w:t>
            </w:r>
            <w:r w:rsidR="00E67FC3" w:rsidRPr="00996F36">
              <w:rPr>
                <w:lang w:eastAsia="cs-CZ"/>
              </w:rPr>
              <w:t>Mezi další lokální centra můžeme zařadit i Centrum dopravního výzkumu, SÚJC</w:t>
            </w:r>
            <w:r w:rsidR="00E67FC3">
              <w:rPr>
                <w:lang w:eastAsia="cs-CZ"/>
              </w:rPr>
              <w:t>H</w:t>
            </w:r>
            <w:r w:rsidR="00E67FC3" w:rsidRPr="00996F36">
              <w:rPr>
                <w:lang w:eastAsia="cs-CZ"/>
              </w:rPr>
              <w:t>BO, SÚRO, Fakultu životního prostředí ČZU, nebo Krimi</w:t>
            </w:r>
            <w:r w:rsidR="00E67FC3">
              <w:rPr>
                <w:lang w:eastAsia="cs-CZ"/>
              </w:rPr>
              <w:t xml:space="preserve">nalistický ústav Praha. Mezi některými institucemi existují silné vazby, neboť tyto instituce se účastní společně poměrně vysokého počtu projektů (příkladem může být </w:t>
            </w:r>
            <w:r w:rsidR="00E67FC3" w:rsidRPr="00996F36">
              <w:rPr>
                <w:lang w:eastAsia="cs-CZ"/>
              </w:rPr>
              <w:t>SÚRO a ENVINET</w:t>
            </w:r>
            <w:r w:rsidR="00E67FC3">
              <w:rPr>
                <w:lang w:eastAsia="cs-CZ"/>
              </w:rPr>
              <w:t>).</w:t>
            </w:r>
          </w:p>
          <w:p w:rsidR="00215A7C" w:rsidRDefault="00AC5D89" w:rsidP="00215A7C">
            <w:pPr>
              <w:rPr>
                <w:lang w:eastAsia="cs-CZ"/>
              </w:rPr>
            </w:pPr>
            <w:r>
              <w:rPr>
                <w:lang w:eastAsia="cs-CZ"/>
              </w:rPr>
              <w:t xml:space="preserve">Podobné vazby jsou patrné i ve spoluautorství výsledků projektů BV. </w:t>
            </w:r>
            <w:r w:rsidR="00215A7C">
              <w:rPr>
                <w:lang w:eastAsia="cs-CZ"/>
              </w:rPr>
              <w:t>D</w:t>
            </w:r>
            <w:r w:rsidR="00215A7C" w:rsidRPr="00996F36">
              <w:rPr>
                <w:lang w:eastAsia="cs-CZ"/>
              </w:rPr>
              <w:t xml:space="preserve">ominantní postavení </w:t>
            </w:r>
            <w:r w:rsidR="00215A7C">
              <w:rPr>
                <w:lang w:eastAsia="cs-CZ"/>
              </w:rPr>
              <w:t>ve společných publikacích má f</w:t>
            </w:r>
            <w:r w:rsidR="00215A7C" w:rsidRPr="00996F36">
              <w:rPr>
                <w:lang w:eastAsia="cs-CZ"/>
              </w:rPr>
              <w:t>akult</w:t>
            </w:r>
            <w:r w:rsidR="00215A7C">
              <w:rPr>
                <w:lang w:eastAsia="cs-CZ"/>
              </w:rPr>
              <w:t>a</w:t>
            </w:r>
            <w:r w:rsidR="00215A7C" w:rsidRPr="00996F36">
              <w:rPr>
                <w:lang w:eastAsia="cs-CZ"/>
              </w:rPr>
              <w:t xml:space="preserve"> bezpečnostního inženýrství VŠB</w:t>
            </w:r>
            <w:r w:rsidR="00215A7C">
              <w:rPr>
                <w:lang w:eastAsia="cs-CZ"/>
              </w:rPr>
              <w:t xml:space="preserve"> – TU Ostrava, na kterou jsou napojeny další instituce. </w:t>
            </w:r>
            <w:r w:rsidR="00215A7C" w:rsidRPr="00996F36">
              <w:rPr>
                <w:lang w:eastAsia="cs-CZ"/>
              </w:rPr>
              <w:t>Provázanost spolupráce při publikačních výstupech je patrná i u medicínského shluku v okolí 3. Lékařské fakulty UK, dále okolo Krimi</w:t>
            </w:r>
            <w:r w:rsidR="00215A7C">
              <w:rPr>
                <w:lang w:eastAsia="cs-CZ"/>
              </w:rPr>
              <w:t>nalistické ústavu Praha</w:t>
            </w:r>
            <w:r w:rsidR="00215A7C" w:rsidRPr="00996F36">
              <w:rPr>
                <w:lang w:eastAsia="cs-CZ"/>
              </w:rPr>
              <w:t xml:space="preserve"> nebo Fakulty vojenských technologií U</w:t>
            </w:r>
            <w:r w:rsidR="00215A7C">
              <w:rPr>
                <w:lang w:eastAsia="cs-CZ"/>
              </w:rPr>
              <w:t>niverzity obrany</w:t>
            </w:r>
            <w:r w:rsidR="00215A7C" w:rsidRPr="00996F36">
              <w:rPr>
                <w:lang w:eastAsia="cs-CZ"/>
              </w:rPr>
              <w:t>.</w:t>
            </w:r>
            <w:r w:rsidR="00215A7C">
              <w:rPr>
                <w:lang w:eastAsia="cs-CZ"/>
              </w:rPr>
              <w:t xml:space="preserve"> </w:t>
            </w:r>
            <w:r>
              <w:rPr>
                <w:lang w:eastAsia="cs-CZ"/>
              </w:rPr>
              <w:t xml:space="preserve">I zde jsou patrné silné vazby mezi individuálními subjekty (například </w:t>
            </w:r>
            <w:r w:rsidR="00215A7C" w:rsidRPr="00996F36">
              <w:rPr>
                <w:lang w:eastAsia="cs-CZ"/>
              </w:rPr>
              <w:t>CENIA a VÚSTKOZ</w:t>
            </w:r>
            <w:r w:rsidR="00215A7C">
              <w:rPr>
                <w:lang w:eastAsia="cs-CZ"/>
              </w:rPr>
              <w:t>).</w:t>
            </w:r>
          </w:p>
          <w:p w:rsidR="00AC5D89" w:rsidRDefault="00215A7C" w:rsidP="00215A7C">
            <w:pPr>
              <w:rPr>
                <w:lang w:eastAsia="cs-CZ"/>
              </w:rPr>
            </w:pPr>
            <w:r>
              <w:rPr>
                <w:lang w:eastAsia="cs-CZ"/>
              </w:rPr>
              <w:t xml:space="preserve">V </w:t>
            </w:r>
            <w:r w:rsidRPr="00215A7C">
              <w:rPr>
                <w:lang w:eastAsia="cs-CZ"/>
              </w:rPr>
              <w:t xml:space="preserve">případě výsledků VaV nepublikačního typu, </w:t>
            </w:r>
            <w:r>
              <w:rPr>
                <w:lang w:eastAsia="cs-CZ"/>
              </w:rPr>
              <w:t>j</w:t>
            </w:r>
            <w:r w:rsidRPr="00215A7C">
              <w:rPr>
                <w:lang w:eastAsia="cs-CZ"/>
              </w:rPr>
              <w:t xml:space="preserve">e spolupráce </w:t>
            </w:r>
            <w:r>
              <w:rPr>
                <w:lang w:eastAsia="cs-CZ"/>
              </w:rPr>
              <w:t xml:space="preserve">naopak </w:t>
            </w:r>
            <w:r w:rsidRPr="00215A7C">
              <w:rPr>
                <w:lang w:eastAsia="cs-CZ"/>
              </w:rPr>
              <w:t>omezená</w:t>
            </w:r>
            <w:r>
              <w:rPr>
                <w:lang w:eastAsia="cs-CZ"/>
              </w:rPr>
              <w:t xml:space="preserve"> a lokální</w:t>
            </w:r>
            <w:r w:rsidRPr="00215A7C">
              <w:rPr>
                <w:lang w:eastAsia="cs-CZ"/>
              </w:rPr>
              <w:t xml:space="preserve">. U aplikačně </w:t>
            </w:r>
            <w:r w:rsidRPr="00215A7C">
              <w:rPr>
                <w:lang w:eastAsia="cs-CZ"/>
              </w:rPr>
              <w:lastRenderedPageBreak/>
              <w:t xml:space="preserve">zaměřených výsledků VaV se </w:t>
            </w:r>
            <w:r>
              <w:rPr>
                <w:lang w:eastAsia="cs-CZ"/>
              </w:rPr>
              <w:t xml:space="preserve">tedy </w:t>
            </w:r>
            <w:r w:rsidRPr="00215A7C">
              <w:rPr>
                <w:lang w:eastAsia="cs-CZ"/>
              </w:rPr>
              <w:t>zřejmě vytvářejí pouze vazby mezi relativně omezeným počtem subjektů, které mají společné know-how.</w:t>
            </w:r>
            <w:r>
              <w:rPr>
                <w:lang w:eastAsia="cs-CZ"/>
              </w:rPr>
              <w:t xml:space="preserve"> S touto skutečností bude zapotřebí počítat v případě projektů strategičtějšího významu, kde bude vyžadováno využívání výsledků v konkrétních aplikacích.</w:t>
            </w:r>
          </w:p>
        </w:tc>
      </w:tr>
    </w:tbl>
    <w:p w:rsidR="00936F85" w:rsidRDefault="00936F85" w:rsidP="00936F85">
      <w:pPr>
        <w:rPr>
          <w:lang w:eastAsia="cs-CZ"/>
        </w:rPr>
      </w:pPr>
      <w:r>
        <w:rPr>
          <w:lang w:eastAsia="cs-CZ"/>
        </w:rPr>
        <w:lastRenderedPageBreak/>
        <w:t xml:space="preserve">V této kapitole je posouzena spolupráce </w:t>
      </w:r>
      <w:r w:rsidR="001F5D92">
        <w:rPr>
          <w:lang w:eastAsia="cs-CZ"/>
        </w:rPr>
        <w:t xml:space="preserve">a vztahy mezi </w:t>
      </w:r>
      <w:r>
        <w:rPr>
          <w:lang w:eastAsia="cs-CZ"/>
        </w:rPr>
        <w:t>subjekt</w:t>
      </w:r>
      <w:r w:rsidR="001F5D92">
        <w:rPr>
          <w:lang w:eastAsia="cs-CZ"/>
        </w:rPr>
        <w:t>y</w:t>
      </w:r>
      <w:r>
        <w:rPr>
          <w:lang w:eastAsia="cs-CZ"/>
        </w:rPr>
        <w:t xml:space="preserve"> </w:t>
      </w:r>
      <w:r w:rsidR="001F5D92">
        <w:rPr>
          <w:lang w:eastAsia="cs-CZ"/>
        </w:rPr>
        <w:t>zapojeným</w:t>
      </w:r>
      <w:r w:rsidR="00973D17">
        <w:rPr>
          <w:lang w:eastAsia="cs-CZ"/>
        </w:rPr>
        <w:t>i</w:t>
      </w:r>
      <w:r w:rsidR="001F5D92">
        <w:rPr>
          <w:lang w:eastAsia="cs-CZ"/>
        </w:rPr>
        <w:t xml:space="preserve"> v programech BV implementovaných MV v letech 2010 – 2015 a analyzovaných v kap. </w:t>
      </w:r>
      <w:r w:rsidR="001F5D92">
        <w:rPr>
          <w:lang w:eastAsia="cs-CZ"/>
        </w:rPr>
        <w:fldChar w:fldCharType="begin"/>
      </w:r>
      <w:r w:rsidR="001F5D92">
        <w:rPr>
          <w:lang w:eastAsia="cs-CZ"/>
        </w:rPr>
        <w:instrText xml:space="preserve"> REF _Ref450057958 \r \h </w:instrText>
      </w:r>
      <w:r w:rsidR="001F5D92">
        <w:rPr>
          <w:lang w:eastAsia="cs-CZ"/>
        </w:rPr>
      </w:r>
      <w:r w:rsidR="001F5D92">
        <w:rPr>
          <w:lang w:eastAsia="cs-CZ"/>
        </w:rPr>
        <w:fldChar w:fldCharType="separate"/>
      </w:r>
      <w:r w:rsidR="003F08E5">
        <w:rPr>
          <w:lang w:eastAsia="cs-CZ"/>
        </w:rPr>
        <w:t>2.2</w:t>
      </w:r>
      <w:r w:rsidR="001F5D92">
        <w:rPr>
          <w:lang w:eastAsia="cs-CZ"/>
        </w:rPr>
        <w:fldChar w:fldCharType="end"/>
      </w:r>
      <w:r w:rsidR="001F5D92">
        <w:rPr>
          <w:lang w:eastAsia="cs-CZ"/>
        </w:rPr>
        <w:t xml:space="preserve"> (financování) a kap. </w:t>
      </w:r>
      <w:r w:rsidR="001F5D92">
        <w:rPr>
          <w:lang w:eastAsia="cs-CZ"/>
        </w:rPr>
        <w:fldChar w:fldCharType="begin"/>
      </w:r>
      <w:r w:rsidR="001F5D92">
        <w:rPr>
          <w:lang w:eastAsia="cs-CZ"/>
        </w:rPr>
        <w:instrText xml:space="preserve"> REF _Ref451773777 \r \h </w:instrText>
      </w:r>
      <w:r w:rsidR="001F5D92">
        <w:rPr>
          <w:lang w:eastAsia="cs-CZ"/>
        </w:rPr>
      </w:r>
      <w:r w:rsidR="001F5D92">
        <w:rPr>
          <w:lang w:eastAsia="cs-CZ"/>
        </w:rPr>
        <w:fldChar w:fldCharType="separate"/>
      </w:r>
      <w:r w:rsidR="003F08E5">
        <w:rPr>
          <w:lang w:eastAsia="cs-CZ"/>
        </w:rPr>
        <w:t>3.1</w:t>
      </w:r>
      <w:r w:rsidR="001F5D92">
        <w:rPr>
          <w:lang w:eastAsia="cs-CZ"/>
        </w:rPr>
        <w:fldChar w:fldCharType="end"/>
      </w:r>
      <w:r w:rsidR="001F5D92">
        <w:rPr>
          <w:lang w:eastAsia="cs-CZ"/>
        </w:rPr>
        <w:t xml:space="preserve"> (výsledky). </w:t>
      </w:r>
      <w:r w:rsidRPr="00996F36">
        <w:rPr>
          <w:lang w:eastAsia="cs-CZ"/>
        </w:rPr>
        <w:t xml:space="preserve">K vizualizaci vztahů mezi subjekty jsou použity scientometrické mapy popisující společné </w:t>
      </w:r>
      <w:r w:rsidR="001F5D92">
        <w:rPr>
          <w:lang w:eastAsia="cs-CZ"/>
        </w:rPr>
        <w:t xml:space="preserve">vazby mezi subjekty ve </w:t>
      </w:r>
      <w:r w:rsidRPr="00996F36">
        <w:rPr>
          <w:lang w:eastAsia="cs-CZ"/>
        </w:rPr>
        <w:t>výzkumn</w:t>
      </w:r>
      <w:r w:rsidR="001F5D92">
        <w:rPr>
          <w:lang w:eastAsia="cs-CZ"/>
        </w:rPr>
        <w:t>ých</w:t>
      </w:r>
      <w:r w:rsidRPr="00996F36">
        <w:rPr>
          <w:lang w:eastAsia="cs-CZ"/>
        </w:rPr>
        <w:t xml:space="preserve"> aktivit</w:t>
      </w:r>
      <w:r w:rsidR="001F5D92">
        <w:rPr>
          <w:lang w:eastAsia="cs-CZ"/>
        </w:rPr>
        <w:t>ách</w:t>
      </w:r>
      <w:r w:rsidRPr="00996F36">
        <w:rPr>
          <w:lang w:eastAsia="cs-CZ"/>
        </w:rPr>
        <w:t>. Na rozdíl od prezentace využívající grafy, scientometrické mapy vyjadřují příbuznost subjektů jejich vzájemnou geometrickou vzdáleností a poskytují tak vizuálně čitelnější informaci o vnitřních vztazích a návaznostech mezi jednotlivými aktéry VaV. Zobrazení vztahů využívající jako míru společné financování je z kvalitativního hlediska analogické mapování společných projektů</w:t>
      </w:r>
      <w:r w:rsidR="00973D17">
        <w:rPr>
          <w:lang w:eastAsia="cs-CZ"/>
        </w:rPr>
        <w:t>,</w:t>
      </w:r>
      <w:r w:rsidRPr="00996F36">
        <w:rPr>
          <w:lang w:eastAsia="cs-CZ"/>
        </w:rPr>
        <w:t xml:space="preserve"> avšak zahrnutí společně sdíleného účelového financování lépe charakterizuje váhu spolupráce a částečně i časový rozměr vztahu (projekty o větším objemu financování mají většinou delší časový rozsah). </w:t>
      </w:r>
    </w:p>
    <w:p w:rsidR="001F5D92" w:rsidRPr="00996F36" w:rsidRDefault="001F5D92" w:rsidP="001F5D92">
      <w:pPr>
        <w:rPr>
          <w:lang w:eastAsia="cs-CZ"/>
        </w:rPr>
      </w:pPr>
      <w:r w:rsidRPr="00996F36">
        <w:rPr>
          <w:lang w:eastAsia="cs-CZ"/>
        </w:rPr>
        <w:t>Jako míra společných výzkumných aktivit VaV subjektů jsou použity tyto parametry:</w:t>
      </w:r>
    </w:p>
    <w:p w:rsidR="001F5D92" w:rsidRPr="00996F36" w:rsidRDefault="001F5D92" w:rsidP="004F74B7">
      <w:pPr>
        <w:numPr>
          <w:ilvl w:val="0"/>
          <w:numId w:val="10"/>
        </w:numPr>
        <w:spacing w:before="60" w:after="60"/>
        <w:ind w:left="714" w:hanging="357"/>
        <w:rPr>
          <w:lang w:eastAsia="cs-CZ"/>
        </w:rPr>
      </w:pPr>
      <w:r w:rsidRPr="00996F36">
        <w:rPr>
          <w:lang w:eastAsia="cs-CZ"/>
        </w:rPr>
        <w:t>Spoluúčast na projektech (VD, VF, VG, VI)</w:t>
      </w:r>
    </w:p>
    <w:p w:rsidR="001F5D92" w:rsidRPr="00996F36" w:rsidRDefault="001F5D92" w:rsidP="004F74B7">
      <w:pPr>
        <w:numPr>
          <w:ilvl w:val="0"/>
          <w:numId w:val="10"/>
        </w:numPr>
        <w:spacing w:before="60" w:after="60"/>
        <w:ind w:left="714" w:hanging="357"/>
        <w:rPr>
          <w:lang w:eastAsia="cs-CZ"/>
        </w:rPr>
      </w:pPr>
      <w:r w:rsidRPr="00996F36">
        <w:rPr>
          <w:lang w:eastAsia="cs-CZ"/>
        </w:rPr>
        <w:t>Společné financování</w:t>
      </w:r>
    </w:p>
    <w:p w:rsidR="001F5D92" w:rsidRPr="00996F36" w:rsidRDefault="001F5D92" w:rsidP="004F74B7">
      <w:pPr>
        <w:numPr>
          <w:ilvl w:val="0"/>
          <w:numId w:val="10"/>
        </w:numPr>
        <w:spacing w:before="60" w:after="60"/>
        <w:ind w:left="714" w:hanging="357"/>
        <w:rPr>
          <w:lang w:eastAsia="cs-CZ"/>
        </w:rPr>
      </w:pPr>
      <w:r w:rsidRPr="00996F36">
        <w:rPr>
          <w:lang w:eastAsia="cs-CZ"/>
        </w:rPr>
        <w:t>Spoluautorství výstupů</w:t>
      </w:r>
    </w:p>
    <w:p w:rsidR="00936F85" w:rsidRDefault="001F5D92" w:rsidP="00936F85">
      <w:pPr>
        <w:rPr>
          <w:lang w:eastAsia="cs-CZ"/>
        </w:rPr>
      </w:pPr>
      <w:r w:rsidRPr="00996F36">
        <w:rPr>
          <w:lang w:eastAsia="cs-CZ"/>
        </w:rPr>
        <w:t>Spoluautorství výstupů je dále rozčleněno na publikační a „nepublikační“ výstupy</w:t>
      </w:r>
      <w:r w:rsidRPr="00996F36">
        <w:rPr>
          <w:rFonts w:cs="Times New Roman"/>
          <w:vertAlign w:val="superscript"/>
          <w:lang w:eastAsia="cs-CZ"/>
        </w:rPr>
        <w:footnoteReference w:id="26"/>
      </w:r>
      <w:r w:rsidRPr="00996F36">
        <w:rPr>
          <w:lang w:eastAsia="cs-CZ"/>
        </w:rPr>
        <w:t>.</w:t>
      </w:r>
      <w:r w:rsidR="00E7150B">
        <w:rPr>
          <w:lang w:eastAsia="cs-CZ"/>
        </w:rPr>
        <w:t xml:space="preserve"> </w:t>
      </w:r>
      <w:r w:rsidR="00936F85" w:rsidRPr="00996F36">
        <w:rPr>
          <w:lang w:eastAsia="cs-CZ"/>
        </w:rPr>
        <w:t xml:space="preserve">Výchozím datovým zdrojem pro tvorbu map </w:t>
      </w:r>
      <w:r w:rsidR="00E7150B">
        <w:rPr>
          <w:lang w:eastAsia="cs-CZ"/>
        </w:rPr>
        <w:t>byl</w:t>
      </w:r>
      <w:r w:rsidR="00936F85" w:rsidRPr="00996F36">
        <w:rPr>
          <w:lang w:eastAsia="cs-CZ"/>
        </w:rPr>
        <w:t xml:space="preserve"> IS VaV, konkrétně </w:t>
      </w:r>
      <w:r w:rsidR="00E7150B">
        <w:rPr>
          <w:lang w:eastAsia="cs-CZ"/>
        </w:rPr>
        <w:t>R</w:t>
      </w:r>
      <w:r w:rsidR="00936F85" w:rsidRPr="00996F36">
        <w:rPr>
          <w:lang w:eastAsia="cs-CZ"/>
        </w:rPr>
        <w:t>ejstřík informací o výsledcích (RIV) a projektová databáze (CEP). Použití RIV umožňuje provedení vizualizace na úrovni organizačních jednotek institucí (převážně fakult VŠ)</w:t>
      </w:r>
      <w:r w:rsidR="00E7150B">
        <w:rPr>
          <w:lang w:eastAsia="cs-CZ"/>
        </w:rPr>
        <w:t>,</w:t>
      </w:r>
      <w:r w:rsidR="00936F85" w:rsidRPr="00996F36">
        <w:rPr>
          <w:lang w:eastAsia="cs-CZ"/>
        </w:rPr>
        <w:t xml:space="preserve"> avšak z důvodu absence zahraničních spoluautorů v záznamech RIV je popis spolupráce omezen pouze na </w:t>
      </w:r>
      <w:r w:rsidR="00E7150B">
        <w:rPr>
          <w:lang w:eastAsia="cs-CZ"/>
        </w:rPr>
        <w:t>domácí</w:t>
      </w:r>
      <w:r w:rsidR="00936F85" w:rsidRPr="00996F36">
        <w:rPr>
          <w:lang w:eastAsia="cs-CZ"/>
        </w:rPr>
        <w:t xml:space="preserve"> entity.</w:t>
      </w:r>
    </w:p>
    <w:p w:rsidR="00E7150B" w:rsidRDefault="00936F85" w:rsidP="00E7150B">
      <w:pPr>
        <w:rPr>
          <w:lang w:eastAsia="cs-CZ"/>
        </w:rPr>
      </w:pPr>
      <w:r w:rsidRPr="00996F36">
        <w:rPr>
          <w:lang w:eastAsia="cs-CZ"/>
        </w:rPr>
        <w:t>P</w:t>
      </w:r>
      <w:r w:rsidR="00E7150B">
        <w:rPr>
          <w:lang w:eastAsia="cs-CZ"/>
        </w:rPr>
        <w:t xml:space="preserve">ostup tvorby map prezentovaných a interpretovaných v dalším textu se skládal z několika kroků. </w:t>
      </w:r>
      <w:r w:rsidRPr="00996F36">
        <w:rPr>
          <w:lang w:eastAsia="cs-CZ"/>
        </w:rPr>
        <w:t xml:space="preserve">Z dat </w:t>
      </w:r>
      <w:r w:rsidR="00E7150B">
        <w:rPr>
          <w:lang w:eastAsia="cs-CZ"/>
        </w:rPr>
        <w:t xml:space="preserve">v IS VaVaI </w:t>
      </w:r>
      <w:r w:rsidRPr="00996F36">
        <w:rPr>
          <w:lang w:eastAsia="cs-CZ"/>
        </w:rPr>
        <w:t>(</w:t>
      </w:r>
      <w:r w:rsidR="00E7150B" w:rsidRPr="00996F36">
        <w:rPr>
          <w:lang w:eastAsia="cs-CZ"/>
        </w:rPr>
        <w:t>pro každý záznam v RIV nebo CEP)</w:t>
      </w:r>
      <w:r w:rsidRPr="00996F36">
        <w:rPr>
          <w:lang w:eastAsia="cs-CZ"/>
        </w:rPr>
        <w:t xml:space="preserve"> byla nejprve vytvořena tabulka četností společného výskytu dvojic výzkumných subjektů.</w:t>
      </w:r>
      <w:r w:rsidR="00E7150B">
        <w:rPr>
          <w:lang w:eastAsia="cs-CZ"/>
        </w:rPr>
        <w:t xml:space="preserve"> </w:t>
      </w:r>
      <w:r w:rsidRPr="00996F36">
        <w:rPr>
          <w:lang w:eastAsia="cs-CZ"/>
        </w:rPr>
        <w:t xml:space="preserve">Na základě této tabulky byl s využitím shlukovací techniky VOS </w:t>
      </w:r>
      <w:r w:rsidRPr="00996F36">
        <w:rPr>
          <w:lang w:eastAsia="cs-CZ"/>
        </w:rPr>
        <w:fldChar w:fldCharType="begin"/>
      </w:r>
      <w:r w:rsidRPr="00996F36">
        <w:rPr>
          <w:lang w:eastAsia="cs-CZ"/>
        </w:rPr>
        <w:instrText xml:space="preserve"> REF _Ref451428560 \r \h </w:instrText>
      </w:r>
      <w:r w:rsidRPr="00996F36">
        <w:rPr>
          <w:lang w:eastAsia="cs-CZ"/>
        </w:rPr>
      </w:r>
      <w:r w:rsidRPr="00996F36">
        <w:rPr>
          <w:lang w:eastAsia="cs-CZ"/>
        </w:rPr>
        <w:fldChar w:fldCharType="separate"/>
      </w:r>
      <w:r w:rsidR="003F08E5">
        <w:rPr>
          <w:lang w:eastAsia="cs-CZ"/>
        </w:rPr>
        <w:t>[37]</w:t>
      </w:r>
      <w:r w:rsidRPr="00996F36">
        <w:rPr>
          <w:lang w:eastAsia="cs-CZ"/>
        </w:rPr>
        <w:fldChar w:fldCharType="end"/>
      </w:r>
      <w:r w:rsidRPr="00996F36">
        <w:rPr>
          <w:lang w:eastAsia="cs-CZ"/>
        </w:rPr>
        <w:t xml:space="preserve"> vytvořen uzlový graf, ve kterém jsou uzly symbolizovány pomocí kruhů a hrany pomocí úseček mezi příslušnými uzly.</w:t>
      </w:r>
    </w:p>
    <w:p w:rsidR="00125B3F" w:rsidRDefault="00936F85" w:rsidP="00E7150B">
      <w:pPr>
        <w:rPr>
          <w:lang w:eastAsia="cs-CZ"/>
        </w:rPr>
      </w:pPr>
      <w:r w:rsidRPr="00996F36">
        <w:rPr>
          <w:lang w:eastAsia="cs-CZ"/>
        </w:rPr>
        <w:t xml:space="preserve">Každý uzel </w:t>
      </w:r>
      <w:r w:rsidR="00E7150B">
        <w:rPr>
          <w:lang w:eastAsia="cs-CZ"/>
        </w:rPr>
        <w:t>v </w:t>
      </w:r>
      <w:r w:rsidR="00125B3F">
        <w:rPr>
          <w:lang w:eastAsia="cs-CZ"/>
        </w:rPr>
        <w:t>mapě</w:t>
      </w:r>
      <w:r w:rsidR="00E7150B">
        <w:rPr>
          <w:lang w:eastAsia="cs-CZ"/>
        </w:rPr>
        <w:t xml:space="preserve"> </w:t>
      </w:r>
      <w:r w:rsidRPr="00996F36">
        <w:rPr>
          <w:lang w:eastAsia="cs-CZ"/>
        </w:rPr>
        <w:t xml:space="preserve">reprezentuje jednu </w:t>
      </w:r>
      <w:r w:rsidR="00E7150B">
        <w:rPr>
          <w:lang w:eastAsia="cs-CZ"/>
        </w:rPr>
        <w:t>VO</w:t>
      </w:r>
      <w:r w:rsidRPr="00996F36">
        <w:rPr>
          <w:lang w:eastAsia="cs-CZ"/>
        </w:rPr>
        <w:t xml:space="preserve"> a každá </w:t>
      </w:r>
      <w:r w:rsidR="00125B3F">
        <w:rPr>
          <w:lang w:eastAsia="cs-CZ"/>
        </w:rPr>
        <w:t>spojnice mezi těmito uzly (</w:t>
      </w:r>
      <w:r w:rsidRPr="00996F36">
        <w:rPr>
          <w:lang w:eastAsia="cs-CZ"/>
        </w:rPr>
        <w:t>hrana</w:t>
      </w:r>
      <w:r w:rsidR="00125B3F">
        <w:rPr>
          <w:lang w:eastAsia="cs-CZ"/>
        </w:rPr>
        <w:t>)</w:t>
      </w:r>
      <w:r w:rsidRPr="00996F36">
        <w:rPr>
          <w:lang w:eastAsia="cs-CZ"/>
        </w:rPr>
        <w:t xml:space="preserve"> vyjadřuje vztah určitého typu mezi dvěma organizacemi.</w:t>
      </w:r>
      <w:r w:rsidRPr="00996F36">
        <w:t xml:space="preserve"> </w:t>
      </w:r>
      <w:r w:rsidR="00125B3F" w:rsidRPr="00996F36">
        <w:rPr>
          <w:lang w:eastAsia="cs-CZ"/>
        </w:rPr>
        <w:t>Výsledn</w:t>
      </w:r>
      <w:r w:rsidR="00125B3F">
        <w:rPr>
          <w:lang w:eastAsia="cs-CZ"/>
        </w:rPr>
        <w:t>ý</w:t>
      </w:r>
      <w:r w:rsidR="00125B3F" w:rsidRPr="00996F36">
        <w:rPr>
          <w:lang w:eastAsia="cs-CZ"/>
        </w:rPr>
        <w:t xml:space="preserve"> obsah kruhu (velikost uzlu)</w:t>
      </w:r>
      <w:r w:rsidR="00125B3F">
        <w:rPr>
          <w:lang w:eastAsia="cs-CZ"/>
        </w:rPr>
        <w:t xml:space="preserve"> udává jeho váhu </w:t>
      </w:r>
      <w:r w:rsidR="00BD4235">
        <w:rPr>
          <w:lang w:eastAsia="cs-CZ"/>
        </w:rPr>
        <w:t>(tj. počet všech spoluprací dané instituce)</w:t>
      </w:r>
      <w:r w:rsidR="00125B3F">
        <w:rPr>
          <w:lang w:eastAsia="cs-CZ"/>
        </w:rPr>
        <w:t>.</w:t>
      </w:r>
      <w:r w:rsidR="006C6331">
        <w:rPr>
          <w:lang w:eastAsia="cs-CZ"/>
        </w:rPr>
        <w:t xml:space="preserve"> </w:t>
      </w:r>
      <w:r w:rsidR="00125B3F">
        <w:rPr>
          <w:lang w:eastAsia="cs-CZ"/>
        </w:rPr>
        <w:t xml:space="preserve">Barva hrany a </w:t>
      </w:r>
      <w:r w:rsidR="00973D17">
        <w:rPr>
          <w:lang w:eastAsia="cs-CZ"/>
        </w:rPr>
        <w:t xml:space="preserve">současně i </w:t>
      </w:r>
      <w:r w:rsidR="00125B3F">
        <w:rPr>
          <w:lang w:eastAsia="cs-CZ"/>
        </w:rPr>
        <w:t xml:space="preserve">její šířka </w:t>
      </w:r>
      <w:r w:rsidR="00125B3F" w:rsidRPr="00996F36">
        <w:rPr>
          <w:lang w:eastAsia="cs-CZ"/>
        </w:rPr>
        <w:t xml:space="preserve">symbolizuje </w:t>
      </w:r>
      <w:r w:rsidR="006C6331">
        <w:rPr>
          <w:lang w:eastAsia="cs-CZ"/>
        </w:rPr>
        <w:t xml:space="preserve">váhu hrany, tj. </w:t>
      </w:r>
      <w:r w:rsidR="00125B3F" w:rsidRPr="00996F36">
        <w:rPr>
          <w:lang w:eastAsia="cs-CZ"/>
        </w:rPr>
        <w:t>míru vztahu mezi dvěma spolupracujícími organizacemi</w:t>
      </w:r>
      <w:r w:rsidR="00125B3F">
        <w:rPr>
          <w:lang w:eastAsia="cs-CZ"/>
        </w:rPr>
        <w:t>, které spojuje</w:t>
      </w:r>
      <w:r w:rsidR="00F7237E">
        <w:rPr>
          <w:lang w:eastAsia="cs-CZ"/>
        </w:rPr>
        <w:t xml:space="preserve"> (počet společných projektů, počet společných publikací, finanční prostředky ve společných projektech).</w:t>
      </w:r>
      <w:r w:rsidR="00125B3F">
        <w:rPr>
          <w:lang w:eastAsia="cs-CZ"/>
        </w:rPr>
        <w:t xml:space="preserve"> </w:t>
      </w:r>
    </w:p>
    <w:p w:rsidR="006C6331" w:rsidRPr="00996F36" w:rsidRDefault="006C6331" w:rsidP="006C6331">
      <w:pPr>
        <w:rPr>
          <w:lang w:eastAsia="cs-CZ"/>
        </w:rPr>
      </w:pPr>
      <w:r w:rsidRPr="00996F36">
        <w:rPr>
          <w:lang w:eastAsia="cs-CZ"/>
        </w:rPr>
        <w:t>Poloha uzlů v rovině je dána počtem napojených hran a jejich vahou. Uzly s vysokým počtem napojených hran bývají zpravidla uprostřed určitého shluku. Blízkost uzlů na mapě je indikátorem silné vazby, ale na rozdíl od samotných hran nebere do úvahy jen párovou vazbu, ale rovněž i průměrnou sílu vztahu s ostatními uzly uvnitř daného shluku.</w:t>
      </w:r>
      <w:r>
        <w:rPr>
          <w:lang w:eastAsia="cs-CZ"/>
        </w:rPr>
        <w:t xml:space="preserve"> </w:t>
      </w:r>
      <w:r w:rsidRPr="00996F36">
        <w:rPr>
          <w:lang w:eastAsia="cs-CZ"/>
        </w:rPr>
        <w:t>Vzdálenosti uzlů, které nejsou spojeny hranou, jsou arbitrární a v prezentovaných mapách bylo umístění vypočteno z důvodu přehlednosti tak, aby uzly po obvodu obrázku tvořily zhruba elipsu.</w:t>
      </w:r>
    </w:p>
    <w:p w:rsidR="00936F85" w:rsidRPr="00996F36" w:rsidRDefault="00936F85" w:rsidP="00936F85">
      <w:pPr>
        <w:rPr>
          <w:lang w:eastAsia="cs-CZ"/>
        </w:rPr>
      </w:pPr>
      <w:r w:rsidRPr="00996F36">
        <w:rPr>
          <w:lang w:eastAsia="cs-CZ"/>
        </w:rPr>
        <w:t>V tištěné verzi analýzy jsou prezentovány pouze celkové mapy. Pro zobrazení vzájemných vztahů uvnitř jednotlivých struktur je nutno použít dynamickou webovskou verzi map</w:t>
      </w:r>
      <w:r w:rsidR="0036029B">
        <w:rPr>
          <w:lang w:eastAsia="cs-CZ"/>
        </w:rPr>
        <w:t xml:space="preserve"> (viz příloha s rozšiřujícími informacemi k této výzkumné zprávě)</w:t>
      </w:r>
      <w:r w:rsidRPr="00996F36">
        <w:rPr>
          <w:lang w:eastAsia="cs-CZ"/>
        </w:rPr>
        <w:t xml:space="preserve">, která </w:t>
      </w:r>
      <w:r w:rsidR="006C6331">
        <w:rPr>
          <w:lang w:eastAsia="cs-CZ"/>
        </w:rPr>
        <w:t>umožňuje zvětšování (</w:t>
      </w:r>
      <w:r w:rsidRPr="00996F36">
        <w:rPr>
          <w:lang w:eastAsia="cs-CZ"/>
        </w:rPr>
        <w:t>zo</w:t>
      </w:r>
      <w:r w:rsidR="006C6331">
        <w:rPr>
          <w:lang w:eastAsia="cs-CZ"/>
        </w:rPr>
        <w:t>o</w:t>
      </w:r>
      <w:r w:rsidRPr="00996F36">
        <w:rPr>
          <w:lang w:eastAsia="cs-CZ"/>
        </w:rPr>
        <w:t>mování</w:t>
      </w:r>
      <w:r w:rsidR="006C6331">
        <w:rPr>
          <w:lang w:eastAsia="cs-CZ"/>
        </w:rPr>
        <w:t>)</w:t>
      </w:r>
      <w:r w:rsidRPr="00996F36">
        <w:rPr>
          <w:lang w:eastAsia="cs-CZ"/>
        </w:rPr>
        <w:t>, filtrac</w:t>
      </w:r>
      <w:r w:rsidR="006C6331">
        <w:rPr>
          <w:lang w:eastAsia="cs-CZ"/>
        </w:rPr>
        <w:t>i</w:t>
      </w:r>
      <w:r w:rsidRPr="00996F36">
        <w:rPr>
          <w:lang w:eastAsia="cs-CZ"/>
        </w:rPr>
        <w:t xml:space="preserve"> uzlů (institucí) a </w:t>
      </w:r>
      <w:r w:rsidR="006C6331">
        <w:rPr>
          <w:lang w:eastAsia="cs-CZ"/>
        </w:rPr>
        <w:t xml:space="preserve">zároveň </w:t>
      </w:r>
      <w:r w:rsidRPr="00996F36">
        <w:rPr>
          <w:lang w:eastAsia="cs-CZ"/>
        </w:rPr>
        <w:t>poskytuje textovou nápovědu s charakteristikou daného uzlu</w:t>
      </w:r>
      <w:r w:rsidR="00973D17">
        <w:rPr>
          <w:lang w:eastAsia="cs-CZ"/>
        </w:rPr>
        <w:t xml:space="preserve"> </w:t>
      </w:r>
      <w:r w:rsidR="00184A66">
        <w:rPr>
          <w:lang w:eastAsia="cs-CZ"/>
        </w:rPr>
        <w:t xml:space="preserve">(výzkumné instituce) </w:t>
      </w:r>
      <w:r w:rsidR="00973D17">
        <w:rPr>
          <w:lang w:eastAsia="cs-CZ"/>
        </w:rPr>
        <w:t>nebo hrany</w:t>
      </w:r>
      <w:r w:rsidRPr="00996F36">
        <w:rPr>
          <w:lang w:eastAsia="cs-CZ"/>
        </w:rPr>
        <w:t>.</w:t>
      </w:r>
    </w:p>
    <w:p w:rsidR="00936F85" w:rsidRPr="00996F36" w:rsidRDefault="006C6331" w:rsidP="006C6331">
      <w:pPr>
        <w:pStyle w:val="Nadpis3"/>
        <w:rPr>
          <w:rFonts w:eastAsiaTheme="majorEastAsia"/>
        </w:rPr>
      </w:pPr>
      <w:bookmarkStart w:id="112" w:name="_Toc451505315"/>
      <w:bookmarkStart w:id="113" w:name="_Toc459723290"/>
      <w:r>
        <w:rPr>
          <w:rFonts w:eastAsiaTheme="majorEastAsia"/>
        </w:rPr>
        <w:lastRenderedPageBreak/>
        <w:t>S</w:t>
      </w:r>
      <w:r w:rsidR="00936F85" w:rsidRPr="00996F36">
        <w:rPr>
          <w:rFonts w:eastAsiaTheme="majorEastAsia"/>
        </w:rPr>
        <w:t>poluúčast na projektech bezpečnostního výzkumu</w:t>
      </w:r>
      <w:bookmarkEnd w:id="112"/>
      <w:bookmarkEnd w:id="113"/>
    </w:p>
    <w:p w:rsidR="00A356E4" w:rsidRDefault="006C6331" w:rsidP="00936F85">
      <w:pPr>
        <w:rPr>
          <w:lang w:eastAsia="cs-CZ"/>
        </w:rPr>
      </w:pPr>
      <w:r>
        <w:rPr>
          <w:lang w:eastAsia="cs-CZ"/>
        </w:rPr>
        <w:t xml:space="preserve">Spolupráce </w:t>
      </w:r>
      <w:r w:rsidR="002C626C">
        <w:rPr>
          <w:lang w:eastAsia="cs-CZ"/>
        </w:rPr>
        <w:t>mezi subjekty zapojenými v programech BV je znázorněna v mapách na</w:t>
      </w:r>
      <w:r w:rsidR="00BD4235">
        <w:rPr>
          <w:lang w:eastAsia="cs-CZ"/>
        </w:rPr>
        <w:t xml:space="preserve"> </w:t>
      </w:r>
      <w:r w:rsidR="00BD4235">
        <w:rPr>
          <w:lang w:eastAsia="cs-CZ"/>
        </w:rPr>
        <w:fldChar w:fldCharType="begin"/>
      </w:r>
      <w:r w:rsidR="00BD4235">
        <w:rPr>
          <w:lang w:eastAsia="cs-CZ"/>
        </w:rPr>
        <w:instrText xml:space="preserve"> REF  _Ref451778771 \* Lower \h  \* MERGEFORMAT </w:instrText>
      </w:r>
      <w:r w:rsidR="00BD4235">
        <w:rPr>
          <w:lang w:eastAsia="cs-CZ"/>
        </w:rPr>
      </w:r>
      <w:r w:rsidR="00BD4235">
        <w:rPr>
          <w:lang w:eastAsia="cs-CZ"/>
        </w:rPr>
        <w:fldChar w:fldCharType="separate"/>
      </w:r>
      <w:r w:rsidR="003F08E5">
        <w:t xml:space="preserve">obr. </w:t>
      </w:r>
      <w:r w:rsidR="003F08E5">
        <w:rPr>
          <w:noProof/>
        </w:rPr>
        <w:t>9</w:t>
      </w:r>
      <w:r w:rsidR="00BD4235">
        <w:rPr>
          <w:lang w:eastAsia="cs-CZ"/>
        </w:rPr>
        <w:fldChar w:fldCharType="end"/>
      </w:r>
      <w:r w:rsidR="00BD4235">
        <w:rPr>
          <w:lang w:eastAsia="cs-CZ"/>
        </w:rPr>
        <w:t xml:space="preserve"> a </w:t>
      </w:r>
      <w:r w:rsidR="00BD4235">
        <w:rPr>
          <w:lang w:eastAsia="cs-CZ"/>
        </w:rPr>
        <w:fldChar w:fldCharType="begin"/>
      </w:r>
      <w:r w:rsidR="00BD4235">
        <w:rPr>
          <w:lang w:eastAsia="cs-CZ"/>
        </w:rPr>
        <w:instrText xml:space="preserve"> REF  _Ref451778871 \* Lower \h  \* MERGEFORMAT </w:instrText>
      </w:r>
      <w:r w:rsidR="00BD4235">
        <w:rPr>
          <w:lang w:eastAsia="cs-CZ"/>
        </w:rPr>
      </w:r>
      <w:r w:rsidR="00BD4235">
        <w:rPr>
          <w:lang w:eastAsia="cs-CZ"/>
        </w:rPr>
        <w:fldChar w:fldCharType="separate"/>
      </w:r>
      <w:r w:rsidR="003F08E5">
        <w:t xml:space="preserve">obr. </w:t>
      </w:r>
      <w:r w:rsidR="003F08E5">
        <w:rPr>
          <w:noProof/>
        </w:rPr>
        <w:t>10</w:t>
      </w:r>
      <w:r w:rsidR="00BD4235">
        <w:rPr>
          <w:lang w:eastAsia="cs-CZ"/>
        </w:rPr>
        <w:fldChar w:fldCharType="end"/>
      </w:r>
      <w:r w:rsidR="002C626C">
        <w:rPr>
          <w:lang w:eastAsia="cs-CZ"/>
        </w:rPr>
        <w:t>.</w:t>
      </w:r>
      <w:r w:rsidR="006337DE">
        <w:rPr>
          <w:lang w:eastAsia="cs-CZ"/>
        </w:rPr>
        <w:t xml:space="preserve"> </w:t>
      </w:r>
      <w:r w:rsidR="00A356E4" w:rsidRPr="00996F36">
        <w:rPr>
          <w:lang w:eastAsia="cs-CZ"/>
        </w:rPr>
        <w:t>Nejvíce společných projektů (</w:t>
      </w:r>
      <w:r w:rsidR="00A356E4">
        <w:rPr>
          <w:lang w:eastAsia="cs-CZ"/>
        </w:rPr>
        <w:t>celkem společné projekty</w:t>
      </w:r>
      <w:r w:rsidR="00A356E4" w:rsidRPr="00996F36">
        <w:rPr>
          <w:lang w:eastAsia="cs-CZ"/>
        </w:rPr>
        <w:t>) měl</w:t>
      </w:r>
      <w:r w:rsidR="00A356E4">
        <w:rPr>
          <w:lang w:eastAsia="cs-CZ"/>
        </w:rPr>
        <w:t xml:space="preserve"> </w:t>
      </w:r>
      <w:r w:rsidR="00A356E4" w:rsidRPr="00996F36">
        <w:rPr>
          <w:lang w:eastAsia="cs-CZ"/>
        </w:rPr>
        <w:t xml:space="preserve">SÚRO a ENVINET, což je </w:t>
      </w:r>
      <w:r w:rsidR="00973D17">
        <w:rPr>
          <w:lang w:eastAsia="cs-CZ"/>
        </w:rPr>
        <w:t>na mapě</w:t>
      </w:r>
      <w:r w:rsidR="00A356E4" w:rsidRPr="00996F36">
        <w:rPr>
          <w:lang w:eastAsia="cs-CZ"/>
        </w:rPr>
        <w:t xml:space="preserve"> (</w:t>
      </w:r>
      <w:r w:rsidR="00BD4235">
        <w:rPr>
          <w:lang w:eastAsia="cs-CZ"/>
        </w:rPr>
        <w:fldChar w:fldCharType="begin"/>
      </w:r>
      <w:r w:rsidR="00BD4235">
        <w:rPr>
          <w:lang w:eastAsia="cs-CZ"/>
        </w:rPr>
        <w:instrText xml:space="preserve"> REF  _Ref451778771 \* Lower \h  \* MERGEFORMAT </w:instrText>
      </w:r>
      <w:r w:rsidR="00BD4235">
        <w:rPr>
          <w:lang w:eastAsia="cs-CZ"/>
        </w:rPr>
      </w:r>
      <w:r w:rsidR="00BD4235">
        <w:rPr>
          <w:lang w:eastAsia="cs-CZ"/>
        </w:rPr>
        <w:fldChar w:fldCharType="separate"/>
      </w:r>
      <w:r w:rsidR="003F08E5">
        <w:t xml:space="preserve">obr. </w:t>
      </w:r>
      <w:r w:rsidR="003F08E5">
        <w:rPr>
          <w:noProof/>
        </w:rPr>
        <w:t>9</w:t>
      </w:r>
      <w:r w:rsidR="00BD4235">
        <w:rPr>
          <w:lang w:eastAsia="cs-CZ"/>
        </w:rPr>
        <w:fldChar w:fldCharType="end"/>
      </w:r>
      <w:r w:rsidR="00A356E4" w:rsidRPr="00996F36">
        <w:rPr>
          <w:lang w:eastAsia="cs-CZ"/>
        </w:rPr>
        <w:t>) vyznačeno pomocí široké modré hrany</w:t>
      </w:r>
      <w:r w:rsidR="00A356E4">
        <w:rPr>
          <w:lang w:eastAsia="cs-CZ"/>
        </w:rPr>
        <w:t xml:space="preserve">. </w:t>
      </w:r>
      <w:r w:rsidR="00936F85" w:rsidRPr="00996F36">
        <w:rPr>
          <w:lang w:eastAsia="cs-CZ"/>
        </w:rPr>
        <w:t xml:space="preserve">Síť organizací z hlediska jejich spolupráce na projektech je nejhustší okolo Fakulty bezpečnostního inženýrství </w:t>
      </w:r>
      <w:r w:rsidR="00A356E4">
        <w:rPr>
          <w:lang w:eastAsia="cs-CZ"/>
        </w:rPr>
        <w:t xml:space="preserve">VŠB – TU Ostrava </w:t>
      </w:r>
      <w:r w:rsidR="00936F85" w:rsidRPr="00996F36">
        <w:rPr>
          <w:lang w:eastAsia="cs-CZ"/>
        </w:rPr>
        <w:t>(</w:t>
      </w:r>
      <w:r w:rsidR="00A356E4">
        <w:rPr>
          <w:lang w:eastAsia="cs-CZ"/>
        </w:rPr>
        <w:t xml:space="preserve">v mapě označena jako </w:t>
      </w:r>
      <w:r w:rsidR="00936F85" w:rsidRPr="00996F36">
        <w:rPr>
          <w:lang w:eastAsia="cs-CZ"/>
        </w:rPr>
        <w:t>VŠB-BI)</w:t>
      </w:r>
      <w:r w:rsidR="00936F85" w:rsidRPr="00996F36">
        <w:rPr>
          <w:rFonts w:cs="Times New Roman"/>
          <w:vertAlign w:val="superscript"/>
          <w:lang w:eastAsia="cs-CZ"/>
        </w:rPr>
        <w:footnoteReference w:id="27"/>
      </w:r>
      <w:r w:rsidR="00936F85" w:rsidRPr="00996F36">
        <w:rPr>
          <w:lang w:eastAsia="cs-CZ"/>
        </w:rPr>
        <w:t xml:space="preserve"> a Institutu ochrany obyvatelstva (</w:t>
      </w:r>
      <w:r w:rsidR="00A356E4">
        <w:rPr>
          <w:lang w:eastAsia="cs-CZ"/>
        </w:rPr>
        <w:t xml:space="preserve">označení </w:t>
      </w:r>
      <w:r w:rsidR="00936F85" w:rsidRPr="00996F36">
        <w:rPr>
          <w:lang w:eastAsia="cs-CZ"/>
        </w:rPr>
        <w:t>MV-IOO)</w:t>
      </w:r>
      <w:r w:rsidR="00A356E4">
        <w:rPr>
          <w:lang w:eastAsia="cs-CZ"/>
        </w:rPr>
        <w:t>, které přestavují „centra“, na něž se v dalších projektech napojují další organizace</w:t>
      </w:r>
      <w:r w:rsidR="00936F85" w:rsidRPr="00996F36">
        <w:rPr>
          <w:lang w:eastAsia="cs-CZ"/>
        </w:rPr>
        <w:t xml:space="preserve">. </w:t>
      </w:r>
      <w:r w:rsidR="00A356E4">
        <w:rPr>
          <w:lang w:eastAsia="cs-CZ"/>
        </w:rPr>
        <w:t xml:space="preserve">VŠB-BI a UK SV </w:t>
      </w:r>
      <w:r w:rsidR="00936F85" w:rsidRPr="00996F36">
        <w:rPr>
          <w:lang w:eastAsia="cs-CZ"/>
        </w:rPr>
        <w:t xml:space="preserve">jsou přes Fakultu sociálních věd (UK-SV) </w:t>
      </w:r>
      <w:r w:rsidR="00A356E4" w:rsidRPr="00996F36">
        <w:rPr>
          <w:lang w:eastAsia="cs-CZ"/>
        </w:rPr>
        <w:t xml:space="preserve">napojeny </w:t>
      </w:r>
      <w:r w:rsidR="00936F85" w:rsidRPr="00996F36">
        <w:rPr>
          <w:lang w:eastAsia="cs-CZ"/>
        </w:rPr>
        <w:t>na Fakultu dopravní a Fakultu elektrotechnickou ČVUT, které představují lokální centra pro další spolupracující organizace.</w:t>
      </w:r>
    </w:p>
    <w:p w:rsidR="00936F85" w:rsidRDefault="00936F85" w:rsidP="00936F85">
      <w:pPr>
        <w:rPr>
          <w:lang w:eastAsia="cs-CZ"/>
        </w:rPr>
      </w:pPr>
      <w:r w:rsidRPr="00996F36">
        <w:rPr>
          <w:lang w:eastAsia="cs-CZ"/>
        </w:rPr>
        <w:t>Mezi další lokální centra můžeme zařadit i Centrum dopravního výzkumu (CDV), SÚJC</w:t>
      </w:r>
      <w:r w:rsidR="00097D5A">
        <w:rPr>
          <w:lang w:eastAsia="cs-CZ"/>
        </w:rPr>
        <w:t>H</w:t>
      </w:r>
      <w:r w:rsidRPr="00996F36">
        <w:rPr>
          <w:lang w:eastAsia="cs-CZ"/>
        </w:rPr>
        <w:t>BO, SÚRO, Fakultu životního prostředí ČZU, nebo Kriminalistický ústav Praha (MV-PolKU).</w:t>
      </w:r>
      <w:r w:rsidR="00A356E4">
        <w:rPr>
          <w:lang w:eastAsia="cs-CZ"/>
        </w:rPr>
        <w:t xml:space="preserve"> </w:t>
      </w:r>
      <w:r w:rsidRPr="00996F36">
        <w:rPr>
          <w:lang w:eastAsia="cs-CZ"/>
        </w:rPr>
        <w:t xml:space="preserve">Na druhou stranu zde existuje i </w:t>
      </w:r>
      <w:r w:rsidR="00097D5A">
        <w:rPr>
          <w:lang w:eastAsia="cs-CZ"/>
        </w:rPr>
        <w:t>devět</w:t>
      </w:r>
      <w:r w:rsidRPr="00996F36">
        <w:rPr>
          <w:lang w:eastAsia="cs-CZ"/>
        </w:rPr>
        <w:t xml:space="preserve"> ostrovů, tedy institucí, které spolupracují pouze mezi sebou a nejsou nijak napojeny na centrální síť (kontinent) organizací. </w:t>
      </w:r>
    </w:p>
    <w:p w:rsidR="00A356E4" w:rsidRDefault="00097D5A" w:rsidP="00A356E4">
      <w:pPr>
        <w:rPr>
          <w:lang w:eastAsia="cs-CZ"/>
        </w:rPr>
      </w:pPr>
      <w:r>
        <w:rPr>
          <w:lang w:eastAsia="cs-CZ"/>
        </w:rPr>
        <w:t xml:space="preserve">Na </w:t>
      </w:r>
      <w:r w:rsidR="00BD4235">
        <w:rPr>
          <w:lang w:eastAsia="cs-CZ"/>
        </w:rPr>
        <w:fldChar w:fldCharType="begin"/>
      </w:r>
      <w:r w:rsidR="00BD4235">
        <w:rPr>
          <w:lang w:eastAsia="cs-CZ"/>
        </w:rPr>
        <w:instrText xml:space="preserve"> REF  _Ref451778871 \* Lower \h  \* MERGEFORMAT </w:instrText>
      </w:r>
      <w:r w:rsidR="00BD4235">
        <w:rPr>
          <w:lang w:eastAsia="cs-CZ"/>
        </w:rPr>
      </w:r>
      <w:r w:rsidR="00BD4235">
        <w:rPr>
          <w:lang w:eastAsia="cs-CZ"/>
        </w:rPr>
        <w:fldChar w:fldCharType="separate"/>
      </w:r>
      <w:r w:rsidR="003F08E5">
        <w:t xml:space="preserve">obr. </w:t>
      </w:r>
      <w:r w:rsidR="003F08E5">
        <w:rPr>
          <w:noProof/>
        </w:rPr>
        <w:t>10</w:t>
      </w:r>
      <w:r w:rsidR="00BD4235">
        <w:rPr>
          <w:lang w:eastAsia="cs-CZ"/>
        </w:rPr>
        <w:fldChar w:fldCharType="end"/>
      </w:r>
      <w:r>
        <w:rPr>
          <w:lang w:eastAsia="cs-CZ"/>
        </w:rPr>
        <w:t xml:space="preserve"> je </w:t>
      </w:r>
      <w:r w:rsidR="00BD4235">
        <w:rPr>
          <w:lang w:eastAsia="cs-CZ"/>
        </w:rPr>
        <w:t>podobná</w:t>
      </w:r>
      <w:r w:rsidR="00973D17">
        <w:rPr>
          <w:lang w:eastAsia="cs-CZ"/>
        </w:rPr>
        <w:t xml:space="preserve"> mapa (síť)</w:t>
      </w:r>
      <w:r w:rsidR="00BD4235">
        <w:rPr>
          <w:lang w:eastAsia="cs-CZ"/>
        </w:rPr>
        <w:t xml:space="preserve">, avšak popisující vazby na základě společné finanční podpory. </w:t>
      </w:r>
      <w:r w:rsidR="00A356E4" w:rsidRPr="00996F36">
        <w:rPr>
          <w:lang w:eastAsia="cs-CZ"/>
        </w:rPr>
        <w:t xml:space="preserve">Hlavní rozdíl mezi sítí </w:t>
      </w:r>
      <w:r w:rsidR="00973D17">
        <w:rPr>
          <w:lang w:eastAsia="cs-CZ"/>
        </w:rPr>
        <w:t xml:space="preserve">(mapou) </w:t>
      </w:r>
      <w:r w:rsidR="00A356E4" w:rsidRPr="00996F36">
        <w:rPr>
          <w:lang w:eastAsia="cs-CZ"/>
        </w:rPr>
        <w:t xml:space="preserve">popisující spolupráci na projektech a sítí </w:t>
      </w:r>
      <w:r w:rsidR="00973D17">
        <w:rPr>
          <w:lang w:eastAsia="cs-CZ"/>
        </w:rPr>
        <w:t xml:space="preserve">(mapou) </w:t>
      </w:r>
      <w:r w:rsidR="00A356E4" w:rsidRPr="00996F36">
        <w:rPr>
          <w:lang w:eastAsia="cs-CZ"/>
        </w:rPr>
        <w:t xml:space="preserve">společné finanční podpory je v odlišných transformovaných vahách hran. Přestože počet uzlů i hran je v obou případech stejný a stejné je i jejich vzájemné propojení, odlišnost ve vahách hran způsobila i odlišnost ve velikosti uzlů. Příkladem mohou být organizace VŠB-BI a SÚRO, kde SÚRO má sice nižší součet spoluprací na projektech (tzn. je menší), ale má vyšší součet společné finanční podpory (tzn. je větší). </w:t>
      </w:r>
      <w:r w:rsidR="00BD4235">
        <w:rPr>
          <w:lang w:eastAsia="cs-CZ"/>
        </w:rPr>
        <w:t>Si</w:t>
      </w:r>
      <w:r w:rsidR="00A356E4" w:rsidRPr="00996F36">
        <w:rPr>
          <w:lang w:eastAsia="cs-CZ"/>
        </w:rPr>
        <w:t>ln</w:t>
      </w:r>
      <w:r w:rsidR="00BD4235">
        <w:rPr>
          <w:lang w:eastAsia="cs-CZ"/>
        </w:rPr>
        <w:t xml:space="preserve">á </w:t>
      </w:r>
      <w:r w:rsidR="00A356E4" w:rsidRPr="00996F36">
        <w:rPr>
          <w:lang w:eastAsia="cs-CZ"/>
        </w:rPr>
        <w:t>vazb</w:t>
      </w:r>
      <w:r w:rsidR="00BD4235">
        <w:rPr>
          <w:lang w:eastAsia="cs-CZ"/>
        </w:rPr>
        <w:t>a</w:t>
      </w:r>
      <w:r w:rsidR="00A356E4" w:rsidRPr="00996F36">
        <w:rPr>
          <w:lang w:eastAsia="cs-CZ"/>
        </w:rPr>
        <w:t xml:space="preserve"> </w:t>
      </w:r>
      <w:r w:rsidR="00BD4235">
        <w:rPr>
          <w:lang w:eastAsia="cs-CZ"/>
        </w:rPr>
        <w:t xml:space="preserve">na </w:t>
      </w:r>
      <w:r w:rsidR="00BD4235">
        <w:rPr>
          <w:lang w:eastAsia="cs-CZ"/>
        </w:rPr>
        <w:fldChar w:fldCharType="begin"/>
      </w:r>
      <w:r w:rsidR="00BD4235">
        <w:rPr>
          <w:lang w:eastAsia="cs-CZ"/>
        </w:rPr>
        <w:instrText xml:space="preserve"> REF  _Ref451778871 \* Lower \h  \* MERGEFORMAT </w:instrText>
      </w:r>
      <w:r w:rsidR="00BD4235">
        <w:rPr>
          <w:lang w:eastAsia="cs-CZ"/>
        </w:rPr>
      </w:r>
      <w:r w:rsidR="00BD4235">
        <w:rPr>
          <w:lang w:eastAsia="cs-CZ"/>
        </w:rPr>
        <w:fldChar w:fldCharType="separate"/>
      </w:r>
      <w:r w:rsidR="003F08E5">
        <w:t xml:space="preserve">obr. </w:t>
      </w:r>
      <w:r w:rsidR="003F08E5">
        <w:rPr>
          <w:noProof/>
        </w:rPr>
        <w:t>10</w:t>
      </w:r>
      <w:r w:rsidR="00BD4235">
        <w:rPr>
          <w:lang w:eastAsia="cs-CZ"/>
        </w:rPr>
        <w:fldChar w:fldCharType="end"/>
      </w:r>
      <w:r w:rsidR="00BD4235">
        <w:rPr>
          <w:lang w:eastAsia="cs-CZ"/>
        </w:rPr>
        <w:t xml:space="preserve"> je </w:t>
      </w:r>
      <w:r w:rsidR="00A356E4" w:rsidRPr="00996F36">
        <w:rPr>
          <w:lang w:eastAsia="cs-CZ"/>
        </w:rPr>
        <w:t>i mezi Fakultou strojní v Liberci (TUL-STR) a NANOVIA.</w:t>
      </w:r>
    </w:p>
    <w:p w:rsidR="006337DE" w:rsidRDefault="00BD4235" w:rsidP="006337DE">
      <w:pPr>
        <w:rPr>
          <w:lang w:eastAsia="cs-CZ"/>
        </w:rPr>
      </w:pPr>
      <w:r>
        <w:rPr>
          <w:lang w:eastAsia="cs-CZ"/>
        </w:rPr>
        <w:t>Mapy vzájemné spolupráce na projektech řešených v programech MV potvrzují, že za „jádro“ institucí BV lze považovat organizační jednotky MV (</w:t>
      </w:r>
      <w:r w:rsidR="006337DE">
        <w:rPr>
          <w:lang w:eastAsia="cs-CZ"/>
        </w:rPr>
        <w:t xml:space="preserve">zejména GŘ HZS </w:t>
      </w:r>
      <w:r w:rsidR="006337DE" w:rsidRPr="00996F36">
        <w:rPr>
          <w:lang w:eastAsia="cs-CZ"/>
        </w:rPr>
        <w:t>Institut ochrany obyvatelstva</w:t>
      </w:r>
      <w:r w:rsidR="006337DE">
        <w:rPr>
          <w:lang w:eastAsia="cs-CZ"/>
        </w:rPr>
        <w:t xml:space="preserve">), instituce získávající institucionální podporu z rozpočtové kapitoly MV (zejména SÚRO) a několik VŠ, především VŠB-TU Ostrava (konkrétně </w:t>
      </w:r>
      <w:r w:rsidR="006337DE" w:rsidRPr="006337DE">
        <w:rPr>
          <w:lang w:eastAsia="cs-CZ"/>
        </w:rPr>
        <w:t>Fakult</w:t>
      </w:r>
      <w:r w:rsidR="006337DE">
        <w:rPr>
          <w:lang w:eastAsia="cs-CZ"/>
        </w:rPr>
        <w:t>a</w:t>
      </w:r>
      <w:r w:rsidR="006337DE" w:rsidRPr="006337DE">
        <w:rPr>
          <w:lang w:eastAsia="cs-CZ"/>
        </w:rPr>
        <w:t xml:space="preserve"> bezpečnostního inženýrství</w:t>
      </w:r>
      <w:r w:rsidR="006337DE">
        <w:rPr>
          <w:lang w:eastAsia="cs-CZ"/>
        </w:rPr>
        <w:t>), ČVUT v Praze (Fakulta elektrotechnická a Fakulta dopravní) a Univerzitu Karlovu v Praze. Tyto instituce spolupracují navzájem mezi sebou, ale zároveň vytvářejí další „centrální“ instituce pro další subjekty, se kterými spolupracují na projektech BV.</w:t>
      </w:r>
    </w:p>
    <w:p w:rsidR="006337DE" w:rsidRPr="00996F36" w:rsidRDefault="006337DE" w:rsidP="006337DE">
      <w:pPr>
        <w:pStyle w:val="Nadpis3"/>
        <w:rPr>
          <w:rFonts w:eastAsiaTheme="majorEastAsia"/>
        </w:rPr>
      </w:pPr>
      <w:bookmarkStart w:id="114" w:name="_Toc451505316"/>
      <w:bookmarkStart w:id="115" w:name="_Toc459723291"/>
      <w:r>
        <w:rPr>
          <w:rFonts w:eastAsiaTheme="majorEastAsia"/>
        </w:rPr>
        <w:t>S</w:t>
      </w:r>
      <w:r w:rsidRPr="00996F36">
        <w:rPr>
          <w:rFonts w:eastAsiaTheme="majorEastAsia"/>
        </w:rPr>
        <w:t>poluautorství výsledků</w:t>
      </w:r>
      <w:bookmarkEnd w:id="114"/>
      <w:r>
        <w:rPr>
          <w:rFonts w:eastAsiaTheme="majorEastAsia"/>
        </w:rPr>
        <w:t xml:space="preserve"> bezpečnostního výzkumu</w:t>
      </w:r>
      <w:bookmarkEnd w:id="115"/>
    </w:p>
    <w:p w:rsidR="001E2F0E" w:rsidRDefault="001E2F0E" w:rsidP="006337DE">
      <w:pPr>
        <w:rPr>
          <w:lang w:eastAsia="cs-CZ"/>
        </w:rPr>
      </w:pPr>
      <w:r>
        <w:rPr>
          <w:lang w:eastAsia="cs-CZ"/>
        </w:rPr>
        <w:t>Mapy spoluautorství výsledků programů BV jsou uvedeny na</w:t>
      </w:r>
      <w:r w:rsidR="004E4C9C">
        <w:rPr>
          <w:lang w:eastAsia="cs-CZ"/>
        </w:rPr>
        <w:t xml:space="preserve"> </w:t>
      </w:r>
      <w:r w:rsidR="00FA13B6">
        <w:rPr>
          <w:lang w:eastAsia="cs-CZ"/>
        </w:rPr>
        <w:fldChar w:fldCharType="begin"/>
      </w:r>
      <w:r w:rsidR="00FA13B6">
        <w:rPr>
          <w:lang w:eastAsia="cs-CZ"/>
        </w:rPr>
        <w:instrText xml:space="preserve"> REF  _Ref451780732 \* Lower \h  \* MERGEFORMAT </w:instrText>
      </w:r>
      <w:r w:rsidR="00FA13B6">
        <w:rPr>
          <w:lang w:eastAsia="cs-CZ"/>
        </w:rPr>
      </w:r>
      <w:r w:rsidR="00FA13B6">
        <w:rPr>
          <w:lang w:eastAsia="cs-CZ"/>
        </w:rPr>
        <w:fldChar w:fldCharType="separate"/>
      </w:r>
      <w:r w:rsidR="003F08E5">
        <w:t xml:space="preserve">obr. </w:t>
      </w:r>
      <w:r w:rsidR="003F08E5">
        <w:rPr>
          <w:noProof/>
        </w:rPr>
        <w:t>11</w:t>
      </w:r>
      <w:r w:rsidR="00FA13B6">
        <w:rPr>
          <w:lang w:eastAsia="cs-CZ"/>
        </w:rPr>
        <w:fldChar w:fldCharType="end"/>
      </w:r>
      <w:r>
        <w:rPr>
          <w:lang w:eastAsia="cs-CZ"/>
        </w:rPr>
        <w:t xml:space="preserve">, </w:t>
      </w:r>
      <w:r w:rsidR="00FA13B6">
        <w:rPr>
          <w:lang w:eastAsia="cs-CZ"/>
        </w:rPr>
        <w:fldChar w:fldCharType="begin"/>
      </w:r>
      <w:r w:rsidR="00FA13B6">
        <w:rPr>
          <w:lang w:eastAsia="cs-CZ"/>
        </w:rPr>
        <w:instrText xml:space="preserve"> REF  _Ref451780734 \* Lower \h  \* MERGEFORMAT </w:instrText>
      </w:r>
      <w:r w:rsidR="00FA13B6">
        <w:rPr>
          <w:lang w:eastAsia="cs-CZ"/>
        </w:rPr>
      </w:r>
      <w:r w:rsidR="00FA13B6">
        <w:rPr>
          <w:lang w:eastAsia="cs-CZ"/>
        </w:rPr>
        <w:fldChar w:fldCharType="separate"/>
      </w:r>
      <w:r w:rsidR="003F08E5">
        <w:t xml:space="preserve">obr. </w:t>
      </w:r>
      <w:r w:rsidR="003F08E5">
        <w:rPr>
          <w:noProof/>
        </w:rPr>
        <w:t>12</w:t>
      </w:r>
      <w:r w:rsidR="00FA13B6">
        <w:rPr>
          <w:lang w:eastAsia="cs-CZ"/>
        </w:rPr>
        <w:fldChar w:fldCharType="end"/>
      </w:r>
      <w:r w:rsidR="002429FF">
        <w:rPr>
          <w:lang w:eastAsia="cs-CZ"/>
        </w:rPr>
        <w:t xml:space="preserve"> </w:t>
      </w:r>
      <w:r>
        <w:rPr>
          <w:lang w:eastAsia="cs-CZ"/>
        </w:rPr>
        <w:t xml:space="preserve">a </w:t>
      </w:r>
      <w:r w:rsidR="00FA13B6">
        <w:rPr>
          <w:lang w:eastAsia="cs-CZ"/>
        </w:rPr>
        <w:fldChar w:fldCharType="begin"/>
      </w:r>
      <w:r w:rsidR="00FA13B6">
        <w:rPr>
          <w:lang w:eastAsia="cs-CZ"/>
        </w:rPr>
        <w:instrText xml:space="preserve"> REF  _Ref451780735 \* Lower \h  \* MERGEFORMAT </w:instrText>
      </w:r>
      <w:r w:rsidR="00FA13B6">
        <w:rPr>
          <w:lang w:eastAsia="cs-CZ"/>
        </w:rPr>
      </w:r>
      <w:r w:rsidR="00FA13B6">
        <w:rPr>
          <w:lang w:eastAsia="cs-CZ"/>
        </w:rPr>
        <w:fldChar w:fldCharType="separate"/>
      </w:r>
      <w:r w:rsidR="003F08E5">
        <w:t xml:space="preserve">obr. </w:t>
      </w:r>
      <w:r w:rsidR="003F08E5">
        <w:rPr>
          <w:noProof/>
        </w:rPr>
        <w:t>13</w:t>
      </w:r>
      <w:r w:rsidR="00FA13B6">
        <w:rPr>
          <w:lang w:eastAsia="cs-CZ"/>
        </w:rPr>
        <w:fldChar w:fldCharType="end"/>
      </w:r>
      <w:r>
        <w:rPr>
          <w:lang w:eastAsia="cs-CZ"/>
        </w:rPr>
        <w:t xml:space="preserve"> </w:t>
      </w:r>
      <w:r w:rsidR="006337DE" w:rsidRPr="00996F36">
        <w:rPr>
          <w:lang w:eastAsia="cs-CZ"/>
        </w:rPr>
        <w:t>Při pohledu na všechny výsledky v</w:t>
      </w:r>
      <w:r>
        <w:rPr>
          <w:lang w:eastAsia="cs-CZ"/>
        </w:rPr>
        <w:t> </w:t>
      </w:r>
      <w:r w:rsidR="006337DE" w:rsidRPr="00996F36">
        <w:rPr>
          <w:lang w:eastAsia="cs-CZ"/>
        </w:rPr>
        <w:t>RIV</w:t>
      </w:r>
      <w:r>
        <w:rPr>
          <w:lang w:eastAsia="cs-CZ"/>
        </w:rPr>
        <w:t xml:space="preserve"> (viz </w:t>
      </w:r>
      <w:r w:rsidR="00FA13B6">
        <w:rPr>
          <w:lang w:eastAsia="cs-CZ"/>
        </w:rPr>
        <w:fldChar w:fldCharType="begin"/>
      </w:r>
      <w:r w:rsidR="00FA13B6">
        <w:rPr>
          <w:lang w:eastAsia="cs-CZ"/>
        </w:rPr>
        <w:instrText xml:space="preserve"> REF  _Ref451780732 \* Lower \h  \* MERGEFORMAT </w:instrText>
      </w:r>
      <w:r w:rsidR="00FA13B6">
        <w:rPr>
          <w:lang w:eastAsia="cs-CZ"/>
        </w:rPr>
      </w:r>
      <w:r w:rsidR="00FA13B6">
        <w:rPr>
          <w:lang w:eastAsia="cs-CZ"/>
        </w:rPr>
        <w:fldChar w:fldCharType="separate"/>
      </w:r>
      <w:r w:rsidR="003F08E5">
        <w:t xml:space="preserve">obr. </w:t>
      </w:r>
      <w:r w:rsidR="003F08E5">
        <w:rPr>
          <w:noProof/>
        </w:rPr>
        <w:t>11</w:t>
      </w:r>
      <w:r w:rsidR="00FA13B6">
        <w:rPr>
          <w:lang w:eastAsia="cs-CZ"/>
        </w:rPr>
        <w:fldChar w:fldCharType="end"/>
      </w:r>
      <w:r>
        <w:rPr>
          <w:lang w:eastAsia="cs-CZ"/>
        </w:rPr>
        <w:t>)</w:t>
      </w:r>
      <w:r w:rsidR="006337DE" w:rsidRPr="00996F36">
        <w:rPr>
          <w:lang w:eastAsia="cs-CZ"/>
        </w:rPr>
        <w:t>, které vznikly ve spolupráci, je patrné, že organizace CENIA a VÚSTKOZ vytvořily neobvykle velké množství společných výsledků. Při podrobnějším rozdělení výsledků na publikační a nepublikační zjistíme, že šlo výhradně o společné výsledky nepublikačního typu</w:t>
      </w:r>
      <w:r>
        <w:rPr>
          <w:lang w:eastAsia="cs-CZ"/>
        </w:rPr>
        <w:t xml:space="preserve"> (viz </w:t>
      </w:r>
      <w:r>
        <w:rPr>
          <w:lang w:eastAsia="cs-CZ"/>
        </w:rPr>
        <w:fldChar w:fldCharType="begin"/>
      </w:r>
      <w:r>
        <w:rPr>
          <w:lang w:eastAsia="cs-CZ"/>
        </w:rPr>
        <w:instrText xml:space="preserve"> REF  _Ref451780735 \* Lower \h  \* MERGEFORMAT </w:instrText>
      </w:r>
      <w:r>
        <w:rPr>
          <w:lang w:eastAsia="cs-CZ"/>
        </w:rPr>
      </w:r>
      <w:r>
        <w:rPr>
          <w:lang w:eastAsia="cs-CZ"/>
        </w:rPr>
        <w:fldChar w:fldCharType="separate"/>
      </w:r>
      <w:r w:rsidR="003F08E5">
        <w:t xml:space="preserve">obr. </w:t>
      </w:r>
      <w:r w:rsidR="003F08E5">
        <w:rPr>
          <w:noProof/>
        </w:rPr>
        <w:t>13</w:t>
      </w:r>
      <w:r>
        <w:rPr>
          <w:lang w:eastAsia="cs-CZ"/>
        </w:rPr>
        <w:fldChar w:fldCharType="end"/>
      </w:r>
      <w:r>
        <w:rPr>
          <w:lang w:eastAsia="cs-CZ"/>
        </w:rPr>
        <w:t>)</w:t>
      </w:r>
      <w:r w:rsidR="006337DE" w:rsidRPr="00996F36">
        <w:rPr>
          <w:lang w:eastAsia="cs-CZ"/>
        </w:rPr>
        <w:t>. Většinou se jednalo o cenové mapy, které byly zhotoveny a uplatněny pro každý kraj ČR zvlášť, nebo například o mapy cen biomasy, které vznikly ještě ve spolupráci s ČVUT-EL.</w:t>
      </w:r>
    </w:p>
    <w:p w:rsidR="006337DE" w:rsidRPr="00996F36" w:rsidRDefault="006337DE" w:rsidP="006337DE">
      <w:pPr>
        <w:rPr>
          <w:lang w:eastAsia="cs-CZ"/>
        </w:rPr>
      </w:pPr>
      <w:r w:rsidRPr="00996F36">
        <w:rPr>
          <w:lang w:eastAsia="cs-CZ"/>
        </w:rPr>
        <w:t>U společných výsledků v RIV všech typů stojí za povšimnutí,</w:t>
      </w:r>
      <w:r w:rsidR="001E2F0E">
        <w:rPr>
          <w:lang w:eastAsia="cs-CZ"/>
        </w:rPr>
        <w:t xml:space="preserve"> že </w:t>
      </w:r>
      <w:r w:rsidRPr="00996F36">
        <w:rPr>
          <w:lang w:eastAsia="cs-CZ"/>
        </w:rPr>
        <w:t xml:space="preserve">dominantní postavení </w:t>
      </w:r>
      <w:r w:rsidR="001E2F0E">
        <w:rPr>
          <w:lang w:eastAsia="cs-CZ"/>
        </w:rPr>
        <w:t xml:space="preserve">má také </w:t>
      </w:r>
      <w:r w:rsidRPr="00996F36">
        <w:rPr>
          <w:lang w:eastAsia="cs-CZ"/>
        </w:rPr>
        <w:t>VŠB-BI, na kterou jsou napojeny především ostatní fakulty VŠB</w:t>
      </w:r>
      <w:r w:rsidR="0022614A">
        <w:rPr>
          <w:lang w:eastAsia="cs-CZ"/>
        </w:rPr>
        <w:t xml:space="preserve"> – TU Ostrava</w:t>
      </w:r>
      <w:r w:rsidRPr="00996F36">
        <w:rPr>
          <w:lang w:eastAsia="cs-CZ"/>
        </w:rPr>
        <w:t>.</w:t>
      </w:r>
      <w:r w:rsidR="001E2F0E">
        <w:rPr>
          <w:lang w:eastAsia="cs-CZ"/>
        </w:rPr>
        <w:t xml:space="preserve"> </w:t>
      </w:r>
      <w:r w:rsidRPr="00996F36">
        <w:rPr>
          <w:lang w:eastAsia="cs-CZ"/>
        </w:rPr>
        <w:t>Při pohledu na publikace (</w:t>
      </w:r>
      <w:r w:rsidR="001E2F0E">
        <w:rPr>
          <w:lang w:eastAsia="cs-CZ"/>
        </w:rPr>
        <w:fldChar w:fldCharType="begin"/>
      </w:r>
      <w:r w:rsidR="001E2F0E">
        <w:rPr>
          <w:lang w:eastAsia="cs-CZ"/>
        </w:rPr>
        <w:instrText xml:space="preserve"> REF  _Ref451780734 \* Lower \h  \* MERGEFORMAT </w:instrText>
      </w:r>
      <w:r w:rsidR="001E2F0E">
        <w:rPr>
          <w:lang w:eastAsia="cs-CZ"/>
        </w:rPr>
      </w:r>
      <w:r w:rsidR="001E2F0E">
        <w:rPr>
          <w:lang w:eastAsia="cs-CZ"/>
        </w:rPr>
        <w:fldChar w:fldCharType="separate"/>
      </w:r>
      <w:r w:rsidR="003F08E5">
        <w:t xml:space="preserve">obr. </w:t>
      </w:r>
      <w:r w:rsidR="003F08E5">
        <w:rPr>
          <w:noProof/>
        </w:rPr>
        <w:t>12</w:t>
      </w:r>
      <w:r w:rsidR="001E2F0E">
        <w:rPr>
          <w:lang w:eastAsia="cs-CZ"/>
        </w:rPr>
        <w:fldChar w:fldCharType="end"/>
      </w:r>
      <w:r w:rsidRPr="00996F36">
        <w:rPr>
          <w:lang w:eastAsia="cs-CZ"/>
        </w:rPr>
        <w:t xml:space="preserve">) zjistíme, že se jedná nejvíce právě o výsledky publikačního typu. Provázanost spolupráce při publikačních výstupech je patrná i u medicínského shluku v okolí 3. Lékařské fakulty UK, dále okolo </w:t>
      </w:r>
      <w:r w:rsidR="00F95F13" w:rsidRPr="00F95F13">
        <w:rPr>
          <w:lang w:eastAsia="cs-CZ"/>
        </w:rPr>
        <w:t xml:space="preserve">Kriminalistického ústavu Praha </w:t>
      </w:r>
      <w:r w:rsidR="00F95F13">
        <w:rPr>
          <w:lang w:eastAsia="cs-CZ"/>
        </w:rPr>
        <w:t>(</w:t>
      </w:r>
      <w:r w:rsidRPr="00996F36">
        <w:rPr>
          <w:lang w:eastAsia="cs-CZ"/>
        </w:rPr>
        <w:t>MV-PolKU</w:t>
      </w:r>
      <w:r w:rsidR="00F95F13">
        <w:rPr>
          <w:lang w:eastAsia="cs-CZ"/>
        </w:rPr>
        <w:t>)</w:t>
      </w:r>
      <w:r w:rsidRPr="00996F36">
        <w:rPr>
          <w:lang w:eastAsia="cs-CZ"/>
        </w:rPr>
        <w:t xml:space="preserve"> nebo Fakulty vojenských technologií UO.</w:t>
      </w:r>
    </w:p>
    <w:p w:rsidR="006337DE" w:rsidRPr="00996F36" w:rsidRDefault="006337DE" w:rsidP="006337DE">
      <w:pPr>
        <w:rPr>
          <w:lang w:eastAsia="cs-CZ"/>
        </w:rPr>
      </w:pPr>
      <w:r w:rsidRPr="00996F36">
        <w:rPr>
          <w:lang w:eastAsia="cs-CZ"/>
        </w:rPr>
        <w:t>Pro síť</w:t>
      </w:r>
      <w:r w:rsidR="00FA13B6">
        <w:rPr>
          <w:lang w:eastAsia="cs-CZ"/>
        </w:rPr>
        <w:t xml:space="preserve"> (mapu) </w:t>
      </w:r>
      <w:r w:rsidRPr="00996F36">
        <w:rPr>
          <w:lang w:eastAsia="cs-CZ"/>
        </w:rPr>
        <w:t>výsledků v RIV nepublikačního typu je charakteristické, že se jedná výlučně o soubor tzv. ostrovů, tedy malého počtu organizací, které spolupracují jen mezi sebou (viz</w:t>
      </w:r>
      <w:r w:rsidR="0022614A">
        <w:rPr>
          <w:lang w:eastAsia="cs-CZ"/>
        </w:rPr>
        <w:t xml:space="preserve"> </w:t>
      </w:r>
      <w:r w:rsidR="0022614A">
        <w:rPr>
          <w:lang w:eastAsia="cs-CZ"/>
        </w:rPr>
        <w:fldChar w:fldCharType="begin"/>
      </w:r>
      <w:r w:rsidR="0022614A">
        <w:rPr>
          <w:lang w:eastAsia="cs-CZ"/>
        </w:rPr>
        <w:instrText xml:space="preserve"> REF  _Ref451780735 \* Lower \h  \* MERGEFORMAT </w:instrText>
      </w:r>
      <w:r w:rsidR="0022614A">
        <w:rPr>
          <w:lang w:eastAsia="cs-CZ"/>
        </w:rPr>
      </w:r>
      <w:r w:rsidR="0022614A">
        <w:rPr>
          <w:lang w:eastAsia="cs-CZ"/>
        </w:rPr>
        <w:fldChar w:fldCharType="separate"/>
      </w:r>
      <w:r w:rsidR="003F08E5">
        <w:t xml:space="preserve">obr. </w:t>
      </w:r>
      <w:r w:rsidR="003F08E5">
        <w:rPr>
          <w:noProof/>
        </w:rPr>
        <w:t>13</w:t>
      </w:r>
      <w:r w:rsidR="0022614A">
        <w:rPr>
          <w:lang w:eastAsia="cs-CZ"/>
        </w:rPr>
        <w:fldChar w:fldCharType="end"/>
      </w:r>
      <w:r w:rsidRPr="00996F36">
        <w:rPr>
          <w:lang w:eastAsia="cs-CZ"/>
        </w:rPr>
        <w:t>). Ve všech ostatních sítích existuje tzv. kontinent, který čítá velké množství propojených uzlů v tom smyslu, že je možné se z libovolného uzlu dostat pomocí hran do kteréhokoliv jiného uzlu.</w:t>
      </w:r>
    </w:p>
    <w:p w:rsidR="00BD4235" w:rsidRDefault="0022614A" w:rsidP="00936F85">
      <w:pPr>
        <w:rPr>
          <w:lang w:eastAsia="cs-CZ"/>
        </w:rPr>
      </w:pPr>
      <w:r>
        <w:rPr>
          <w:lang w:eastAsia="cs-CZ"/>
        </w:rPr>
        <w:t xml:space="preserve">Mapy spolupráce při tvorbě výsledků VaV tak potvrzují informace o „jádrech“ institucí aktivních v BV. Dále se ukazuje, že VŠ mohou do bezpečnostně zaměřeného VaV nabídnout expertízu z širšího spektra </w:t>
      </w:r>
      <w:r>
        <w:rPr>
          <w:lang w:eastAsia="cs-CZ"/>
        </w:rPr>
        <w:lastRenderedPageBreak/>
        <w:t>oborů. Příkladem může být VŠB – TU v Ostravě, kde na publikacích nejaktivnější fakulty v BV (</w:t>
      </w:r>
      <w:r w:rsidRPr="006337DE">
        <w:rPr>
          <w:lang w:eastAsia="cs-CZ"/>
        </w:rPr>
        <w:t>Fakult</w:t>
      </w:r>
      <w:r>
        <w:rPr>
          <w:lang w:eastAsia="cs-CZ"/>
        </w:rPr>
        <w:t>a</w:t>
      </w:r>
      <w:r w:rsidRPr="006337DE">
        <w:rPr>
          <w:lang w:eastAsia="cs-CZ"/>
        </w:rPr>
        <w:t xml:space="preserve"> bezpečnostního inženýrství</w:t>
      </w:r>
      <w:r>
        <w:rPr>
          <w:lang w:eastAsia="cs-CZ"/>
        </w:rPr>
        <w:t xml:space="preserve">) spolupracují výzkumní pracovníci z jiných pracovišť této VŠ (viz </w:t>
      </w:r>
      <w:r>
        <w:rPr>
          <w:lang w:eastAsia="cs-CZ"/>
        </w:rPr>
        <w:fldChar w:fldCharType="begin"/>
      </w:r>
      <w:r>
        <w:rPr>
          <w:lang w:eastAsia="cs-CZ"/>
        </w:rPr>
        <w:instrText xml:space="preserve"> REF  _Ref451780732 \* Lower \h  \* MERGEFORMAT </w:instrText>
      </w:r>
      <w:r>
        <w:rPr>
          <w:lang w:eastAsia="cs-CZ"/>
        </w:rPr>
      </w:r>
      <w:r>
        <w:rPr>
          <w:lang w:eastAsia="cs-CZ"/>
        </w:rPr>
        <w:fldChar w:fldCharType="separate"/>
      </w:r>
      <w:r w:rsidR="003F08E5">
        <w:t xml:space="preserve">obr. </w:t>
      </w:r>
      <w:r w:rsidR="003F08E5">
        <w:rPr>
          <w:noProof/>
        </w:rPr>
        <w:t>11</w:t>
      </w:r>
      <w:r>
        <w:rPr>
          <w:lang w:eastAsia="cs-CZ"/>
        </w:rPr>
        <w:fldChar w:fldCharType="end"/>
      </w:r>
      <w:r>
        <w:rPr>
          <w:lang w:eastAsia="cs-CZ"/>
        </w:rPr>
        <w:t xml:space="preserve">). Na tomto obrázku je také vidět, že vazby na další VŠ a výzkumná pracoviště mají i další VŠ, které s těmito pracovišti spolupracují při tvorbě publikací s bezpečnostní tematikou. </w:t>
      </w:r>
      <w:r w:rsidR="00B0046B">
        <w:rPr>
          <w:lang w:eastAsia="cs-CZ"/>
        </w:rPr>
        <w:t>Potenciál VŠ lze proto spatřovat i v řešení náročnějších projektů BV vyžadujících realizaci VaV v širším spektru vědních disciplín.</w:t>
      </w:r>
    </w:p>
    <w:p w:rsidR="00BD4235" w:rsidRDefault="008B35B1" w:rsidP="00936F85">
      <w:pPr>
        <w:rPr>
          <w:lang w:eastAsia="cs-CZ"/>
        </w:rPr>
      </w:pPr>
      <w:r>
        <w:rPr>
          <w:lang w:eastAsia="cs-CZ"/>
        </w:rPr>
        <w:t xml:space="preserve">Naopak v případě výsledků VaV nepublikačního typu (viz </w:t>
      </w:r>
      <w:r>
        <w:rPr>
          <w:lang w:eastAsia="cs-CZ"/>
        </w:rPr>
        <w:fldChar w:fldCharType="begin"/>
      </w:r>
      <w:r>
        <w:rPr>
          <w:lang w:eastAsia="cs-CZ"/>
        </w:rPr>
        <w:instrText xml:space="preserve"> REF  _Ref451780735 \* Lower \h  \* MERGEFORMAT </w:instrText>
      </w:r>
      <w:r>
        <w:rPr>
          <w:lang w:eastAsia="cs-CZ"/>
        </w:rPr>
      </w:r>
      <w:r>
        <w:rPr>
          <w:lang w:eastAsia="cs-CZ"/>
        </w:rPr>
        <w:fldChar w:fldCharType="separate"/>
      </w:r>
      <w:r w:rsidR="003F08E5">
        <w:t xml:space="preserve">obr. </w:t>
      </w:r>
      <w:r w:rsidR="003F08E5">
        <w:rPr>
          <w:noProof/>
        </w:rPr>
        <w:t>13</w:t>
      </w:r>
      <w:r>
        <w:rPr>
          <w:lang w:eastAsia="cs-CZ"/>
        </w:rPr>
        <w:fldChar w:fldCharType="end"/>
      </w:r>
      <w:r>
        <w:rPr>
          <w:lang w:eastAsia="cs-CZ"/>
        </w:rPr>
        <w:t xml:space="preserve">) lze očekávat, že spolupráce VO </w:t>
      </w:r>
      <w:r w:rsidR="00EC1D48">
        <w:rPr>
          <w:lang w:eastAsia="cs-CZ"/>
        </w:rPr>
        <w:t>bude v</w:t>
      </w:r>
      <w:r w:rsidR="008C1D65">
        <w:rPr>
          <w:lang w:eastAsia="cs-CZ"/>
        </w:rPr>
        <w:t>e</w:t>
      </w:r>
      <w:r w:rsidR="00EC1D48">
        <w:rPr>
          <w:lang w:eastAsia="cs-CZ"/>
        </w:rPr>
        <w:t>l</w:t>
      </w:r>
      <w:r w:rsidR="008C1D65">
        <w:rPr>
          <w:lang w:eastAsia="cs-CZ"/>
        </w:rPr>
        <w:t xml:space="preserve">mi lokální a </w:t>
      </w:r>
      <w:r w:rsidR="00EC1D48">
        <w:rPr>
          <w:lang w:eastAsia="cs-CZ"/>
        </w:rPr>
        <w:t xml:space="preserve">poměrně </w:t>
      </w:r>
      <w:r w:rsidR="008C1D65">
        <w:rPr>
          <w:lang w:eastAsia="cs-CZ"/>
        </w:rPr>
        <w:t>omezená</w:t>
      </w:r>
      <w:r>
        <w:rPr>
          <w:lang w:eastAsia="cs-CZ"/>
        </w:rPr>
        <w:t>. U aplikačně zaměřených výsledků VaV se zřejmě vytvářejí pouze vazby mezi relativně omezeným počtem subjektů, které mají společné know-how. S touto skutečností bude zapotřebí počítat v případě projektů strategičtějšího významu, od nichž se bude požadovat, aby jejich výsledky byly využívány v konkrétních aplikacích.</w:t>
      </w:r>
    </w:p>
    <w:p w:rsidR="00BD4235" w:rsidRDefault="00BD4235" w:rsidP="00936F85">
      <w:pPr>
        <w:rPr>
          <w:lang w:eastAsia="cs-CZ"/>
        </w:rPr>
      </w:pPr>
    </w:p>
    <w:p w:rsidR="00BD4235" w:rsidRDefault="00BD4235" w:rsidP="00BD4235">
      <w:pPr>
        <w:keepNext/>
        <w:jc w:val="center"/>
      </w:pPr>
      <w:r>
        <w:rPr>
          <w:noProof/>
          <w:lang w:eastAsia="cs-CZ"/>
        </w:rPr>
        <w:lastRenderedPageBreak/>
        <w:drawing>
          <wp:inline distT="0" distB="0" distL="0" distR="0" wp14:anchorId="3A3FC753" wp14:editId="3BCE8855">
            <wp:extent cx="5410200" cy="8115300"/>
            <wp:effectExtent l="0" t="0" r="0" b="0"/>
            <wp:docPr id="16"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410200" cy="8115300"/>
                    </a:xfrm>
                    <a:prstGeom prst="rect">
                      <a:avLst/>
                    </a:prstGeom>
                    <a:noFill/>
                  </pic:spPr>
                </pic:pic>
              </a:graphicData>
            </a:graphic>
          </wp:inline>
        </w:drawing>
      </w:r>
    </w:p>
    <w:p w:rsidR="00BD4235" w:rsidRDefault="00BD4235" w:rsidP="00BD4235">
      <w:pPr>
        <w:pStyle w:val="Titulek"/>
        <w:jc w:val="both"/>
      </w:pPr>
      <w:bookmarkStart w:id="116" w:name="_Ref451778771"/>
      <w:r>
        <w:t xml:space="preserve">Obr. </w:t>
      </w:r>
      <w:r w:rsidR="00990E2D">
        <w:fldChar w:fldCharType="begin"/>
      </w:r>
      <w:r w:rsidR="00990E2D">
        <w:instrText xml:space="preserve"> SEQ Obr. \* ARABIC </w:instrText>
      </w:r>
      <w:r w:rsidR="00990E2D">
        <w:fldChar w:fldCharType="separate"/>
      </w:r>
      <w:r w:rsidR="003F08E5">
        <w:rPr>
          <w:noProof/>
        </w:rPr>
        <w:t>9</w:t>
      </w:r>
      <w:r w:rsidR="00990E2D">
        <w:rPr>
          <w:noProof/>
        </w:rPr>
        <w:fldChar w:fldCharType="end"/>
      </w:r>
      <w:bookmarkEnd w:id="116"/>
      <w:r>
        <w:tab/>
      </w:r>
      <w:r w:rsidRPr="00BD4235">
        <w:t>Mapa reprezentující síť organizací spolupracujících na projektech. Velikost a barva hran odpovídá počtu vzájemných spoluprací. Velikost uzlů vyjadřuje součet všech spoluprací dané organizace</w:t>
      </w:r>
      <w:r>
        <w:t>. Zdroj: IS VaVaI</w:t>
      </w:r>
    </w:p>
    <w:p w:rsidR="00BD4235" w:rsidRDefault="00BD4235" w:rsidP="00BD4235">
      <w:pPr>
        <w:keepNext/>
        <w:jc w:val="center"/>
      </w:pPr>
      <w:r>
        <w:rPr>
          <w:noProof/>
          <w:lang w:eastAsia="cs-CZ"/>
        </w:rPr>
        <w:lastRenderedPageBreak/>
        <w:drawing>
          <wp:inline distT="0" distB="0" distL="0" distR="0" wp14:anchorId="7D50F2CD" wp14:editId="257F9F15">
            <wp:extent cx="5362575" cy="8048625"/>
            <wp:effectExtent l="0" t="0" r="0" b="0"/>
            <wp:docPr id="22" name="Obráze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362575" cy="8048625"/>
                    </a:xfrm>
                    <a:prstGeom prst="rect">
                      <a:avLst/>
                    </a:prstGeom>
                    <a:noFill/>
                  </pic:spPr>
                </pic:pic>
              </a:graphicData>
            </a:graphic>
          </wp:inline>
        </w:drawing>
      </w:r>
    </w:p>
    <w:p w:rsidR="00BD4235" w:rsidRDefault="00BD4235" w:rsidP="00BD4235">
      <w:pPr>
        <w:pStyle w:val="Titulek"/>
        <w:jc w:val="both"/>
      </w:pPr>
      <w:bookmarkStart w:id="117" w:name="_Ref451778871"/>
      <w:r>
        <w:t xml:space="preserve">Obr. </w:t>
      </w:r>
      <w:r w:rsidR="00990E2D">
        <w:fldChar w:fldCharType="begin"/>
      </w:r>
      <w:r w:rsidR="00990E2D">
        <w:instrText xml:space="preserve"> SEQ Obr. \* ARABIC </w:instrText>
      </w:r>
      <w:r w:rsidR="00990E2D">
        <w:fldChar w:fldCharType="separate"/>
      </w:r>
      <w:r w:rsidR="003F08E5">
        <w:rPr>
          <w:noProof/>
        </w:rPr>
        <w:t>10</w:t>
      </w:r>
      <w:r w:rsidR="00990E2D">
        <w:rPr>
          <w:noProof/>
        </w:rPr>
        <w:fldChar w:fldCharType="end"/>
      </w:r>
      <w:bookmarkEnd w:id="117"/>
      <w:r>
        <w:tab/>
      </w:r>
      <w:r w:rsidRPr="00BD4235">
        <w:t>Mapa zachycující společnou finanční podporu organizací. Velikost a barva hran odpovídá vážené finanční podpoře dvou organizací. Velikost uzlů vyjadřuje vážený součet celkové finanční podpory.</w:t>
      </w:r>
      <w:r>
        <w:t xml:space="preserve"> Zdroj: IS VaVaI</w:t>
      </w:r>
    </w:p>
    <w:p w:rsidR="00B65751" w:rsidRDefault="00B65751" w:rsidP="00B65751">
      <w:pPr>
        <w:keepNext/>
        <w:jc w:val="center"/>
      </w:pPr>
      <w:r>
        <w:rPr>
          <w:noProof/>
          <w:lang w:eastAsia="cs-CZ"/>
        </w:rPr>
        <w:lastRenderedPageBreak/>
        <w:drawing>
          <wp:inline distT="0" distB="0" distL="0" distR="0" wp14:anchorId="2C069ECE" wp14:editId="150704D4">
            <wp:extent cx="5276850" cy="7924800"/>
            <wp:effectExtent l="0" t="0" r="0" b="0"/>
            <wp:docPr id="27" name="Obráze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276850" cy="7924800"/>
                    </a:xfrm>
                    <a:prstGeom prst="rect">
                      <a:avLst/>
                    </a:prstGeom>
                    <a:noFill/>
                  </pic:spPr>
                </pic:pic>
              </a:graphicData>
            </a:graphic>
          </wp:inline>
        </w:drawing>
      </w:r>
    </w:p>
    <w:p w:rsidR="00936F85" w:rsidRPr="00996F36" w:rsidRDefault="00B65751" w:rsidP="00B65751">
      <w:pPr>
        <w:pStyle w:val="Titulek"/>
        <w:jc w:val="both"/>
        <w:rPr>
          <w:lang w:eastAsia="cs-CZ"/>
        </w:rPr>
      </w:pPr>
      <w:bookmarkStart w:id="118" w:name="_Ref451780732"/>
      <w:r>
        <w:t xml:space="preserve">Obr. </w:t>
      </w:r>
      <w:r w:rsidR="00990E2D">
        <w:fldChar w:fldCharType="begin"/>
      </w:r>
      <w:r w:rsidR="00990E2D">
        <w:instrText xml:space="preserve"> SEQ Obr. \* ARABIC </w:instrText>
      </w:r>
      <w:r w:rsidR="00990E2D">
        <w:fldChar w:fldCharType="separate"/>
      </w:r>
      <w:r w:rsidR="003F08E5">
        <w:rPr>
          <w:noProof/>
        </w:rPr>
        <w:t>11</w:t>
      </w:r>
      <w:r w:rsidR="00990E2D">
        <w:rPr>
          <w:noProof/>
        </w:rPr>
        <w:fldChar w:fldCharType="end"/>
      </w:r>
      <w:bookmarkEnd w:id="118"/>
      <w:r>
        <w:tab/>
      </w:r>
      <w:r w:rsidRPr="00B65751">
        <w:t>Mapa popisující spoluautorství organizací na společných výsledcích všech typů evidovaných v RIV. Velikost a barva hran odpovídá počtu společných výsledků. Velikost uzlů představuje součet všech výsledků dané organizace uskutečněných ve spolupráci s alespoň jednou další organizací. Zdroj: IS VaVaI</w:t>
      </w:r>
    </w:p>
    <w:p w:rsidR="00B65751" w:rsidRDefault="00B65751" w:rsidP="00B65751">
      <w:pPr>
        <w:keepNext/>
        <w:jc w:val="center"/>
      </w:pPr>
      <w:r>
        <w:rPr>
          <w:noProof/>
          <w:lang w:eastAsia="cs-CZ"/>
        </w:rPr>
        <w:lastRenderedPageBreak/>
        <w:drawing>
          <wp:inline distT="0" distB="0" distL="0" distR="0" wp14:anchorId="4950F123" wp14:editId="413FA76D">
            <wp:extent cx="5286375" cy="7924800"/>
            <wp:effectExtent l="0" t="0" r="0" b="0"/>
            <wp:docPr id="29" name="Obráze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286375" cy="7924800"/>
                    </a:xfrm>
                    <a:prstGeom prst="rect">
                      <a:avLst/>
                    </a:prstGeom>
                    <a:noFill/>
                  </pic:spPr>
                </pic:pic>
              </a:graphicData>
            </a:graphic>
          </wp:inline>
        </w:drawing>
      </w:r>
    </w:p>
    <w:p w:rsidR="00B65751" w:rsidRDefault="00B65751" w:rsidP="00B65751">
      <w:pPr>
        <w:pStyle w:val="Titulek"/>
        <w:jc w:val="both"/>
        <w:rPr>
          <w:lang w:eastAsia="cs-CZ"/>
        </w:rPr>
      </w:pPr>
      <w:bookmarkStart w:id="119" w:name="_Ref451780734"/>
      <w:r>
        <w:t xml:space="preserve">Obr. </w:t>
      </w:r>
      <w:r w:rsidR="00990E2D">
        <w:fldChar w:fldCharType="begin"/>
      </w:r>
      <w:r w:rsidR="00990E2D">
        <w:instrText xml:space="preserve"> SEQ Obr. \* ARABIC </w:instrText>
      </w:r>
      <w:r w:rsidR="00990E2D">
        <w:fldChar w:fldCharType="separate"/>
      </w:r>
      <w:r w:rsidR="003F08E5">
        <w:rPr>
          <w:noProof/>
        </w:rPr>
        <w:t>12</w:t>
      </w:r>
      <w:r w:rsidR="00990E2D">
        <w:rPr>
          <w:noProof/>
        </w:rPr>
        <w:fldChar w:fldCharType="end"/>
      </w:r>
      <w:bookmarkEnd w:id="119"/>
      <w:r>
        <w:tab/>
      </w:r>
      <w:r w:rsidRPr="00B65751">
        <w:t>Mapa popisující spoluautorství organizací na společných publikacích evidovaných v RIV. Velikost a barva hran odpovídá počtu společných publikací. Velikost uzlů představuje součet všech publikací dané organizace uskutečněných ve spolupráci s alespoň jednou další organizací. Zdroj: IS VaVaI</w:t>
      </w:r>
    </w:p>
    <w:p w:rsidR="00B65751" w:rsidRDefault="00B65751" w:rsidP="00936F85">
      <w:pPr>
        <w:rPr>
          <w:lang w:eastAsia="cs-CZ"/>
        </w:rPr>
      </w:pPr>
    </w:p>
    <w:p w:rsidR="00B65751" w:rsidRDefault="00B65751" w:rsidP="00936F85">
      <w:pPr>
        <w:rPr>
          <w:lang w:eastAsia="cs-CZ"/>
        </w:rPr>
      </w:pPr>
    </w:p>
    <w:p w:rsidR="00B65751" w:rsidRDefault="00B65751" w:rsidP="00B65751">
      <w:pPr>
        <w:keepNext/>
        <w:jc w:val="center"/>
      </w:pPr>
      <w:r>
        <w:rPr>
          <w:noProof/>
          <w:lang w:eastAsia="cs-CZ"/>
        </w:rPr>
        <w:drawing>
          <wp:inline distT="0" distB="0" distL="0" distR="0" wp14:anchorId="4206E706" wp14:editId="1DD9B6A3">
            <wp:extent cx="4895850" cy="7353300"/>
            <wp:effectExtent l="0" t="0" r="0" b="0"/>
            <wp:docPr id="30" name="Obráze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895850" cy="7353300"/>
                    </a:xfrm>
                    <a:prstGeom prst="rect">
                      <a:avLst/>
                    </a:prstGeom>
                    <a:noFill/>
                  </pic:spPr>
                </pic:pic>
              </a:graphicData>
            </a:graphic>
          </wp:inline>
        </w:drawing>
      </w:r>
    </w:p>
    <w:p w:rsidR="00B65751" w:rsidRDefault="00B65751" w:rsidP="00B65751">
      <w:pPr>
        <w:pStyle w:val="Titulek"/>
        <w:jc w:val="both"/>
      </w:pPr>
      <w:bookmarkStart w:id="120" w:name="_Ref451780735"/>
      <w:r>
        <w:t xml:space="preserve">Obr. </w:t>
      </w:r>
      <w:r w:rsidR="00990E2D">
        <w:fldChar w:fldCharType="begin"/>
      </w:r>
      <w:r w:rsidR="00990E2D">
        <w:instrText xml:space="preserve"> SEQ Obr. \* ARABIC </w:instrText>
      </w:r>
      <w:r w:rsidR="00990E2D">
        <w:fldChar w:fldCharType="separate"/>
      </w:r>
      <w:r w:rsidR="003F08E5">
        <w:rPr>
          <w:noProof/>
        </w:rPr>
        <w:t>13</w:t>
      </w:r>
      <w:r w:rsidR="00990E2D">
        <w:rPr>
          <w:noProof/>
        </w:rPr>
        <w:fldChar w:fldCharType="end"/>
      </w:r>
      <w:bookmarkEnd w:id="120"/>
      <w:r>
        <w:tab/>
      </w:r>
      <w:r w:rsidR="00FA13B6">
        <w:t>Mapa</w:t>
      </w:r>
      <w:r w:rsidRPr="00B65751">
        <w:t xml:space="preserve"> vyjadřující spoluautorství organizací na společných výsledcích nepublikačního typu evidovaných v RIV. Velikost a barva hran odpovídá počtu společných výsledků. Velikost uzlů představuje součet všech výsledků dané organizace uskutečněných ve spolupráci s alespoň jednou další organizací. Zdroj: IS VaVaI</w:t>
      </w:r>
    </w:p>
    <w:p w:rsidR="00F17649" w:rsidRPr="00F17649" w:rsidRDefault="00F17649" w:rsidP="00F17649">
      <w:pPr>
        <w:keepNext/>
        <w:keepLines/>
        <w:numPr>
          <w:ilvl w:val="1"/>
          <w:numId w:val="1"/>
        </w:numPr>
        <w:spacing w:before="200" w:after="240"/>
        <w:outlineLvl w:val="1"/>
        <w:rPr>
          <w:rFonts w:ascii="Calibri" w:eastAsiaTheme="majorEastAsia" w:hAnsi="Calibri" w:cstheme="majorBidi"/>
          <w:b/>
          <w:bCs/>
          <w:color w:val="4F81BD" w:themeColor="accent1"/>
          <w:sz w:val="26"/>
          <w:szCs w:val="26"/>
          <w:lang w:eastAsia="cs-CZ"/>
        </w:rPr>
      </w:pPr>
      <w:bookmarkStart w:id="121" w:name="_Toc451514504"/>
      <w:bookmarkStart w:id="122" w:name="_Ref451522690"/>
      <w:bookmarkStart w:id="123" w:name="_Ref451765085"/>
      <w:bookmarkStart w:id="124" w:name="_Ref451865691"/>
      <w:bookmarkStart w:id="125" w:name="_Ref451872724"/>
      <w:bookmarkStart w:id="126" w:name="_Ref452121631"/>
      <w:bookmarkStart w:id="127" w:name="_Ref454194730"/>
      <w:bookmarkStart w:id="128" w:name="_Ref454194750"/>
      <w:bookmarkStart w:id="129" w:name="_Toc459723292"/>
      <w:r w:rsidRPr="00F17649">
        <w:rPr>
          <w:rFonts w:ascii="Calibri" w:eastAsiaTheme="majorEastAsia" w:hAnsi="Calibri" w:cstheme="majorBidi"/>
          <w:b/>
          <w:bCs/>
          <w:color w:val="4F81BD" w:themeColor="accent1"/>
          <w:sz w:val="26"/>
          <w:szCs w:val="26"/>
          <w:lang w:eastAsia="cs-CZ"/>
        </w:rPr>
        <w:lastRenderedPageBreak/>
        <w:t>Mezinárodní spolupráce</w:t>
      </w:r>
      <w:bookmarkEnd w:id="121"/>
      <w:bookmarkEnd w:id="122"/>
      <w:bookmarkEnd w:id="123"/>
      <w:bookmarkEnd w:id="124"/>
      <w:bookmarkEnd w:id="125"/>
      <w:bookmarkEnd w:id="126"/>
      <w:bookmarkEnd w:id="127"/>
      <w:bookmarkEnd w:id="128"/>
      <w:bookmarkEnd w:id="129"/>
    </w:p>
    <w:p w:rsidR="00F17649" w:rsidRPr="00F17649" w:rsidRDefault="00AD5AE9" w:rsidP="00AD5AE9">
      <w:pPr>
        <w:pStyle w:val="Nadpis3"/>
      </w:pPr>
      <w:bookmarkStart w:id="130" w:name="_Ref454271499"/>
      <w:bookmarkStart w:id="131" w:name="_Toc459723293"/>
      <w:r w:rsidRPr="00AD5AE9">
        <w:t>Mezinárodní priority a veřejná podpora bezpečnostního výzkumu</w:t>
      </w:r>
      <w:bookmarkEnd w:id="130"/>
      <w:bookmarkEnd w:id="131"/>
    </w:p>
    <w:tbl>
      <w:tblPr>
        <w:tblW w:w="0" w:type="auto"/>
        <w:tblLook w:val="04A0" w:firstRow="1" w:lastRow="0" w:firstColumn="1" w:lastColumn="0" w:noHBand="0" w:noVBand="1"/>
      </w:tblPr>
      <w:tblGrid>
        <w:gridCol w:w="9430"/>
      </w:tblGrid>
      <w:tr w:rsidR="00215A7C" w:rsidTr="00D01AD6">
        <w:tc>
          <w:tcPr>
            <w:tcW w:w="9430"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D01AD6" w:rsidRDefault="00D01AD6" w:rsidP="00D01AD6">
            <w:r w:rsidRPr="00D01AD6">
              <w:t>V oblasti výzkumu hrají zásadní úlohu DG HOME, DG RTD, DG CNECT, DG EAC a jejich agentury REA a EASME.</w:t>
            </w:r>
            <w:r>
              <w:t xml:space="preserve"> </w:t>
            </w:r>
            <w:r w:rsidRPr="00D01AD6">
              <w:t>Mezi základní dokumenty patří Evropský program pro bezpečnost, který je základem pro společný program EU a členských zemí do roku 2020. Soustřeďuje se na oblast terorismu a předcházení radikalizace, organizovaného zločinu a kybernetické kriminality, kde je vzájemná spolupráce nezbytná.</w:t>
            </w:r>
            <w:r>
              <w:t xml:space="preserve"> Prioritami Evropského programu pro bezpečnost jsou</w:t>
            </w:r>
          </w:p>
          <w:p w:rsidR="00D01AD6" w:rsidRDefault="00D01AD6" w:rsidP="00D01AD6">
            <w:pPr>
              <w:pStyle w:val="Odstavecseseznamem"/>
              <w:numPr>
                <w:ilvl w:val="0"/>
                <w:numId w:val="21"/>
              </w:numPr>
              <w:ind w:left="714" w:hanging="357"/>
              <w:contextualSpacing w:val="0"/>
            </w:pPr>
            <w:r>
              <w:t>Boj proti terorismu a předcházení radikalizaci;</w:t>
            </w:r>
          </w:p>
          <w:p w:rsidR="00D01AD6" w:rsidRDefault="00D01AD6" w:rsidP="00D01AD6">
            <w:pPr>
              <w:pStyle w:val="Odstavecseseznamem"/>
              <w:numPr>
                <w:ilvl w:val="0"/>
                <w:numId w:val="21"/>
              </w:numPr>
              <w:ind w:left="714" w:hanging="357"/>
              <w:contextualSpacing w:val="0"/>
            </w:pPr>
            <w:r>
              <w:t>Narušování organizované trestné činnosti;</w:t>
            </w:r>
          </w:p>
          <w:p w:rsidR="00215A7C" w:rsidRDefault="00D01AD6" w:rsidP="00D01AD6">
            <w:pPr>
              <w:pStyle w:val="Odstavecseseznamem"/>
              <w:numPr>
                <w:ilvl w:val="0"/>
                <w:numId w:val="21"/>
              </w:numPr>
              <w:ind w:left="714" w:hanging="357"/>
              <w:contextualSpacing w:val="0"/>
            </w:pPr>
            <w:r>
              <w:t>Boj proti kybernetické kriminalitě.</w:t>
            </w:r>
          </w:p>
          <w:p w:rsidR="006854B5" w:rsidRDefault="00D01AD6" w:rsidP="00D01AD6">
            <w:r>
              <w:t>Klíčovou roli ve veřejné podpoře bezpečnostně zaměřeného VaV v současné době hraje Horizont 2020 - rámco</w:t>
            </w:r>
            <w:r w:rsidR="006854B5">
              <w:t>vý program pro výzkum a inovace</w:t>
            </w:r>
            <w:r>
              <w:t xml:space="preserve">, který je realizován v letech 2014 – 2020. </w:t>
            </w:r>
            <w:r w:rsidR="006854B5" w:rsidRPr="006854B5">
              <w:t>Bezpečnostním výzkumem se zabývá jeho pod</w:t>
            </w:r>
            <w:r w:rsidR="006854B5">
              <w:t>program Bezpečné společnosti – o</w:t>
            </w:r>
            <w:r w:rsidR="006854B5" w:rsidRPr="006854B5">
              <w:t>chrana svobody a bezpečnosti Evropy a jejích obyvatel.</w:t>
            </w:r>
            <w:r w:rsidR="006854B5">
              <w:t xml:space="preserve"> </w:t>
            </w:r>
            <w:r>
              <w:t>Řešená témata jsou implementací evropských politik pro civilní bezpečnost. Témata bezpečnostního výzkumu jsou ale obsažena i v dalších částech programu H2020.</w:t>
            </w:r>
          </w:p>
        </w:tc>
      </w:tr>
    </w:tbl>
    <w:p w:rsidR="009F7176" w:rsidRPr="009F7176" w:rsidRDefault="004B4CE2" w:rsidP="004B4CE2">
      <w:pPr>
        <w:pStyle w:val="Nadpis4"/>
      </w:pPr>
      <w:bookmarkStart w:id="132" w:name="_Toc459723294"/>
      <w:r w:rsidRPr="004B4CE2">
        <w:t xml:space="preserve">Politiky EU související s bezpečnostním výzkumem </w:t>
      </w:r>
      <w:r>
        <w:t>a p</w:t>
      </w:r>
      <w:r w:rsidR="009F7176" w:rsidRPr="009F7176">
        <w:t>riority EU pro oblast bezpečnosti</w:t>
      </w:r>
      <w:bookmarkEnd w:id="132"/>
    </w:p>
    <w:p w:rsidR="004B4CE2" w:rsidRPr="004B4CE2" w:rsidRDefault="004B4CE2" w:rsidP="004B4CE2">
      <w:r w:rsidRPr="004B4CE2">
        <w:t>K zajištění bezpečné a odolné evropské společnosti je nutná spolupráce mnoha sektorů</w:t>
      </w:r>
      <w:r>
        <w:t>,</w:t>
      </w:r>
      <w:r w:rsidRPr="004B4CE2">
        <w:t xml:space="preserve"> a to nejen v multidisciplinárním výzkumu a inovacích, ale také ve vytvoření odpovídajícího právního rámce, který je podmíněn spoluprací všech členských zemí EU. Důležitou úlohu při vzniku a  prosazování evropských politik má Evropská komise, její oborově příslušná ředitelství</w:t>
      </w:r>
      <w:r>
        <w:t xml:space="preserve"> (DG)</w:t>
      </w:r>
      <w:r w:rsidRPr="004B4CE2">
        <w:t>, mezivládní agentury a spolupracující organizace</w:t>
      </w:r>
      <w:r>
        <w:t>,</w:t>
      </w:r>
      <w:r w:rsidRPr="004B4CE2">
        <w:t xml:space="preserve"> jako</w:t>
      </w:r>
      <w:r>
        <w:t xml:space="preserve"> je</w:t>
      </w:r>
      <w:r w:rsidRPr="004B4CE2">
        <w:t xml:space="preserve"> NATO, Spojené Národy, Interpol a další. </w:t>
      </w:r>
    </w:p>
    <w:p w:rsidR="004B4CE2" w:rsidRPr="004B4CE2" w:rsidRDefault="004B4CE2" w:rsidP="004B4CE2">
      <w:r w:rsidRPr="004B4CE2">
        <w:t>V oblasti výzkumu hrají zásadní úlohu DG HOME, DG RTD, DG CNECT, DG EAC a jejich agentury REA a EASME. Vzhledem k širokému záběru aktivit je ale pro bezpečnost obyvatel nezbytné sledovat i politiky prosazované dalšími ředitelstvími</w:t>
      </w:r>
      <w:r>
        <w:t>,</w:t>
      </w:r>
      <w:r w:rsidRPr="004B4CE2">
        <w:t xml:space="preserve"> jako</w:t>
      </w:r>
      <w:r>
        <w:t xml:space="preserve"> je</w:t>
      </w:r>
      <w:r w:rsidRPr="004B4CE2">
        <w:t xml:space="preserve"> DG SANCO (zdraví), DG ENVI (životní prostředí), DG CLIMA (klimatické změny), DG ECHO (ochrana obyvatel), DG GROW (průmysl a podnikání), DG MOVE (doprava), DG ENER (energetika), DG TRADE (pohyb zboží), DG DEVCO (mezinárodní spolupráce), DG TAXUD (cla-bezpečnost dodavatelského řetězce). Dalšími aktéry v prosazování politik důležitých pro bezpečnost obyvatel jsou agentury jako EDA (obrana), EEAS (vnější bezpečnost), EUROPOL (prosazování zákonů), FRONTEX (ochrana hranic), FPI (nástroje cizinecké politiky).  </w:t>
      </w:r>
    </w:p>
    <w:p w:rsidR="004B4CE2" w:rsidRPr="004B4CE2" w:rsidRDefault="004B4CE2" w:rsidP="004B4CE2">
      <w:r w:rsidRPr="004B4CE2">
        <w:t>Základní závazné dokumenty související s civilním bezpečnostním výzkumem lze najít v elektronické knihovně</w:t>
      </w:r>
      <w:r>
        <w:rPr>
          <w:rStyle w:val="Znakapoznpodarou"/>
        </w:rPr>
        <w:footnoteReference w:id="28"/>
      </w:r>
      <w:r w:rsidRPr="004B4CE2">
        <w:t xml:space="preserve"> DG HOME. Související právní a podpůrné materiály je ale nutné vyhledávat i na stránkách výše uvedených Generálních ředitelství a v dalších zdrojích.</w:t>
      </w:r>
    </w:p>
    <w:p w:rsidR="004B4CE2" w:rsidRPr="004B4CE2" w:rsidRDefault="004B4CE2" w:rsidP="004B4CE2">
      <w:pPr>
        <w:rPr>
          <w:bCs/>
          <w:u w:val="single"/>
          <w:lang w:val="en-GB"/>
        </w:rPr>
      </w:pPr>
      <w:r w:rsidRPr="004B4CE2">
        <w:t xml:space="preserve">Mezi základní dokumenty patří </w:t>
      </w:r>
      <w:r w:rsidRPr="004B4CE2">
        <w:rPr>
          <w:b/>
        </w:rPr>
        <w:t>Evropský program pro bezpečnost</w:t>
      </w:r>
      <w:r w:rsidRPr="004B4CE2">
        <w:t xml:space="preserve"> (The European Agenda on Security), sdělení EK evropskému Parlamentu, Radě, Hospodářskému a sociálnímu výboru a Výboru regionů z dubna 2015</w:t>
      </w:r>
      <w:r w:rsidR="00545844">
        <w:t xml:space="preserve"> </w:t>
      </w:r>
      <w:r w:rsidR="00545844">
        <w:fldChar w:fldCharType="begin"/>
      </w:r>
      <w:r w:rsidR="00545844">
        <w:instrText xml:space="preserve"> REF _Ref454266834 \r \h </w:instrText>
      </w:r>
      <w:r w:rsidR="00545844">
        <w:fldChar w:fldCharType="separate"/>
      </w:r>
      <w:r w:rsidR="003F08E5">
        <w:t>[15]</w:t>
      </w:r>
      <w:r w:rsidR="00545844">
        <w:fldChar w:fldCharType="end"/>
      </w:r>
      <w:r w:rsidRPr="004B4CE2">
        <w:t>, který je základem pro společný program EU a členských zemí do roku 2020. Soustřeďuje se na oblast terorismu a předcházení radikalizace, organizovaného zločinu a kybernetické kriminality, kde je vzájemná spolupráce nezbytná. Text je zdrojem odkazů na další politiky</w:t>
      </w:r>
      <w:r>
        <w:t>.</w:t>
      </w:r>
    </w:p>
    <w:p w:rsidR="004B4CE2" w:rsidRPr="00F86A75" w:rsidRDefault="004B4CE2" w:rsidP="004B4CE2">
      <w:pPr>
        <w:rPr>
          <w:b/>
          <w:bCs/>
        </w:rPr>
      </w:pPr>
      <w:r w:rsidRPr="00F86A75">
        <w:rPr>
          <w:b/>
          <w:bCs/>
        </w:rPr>
        <w:t>Priority Evropského programu pro bezpečnost</w:t>
      </w:r>
    </w:p>
    <w:p w:rsidR="004B4CE2" w:rsidRPr="004B4CE2" w:rsidRDefault="004B4CE2" w:rsidP="004B4CE2">
      <w:pPr>
        <w:rPr>
          <w:bCs/>
        </w:rPr>
      </w:pPr>
      <w:r w:rsidRPr="004B4CE2">
        <w:rPr>
          <w:bCs/>
        </w:rPr>
        <w:t xml:space="preserve">Bezpečnostní situace v Evropě vyžaduje účinnou a koordinovanou spolupráci, výměnu informací a vzájemné důvěru mezi všemi zúčastněnými subjekty. Cílem je posílení evropské spolupráce ve třech hlavních prioritách definovaných pro zlepšení bezpečnosti Evropy a jejích občanů: </w:t>
      </w:r>
    </w:p>
    <w:p w:rsidR="004B4CE2" w:rsidRPr="004B4CE2" w:rsidRDefault="004B4CE2" w:rsidP="00F86A75">
      <w:pPr>
        <w:numPr>
          <w:ilvl w:val="0"/>
          <w:numId w:val="18"/>
        </w:numPr>
        <w:rPr>
          <w:bCs/>
        </w:rPr>
      </w:pPr>
      <w:r w:rsidRPr="004B4CE2">
        <w:rPr>
          <w:bCs/>
        </w:rPr>
        <w:t xml:space="preserve">Boj proti terorismu a předcházení radikalizaci </w:t>
      </w:r>
    </w:p>
    <w:p w:rsidR="004B4CE2" w:rsidRPr="004B4CE2" w:rsidRDefault="004B4CE2" w:rsidP="00F86A75">
      <w:pPr>
        <w:numPr>
          <w:ilvl w:val="0"/>
          <w:numId w:val="18"/>
        </w:numPr>
        <w:rPr>
          <w:bCs/>
        </w:rPr>
      </w:pPr>
      <w:r w:rsidRPr="004B4CE2">
        <w:rPr>
          <w:bCs/>
        </w:rPr>
        <w:lastRenderedPageBreak/>
        <w:t xml:space="preserve">Narušování organizované trestné činnosti </w:t>
      </w:r>
    </w:p>
    <w:p w:rsidR="00F86A75" w:rsidRDefault="004B4CE2" w:rsidP="00F86A75">
      <w:pPr>
        <w:numPr>
          <w:ilvl w:val="0"/>
          <w:numId w:val="18"/>
        </w:numPr>
        <w:rPr>
          <w:bCs/>
        </w:rPr>
      </w:pPr>
      <w:r w:rsidRPr="004B4CE2">
        <w:rPr>
          <w:bCs/>
        </w:rPr>
        <w:t>Boj proti kybernetické kriminalitě</w:t>
      </w:r>
    </w:p>
    <w:p w:rsidR="004B4CE2" w:rsidRPr="00F86A75" w:rsidRDefault="004B4CE2" w:rsidP="00F86A75">
      <w:pPr>
        <w:spacing w:before="240"/>
        <w:rPr>
          <w:bCs/>
          <w:i/>
        </w:rPr>
      </w:pPr>
      <w:r w:rsidRPr="00F86A75">
        <w:rPr>
          <w:bCs/>
          <w:i/>
        </w:rPr>
        <w:t>Boj proti terorismu a předcházení radikalizaci.</w:t>
      </w:r>
    </w:p>
    <w:p w:rsidR="004B4CE2" w:rsidRPr="004B4CE2" w:rsidRDefault="004B4CE2" w:rsidP="004B4CE2">
      <w:pPr>
        <w:rPr>
          <w:bCs/>
        </w:rPr>
      </w:pPr>
      <w:r w:rsidRPr="004B4CE2">
        <w:rPr>
          <w:bCs/>
        </w:rPr>
        <w:t xml:space="preserve">Byla navržena podpora činnosti EUROPOLU vznikem Evropského centra pro boj proti terorismu, zahájení intenzivní spolupráce s IT firmami pro zamezení teroristické propagandy a v oblasti šifrovacích technologií. Budou zavedena opatření k zamezení financování terorismu, budou revidovány politické rámce programů EU v oblasti vzdělávání a mládeže a vytvořeny programy na prevenci radikalizace. Akce proti radikalizaci budou rozšířeny i na Turecko, západní Balkán, Blízký východ a severní Afriku.  </w:t>
      </w:r>
    </w:p>
    <w:p w:rsidR="004B4CE2" w:rsidRPr="00F86A75" w:rsidRDefault="004B4CE2" w:rsidP="00F86A75">
      <w:pPr>
        <w:spacing w:before="240"/>
        <w:rPr>
          <w:bCs/>
          <w:i/>
        </w:rPr>
      </w:pPr>
      <w:r w:rsidRPr="00F86A75">
        <w:rPr>
          <w:bCs/>
          <w:i/>
        </w:rPr>
        <w:t xml:space="preserve">Narušování organizované trestné činnosti </w:t>
      </w:r>
    </w:p>
    <w:p w:rsidR="004B4CE2" w:rsidRPr="004B4CE2" w:rsidRDefault="004B4CE2" w:rsidP="004B4CE2">
      <w:pPr>
        <w:rPr>
          <w:bCs/>
        </w:rPr>
      </w:pPr>
      <w:r w:rsidRPr="004B4CE2">
        <w:rPr>
          <w:bCs/>
        </w:rPr>
        <w:t xml:space="preserve">Akce budou směřovat na finanční zdroje organizované trestné činnosti ve všech oblastech, bude věnována pozornost Evropské síti pro předcházení trestné činnosti, posílena legislativa umožňující vyhledávání majetku z trestné činnosti, jeho zmrazení, případně konfiskaci. Pozornost bude věnována korupci, nelegálnímu obchodu s drogami, zbraněmi a lidmi.  Bude posílena spolupráce se sousedními zeměmi. </w:t>
      </w:r>
    </w:p>
    <w:p w:rsidR="004B4CE2" w:rsidRPr="00F86A75" w:rsidRDefault="004B4CE2" w:rsidP="00F86A75">
      <w:pPr>
        <w:spacing w:before="240"/>
        <w:rPr>
          <w:bCs/>
          <w:i/>
        </w:rPr>
      </w:pPr>
      <w:r w:rsidRPr="00F86A75">
        <w:rPr>
          <w:bCs/>
          <w:i/>
        </w:rPr>
        <w:t>Boj proti kybernetické kriminalitě</w:t>
      </w:r>
    </w:p>
    <w:p w:rsidR="004B4CE2" w:rsidRPr="004B4CE2" w:rsidRDefault="004B4CE2" w:rsidP="004B4CE2">
      <w:pPr>
        <w:rPr>
          <w:bCs/>
        </w:rPr>
      </w:pPr>
      <w:r w:rsidRPr="004B4CE2">
        <w:rPr>
          <w:bCs/>
        </w:rPr>
        <w:t xml:space="preserve">Základním prvkem bude zajistit dodržování stávajících právních předpisů a politik EU v oblasti kybernetické bezpečnosti a protiprávnímu užívání možností internetu. Důraz bude kladen na dodržování ochrany osobních údajů. Budou revidovány právní předpisy pro boj proti padělání bezhotovostních plateb a přezkoumány překážky vyšetřování kyberkriminality. V rámci EUROPOL vznikne evropské centrum pro boj proti kyberkriminalitě. </w:t>
      </w:r>
    </w:p>
    <w:p w:rsidR="004B4CE2" w:rsidRPr="004B4CE2" w:rsidRDefault="004B4CE2" w:rsidP="00B247D7">
      <w:pPr>
        <w:spacing w:before="240"/>
      </w:pPr>
      <w:r w:rsidRPr="004B4CE2">
        <w:rPr>
          <w:bCs/>
        </w:rPr>
        <w:t>Priority Evropského programu pro bezpečnost se promítly do témat výzkumu v programu H2020</w:t>
      </w:r>
      <w:r w:rsidR="00F86A75">
        <w:rPr>
          <w:bCs/>
        </w:rPr>
        <w:t xml:space="preserve"> (viz další text)</w:t>
      </w:r>
      <w:r w:rsidRPr="004B4CE2">
        <w:rPr>
          <w:bCs/>
        </w:rPr>
        <w:t>.</w:t>
      </w:r>
      <w:r w:rsidR="00F86A75">
        <w:rPr>
          <w:bCs/>
        </w:rPr>
        <w:t xml:space="preserve"> </w:t>
      </w:r>
      <w:r w:rsidRPr="004B4CE2">
        <w:rPr>
          <w:bCs/>
        </w:rPr>
        <w:t>Do řešené problematiky ale zasahují i další níže uvedené evropské politiky.</w:t>
      </w:r>
      <w:r w:rsidR="00B247D7">
        <w:rPr>
          <w:bCs/>
        </w:rPr>
        <w:t xml:space="preserve"> </w:t>
      </w:r>
      <w:r w:rsidRPr="004B4CE2">
        <w:t>V roce 2014 byl přijat dokument o strategii vnitřní bezpečnosti Evropské unie</w:t>
      </w:r>
      <w:r w:rsidRPr="00F86A75">
        <w:t xml:space="preserve"> </w:t>
      </w:r>
      <w:r w:rsidR="00F86A75" w:rsidRPr="00F86A75">
        <w:fldChar w:fldCharType="begin"/>
      </w:r>
      <w:r w:rsidR="00F86A75" w:rsidRPr="00F86A75">
        <w:instrText xml:space="preserve"> REF _Ref454266323 \r \h  \* MERGEFORMAT </w:instrText>
      </w:r>
      <w:r w:rsidR="00F86A75" w:rsidRPr="00F86A75">
        <w:fldChar w:fldCharType="separate"/>
      </w:r>
      <w:r w:rsidR="003F08E5">
        <w:t>[16]</w:t>
      </w:r>
      <w:r w:rsidR="00F86A75" w:rsidRPr="00F86A75">
        <w:fldChar w:fldCharType="end"/>
      </w:r>
      <w:r w:rsidRPr="00F86A75">
        <w:t>.</w:t>
      </w:r>
      <w:r w:rsidRPr="004B4CE2">
        <w:t xml:space="preserve"> V návaznosti byla vypracována řada závazných dokumentů a programů s tématikou Evropy bezpečné pro její obyvatele obecného i oborově zaměřeného charakteru. </w:t>
      </w:r>
    </w:p>
    <w:p w:rsidR="004B4CE2" w:rsidRPr="004B4CE2" w:rsidRDefault="004B4CE2" w:rsidP="004B4CE2">
      <w:pPr>
        <w:rPr>
          <w:bCs/>
        </w:rPr>
      </w:pPr>
      <w:r w:rsidRPr="004B4CE2">
        <w:rPr>
          <w:bCs/>
        </w:rPr>
        <w:t>Souhrn implementace Evropského programu pro bezpečnost z dubna letošního roku uvádí přehled o aktivit</w:t>
      </w:r>
      <w:r w:rsidR="00B247D7">
        <w:rPr>
          <w:bCs/>
        </w:rPr>
        <w:t>ách prvního roku implementace</w:t>
      </w:r>
      <w:r w:rsidR="00B247D7">
        <w:rPr>
          <w:rStyle w:val="Znakapoznpodarou"/>
          <w:bCs/>
        </w:rPr>
        <w:footnoteReference w:id="29"/>
      </w:r>
      <w:r w:rsidR="00B247D7">
        <w:rPr>
          <w:bCs/>
        </w:rPr>
        <w:t xml:space="preserve">. </w:t>
      </w:r>
      <w:r w:rsidRPr="004B4CE2">
        <w:rPr>
          <w:bCs/>
        </w:rPr>
        <w:t xml:space="preserve">Pro oblast výzkumu je zdůrazněna úloha inovací pro konkurenceschopný evropský průmysl a posílení jednotného trhu, což souvisí s plněním akčního plánu </w:t>
      </w:r>
      <w:r w:rsidRPr="00545844">
        <w:rPr>
          <w:bCs/>
        </w:rPr>
        <w:t xml:space="preserve">Bezpečnostní politika v průmyslu. </w:t>
      </w:r>
    </w:p>
    <w:p w:rsidR="00545844" w:rsidRDefault="004B4CE2" w:rsidP="004B4CE2">
      <w:pPr>
        <w:rPr>
          <w:bCs/>
        </w:rPr>
      </w:pPr>
      <w:r w:rsidRPr="004B4CE2">
        <w:rPr>
          <w:bCs/>
        </w:rPr>
        <w:t xml:space="preserve">Akční plán </w:t>
      </w:r>
      <w:r w:rsidRPr="004B4CE2">
        <w:rPr>
          <w:b/>
          <w:bCs/>
        </w:rPr>
        <w:t>Bezpečnostní politiky v</w:t>
      </w:r>
      <w:r w:rsidR="00545844">
        <w:rPr>
          <w:b/>
          <w:bCs/>
        </w:rPr>
        <w:t> </w:t>
      </w:r>
      <w:r w:rsidRPr="004B4CE2">
        <w:rPr>
          <w:b/>
          <w:bCs/>
        </w:rPr>
        <w:t>průmyslu</w:t>
      </w:r>
      <w:r w:rsidR="00545844">
        <w:rPr>
          <w:b/>
          <w:bCs/>
        </w:rPr>
        <w:t xml:space="preserve"> </w:t>
      </w:r>
      <w:r w:rsidR="00545844" w:rsidRPr="00545844">
        <w:rPr>
          <w:bCs/>
        </w:rPr>
        <w:fldChar w:fldCharType="begin"/>
      </w:r>
      <w:r w:rsidR="00545844" w:rsidRPr="00545844">
        <w:rPr>
          <w:bCs/>
        </w:rPr>
        <w:instrText xml:space="preserve"> REF _Ref454266780 \r \h </w:instrText>
      </w:r>
      <w:r w:rsidR="00545844">
        <w:rPr>
          <w:bCs/>
        </w:rPr>
        <w:instrText xml:space="preserve"> \* MERGEFORMAT </w:instrText>
      </w:r>
      <w:r w:rsidR="00545844" w:rsidRPr="00545844">
        <w:rPr>
          <w:bCs/>
        </w:rPr>
      </w:r>
      <w:r w:rsidR="00545844" w:rsidRPr="00545844">
        <w:rPr>
          <w:bCs/>
        </w:rPr>
        <w:fldChar w:fldCharType="separate"/>
      </w:r>
      <w:r w:rsidR="003F08E5">
        <w:rPr>
          <w:bCs/>
        </w:rPr>
        <w:t>[17]</w:t>
      </w:r>
      <w:r w:rsidR="00545844" w:rsidRPr="00545844">
        <w:rPr>
          <w:bCs/>
        </w:rPr>
        <w:fldChar w:fldCharType="end"/>
      </w:r>
      <w:r w:rsidRPr="004B4CE2">
        <w:rPr>
          <w:lang w:val="en-GB"/>
        </w:rPr>
        <w:t xml:space="preserve"> </w:t>
      </w:r>
      <w:r w:rsidRPr="004B4CE2">
        <w:rPr>
          <w:bCs/>
        </w:rPr>
        <w:t>charakterizuje roztříštěnost v podstatě institucionálního trhu a jeho segmenty a zdůrazňuje výrazný společenský rozměr bezpečnostních technologií. Plán otevírá cestu k normalizaci a harmonizaci certifikačních postupů, zdůrazňuje potřebu synergie mezi bezpečnostními a obrannými technologiemi, dobře využít mechanismy pro práva k duševnímu vlastnictví, zadávání veřejných zakázek v předobchodní fázi, řešení odpovědnosti ke třetím stranám a potřebu ochrany soukromí. Akční plán se výrazně promítl i do témat bezpečnostního výzkumu v H2020.</w:t>
      </w:r>
    </w:p>
    <w:p w:rsidR="00545844" w:rsidRDefault="004B4CE2" w:rsidP="004B4CE2">
      <w:pPr>
        <w:rPr>
          <w:bCs/>
        </w:rPr>
      </w:pPr>
      <w:r w:rsidRPr="004B4CE2">
        <w:rPr>
          <w:bCs/>
        </w:rPr>
        <w:t xml:space="preserve">Další oblastí důležitou pro bezpečnost je ochrana kybernetické bezpečnosti.  Aktivity vycházejí z Akčního plánu, </w:t>
      </w:r>
      <w:r w:rsidRPr="004B4CE2">
        <w:rPr>
          <w:b/>
          <w:bCs/>
        </w:rPr>
        <w:t>Strategie kybernetické bezpečnosti Evropské unie</w:t>
      </w:r>
      <w:r w:rsidR="00545844">
        <w:rPr>
          <w:bCs/>
        </w:rPr>
        <w:t xml:space="preserve"> </w:t>
      </w:r>
      <w:r w:rsidR="00545844">
        <w:rPr>
          <w:bCs/>
        </w:rPr>
        <w:fldChar w:fldCharType="begin"/>
      </w:r>
      <w:r w:rsidR="00545844">
        <w:rPr>
          <w:bCs/>
        </w:rPr>
        <w:instrText xml:space="preserve"> REF _Ref454266999 \r \h </w:instrText>
      </w:r>
      <w:r w:rsidR="00545844">
        <w:rPr>
          <w:bCs/>
        </w:rPr>
      </w:r>
      <w:r w:rsidR="00545844">
        <w:rPr>
          <w:bCs/>
        </w:rPr>
        <w:fldChar w:fldCharType="separate"/>
      </w:r>
      <w:r w:rsidR="003F08E5">
        <w:rPr>
          <w:bCs/>
        </w:rPr>
        <w:t>[18]</w:t>
      </w:r>
      <w:r w:rsidR="00545844">
        <w:rPr>
          <w:bCs/>
        </w:rPr>
        <w:fldChar w:fldCharType="end"/>
      </w:r>
      <w:r w:rsidRPr="004B4CE2">
        <w:rPr>
          <w:bCs/>
        </w:rPr>
        <w:t>, jejímiž prioritami je dosažení kybernetické odolnosti, výrazné omezení kyberkriminality, rozvoj politiky a kapacit kybernetické ochrany a souvislosti se společnou bezpečnostní a obrannou politikou, rozvoj průmyslových a technologických zdrojů pro kybernetickou bezpečnost a zavedení soudržné mezinárodní politiky Evropské unie týkající se kyberprostoru a podpora základních hodnot EU. Jednotlivé priority jsou detailně rozvedeny včetně návrhu sady opatření a žádostí směrem k evropským agenturám, případně členským zemím. V textu jsou odkazy na související dokumenty a poli</w:t>
      </w:r>
      <w:r w:rsidR="00576F59">
        <w:rPr>
          <w:bCs/>
        </w:rPr>
        <w:t>ti</w:t>
      </w:r>
      <w:r w:rsidRPr="004B4CE2">
        <w:rPr>
          <w:bCs/>
        </w:rPr>
        <w:t xml:space="preserve">ky. V kapitole o podpoře investic </w:t>
      </w:r>
      <w:r w:rsidRPr="004B4CE2">
        <w:rPr>
          <w:bCs/>
        </w:rPr>
        <w:lastRenderedPageBreak/>
        <w:t>do výzkumu, vývoje a inovací je zdůrazněno využití H2020 k dosažení cílů, ale i potřeba koordinace mezi různými programy jako H2020, Fondu pro vnitřní bezpečnost a výzkumu EDA.</w:t>
      </w:r>
    </w:p>
    <w:p w:rsidR="004B4CE2" w:rsidRPr="004B4CE2" w:rsidRDefault="004B4CE2" w:rsidP="004B4CE2">
      <w:pPr>
        <w:rPr>
          <w:bCs/>
        </w:rPr>
      </w:pPr>
      <w:r w:rsidRPr="004B4CE2">
        <w:rPr>
          <w:bCs/>
        </w:rPr>
        <w:t xml:space="preserve">Kybernetická bezpečnost je součástí i dalších EU strategií jako 5G iniciativy, Internet věcí, klaudové výpočty, ICT standardy, Evropské strategie pro lepší internet pro děti a dalších.  V roce 2013 navrhla EK  </w:t>
      </w:r>
      <w:r w:rsidRPr="004B4CE2">
        <w:rPr>
          <w:b/>
          <w:bCs/>
        </w:rPr>
        <w:t>Opatření pro větší kybernetickou bezpečnost v</w:t>
      </w:r>
      <w:r w:rsidR="00576F59">
        <w:rPr>
          <w:b/>
          <w:bCs/>
        </w:rPr>
        <w:t> </w:t>
      </w:r>
      <w:r w:rsidRPr="004B4CE2">
        <w:rPr>
          <w:b/>
          <w:bCs/>
        </w:rPr>
        <w:t>Evropě</w:t>
      </w:r>
      <w:r w:rsidR="00576F59" w:rsidRPr="00576F59">
        <w:rPr>
          <w:bCs/>
        </w:rPr>
        <w:t xml:space="preserve"> </w:t>
      </w:r>
      <w:r w:rsidR="00576F59" w:rsidRPr="00576F59">
        <w:rPr>
          <w:bCs/>
        </w:rPr>
        <w:fldChar w:fldCharType="begin"/>
      </w:r>
      <w:r w:rsidR="00576F59" w:rsidRPr="00576F59">
        <w:rPr>
          <w:bCs/>
        </w:rPr>
        <w:instrText xml:space="preserve"> REF _Ref454267281 \r \h </w:instrText>
      </w:r>
      <w:r w:rsidR="00576F59">
        <w:rPr>
          <w:bCs/>
        </w:rPr>
        <w:instrText xml:space="preserve"> \* MERGEFORMAT </w:instrText>
      </w:r>
      <w:r w:rsidR="00576F59" w:rsidRPr="00576F59">
        <w:rPr>
          <w:bCs/>
        </w:rPr>
      </w:r>
      <w:r w:rsidR="00576F59" w:rsidRPr="00576F59">
        <w:rPr>
          <w:bCs/>
        </w:rPr>
        <w:fldChar w:fldCharType="separate"/>
      </w:r>
      <w:r w:rsidR="003F08E5">
        <w:rPr>
          <w:bCs/>
        </w:rPr>
        <w:t>[19]</w:t>
      </w:r>
      <w:r w:rsidR="00576F59" w:rsidRPr="00576F59">
        <w:rPr>
          <w:bCs/>
        </w:rPr>
        <w:fldChar w:fldCharType="end"/>
      </w:r>
      <w:r w:rsidRPr="004B4CE2">
        <w:rPr>
          <w:bCs/>
        </w:rPr>
        <w:t xml:space="preserve">, které bylo v prosinci 2015 přijato Radou i Parlamentem a je základem pro evropskou legislativu v této oblasti.   </w:t>
      </w:r>
    </w:p>
    <w:p w:rsidR="004B4CE2" w:rsidRPr="004B4CE2" w:rsidRDefault="004B4CE2" w:rsidP="004B4CE2">
      <w:pPr>
        <w:rPr>
          <w:bCs/>
        </w:rPr>
      </w:pPr>
      <w:r w:rsidRPr="004B4CE2">
        <w:rPr>
          <w:bCs/>
        </w:rPr>
        <w:t xml:space="preserve">Novinkou je příprava smluvního partnerství veřejného a privátního sektor pro kybernetickou bezpečnost – cPPP cybersecurity. Vznikla nezisková organizace, Asociace  ECSO – AISBL - </w:t>
      </w:r>
      <w:r w:rsidRPr="004B4CE2">
        <w:rPr>
          <w:b/>
        </w:rPr>
        <w:t>European Cyber Security Organisation</w:t>
      </w:r>
      <w:r w:rsidR="00576F59" w:rsidRPr="00576F59">
        <w:t>,</w:t>
      </w:r>
      <w:r w:rsidRPr="004B4CE2">
        <w:rPr>
          <w:b/>
        </w:rPr>
        <w:t xml:space="preserve"> </w:t>
      </w:r>
      <w:r w:rsidRPr="004B4CE2">
        <w:t xml:space="preserve">a podpis smlouvy s EK je plánován na začátek července 2016. Obsah strategického plánu výzkumu (SRA) tak, jak byl připraven mezinárodní pracovní skupinou, ovlivní témata pracovních programů H2020 na poslední </w:t>
      </w:r>
      <w:r w:rsidR="00576F59">
        <w:t>tři</w:t>
      </w:r>
      <w:r w:rsidRPr="004B4CE2">
        <w:t xml:space="preserve"> roky pro  programy LEIT-ICT i Bezpečné společnosti. Plán výzkumu a další podrobnosti jsou do zveřejnění k dispozici v TC a v NBÚ. </w:t>
      </w:r>
    </w:p>
    <w:p w:rsidR="00576F59" w:rsidRDefault="004B4CE2" w:rsidP="004B4CE2">
      <w:pPr>
        <w:rPr>
          <w:bCs/>
        </w:rPr>
      </w:pPr>
      <w:r w:rsidRPr="004B4CE2">
        <w:rPr>
          <w:bCs/>
        </w:rPr>
        <w:t xml:space="preserve">Pro současný bezpečnostní výzkum je podstatné vyhlášení </w:t>
      </w:r>
      <w:r w:rsidRPr="004B4CE2">
        <w:t xml:space="preserve">specifických programů pro roky 2014-2020 v Úředním věstníku EU: programy COSME, ERASMUS +, Horizon 2020, EIT,  LIFE, Customs 2020, Creative Europe, a další; v tomto čísle je také </w:t>
      </w:r>
      <w:r w:rsidRPr="004B4CE2">
        <w:rPr>
          <w:bCs/>
        </w:rPr>
        <w:t>Decision No 1313/2013/EU o Civil Protection Mechanism</w:t>
      </w:r>
      <w:r w:rsidR="00576F59">
        <w:rPr>
          <w:rStyle w:val="Znakapoznpodarou"/>
          <w:bCs/>
        </w:rPr>
        <w:footnoteReference w:id="30"/>
      </w:r>
      <w:r w:rsidR="00576F59">
        <w:rPr>
          <w:bCs/>
        </w:rPr>
        <w:t>.</w:t>
      </w:r>
    </w:p>
    <w:p w:rsidR="004C4B66" w:rsidRDefault="00576F59" w:rsidP="004C4B66">
      <w:r w:rsidRPr="00F17649">
        <w:t>Klíčovou roli ve veřejné podpoře bezpečnostně zaměřeného VaV v současné době hraje Horizont 2020 - rámcový program pro výzkum a inovace</w:t>
      </w:r>
      <w:r w:rsidR="004C4B66">
        <w:t xml:space="preserve"> </w:t>
      </w:r>
      <w:r w:rsidR="004C4B66">
        <w:fldChar w:fldCharType="begin"/>
      </w:r>
      <w:r w:rsidR="004C4B66">
        <w:instrText xml:space="preserve"> REF _Ref454268045 \r \h </w:instrText>
      </w:r>
      <w:r w:rsidR="004C4B66">
        <w:fldChar w:fldCharType="separate"/>
      </w:r>
      <w:r w:rsidR="003F08E5">
        <w:t>[20]</w:t>
      </w:r>
      <w:r w:rsidR="004C4B66">
        <w:fldChar w:fldCharType="end"/>
      </w:r>
      <w:r w:rsidRPr="00F17649">
        <w:t>, který je realizován v letech 2014 - 20</w:t>
      </w:r>
      <w:r>
        <w:t>20</w:t>
      </w:r>
      <w:r w:rsidRPr="00F17649">
        <w:rPr>
          <w:rFonts w:cs="Times New Roman"/>
          <w:vertAlign w:val="superscript"/>
        </w:rPr>
        <w:footnoteReference w:id="31"/>
      </w:r>
      <w:r w:rsidRPr="00F17649">
        <w:t xml:space="preserve">. </w:t>
      </w:r>
      <w:r w:rsidR="004B4CE2" w:rsidRPr="004B4CE2">
        <w:t xml:space="preserve"> Bezpečnostním výzkumem se zabývá jeho podprogram Bezpečné společnosti – Ochrana svobody a bezpečnosti Evropy a jejích obyvatel. Řešená témata jsou implementací evropských politik pro civilní bezpečnost. Témata bezpečnostního výzkumu jsou ale obsažena i v dalších částech programu H2020.</w:t>
      </w:r>
      <w:r w:rsidR="004C4B66">
        <w:t xml:space="preserve"> Oficiální </w:t>
      </w:r>
      <w:r w:rsidR="004B4CE2" w:rsidRPr="004B4CE2">
        <w:t>právní dokumenty, které souvisí s H2020</w:t>
      </w:r>
      <w:r w:rsidR="004C4B66">
        <w:t>, lze nalézt na internetových stránkách Evropské komise</w:t>
      </w:r>
      <w:r w:rsidR="004C4B66">
        <w:rPr>
          <w:rStyle w:val="Znakapoznpodarou"/>
        </w:rPr>
        <w:footnoteReference w:id="32"/>
      </w:r>
      <w:r w:rsidR="004C4B66">
        <w:t>.</w:t>
      </w:r>
    </w:p>
    <w:p w:rsidR="004C4B66" w:rsidRDefault="004C4B66" w:rsidP="004C4B66">
      <w:r w:rsidRPr="00F17649">
        <w:t>V</w:t>
      </w:r>
      <w:r>
        <w:t xml:space="preserve"> uplynulém </w:t>
      </w:r>
      <w:r w:rsidRPr="00F17649">
        <w:t xml:space="preserve">7. rámcovém programu pro výzkum a technologický rozvoj (7. RP), který byl realizován v letech 2007 - 2013, byl bezpečnostně zaměřený podporován ve specifickém programu Spolupráce a jeho prioritě nazvané Bezpečnost (Security) </w:t>
      </w:r>
      <w:r w:rsidRPr="00F17649">
        <w:fldChar w:fldCharType="begin"/>
      </w:r>
      <w:r w:rsidRPr="00F17649">
        <w:instrText xml:space="preserve"> REF _Ref449967613 \r \h </w:instrText>
      </w:r>
      <w:r w:rsidRPr="00F17649">
        <w:fldChar w:fldCharType="separate"/>
      </w:r>
      <w:r w:rsidR="003F08E5">
        <w:t>[22]</w:t>
      </w:r>
      <w:r w:rsidRPr="00F17649">
        <w:fldChar w:fldCharType="end"/>
      </w:r>
      <w:r>
        <w:t xml:space="preserve">. </w:t>
      </w:r>
      <w:r w:rsidR="00C2281E">
        <w:t>Přehled dalších dokumentů stanovujících priority EU v oblasti bezpečnosti je společně se s</w:t>
      </w:r>
      <w:r>
        <w:t>truktur</w:t>
      </w:r>
      <w:r w:rsidR="00C2281E">
        <w:t>ou</w:t>
      </w:r>
      <w:r>
        <w:t xml:space="preserve"> </w:t>
      </w:r>
      <w:r w:rsidR="00C2281E">
        <w:t xml:space="preserve">7. RP a </w:t>
      </w:r>
      <w:r>
        <w:t>programu Horizont 2020 je uveden v přílohovém dokumentu.</w:t>
      </w:r>
    </w:p>
    <w:p w:rsidR="009F7176" w:rsidRDefault="009F7176" w:rsidP="009F7176">
      <w:pPr>
        <w:pStyle w:val="Nadpis4"/>
      </w:pPr>
      <w:bookmarkStart w:id="133" w:name="_Toc459723295"/>
      <w:r>
        <w:t>Rámcové programy EU</w:t>
      </w:r>
      <w:bookmarkEnd w:id="133"/>
    </w:p>
    <w:p w:rsidR="00866229" w:rsidRDefault="00F569CA" w:rsidP="00F17649">
      <w:r w:rsidRPr="00F569CA">
        <w:t>RP jsou hlavním nástrojem EU k financování výzkumu v Evropě. Jsou zpracovávány a navrhovány Evropskou komisí a musí být přijaty Evropským parlamentem a Evropskou radou. RP jsou dále rozpracovány do jednotlivých podporovaných priorit EU, které jsou detailně implementovány prostřednictvím Pracovních programů. R</w:t>
      </w:r>
      <w:r w:rsidR="00866229">
        <w:t>P</w:t>
      </w:r>
      <w:r w:rsidRPr="00F569CA">
        <w:t xml:space="preserve"> vznikly jako určitá reakce na ztrátu tradiční převahy Evropy v některých oblastech technologií a průmyslového výzkumu.  Na rozdíl od jiných zdrojů financování výzkumu umožňují RP řešit danou problematiku komplexně, pro což by se v samotném </w:t>
      </w:r>
      <w:r w:rsidR="00866229">
        <w:t>domácí</w:t>
      </w:r>
      <w:r w:rsidRPr="00F569CA">
        <w:t>m prostředí jen těžko sehnala podpora z veřejných prostředků.</w:t>
      </w:r>
    </w:p>
    <w:p w:rsidR="00866229" w:rsidRDefault="00F569CA" w:rsidP="00F17649">
      <w:r w:rsidRPr="00F569CA">
        <w:t>Kromě samotné práce v mezinárodních a mezioborových týmech přinášejí RP řešitelům nové zkušenosti z oboru a informace o nejnovějších výzkumných trendech, pomáhají zúčastněné organizaci udržet se ve špičce mezi ostatními institucemi v dané oblasti, podporují zapojení mladých lidí – doktorandů do excelentních vědeckých aktivit apod. Kontakty výzkumníků</w:t>
      </w:r>
      <w:r w:rsidR="00866229">
        <w:t xml:space="preserve"> z ČR</w:t>
      </w:r>
      <w:r w:rsidRPr="00F569CA">
        <w:t xml:space="preserve"> s jejich evropskými kolegy znamenají nezřídka velký přínos pro jejich osobní kariéru a rozvoj. </w:t>
      </w:r>
    </w:p>
    <w:p w:rsidR="00F569CA" w:rsidRDefault="00F569CA" w:rsidP="00F17649">
      <w:r w:rsidRPr="00F569CA">
        <w:t xml:space="preserve">Požadavek mezinárodní spolupráce při řešení výzkumného úkolu a projektu a velmi efektivní průběžná kontrola výsledků a jejich posuzování nezávislými experty výrazně zabraňuje „lokálnosti“ projektů se všemi jejími negativními vlivy na kvalitu dosažených výstupů. Příprava projektů RP je náročná z mnoha </w:t>
      </w:r>
      <w:r w:rsidRPr="00F569CA">
        <w:lastRenderedPageBreak/>
        <w:t>hledisek</w:t>
      </w:r>
      <w:r w:rsidR="00866229">
        <w:t>,</w:t>
      </w:r>
      <w:r w:rsidRPr="00F569CA">
        <w:t xml:space="preserve"> ať již jde o vlastní odborné zpracování návrhu projektu, zabezpečení ochrany a nakládání s daty vzniklých v projektu, řešení etických otázek či ochranu duševního vlastnictví. </w:t>
      </w:r>
    </w:p>
    <w:p w:rsidR="00F569CA" w:rsidRDefault="00866229" w:rsidP="00F17649">
      <w:r>
        <w:t>Projekty financované v RP lze proto považovat za prestižní</w:t>
      </w:r>
      <w:r w:rsidR="004F674E">
        <w:t xml:space="preserve">, az </w:t>
      </w:r>
      <w:r>
        <w:t> tohoto důvodu lze posuzovat zapojení ČR a výzkumných týmů do RP jako jisté měřítko kvality výzkumných týmů a prováděného výzkumu. Podrobnější analýza účasti ČR v bezpečnostně zaměřených projektech 7. RP a programu H2020 je zpracov</w:t>
      </w:r>
      <w:r w:rsidR="00A159B4">
        <w:t>ána v následujících kapitolách.</w:t>
      </w:r>
    </w:p>
    <w:p w:rsidR="00E252DB" w:rsidRDefault="00A159B4" w:rsidP="00F17649">
      <w:r w:rsidRPr="00A159B4">
        <w:t>ČR koordinuje v RP dlouhodobě minimum výzkumných projektů. Role koordinátora v projektu kromě zvýšeného příspěvku ze strany EK přináší také takzvaný „pull effect“. Z mnoha analýz vyplývá, že v každý koordinátor „přitáhne“ do projektu řadu partnerů z vlastní země. To také poukazuje na to, že propojení mezi výzkumnými institucemi na národní úrovni jsou silnější než na úrovni mezinárodní.</w:t>
      </w:r>
    </w:p>
    <w:p w:rsidR="00A159B4" w:rsidRPr="00F17649" w:rsidRDefault="00A159B4" w:rsidP="00F17649">
      <w:r w:rsidRPr="00A159B4">
        <w:t>„Pull effect“ má také určitě pozitivní vliv na zapojení výzkumných týmů, které ještě nemají zkušenosti s RP. Vzhledem k faktu, že je počet českých koordinátorů výzkumných projektů v RP nízký</w:t>
      </w:r>
      <w:r w:rsidR="00E252DB">
        <w:t>,</w:t>
      </w:r>
      <w:r w:rsidRPr="00A159B4">
        <w:t xml:space="preserve"> je i tento efekt z pohledu ČR poměrně slabý a české týmy pracují v projektech RP v rámci mezinárodního konsorcia osamoceně</w:t>
      </w:r>
      <w:r w:rsidR="00E252DB">
        <w:t>,</w:t>
      </w:r>
      <w:r w:rsidRPr="00A159B4">
        <w:t xml:space="preserve"> tj. bez dalšího českého partnera. Výrazný vliv tohoto efektu</w:t>
      </w:r>
      <w:r w:rsidR="00E252DB">
        <w:t>,</w:t>
      </w:r>
      <w:r w:rsidRPr="00A159B4">
        <w:t xml:space="preserve"> tj. výraznou spolupráci v RP na národní úrovni a účast několika výzkumných týmů z jedné země v daném projektu RP</w:t>
      </w:r>
      <w:r w:rsidR="00E252DB">
        <w:t>,</w:t>
      </w:r>
      <w:r w:rsidRPr="00A159B4">
        <w:t xml:space="preserve"> lze pozorovat u řady zemí</w:t>
      </w:r>
      <w:r w:rsidR="00E252DB">
        <w:t>,</w:t>
      </w:r>
      <w:r w:rsidRPr="00A159B4">
        <w:t xml:space="preserve"> jako je </w:t>
      </w:r>
      <w:r w:rsidR="004C4B66">
        <w:t>Spojené království, Německo, Nizozemsko a další</w:t>
      </w:r>
      <w:r w:rsidR="00E252DB">
        <w:t xml:space="preserve">. </w:t>
      </w:r>
      <w:r w:rsidRPr="00A159B4">
        <w:t>Jsou to právě ty země, které koordinují největší počet projektů RP.</w:t>
      </w:r>
    </w:p>
    <w:p w:rsidR="00F17649" w:rsidRDefault="00AD5AE9" w:rsidP="00AD5AE9">
      <w:pPr>
        <w:pStyle w:val="Nadpis3"/>
      </w:pPr>
      <w:bookmarkStart w:id="134" w:name="_Toc459723296"/>
      <w:r w:rsidRPr="00AD5AE9">
        <w:t>Zapojení ČR do rámcových programů EU</w:t>
      </w:r>
      <w:bookmarkEnd w:id="134"/>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9430"/>
      </w:tblGrid>
      <w:tr w:rsidR="00AB0FC2" w:rsidTr="00E10044">
        <w:tc>
          <w:tcPr>
            <w:tcW w:w="9430" w:type="dxa"/>
            <w:shd w:val="clear" w:color="auto" w:fill="F2F2F2" w:themeFill="background1" w:themeFillShade="F2"/>
          </w:tcPr>
          <w:p w:rsidR="00CA52C9" w:rsidRDefault="00AB0FC2" w:rsidP="00CA52C9">
            <w:r>
              <w:t xml:space="preserve">ČR se aktivně zapojuje do bezpečnostně zaměřených projektů řešených v rámcových programech EU. V uplynulém 7. rámcovém programu (7. RP) byly subjekty z ČR zapojeny v řešení 58 takto zaměřených projektů, což je více než 7 % z celkového počtu bezpečnostně zaměřených projektů, které byly financovány v 7. RP. To </w:t>
            </w:r>
            <w:r w:rsidRPr="00F17649">
              <w:rPr>
                <w:lang w:eastAsia="cs-CZ"/>
              </w:rPr>
              <w:t>je podstatně více, než činil podíl projektů s účastí ČR v celém 7. RP, kde týmy z ČR byly členy řešitelských konsorcií ve 4,5 % projektů</w:t>
            </w:r>
            <w:r>
              <w:rPr>
                <w:lang w:eastAsia="cs-CZ"/>
              </w:rPr>
              <w:t>.</w:t>
            </w:r>
            <w:r w:rsidR="00CA52C9">
              <w:rPr>
                <w:lang w:eastAsia="cs-CZ"/>
              </w:rPr>
              <w:t xml:space="preserve"> </w:t>
            </w:r>
            <w:r>
              <w:t xml:space="preserve">V probíhajícím </w:t>
            </w:r>
            <w:r w:rsidR="00CA52C9">
              <w:t xml:space="preserve">rámcovém programu Horizont 2020 (H2020) je aktivita ČR zatím poněkud nižší. Subjekty z ČR </w:t>
            </w:r>
            <w:r w:rsidR="00D51677">
              <w:t xml:space="preserve">byly </w:t>
            </w:r>
            <w:r w:rsidR="00CA52C9">
              <w:t>v dosavadním průběhu H2020 zapojeny v řešení 15 projektů, což je přibližně 4,5 z celkového počtu takto zaměřených projektů.</w:t>
            </w:r>
          </w:p>
          <w:p w:rsidR="005758A9" w:rsidRDefault="005758A9" w:rsidP="00F776A8">
            <w:r>
              <w:t>Subjekty z ČR jsou zejména aktivní v zapojení do priority Bezpečnost 7. RP, kde byly zapojeny přibližně v desetině projektů financovaných v této prioritě. V</w:t>
            </w:r>
            <w:r w:rsidRPr="005758A9">
              <w:t>yšší počet projektů s účastí ČR týkajících se bezpečnosti</w:t>
            </w:r>
            <w:r>
              <w:t xml:space="preserve"> byl také financován v programu </w:t>
            </w:r>
            <w:r w:rsidRPr="005758A9">
              <w:t>Informační a komunikační technologie (ICT).</w:t>
            </w:r>
            <w:r>
              <w:t xml:space="preserve"> V některých programech 7. RP sice nebylo financováno mnoho bezpečnostně zaměřených projektů, ale ČR byla zapojena v jejich významné části. Příkladem mohou být programy </w:t>
            </w:r>
            <w:r w:rsidRPr="005758A9">
              <w:t>Nanovědy a nanotechnologie, Kosmický výzkum a Výzkumné infrastruktury</w:t>
            </w:r>
            <w:r>
              <w:t>.</w:t>
            </w:r>
          </w:p>
          <w:p w:rsidR="00F776A8" w:rsidRDefault="00CA52C9" w:rsidP="00F776A8">
            <w:r>
              <w:t xml:space="preserve">Přibližně polovinu účastníků tvoří soukromé subjekty (podniky), které se do bezpečnostně zaměřených projektů zapojují více než podniky ze zahraničí. </w:t>
            </w:r>
            <w:r w:rsidR="00F776A8">
              <w:t>Nejvíce účastí v 7. RP a H2020 měla Masarykova univerzita v Brně a Univerzita Karlova v Praze, které byly zapojeny do řešení čtyř projektů. Do dvou projektů byly zapojeny ČVUT v Praze a VUT v Brně, ostatní VŠ byly zapojeny pouze do jednoho projektu. Z výzkumně zaměřených ústavů se nejvíce projektů zúčastnil SÚJCHB (celkem tři projekty). Z podnikového sektoru byla nejaktivnější firma GISAT, s.r.o., která byla zapojena do řešení tří projektů v 7. RP. V alespoň dvou projektech byly zapojeny společnosti Pramacom Prague spol. s r.o., Anect, a.s., Honeywell, s.r.o., Euroalarm, s.r.o., T-SOFT a.s. a Ústav jaderného výzkumu Řež, a.s. Organizační jednotky spadající pod MV sice podaly několik návrhů, tyto návrhy však nebyly vybrány pro financování.</w:t>
            </w:r>
          </w:p>
          <w:p w:rsidR="00CA52C9" w:rsidRDefault="00CA52C9" w:rsidP="00CA52C9">
            <w:pPr>
              <w:contextualSpacing/>
              <w:rPr>
                <w:lang w:eastAsia="cs-CZ"/>
              </w:rPr>
            </w:pPr>
            <w:r>
              <w:rPr>
                <w:lang w:eastAsia="cs-CZ"/>
              </w:rPr>
              <w:t xml:space="preserve">ČR při řešení projektů nejvíce spolupracuje s velkými zeměmi EU-15, jako je </w:t>
            </w:r>
            <w:r w:rsidRPr="00F17649">
              <w:t xml:space="preserve">Spojené království, Německo, Itálie, Francie a Španělsko, které </w:t>
            </w:r>
            <w:r>
              <w:t xml:space="preserve">patří mezi jádro bezpečnostního výzkumu na evropské úrovni. Nejvíce společných projektů bylo ve spolupráci s Fraunhoferovou společností a </w:t>
            </w:r>
            <w:r w:rsidR="005758A9">
              <w:t>se společností Airbus.</w:t>
            </w:r>
          </w:p>
        </w:tc>
      </w:tr>
    </w:tbl>
    <w:p w:rsidR="00D60A94" w:rsidRDefault="00F17649" w:rsidP="00F17649">
      <w:pPr>
        <w:rPr>
          <w:lang w:eastAsia="cs-CZ"/>
        </w:rPr>
      </w:pPr>
      <w:r w:rsidRPr="00F17649">
        <w:rPr>
          <w:lang w:eastAsia="cs-CZ"/>
        </w:rPr>
        <w:lastRenderedPageBreak/>
        <w:t>Pro analýzu zapojení ČR do projektů řešících</w:t>
      </w:r>
      <w:r w:rsidR="00E97047">
        <w:rPr>
          <w:rStyle w:val="Znakapoznpodarou"/>
          <w:lang w:eastAsia="cs-CZ"/>
        </w:rPr>
        <w:footnoteReference w:id="33"/>
      </w:r>
      <w:r w:rsidRPr="00F17649">
        <w:rPr>
          <w:lang w:eastAsia="cs-CZ"/>
        </w:rPr>
        <w:t xml:space="preserve"> problematiku bezpečnosti v rámcových programech EU byla</w:t>
      </w:r>
      <w:r w:rsidR="008E28F1">
        <w:rPr>
          <w:lang w:eastAsia="cs-CZ"/>
        </w:rPr>
        <w:t xml:space="preserve"> využita</w:t>
      </w:r>
      <w:r w:rsidRPr="00F17649">
        <w:rPr>
          <w:lang w:eastAsia="cs-CZ"/>
        </w:rPr>
        <w:t> </w:t>
      </w:r>
      <w:r w:rsidR="005531BD">
        <w:rPr>
          <w:lang w:eastAsia="cs-CZ"/>
        </w:rPr>
        <w:t xml:space="preserve">neveřejná expertní </w:t>
      </w:r>
      <w:r w:rsidRPr="00F17649">
        <w:rPr>
          <w:lang w:eastAsia="cs-CZ"/>
        </w:rPr>
        <w:t xml:space="preserve">databáze e-Corda </w:t>
      </w:r>
      <w:r w:rsidR="005531BD" w:rsidRPr="005531BD">
        <w:rPr>
          <w:lang w:eastAsia="cs-CZ"/>
        </w:rPr>
        <w:t xml:space="preserve">(External Common Research DAta Warehouse) spravovaná </w:t>
      </w:r>
      <w:r w:rsidR="005531BD">
        <w:rPr>
          <w:lang w:eastAsia="cs-CZ"/>
        </w:rPr>
        <w:t xml:space="preserve">Evropskou komisí, která </w:t>
      </w:r>
      <w:r w:rsidR="00D60A94" w:rsidRPr="00D60A94">
        <w:rPr>
          <w:lang w:eastAsia="cs-CZ"/>
        </w:rPr>
        <w:t>obsahuj</w:t>
      </w:r>
      <w:r w:rsidR="005531BD">
        <w:rPr>
          <w:lang w:eastAsia="cs-CZ"/>
        </w:rPr>
        <w:t>e</w:t>
      </w:r>
      <w:r w:rsidR="00D60A94" w:rsidRPr="00D60A94">
        <w:rPr>
          <w:lang w:eastAsia="cs-CZ"/>
        </w:rPr>
        <w:t xml:space="preserve"> údaje o podepsaných grantech a příjemcích podpory ve vztahu ke konkrétnímu rámcovému programu pro výzkum. </w:t>
      </w:r>
      <w:r w:rsidR="00D60A94">
        <w:rPr>
          <w:lang w:eastAsia="cs-CZ"/>
        </w:rPr>
        <w:t xml:space="preserve">Zpracovaná </w:t>
      </w:r>
      <w:r w:rsidR="00D60A94" w:rsidRPr="00D60A94">
        <w:rPr>
          <w:lang w:eastAsia="cs-CZ"/>
        </w:rPr>
        <w:t xml:space="preserve">analýza </w:t>
      </w:r>
      <w:r w:rsidR="00D60A94">
        <w:rPr>
          <w:lang w:eastAsia="cs-CZ"/>
        </w:rPr>
        <w:t>účast</w:t>
      </w:r>
      <w:r w:rsidR="008E28F1">
        <w:rPr>
          <w:lang w:eastAsia="cs-CZ"/>
        </w:rPr>
        <w:t>i</w:t>
      </w:r>
      <w:r w:rsidR="00D60A94">
        <w:rPr>
          <w:lang w:eastAsia="cs-CZ"/>
        </w:rPr>
        <w:t xml:space="preserve"> ČR v rámcových programech (dále jen RP) </w:t>
      </w:r>
      <w:r w:rsidR="00D60A94" w:rsidRPr="00D60A94">
        <w:rPr>
          <w:lang w:eastAsia="cs-CZ"/>
        </w:rPr>
        <w:t>vychází ze dvou verzí této databáze:</w:t>
      </w:r>
    </w:p>
    <w:p w:rsidR="00D60A94" w:rsidRDefault="00D60A94" w:rsidP="004F74B7">
      <w:pPr>
        <w:pStyle w:val="Odstavecseseznamem"/>
        <w:numPr>
          <w:ilvl w:val="0"/>
          <w:numId w:val="3"/>
        </w:numPr>
        <w:ind w:left="714" w:hanging="357"/>
        <w:contextualSpacing w:val="0"/>
        <w:rPr>
          <w:lang w:eastAsia="cs-CZ"/>
        </w:rPr>
      </w:pPr>
      <w:r w:rsidRPr="00D60A94">
        <w:rPr>
          <w:lang w:eastAsia="cs-CZ"/>
        </w:rPr>
        <w:t>FP7 grant agreements and participants, version 20, Publication date: 2015-12-21</w:t>
      </w:r>
      <w:r>
        <w:rPr>
          <w:lang w:eastAsia="cs-CZ"/>
        </w:rPr>
        <w:t>;</w:t>
      </w:r>
    </w:p>
    <w:p w:rsidR="00D60A94" w:rsidRDefault="00D60A94" w:rsidP="004F74B7">
      <w:pPr>
        <w:pStyle w:val="Odstavecseseznamem"/>
        <w:numPr>
          <w:ilvl w:val="0"/>
          <w:numId w:val="3"/>
        </w:numPr>
        <w:ind w:left="714" w:hanging="357"/>
        <w:contextualSpacing w:val="0"/>
        <w:rPr>
          <w:lang w:eastAsia="cs-CZ"/>
        </w:rPr>
      </w:pPr>
      <w:r w:rsidRPr="00D60A94">
        <w:rPr>
          <w:lang w:eastAsia="cs-CZ"/>
        </w:rPr>
        <w:t>H2020 projects and participants, version 4, Publication date: 2016-03-03</w:t>
      </w:r>
      <w:r>
        <w:rPr>
          <w:lang w:eastAsia="cs-CZ"/>
        </w:rPr>
        <w:t>.</w:t>
      </w:r>
    </w:p>
    <w:p w:rsidR="008E28F1" w:rsidRDefault="00F17649" w:rsidP="000B5313">
      <w:pPr>
        <w:rPr>
          <w:lang w:eastAsia="cs-CZ"/>
        </w:rPr>
      </w:pPr>
      <w:r w:rsidRPr="00F17649">
        <w:rPr>
          <w:lang w:eastAsia="cs-CZ"/>
        </w:rPr>
        <w:t>Do analýzy byly zařazeny všechny projekty financované v</w:t>
      </w:r>
      <w:r w:rsidR="00D60A94">
        <w:rPr>
          <w:lang w:eastAsia="cs-CZ"/>
        </w:rPr>
        <w:t xml:space="preserve"> tematické prioritě </w:t>
      </w:r>
      <w:r w:rsidRPr="00F17649">
        <w:rPr>
          <w:lang w:eastAsia="cs-CZ"/>
        </w:rPr>
        <w:t>Bezpečnost (Security) v 7.</w:t>
      </w:r>
      <w:r w:rsidR="00F023D8">
        <w:rPr>
          <w:lang w:eastAsia="cs-CZ"/>
        </w:rPr>
        <w:t> </w:t>
      </w:r>
      <w:r w:rsidRPr="00F17649">
        <w:rPr>
          <w:lang w:eastAsia="cs-CZ"/>
        </w:rPr>
        <w:t>RP a projekty financované ve společenské výzvě</w:t>
      </w:r>
      <w:r w:rsidRPr="00F17649">
        <w:t xml:space="preserve"> </w:t>
      </w:r>
      <w:r w:rsidRPr="00F17649">
        <w:rPr>
          <w:lang w:eastAsia="cs-CZ"/>
        </w:rPr>
        <w:t>Bezpečné společnosti: ochrana svobody a bezpečnosti Evropy a jejích občanů rámcového programu Horizont 2020 (viz kap.</w:t>
      </w:r>
      <w:r w:rsidR="00B102EC">
        <w:rPr>
          <w:lang w:eastAsia="cs-CZ"/>
        </w:rPr>
        <w:t xml:space="preserve"> </w:t>
      </w:r>
      <w:r w:rsidR="00B102EC">
        <w:rPr>
          <w:lang w:eastAsia="cs-CZ"/>
        </w:rPr>
        <w:fldChar w:fldCharType="begin"/>
      </w:r>
      <w:r w:rsidR="00B102EC">
        <w:rPr>
          <w:lang w:eastAsia="cs-CZ"/>
        </w:rPr>
        <w:instrText xml:space="preserve"> REF _Ref454271499 \r \h </w:instrText>
      </w:r>
      <w:r w:rsidR="00B102EC">
        <w:rPr>
          <w:lang w:eastAsia="cs-CZ"/>
        </w:rPr>
      </w:r>
      <w:r w:rsidR="00B102EC">
        <w:rPr>
          <w:lang w:eastAsia="cs-CZ"/>
        </w:rPr>
        <w:fldChar w:fldCharType="separate"/>
      </w:r>
      <w:r w:rsidR="003F08E5">
        <w:rPr>
          <w:lang w:eastAsia="cs-CZ"/>
        </w:rPr>
        <w:t>3.5.1</w:t>
      </w:r>
      <w:r w:rsidR="00B102EC">
        <w:rPr>
          <w:lang w:eastAsia="cs-CZ"/>
        </w:rPr>
        <w:fldChar w:fldCharType="end"/>
      </w:r>
      <w:r w:rsidRPr="00F17649">
        <w:rPr>
          <w:lang w:eastAsia="cs-CZ"/>
        </w:rPr>
        <w:t xml:space="preserve">). </w:t>
      </w:r>
      <w:r w:rsidR="000B5313" w:rsidRPr="000B5313">
        <w:rPr>
          <w:lang w:eastAsia="cs-CZ"/>
        </w:rPr>
        <w:t>Do analýzy byly dále zařazeny projekty z jiných programů, priorit a oblastí 7. RP a programu H2020</w:t>
      </w:r>
      <w:r w:rsidR="000B5313" w:rsidRPr="000B5313">
        <w:rPr>
          <w:vertAlign w:val="superscript"/>
          <w:lang w:eastAsia="cs-CZ"/>
        </w:rPr>
        <w:footnoteReference w:id="34"/>
      </w:r>
      <w:r w:rsidR="000B5313" w:rsidRPr="000B5313">
        <w:rPr>
          <w:lang w:eastAsia="cs-CZ"/>
        </w:rPr>
        <w:t xml:space="preserve">, jejichž zaměření se týkalo bezpečnosti nebo úzce </w:t>
      </w:r>
      <w:r w:rsidR="008E28F1" w:rsidRPr="000B5313">
        <w:rPr>
          <w:lang w:eastAsia="cs-CZ"/>
        </w:rPr>
        <w:t xml:space="preserve">souviselo </w:t>
      </w:r>
      <w:r w:rsidR="000B5313" w:rsidRPr="000B5313">
        <w:rPr>
          <w:lang w:eastAsia="cs-CZ"/>
        </w:rPr>
        <w:t>s bezpečnostní problematikou. Výběr těchto projektů byl proveden  z v</w:t>
      </w:r>
      <w:r w:rsidR="000B5313">
        <w:rPr>
          <w:lang w:eastAsia="cs-CZ"/>
        </w:rPr>
        <w:t>e</w:t>
      </w:r>
      <w:r w:rsidR="000B5313" w:rsidRPr="000B5313">
        <w:rPr>
          <w:lang w:eastAsia="cs-CZ"/>
        </w:rPr>
        <w:t>lké části pomocí souboru klíčových slov, jehož základem byla klíčová slova použitá samotnými řešiteli projektů v t</w:t>
      </w:r>
      <w:r w:rsidR="000B5313">
        <w:rPr>
          <w:lang w:eastAsia="cs-CZ"/>
        </w:rPr>
        <w:t>e</w:t>
      </w:r>
      <w:r w:rsidR="000B5313" w:rsidRPr="000B5313">
        <w:rPr>
          <w:lang w:eastAsia="cs-CZ"/>
        </w:rPr>
        <w:t>matické prioritě Bezpečnost v 7. RP a ve společenské výzvě Bezpečné společnosti programu H2020. Další metodou pro výběr relevantních projektů s bezpečnost</w:t>
      </w:r>
      <w:r w:rsidR="008E28F1">
        <w:rPr>
          <w:lang w:eastAsia="cs-CZ"/>
        </w:rPr>
        <w:t>n</w:t>
      </w:r>
      <w:r w:rsidR="000B5313" w:rsidRPr="000B5313">
        <w:rPr>
          <w:lang w:eastAsia="cs-CZ"/>
        </w:rPr>
        <w:t>í t</w:t>
      </w:r>
      <w:r w:rsidR="008E28F1">
        <w:rPr>
          <w:lang w:eastAsia="cs-CZ"/>
        </w:rPr>
        <w:t>e</w:t>
      </w:r>
      <w:r w:rsidR="000B5313" w:rsidRPr="000B5313">
        <w:rPr>
          <w:lang w:eastAsia="cs-CZ"/>
        </w:rPr>
        <w:t xml:space="preserve">matikou bylo vytipování částí daného RP, </w:t>
      </w:r>
      <w:r w:rsidR="008E28F1">
        <w:rPr>
          <w:lang w:eastAsia="cs-CZ"/>
        </w:rPr>
        <w:t>které se této oblasti věnovaly.</w:t>
      </w:r>
    </w:p>
    <w:p w:rsidR="000B5313" w:rsidRDefault="000B5313" w:rsidP="000B5313">
      <w:pPr>
        <w:rPr>
          <w:lang w:eastAsia="cs-CZ"/>
        </w:rPr>
      </w:pPr>
      <w:r w:rsidRPr="000B5313">
        <w:rPr>
          <w:lang w:eastAsia="cs-CZ"/>
        </w:rPr>
        <w:t xml:space="preserve">RP jsou otevřen širokému spektru organizací a jednotlivců, které se ho mohou účastnit bez ohledu na svou právní formu.  Účastníky řešitelských konsorcií jsou výzkumné týmy na univerzitách nebo ve výzkumných institucích, společnosti a podniky, které chtějí inovovat, malé nebo střední podniky (MSP) či jejich sdružení, veřejná správa (místní, regionální nebo národní), jednotliví výzkumní pracovníci, instituce provozující výzkumné infrastruktury nadnárodního zájmu, organizace občanských společností, mezinárodní organizace apod. </w:t>
      </w:r>
      <w:r>
        <w:rPr>
          <w:lang w:eastAsia="cs-CZ"/>
        </w:rPr>
        <w:t>Analýza proto v souladu s členěním užívaným v d</w:t>
      </w:r>
      <w:r w:rsidRPr="000B5313">
        <w:rPr>
          <w:lang w:eastAsia="cs-CZ"/>
        </w:rPr>
        <w:t>atabáz</w:t>
      </w:r>
      <w:r>
        <w:rPr>
          <w:lang w:eastAsia="cs-CZ"/>
        </w:rPr>
        <w:t>i</w:t>
      </w:r>
      <w:r w:rsidRPr="000B5313">
        <w:rPr>
          <w:lang w:eastAsia="cs-CZ"/>
        </w:rPr>
        <w:t xml:space="preserve"> e</w:t>
      </w:r>
      <w:r>
        <w:rPr>
          <w:lang w:eastAsia="cs-CZ"/>
        </w:rPr>
        <w:t>-</w:t>
      </w:r>
      <w:r w:rsidRPr="000B5313">
        <w:rPr>
          <w:lang w:eastAsia="cs-CZ"/>
        </w:rPr>
        <w:t>C</w:t>
      </w:r>
      <w:r>
        <w:rPr>
          <w:lang w:eastAsia="cs-CZ"/>
        </w:rPr>
        <w:t>orda</w:t>
      </w:r>
      <w:r w:rsidRPr="000B5313">
        <w:rPr>
          <w:lang w:eastAsia="cs-CZ"/>
        </w:rPr>
        <w:t xml:space="preserve"> </w:t>
      </w:r>
      <w:r>
        <w:rPr>
          <w:lang w:eastAsia="cs-CZ"/>
        </w:rPr>
        <w:t xml:space="preserve">rozlišuje </w:t>
      </w:r>
      <w:r w:rsidRPr="000B5313">
        <w:rPr>
          <w:lang w:eastAsia="cs-CZ"/>
        </w:rPr>
        <w:t>pět základních typů institucí (sektorů):</w:t>
      </w:r>
    </w:p>
    <w:p w:rsidR="000B5313" w:rsidRDefault="000B5313" w:rsidP="004F74B7">
      <w:pPr>
        <w:pStyle w:val="Odstavecseseznamem"/>
        <w:numPr>
          <w:ilvl w:val="0"/>
          <w:numId w:val="3"/>
        </w:numPr>
        <w:ind w:left="714" w:hanging="357"/>
        <w:contextualSpacing w:val="0"/>
        <w:rPr>
          <w:lang w:eastAsia="cs-CZ"/>
        </w:rPr>
      </w:pPr>
      <w:r w:rsidRPr="000B5313">
        <w:rPr>
          <w:lang w:eastAsia="cs-CZ"/>
        </w:rPr>
        <w:t xml:space="preserve"> HES - vysokoškolský sektor (vysoké školy veřejné, státní, soukromé a fakultní nemocnice)</w:t>
      </w:r>
      <w:r>
        <w:rPr>
          <w:lang w:eastAsia="cs-CZ"/>
        </w:rPr>
        <w:t>;</w:t>
      </w:r>
    </w:p>
    <w:p w:rsidR="000B5313" w:rsidRDefault="000B5313" w:rsidP="004F74B7">
      <w:pPr>
        <w:pStyle w:val="Odstavecseseznamem"/>
        <w:numPr>
          <w:ilvl w:val="0"/>
          <w:numId w:val="3"/>
        </w:numPr>
        <w:ind w:left="714" w:hanging="357"/>
        <w:contextualSpacing w:val="0"/>
        <w:rPr>
          <w:lang w:eastAsia="cs-CZ"/>
        </w:rPr>
      </w:pPr>
      <w:r w:rsidRPr="000B5313">
        <w:rPr>
          <w:lang w:eastAsia="cs-CZ"/>
        </w:rPr>
        <w:t>REC – výzkumné instituce (ústavy AV ČR a ostatní v</w:t>
      </w:r>
      <w:r w:rsidR="004D3493">
        <w:rPr>
          <w:lang w:eastAsia="cs-CZ"/>
        </w:rPr>
        <w:t>eřejné výzkumné instituce</w:t>
      </w:r>
      <w:r w:rsidRPr="000B5313">
        <w:rPr>
          <w:lang w:eastAsia="cs-CZ"/>
        </w:rPr>
        <w:t>, výzkumné infrastruktury a centra výzkumu, privátní výzkumné ústavy a specializované firmy zabývající se výhradně výzkumem)</w:t>
      </w:r>
      <w:r>
        <w:rPr>
          <w:lang w:eastAsia="cs-CZ"/>
        </w:rPr>
        <w:t>;</w:t>
      </w:r>
    </w:p>
    <w:p w:rsidR="000B5313" w:rsidRDefault="000B5313" w:rsidP="004F74B7">
      <w:pPr>
        <w:pStyle w:val="Odstavecseseznamem"/>
        <w:numPr>
          <w:ilvl w:val="0"/>
          <w:numId w:val="3"/>
        </w:numPr>
        <w:ind w:left="714" w:hanging="357"/>
        <w:contextualSpacing w:val="0"/>
        <w:rPr>
          <w:lang w:eastAsia="cs-CZ"/>
        </w:rPr>
      </w:pPr>
      <w:r w:rsidRPr="000B5313">
        <w:rPr>
          <w:lang w:eastAsia="cs-CZ"/>
        </w:rPr>
        <w:t>PRC – soukromý sektor (výrobní podniky, podniky poskytující služby)</w:t>
      </w:r>
      <w:r>
        <w:rPr>
          <w:lang w:eastAsia="cs-CZ"/>
        </w:rPr>
        <w:t>;</w:t>
      </w:r>
    </w:p>
    <w:p w:rsidR="000B5313" w:rsidRDefault="000B5313" w:rsidP="004F74B7">
      <w:pPr>
        <w:pStyle w:val="Odstavecseseznamem"/>
        <w:numPr>
          <w:ilvl w:val="0"/>
          <w:numId w:val="3"/>
        </w:numPr>
        <w:ind w:left="714" w:hanging="357"/>
        <w:contextualSpacing w:val="0"/>
        <w:rPr>
          <w:lang w:eastAsia="cs-CZ"/>
        </w:rPr>
      </w:pPr>
      <w:r w:rsidRPr="000B5313">
        <w:rPr>
          <w:lang w:eastAsia="cs-CZ"/>
        </w:rPr>
        <w:t>PUB - veřejný sektor (veřejná nebo státní správa) a instituce, které nelze zařadit do předchozích kategorií</w:t>
      </w:r>
      <w:r>
        <w:rPr>
          <w:lang w:eastAsia="cs-CZ"/>
        </w:rPr>
        <w:t>;</w:t>
      </w:r>
    </w:p>
    <w:p w:rsidR="000B5313" w:rsidRDefault="000B5313" w:rsidP="004F74B7">
      <w:pPr>
        <w:pStyle w:val="Odstavecseseznamem"/>
        <w:numPr>
          <w:ilvl w:val="0"/>
          <w:numId w:val="3"/>
        </w:numPr>
        <w:contextualSpacing w:val="0"/>
        <w:rPr>
          <w:lang w:eastAsia="cs-CZ"/>
        </w:rPr>
      </w:pPr>
      <w:r w:rsidRPr="000B5313">
        <w:rPr>
          <w:lang w:eastAsia="cs-CZ"/>
        </w:rPr>
        <w:t xml:space="preserve">OTH </w:t>
      </w:r>
      <w:r w:rsidR="005531BD">
        <w:rPr>
          <w:lang w:eastAsia="cs-CZ"/>
        </w:rPr>
        <w:t>–</w:t>
      </w:r>
      <w:r w:rsidRPr="000B5313">
        <w:rPr>
          <w:lang w:eastAsia="cs-CZ"/>
        </w:rPr>
        <w:t xml:space="preserve"> ostatní</w:t>
      </w:r>
      <w:r w:rsidR="005531BD">
        <w:rPr>
          <w:lang w:eastAsia="cs-CZ"/>
        </w:rPr>
        <w:t xml:space="preserve">, </w:t>
      </w:r>
      <w:r w:rsidR="005531BD" w:rsidRPr="005531BD">
        <w:rPr>
          <w:lang w:eastAsia="cs-CZ"/>
        </w:rPr>
        <w:t>instituce, které nelze zařadit do předchozích kategorií</w:t>
      </w:r>
      <w:r w:rsidRPr="000B5313">
        <w:rPr>
          <w:lang w:eastAsia="cs-CZ"/>
        </w:rPr>
        <w:t xml:space="preserve"> (např. sdružení, asociace, kluby, spolky atd.)</w:t>
      </w:r>
      <w:r>
        <w:rPr>
          <w:lang w:eastAsia="cs-CZ"/>
        </w:rPr>
        <w:t>.</w:t>
      </w:r>
    </w:p>
    <w:p w:rsidR="00F17649" w:rsidRPr="00F17649" w:rsidRDefault="00F00D5B" w:rsidP="00F00D5B">
      <w:pPr>
        <w:pStyle w:val="Nadpis4"/>
      </w:pPr>
      <w:bookmarkStart w:id="135" w:name="_Toc459723297"/>
      <w:r w:rsidRPr="00F00D5B">
        <w:t>Zapojení ČR do 7. rámcového programu a programu Horizont 2020</w:t>
      </w:r>
      <w:bookmarkEnd w:id="135"/>
    </w:p>
    <w:p w:rsidR="00F17649" w:rsidRPr="00F17649" w:rsidRDefault="00F17649" w:rsidP="00F17649">
      <w:pPr>
        <w:rPr>
          <w:lang w:eastAsia="cs-CZ"/>
        </w:rPr>
      </w:pPr>
      <w:r w:rsidRPr="00F17649">
        <w:rPr>
          <w:lang w:eastAsia="cs-CZ"/>
        </w:rPr>
        <w:t>V databázi e-Corda se podařilo identifikovat téměř 1 200 projektů, jejichž zaměření se týkalo problematiky bezpečnosti (806 projektů v 7. RP a 381 projektů v programu H2020, viz</w:t>
      </w:r>
      <w:r w:rsidR="005C45B3">
        <w:rPr>
          <w:lang w:eastAsia="cs-CZ"/>
        </w:rPr>
        <w:t xml:space="preserve"> </w:t>
      </w:r>
      <w:r w:rsidR="005C45B3">
        <w:rPr>
          <w:lang w:eastAsia="cs-CZ"/>
        </w:rPr>
        <w:fldChar w:fldCharType="begin"/>
      </w:r>
      <w:r w:rsidR="005C45B3">
        <w:rPr>
          <w:lang w:eastAsia="cs-CZ"/>
        </w:rPr>
        <w:instrText xml:space="preserve"> REF  _Ref451519118 \* Lower \h  \* MERGEFORMAT </w:instrText>
      </w:r>
      <w:r w:rsidR="005C45B3">
        <w:rPr>
          <w:lang w:eastAsia="cs-CZ"/>
        </w:rPr>
      </w:r>
      <w:r w:rsidR="005C45B3">
        <w:rPr>
          <w:lang w:eastAsia="cs-CZ"/>
        </w:rPr>
        <w:fldChar w:fldCharType="separate"/>
      </w:r>
      <w:r w:rsidR="003F08E5">
        <w:t xml:space="preserve">tab. </w:t>
      </w:r>
      <w:r w:rsidR="003F08E5">
        <w:rPr>
          <w:noProof/>
        </w:rPr>
        <w:t>33</w:t>
      </w:r>
      <w:r w:rsidR="005C45B3">
        <w:rPr>
          <w:lang w:eastAsia="cs-CZ"/>
        </w:rPr>
        <w:fldChar w:fldCharType="end"/>
      </w:r>
      <w:r w:rsidRPr="00F17649">
        <w:rPr>
          <w:lang w:eastAsia="cs-CZ"/>
        </w:rPr>
        <w:t xml:space="preserve">). V 7. RP byla ČR zastoupena v 58 projektech, ve kterých bylo zapojeno </w:t>
      </w:r>
      <w:r w:rsidR="000B5313">
        <w:rPr>
          <w:lang w:eastAsia="cs-CZ"/>
        </w:rPr>
        <w:t>6</w:t>
      </w:r>
      <w:r w:rsidRPr="00F17649">
        <w:rPr>
          <w:lang w:eastAsia="cs-CZ"/>
        </w:rPr>
        <w:t xml:space="preserve">7 výzkumných týmů. Podíl projektů s účastí ČR z celkového počtu projektů zaměřených na problematiku bezpečnosti přesáhl 7 %, což je podstatně více, než činil podíl projektů s účastí ČR v celém 7. RP, kde týmy z ČR byly členy řešitelských konsorcií ve 4,5 % projektů </w:t>
      </w:r>
      <w:r w:rsidRPr="00F17649">
        <w:rPr>
          <w:lang w:eastAsia="cs-CZ"/>
        </w:rPr>
        <w:fldChar w:fldCharType="begin"/>
      </w:r>
      <w:r w:rsidRPr="00F17649">
        <w:rPr>
          <w:lang w:eastAsia="cs-CZ"/>
        </w:rPr>
        <w:instrText xml:space="preserve"> REF _Ref451158369 \r \h </w:instrText>
      </w:r>
      <w:r w:rsidRPr="00F17649">
        <w:rPr>
          <w:lang w:eastAsia="cs-CZ"/>
        </w:rPr>
      </w:r>
      <w:r w:rsidRPr="00F17649">
        <w:rPr>
          <w:lang w:eastAsia="cs-CZ"/>
        </w:rPr>
        <w:fldChar w:fldCharType="separate"/>
      </w:r>
      <w:r w:rsidR="003F08E5">
        <w:rPr>
          <w:lang w:eastAsia="cs-CZ"/>
        </w:rPr>
        <w:t>[30]</w:t>
      </w:r>
      <w:r w:rsidRPr="00F17649">
        <w:rPr>
          <w:lang w:eastAsia="cs-CZ"/>
        </w:rPr>
        <w:fldChar w:fldCharType="end"/>
      </w:r>
      <w:r w:rsidRPr="00F17649">
        <w:rPr>
          <w:lang w:eastAsia="cs-CZ"/>
        </w:rPr>
        <w:t xml:space="preserve">. Jak je patrné z </w:t>
      </w:r>
      <w:r w:rsidR="005C45B3">
        <w:rPr>
          <w:lang w:eastAsia="cs-CZ"/>
        </w:rPr>
        <w:fldChar w:fldCharType="begin"/>
      </w:r>
      <w:r w:rsidR="005C45B3">
        <w:rPr>
          <w:lang w:eastAsia="cs-CZ"/>
        </w:rPr>
        <w:instrText xml:space="preserve"> REF  _Ref451519118 \* Lower \h  \* MERGEFORMAT </w:instrText>
      </w:r>
      <w:r w:rsidR="005C45B3">
        <w:rPr>
          <w:lang w:eastAsia="cs-CZ"/>
        </w:rPr>
      </w:r>
      <w:r w:rsidR="005C45B3">
        <w:rPr>
          <w:lang w:eastAsia="cs-CZ"/>
        </w:rPr>
        <w:fldChar w:fldCharType="separate"/>
      </w:r>
      <w:r w:rsidR="003F08E5">
        <w:t xml:space="preserve">tab. </w:t>
      </w:r>
      <w:r w:rsidR="003F08E5">
        <w:rPr>
          <w:noProof/>
        </w:rPr>
        <w:t>33</w:t>
      </w:r>
      <w:r w:rsidR="005C45B3">
        <w:rPr>
          <w:lang w:eastAsia="cs-CZ"/>
        </w:rPr>
        <w:fldChar w:fldCharType="end"/>
      </w:r>
      <w:r w:rsidRPr="00F17649">
        <w:rPr>
          <w:lang w:eastAsia="cs-CZ"/>
        </w:rPr>
        <w:t xml:space="preserve">, v programu H2020 je podíl bezpečnostně zaměřených projektů s účastí ČR v jejich celkovém počtu nižší a zhruba odpovídá celkovému podílu projektů s účastí ČR v dosavadním průběhu H2020 </w:t>
      </w:r>
      <w:r w:rsidRPr="00F17649">
        <w:rPr>
          <w:lang w:eastAsia="cs-CZ"/>
        </w:rPr>
        <w:fldChar w:fldCharType="begin"/>
      </w:r>
      <w:r w:rsidRPr="00F17649">
        <w:rPr>
          <w:lang w:eastAsia="cs-CZ"/>
        </w:rPr>
        <w:instrText xml:space="preserve"> REF _Ref451158724 \r \h </w:instrText>
      </w:r>
      <w:r w:rsidRPr="00F17649">
        <w:rPr>
          <w:lang w:eastAsia="cs-CZ"/>
        </w:rPr>
      </w:r>
      <w:r w:rsidRPr="00F17649">
        <w:rPr>
          <w:lang w:eastAsia="cs-CZ"/>
        </w:rPr>
        <w:fldChar w:fldCharType="separate"/>
      </w:r>
      <w:r w:rsidR="003F08E5">
        <w:rPr>
          <w:lang w:eastAsia="cs-CZ"/>
        </w:rPr>
        <w:t>[31]</w:t>
      </w:r>
      <w:r w:rsidRPr="00F17649">
        <w:rPr>
          <w:lang w:eastAsia="cs-CZ"/>
        </w:rPr>
        <w:fldChar w:fldCharType="end"/>
      </w:r>
      <w:r w:rsidRPr="00F17649">
        <w:rPr>
          <w:lang w:eastAsia="cs-CZ"/>
        </w:rPr>
        <w:t xml:space="preserve">. </w:t>
      </w:r>
    </w:p>
    <w:p w:rsidR="00F17649" w:rsidRPr="00F17649" w:rsidRDefault="00F17649" w:rsidP="00F17649">
      <w:pPr>
        <w:rPr>
          <w:lang w:eastAsia="cs-CZ"/>
        </w:rPr>
      </w:pPr>
      <w:r w:rsidRPr="00F17649">
        <w:rPr>
          <w:lang w:eastAsia="cs-CZ"/>
        </w:rPr>
        <w:t xml:space="preserve">Počet účastí v bezpečnostně zaměřených projektech (tj. počet zapojených týmů z ČR) se však příliš neliší od počtu řešených projektů, a tedy v naprosté většině případů je do řešení projektů zapojen </w:t>
      </w:r>
      <w:r w:rsidRPr="00F17649">
        <w:rPr>
          <w:lang w:eastAsia="cs-CZ"/>
        </w:rPr>
        <w:lastRenderedPageBreak/>
        <w:t>pouze jeden účastník z ČR. Podíl účastníků z ČR v bezpečnostně zaměřených projektech je i poněkud nižší, než je podíl českých účastníků v celkovém počtu účastníků 7. RP a programu H2020 (přibližně 1,1</w:t>
      </w:r>
      <w:r w:rsidR="005C45B3">
        <w:rPr>
          <w:lang w:eastAsia="cs-CZ"/>
        </w:rPr>
        <w:t> </w:t>
      </w:r>
      <w:r w:rsidRPr="00F17649">
        <w:rPr>
          <w:lang w:eastAsia="cs-CZ"/>
        </w:rPr>
        <w:t xml:space="preserve">% účasti tvoří týmy z ČR </w:t>
      </w:r>
      <w:r w:rsidRPr="00F17649">
        <w:rPr>
          <w:lang w:eastAsia="cs-CZ"/>
        </w:rPr>
        <w:fldChar w:fldCharType="begin"/>
      </w:r>
      <w:r w:rsidRPr="00F17649">
        <w:rPr>
          <w:lang w:eastAsia="cs-CZ"/>
        </w:rPr>
        <w:instrText xml:space="preserve"> REF _Ref451158369 \r \h </w:instrText>
      </w:r>
      <w:r w:rsidRPr="00F17649">
        <w:rPr>
          <w:lang w:eastAsia="cs-CZ"/>
        </w:rPr>
      </w:r>
      <w:r w:rsidRPr="00F17649">
        <w:rPr>
          <w:lang w:eastAsia="cs-CZ"/>
        </w:rPr>
        <w:fldChar w:fldCharType="separate"/>
      </w:r>
      <w:r w:rsidR="003F08E5">
        <w:rPr>
          <w:lang w:eastAsia="cs-CZ"/>
        </w:rPr>
        <w:t>[30]</w:t>
      </w:r>
      <w:r w:rsidRPr="00F17649">
        <w:rPr>
          <w:lang w:eastAsia="cs-CZ"/>
        </w:rPr>
        <w:fldChar w:fldCharType="end"/>
      </w:r>
      <w:r w:rsidRPr="00F17649">
        <w:rPr>
          <w:lang w:eastAsia="cs-CZ"/>
        </w:rPr>
        <w:t xml:space="preserve">, </w:t>
      </w:r>
      <w:r w:rsidRPr="00F17649">
        <w:rPr>
          <w:lang w:eastAsia="cs-CZ"/>
        </w:rPr>
        <w:fldChar w:fldCharType="begin"/>
      </w:r>
      <w:r w:rsidRPr="00F17649">
        <w:rPr>
          <w:lang w:eastAsia="cs-CZ"/>
        </w:rPr>
        <w:instrText xml:space="preserve"> REF _Ref451158724 \r \h </w:instrText>
      </w:r>
      <w:r w:rsidRPr="00F17649">
        <w:rPr>
          <w:lang w:eastAsia="cs-CZ"/>
        </w:rPr>
      </w:r>
      <w:r w:rsidRPr="00F17649">
        <w:rPr>
          <w:lang w:eastAsia="cs-CZ"/>
        </w:rPr>
        <w:fldChar w:fldCharType="separate"/>
      </w:r>
      <w:r w:rsidR="003F08E5">
        <w:rPr>
          <w:lang w:eastAsia="cs-CZ"/>
        </w:rPr>
        <w:t>[31]</w:t>
      </w:r>
      <w:r w:rsidRPr="00F17649">
        <w:rPr>
          <w:lang w:eastAsia="cs-CZ"/>
        </w:rPr>
        <w:fldChar w:fldCharType="end"/>
      </w:r>
      <w:r w:rsidRPr="00F17649">
        <w:rPr>
          <w:lang w:eastAsia="cs-CZ"/>
        </w:rPr>
        <w:t xml:space="preserve">). </w:t>
      </w:r>
    </w:p>
    <w:p w:rsidR="00F17649" w:rsidRPr="00F17649" w:rsidRDefault="00F17649" w:rsidP="00F17649">
      <w:pPr>
        <w:rPr>
          <w:lang w:eastAsia="cs-CZ"/>
        </w:rPr>
      </w:pPr>
      <w:r w:rsidRPr="00F17649">
        <w:rPr>
          <w:lang w:eastAsia="cs-CZ"/>
        </w:rPr>
        <w:t>Nejvíce účastníků bylo ze soukromého sektoru (z podniků), kteří tvořili téměř polovinu účastníků z ČR v 7. RP i programu H2020. Podniky z ČR se tak do bezpečnostního výzkumu zapojují poněkud více než v zahraničí. Ve srovnání se zahraničím se v ČR do projektů zaměřených na bezpečnost zapojuje více výzkumných ústavů než VŠ (zejména v 7. RP), což odpovídá i struktuře VO v ČR (v</w:t>
      </w:r>
      <w:r w:rsidR="005C45B3">
        <w:rPr>
          <w:lang w:eastAsia="cs-CZ"/>
        </w:rPr>
        <w:t xml:space="preserve">iz </w:t>
      </w:r>
      <w:r w:rsidR="005C45B3">
        <w:rPr>
          <w:lang w:eastAsia="cs-CZ"/>
        </w:rPr>
        <w:fldChar w:fldCharType="begin"/>
      </w:r>
      <w:r w:rsidR="005C45B3">
        <w:rPr>
          <w:lang w:eastAsia="cs-CZ"/>
        </w:rPr>
        <w:instrText xml:space="preserve"> REF  _Ref451519118 \* Lower \h  \* MERGEFORMAT </w:instrText>
      </w:r>
      <w:r w:rsidR="005C45B3">
        <w:rPr>
          <w:lang w:eastAsia="cs-CZ"/>
        </w:rPr>
      </w:r>
      <w:r w:rsidR="005C45B3">
        <w:rPr>
          <w:lang w:eastAsia="cs-CZ"/>
        </w:rPr>
        <w:fldChar w:fldCharType="separate"/>
      </w:r>
      <w:r w:rsidR="003F08E5">
        <w:t xml:space="preserve">tab. </w:t>
      </w:r>
      <w:r w:rsidR="003F08E5">
        <w:rPr>
          <w:noProof/>
        </w:rPr>
        <w:t>33</w:t>
      </w:r>
      <w:r w:rsidR="005C45B3">
        <w:rPr>
          <w:lang w:eastAsia="cs-CZ"/>
        </w:rPr>
        <w:fldChar w:fldCharType="end"/>
      </w:r>
      <w:r w:rsidRPr="00F17649">
        <w:rPr>
          <w:lang w:eastAsia="cs-CZ"/>
        </w:rPr>
        <w:t>).</w:t>
      </w:r>
    </w:p>
    <w:p w:rsidR="005C45B3" w:rsidRDefault="005C45B3" w:rsidP="005C45B3">
      <w:pPr>
        <w:pStyle w:val="Titulek"/>
        <w:keepNext/>
      </w:pPr>
      <w:bookmarkStart w:id="136" w:name="_Ref451519118"/>
      <w:r>
        <w:t xml:space="preserve">Tab. </w:t>
      </w:r>
      <w:r w:rsidR="00990E2D">
        <w:fldChar w:fldCharType="begin"/>
      </w:r>
      <w:r w:rsidR="00990E2D">
        <w:instrText xml:space="preserve"> SEQ Tab. \* ARABIC </w:instrText>
      </w:r>
      <w:r w:rsidR="00990E2D">
        <w:fldChar w:fldCharType="separate"/>
      </w:r>
      <w:r w:rsidR="003F08E5">
        <w:rPr>
          <w:noProof/>
        </w:rPr>
        <w:t>33</w:t>
      </w:r>
      <w:r w:rsidR="00990E2D">
        <w:rPr>
          <w:noProof/>
        </w:rPr>
        <w:fldChar w:fldCharType="end"/>
      </w:r>
      <w:bookmarkEnd w:id="136"/>
      <w:r>
        <w:tab/>
      </w:r>
      <w:r w:rsidRPr="005C45B3">
        <w:t>Základní přehled o zapojení ČR do projektů řešících problematiku bezpečnosti v 7. RP a H2020. Zdroj: e-Corda.</w:t>
      </w:r>
    </w:p>
    <w:p w:rsidR="00F17649" w:rsidRPr="00207042" w:rsidRDefault="006F60D0" w:rsidP="00F17649">
      <w:pPr>
        <w:jc w:val="center"/>
        <w:rPr>
          <w:sz w:val="24"/>
        </w:rPr>
      </w:pPr>
      <w:r w:rsidRPr="006F60D0">
        <w:rPr>
          <w:noProof/>
          <w:lang w:eastAsia="cs-CZ"/>
        </w:rPr>
        <w:drawing>
          <wp:inline distT="0" distB="0" distL="0" distR="0" wp14:anchorId="4A0E55EA" wp14:editId="2302C256">
            <wp:extent cx="5850890" cy="2171850"/>
            <wp:effectExtent l="0" t="0" r="0" b="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850890" cy="2171850"/>
                    </a:xfrm>
                    <a:prstGeom prst="rect">
                      <a:avLst/>
                    </a:prstGeom>
                    <a:noFill/>
                    <a:ln>
                      <a:noFill/>
                    </a:ln>
                  </pic:spPr>
                </pic:pic>
              </a:graphicData>
            </a:graphic>
          </wp:inline>
        </w:drawing>
      </w:r>
    </w:p>
    <w:p w:rsidR="00F17649" w:rsidRPr="00F17649" w:rsidRDefault="00F17649" w:rsidP="00F17649"/>
    <w:p w:rsidR="00F17649" w:rsidRPr="00F17649" w:rsidRDefault="00F17649" w:rsidP="00F17649">
      <w:r w:rsidRPr="00F17649">
        <w:t>Jak je patrné z</w:t>
      </w:r>
      <w:r w:rsidR="00EA3BCD">
        <w:t xml:space="preserve"> </w:t>
      </w:r>
      <w:r w:rsidR="00EA3BCD">
        <w:fldChar w:fldCharType="begin"/>
      </w:r>
      <w:r w:rsidR="00EA3BCD">
        <w:instrText xml:space="preserve"> REF  _Ref451520167 \* Lower \h  \* MERGEFORMAT </w:instrText>
      </w:r>
      <w:r w:rsidR="00EA3BCD">
        <w:fldChar w:fldCharType="separate"/>
      </w:r>
      <w:r w:rsidR="003F08E5">
        <w:t xml:space="preserve">obr. </w:t>
      </w:r>
      <w:r w:rsidR="003F08E5">
        <w:rPr>
          <w:noProof/>
        </w:rPr>
        <w:t>14</w:t>
      </w:r>
      <w:r w:rsidR="00EA3BCD">
        <w:fldChar w:fldCharType="end"/>
      </w:r>
      <w:r w:rsidRPr="00F17649">
        <w:t xml:space="preserve"> a</w:t>
      </w:r>
      <w:r w:rsidR="00EA3BCD">
        <w:t xml:space="preserve"> </w:t>
      </w:r>
      <w:r w:rsidR="00EA3BCD">
        <w:fldChar w:fldCharType="begin"/>
      </w:r>
      <w:r w:rsidR="00EA3BCD">
        <w:instrText xml:space="preserve"> REF  _Ref451520174 \* Lower \h  \* MERGEFORMAT </w:instrText>
      </w:r>
      <w:r w:rsidR="00EA3BCD">
        <w:fldChar w:fldCharType="separate"/>
      </w:r>
      <w:r w:rsidR="003F08E5">
        <w:t xml:space="preserve">obr. </w:t>
      </w:r>
      <w:r w:rsidR="003F08E5">
        <w:rPr>
          <w:noProof/>
        </w:rPr>
        <w:t>15</w:t>
      </w:r>
      <w:r w:rsidR="00EA3BCD">
        <w:fldChar w:fldCharType="end"/>
      </w:r>
      <w:r w:rsidRPr="00F17649">
        <w:t xml:space="preserve">, </w:t>
      </w:r>
      <w:r w:rsidRPr="00F17649">
        <w:rPr>
          <w:lang w:eastAsia="cs-CZ"/>
        </w:rPr>
        <w:t>kde je uveden počet projektů a účastí v bezpečnostně zaměřených projektech v 7. RP a programu H2020 v jednotlivých zemích,</w:t>
      </w:r>
      <w:r w:rsidRPr="00F17649">
        <w:t xml:space="preserve"> ČR patří do skupiny zemí, které se zapojují do řešení projektů zpravidla jedním účastníkem. Vyšší počet účastníků v projektech má pouze omezený počet zemí, které se zároveň zapojují do vyššího počtu projektů. Přibližně do poloviny projektů financovaných v 7. RP i programu H2020 byly Spojené království, Německo, Itálie, Francie a Španělsko (některé z nich dokonce do více než poloviny projektů). ČR v tomto srovnání zaostává nejen za velkými zeměmi, ale i za zeměmi srovnatelné velikosti, jako je například Nizozemsko. </w:t>
      </w:r>
    </w:p>
    <w:p w:rsidR="00F17649" w:rsidRPr="00F17649" w:rsidRDefault="005F683D" w:rsidP="005F683D">
      <w:pPr>
        <w:jc w:val="center"/>
      </w:pPr>
      <w:r>
        <w:rPr>
          <w:noProof/>
          <w:lang w:eastAsia="cs-CZ"/>
        </w:rPr>
        <w:lastRenderedPageBreak/>
        <w:drawing>
          <wp:inline distT="0" distB="0" distL="0" distR="0" wp14:anchorId="3BE61165" wp14:editId="0436135B">
            <wp:extent cx="5022950" cy="3571875"/>
            <wp:effectExtent l="0" t="0" r="6350" b="0"/>
            <wp:docPr id="23" name="Obráze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030205" cy="3577034"/>
                    </a:xfrm>
                    <a:prstGeom prst="rect">
                      <a:avLst/>
                    </a:prstGeom>
                    <a:noFill/>
                  </pic:spPr>
                </pic:pic>
              </a:graphicData>
            </a:graphic>
          </wp:inline>
        </w:drawing>
      </w:r>
    </w:p>
    <w:p w:rsidR="00F17649" w:rsidRPr="00F17649" w:rsidRDefault="00EA3BCD" w:rsidP="00EA3BCD">
      <w:pPr>
        <w:pStyle w:val="Titulek"/>
      </w:pPr>
      <w:bookmarkStart w:id="137" w:name="_Ref451520167"/>
      <w:r>
        <w:t xml:space="preserve">Obr. </w:t>
      </w:r>
      <w:r w:rsidR="00990E2D">
        <w:fldChar w:fldCharType="begin"/>
      </w:r>
      <w:r w:rsidR="00990E2D">
        <w:instrText xml:space="preserve"> SEQ Obr. \* ARABIC </w:instrText>
      </w:r>
      <w:r w:rsidR="00990E2D">
        <w:fldChar w:fldCharType="separate"/>
      </w:r>
      <w:r w:rsidR="003F08E5">
        <w:rPr>
          <w:noProof/>
        </w:rPr>
        <w:t>14</w:t>
      </w:r>
      <w:r w:rsidR="00990E2D">
        <w:rPr>
          <w:noProof/>
        </w:rPr>
        <w:fldChar w:fldCharType="end"/>
      </w:r>
      <w:bookmarkEnd w:id="137"/>
      <w:r>
        <w:tab/>
      </w:r>
      <w:r w:rsidRPr="00EA3BCD">
        <w:t xml:space="preserve">Zapojení zemí do bezpečnostně zaměřených projektů v 7. RP – počet projektů a počet účastí (počet zúčastněných týmů). V obrázku jsou zařazeny pouze země, které se účastnily alespoň 25 projektů (tj. ve 3 % projektů řešených v 7. RP). </w:t>
      </w:r>
      <w:r w:rsidR="0048519C">
        <w:t>Pod Evropskou unií je zapojení Společného výzkumného centra (</w:t>
      </w:r>
      <w:r w:rsidR="0048519C" w:rsidRPr="0048519C">
        <w:t>Joint Research Centre</w:t>
      </w:r>
      <w:r w:rsidR="0048519C">
        <w:t>,</w:t>
      </w:r>
      <w:r w:rsidR="0048519C" w:rsidRPr="0048519C">
        <w:t xml:space="preserve"> JRC </w:t>
      </w:r>
      <w:r w:rsidR="0048519C">
        <w:t xml:space="preserve">). </w:t>
      </w:r>
      <w:r w:rsidRPr="00EA3BCD">
        <w:t>Zdroj: e-Corda</w:t>
      </w:r>
    </w:p>
    <w:p w:rsidR="00EA3BCD" w:rsidRDefault="00F17649" w:rsidP="00EA3BCD">
      <w:pPr>
        <w:keepNext/>
        <w:jc w:val="center"/>
      </w:pPr>
      <w:r w:rsidRPr="00F17649">
        <w:rPr>
          <w:noProof/>
          <w:lang w:eastAsia="cs-CZ"/>
        </w:rPr>
        <w:drawing>
          <wp:inline distT="0" distB="0" distL="0" distR="0" wp14:anchorId="29913E5C" wp14:editId="44122105">
            <wp:extent cx="5022000" cy="3560400"/>
            <wp:effectExtent l="0" t="0" r="7620" b="2540"/>
            <wp:docPr id="58" name="Obrázek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022000" cy="3560400"/>
                    </a:xfrm>
                    <a:prstGeom prst="rect">
                      <a:avLst/>
                    </a:prstGeom>
                    <a:noFill/>
                  </pic:spPr>
                </pic:pic>
              </a:graphicData>
            </a:graphic>
          </wp:inline>
        </w:drawing>
      </w:r>
    </w:p>
    <w:p w:rsidR="00F17649" w:rsidRPr="00F17649" w:rsidRDefault="00EA3BCD" w:rsidP="00EA3BCD">
      <w:pPr>
        <w:pStyle w:val="Titulek"/>
      </w:pPr>
      <w:bookmarkStart w:id="138" w:name="_Ref451520174"/>
      <w:r>
        <w:t xml:space="preserve">Obr. </w:t>
      </w:r>
      <w:r w:rsidR="00990E2D">
        <w:fldChar w:fldCharType="begin"/>
      </w:r>
      <w:r w:rsidR="00990E2D">
        <w:instrText xml:space="preserve"> SEQ Obr. \* ARABIC </w:instrText>
      </w:r>
      <w:r w:rsidR="00990E2D">
        <w:fldChar w:fldCharType="separate"/>
      </w:r>
      <w:r w:rsidR="003F08E5">
        <w:rPr>
          <w:noProof/>
        </w:rPr>
        <w:t>15</w:t>
      </w:r>
      <w:r w:rsidR="00990E2D">
        <w:rPr>
          <w:noProof/>
        </w:rPr>
        <w:fldChar w:fldCharType="end"/>
      </w:r>
      <w:bookmarkEnd w:id="138"/>
      <w:r>
        <w:tab/>
      </w:r>
      <w:r w:rsidRPr="00EA3BCD">
        <w:t>Zapojení zemí do bezpečnostně zaměřených projektů v H2020 – počet projektů a počet účastí (počet zúčastněných týmů). V obrázku jsou zařazeny pouze země, které se účastnily alespoň 12 projektů (tj. ve 3 % projektů řešených v 7. RP). Zdroj: e-Corda</w:t>
      </w:r>
    </w:p>
    <w:p w:rsidR="00F17649" w:rsidRPr="00F17649" w:rsidRDefault="00F00D5B" w:rsidP="00F00D5B">
      <w:pPr>
        <w:pStyle w:val="Nadpis4"/>
      </w:pPr>
      <w:bookmarkStart w:id="139" w:name="_Toc459723298"/>
      <w:r w:rsidRPr="00F00D5B">
        <w:lastRenderedPageBreak/>
        <w:t>Oborové zaměření projektů s účastí ČR v 7. rámcovém programu</w:t>
      </w:r>
      <w:bookmarkEnd w:id="139"/>
    </w:p>
    <w:p w:rsidR="005F683D" w:rsidRDefault="005F683D" w:rsidP="005F683D">
      <w:pPr>
        <w:rPr>
          <w:lang w:eastAsia="cs-CZ"/>
        </w:rPr>
      </w:pPr>
      <w:r>
        <w:rPr>
          <w:lang w:eastAsia="cs-CZ"/>
        </w:rPr>
        <w:t xml:space="preserve">Rozdělení projektů s bezpečnostním zaměřením identifikovaných v databázi e-Corda do jednotlivých priorit 7. RP je uvedeno na </w:t>
      </w:r>
      <w:r>
        <w:rPr>
          <w:lang w:eastAsia="cs-CZ"/>
        </w:rPr>
        <w:fldChar w:fldCharType="begin"/>
      </w:r>
      <w:r>
        <w:rPr>
          <w:lang w:eastAsia="cs-CZ"/>
        </w:rPr>
        <w:instrText xml:space="preserve"> REF  _Ref451519346 \* Lower \h  \* MERGEFORMAT </w:instrText>
      </w:r>
      <w:r>
        <w:rPr>
          <w:lang w:eastAsia="cs-CZ"/>
        </w:rPr>
      </w:r>
      <w:r>
        <w:rPr>
          <w:lang w:eastAsia="cs-CZ"/>
        </w:rPr>
        <w:fldChar w:fldCharType="separate"/>
      </w:r>
      <w:r w:rsidR="003F08E5">
        <w:t xml:space="preserve">tab. </w:t>
      </w:r>
      <w:r w:rsidR="003F08E5">
        <w:rPr>
          <w:noProof/>
        </w:rPr>
        <w:t>34</w:t>
      </w:r>
      <w:r>
        <w:rPr>
          <w:lang w:eastAsia="cs-CZ"/>
        </w:rPr>
        <w:fldChar w:fldCharType="end"/>
      </w:r>
      <w:r>
        <w:rPr>
          <w:lang w:eastAsia="cs-CZ"/>
        </w:rPr>
        <w:t xml:space="preserve">. Celkem 319 projektů bylo řešeno přímo v tematické prioritě </w:t>
      </w:r>
      <w:r w:rsidRPr="00704D9B">
        <w:rPr>
          <w:b/>
          <w:lang w:eastAsia="cs-CZ"/>
        </w:rPr>
        <w:t>Bezpečnost</w:t>
      </w:r>
      <w:r w:rsidRPr="001C307B">
        <w:rPr>
          <w:lang w:eastAsia="cs-CZ"/>
        </w:rPr>
        <w:t xml:space="preserve">, což je </w:t>
      </w:r>
      <w:r>
        <w:rPr>
          <w:lang w:eastAsia="cs-CZ"/>
        </w:rPr>
        <w:t xml:space="preserve">přibližně 40 % z celkového počtu projektů s bezpečnostní tematikou v 7. RP. Do řešení 32 projektů v  této tematické prioritě byli zapojeni účastníci z ČR (celkem 36 týmů z ČR). Podíl bezpečnostně zaměřených projektů s účastí ČR z celkového počtu takto zaměřených projektů činí přibližně 10 %, což výrazně převyšuje podíl projektů s účastí ČR v celkovém počtu projektů řešených v 7. RP </w:t>
      </w:r>
      <w:r w:rsidRPr="00F17649">
        <w:rPr>
          <w:lang w:eastAsia="cs-CZ"/>
        </w:rPr>
        <w:fldChar w:fldCharType="begin"/>
      </w:r>
      <w:r w:rsidRPr="00F17649">
        <w:rPr>
          <w:lang w:eastAsia="cs-CZ"/>
        </w:rPr>
        <w:instrText xml:space="preserve"> REF _Ref451158369 \r \h </w:instrText>
      </w:r>
      <w:r w:rsidRPr="00F17649">
        <w:rPr>
          <w:lang w:eastAsia="cs-CZ"/>
        </w:rPr>
      </w:r>
      <w:r w:rsidRPr="00F17649">
        <w:rPr>
          <w:lang w:eastAsia="cs-CZ"/>
        </w:rPr>
        <w:fldChar w:fldCharType="separate"/>
      </w:r>
      <w:r w:rsidR="003F08E5">
        <w:rPr>
          <w:lang w:eastAsia="cs-CZ"/>
        </w:rPr>
        <w:t>[30]</w:t>
      </w:r>
      <w:r w:rsidRPr="00F17649">
        <w:rPr>
          <w:lang w:eastAsia="cs-CZ"/>
        </w:rPr>
        <w:fldChar w:fldCharType="end"/>
      </w:r>
      <w:r>
        <w:rPr>
          <w:lang w:eastAsia="cs-CZ"/>
        </w:rPr>
        <w:t>.</w:t>
      </w:r>
    </w:p>
    <w:p w:rsidR="00AE251F" w:rsidRDefault="00E64A94" w:rsidP="005F683D">
      <w:pPr>
        <w:rPr>
          <w:color w:val="C00000"/>
          <w:lang w:eastAsia="cs-CZ"/>
        </w:rPr>
      </w:pPr>
      <w:r>
        <w:rPr>
          <w:color w:val="C00000"/>
          <w:lang w:eastAsia="cs-CZ"/>
        </w:rPr>
        <w:t xml:space="preserve">ČR byla zapojena v projektech ve 22 aktivitách tematické priority Bezpečnost, přičemž v každé aktivitě byl zpravidla řešen jeden projekt. Dva a více projektů bylo řešeno v následujících </w:t>
      </w:r>
      <w:r w:rsidR="00AE251F">
        <w:rPr>
          <w:color w:val="C00000"/>
          <w:lang w:eastAsia="cs-CZ"/>
        </w:rPr>
        <w:t>aktivitách:</w:t>
      </w:r>
    </w:p>
    <w:p w:rsidR="00296216" w:rsidRDefault="00D94E3A" w:rsidP="00E64A94">
      <w:pPr>
        <w:pStyle w:val="Odstavecseseznamem"/>
        <w:numPr>
          <w:ilvl w:val="0"/>
          <w:numId w:val="3"/>
        </w:numPr>
        <w:rPr>
          <w:color w:val="C00000"/>
          <w:lang w:eastAsia="cs-CZ"/>
        </w:rPr>
      </w:pPr>
      <w:r>
        <w:rPr>
          <w:color w:val="C00000"/>
          <w:lang w:eastAsia="cs-CZ"/>
        </w:rPr>
        <w:t>Reakce</w:t>
      </w:r>
      <w:r w:rsidR="00AE251F" w:rsidRPr="00AE251F">
        <w:rPr>
          <w:color w:val="C00000"/>
          <w:lang w:eastAsia="cs-CZ"/>
        </w:rPr>
        <w:t xml:space="preserve"> (</w:t>
      </w:r>
      <w:r w:rsidR="001868EE">
        <w:rPr>
          <w:color w:val="C00000"/>
          <w:lang w:eastAsia="cs-CZ"/>
        </w:rPr>
        <w:t>čtyři</w:t>
      </w:r>
      <w:r w:rsidR="00AE251F" w:rsidRPr="00AE251F">
        <w:rPr>
          <w:color w:val="C00000"/>
          <w:lang w:eastAsia="cs-CZ"/>
        </w:rPr>
        <w:t xml:space="preserve"> projekty se čtyřmi účastníky</w:t>
      </w:r>
      <w:r w:rsidR="001868EE">
        <w:rPr>
          <w:color w:val="C00000"/>
          <w:lang w:eastAsia="cs-CZ"/>
        </w:rPr>
        <w:t xml:space="preserve"> z ČR</w:t>
      </w:r>
      <w:r w:rsidR="00AE251F" w:rsidRPr="00AE251F">
        <w:rPr>
          <w:color w:val="C00000"/>
          <w:lang w:eastAsia="cs-CZ"/>
        </w:rPr>
        <w:t>)</w:t>
      </w:r>
      <w:r w:rsidR="00E64A94">
        <w:rPr>
          <w:color w:val="C00000"/>
          <w:lang w:eastAsia="cs-CZ"/>
        </w:rPr>
        <w:t>. Proje</w:t>
      </w:r>
      <w:r w:rsidR="009E3498">
        <w:rPr>
          <w:color w:val="C00000"/>
          <w:lang w:eastAsia="cs-CZ"/>
        </w:rPr>
        <w:t>k</w:t>
      </w:r>
      <w:r w:rsidR="00E64A94">
        <w:rPr>
          <w:color w:val="C00000"/>
          <w:lang w:eastAsia="cs-CZ"/>
        </w:rPr>
        <w:t>ty se týkaly hlavně  CBRN (připravenost a odolnost proti terorismu), interoperability dat v případě katastrof a ESS (</w:t>
      </w:r>
      <w:r w:rsidR="00E64A94" w:rsidRPr="00E64A94">
        <w:rPr>
          <w:color w:val="C00000"/>
          <w:lang w:eastAsia="cs-CZ"/>
        </w:rPr>
        <w:t xml:space="preserve">Emergency Support </w:t>
      </w:r>
      <w:r w:rsidR="00E64A94">
        <w:rPr>
          <w:color w:val="C00000"/>
          <w:lang w:eastAsia="cs-CZ"/>
        </w:rPr>
        <w:t>Syst</w:t>
      </w:r>
      <w:r w:rsidR="001868EE">
        <w:rPr>
          <w:color w:val="C00000"/>
          <w:lang w:eastAsia="cs-CZ"/>
        </w:rPr>
        <w:t>e</w:t>
      </w:r>
      <w:r w:rsidR="00E64A94">
        <w:rPr>
          <w:color w:val="C00000"/>
          <w:lang w:eastAsia="cs-CZ"/>
        </w:rPr>
        <w:t>m);</w:t>
      </w:r>
    </w:p>
    <w:p w:rsidR="00A10FCE" w:rsidRDefault="00A10FCE" w:rsidP="00E64A94">
      <w:pPr>
        <w:pStyle w:val="Odstavecseseznamem"/>
        <w:numPr>
          <w:ilvl w:val="0"/>
          <w:numId w:val="3"/>
        </w:numPr>
        <w:rPr>
          <w:color w:val="C00000"/>
          <w:lang w:eastAsia="cs-CZ"/>
        </w:rPr>
      </w:pPr>
      <w:r>
        <w:rPr>
          <w:color w:val="C00000"/>
          <w:lang w:eastAsia="cs-CZ"/>
        </w:rPr>
        <w:t>Reakce na CBRN (</w:t>
      </w:r>
      <w:r w:rsidR="00D94E3A">
        <w:rPr>
          <w:color w:val="C00000"/>
          <w:lang w:eastAsia="cs-CZ"/>
        </w:rPr>
        <w:t>dva projekty). Jeden projekt (se třemi účastníky z ČR) byl zaměřen na vývoj zařízení pro dekontaminaci rozsáhlých oblastí s disperzními částicemi po použití CBRN</w:t>
      </w:r>
      <w:r w:rsidR="001868EE">
        <w:rPr>
          <w:color w:val="C00000"/>
          <w:lang w:eastAsia="cs-CZ"/>
        </w:rPr>
        <w:t xml:space="preserve"> (mlha, kouř apod.)</w:t>
      </w:r>
      <w:r w:rsidR="00D94E3A">
        <w:rPr>
          <w:color w:val="C00000"/>
          <w:lang w:eastAsia="cs-CZ"/>
        </w:rPr>
        <w:t>, druhý projekt se týkal ochranných oděvů pro případ teroristického útoku s využitím CBRN;</w:t>
      </w:r>
    </w:p>
    <w:p w:rsidR="00D94E3A" w:rsidRDefault="00D94E3A" w:rsidP="00E64A94">
      <w:pPr>
        <w:pStyle w:val="Odstavecseseznamem"/>
        <w:numPr>
          <w:ilvl w:val="0"/>
          <w:numId w:val="3"/>
        </w:numPr>
        <w:rPr>
          <w:color w:val="C00000"/>
          <w:lang w:eastAsia="cs-CZ"/>
        </w:rPr>
      </w:pPr>
      <w:r>
        <w:rPr>
          <w:color w:val="C00000"/>
          <w:lang w:eastAsia="cs-CZ"/>
        </w:rPr>
        <w:t xml:space="preserve">Občané, média a bezpečnost (dva projekty). Projekty se zabývaly problematikou chování v krizových situacích a </w:t>
      </w:r>
      <w:r w:rsidR="000F5EEB">
        <w:rPr>
          <w:color w:val="C00000"/>
          <w:lang w:eastAsia="cs-CZ"/>
        </w:rPr>
        <w:t>sledováním (jak je vnímáno sledování s využitím ICT občany).</w:t>
      </w:r>
    </w:p>
    <w:p w:rsidR="000F5EEB" w:rsidRDefault="000F5EEB" w:rsidP="00E64A94">
      <w:pPr>
        <w:pStyle w:val="Odstavecseseznamem"/>
        <w:numPr>
          <w:ilvl w:val="0"/>
          <w:numId w:val="3"/>
        </w:numPr>
        <w:rPr>
          <w:color w:val="C00000"/>
          <w:lang w:eastAsia="cs-CZ"/>
        </w:rPr>
      </w:pPr>
      <w:r>
        <w:rPr>
          <w:color w:val="C00000"/>
          <w:lang w:eastAsia="cs-CZ"/>
        </w:rPr>
        <w:t xml:space="preserve">Zpravodajská služba proti terorismu (dva projekty). Jeden projekt byl zaměřen na inteligentní informační systémy pro bezpečnost občanů v městském prostředí, druhý projekt na </w:t>
      </w:r>
      <w:r w:rsidR="00CA7E59">
        <w:rPr>
          <w:color w:val="C00000"/>
          <w:lang w:eastAsia="cs-CZ"/>
        </w:rPr>
        <w:t xml:space="preserve">vývoj zařízení pro </w:t>
      </w:r>
      <w:r w:rsidR="0057793D">
        <w:rPr>
          <w:color w:val="C00000"/>
          <w:lang w:eastAsia="cs-CZ"/>
        </w:rPr>
        <w:t xml:space="preserve">balistickou </w:t>
      </w:r>
      <w:r w:rsidR="00CA7E59">
        <w:rPr>
          <w:color w:val="C00000"/>
          <w:lang w:eastAsia="cs-CZ"/>
        </w:rPr>
        <w:t xml:space="preserve">ochranu občanů </w:t>
      </w:r>
      <w:r w:rsidR="00150519">
        <w:rPr>
          <w:color w:val="C00000"/>
          <w:lang w:eastAsia="cs-CZ"/>
        </w:rPr>
        <w:t xml:space="preserve">před </w:t>
      </w:r>
      <w:r w:rsidR="00CA7E59">
        <w:rPr>
          <w:color w:val="C00000"/>
          <w:lang w:eastAsia="cs-CZ"/>
        </w:rPr>
        <w:t>teroristickými útoky (nafukovací mobilní souprava)</w:t>
      </w:r>
      <w:r>
        <w:rPr>
          <w:color w:val="C00000"/>
          <w:lang w:eastAsia="cs-CZ"/>
        </w:rPr>
        <w:t>.</w:t>
      </w:r>
    </w:p>
    <w:p w:rsidR="00924FAB" w:rsidRDefault="00924FAB" w:rsidP="00E64A94">
      <w:pPr>
        <w:pStyle w:val="Odstavecseseznamem"/>
        <w:numPr>
          <w:ilvl w:val="0"/>
          <w:numId w:val="3"/>
        </w:numPr>
        <w:rPr>
          <w:color w:val="C00000"/>
          <w:lang w:eastAsia="cs-CZ"/>
        </w:rPr>
      </w:pPr>
      <w:r>
        <w:rPr>
          <w:color w:val="C00000"/>
          <w:lang w:eastAsia="cs-CZ"/>
        </w:rPr>
        <w:t>Organizační struktury a kultury (chování) veřejných uživatelů</w:t>
      </w:r>
      <w:r w:rsidR="009755EE">
        <w:rPr>
          <w:color w:val="C00000"/>
          <w:lang w:eastAsia="cs-CZ"/>
        </w:rPr>
        <w:t xml:space="preserve"> (dva projekty). Projekty se zabývaly komparativním vyhodnocením bezpečnostně zaměřených studijních pr</w:t>
      </w:r>
      <w:r w:rsidR="009A68E3">
        <w:rPr>
          <w:color w:val="C00000"/>
          <w:lang w:eastAsia="cs-CZ"/>
        </w:rPr>
        <w:t>o</w:t>
      </w:r>
      <w:r w:rsidR="009755EE">
        <w:rPr>
          <w:color w:val="C00000"/>
          <w:lang w:eastAsia="cs-CZ"/>
        </w:rPr>
        <w:t xml:space="preserve">gramů </w:t>
      </w:r>
      <w:r w:rsidR="009A68E3">
        <w:rPr>
          <w:color w:val="C00000"/>
          <w:lang w:eastAsia="cs-CZ"/>
        </w:rPr>
        <w:t>a komparativní analýzou aktivit policejních organizací.</w:t>
      </w:r>
    </w:p>
    <w:p w:rsidR="00AE251F" w:rsidRDefault="009A68E3" w:rsidP="009071B4">
      <w:pPr>
        <w:pStyle w:val="Odstavecseseznamem"/>
        <w:numPr>
          <w:ilvl w:val="0"/>
          <w:numId w:val="3"/>
        </w:numPr>
        <w:rPr>
          <w:color w:val="C00000"/>
          <w:lang w:eastAsia="cs-CZ"/>
        </w:rPr>
      </w:pPr>
      <w:r>
        <w:rPr>
          <w:color w:val="C00000"/>
          <w:lang w:eastAsia="cs-CZ"/>
        </w:rPr>
        <w:t xml:space="preserve">Bezpečnostní ekonomika (dva projekty). V projektu zaměřeném na oblast terorismu a organizovaného zločinu byly dva účastníci z ČR, v projektu </w:t>
      </w:r>
      <w:r w:rsidR="009071B4">
        <w:rPr>
          <w:color w:val="C00000"/>
          <w:lang w:eastAsia="cs-CZ"/>
        </w:rPr>
        <w:t>zabývajícím se modelováním v souvislosti s bezpečnostními hrozbami v oblasti dopravy a kritických infrastruktur byl zapojen jeden účastník z ČR.</w:t>
      </w:r>
    </w:p>
    <w:p w:rsidR="009071B4" w:rsidRDefault="009071B4" w:rsidP="009071B4">
      <w:pPr>
        <w:pStyle w:val="Odstavecseseznamem"/>
        <w:numPr>
          <w:ilvl w:val="0"/>
          <w:numId w:val="3"/>
        </w:numPr>
        <w:rPr>
          <w:color w:val="C00000"/>
          <w:lang w:eastAsia="cs-CZ"/>
        </w:rPr>
      </w:pPr>
      <w:r>
        <w:rPr>
          <w:color w:val="C00000"/>
          <w:lang w:eastAsia="cs-CZ"/>
        </w:rPr>
        <w:t>Dodavatelské řetězce a integrace trhu (dva projekty). Jeden projekt se zabýval překážkami v zapojení MSP do evropského bezpečnostního trhu, druhý projekt velkými leteckými transportními prostředky (helikoptéra s velkým užitečným zatížením).</w:t>
      </w:r>
    </w:p>
    <w:p w:rsidR="009071B4" w:rsidRPr="007F6097" w:rsidRDefault="006E5455" w:rsidP="009071B4">
      <w:pPr>
        <w:pStyle w:val="Odstavecseseznamem"/>
        <w:numPr>
          <w:ilvl w:val="0"/>
          <w:numId w:val="3"/>
        </w:numPr>
        <w:rPr>
          <w:color w:val="C00000"/>
          <w:lang w:eastAsia="cs-CZ"/>
        </w:rPr>
      </w:pPr>
      <w:r>
        <w:rPr>
          <w:color w:val="C00000"/>
          <w:lang w:eastAsia="cs-CZ"/>
        </w:rPr>
        <w:t>Sledování (dva projekty). Jeden projekt se zabýval zranitelností elektrických výkonových systémů (energetické sítě a elektrárny), druhý projekt ochranou kritických infrastruktur (budov).</w:t>
      </w:r>
    </w:p>
    <w:p w:rsidR="00F17649" w:rsidRDefault="00F17649" w:rsidP="00F17649">
      <w:pPr>
        <w:rPr>
          <w:lang w:eastAsia="cs-CZ"/>
        </w:rPr>
      </w:pPr>
      <w:r w:rsidRPr="00F17649">
        <w:rPr>
          <w:lang w:eastAsia="cs-CZ"/>
        </w:rPr>
        <w:t xml:space="preserve">Dalším programem, kde byl financován vyšší počet projektů s účastí ČR týkajících se bezpečnosti, jsou </w:t>
      </w:r>
      <w:r w:rsidRPr="00F17649">
        <w:rPr>
          <w:b/>
          <w:lang w:eastAsia="cs-CZ"/>
        </w:rPr>
        <w:t>Informační a komunikační technologie</w:t>
      </w:r>
      <w:r w:rsidRPr="00F17649">
        <w:rPr>
          <w:lang w:eastAsia="cs-CZ"/>
        </w:rPr>
        <w:t xml:space="preserve"> (ICT). V tomto programu se jednalo zejména o projekty řešící bezpečnost sítí </w:t>
      </w:r>
      <w:r w:rsidR="009E4E44">
        <w:rPr>
          <w:color w:val="C00000"/>
          <w:lang w:eastAsia="cs-CZ"/>
        </w:rPr>
        <w:t xml:space="preserve">(sítová komunikace, aplikace pro </w:t>
      </w:r>
      <w:r w:rsidR="00B11501">
        <w:rPr>
          <w:color w:val="C00000"/>
          <w:lang w:eastAsia="cs-CZ"/>
        </w:rPr>
        <w:t>ochranu</w:t>
      </w:r>
      <w:r w:rsidR="009E4E44">
        <w:rPr>
          <w:color w:val="C00000"/>
          <w:lang w:eastAsia="cs-CZ"/>
        </w:rPr>
        <w:t xml:space="preserve"> soukromí, bezdrátová komunikace, reakce na kybernetické útoky) </w:t>
      </w:r>
      <w:r w:rsidRPr="00F17649">
        <w:rPr>
          <w:lang w:eastAsia="cs-CZ"/>
        </w:rPr>
        <w:t xml:space="preserve">a </w:t>
      </w:r>
      <w:r w:rsidR="009E4E44" w:rsidRPr="009E4E44">
        <w:rPr>
          <w:color w:val="C00000"/>
          <w:lang w:eastAsia="cs-CZ"/>
        </w:rPr>
        <w:t>bezpečnost</w:t>
      </w:r>
      <w:r w:rsidR="009E4E44">
        <w:rPr>
          <w:color w:val="C00000"/>
          <w:lang w:eastAsia="cs-CZ"/>
        </w:rPr>
        <w:t xml:space="preserve"> síťové </w:t>
      </w:r>
      <w:r w:rsidRPr="00F17649">
        <w:rPr>
          <w:lang w:eastAsia="cs-CZ"/>
        </w:rPr>
        <w:t>infrastruktury</w:t>
      </w:r>
      <w:r w:rsidR="009E4E44">
        <w:rPr>
          <w:lang w:eastAsia="cs-CZ"/>
        </w:rPr>
        <w:t xml:space="preserve"> </w:t>
      </w:r>
      <w:r w:rsidR="001868EE">
        <w:rPr>
          <w:lang w:eastAsia="cs-CZ"/>
        </w:rPr>
        <w:t>(</w:t>
      </w:r>
      <w:r w:rsidR="00B11501">
        <w:rPr>
          <w:color w:val="C00000"/>
          <w:lang w:eastAsia="cs-CZ"/>
        </w:rPr>
        <w:t>autentizace</w:t>
      </w:r>
      <w:r w:rsidR="001868EE">
        <w:rPr>
          <w:color w:val="C00000"/>
          <w:lang w:eastAsia="cs-CZ"/>
        </w:rPr>
        <w:t>,</w:t>
      </w:r>
      <w:r w:rsidR="00B11501">
        <w:rPr>
          <w:color w:val="C00000"/>
          <w:lang w:eastAsia="cs-CZ"/>
        </w:rPr>
        <w:t xml:space="preserve"> biometrie, ochrana dat</w:t>
      </w:r>
      <w:r w:rsidR="001868EE">
        <w:rPr>
          <w:color w:val="C00000"/>
          <w:lang w:eastAsia="cs-CZ"/>
        </w:rPr>
        <w:t>)</w:t>
      </w:r>
      <w:r w:rsidRPr="00F17649">
        <w:rPr>
          <w:lang w:eastAsia="cs-CZ"/>
        </w:rPr>
        <w:t>.</w:t>
      </w:r>
    </w:p>
    <w:p w:rsidR="009E4E44" w:rsidRDefault="00C625EF" w:rsidP="00C625EF">
      <w:pPr>
        <w:rPr>
          <w:lang w:eastAsia="cs-CZ"/>
        </w:rPr>
      </w:pPr>
      <w:r w:rsidRPr="00F17649">
        <w:rPr>
          <w:lang w:eastAsia="cs-CZ"/>
        </w:rPr>
        <w:t xml:space="preserve">Z </w:t>
      </w:r>
      <w:r>
        <w:rPr>
          <w:lang w:eastAsia="cs-CZ"/>
        </w:rPr>
        <w:fldChar w:fldCharType="begin"/>
      </w:r>
      <w:r>
        <w:rPr>
          <w:lang w:eastAsia="cs-CZ"/>
        </w:rPr>
        <w:instrText xml:space="preserve"> REF  _Ref451519346 \* Lower \h  \* MERGEFORMAT </w:instrText>
      </w:r>
      <w:r>
        <w:rPr>
          <w:lang w:eastAsia="cs-CZ"/>
        </w:rPr>
      </w:r>
      <w:r>
        <w:rPr>
          <w:lang w:eastAsia="cs-CZ"/>
        </w:rPr>
        <w:fldChar w:fldCharType="separate"/>
      </w:r>
      <w:r w:rsidR="003F08E5">
        <w:t xml:space="preserve">tab. </w:t>
      </w:r>
      <w:r w:rsidR="003F08E5">
        <w:rPr>
          <w:noProof/>
        </w:rPr>
        <w:t>34</w:t>
      </w:r>
      <w:r>
        <w:rPr>
          <w:lang w:eastAsia="cs-CZ"/>
        </w:rPr>
        <w:fldChar w:fldCharType="end"/>
      </w:r>
      <w:r>
        <w:rPr>
          <w:lang w:eastAsia="cs-CZ"/>
        </w:rPr>
        <w:t xml:space="preserve"> </w:t>
      </w:r>
      <w:r w:rsidRPr="00F17649">
        <w:rPr>
          <w:lang w:eastAsia="cs-CZ"/>
        </w:rPr>
        <w:t xml:space="preserve">je také patrné, že v některých programech, jako jsou </w:t>
      </w:r>
      <w:r w:rsidRPr="00F17649">
        <w:rPr>
          <w:b/>
          <w:lang w:eastAsia="cs-CZ"/>
        </w:rPr>
        <w:t>Nanovědy a nanotechnologie</w:t>
      </w:r>
      <w:r w:rsidRPr="00F17649">
        <w:rPr>
          <w:lang w:eastAsia="cs-CZ"/>
        </w:rPr>
        <w:t xml:space="preserve">, </w:t>
      </w:r>
      <w:r w:rsidRPr="00F17649">
        <w:rPr>
          <w:b/>
          <w:lang w:eastAsia="cs-CZ"/>
        </w:rPr>
        <w:t>Kosmický výzkum</w:t>
      </w:r>
      <w:r w:rsidRPr="00F17649">
        <w:rPr>
          <w:lang w:eastAsia="cs-CZ"/>
        </w:rPr>
        <w:t xml:space="preserve"> a </w:t>
      </w:r>
      <w:r w:rsidRPr="00F17649">
        <w:rPr>
          <w:b/>
          <w:lang w:eastAsia="cs-CZ"/>
        </w:rPr>
        <w:t>Výzkumné infrastruktury</w:t>
      </w:r>
      <w:r w:rsidRPr="00F17649">
        <w:rPr>
          <w:lang w:eastAsia="cs-CZ"/>
        </w:rPr>
        <w:t xml:space="preserve">, byla ČR zapojena </w:t>
      </w:r>
      <w:r w:rsidR="00BD14D8">
        <w:rPr>
          <w:lang w:eastAsia="cs-CZ"/>
        </w:rPr>
        <w:t xml:space="preserve">do </w:t>
      </w:r>
      <w:r w:rsidRPr="00F17649">
        <w:rPr>
          <w:lang w:eastAsia="cs-CZ"/>
        </w:rPr>
        <w:t xml:space="preserve">významné části projektů dotýkajících se </w:t>
      </w:r>
      <w:r w:rsidRPr="005275AF">
        <w:rPr>
          <w:lang w:eastAsia="cs-CZ"/>
        </w:rPr>
        <w:t>problematiky bezpečnosti</w:t>
      </w:r>
      <w:r w:rsidR="00B11501">
        <w:rPr>
          <w:lang w:eastAsia="cs-CZ"/>
        </w:rPr>
        <w:t xml:space="preserve">. </w:t>
      </w:r>
      <w:r w:rsidR="00B11501">
        <w:rPr>
          <w:color w:val="C00000"/>
          <w:lang w:eastAsia="cs-CZ"/>
        </w:rPr>
        <w:t xml:space="preserve">V případě Nanověd a natotechnologií se jednalo o projekty řešící problematiku </w:t>
      </w:r>
      <w:r w:rsidR="005531BD" w:rsidRPr="005275AF">
        <w:rPr>
          <w:lang w:eastAsia="cs-CZ"/>
        </w:rPr>
        <w:t xml:space="preserve">ochranných prostředků </w:t>
      </w:r>
      <w:r w:rsidR="00B11501" w:rsidRPr="00B11501">
        <w:rPr>
          <w:color w:val="C00000"/>
          <w:lang w:eastAsia="cs-CZ"/>
        </w:rPr>
        <w:t>v rizikovém prostředí</w:t>
      </w:r>
      <w:r w:rsidR="00B11501">
        <w:rPr>
          <w:color w:val="C00000"/>
          <w:lang w:eastAsia="cs-CZ"/>
        </w:rPr>
        <w:t xml:space="preserve"> (PPE)</w:t>
      </w:r>
      <w:r w:rsidR="001868EE">
        <w:rPr>
          <w:color w:val="C00000"/>
          <w:lang w:eastAsia="cs-CZ"/>
        </w:rPr>
        <w:t>,</w:t>
      </w:r>
      <w:r w:rsidR="00B11501">
        <w:rPr>
          <w:color w:val="C00000"/>
          <w:lang w:eastAsia="cs-CZ"/>
        </w:rPr>
        <w:t xml:space="preserve"> například </w:t>
      </w:r>
      <w:r w:rsidR="005531BD" w:rsidRPr="005275AF">
        <w:rPr>
          <w:lang w:eastAsia="cs-CZ"/>
        </w:rPr>
        <w:t>pro policii</w:t>
      </w:r>
      <w:r w:rsidR="00B11501">
        <w:rPr>
          <w:lang w:eastAsia="cs-CZ"/>
        </w:rPr>
        <w:t xml:space="preserve"> a</w:t>
      </w:r>
      <w:r w:rsidR="005531BD" w:rsidRPr="005275AF">
        <w:rPr>
          <w:lang w:eastAsia="cs-CZ"/>
        </w:rPr>
        <w:t xml:space="preserve"> hasiče</w:t>
      </w:r>
      <w:r w:rsidR="001868EE">
        <w:rPr>
          <w:lang w:eastAsia="cs-CZ"/>
        </w:rPr>
        <w:t>,</w:t>
      </w:r>
      <w:r w:rsidR="00B11501">
        <w:rPr>
          <w:lang w:eastAsia="cs-CZ"/>
        </w:rPr>
        <w:t xml:space="preserve"> </w:t>
      </w:r>
      <w:r w:rsidR="00B11501" w:rsidRPr="00B11501">
        <w:rPr>
          <w:color w:val="C00000"/>
          <w:lang w:eastAsia="cs-CZ"/>
        </w:rPr>
        <w:t>a projekty týkající se expozice nanočásticemi při výrobě</w:t>
      </w:r>
      <w:r w:rsidRPr="005275AF">
        <w:rPr>
          <w:lang w:eastAsia="cs-CZ"/>
        </w:rPr>
        <w:t>.</w:t>
      </w:r>
      <w:r w:rsidR="00B11501">
        <w:rPr>
          <w:lang w:eastAsia="cs-CZ"/>
        </w:rPr>
        <w:t xml:space="preserve"> </w:t>
      </w:r>
      <w:r w:rsidR="00D354CE" w:rsidRPr="00D354CE">
        <w:rPr>
          <w:color w:val="C00000"/>
          <w:lang w:eastAsia="cs-CZ"/>
        </w:rPr>
        <w:t>P</w:t>
      </w:r>
      <w:r w:rsidR="00B11501" w:rsidRPr="00D354CE">
        <w:rPr>
          <w:color w:val="C00000"/>
          <w:lang w:eastAsia="cs-CZ"/>
        </w:rPr>
        <w:t>rojekt</w:t>
      </w:r>
      <w:r w:rsidR="00D354CE" w:rsidRPr="00D354CE">
        <w:rPr>
          <w:color w:val="C00000"/>
          <w:lang w:eastAsia="cs-CZ"/>
        </w:rPr>
        <w:t>y</w:t>
      </w:r>
      <w:r w:rsidR="00B11501" w:rsidRPr="00D354CE">
        <w:rPr>
          <w:color w:val="C00000"/>
          <w:lang w:eastAsia="cs-CZ"/>
        </w:rPr>
        <w:t xml:space="preserve"> v programu Kosmický výzkum </w:t>
      </w:r>
      <w:r w:rsidR="00D354CE" w:rsidRPr="00D354CE">
        <w:rPr>
          <w:color w:val="C00000"/>
          <w:lang w:eastAsia="cs-CZ"/>
        </w:rPr>
        <w:t xml:space="preserve">se zabývaly problematikou </w:t>
      </w:r>
      <w:r w:rsidR="00296216">
        <w:rPr>
          <w:color w:val="C00000"/>
          <w:lang w:eastAsia="cs-CZ"/>
        </w:rPr>
        <w:t xml:space="preserve">bezpečnosti v </w:t>
      </w:r>
      <w:r w:rsidR="00D354CE" w:rsidRPr="00D354CE">
        <w:rPr>
          <w:color w:val="C00000"/>
          <w:lang w:eastAsia="cs-CZ"/>
        </w:rPr>
        <w:t>GMES (Global Monitoring for Environment and Security)</w:t>
      </w:r>
      <w:r w:rsidR="001868EE">
        <w:rPr>
          <w:color w:val="C00000"/>
          <w:lang w:eastAsia="cs-CZ"/>
        </w:rPr>
        <w:t>,</w:t>
      </w:r>
      <w:r w:rsidR="00296216">
        <w:rPr>
          <w:color w:val="C00000"/>
          <w:lang w:eastAsia="cs-CZ"/>
        </w:rPr>
        <w:t xml:space="preserve"> reakcí na katastrofy</w:t>
      </w:r>
      <w:r w:rsidR="00D354CE" w:rsidRPr="00D354CE">
        <w:rPr>
          <w:color w:val="C00000"/>
          <w:lang w:eastAsia="cs-CZ"/>
        </w:rPr>
        <w:t xml:space="preserve"> a robotikou.</w:t>
      </w:r>
      <w:r w:rsidR="00D354CE">
        <w:rPr>
          <w:color w:val="C00000"/>
          <w:lang w:eastAsia="cs-CZ"/>
        </w:rPr>
        <w:t xml:space="preserve"> V případě Výzkumných infrastruktur se jednalo o</w:t>
      </w:r>
      <w:r w:rsidR="00296216">
        <w:rPr>
          <w:color w:val="C00000"/>
          <w:lang w:eastAsia="cs-CZ"/>
        </w:rPr>
        <w:t xml:space="preserve"> evropskou infrastrukturu EPOS (European Plate Observing System).</w:t>
      </w:r>
    </w:p>
    <w:p w:rsidR="00C625EF" w:rsidRPr="00F17649" w:rsidRDefault="001868EE" w:rsidP="00C625EF">
      <w:pPr>
        <w:rPr>
          <w:lang w:eastAsia="cs-CZ"/>
        </w:rPr>
      </w:pPr>
      <w:r>
        <w:rPr>
          <w:lang w:eastAsia="cs-CZ"/>
        </w:rPr>
        <w:lastRenderedPageBreak/>
        <w:t>V</w:t>
      </w:r>
      <w:r w:rsidR="00C625EF" w:rsidRPr="00F17649">
        <w:rPr>
          <w:lang w:eastAsia="cs-CZ"/>
        </w:rPr>
        <w:t xml:space="preserve"> rámcovém programu </w:t>
      </w:r>
      <w:r w:rsidR="00C625EF" w:rsidRPr="00F17649">
        <w:rPr>
          <w:b/>
          <w:lang w:eastAsia="cs-CZ"/>
        </w:rPr>
        <w:t>Euratom</w:t>
      </w:r>
      <w:r w:rsidR="00C625EF" w:rsidRPr="00F17649">
        <w:rPr>
          <w:lang w:eastAsia="cs-CZ"/>
        </w:rPr>
        <w:t xml:space="preserve"> byla ČR zapojena </w:t>
      </w:r>
      <w:r w:rsidR="00C625EF" w:rsidRPr="00296216">
        <w:rPr>
          <w:color w:val="C00000"/>
          <w:lang w:eastAsia="cs-CZ"/>
        </w:rPr>
        <w:t xml:space="preserve">do řešení </w:t>
      </w:r>
      <w:r w:rsidR="00296216" w:rsidRPr="00296216">
        <w:rPr>
          <w:color w:val="C00000"/>
          <w:lang w:eastAsia="cs-CZ"/>
        </w:rPr>
        <w:t xml:space="preserve">2 projektů, což je </w:t>
      </w:r>
      <w:r w:rsidR="00C625EF" w:rsidRPr="00296216">
        <w:rPr>
          <w:color w:val="C00000"/>
          <w:lang w:eastAsia="cs-CZ"/>
        </w:rPr>
        <w:t xml:space="preserve">přibližně 20 % </w:t>
      </w:r>
      <w:r w:rsidR="00296216" w:rsidRPr="00296216">
        <w:rPr>
          <w:color w:val="C00000"/>
          <w:lang w:eastAsia="cs-CZ"/>
        </w:rPr>
        <w:t>z celkového počtu bezpečnostně zaměřených projektů v tomto programu</w:t>
      </w:r>
      <w:r w:rsidR="00C625EF" w:rsidRPr="00296216">
        <w:rPr>
          <w:color w:val="C00000"/>
          <w:lang w:eastAsia="cs-CZ"/>
        </w:rPr>
        <w:t>.</w:t>
      </w:r>
      <w:r w:rsidR="00296216" w:rsidRPr="00296216">
        <w:rPr>
          <w:color w:val="C00000"/>
          <w:lang w:eastAsia="cs-CZ"/>
        </w:rPr>
        <w:t xml:space="preserve"> Projekty </w:t>
      </w:r>
      <w:r>
        <w:rPr>
          <w:color w:val="C00000"/>
          <w:lang w:eastAsia="cs-CZ"/>
        </w:rPr>
        <w:t xml:space="preserve">se týkaly </w:t>
      </w:r>
      <w:r w:rsidR="00296216" w:rsidRPr="00296216">
        <w:rPr>
          <w:color w:val="C00000"/>
          <w:lang w:eastAsia="cs-CZ"/>
        </w:rPr>
        <w:t>ochran</w:t>
      </w:r>
      <w:r>
        <w:rPr>
          <w:color w:val="C00000"/>
          <w:lang w:eastAsia="cs-CZ"/>
        </w:rPr>
        <w:t>y</w:t>
      </w:r>
      <w:r w:rsidR="00296216" w:rsidRPr="00296216">
        <w:rPr>
          <w:color w:val="C00000"/>
          <w:lang w:eastAsia="cs-CZ"/>
        </w:rPr>
        <w:t xml:space="preserve"> před zářením (rizika v souvislosti s nízkými dávkami záření) a bezpečnost</w:t>
      </w:r>
      <w:r>
        <w:rPr>
          <w:color w:val="C00000"/>
          <w:lang w:eastAsia="cs-CZ"/>
        </w:rPr>
        <w:t>i</w:t>
      </w:r>
      <w:r w:rsidR="00296216" w:rsidRPr="00296216">
        <w:rPr>
          <w:color w:val="C00000"/>
          <w:lang w:eastAsia="cs-CZ"/>
        </w:rPr>
        <w:t xml:space="preserve"> jaderných elektráren.</w:t>
      </w:r>
    </w:p>
    <w:p w:rsidR="00C625EF" w:rsidRPr="00F17649" w:rsidRDefault="00C625EF" w:rsidP="00C625EF">
      <w:pPr>
        <w:rPr>
          <w:lang w:eastAsia="cs-CZ"/>
        </w:rPr>
      </w:pPr>
      <w:r w:rsidRPr="00F17649">
        <w:rPr>
          <w:lang w:eastAsia="cs-CZ"/>
        </w:rPr>
        <w:t>V některých programech se naopak ČR zapojuje výrazně méně. ČR neobdržela</w:t>
      </w:r>
      <w:r w:rsidR="005531BD">
        <w:rPr>
          <w:lang w:eastAsia="cs-CZ"/>
        </w:rPr>
        <w:t xml:space="preserve"> v bezpečnostní oblasti</w:t>
      </w:r>
      <w:r w:rsidRPr="00F17649">
        <w:rPr>
          <w:lang w:eastAsia="cs-CZ"/>
        </w:rPr>
        <w:t xml:space="preserve"> žádný </w:t>
      </w:r>
      <w:r w:rsidRPr="00F17649">
        <w:rPr>
          <w:b/>
          <w:lang w:eastAsia="cs-CZ"/>
        </w:rPr>
        <w:t>grant Evropské výzkumné rady</w:t>
      </w:r>
      <w:r w:rsidRPr="00F17649">
        <w:rPr>
          <w:lang w:eastAsia="cs-CZ"/>
        </w:rPr>
        <w:t xml:space="preserve"> (European Research Council, ERC), které si kladou za cíl posunout hranice stávajícího poznání. ČR nebyla zapojena ani v jedné </w:t>
      </w:r>
      <w:r w:rsidRPr="00F17649">
        <w:rPr>
          <w:b/>
          <w:lang w:eastAsia="cs-CZ"/>
        </w:rPr>
        <w:t>Společné technologické iniciativě</w:t>
      </w:r>
      <w:r w:rsidRPr="00F17649">
        <w:rPr>
          <w:lang w:eastAsia="cs-CZ"/>
        </w:rPr>
        <w:t>, jejích aktivity se týkají problematiky bezpečnosti. V mezinárodním srovnání je také velmi nízký počet projektů mezinárodní mobility (Akce Marie Curie).</w:t>
      </w:r>
      <w:r w:rsidR="005531BD">
        <w:rPr>
          <w:lang w:eastAsia="cs-CZ"/>
        </w:rPr>
        <w:t xml:space="preserve"> V těchto dvou prioritách byl</w:t>
      </w:r>
      <w:r w:rsidR="00314BE5">
        <w:rPr>
          <w:lang w:eastAsia="cs-CZ"/>
        </w:rPr>
        <w:t>o</w:t>
      </w:r>
      <w:r w:rsidR="005531BD">
        <w:rPr>
          <w:lang w:eastAsia="cs-CZ"/>
        </w:rPr>
        <w:t xml:space="preserve"> </w:t>
      </w:r>
      <w:r w:rsidR="00314BE5">
        <w:rPr>
          <w:lang w:eastAsia="cs-CZ"/>
        </w:rPr>
        <w:t xml:space="preserve">však </w:t>
      </w:r>
      <w:r w:rsidR="005531BD">
        <w:rPr>
          <w:lang w:eastAsia="cs-CZ"/>
        </w:rPr>
        <w:t>podpořen</w:t>
      </w:r>
      <w:r w:rsidR="00314BE5">
        <w:rPr>
          <w:lang w:eastAsia="cs-CZ"/>
        </w:rPr>
        <w:t>o</w:t>
      </w:r>
      <w:r w:rsidR="005531BD">
        <w:rPr>
          <w:lang w:eastAsia="cs-CZ"/>
        </w:rPr>
        <w:t xml:space="preserve"> </w:t>
      </w:r>
      <w:r w:rsidR="00314BE5">
        <w:rPr>
          <w:lang w:eastAsia="cs-CZ"/>
        </w:rPr>
        <w:t>málo</w:t>
      </w:r>
      <w:r w:rsidR="005531BD">
        <w:rPr>
          <w:lang w:eastAsia="cs-CZ"/>
        </w:rPr>
        <w:t xml:space="preserve"> projektů s bezpečnostní problematikou. </w:t>
      </w:r>
    </w:p>
    <w:p w:rsidR="00C625EF" w:rsidRDefault="00C625EF" w:rsidP="00C625EF">
      <w:pPr>
        <w:rPr>
          <w:lang w:eastAsia="cs-CZ"/>
        </w:rPr>
      </w:pPr>
      <w:r>
        <w:rPr>
          <w:lang w:eastAsia="cs-CZ"/>
        </w:rPr>
        <w:fldChar w:fldCharType="begin"/>
      </w:r>
      <w:r>
        <w:rPr>
          <w:lang w:eastAsia="cs-CZ"/>
        </w:rPr>
        <w:instrText xml:space="preserve"> REF _Ref451519346 \h </w:instrText>
      </w:r>
      <w:r>
        <w:rPr>
          <w:lang w:eastAsia="cs-CZ"/>
        </w:rPr>
      </w:r>
      <w:r>
        <w:rPr>
          <w:lang w:eastAsia="cs-CZ"/>
        </w:rPr>
        <w:fldChar w:fldCharType="separate"/>
      </w:r>
      <w:r w:rsidR="003F08E5">
        <w:t xml:space="preserve">Tab. </w:t>
      </w:r>
      <w:r w:rsidR="003F08E5">
        <w:rPr>
          <w:noProof/>
        </w:rPr>
        <w:t>34</w:t>
      </w:r>
      <w:r>
        <w:rPr>
          <w:lang w:eastAsia="cs-CZ"/>
        </w:rPr>
        <w:fldChar w:fldCharType="end"/>
      </w:r>
      <w:r>
        <w:rPr>
          <w:lang w:eastAsia="cs-CZ"/>
        </w:rPr>
        <w:t xml:space="preserve"> </w:t>
      </w:r>
      <w:r w:rsidRPr="00F17649">
        <w:rPr>
          <w:lang w:eastAsia="cs-CZ"/>
        </w:rPr>
        <w:t>také potvrzuje závěry z předcházející kapitoly – podíl účastí ČR je v naprosté většině programů 7. RP výrazně nižší než podíl projektů</w:t>
      </w:r>
      <w:r w:rsidR="00BB7C21">
        <w:rPr>
          <w:lang w:eastAsia="cs-CZ"/>
        </w:rPr>
        <w:t xml:space="preserve"> a</w:t>
      </w:r>
      <w:r w:rsidRPr="00F17649">
        <w:rPr>
          <w:lang w:eastAsia="cs-CZ"/>
        </w:rPr>
        <w:t xml:space="preserve"> </w:t>
      </w:r>
      <w:r w:rsidR="00BB7C21">
        <w:rPr>
          <w:lang w:eastAsia="cs-CZ"/>
        </w:rPr>
        <w:t>t</w:t>
      </w:r>
      <w:r w:rsidRPr="00F17649">
        <w:rPr>
          <w:lang w:eastAsia="cs-CZ"/>
        </w:rPr>
        <w:t>aké podíl z celkového příspěvku, který získaly výzkumné týmy na řešení projektů, je výrazně (v řadě případů řádově) nižší, než činil podíl projektů z ČR. Tyto rozdíly by mohly naznačovat, že ČR v řešených projektech zřejmě hraje méně významnou roli (rozdíly v příspěvku EK na řešení projektů také souvisejí s různými mzdami výzkumných pracovníků v jednotlivých zemích).</w:t>
      </w:r>
    </w:p>
    <w:p w:rsidR="005C45B3" w:rsidRDefault="005C45B3" w:rsidP="005C45B3">
      <w:pPr>
        <w:pStyle w:val="Titulek"/>
        <w:keepNext/>
        <w:jc w:val="both"/>
      </w:pPr>
      <w:bookmarkStart w:id="140" w:name="_Ref451519346"/>
      <w:r>
        <w:t xml:space="preserve">Tab. </w:t>
      </w:r>
      <w:r w:rsidR="00990E2D">
        <w:fldChar w:fldCharType="begin"/>
      </w:r>
      <w:r w:rsidR="00990E2D">
        <w:instrText xml:space="preserve"> SEQ Tab. \* ARABIC </w:instrText>
      </w:r>
      <w:r w:rsidR="00990E2D">
        <w:fldChar w:fldCharType="separate"/>
      </w:r>
      <w:r w:rsidR="003F08E5">
        <w:rPr>
          <w:noProof/>
        </w:rPr>
        <w:t>34</w:t>
      </w:r>
      <w:r w:rsidR="00990E2D">
        <w:rPr>
          <w:noProof/>
        </w:rPr>
        <w:fldChar w:fldCharType="end"/>
      </w:r>
      <w:bookmarkEnd w:id="140"/>
      <w:r>
        <w:tab/>
      </w:r>
      <w:r w:rsidRPr="005C45B3">
        <w:t>Počet projektů s účastí ČR zaměřených na problematiku bezpečnosti v 7. RP, počet výzkumných týmů z ČR zapojených v řešení projektů (počet účastí) a příspěvek, který řešitelé od EK v 7. RP. Pořadí je sestupně podle celkového počtu projektů řešených v jednotlivých programech, které se týkaly problematiky bezpečnosti. Zdroj: e-Corda</w:t>
      </w:r>
    </w:p>
    <w:p w:rsidR="00086DDB" w:rsidRDefault="00A26940" w:rsidP="00A26940">
      <w:pPr>
        <w:jc w:val="center"/>
      </w:pPr>
      <w:r w:rsidRPr="00A26940">
        <w:rPr>
          <w:noProof/>
          <w:lang w:eastAsia="cs-CZ"/>
        </w:rPr>
        <w:drawing>
          <wp:inline distT="0" distB="0" distL="0" distR="0" wp14:anchorId="06898F3E" wp14:editId="6648E981">
            <wp:extent cx="5850890" cy="3057669"/>
            <wp:effectExtent l="0" t="0" r="0" b="9525"/>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850890" cy="3057669"/>
                    </a:xfrm>
                    <a:prstGeom prst="rect">
                      <a:avLst/>
                    </a:prstGeom>
                    <a:noFill/>
                    <a:ln>
                      <a:noFill/>
                    </a:ln>
                  </pic:spPr>
                </pic:pic>
              </a:graphicData>
            </a:graphic>
          </wp:inline>
        </w:drawing>
      </w:r>
    </w:p>
    <w:p w:rsidR="005819F4" w:rsidRDefault="005819F4" w:rsidP="00A26940">
      <w:pPr>
        <w:jc w:val="center"/>
      </w:pPr>
    </w:p>
    <w:p w:rsidR="00F17649" w:rsidRPr="00F17649" w:rsidRDefault="00F00D5B" w:rsidP="005819F4">
      <w:pPr>
        <w:pStyle w:val="Nadpis4"/>
        <w:ind w:left="862" w:hanging="862"/>
      </w:pPr>
      <w:bookmarkStart w:id="141" w:name="_Toc459723299"/>
      <w:r w:rsidRPr="00F00D5B">
        <w:t>Oborové zaměření projektů s účastí ČR v programu Horizont 2020</w:t>
      </w:r>
      <w:bookmarkEnd w:id="141"/>
    </w:p>
    <w:p w:rsidR="00F17649" w:rsidRDefault="00F17649" w:rsidP="00F17649">
      <w:pPr>
        <w:rPr>
          <w:lang w:eastAsia="cs-CZ"/>
        </w:rPr>
      </w:pPr>
      <w:r w:rsidRPr="00F17649">
        <w:rPr>
          <w:lang w:eastAsia="cs-CZ"/>
        </w:rPr>
        <w:t xml:space="preserve">Účast ČR v bezpečnostně zaměřených projektech v programu H2020 je zatím poněkud nižší – dosud bylo schváleno pro financování 15 projektů VaV, které souvisejí s problematikou  bezpečností (viz </w:t>
      </w:r>
      <w:r w:rsidR="00075EDF">
        <w:rPr>
          <w:lang w:eastAsia="cs-CZ"/>
        </w:rPr>
        <w:fldChar w:fldCharType="begin"/>
      </w:r>
      <w:r w:rsidR="00075EDF">
        <w:rPr>
          <w:lang w:eastAsia="cs-CZ"/>
        </w:rPr>
        <w:instrText xml:space="preserve"> REF  _Ref451519546 \* Lower \h  \* MERGEFORMAT </w:instrText>
      </w:r>
      <w:r w:rsidR="00075EDF">
        <w:rPr>
          <w:lang w:eastAsia="cs-CZ"/>
        </w:rPr>
      </w:r>
      <w:r w:rsidR="00075EDF">
        <w:rPr>
          <w:lang w:eastAsia="cs-CZ"/>
        </w:rPr>
        <w:fldChar w:fldCharType="separate"/>
      </w:r>
      <w:r w:rsidR="003F08E5">
        <w:t xml:space="preserve">tab. </w:t>
      </w:r>
      <w:r w:rsidR="003F08E5">
        <w:rPr>
          <w:noProof/>
        </w:rPr>
        <w:t>35</w:t>
      </w:r>
      <w:r w:rsidR="00075EDF">
        <w:rPr>
          <w:lang w:eastAsia="cs-CZ"/>
        </w:rPr>
        <w:fldChar w:fldCharType="end"/>
      </w:r>
      <w:r w:rsidRPr="00F17649">
        <w:rPr>
          <w:lang w:eastAsia="cs-CZ"/>
        </w:rPr>
        <w:t xml:space="preserve">). Nejvyšší počet návrhů projektů s účastí ČR i financovaných projektů byl ve společenské výzvě </w:t>
      </w:r>
      <w:r w:rsidRPr="00F17649">
        <w:rPr>
          <w:b/>
          <w:lang w:eastAsia="cs-CZ"/>
        </w:rPr>
        <w:t xml:space="preserve">Bezpečné společnosti - ochrana svobody a bezpečnosti Evropy a jejích občanů </w:t>
      </w:r>
      <w:r w:rsidRPr="00F17649">
        <w:rPr>
          <w:lang w:eastAsia="cs-CZ"/>
        </w:rPr>
        <w:t xml:space="preserve">(celkem 7 financovaných projektů s účastí ČR). Jejich podíl z celkového počtu projektů </w:t>
      </w:r>
      <w:r w:rsidR="00BB7C21">
        <w:rPr>
          <w:lang w:eastAsia="cs-CZ"/>
        </w:rPr>
        <w:t xml:space="preserve">financovaných </w:t>
      </w:r>
      <w:r w:rsidRPr="00F17649">
        <w:rPr>
          <w:lang w:eastAsia="cs-CZ"/>
        </w:rPr>
        <w:t xml:space="preserve">v této společenské výzvě je však nižší, než tomu bylo v programu Bezpečnost v 7. RP (viz </w:t>
      </w:r>
      <w:r w:rsidR="00075EDF">
        <w:rPr>
          <w:lang w:eastAsia="cs-CZ"/>
        </w:rPr>
        <w:fldChar w:fldCharType="begin"/>
      </w:r>
      <w:r w:rsidR="00075EDF">
        <w:rPr>
          <w:lang w:eastAsia="cs-CZ"/>
        </w:rPr>
        <w:instrText xml:space="preserve"> REF  _Ref451519546 \* Lower \h  \* MERGEFORMAT </w:instrText>
      </w:r>
      <w:r w:rsidR="00075EDF">
        <w:rPr>
          <w:lang w:eastAsia="cs-CZ"/>
        </w:rPr>
      </w:r>
      <w:r w:rsidR="00075EDF">
        <w:rPr>
          <w:lang w:eastAsia="cs-CZ"/>
        </w:rPr>
        <w:fldChar w:fldCharType="separate"/>
      </w:r>
      <w:r w:rsidR="003F08E5">
        <w:t xml:space="preserve">tab. </w:t>
      </w:r>
      <w:r w:rsidR="003F08E5">
        <w:rPr>
          <w:noProof/>
        </w:rPr>
        <w:t>35</w:t>
      </w:r>
      <w:r w:rsidR="00075EDF">
        <w:rPr>
          <w:lang w:eastAsia="cs-CZ"/>
        </w:rPr>
        <w:fldChar w:fldCharType="end"/>
      </w:r>
      <w:r w:rsidR="00BB7C21">
        <w:rPr>
          <w:lang w:eastAsia="cs-CZ"/>
        </w:rPr>
        <w:t>)</w:t>
      </w:r>
      <w:r w:rsidRPr="00F17649">
        <w:rPr>
          <w:lang w:eastAsia="cs-CZ"/>
        </w:rPr>
        <w:t>.</w:t>
      </w:r>
      <w:r w:rsidR="00BB7C21">
        <w:rPr>
          <w:lang w:eastAsia="cs-CZ"/>
        </w:rPr>
        <w:t xml:space="preserve"> Je nutné si však uvědomit, že dosud bylo v program H2020 ve společenské výzvě Bezpečné společnosti vyhlášeno jen málo výzev.</w:t>
      </w:r>
    </w:p>
    <w:p w:rsidR="00FA2E2C" w:rsidRPr="00FA2E2C" w:rsidRDefault="00FA2E2C" w:rsidP="00F17649">
      <w:pPr>
        <w:rPr>
          <w:color w:val="C00000"/>
          <w:lang w:eastAsia="cs-CZ"/>
        </w:rPr>
      </w:pPr>
      <w:r>
        <w:rPr>
          <w:color w:val="C00000"/>
          <w:lang w:eastAsia="cs-CZ"/>
        </w:rPr>
        <w:t xml:space="preserve">Dva projekty s účastí </w:t>
      </w:r>
      <w:r w:rsidR="001868EE">
        <w:rPr>
          <w:color w:val="C00000"/>
          <w:lang w:eastAsia="cs-CZ"/>
        </w:rPr>
        <w:t xml:space="preserve">ČR </w:t>
      </w:r>
      <w:r w:rsidR="00384D8D">
        <w:rPr>
          <w:color w:val="C00000"/>
          <w:lang w:eastAsia="cs-CZ"/>
        </w:rPr>
        <w:t>jsou</w:t>
      </w:r>
      <w:r>
        <w:rPr>
          <w:color w:val="C00000"/>
          <w:lang w:eastAsia="cs-CZ"/>
        </w:rPr>
        <w:t> zaměřené na oblast krizového managementu</w:t>
      </w:r>
      <w:r w:rsidR="001868EE">
        <w:rPr>
          <w:color w:val="C00000"/>
          <w:lang w:eastAsia="cs-CZ"/>
        </w:rPr>
        <w:t>, Jeden projekt řeš</w:t>
      </w:r>
      <w:r w:rsidR="00384D8D">
        <w:rPr>
          <w:color w:val="C00000"/>
          <w:lang w:eastAsia="cs-CZ"/>
        </w:rPr>
        <w:t>í</w:t>
      </w:r>
      <w:r w:rsidR="001868EE">
        <w:rPr>
          <w:color w:val="C00000"/>
          <w:lang w:eastAsia="cs-CZ"/>
        </w:rPr>
        <w:t xml:space="preserve"> problematiku </w:t>
      </w:r>
      <w:r>
        <w:rPr>
          <w:color w:val="C00000"/>
          <w:lang w:eastAsia="cs-CZ"/>
        </w:rPr>
        <w:t>nástroj</w:t>
      </w:r>
      <w:r w:rsidR="001868EE">
        <w:rPr>
          <w:color w:val="C00000"/>
          <w:lang w:eastAsia="cs-CZ"/>
        </w:rPr>
        <w:t>ů</w:t>
      </w:r>
      <w:r>
        <w:rPr>
          <w:color w:val="C00000"/>
          <w:lang w:eastAsia="cs-CZ"/>
        </w:rPr>
        <w:t xml:space="preserve"> pro detekci, sledovatelnost, třídění a individuální monitorování obětí po </w:t>
      </w:r>
      <w:r>
        <w:rPr>
          <w:color w:val="C00000"/>
          <w:lang w:eastAsia="cs-CZ"/>
        </w:rPr>
        <w:lastRenderedPageBreak/>
        <w:t>hromadném znečištění CBRN</w:t>
      </w:r>
      <w:r w:rsidR="001868EE">
        <w:rPr>
          <w:color w:val="C00000"/>
          <w:lang w:eastAsia="cs-CZ"/>
        </w:rPr>
        <w:t>. V druhém projektu se jedn</w:t>
      </w:r>
      <w:r w:rsidR="00384D8D">
        <w:rPr>
          <w:color w:val="C00000"/>
          <w:lang w:eastAsia="cs-CZ"/>
        </w:rPr>
        <w:t>á</w:t>
      </w:r>
      <w:r w:rsidR="001868EE">
        <w:rPr>
          <w:color w:val="C00000"/>
          <w:lang w:eastAsia="cs-CZ"/>
        </w:rPr>
        <w:t xml:space="preserve"> o rozvoj</w:t>
      </w:r>
      <w:r>
        <w:rPr>
          <w:color w:val="C00000"/>
          <w:lang w:eastAsia="cs-CZ"/>
        </w:rPr>
        <w:t xml:space="preserve"> mezinárodní spolupráce národních kontaktních bodů v oblasti bezpečnosti. Zbývajících pět projektů v této společenské výzvě </w:t>
      </w:r>
      <w:r w:rsidR="00384D8D">
        <w:rPr>
          <w:color w:val="C00000"/>
          <w:lang w:eastAsia="cs-CZ"/>
        </w:rPr>
        <w:t>je</w:t>
      </w:r>
      <w:r>
        <w:rPr>
          <w:color w:val="C00000"/>
          <w:lang w:eastAsia="cs-CZ"/>
        </w:rPr>
        <w:t xml:space="preserve"> zaměřeno na problematiku kybernetické bezpečnosti, e-identity </w:t>
      </w:r>
      <w:r w:rsidR="001355FC">
        <w:rPr>
          <w:color w:val="C00000"/>
          <w:lang w:eastAsia="cs-CZ"/>
        </w:rPr>
        <w:t>(biometrie, ochrana soukromí), ochranu a střežení pobřežních hranic (</w:t>
      </w:r>
      <w:r w:rsidR="00CB0C98">
        <w:rPr>
          <w:color w:val="C00000"/>
          <w:lang w:eastAsia="cs-CZ"/>
        </w:rPr>
        <w:t xml:space="preserve">například </w:t>
      </w:r>
      <w:r w:rsidR="001355FC">
        <w:rPr>
          <w:color w:val="C00000"/>
          <w:lang w:eastAsia="cs-CZ"/>
        </w:rPr>
        <w:t xml:space="preserve">detekce malých cílů, jako jsou </w:t>
      </w:r>
      <w:r w:rsidR="00CB0C98">
        <w:rPr>
          <w:color w:val="C00000"/>
          <w:lang w:eastAsia="cs-CZ"/>
        </w:rPr>
        <w:t>bezpilotní letadla</w:t>
      </w:r>
      <w:r w:rsidR="001355FC">
        <w:rPr>
          <w:color w:val="C00000"/>
          <w:lang w:eastAsia="cs-CZ"/>
        </w:rPr>
        <w:t>),</w:t>
      </w:r>
      <w:r w:rsidR="00CB0C98">
        <w:rPr>
          <w:color w:val="C00000"/>
          <w:lang w:eastAsia="cs-CZ"/>
        </w:rPr>
        <w:t xml:space="preserve"> ochranu kritických infrastruktur a organizovaný zločin.</w:t>
      </w:r>
    </w:p>
    <w:p w:rsidR="00FE3052" w:rsidRDefault="00F17649" w:rsidP="00F17649">
      <w:pPr>
        <w:rPr>
          <w:color w:val="C00000"/>
          <w:lang w:eastAsia="cs-CZ"/>
        </w:rPr>
      </w:pPr>
      <w:r w:rsidRPr="00F17649">
        <w:rPr>
          <w:lang w:eastAsia="cs-CZ"/>
        </w:rPr>
        <w:t xml:space="preserve">Tři projekty s účastí ČR jsou řešeny ve společenské výzvě </w:t>
      </w:r>
      <w:r w:rsidRPr="00F17649">
        <w:rPr>
          <w:b/>
          <w:lang w:eastAsia="cs-CZ"/>
        </w:rPr>
        <w:t>Evropa v měnícím se světě – inkluzivní, inovativní a reflektivní společnosti</w:t>
      </w:r>
      <w:r w:rsidR="00CB0C98">
        <w:rPr>
          <w:b/>
          <w:lang w:eastAsia="cs-CZ"/>
        </w:rPr>
        <w:t>.</w:t>
      </w:r>
      <w:r w:rsidRPr="00F17649">
        <w:rPr>
          <w:lang w:eastAsia="cs-CZ"/>
        </w:rPr>
        <w:t xml:space="preserve"> </w:t>
      </w:r>
      <w:r w:rsidR="00CB0C98">
        <w:rPr>
          <w:lang w:eastAsia="cs-CZ"/>
        </w:rPr>
        <w:t>D</w:t>
      </w:r>
      <w:r w:rsidRPr="00F17649">
        <w:rPr>
          <w:lang w:eastAsia="cs-CZ"/>
        </w:rPr>
        <w:t>va projekty se týkají otevřeného vládnutí</w:t>
      </w:r>
      <w:r w:rsidR="00CB0C98">
        <w:rPr>
          <w:lang w:eastAsia="cs-CZ"/>
        </w:rPr>
        <w:t xml:space="preserve"> </w:t>
      </w:r>
      <w:r w:rsidR="00CB0C98" w:rsidRPr="00CB0C98">
        <w:rPr>
          <w:color w:val="C00000"/>
          <w:lang w:eastAsia="cs-CZ"/>
        </w:rPr>
        <w:t>(</w:t>
      </w:r>
      <w:r w:rsidR="00CB0C98">
        <w:rPr>
          <w:color w:val="C00000"/>
          <w:lang w:eastAsia="cs-CZ"/>
        </w:rPr>
        <w:t>transparentnost financování ve veřejném sektoru, boj proti korupci</w:t>
      </w:r>
      <w:r w:rsidRPr="00CB0C98">
        <w:rPr>
          <w:color w:val="C00000"/>
          <w:lang w:eastAsia="cs-CZ"/>
        </w:rPr>
        <w:t>)</w:t>
      </w:r>
      <w:r w:rsidR="00CB0C98">
        <w:rPr>
          <w:color w:val="C00000"/>
          <w:lang w:eastAsia="cs-CZ"/>
        </w:rPr>
        <w:t>, jeden projekt ekonomické a měnové unie</w:t>
      </w:r>
      <w:r w:rsidRPr="00F17649">
        <w:rPr>
          <w:lang w:eastAsia="cs-CZ"/>
        </w:rPr>
        <w:t>. V ostatních oblastech programu H2020 je zatím počet projektů s účastí ČR nízký, a to včetně</w:t>
      </w:r>
      <w:r w:rsidR="00744E20">
        <w:rPr>
          <w:lang w:eastAsia="cs-CZ"/>
        </w:rPr>
        <w:t xml:space="preserve"> </w:t>
      </w:r>
      <w:r w:rsidR="00744E20" w:rsidRPr="00744E20">
        <w:rPr>
          <w:b/>
          <w:lang w:eastAsia="cs-CZ"/>
        </w:rPr>
        <w:t>I</w:t>
      </w:r>
      <w:r w:rsidRPr="00744E20">
        <w:rPr>
          <w:b/>
          <w:lang w:eastAsia="cs-CZ"/>
        </w:rPr>
        <w:t>nformačních a komunikačních technologií</w:t>
      </w:r>
      <w:r w:rsidRPr="00F17649">
        <w:rPr>
          <w:lang w:eastAsia="cs-CZ"/>
        </w:rPr>
        <w:t>, kde měla ČR v 7. RP několik projektů zaměřených na problematiku bezpečnosti</w:t>
      </w:r>
      <w:r w:rsidR="00CB0C98">
        <w:rPr>
          <w:lang w:eastAsia="cs-CZ"/>
        </w:rPr>
        <w:t xml:space="preserve">. </w:t>
      </w:r>
      <w:r w:rsidR="00FE3052" w:rsidRPr="00FE3052">
        <w:rPr>
          <w:color w:val="C00000"/>
          <w:lang w:eastAsia="cs-CZ"/>
        </w:rPr>
        <w:t xml:space="preserve">Projekt s účastí ČR v H2020 </w:t>
      </w:r>
      <w:r w:rsidR="00384D8D">
        <w:rPr>
          <w:color w:val="C00000"/>
          <w:lang w:eastAsia="cs-CZ"/>
        </w:rPr>
        <w:t>je</w:t>
      </w:r>
      <w:r w:rsidR="00FE3052" w:rsidRPr="00FE3052">
        <w:rPr>
          <w:color w:val="C00000"/>
          <w:lang w:eastAsia="cs-CZ"/>
        </w:rPr>
        <w:t xml:space="preserve"> zaměřen na vývoj softwaru pro identifikaci osob podle charakteru jejich chůze.</w:t>
      </w:r>
    </w:p>
    <w:p w:rsidR="00F17649" w:rsidRPr="00F17649" w:rsidRDefault="00F868FF" w:rsidP="00F17649">
      <w:pPr>
        <w:rPr>
          <w:lang w:eastAsia="cs-CZ"/>
        </w:rPr>
      </w:pPr>
      <w:r w:rsidRPr="00F868FF">
        <w:rPr>
          <w:color w:val="C00000"/>
          <w:lang w:eastAsia="cs-CZ"/>
        </w:rPr>
        <w:t>Projekt s účastí ČR v oblasti Šíření excelence a podpora účasti se týk</w:t>
      </w:r>
      <w:r w:rsidR="00384D8D">
        <w:rPr>
          <w:color w:val="C00000"/>
          <w:lang w:eastAsia="cs-CZ"/>
        </w:rPr>
        <w:t>á</w:t>
      </w:r>
      <w:r w:rsidRPr="00F868FF">
        <w:rPr>
          <w:color w:val="C00000"/>
          <w:lang w:eastAsia="cs-CZ"/>
        </w:rPr>
        <w:t xml:space="preserve"> propojení excelentních výzkumných institucí s výzkumnými institucemi působícími v regionech s méně rozvinutým výzkumem (pokročil</w:t>
      </w:r>
      <w:r w:rsidR="00384D8D">
        <w:rPr>
          <w:color w:val="C00000"/>
          <w:lang w:eastAsia="cs-CZ"/>
        </w:rPr>
        <w:t>é</w:t>
      </w:r>
      <w:r w:rsidRPr="00F868FF">
        <w:rPr>
          <w:color w:val="C00000"/>
          <w:lang w:eastAsia="cs-CZ"/>
        </w:rPr>
        <w:t xml:space="preserve"> bezdrátov</w:t>
      </w:r>
      <w:r w:rsidR="00384D8D">
        <w:rPr>
          <w:color w:val="C00000"/>
          <w:lang w:eastAsia="cs-CZ"/>
        </w:rPr>
        <w:t>é</w:t>
      </w:r>
      <w:r w:rsidRPr="00F868FF">
        <w:rPr>
          <w:color w:val="C00000"/>
          <w:lang w:eastAsia="cs-CZ"/>
        </w:rPr>
        <w:t xml:space="preserve"> technologi</w:t>
      </w:r>
      <w:r w:rsidR="00384D8D">
        <w:rPr>
          <w:color w:val="C00000"/>
          <w:lang w:eastAsia="cs-CZ"/>
        </w:rPr>
        <w:t>e</w:t>
      </w:r>
      <w:r w:rsidRPr="00F868FF">
        <w:rPr>
          <w:color w:val="C00000"/>
          <w:lang w:eastAsia="cs-CZ"/>
        </w:rPr>
        <w:t xml:space="preserve"> v so</w:t>
      </w:r>
      <w:r>
        <w:rPr>
          <w:color w:val="C00000"/>
          <w:lang w:eastAsia="cs-CZ"/>
        </w:rPr>
        <w:t>u</w:t>
      </w:r>
      <w:r w:rsidRPr="00F868FF">
        <w:rPr>
          <w:color w:val="C00000"/>
          <w:lang w:eastAsia="cs-CZ"/>
        </w:rPr>
        <w:t>vislost</w:t>
      </w:r>
      <w:r>
        <w:rPr>
          <w:color w:val="C00000"/>
          <w:lang w:eastAsia="cs-CZ"/>
        </w:rPr>
        <w:t>i</w:t>
      </w:r>
      <w:r w:rsidRPr="00F868FF">
        <w:rPr>
          <w:color w:val="C00000"/>
          <w:lang w:eastAsia="cs-CZ"/>
        </w:rPr>
        <w:t xml:space="preserve"> s kybernetickou bezpečností).</w:t>
      </w:r>
      <w:r>
        <w:rPr>
          <w:lang w:eastAsia="cs-CZ"/>
        </w:rPr>
        <w:t xml:space="preserve">  </w:t>
      </w:r>
      <w:r w:rsidR="00F17649" w:rsidRPr="00F17649">
        <w:rPr>
          <w:lang w:eastAsia="cs-CZ"/>
        </w:rPr>
        <w:t xml:space="preserve">ČR je také zapojena do řešení dvou projektů financovaných v rámcovém programu Euratom. </w:t>
      </w:r>
      <w:r w:rsidR="00FE3052" w:rsidRPr="00FE3052">
        <w:rPr>
          <w:color w:val="C00000"/>
          <w:lang w:eastAsia="cs-CZ"/>
        </w:rPr>
        <w:t xml:space="preserve">Jeden projekt s účastí ČR </w:t>
      </w:r>
      <w:r w:rsidR="00384D8D">
        <w:rPr>
          <w:color w:val="C00000"/>
          <w:lang w:eastAsia="cs-CZ"/>
        </w:rPr>
        <w:t>je</w:t>
      </w:r>
      <w:r w:rsidR="00FE3052" w:rsidRPr="00FE3052">
        <w:rPr>
          <w:color w:val="C00000"/>
          <w:lang w:eastAsia="cs-CZ"/>
        </w:rPr>
        <w:t xml:space="preserve"> zaměřen na problematiku nástrojů pro rychlou reakci na nouzové situace, druhý projekt se týk</w:t>
      </w:r>
      <w:r w:rsidR="00384D8D">
        <w:rPr>
          <w:color w:val="C00000"/>
          <w:lang w:eastAsia="cs-CZ"/>
        </w:rPr>
        <w:t>á</w:t>
      </w:r>
      <w:r w:rsidR="00FE3052" w:rsidRPr="00FE3052">
        <w:rPr>
          <w:color w:val="C00000"/>
          <w:lang w:eastAsia="cs-CZ"/>
        </w:rPr>
        <w:t xml:space="preserve"> výzkumu ochrany před zářením</w:t>
      </w:r>
      <w:r w:rsidR="00FE3052">
        <w:rPr>
          <w:color w:val="C00000"/>
          <w:lang w:eastAsia="cs-CZ"/>
        </w:rPr>
        <w:t xml:space="preserve"> (resp. propojení evropských a národních programů v této oblasti)</w:t>
      </w:r>
      <w:r w:rsidR="00FE3052" w:rsidRPr="00FE3052">
        <w:rPr>
          <w:color w:val="C00000"/>
          <w:lang w:eastAsia="cs-CZ"/>
        </w:rPr>
        <w:t>.</w:t>
      </w:r>
    </w:p>
    <w:p w:rsidR="00075EDF" w:rsidRDefault="00075EDF" w:rsidP="00075EDF">
      <w:pPr>
        <w:pStyle w:val="Titulek"/>
        <w:keepNext/>
      </w:pPr>
      <w:bookmarkStart w:id="142" w:name="_Ref451519546"/>
      <w:r>
        <w:t xml:space="preserve">Tab. </w:t>
      </w:r>
      <w:r w:rsidR="00990E2D">
        <w:fldChar w:fldCharType="begin"/>
      </w:r>
      <w:r w:rsidR="00990E2D">
        <w:instrText xml:space="preserve"> SEQ Tab. \* ARABIC </w:instrText>
      </w:r>
      <w:r w:rsidR="00990E2D">
        <w:fldChar w:fldCharType="separate"/>
      </w:r>
      <w:r w:rsidR="003F08E5">
        <w:rPr>
          <w:noProof/>
        </w:rPr>
        <w:t>35</w:t>
      </w:r>
      <w:r w:rsidR="00990E2D">
        <w:rPr>
          <w:noProof/>
        </w:rPr>
        <w:fldChar w:fldCharType="end"/>
      </w:r>
      <w:bookmarkEnd w:id="142"/>
      <w:r>
        <w:tab/>
      </w:r>
      <w:r w:rsidRPr="00075EDF">
        <w:t>Počet projektů s účastí ČR zaměřených na bezpečnostní výzkum, počet výzkumných týmů z ČR zapojených v řešení projektů (počet účastí) a příspěvek, který řešitelé od EK v H2020. Zdroj: e-Corda</w:t>
      </w:r>
    </w:p>
    <w:p w:rsidR="00A26940" w:rsidRDefault="00A26940" w:rsidP="00A26940">
      <w:r w:rsidRPr="00A26940">
        <w:rPr>
          <w:noProof/>
          <w:lang w:eastAsia="cs-CZ"/>
        </w:rPr>
        <w:drawing>
          <wp:inline distT="0" distB="0" distL="0" distR="0" wp14:anchorId="1632EB9B" wp14:editId="3A8568CF">
            <wp:extent cx="5850890" cy="3941913"/>
            <wp:effectExtent l="0" t="0" r="0" b="1905"/>
            <wp:docPr id="40" name="Obrázek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850890" cy="3941913"/>
                    </a:xfrm>
                    <a:prstGeom prst="rect">
                      <a:avLst/>
                    </a:prstGeom>
                    <a:noFill/>
                    <a:ln>
                      <a:noFill/>
                    </a:ln>
                  </pic:spPr>
                </pic:pic>
              </a:graphicData>
            </a:graphic>
          </wp:inline>
        </w:drawing>
      </w:r>
    </w:p>
    <w:p w:rsidR="005819F4" w:rsidRPr="00A26940" w:rsidRDefault="005819F4" w:rsidP="00A26940"/>
    <w:p w:rsidR="00865CB4" w:rsidRDefault="00857D7F" w:rsidP="005819F4">
      <w:pPr>
        <w:pStyle w:val="Nadpis4"/>
        <w:ind w:left="862" w:hanging="862"/>
      </w:pPr>
      <w:bookmarkStart w:id="143" w:name="_Toc459723300"/>
      <w:r>
        <w:lastRenderedPageBreak/>
        <w:t>P</w:t>
      </w:r>
      <w:r w:rsidRPr="00857D7F">
        <w:t>otenciál ČR pro mezinárodní spolupráci v</w:t>
      </w:r>
      <w:r>
        <w:t> bezpečnostním výzkumu</w:t>
      </w:r>
      <w:bookmarkEnd w:id="143"/>
    </w:p>
    <w:p w:rsidR="008E28F1" w:rsidRDefault="00865CB4" w:rsidP="008E28F1">
      <w:pPr>
        <w:rPr>
          <w:lang w:eastAsia="cs-CZ"/>
        </w:rPr>
      </w:pPr>
      <w:r>
        <w:rPr>
          <w:lang w:eastAsia="cs-CZ"/>
        </w:rPr>
        <w:t xml:space="preserve">Informace o potenciálu subjektů z ČR pro zapojení do mezinárodní spolupráce v různých oblastech bezpečnostně zaměřeného výzkumu lze získat z počtů projektových návrhů podaných do 7. RP a programu H2020. </w:t>
      </w:r>
      <w:r w:rsidR="008E28F1">
        <w:rPr>
          <w:lang w:eastAsia="cs-CZ"/>
        </w:rPr>
        <w:t xml:space="preserve">Tyto údaje byly získány z těchto </w:t>
      </w:r>
      <w:r w:rsidR="00A26940">
        <w:rPr>
          <w:lang w:eastAsia="cs-CZ"/>
        </w:rPr>
        <w:t xml:space="preserve">verzí </w:t>
      </w:r>
      <w:r w:rsidR="008E28F1">
        <w:rPr>
          <w:lang w:eastAsia="cs-CZ"/>
        </w:rPr>
        <w:t>databází</w:t>
      </w:r>
      <w:r w:rsidR="00A26940">
        <w:rPr>
          <w:lang w:eastAsia="cs-CZ"/>
        </w:rPr>
        <w:t xml:space="preserve"> e-Corda</w:t>
      </w:r>
      <w:r w:rsidR="008E28F1">
        <w:rPr>
          <w:lang w:eastAsia="cs-CZ"/>
        </w:rPr>
        <w:t>:</w:t>
      </w:r>
    </w:p>
    <w:p w:rsidR="008E28F1" w:rsidRDefault="008E28F1" w:rsidP="004F74B7">
      <w:pPr>
        <w:pStyle w:val="Odstavecseseznamem"/>
        <w:numPr>
          <w:ilvl w:val="0"/>
          <w:numId w:val="3"/>
        </w:numPr>
        <w:ind w:left="714" w:hanging="357"/>
        <w:contextualSpacing w:val="0"/>
        <w:rPr>
          <w:lang w:eastAsia="cs-CZ"/>
        </w:rPr>
      </w:pPr>
      <w:r w:rsidRPr="00D60A94">
        <w:rPr>
          <w:lang w:eastAsia="cs-CZ"/>
        </w:rPr>
        <w:t>FP7 proposals and applicants,version 20, Publication date: 2015-12-21</w:t>
      </w:r>
      <w:r>
        <w:rPr>
          <w:lang w:eastAsia="cs-CZ"/>
        </w:rPr>
        <w:t>;</w:t>
      </w:r>
    </w:p>
    <w:p w:rsidR="008E28F1" w:rsidRDefault="008E28F1" w:rsidP="004F74B7">
      <w:pPr>
        <w:pStyle w:val="Odstavecseseznamem"/>
        <w:numPr>
          <w:ilvl w:val="0"/>
          <w:numId w:val="3"/>
        </w:numPr>
        <w:ind w:left="714" w:hanging="357"/>
        <w:contextualSpacing w:val="0"/>
        <w:rPr>
          <w:lang w:eastAsia="cs-CZ"/>
        </w:rPr>
      </w:pPr>
      <w:r w:rsidRPr="00D60A94">
        <w:rPr>
          <w:lang w:eastAsia="cs-CZ"/>
        </w:rPr>
        <w:t>H2020 proposals and applicants, version 4, Publication date: 2016-03-03</w:t>
      </w:r>
      <w:r>
        <w:rPr>
          <w:lang w:eastAsia="cs-CZ"/>
        </w:rPr>
        <w:t>.</w:t>
      </w:r>
    </w:p>
    <w:p w:rsidR="00857D7F" w:rsidRPr="00F17649" w:rsidRDefault="00324865" w:rsidP="00857D7F">
      <w:pPr>
        <w:rPr>
          <w:lang w:eastAsia="cs-CZ"/>
        </w:rPr>
      </w:pPr>
      <w:r>
        <w:rPr>
          <w:lang w:eastAsia="cs-CZ"/>
        </w:rPr>
        <w:t xml:space="preserve">Jak je patrné z </w:t>
      </w:r>
      <w:r w:rsidRPr="00F17649">
        <w:rPr>
          <w:lang w:eastAsia="cs-CZ"/>
        </w:rPr>
        <w:fldChar w:fldCharType="begin"/>
      </w:r>
      <w:r w:rsidRPr="00F17649">
        <w:rPr>
          <w:lang w:eastAsia="cs-CZ"/>
        </w:rPr>
        <w:instrText xml:space="preserve"> REF  _Ref451503732 \* Lower \h  \* MERGEFORMAT </w:instrText>
      </w:r>
      <w:r w:rsidRPr="00F17649">
        <w:rPr>
          <w:lang w:eastAsia="cs-CZ"/>
        </w:rPr>
      </w:r>
      <w:r w:rsidRPr="00F17649">
        <w:rPr>
          <w:lang w:eastAsia="cs-CZ"/>
        </w:rPr>
        <w:fldChar w:fldCharType="separate"/>
      </w:r>
      <w:r w:rsidR="003F08E5" w:rsidRPr="003F08E5">
        <w:t xml:space="preserve">tab. </w:t>
      </w:r>
      <w:r w:rsidR="003F08E5" w:rsidRPr="003F08E5">
        <w:rPr>
          <w:noProof/>
        </w:rPr>
        <w:t>36</w:t>
      </w:r>
      <w:r w:rsidRPr="00F17649">
        <w:rPr>
          <w:lang w:eastAsia="cs-CZ"/>
        </w:rPr>
        <w:fldChar w:fldCharType="end"/>
      </w:r>
      <w:r>
        <w:rPr>
          <w:lang w:eastAsia="cs-CZ"/>
        </w:rPr>
        <w:t>, kde je uvedeno rozdělení projektových návrhů s účastí ČR do jednotlivých priorit a aktivit 7. RP, v</w:t>
      </w:r>
      <w:r w:rsidR="006C3449">
        <w:rPr>
          <w:lang w:eastAsia="cs-CZ"/>
        </w:rPr>
        <w:t>ýrazně nejvíce návrhů bylo podáno</w:t>
      </w:r>
      <w:r w:rsidR="00A26940">
        <w:rPr>
          <w:lang w:eastAsia="cs-CZ"/>
        </w:rPr>
        <w:t xml:space="preserve"> přirozeně</w:t>
      </w:r>
      <w:r w:rsidR="006C3449">
        <w:rPr>
          <w:lang w:eastAsia="cs-CZ"/>
        </w:rPr>
        <w:t xml:space="preserve"> do tematické priority Bezpečnost. </w:t>
      </w:r>
      <w:r w:rsidR="00857D7F" w:rsidRPr="00F17649">
        <w:rPr>
          <w:lang w:eastAsia="cs-CZ"/>
        </w:rPr>
        <w:t xml:space="preserve">Z podrobnějšího rozdělení </w:t>
      </w:r>
      <w:r w:rsidR="00DF32DB">
        <w:rPr>
          <w:lang w:eastAsia="cs-CZ"/>
        </w:rPr>
        <w:t xml:space="preserve">projektových </w:t>
      </w:r>
      <w:r w:rsidR="00857D7F" w:rsidRPr="00F17649">
        <w:rPr>
          <w:lang w:eastAsia="cs-CZ"/>
        </w:rPr>
        <w:t xml:space="preserve">návrhů s účastí ČR </w:t>
      </w:r>
      <w:r w:rsidR="00DF32DB">
        <w:rPr>
          <w:lang w:eastAsia="cs-CZ"/>
        </w:rPr>
        <w:t xml:space="preserve">vyplývá, že subjekty z ČR byly aktivní zejména </w:t>
      </w:r>
      <w:r w:rsidR="00857D7F" w:rsidRPr="00F17649">
        <w:rPr>
          <w:lang w:eastAsia="cs-CZ"/>
        </w:rPr>
        <w:t>v těchto aktivitách</w:t>
      </w:r>
      <w:r w:rsidR="006C3449">
        <w:rPr>
          <w:lang w:eastAsia="cs-CZ"/>
        </w:rPr>
        <w:t xml:space="preserve"> tematické priority </w:t>
      </w:r>
      <w:r w:rsidR="006C3449" w:rsidRPr="006C3449">
        <w:rPr>
          <w:b/>
          <w:lang w:eastAsia="cs-CZ"/>
        </w:rPr>
        <w:t>Bezpečnost</w:t>
      </w:r>
      <w:r w:rsidR="00857D7F" w:rsidRPr="00F17649">
        <w:rPr>
          <w:lang w:eastAsia="cs-CZ"/>
        </w:rPr>
        <w:t>:</w:t>
      </w:r>
    </w:p>
    <w:p w:rsidR="00DF32DB" w:rsidRPr="00F17649" w:rsidRDefault="00DF32DB" w:rsidP="004F74B7">
      <w:pPr>
        <w:numPr>
          <w:ilvl w:val="0"/>
          <w:numId w:val="3"/>
        </w:numPr>
        <w:spacing w:before="60" w:after="60"/>
        <w:ind w:left="714" w:hanging="357"/>
        <w:rPr>
          <w:lang w:eastAsia="cs-CZ"/>
        </w:rPr>
      </w:pPr>
      <w:r w:rsidRPr="00F17649">
        <w:rPr>
          <w:lang w:eastAsia="cs-CZ"/>
        </w:rPr>
        <w:t>Obnovení bezpečnosti a ochrany v případě krizí (zejména reakce na krize)</w:t>
      </w:r>
      <w:r>
        <w:rPr>
          <w:lang w:eastAsia="cs-CZ"/>
        </w:rPr>
        <w:t>, kam směřovalo nejvíce návrhů s účastí ČR v 7. RP</w:t>
      </w:r>
      <w:r w:rsidRPr="00F17649">
        <w:rPr>
          <w:lang w:eastAsia="cs-CZ"/>
        </w:rPr>
        <w:t>;</w:t>
      </w:r>
    </w:p>
    <w:p w:rsidR="00DF32DB" w:rsidRPr="00F17649" w:rsidRDefault="00DF32DB" w:rsidP="004F74B7">
      <w:pPr>
        <w:numPr>
          <w:ilvl w:val="0"/>
          <w:numId w:val="3"/>
        </w:numPr>
        <w:spacing w:before="60" w:after="60"/>
        <w:ind w:left="714" w:hanging="357"/>
        <w:rPr>
          <w:lang w:eastAsia="cs-CZ"/>
        </w:rPr>
      </w:pPr>
      <w:r w:rsidRPr="00F17649">
        <w:rPr>
          <w:lang w:eastAsia="cs-CZ"/>
        </w:rPr>
        <w:t>Zv</w:t>
      </w:r>
      <w:r>
        <w:rPr>
          <w:lang w:eastAsia="cs-CZ"/>
        </w:rPr>
        <w:t>y</w:t>
      </w:r>
      <w:r w:rsidRPr="00F17649">
        <w:rPr>
          <w:lang w:eastAsia="cs-CZ"/>
        </w:rPr>
        <w:t>š</w:t>
      </w:r>
      <w:r>
        <w:rPr>
          <w:lang w:eastAsia="cs-CZ"/>
        </w:rPr>
        <w:t>ová</w:t>
      </w:r>
      <w:r w:rsidRPr="00F17649">
        <w:rPr>
          <w:lang w:eastAsia="cs-CZ"/>
        </w:rPr>
        <w:t>ní bezpečnosti občanů;</w:t>
      </w:r>
    </w:p>
    <w:p w:rsidR="00DF32DB" w:rsidRDefault="00DF32DB" w:rsidP="004F74B7">
      <w:pPr>
        <w:numPr>
          <w:ilvl w:val="0"/>
          <w:numId w:val="3"/>
        </w:numPr>
        <w:spacing w:before="60" w:after="60"/>
        <w:ind w:left="714" w:hanging="357"/>
        <w:rPr>
          <w:lang w:eastAsia="cs-CZ"/>
        </w:rPr>
      </w:pPr>
      <w:r w:rsidRPr="00F17649">
        <w:rPr>
          <w:lang w:eastAsia="cs-CZ"/>
        </w:rPr>
        <w:t>Zvýšení bezpečnosti infrastruktur a veřejných služeb</w:t>
      </w:r>
      <w:r>
        <w:rPr>
          <w:lang w:eastAsia="cs-CZ"/>
        </w:rPr>
        <w:t>;</w:t>
      </w:r>
    </w:p>
    <w:p w:rsidR="00857D7F" w:rsidRPr="00F17649" w:rsidRDefault="00857D7F" w:rsidP="004F74B7">
      <w:pPr>
        <w:numPr>
          <w:ilvl w:val="0"/>
          <w:numId w:val="3"/>
        </w:numPr>
        <w:spacing w:before="60" w:after="60"/>
        <w:ind w:left="714" w:hanging="357"/>
        <w:rPr>
          <w:lang w:eastAsia="cs-CZ"/>
        </w:rPr>
      </w:pPr>
      <w:r w:rsidRPr="00F17649">
        <w:rPr>
          <w:lang w:eastAsia="cs-CZ"/>
        </w:rPr>
        <w:t>Bezpečnost a společnost;</w:t>
      </w:r>
    </w:p>
    <w:p w:rsidR="00857D7F" w:rsidRPr="00F17649" w:rsidRDefault="00857D7F" w:rsidP="004F74B7">
      <w:pPr>
        <w:numPr>
          <w:ilvl w:val="0"/>
          <w:numId w:val="3"/>
        </w:numPr>
        <w:spacing w:before="60" w:after="60"/>
        <w:ind w:left="714" w:hanging="357"/>
        <w:rPr>
          <w:lang w:eastAsia="cs-CZ"/>
        </w:rPr>
      </w:pPr>
      <w:r w:rsidRPr="00F17649">
        <w:rPr>
          <w:lang w:eastAsia="cs-CZ"/>
        </w:rPr>
        <w:t>Koordinace a strukturování bezpečnostního výzkumu.</w:t>
      </w:r>
    </w:p>
    <w:p w:rsidR="000365A5" w:rsidRDefault="000365A5" w:rsidP="000365A5">
      <w:pPr>
        <w:spacing w:before="60" w:after="60"/>
        <w:rPr>
          <w:lang w:eastAsia="cs-CZ"/>
        </w:rPr>
      </w:pPr>
      <w:r>
        <w:rPr>
          <w:lang w:eastAsia="cs-CZ"/>
        </w:rPr>
        <w:t>Také d</w:t>
      </w:r>
      <w:r w:rsidRPr="00F17649">
        <w:rPr>
          <w:lang w:eastAsia="cs-CZ"/>
        </w:rPr>
        <w:t xml:space="preserve">o </w:t>
      </w:r>
      <w:r>
        <w:rPr>
          <w:lang w:eastAsia="cs-CZ"/>
        </w:rPr>
        <w:t xml:space="preserve">priority </w:t>
      </w:r>
      <w:r w:rsidRPr="006C3449">
        <w:rPr>
          <w:b/>
          <w:lang w:eastAsia="cs-CZ"/>
        </w:rPr>
        <w:t>Informační a komunikační technologie</w:t>
      </w:r>
      <w:r>
        <w:rPr>
          <w:lang w:eastAsia="cs-CZ"/>
        </w:rPr>
        <w:t xml:space="preserve"> byl podán poměrně vysoký počet projektových návrhů s účastí ČR. Většina z návrhů řešila problematiku bezpečnosti sítí a služeb </w:t>
      </w:r>
      <w:r w:rsidRPr="00F17649">
        <w:rPr>
          <w:lang w:eastAsia="cs-CZ"/>
        </w:rPr>
        <w:t xml:space="preserve">(viz </w:t>
      </w:r>
      <w:r w:rsidRPr="00F17649">
        <w:rPr>
          <w:lang w:eastAsia="cs-CZ"/>
        </w:rPr>
        <w:fldChar w:fldCharType="begin"/>
      </w:r>
      <w:r w:rsidRPr="00F17649">
        <w:rPr>
          <w:lang w:eastAsia="cs-CZ"/>
        </w:rPr>
        <w:instrText xml:space="preserve"> REF  _Ref451503732 \* Lower \h  \* MERGEFORMAT </w:instrText>
      </w:r>
      <w:r w:rsidRPr="00F17649">
        <w:rPr>
          <w:lang w:eastAsia="cs-CZ"/>
        </w:rPr>
      </w:r>
      <w:r w:rsidRPr="00F17649">
        <w:rPr>
          <w:lang w:eastAsia="cs-CZ"/>
        </w:rPr>
        <w:fldChar w:fldCharType="separate"/>
      </w:r>
      <w:r w:rsidR="003F08E5" w:rsidRPr="003F08E5">
        <w:t xml:space="preserve">tab. </w:t>
      </w:r>
      <w:r w:rsidR="003F08E5" w:rsidRPr="003F08E5">
        <w:rPr>
          <w:noProof/>
        </w:rPr>
        <w:t>36</w:t>
      </w:r>
      <w:r w:rsidRPr="00F17649">
        <w:rPr>
          <w:lang w:eastAsia="cs-CZ"/>
        </w:rPr>
        <w:fldChar w:fldCharType="end"/>
      </w:r>
      <w:r w:rsidRPr="00F17649">
        <w:rPr>
          <w:lang w:eastAsia="cs-CZ"/>
        </w:rPr>
        <w:t>)</w:t>
      </w:r>
      <w:r>
        <w:rPr>
          <w:lang w:eastAsia="cs-CZ"/>
        </w:rPr>
        <w:t>. Potenciál pro zapojení do bezpečnostně zaměřených projektů mají týmy z ČR také v dalších prioritách 7. RP:</w:t>
      </w:r>
    </w:p>
    <w:p w:rsidR="000365A5" w:rsidRPr="00F17649" w:rsidRDefault="000365A5" w:rsidP="004F74B7">
      <w:pPr>
        <w:numPr>
          <w:ilvl w:val="0"/>
          <w:numId w:val="3"/>
        </w:numPr>
        <w:spacing w:before="60" w:after="60"/>
        <w:ind w:left="714" w:hanging="357"/>
        <w:rPr>
          <w:lang w:eastAsia="cs-CZ"/>
        </w:rPr>
      </w:pPr>
      <w:r w:rsidRPr="00F17649">
        <w:rPr>
          <w:lang w:eastAsia="cs-CZ"/>
        </w:rPr>
        <w:t>Životní prostředí (především změna klimatu a environmentální technologie);</w:t>
      </w:r>
    </w:p>
    <w:p w:rsidR="000365A5" w:rsidRPr="00F17649" w:rsidRDefault="000365A5" w:rsidP="004F74B7">
      <w:pPr>
        <w:numPr>
          <w:ilvl w:val="0"/>
          <w:numId w:val="3"/>
        </w:numPr>
        <w:spacing w:before="60" w:after="60"/>
        <w:ind w:left="714" w:hanging="357"/>
        <w:rPr>
          <w:lang w:eastAsia="cs-CZ"/>
        </w:rPr>
      </w:pPr>
      <w:r w:rsidRPr="00F17649">
        <w:rPr>
          <w:lang w:eastAsia="cs-CZ"/>
        </w:rPr>
        <w:t>Doprava (udržitelná doprava, letectví a letecká doprava);</w:t>
      </w:r>
    </w:p>
    <w:p w:rsidR="000365A5" w:rsidRDefault="000365A5" w:rsidP="004F74B7">
      <w:pPr>
        <w:numPr>
          <w:ilvl w:val="0"/>
          <w:numId w:val="3"/>
        </w:numPr>
        <w:spacing w:before="60" w:after="60"/>
        <w:ind w:left="714" w:hanging="357"/>
        <w:rPr>
          <w:lang w:eastAsia="cs-CZ"/>
        </w:rPr>
      </w:pPr>
      <w:r w:rsidRPr="00F17649">
        <w:rPr>
          <w:lang w:eastAsia="cs-CZ"/>
        </w:rPr>
        <w:t>Socioekonomické a humanitní vědy (Evropa ve světě a občan v Evropské unii).</w:t>
      </w:r>
    </w:p>
    <w:p w:rsidR="00857D7F" w:rsidRDefault="00857D7F" w:rsidP="00857D7F">
      <w:pPr>
        <w:keepNext/>
        <w:spacing w:before="240" w:after="240"/>
        <w:ind w:left="851" w:hanging="851"/>
        <w:rPr>
          <w:bCs/>
          <w:color w:val="4F81BD" w:themeColor="accent1"/>
          <w:szCs w:val="18"/>
        </w:rPr>
      </w:pPr>
      <w:bookmarkStart w:id="144" w:name="_Ref451503732"/>
      <w:r w:rsidRPr="00F17649">
        <w:rPr>
          <w:bCs/>
          <w:color w:val="4F81BD" w:themeColor="accent1"/>
          <w:szCs w:val="18"/>
        </w:rPr>
        <w:lastRenderedPageBreak/>
        <w:t xml:space="preserve">Tab. </w:t>
      </w:r>
      <w:r w:rsidRPr="00F17649">
        <w:rPr>
          <w:bCs/>
          <w:color w:val="4F81BD" w:themeColor="accent1"/>
          <w:szCs w:val="18"/>
        </w:rPr>
        <w:fldChar w:fldCharType="begin"/>
      </w:r>
      <w:r w:rsidRPr="00F17649">
        <w:rPr>
          <w:bCs/>
          <w:color w:val="4F81BD" w:themeColor="accent1"/>
          <w:szCs w:val="18"/>
        </w:rPr>
        <w:instrText xml:space="preserve"> SEQ Tab. \* ARABIC </w:instrText>
      </w:r>
      <w:r w:rsidRPr="00F17649">
        <w:rPr>
          <w:bCs/>
          <w:color w:val="4F81BD" w:themeColor="accent1"/>
          <w:szCs w:val="18"/>
        </w:rPr>
        <w:fldChar w:fldCharType="separate"/>
      </w:r>
      <w:r w:rsidR="003F08E5">
        <w:rPr>
          <w:bCs/>
          <w:noProof/>
          <w:color w:val="4F81BD" w:themeColor="accent1"/>
          <w:szCs w:val="18"/>
        </w:rPr>
        <w:t>36</w:t>
      </w:r>
      <w:r w:rsidRPr="00F17649">
        <w:rPr>
          <w:bCs/>
          <w:noProof/>
          <w:color w:val="4F81BD" w:themeColor="accent1"/>
          <w:szCs w:val="18"/>
        </w:rPr>
        <w:fldChar w:fldCharType="end"/>
      </w:r>
      <w:bookmarkEnd w:id="144"/>
      <w:r w:rsidRPr="00F17649">
        <w:rPr>
          <w:bCs/>
          <w:color w:val="4F81BD" w:themeColor="accent1"/>
          <w:szCs w:val="18"/>
        </w:rPr>
        <w:tab/>
        <w:t xml:space="preserve">Počty návrhů zaměřených na bezpečnost s účastí ČR v 7. RP – detailnější rozdělení projektů do jednotlivých oblastí 7. RP. </w:t>
      </w:r>
      <w:r w:rsidR="009F46E9">
        <w:rPr>
          <w:bCs/>
          <w:color w:val="4F81BD" w:themeColor="accent1"/>
          <w:szCs w:val="18"/>
        </w:rPr>
        <w:t>V tabulce jsou uvedeny pouze aktivity, ve kterých byl</w:t>
      </w:r>
      <w:r w:rsidR="00A26940">
        <w:rPr>
          <w:bCs/>
          <w:color w:val="4F81BD" w:themeColor="accent1"/>
          <w:szCs w:val="18"/>
        </w:rPr>
        <w:t>o</w:t>
      </w:r>
      <w:r w:rsidR="009F46E9">
        <w:rPr>
          <w:bCs/>
          <w:color w:val="4F81BD" w:themeColor="accent1"/>
          <w:szCs w:val="18"/>
        </w:rPr>
        <w:t xml:space="preserve"> alespoň </w:t>
      </w:r>
      <w:r w:rsidR="004D3493">
        <w:rPr>
          <w:bCs/>
          <w:color w:val="4F81BD" w:themeColor="accent1"/>
          <w:szCs w:val="18"/>
        </w:rPr>
        <w:t xml:space="preserve">pět </w:t>
      </w:r>
      <w:r w:rsidR="009F46E9">
        <w:rPr>
          <w:bCs/>
          <w:color w:val="4F81BD" w:themeColor="accent1"/>
          <w:szCs w:val="18"/>
        </w:rPr>
        <w:t>projektov</w:t>
      </w:r>
      <w:r w:rsidR="004D3493">
        <w:rPr>
          <w:bCs/>
          <w:color w:val="4F81BD" w:themeColor="accent1"/>
          <w:szCs w:val="18"/>
        </w:rPr>
        <w:t>ých</w:t>
      </w:r>
      <w:r w:rsidR="009F46E9">
        <w:rPr>
          <w:bCs/>
          <w:color w:val="4F81BD" w:themeColor="accent1"/>
          <w:szCs w:val="18"/>
        </w:rPr>
        <w:t xml:space="preserve"> návrh</w:t>
      </w:r>
      <w:r w:rsidR="004D3493">
        <w:rPr>
          <w:bCs/>
          <w:color w:val="4F81BD" w:themeColor="accent1"/>
          <w:szCs w:val="18"/>
        </w:rPr>
        <w:t>ů</w:t>
      </w:r>
      <w:r w:rsidR="009F46E9">
        <w:rPr>
          <w:bCs/>
          <w:color w:val="4F81BD" w:themeColor="accent1"/>
          <w:szCs w:val="18"/>
        </w:rPr>
        <w:t xml:space="preserve">. </w:t>
      </w:r>
      <w:r w:rsidRPr="00F17649">
        <w:rPr>
          <w:bCs/>
          <w:color w:val="4F81BD" w:themeColor="accent1"/>
          <w:szCs w:val="18"/>
        </w:rPr>
        <w:t>Zdroj: e-Corda</w:t>
      </w:r>
    </w:p>
    <w:p w:rsidR="009F46E9" w:rsidRDefault="00B80F73" w:rsidP="009F46E9">
      <w:pPr>
        <w:keepNext/>
        <w:spacing w:before="240" w:after="240"/>
        <w:ind w:left="851" w:hanging="851"/>
        <w:jc w:val="center"/>
        <w:rPr>
          <w:bCs/>
          <w:color w:val="4F81BD" w:themeColor="accent1"/>
          <w:szCs w:val="18"/>
        </w:rPr>
      </w:pPr>
      <w:r w:rsidRPr="00B80F73">
        <w:rPr>
          <w:noProof/>
          <w:lang w:eastAsia="cs-CZ"/>
        </w:rPr>
        <w:drawing>
          <wp:inline distT="0" distB="0" distL="0" distR="0" wp14:anchorId="2B129C53" wp14:editId="0403EECD">
            <wp:extent cx="5389200" cy="6652800"/>
            <wp:effectExtent l="0" t="0" r="2540" b="0"/>
            <wp:docPr id="36" name="Obráze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389200" cy="6652800"/>
                    </a:xfrm>
                    <a:prstGeom prst="rect">
                      <a:avLst/>
                    </a:prstGeom>
                    <a:noFill/>
                    <a:ln>
                      <a:noFill/>
                    </a:ln>
                  </pic:spPr>
                </pic:pic>
              </a:graphicData>
            </a:graphic>
          </wp:inline>
        </w:drawing>
      </w:r>
    </w:p>
    <w:p w:rsidR="00324865" w:rsidRDefault="00324865" w:rsidP="00324865">
      <w:pPr>
        <w:spacing w:before="60" w:after="60"/>
        <w:rPr>
          <w:lang w:eastAsia="cs-CZ"/>
        </w:rPr>
      </w:pPr>
      <w:bookmarkStart w:id="145" w:name="_Ref451444965"/>
    </w:p>
    <w:p w:rsidR="00324865" w:rsidRPr="00F17649" w:rsidRDefault="00324865" w:rsidP="00324865">
      <w:pPr>
        <w:rPr>
          <w:lang w:eastAsia="cs-CZ"/>
        </w:rPr>
      </w:pPr>
      <w:r w:rsidRPr="00F17649">
        <w:rPr>
          <w:lang w:eastAsia="cs-CZ"/>
        </w:rPr>
        <w:t>Jak je patrné z</w:t>
      </w:r>
      <w:r>
        <w:rPr>
          <w:lang w:eastAsia="cs-CZ"/>
        </w:rPr>
        <w:t xml:space="preserve"> </w:t>
      </w:r>
      <w:r>
        <w:rPr>
          <w:lang w:eastAsia="cs-CZ"/>
        </w:rPr>
        <w:fldChar w:fldCharType="begin"/>
      </w:r>
      <w:r>
        <w:rPr>
          <w:lang w:eastAsia="cs-CZ"/>
        </w:rPr>
        <w:instrText xml:space="preserve"> REF  _Ref452021109 \* Lower \h  \* MERGEFORMAT </w:instrText>
      </w:r>
      <w:r>
        <w:rPr>
          <w:lang w:eastAsia="cs-CZ"/>
        </w:rPr>
      </w:r>
      <w:r>
        <w:rPr>
          <w:lang w:eastAsia="cs-CZ"/>
        </w:rPr>
        <w:fldChar w:fldCharType="separate"/>
      </w:r>
      <w:r w:rsidR="003F08E5">
        <w:t xml:space="preserve">tab. </w:t>
      </w:r>
      <w:r w:rsidR="003F08E5">
        <w:rPr>
          <w:noProof/>
        </w:rPr>
        <w:t>37</w:t>
      </w:r>
      <w:r>
        <w:rPr>
          <w:lang w:eastAsia="cs-CZ"/>
        </w:rPr>
        <w:fldChar w:fldCharType="end"/>
      </w:r>
      <w:r>
        <w:rPr>
          <w:lang w:eastAsia="cs-CZ"/>
        </w:rPr>
        <w:t xml:space="preserve">, </w:t>
      </w:r>
      <w:r w:rsidRPr="00F17649">
        <w:rPr>
          <w:lang w:eastAsia="cs-CZ"/>
        </w:rPr>
        <w:t>kde j</w:t>
      </w:r>
      <w:r w:rsidR="00FF58D0">
        <w:rPr>
          <w:lang w:eastAsia="cs-CZ"/>
        </w:rPr>
        <w:t xml:space="preserve">sou uvedeny počty návrhů projektů s účastí ČR v jednotlivých oblastech programu H2020, </w:t>
      </w:r>
      <w:r>
        <w:rPr>
          <w:lang w:eastAsia="cs-CZ"/>
        </w:rPr>
        <w:t xml:space="preserve">nejvíce návrhů </w:t>
      </w:r>
      <w:r w:rsidR="00FF58D0">
        <w:rPr>
          <w:lang w:eastAsia="cs-CZ"/>
        </w:rPr>
        <w:t>b</w:t>
      </w:r>
      <w:r>
        <w:rPr>
          <w:lang w:eastAsia="cs-CZ"/>
        </w:rPr>
        <w:t xml:space="preserve">ylo podáno do společenské výzvy </w:t>
      </w:r>
      <w:r w:rsidRPr="00324865">
        <w:rPr>
          <w:b/>
          <w:lang w:eastAsia="cs-CZ"/>
        </w:rPr>
        <w:t>Bezpečné společnosti - ochrana svobody a bezpečnosti Evropy a jejích občanů</w:t>
      </w:r>
      <w:r>
        <w:rPr>
          <w:lang w:eastAsia="cs-CZ"/>
        </w:rPr>
        <w:t xml:space="preserve">. </w:t>
      </w:r>
      <w:r w:rsidRPr="00F17649">
        <w:rPr>
          <w:lang w:eastAsia="cs-CZ"/>
        </w:rPr>
        <w:t xml:space="preserve">Nejvyšší počet projektových návrhů s účastí ČR podaných do této společenské výzvy byl zaměřen na krizové řízení. Z podrobnějších údajů o zaměření projektů vyplývá, že se jedná zejména o projekty zaměřené na reakce na extrémní klimatické jevy, sledování obětí po použití CBRN, demonstrace a odolnost EU proti identifikovaným hrozbám. Vysoký počet návrhů také řešil problematiku odolnosti vůči katastrofám a změnám klimatu a ochranu </w:t>
      </w:r>
      <w:r w:rsidRPr="00F17649">
        <w:rPr>
          <w:lang w:eastAsia="cs-CZ"/>
        </w:rPr>
        <w:lastRenderedPageBreak/>
        <w:t>kritických infrastruktur (jednalo se zejména o metody pro posouzení odolnosti infrastruktur). Žádný z těchto návrhů však nebyl úspěšný.</w:t>
      </w:r>
    </w:p>
    <w:p w:rsidR="00324865" w:rsidRDefault="00324865" w:rsidP="00324865">
      <w:pPr>
        <w:spacing w:before="60" w:after="60"/>
        <w:rPr>
          <w:lang w:eastAsia="cs-CZ"/>
        </w:rPr>
      </w:pPr>
      <w:r w:rsidRPr="00F17649">
        <w:rPr>
          <w:lang w:eastAsia="cs-CZ"/>
        </w:rPr>
        <w:t>Poměrně vysoký počet návrhů s účastí ČR</w:t>
      </w:r>
      <w:r>
        <w:rPr>
          <w:lang w:eastAsia="cs-CZ"/>
        </w:rPr>
        <w:t xml:space="preserve"> byl také podán do společenské výzvy </w:t>
      </w:r>
      <w:r w:rsidRPr="00F17649">
        <w:rPr>
          <w:b/>
          <w:lang w:eastAsia="cs-CZ"/>
        </w:rPr>
        <w:t>Evropa v měnícím se světě – inkluzivní, inovativní a reflektivní společnosti</w:t>
      </w:r>
      <w:r w:rsidRPr="007B5C38">
        <w:rPr>
          <w:lang w:eastAsia="cs-CZ"/>
        </w:rPr>
        <w:t xml:space="preserve">. </w:t>
      </w:r>
      <w:r>
        <w:rPr>
          <w:lang w:eastAsia="cs-CZ"/>
        </w:rPr>
        <w:t xml:space="preserve">Největší část návrhů </w:t>
      </w:r>
      <w:r w:rsidRPr="00F17649">
        <w:rPr>
          <w:lang w:eastAsia="cs-CZ"/>
        </w:rPr>
        <w:t>byl</w:t>
      </w:r>
      <w:r>
        <w:rPr>
          <w:lang w:eastAsia="cs-CZ"/>
        </w:rPr>
        <w:t>a</w:t>
      </w:r>
      <w:r w:rsidRPr="00F17649">
        <w:rPr>
          <w:lang w:eastAsia="cs-CZ"/>
        </w:rPr>
        <w:t xml:space="preserve"> zaměřen</w:t>
      </w:r>
      <w:r>
        <w:rPr>
          <w:lang w:eastAsia="cs-CZ"/>
        </w:rPr>
        <w:t>a</w:t>
      </w:r>
      <w:r w:rsidRPr="00F17649">
        <w:rPr>
          <w:lang w:eastAsia="cs-CZ"/>
        </w:rPr>
        <w:t xml:space="preserve"> na problematiku </w:t>
      </w:r>
      <w:r>
        <w:rPr>
          <w:lang w:eastAsia="cs-CZ"/>
        </w:rPr>
        <w:t>k</w:t>
      </w:r>
      <w:r w:rsidRPr="00F17649">
        <w:rPr>
          <w:lang w:eastAsia="cs-CZ"/>
        </w:rPr>
        <w:t xml:space="preserve">ulturního dědictví války v současné Evropě. </w:t>
      </w:r>
      <w:r>
        <w:rPr>
          <w:lang w:eastAsia="cs-CZ"/>
        </w:rPr>
        <w:t xml:space="preserve">Z dalších oblastí programu H2020 byl podán větší počet projektových návrhů pouze do </w:t>
      </w:r>
      <w:r w:rsidRPr="00744E20">
        <w:rPr>
          <w:b/>
          <w:lang w:eastAsia="cs-CZ"/>
        </w:rPr>
        <w:t>Informačních a komunikačních technologií</w:t>
      </w:r>
      <w:r>
        <w:rPr>
          <w:b/>
          <w:lang w:eastAsia="cs-CZ"/>
        </w:rPr>
        <w:t xml:space="preserve"> </w:t>
      </w:r>
      <w:r w:rsidRPr="00F17649">
        <w:rPr>
          <w:lang w:eastAsia="cs-CZ"/>
        </w:rPr>
        <w:t xml:space="preserve">(viz </w:t>
      </w:r>
      <w:r>
        <w:rPr>
          <w:lang w:eastAsia="cs-CZ"/>
        </w:rPr>
        <w:fldChar w:fldCharType="begin"/>
      </w:r>
      <w:r>
        <w:rPr>
          <w:lang w:eastAsia="cs-CZ"/>
        </w:rPr>
        <w:instrText xml:space="preserve"> REF  _Ref452021109 \* Lower \h  \* MERGEFORMAT </w:instrText>
      </w:r>
      <w:r>
        <w:rPr>
          <w:lang w:eastAsia="cs-CZ"/>
        </w:rPr>
      </w:r>
      <w:r>
        <w:rPr>
          <w:lang w:eastAsia="cs-CZ"/>
        </w:rPr>
        <w:fldChar w:fldCharType="separate"/>
      </w:r>
      <w:r w:rsidR="003F08E5">
        <w:t xml:space="preserve">tab. </w:t>
      </w:r>
      <w:r w:rsidR="003F08E5">
        <w:rPr>
          <w:noProof/>
        </w:rPr>
        <w:t>37</w:t>
      </w:r>
      <w:r>
        <w:rPr>
          <w:lang w:eastAsia="cs-CZ"/>
        </w:rPr>
        <w:fldChar w:fldCharType="end"/>
      </w:r>
      <w:r w:rsidRPr="00F17649">
        <w:rPr>
          <w:lang w:eastAsia="cs-CZ"/>
        </w:rPr>
        <w:t>).</w:t>
      </w:r>
      <w:r>
        <w:rPr>
          <w:lang w:eastAsia="cs-CZ"/>
        </w:rPr>
        <w:t xml:space="preserve"> </w:t>
      </w:r>
      <w:r w:rsidRPr="00F17649">
        <w:rPr>
          <w:lang w:eastAsia="cs-CZ"/>
        </w:rPr>
        <w:t>Z dosavadních návrhů projektů s účastí ČR do H2020 se také zdá, že by ze strany subjektů z ČR mohl být větší zájem o akce Marie Curie (zahraniční mobilita).</w:t>
      </w:r>
    </w:p>
    <w:p w:rsidR="00324865" w:rsidRDefault="00324865" w:rsidP="00324865">
      <w:pPr>
        <w:spacing w:before="60" w:after="60"/>
        <w:rPr>
          <w:lang w:eastAsia="cs-CZ"/>
        </w:rPr>
      </w:pPr>
      <w:r w:rsidRPr="00117522">
        <w:rPr>
          <w:lang w:eastAsia="cs-CZ"/>
        </w:rPr>
        <w:t>Porovnávání aktivity v jednotlivých částech RP</w:t>
      </w:r>
      <w:r>
        <w:rPr>
          <w:lang w:eastAsia="cs-CZ"/>
        </w:rPr>
        <w:t>, které je uvedeno v této kapitole,</w:t>
      </w:r>
      <w:r w:rsidRPr="00117522">
        <w:rPr>
          <w:lang w:eastAsia="cs-CZ"/>
        </w:rPr>
        <w:t xml:space="preserve"> je </w:t>
      </w:r>
      <w:r>
        <w:rPr>
          <w:lang w:eastAsia="cs-CZ"/>
        </w:rPr>
        <w:t>však zapotřebí</w:t>
      </w:r>
      <w:r w:rsidRPr="00117522">
        <w:rPr>
          <w:lang w:eastAsia="cs-CZ"/>
        </w:rPr>
        <w:t xml:space="preserve"> interpretovat s jistou opatrností. Pro každou oblast RP či jeho aktivitu je často vypsán odlišný počet výzev, s odlišným rozpočtem a tyto faktory ovlivňují i přípravu a počet návrhů projektů </w:t>
      </w:r>
      <w:r>
        <w:rPr>
          <w:lang w:eastAsia="cs-CZ"/>
        </w:rPr>
        <w:t>i</w:t>
      </w:r>
      <w:r w:rsidRPr="00117522">
        <w:rPr>
          <w:lang w:eastAsia="cs-CZ"/>
        </w:rPr>
        <w:t xml:space="preserve"> jejich konečnou úspěšnost. Na druhé straně lze </w:t>
      </w:r>
      <w:r>
        <w:rPr>
          <w:lang w:eastAsia="cs-CZ"/>
        </w:rPr>
        <w:t>konstatovat</w:t>
      </w:r>
      <w:r w:rsidRPr="00117522">
        <w:rPr>
          <w:lang w:eastAsia="cs-CZ"/>
        </w:rPr>
        <w:t>, že týmy</w:t>
      </w:r>
      <w:r>
        <w:rPr>
          <w:lang w:eastAsia="cs-CZ"/>
        </w:rPr>
        <w:t xml:space="preserve"> z ČR se</w:t>
      </w:r>
      <w:r w:rsidRPr="00117522">
        <w:rPr>
          <w:lang w:eastAsia="cs-CZ"/>
        </w:rPr>
        <w:t xml:space="preserve"> snaží uplatnit právě v těch oblastech, kde mají jistý výzkumný potenciál a čekají na vhodnou příležitost, jak jej prosadit. </w:t>
      </w:r>
    </w:p>
    <w:p w:rsidR="00324865" w:rsidRDefault="00324865" w:rsidP="00324865">
      <w:pPr>
        <w:spacing w:before="60" w:after="60"/>
        <w:rPr>
          <w:lang w:eastAsia="cs-CZ"/>
        </w:rPr>
      </w:pPr>
    </w:p>
    <w:p w:rsidR="00324865" w:rsidRDefault="00324865" w:rsidP="00324865">
      <w:pPr>
        <w:pStyle w:val="Titulek"/>
        <w:keepNext/>
      </w:pPr>
      <w:bookmarkStart w:id="146" w:name="_Ref452021109"/>
      <w:bookmarkEnd w:id="145"/>
      <w:r>
        <w:lastRenderedPageBreak/>
        <w:t xml:space="preserve">Tab. </w:t>
      </w:r>
      <w:r w:rsidR="00990E2D">
        <w:fldChar w:fldCharType="begin"/>
      </w:r>
      <w:r w:rsidR="00990E2D">
        <w:instrText xml:space="preserve"> SEQ Tab. \* ARABIC </w:instrText>
      </w:r>
      <w:r w:rsidR="00990E2D">
        <w:fldChar w:fldCharType="separate"/>
      </w:r>
      <w:r w:rsidR="003F08E5">
        <w:rPr>
          <w:noProof/>
        </w:rPr>
        <w:t>37</w:t>
      </w:r>
      <w:r w:rsidR="00990E2D">
        <w:rPr>
          <w:noProof/>
        </w:rPr>
        <w:fldChar w:fldCharType="end"/>
      </w:r>
      <w:bookmarkEnd w:id="146"/>
      <w:r>
        <w:tab/>
      </w:r>
      <w:r w:rsidRPr="00324865">
        <w:t xml:space="preserve">Počty návrhů </w:t>
      </w:r>
      <w:r w:rsidR="00B8221F">
        <w:t xml:space="preserve">projektů </w:t>
      </w:r>
      <w:r w:rsidRPr="00324865">
        <w:t>zaměřených na bezpečnost s účastí ČR v H2020 – detailnější rozdělení projektů do jednotlivých oblastí  H2020. V tabulce jsou uvedeny pouze oblasti aktivity, ve kterých byly alespoň tři projektové návrhy (nižší počet návrhů v H2020 než v 7. RP souvisí s tím, že v programu H2020 bylo dosud podáno daleko méně projektových návrhů). Zdroj: e-Corda</w:t>
      </w:r>
    </w:p>
    <w:p w:rsidR="00857D7F" w:rsidRPr="00F17649" w:rsidRDefault="007539B4" w:rsidP="007B5C38">
      <w:pPr>
        <w:keepNext/>
        <w:jc w:val="center"/>
      </w:pPr>
      <w:r>
        <w:rPr>
          <w:noProof/>
          <w:lang w:eastAsia="cs-CZ"/>
        </w:rPr>
        <w:t xml:space="preserve">- </w:t>
      </w:r>
      <w:r w:rsidR="00B80F73" w:rsidRPr="00B80F73">
        <w:rPr>
          <w:noProof/>
          <w:lang w:eastAsia="cs-CZ"/>
        </w:rPr>
        <w:drawing>
          <wp:inline distT="0" distB="0" distL="0" distR="0" wp14:anchorId="25ECEF5D" wp14:editId="0DA781CE">
            <wp:extent cx="5389200" cy="6652800"/>
            <wp:effectExtent l="0" t="0" r="2540" b="0"/>
            <wp:docPr id="28" name="Obráze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389200" cy="6652800"/>
                    </a:xfrm>
                    <a:prstGeom prst="rect">
                      <a:avLst/>
                    </a:prstGeom>
                    <a:noFill/>
                    <a:ln>
                      <a:noFill/>
                    </a:ln>
                  </pic:spPr>
                </pic:pic>
              </a:graphicData>
            </a:graphic>
          </wp:inline>
        </w:drawing>
      </w:r>
    </w:p>
    <w:p w:rsidR="00857D7F" w:rsidRPr="00F17649" w:rsidRDefault="00857D7F" w:rsidP="00857D7F"/>
    <w:p w:rsidR="00F17649" w:rsidRPr="00F17649" w:rsidRDefault="00F00D5B" w:rsidP="00F00D5B">
      <w:pPr>
        <w:pStyle w:val="Nadpis4"/>
      </w:pPr>
      <w:bookmarkStart w:id="147" w:name="_Toc459723301"/>
      <w:r w:rsidRPr="00F00D5B">
        <w:t>Subjekty z ČR zapojené do řešení projektů v 7. rámcovém programu a programu Horizont 2020</w:t>
      </w:r>
      <w:bookmarkEnd w:id="147"/>
    </w:p>
    <w:p w:rsidR="00F17649" w:rsidRPr="00F17649" w:rsidRDefault="00F17649" w:rsidP="00F17649">
      <w:r w:rsidRPr="00F17649">
        <w:t xml:space="preserve">Přehled všech subjektů zapojených do projektů </w:t>
      </w:r>
      <w:r w:rsidR="00293C0D">
        <w:t>s uzavřenou grantovou dohodou (tj. do projektů, které získaly finanční podporu</w:t>
      </w:r>
      <w:r w:rsidR="00324865">
        <w:t>)</w:t>
      </w:r>
      <w:r w:rsidR="00293C0D">
        <w:t xml:space="preserve"> </w:t>
      </w:r>
      <w:r w:rsidRPr="00F17649">
        <w:t>řešících problematiku bezpečnosti v 7. RP a H2020 je uveden v</w:t>
      </w:r>
      <w:r w:rsidR="00FE1B95">
        <w:t xml:space="preserve"> </w:t>
      </w:r>
      <w:r w:rsidR="00FE1B95">
        <w:fldChar w:fldCharType="begin"/>
      </w:r>
      <w:r w:rsidR="00FE1B95">
        <w:instrText xml:space="preserve"> REF  _Ref451519666 \* Lower \h  \* MERGEFORMAT </w:instrText>
      </w:r>
      <w:r w:rsidR="00FE1B95">
        <w:fldChar w:fldCharType="separate"/>
      </w:r>
      <w:r w:rsidR="003F08E5">
        <w:t xml:space="preserve">tab. </w:t>
      </w:r>
      <w:r w:rsidR="003F08E5">
        <w:rPr>
          <w:noProof/>
        </w:rPr>
        <w:t>38</w:t>
      </w:r>
      <w:r w:rsidR="00FE1B95">
        <w:fldChar w:fldCharType="end"/>
      </w:r>
      <w:r w:rsidRPr="00F17649">
        <w:t>. Z tabulky je patrné, že většina subjektů byla (resp. je) zapojena pouze do řešení jediného projektu</w:t>
      </w:r>
      <w:r w:rsidR="00ED142F">
        <w:t xml:space="preserve">, což </w:t>
      </w:r>
      <w:r w:rsidR="00ED142F">
        <w:lastRenderedPageBreak/>
        <w:t>souvisí s náročností přípravy projektových návrhů do rámcových programů EU a omezenými kapacitami, které mají zejména podniky pro realizaci náročných mezinárodních výzkumných projektů</w:t>
      </w:r>
      <w:r w:rsidRPr="00F17649">
        <w:t xml:space="preserve">. </w:t>
      </w:r>
      <w:r w:rsidR="00ED142F">
        <w:t xml:space="preserve">Výjimkou jsou VŠ, které disponují vysokým počtem výzkumných pracovníků na více fakultách (v databázi e-Corda nejsou VŠ rozděleny na fakulty), některé ústavy a omezený počet podniků. </w:t>
      </w:r>
      <w:r w:rsidRPr="00F17649">
        <w:t>Také příspěvek, který na řešení projektů získaly týmy z ČR, není příliš vysoký</w:t>
      </w:r>
      <w:r w:rsidR="00ED142F">
        <w:t>, což souvisí především s tím, že mzdové náklady subjektů z ČR jsou ve srovnání se zeměmi EU-15 výrazně nižší.</w:t>
      </w:r>
    </w:p>
    <w:p w:rsidR="00F17649" w:rsidRDefault="00F17649" w:rsidP="00F17649">
      <w:r w:rsidRPr="00F17649">
        <w:t>Nejvíce účastí měla Masarykova univerzita v Brně, která byla v 7. RP zapojena do řešení čtyř projektů týkajících se problematiky bezpečnosti, a také příspěvek, který tato univerzita získala na řešení projektů, je nejvyšší ze všech VŠ. Do řešení čtyř projektů byla zapojena Univerzita Karlova v Praze (tři projekty v 7. RP a jeden v H2020), získaný finanční příspěvek je však nižší. Do dvou projektů byly zapojeny ČVUT v Praze a VUT v Brně, ostatní VŠ byly zapojeny pouze do jednoho projektu.</w:t>
      </w:r>
      <w:r w:rsidR="00324865">
        <w:t xml:space="preserve"> </w:t>
      </w:r>
      <w:r w:rsidRPr="00F17649">
        <w:t>Všechny uvedené VŠ lze zároveň považovat za nejaktivnější subjekty z ČR, které byly členy řešitelských konsorcií v největším počtu projektových návrhů podaných do 7. RP a H2020</w:t>
      </w:r>
      <w:r w:rsidR="00324865">
        <w:t>.</w:t>
      </w:r>
    </w:p>
    <w:p w:rsidR="0038710A" w:rsidRPr="00F17649" w:rsidRDefault="0038710A" w:rsidP="0038710A">
      <w:r w:rsidRPr="00F17649">
        <w:t>Z</w:t>
      </w:r>
      <w:r w:rsidR="00A26940">
        <w:t> </w:t>
      </w:r>
      <w:r w:rsidRPr="00F17649">
        <w:t>výzkumn</w:t>
      </w:r>
      <w:r w:rsidR="00A26940">
        <w:t>ě zaměřených</w:t>
      </w:r>
      <w:r w:rsidRPr="00F17649">
        <w:t xml:space="preserve"> ústavů se nejvíce projektů zúčastnil SÚJCHB (tři projekty v 7. RP a jeden v H2020)</w:t>
      </w:r>
      <w:r w:rsidR="00793009">
        <w:t xml:space="preserve"> a také finanční příspěvek získaný je velmi vysoký.</w:t>
      </w:r>
      <w:r w:rsidRPr="00F17649">
        <w:t xml:space="preserve"> Z veřejného sektoru bylo do rámcových programů zapojeno poměrně málo subjektů, přičemž pouze VOP-026 Šternberk byl zapojen do více než jednoho projektu (viz </w:t>
      </w:r>
      <w:r>
        <w:fldChar w:fldCharType="begin"/>
      </w:r>
      <w:r>
        <w:instrText xml:space="preserve"> REF  _Ref451519666 \* Lower \h  \* MERGEFORMAT </w:instrText>
      </w:r>
      <w:r>
        <w:fldChar w:fldCharType="separate"/>
      </w:r>
      <w:r w:rsidR="003F08E5">
        <w:t xml:space="preserve">tab. </w:t>
      </w:r>
      <w:r w:rsidR="003F08E5">
        <w:rPr>
          <w:noProof/>
        </w:rPr>
        <w:t>38</w:t>
      </w:r>
      <w:r>
        <w:fldChar w:fldCharType="end"/>
      </w:r>
      <w:r w:rsidRPr="00F17649">
        <w:t>). Organizační jednotky spadající pod MV sice podaly několik návrhů, tyto návrhy však nebyly vybrány pro financování.</w:t>
      </w:r>
    </w:p>
    <w:p w:rsidR="0038710A" w:rsidRPr="00F17649" w:rsidRDefault="0038710A" w:rsidP="0038710A">
      <w:r w:rsidRPr="00F17649">
        <w:t>Z podnikového sektoru byla nejaktivnější firma GISAT, s.r.o., která byla zapojena do řešení tří projektů v 7. RP</w:t>
      </w:r>
      <w:r w:rsidR="00793009">
        <w:t xml:space="preserve">. V alespoň dvou projektech byly zapojeny společnosti Pramacom Prague spol. s r.o., Anect, a.s., </w:t>
      </w:r>
      <w:r w:rsidR="00793009" w:rsidRPr="00F17649">
        <w:t>Honeywell, s.r.o.</w:t>
      </w:r>
      <w:r w:rsidR="00793009">
        <w:t xml:space="preserve">, Euroalarm, s.r.o., </w:t>
      </w:r>
      <w:r w:rsidRPr="00F17649">
        <w:t>T-SOFT a.s.</w:t>
      </w:r>
      <w:r w:rsidR="00793009">
        <w:t xml:space="preserve"> a </w:t>
      </w:r>
      <w:r w:rsidR="00793009" w:rsidRPr="00793009">
        <w:t>Ústav jaderného výzkumu Řež, a.s.</w:t>
      </w:r>
      <w:r w:rsidRPr="00F17649">
        <w:t xml:space="preserve"> Výše uvedené VŠ, výzkumné ústavy a podniky lze považovat za „jádro“ subjektů z ČR, které mají dlouholetou snahu zapojit se do BV na mezinárodní úrovni. Přehled dalších podniků a institucí zapojených do bezpečnostně zaměřených projektů je uveden v </w:t>
      </w:r>
      <w:r>
        <w:fldChar w:fldCharType="begin"/>
      </w:r>
      <w:r>
        <w:instrText xml:space="preserve"> REF  _Ref451519666 \* Lower \h  \* MERGEFORMAT </w:instrText>
      </w:r>
      <w:r>
        <w:fldChar w:fldCharType="separate"/>
      </w:r>
      <w:r w:rsidR="003F08E5">
        <w:t xml:space="preserve">tab. </w:t>
      </w:r>
      <w:r w:rsidR="003F08E5">
        <w:rPr>
          <w:noProof/>
        </w:rPr>
        <w:t>38</w:t>
      </w:r>
      <w:r>
        <w:fldChar w:fldCharType="end"/>
      </w:r>
      <w:r w:rsidRPr="00F17649">
        <w:t xml:space="preserve">. </w:t>
      </w:r>
    </w:p>
    <w:p w:rsidR="0038710A" w:rsidRPr="00F17649" w:rsidRDefault="0038710A" w:rsidP="00F17649"/>
    <w:p w:rsidR="00FE1B95" w:rsidRDefault="00FE1B95" w:rsidP="00FE1B95">
      <w:pPr>
        <w:pStyle w:val="Titulek"/>
        <w:keepNext/>
      </w:pPr>
      <w:bookmarkStart w:id="148" w:name="_Ref451519666"/>
      <w:r>
        <w:lastRenderedPageBreak/>
        <w:t xml:space="preserve">Tab. </w:t>
      </w:r>
      <w:r w:rsidR="00990E2D">
        <w:fldChar w:fldCharType="begin"/>
      </w:r>
      <w:r w:rsidR="00990E2D">
        <w:instrText xml:space="preserve"> SEQ Tab. \* ARABIC </w:instrText>
      </w:r>
      <w:r w:rsidR="00990E2D">
        <w:fldChar w:fldCharType="separate"/>
      </w:r>
      <w:r w:rsidR="003F08E5">
        <w:rPr>
          <w:noProof/>
        </w:rPr>
        <w:t>38</w:t>
      </w:r>
      <w:r w:rsidR="00990E2D">
        <w:rPr>
          <w:noProof/>
        </w:rPr>
        <w:fldChar w:fldCharType="end"/>
      </w:r>
      <w:bookmarkEnd w:id="148"/>
      <w:r>
        <w:tab/>
      </w:r>
      <w:r w:rsidRPr="00FE1B95">
        <w:t>Přehled všech subjektů zapojených do projektů řešících problematiku bezpečnosti v 7. RP a H2020. Subjekty jsou seřazeny podle klesajícího příspěvku EK na řešení projektů v dané skupině subjektů. Zdroj: e-Corda</w:t>
      </w:r>
    </w:p>
    <w:p w:rsidR="00F17649" w:rsidRPr="00F17649" w:rsidRDefault="00A26940" w:rsidP="00F17649">
      <w:pPr>
        <w:jc w:val="center"/>
      </w:pPr>
      <w:r w:rsidRPr="00A26940">
        <w:rPr>
          <w:noProof/>
          <w:lang w:eastAsia="cs-CZ"/>
        </w:rPr>
        <w:drawing>
          <wp:inline distT="0" distB="0" distL="0" distR="0" wp14:anchorId="6E2B6618" wp14:editId="11F891A5">
            <wp:extent cx="5850890" cy="8102474"/>
            <wp:effectExtent l="0" t="0" r="0" b="0"/>
            <wp:docPr id="43" name="Obrázek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850890" cy="8102474"/>
                    </a:xfrm>
                    <a:prstGeom prst="rect">
                      <a:avLst/>
                    </a:prstGeom>
                    <a:noFill/>
                    <a:ln>
                      <a:noFill/>
                    </a:ln>
                  </pic:spPr>
                </pic:pic>
              </a:graphicData>
            </a:graphic>
          </wp:inline>
        </w:drawing>
      </w:r>
    </w:p>
    <w:p w:rsidR="00F17649" w:rsidRPr="00F17649" w:rsidRDefault="00F00D5B" w:rsidP="00F00D5B">
      <w:pPr>
        <w:pStyle w:val="Nadpis4"/>
      </w:pPr>
      <w:bookmarkStart w:id="149" w:name="_Toc459723302"/>
      <w:r w:rsidRPr="00F00D5B">
        <w:lastRenderedPageBreak/>
        <w:t>Mezinárodní spolupráce ČR v 7. rámcovém programu a programu Horizont 2020</w:t>
      </w:r>
      <w:bookmarkEnd w:id="149"/>
    </w:p>
    <w:p w:rsidR="003F08E5" w:rsidRDefault="00F17649" w:rsidP="003F08E5">
      <w:r w:rsidRPr="00F17649">
        <w:rPr>
          <w:lang w:eastAsia="cs-CZ"/>
        </w:rPr>
        <w:t>ČR v projektech 7. RP a programu H2020 zaměřených na oblast bezpečnosti nejvíce spolupracuje s pěti zeměmi – se Spojeným královstvím, Německem, Španělskem, Francií a Itálií (viz</w:t>
      </w:r>
      <w:r w:rsidR="00EA3BCD">
        <w:rPr>
          <w:lang w:eastAsia="cs-CZ"/>
        </w:rPr>
        <w:t xml:space="preserve"> </w:t>
      </w:r>
      <w:r w:rsidR="00EA3BCD">
        <w:rPr>
          <w:lang w:eastAsia="cs-CZ"/>
        </w:rPr>
        <w:fldChar w:fldCharType="begin"/>
      </w:r>
      <w:r w:rsidR="00EA3BCD">
        <w:rPr>
          <w:lang w:eastAsia="cs-CZ"/>
        </w:rPr>
        <w:instrText xml:space="preserve"> REF  _Ref451520030 \* Lower \h  \* MERGEFORMAT </w:instrText>
      </w:r>
      <w:r w:rsidR="00EA3BCD">
        <w:rPr>
          <w:lang w:eastAsia="cs-CZ"/>
        </w:rPr>
      </w:r>
      <w:r w:rsidR="00EA3BCD">
        <w:rPr>
          <w:lang w:eastAsia="cs-CZ"/>
        </w:rPr>
        <w:fldChar w:fldCharType="separate"/>
      </w:r>
      <w:r w:rsidR="003F08E5">
        <w:rPr>
          <w:noProof/>
          <w:lang w:eastAsia="cs-CZ"/>
        </w:rPr>
        <w:drawing>
          <wp:inline distT="0" distB="0" distL="0" distR="0" wp14:anchorId="0E4557E4" wp14:editId="15496C6B">
            <wp:extent cx="5791200" cy="4219575"/>
            <wp:effectExtent l="0" t="0" r="0" b="9525"/>
            <wp:docPr id="21" name="Obráze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791200" cy="4219575"/>
                    </a:xfrm>
                    <a:prstGeom prst="rect">
                      <a:avLst/>
                    </a:prstGeom>
                    <a:noFill/>
                  </pic:spPr>
                </pic:pic>
              </a:graphicData>
            </a:graphic>
          </wp:inline>
        </w:drawing>
      </w:r>
    </w:p>
    <w:p w:rsidR="00F17649" w:rsidRDefault="003F08E5" w:rsidP="00F17649">
      <w:pPr>
        <w:rPr>
          <w:lang w:eastAsia="cs-CZ"/>
        </w:rPr>
      </w:pPr>
      <w:r>
        <w:t>obr</w:t>
      </w:r>
      <w:r>
        <w:rPr>
          <w:noProof/>
        </w:rPr>
        <w:t>.</w:t>
      </w:r>
      <w:r>
        <w:t xml:space="preserve"> </w:t>
      </w:r>
      <w:r>
        <w:rPr>
          <w:noProof/>
        </w:rPr>
        <w:t>16</w:t>
      </w:r>
      <w:r w:rsidR="00EA3BCD">
        <w:rPr>
          <w:lang w:eastAsia="cs-CZ"/>
        </w:rPr>
        <w:fldChar w:fldCharType="end"/>
      </w:r>
      <w:r w:rsidR="00F17649" w:rsidRPr="00F17649">
        <w:rPr>
          <w:lang w:eastAsia="cs-CZ"/>
        </w:rPr>
        <w:t>). Tyto země zároveň patří mezi nejaktivnější účastníky těchto programů a mezinárodní spolupráce ČR se zahraničními zeměmi tak do značné míry sleduje zapojení zemí do bezpečnostně zaměřených projektů v 7. RP a v programu H2020 (viz</w:t>
      </w:r>
      <w:r w:rsidR="00EA3BCD">
        <w:rPr>
          <w:lang w:eastAsia="cs-CZ"/>
        </w:rPr>
        <w:t xml:space="preserve"> </w:t>
      </w:r>
      <w:r w:rsidR="00EA3BCD">
        <w:fldChar w:fldCharType="begin"/>
      </w:r>
      <w:r w:rsidR="00EA3BCD">
        <w:instrText xml:space="preserve"> REF  _Ref451520167 \* Lower \h  \* MERGEFORMAT </w:instrText>
      </w:r>
      <w:r w:rsidR="00EA3BCD">
        <w:fldChar w:fldCharType="separate"/>
      </w:r>
      <w:r>
        <w:t xml:space="preserve">obr. </w:t>
      </w:r>
      <w:r>
        <w:rPr>
          <w:noProof/>
        </w:rPr>
        <w:t>14</w:t>
      </w:r>
      <w:r w:rsidR="00EA3BCD">
        <w:fldChar w:fldCharType="end"/>
      </w:r>
      <w:r w:rsidR="00EA3BCD" w:rsidRPr="00F17649">
        <w:t xml:space="preserve"> a</w:t>
      </w:r>
      <w:r w:rsidR="00EA3BCD">
        <w:t xml:space="preserve"> </w:t>
      </w:r>
      <w:r w:rsidR="00EA3BCD">
        <w:fldChar w:fldCharType="begin"/>
      </w:r>
      <w:r w:rsidR="00EA3BCD">
        <w:instrText xml:space="preserve"> REF  _Ref451520174 \* Lower \h  \* MERGEFORMAT </w:instrText>
      </w:r>
      <w:r w:rsidR="00EA3BCD">
        <w:fldChar w:fldCharType="separate"/>
      </w:r>
      <w:r>
        <w:t xml:space="preserve">obr. </w:t>
      </w:r>
      <w:r>
        <w:rPr>
          <w:noProof/>
        </w:rPr>
        <w:t>15</w:t>
      </w:r>
      <w:r w:rsidR="00EA3BCD">
        <w:fldChar w:fldCharType="end"/>
      </w:r>
      <w:r w:rsidR="00F17649" w:rsidRPr="00F17649">
        <w:rPr>
          <w:lang w:eastAsia="cs-CZ"/>
        </w:rPr>
        <w:t>).</w:t>
      </w:r>
    </w:p>
    <w:p w:rsidR="003A04BB" w:rsidRDefault="00516B6B" w:rsidP="003A04BB">
      <w:pPr>
        <w:pStyle w:val="Titulek"/>
        <w:jc w:val="center"/>
      </w:pPr>
      <w:bookmarkStart w:id="150" w:name="_Ref451520030"/>
      <w:r>
        <w:rPr>
          <w:noProof/>
          <w:lang w:eastAsia="cs-CZ"/>
        </w:rPr>
        <w:lastRenderedPageBreak/>
        <w:drawing>
          <wp:inline distT="0" distB="0" distL="0" distR="0" wp14:anchorId="5C924E83" wp14:editId="73DAECC6">
            <wp:extent cx="5791200" cy="4219575"/>
            <wp:effectExtent l="0" t="0" r="0" b="9525"/>
            <wp:docPr id="72" name="Obrázek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791200" cy="4219575"/>
                    </a:xfrm>
                    <a:prstGeom prst="rect">
                      <a:avLst/>
                    </a:prstGeom>
                    <a:noFill/>
                  </pic:spPr>
                </pic:pic>
              </a:graphicData>
            </a:graphic>
          </wp:inline>
        </w:drawing>
      </w:r>
    </w:p>
    <w:p w:rsidR="00F17649" w:rsidRPr="00F17649" w:rsidRDefault="00EA3BCD" w:rsidP="00EA3BCD">
      <w:pPr>
        <w:pStyle w:val="Titulek"/>
      </w:pPr>
      <w:r>
        <w:t xml:space="preserve">Obr. </w:t>
      </w:r>
      <w:r w:rsidR="00990E2D">
        <w:fldChar w:fldCharType="begin"/>
      </w:r>
      <w:r w:rsidR="00990E2D">
        <w:instrText xml:space="preserve"> SEQ Obr. \* ARABIC </w:instrText>
      </w:r>
      <w:r w:rsidR="00990E2D">
        <w:fldChar w:fldCharType="separate"/>
      </w:r>
      <w:r w:rsidR="003F08E5">
        <w:rPr>
          <w:noProof/>
        </w:rPr>
        <w:t>16</w:t>
      </w:r>
      <w:r w:rsidR="00990E2D">
        <w:rPr>
          <w:noProof/>
        </w:rPr>
        <w:fldChar w:fldCharType="end"/>
      </w:r>
      <w:bookmarkEnd w:id="150"/>
      <w:r>
        <w:tab/>
      </w:r>
      <w:r w:rsidRPr="00EA3BCD">
        <w:t xml:space="preserve">Mezinárodní spolupráce ČR </w:t>
      </w:r>
      <w:r w:rsidR="006D36BE">
        <w:t xml:space="preserve">se zahraničními zeměmi </w:t>
      </w:r>
      <w:r w:rsidRPr="00EA3BCD">
        <w:t xml:space="preserve">v projektech bezpečnostního výzkumu v 7. RP a H2020 – </w:t>
      </w:r>
      <w:r w:rsidR="006D36BE">
        <w:t xml:space="preserve">součet </w:t>
      </w:r>
      <w:r w:rsidRPr="00EA3BCD">
        <w:t>počt</w:t>
      </w:r>
      <w:r w:rsidR="006D36BE">
        <w:t>u</w:t>
      </w:r>
      <w:r w:rsidRPr="00EA3BCD">
        <w:t xml:space="preserve"> projektů</w:t>
      </w:r>
      <w:r w:rsidR="003A04BB">
        <w:t xml:space="preserve"> </w:t>
      </w:r>
      <w:r w:rsidR="006D36BE">
        <w:t xml:space="preserve">s účastí </w:t>
      </w:r>
      <w:r w:rsidR="003A04BB">
        <w:t>ČR</w:t>
      </w:r>
      <w:r w:rsidR="006D36BE">
        <w:t xml:space="preserve"> v 7. RP a H2020</w:t>
      </w:r>
      <w:r w:rsidR="003A04BB">
        <w:t xml:space="preserve">, </w:t>
      </w:r>
      <w:r w:rsidR="006D36BE">
        <w:t xml:space="preserve">ve kterých byla zahraniční země </w:t>
      </w:r>
      <w:r w:rsidR="003A04BB">
        <w:t xml:space="preserve">zastoupena alespoň jedním účastníkem. </w:t>
      </w:r>
      <w:r w:rsidRPr="00EA3BCD">
        <w:t>V grafu jsou zařazeny pouze země, se kterými ČR spolupracovala ve více než pěti projektech. Zdroj: e-Corda</w:t>
      </w:r>
    </w:p>
    <w:p w:rsidR="00F17649" w:rsidRDefault="00F17649" w:rsidP="00F17649">
      <w:r w:rsidRPr="00F17649">
        <w:t>Nejčastějším partnerem týmů z ČR byly výzkumné týmy z německé Fraunhoferovy společnosti</w:t>
      </w:r>
      <w:r w:rsidRPr="00F17649">
        <w:rPr>
          <w:rFonts w:cs="Times New Roman"/>
          <w:vertAlign w:val="superscript"/>
        </w:rPr>
        <w:footnoteReference w:id="35"/>
      </w:r>
      <w:r w:rsidRPr="00F17649">
        <w:t>, se kterou české týmy spolupracovaly v 13 projektech (viz</w:t>
      </w:r>
      <w:r w:rsidR="00FE1B95">
        <w:t xml:space="preserve"> </w:t>
      </w:r>
      <w:r w:rsidR="00FE1B95">
        <w:fldChar w:fldCharType="begin"/>
      </w:r>
      <w:r w:rsidR="00FE1B95">
        <w:instrText xml:space="preserve"> REF  _Ref451519846 \* Lower \h  \* MERGEFORMAT </w:instrText>
      </w:r>
      <w:r w:rsidR="00FE1B95">
        <w:fldChar w:fldCharType="separate"/>
      </w:r>
      <w:r w:rsidR="003F08E5">
        <w:t xml:space="preserve">tab. </w:t>
      </w:r>
      <w:r w:rsidR="003F08E5">
        <w:rPr>
          <w:noProof/>
        </w:rPr>
        <w:t>39</w:t>
      </w:r>
      <w:r w:rsidR="00FE1B95">
        <w:fldChar w:fldCharType="end"/>
      </w:r>
      <w:r w:rsidRPr="00F17649">
        <w:t>). Týmy z ČR také často spolupracovaly s výzkumnými týmy ze společnosti Airbus. Mezi další časté partnery patří ATOS Spain SA</w:t>
      </w:r>
      <w:r w:rsidRPr="00F17649">
        <w:rPr>
          <w:rFonts w:cs="Times New Roman"/>
          <w:vertAlign w:val="superscript"/>
        </w:rPr>
        <w:footnoteReference w:id="36"/>
      </w:r>
      <w:r w:rsidRPr="00F17649">
        <w:t xml:space="preserve"> a francouzská Komise pro Alternativní energii a atomovou energii</w:t>
      </w:r>
      <w:r w:rsidRPr="00F17649">
        <w:rPr>
          <w:rFonts w:cs="Times New Roman"/>
          <w:vertAlign w:val="superscript"/>
        </w:rPr>
        <w:footnoteReference w:id="37"/>
      </w:r>
      <w:r w:rsidRPr="00F17649">
        <w:t xml:space="preserve">. Přehled institucí, se kterými týmy z ČR spolupracovaly alespoň ve čtyřech projektech, je uveden v </w:t>
      </w:r>
      <w:r w:rsidR="00FE1B95">
        <w:fldChar w:fldCharType="begin"/>
      </w:r>
      <w:r w:rsidR="00FE1B95">
        <w:instrText xml:space="preserve"> REF  _Ref451519846 \* Lower \h  \* MERGEFORMAT </w:instrText>
      </w:r>
      <w:r w:rsidR="00FE1B95">
        <w:fldChar w:fldCharType="separate"/>
      </w:r>
      <w:r w:rsidR="003F08E5">
        <w:t xml:space="preserve">tab. </w:t>
      </w:r>
      <w:r w:rsidR="003F08E5">
        <w:rPr>
          <w:noProof/>
        </w:rPr>
        <w:t>39</w:t>
      </w:r>
      <w:r w:rsidR="00FE1B95">
        <w:fldChar w:fldCharType="end"/>
      </w:r>
      <w:r w:rsidRPr="00F17649">
        <w:t>.</w:t>
      </w:r>
    </w:p>
    <w:p w:rsidR="00FE1B95" w:rsidRDefault="00FE1B95" w:rsidP="0038710A">
      <w:pPr>
        <w:pStyle w:val="Titulek"/>
        <w:keepNext/>
      </w:pPr>
      <w:bookmarkStart w:id="151" w:name="_Ref451519846"/>
      <w:r>
        <w:t xml:space="preserve">Tab. </w:t>
      </w:r>
      <w:r w:rsidR="00990E2D">
        <w:fldChar w:fldCharType="begin"/>
      </w:r>
      <w:r w:rsidR="00990E2D">
        <w:instrText xml:space="preserve"> SEQ Tab. \* ARABIC </w:instrText>
      </w:r>
      <w:r w:rsidR="00990E2D">
        <w:fldChar w:fldCharType="separate"/>
      </w:r>
      <w:r w:rsidR="003F08E5">
        <w:rPr>
          <w:noProof/>
        </w:rPr>
        <w:t>39</w:t>
      </w:r>
      <w:r w:rsidR="00990E2D">
        <w:rPr>
          <w:noProof/>
        </w:rPr>
        <w:fldChar w:fldCharType="end"/>
      </w:r>
      <w:bookmarkEnd w:id="151"/>
      <w:r>
        <w:tab/>
      </w:r>
      <w:r w:rsidRPr="00FE1B95">
        <w:t>Zahraniční instituce, se kterými nejvíce účastníci bezpečnostně zaměřených projektů z ČR v 7. RP a H2020. V tabulce jsou uvedeny pouze instituce, které spolupracovaly s ČR alespoň ve čtyřech projektech. Zdroj: e-Corda</w:t>
      </w:r>
    </w:p>
    <w:tbl>
      <w:tblPr>
        <w:tblW w:w="9088" w:type="dxa"/>
        <w:tblInd w:w="55" w:type="dxa"/>
        <w:tblLayout w:type="fixed"/>
        <w:tblCellMar>
          <w:left w:w="70" w:type="dxa"/>
          <w:right w:w="70" w:type="dxa"/>
        </w:tblCellMar>
        <w:tblLook w:val="04A0" w:firstRow="1" w:lastRow="0" w:firstColumn="1" w:lastColumn="0" w:noHBand="0" w:noVBand="1"/>
      </w:tblPr>
      <w:tblGrid>
        <w:gridCol w:w="5544"/>
        <w:gridCol w:w="1276"/>
        <w:gridCol w:w="709"/>
        <w:gridCol w:w="708"/>
        <w:gridCol w:w="851"/>
      </w:tblGrid>
      <w:tr w:rsidR="00F17649" w:rsidRPr="00F17649" w:rsidTr="005C45B3">
        <w:trPr>
          <w:trHeight w:val="255"/>
        </w:trPr>
        <w:tc>
          <w:tcPr>
            <w:tcW w:w="5544" w:type="dxa"/>
            <w:vMerge w:val="restart"/>
            <w:tcBorders>
              <w:top w:val="single" w:sz="4" w:space="0" w:color="auto"/>
              <w:left w:val="nil"/>
              <w:bottom w:val="single" w:sz="4" w:space="0" w:color="000000"/>
              <w:right w:val="nil"/>
            </w:tcBorders>
            <w:shd w:val="clear" w:color="000000" w:fill="D9D9D9"/>
            <w:vAlign w:val="center"/>
            <w:hideMark/>
          </w:tcPr>
          <w:p w:rsidR="00F17649" w:rsidRPr="00F17649" w:rsidRDefault="00F17649" w:rsidP="0038710A">
            <w:pPr>
              <w:keepNext/>
              <w:spacing w:before="0" w:after="0"/>
              <w:jc w:val="left"/>
              <w:rPr>
                <w:rFonts w:eastAsia="Times New Roman" w:cs="Times New Roman"/>
                <w:b/>
                <w:bCs/>
                <w:color w:val="000000"/>
                <w:sz w:val="18"/>
                <w:szCs w:val="18"/>
                <w:lang w:eastAsia="cs-CZ"/>
              </w:rPr>
            </w:pPr>
            <w:r w:rsidRPr="00F17649">
              <w:rPr>
                <w:rFonts w:eastAsia="Times New Roman" w:cs="Times New Roman"/>
                <w:b/>
                <w:bCs/>
                <w:color w:val="000000"/>
                <w:sz w:val="18"/>
                <w:szCs w:val="18"/>
                <w:lang w:eastAsia="cs-CZ"/>
              </w:rPr>
              <w:t>Instituce</w:t>
            </w:r>
            <w:r w:rsidR="00C64093">
              <w:rPr>
                <w:rFonts w:eastAsia="Times New Roman" w:cs="Times New Roman"/>
                <w:b/>
                <w:bCs/>
                <w:color w:val="000000"/>
                <w:sz w:val="18"/>
                <w:szCs w:val="18"/>
                <w:lang w:eastAsia="cs-CZ"/>
              </w:rPr>
              <w:t>;;</w:t>
            </w:r>
          </w:p>
        </w:tc>
        <w:tc>
          <w:tcPr>
            <w:tcW w:w="1276" w:type="dxa"/>
            <w:vMerge w:val="restart"/>
            <w:tcBorders>
              <w:top w:val="single" w:sz="4" w:space="0" w:color="auto"/>
              <w:left w:val="nil"/>
              <w:bottom w:val="single" w:sz="4" w:space="0" w:color="000000"/>
              <w:right w:val="nil"/>
            </w:tcBorders>
            <w:shd w:val="clear" w:color="000000" w:fill="D9D9D9"/>
            <w:vAlign w:val="center"/>
            <w:hideMark/>
          </w:tcPr>
          <w:p w:rsidR="00F17649" w:rsidRPr="00F17649" w:rsidRDefault="00F17649" w:rsidP="0038710A">
            <w:pPr>
              <w:keepNext/>
              <w:spacing w:before="0" w:after="0"/>
              <w:jc w:val="left"/>
              <w:rPr>
                <w:rFonts w:eastAsia="Times New Roman" w:cs="Times New Roman"/>
                <w:b/>
                <w:bCs/>
                <w:color w:val="000000"/>
                <w:sz w:val="18"/>
                <w:szCs w:val="18"/>
                <w:lang w:eastAsia="cs-CZ"/>
              </w:rPr>
            </w:pPr>
            <w:r w:rsidRPr="00F17649">
              <w:rPr>
                <w:rFonts w:eastAsia="Times New Roman" w:cs="Times New Roman"/>
                <w:b/>
                <w:bCs/>
                <w:color w:val="000000"/>
                <w:sz w:val="18"/>
                <w:szCs w:val="18"/>
                <w:lang w:eastAsia="cs-CZ"/>
              </w:rPr>
              <w:t>Země</w:t>
            </w:r>
          </w:p>
        </w:tc>
        <w:tc>
          <w:tcPr>
            <w:tcW w:w="2268" w:type="dxa"/>
            <w:gridSpan w:val="3"/>
            <w:tcBorders>
              <w:top w:val="single" w:sz="4" w:space="0" w:color="auto"/>
              <w:left w:val="nil"/>
              <w:bottom w:val="nil"/>
              <w:right w:val="nil"/>
            </w:tcBorders>
            <w:shd w:val="clear" w:color="000000" w:fill="D9D9D9"/>
            <w:noWrap/>
            <w:vAlign w:val="center"/>
            <w:hideMark/>
          </w:tcPr>
          <w:p w:rsidR="00F17649" w:rsidRPr="00F17649" w:rsidRDefault="00F17649" w:rsidP="0038710A">
            <w:pPr>
              <w:keepNext/>
              <w:spacing w:before="0" w:after="0"/>
              <w:jc w:val="center"/>
              <w:rPr>
                <w:rFonts w:eastAsia="Times New Roman" w:cs="Times New Roman"/>
                <w:b/>
                <w:bCs/>
                <w:color w:val="000000"/>
                <w:sz w:val="18"/>
                <w:szCs w:val="18"/>
                <w:lang w:eastAsia="cs-CZ"/>
              </w:rPr>
            </w:pPr>
            <w:r w:rsidRPr="00F17649">
              <w:rPr>
                <w:rFonts w:eastAsia="Times New Roman" w:cs="Times New Roman"/>
                <w:b/>
                <w:bCs/>
                <w:color w:val="000000"/>
                <w:sz w:val="18"/>
                <w:szCs w:val="18"/>
                <w:lang w:eastAsia="cs-CZ"/>
              </w:rPr>
              <w:t>Počet společných projektů s ČR</w:t>
            </w:r>
          </w:p>
        </w:tc>
      </w:tr>
      <w:tr w:rsidR="00F17649" w:rsidRPr="00F17649" w:rsidTr="005C45B3">
        <w:trPr>
          <w:trHeight w:val="420"/>
        </w:trPr>
        <w:tc>
          <w:tcPr>
            <w:tcW w:w="5544" w:type="dxa"/>
            <w:vMerge/>
            <w:tcBorders>
              <w:top w:val="single" w:sz="4" w:space="0" w:color="auto"/>
              <w:left w:val="nil"/>
              <w:bottom w:val="single" w:sz="4" w:space="0" w:color="000000"/>
              <w:right w:val="nil"/>
            </w:tcBorders>
            <w:vAlign w:val="center"/>
            <w:hideMark/>
          </w:tcPr>
          <w:p w:rsidR="00F17649" w:rsidRPr="00F17649" w:rsidRDefault="00F17649" w:rsidP="0038710A">
            <w:pPr>
              <w:keepNext/>
              <w:spacing w:before="0" w:after="0"/>
              <w:jc w:val="left"/>
              <w:rPr>
                <w:rFonts w:eastAsia="Times New Roman" w:cs="Times New Roman"/>
                <w:b/>
                <w:bCs/>
                <w:color w:val="000000"/>
                <w:sz w:val="18"/>
                <w:szCs w:val="18"/>
                <w:lang w:eastAsia="cs-CZ"/>
              </w:rPr>
            </w:pPr>
          </w:p>
        </w:tc>
        <w:tc>
          <w:tcPr>
            <w:tcW w:w="1276" w:type="dxa"/>
            <w:vMerge/>
            <w:tcBorders>
              <w:top w:val="single" w:sz="4" w:space="0" w:color="auto"/>
              <w:left w:val="nil"/>
              <w:bottom w:val="single" w:sz="4" w:space="0" w:color="000000"/>
              <w:right w:val="nil"/>
            </w:tcBorders>
            <w:vAlign w:val="center"/>
            <w:hideMark/>
          </w:tcPr>
          <w:p w:rsidR="00F17649" w:rsidRPr="00F17649" w:rsidRDefault="00F17649" w:rsidP="0038710A">
            <w:pPr>
              <w:keepNext/>
              <w:spacing w:before="0" w:after="0"/>
              <w:jc w:val="left"/>
              <w:rPr>
                <w:rFonts w:eastAsia="Times New Roman" w:cs="Times New Roman"/>
                <w:b/>
                <w:bCs/>
                <w:color w:val="000000"/>
                <w:sz w:val="18"/>
                <w:szCs w:val="18"/>
                <w:lang w:eastAsia="cs-CZ"/>
              </w:rPr>
            </w:pPr>
          </w:p>
        </w:tc>
        <w:tc>
          <w:tcPr>
            <w:tcW w:w="709" w:type="dxa"/>
            <w:tcBorders>
              <w:top w:val="nil"/>
              <w:left w:val="nil"/>
              <w:bottom w:val="single" w:sz="4" w:space="0" w:color="auto"/>
              <w:right w:val="nil"/>
            </w:tcBorders>
            <w:shd w:val="clear" w:color="000000" w:fill="D9D9D9"/>
            <w:vAlign w:val="center"/>
            <w:hideMark/>
          </w:tcPr>
          <w:p w:rsidR="00F17649" w:rsidRPr="00F17649" w:rsidRDefault="00F17649" w:rsidP="0038710A">
            <w:pPr>
              <w:keepNext/>
              <w:spacing w:before="0" w:after="0"/>
              <w:jc w:val="center"/>
              <w:rPr>
                <w:rFonts w:eastAsia="Times New Roman" w:cs="Times New Roman"/>
                <w:b/>
                <w:bCs/>
                <w:color w:val="000000"/>
                <w:sz w:val="18"/>
                <w:szCs w:val="18"/>
                <w:lang w:eastAsia="cs-CZ"/>
              </w:rPr>
            </w:pPr>
            <w:r w:rsidRPr="00F17649">
              <w:rPr>
                <w:rFonts w:eastAsia="Times New Roman" w:cs="Times New Roman"/>
                <w:b/>
                <w:bCs/>
                <w:color w:val="000000"/>
                <w:sz w:val="18"/>
                <w:szCs w:val="18"/>
                <w:lang w:eastAsia="cs-CZ"/>
              </w:rPr>
              <w:t>7. RP</w:t>
            </w:r>
          </w:p>
        </w:tc>
        <w:tc>
          <w:tcPr>
            <w:tcW w:w="708" w:type="dxa"/>
            <w:tcBorders>
              <w:top w:val="nil"/>
              <w:left w:val="nil"/>
              <w:bottom w:val="single" w:sz="4" w:space="0" w:color="auto"/>
              <w:right w:val="nil"/>
            </w:tcBorders>
            <w:shd w:val="clear" w:color="000000" w:fill="D9D9D9"/>
            <w:vAlign w:val="center"/>
            <w:hideMark/>
          </w:tcPr>
          <w:p w:rsidR="00F17649" w:rsidRPr="00F17649" w:rsidRDefault="00F17649" w:rsidP="0038710A">
            <w:pPr>
              <w:keepNext/>
              <w:spacing w:before="0" w:after="0"/>
              <w:jc w:val="center"/>
              <w:rPr>
                <w:rFonts w:eastAsia="Times New Roman" w:cs="Times New Roman"/>
                <w:b/>
                <w:bCs/>
                <w:color w:val="000000"/>
                <w:sz w:val="18"/>
                <w:szCs w:val="18"/>
                <w:lang w:eastAsia="cs-CZ"/>
              </w:rPr>
            </w:pPr>
            <w:r w:rsidRPr="00F17649">
              <w:rPr>
                <w:rFonts w:eastAsia="Times New Roman" w:cs="Times New Roman"/>
                <w:b/>
                <w:bCs/>
                <w:color w:val="000000"/>
                <w:sz w:val="18"/>
                <w:szCs w:val="18"/>
                <w:lang w:eastAsia="cs-CZ"/>
              </w:rPr>
              <w:t>H2020</w:t>
            </w:r>
          </w:p>
        </w:tc>
        <w:tc>
          <w:tcPr>
            <w:tcW w:w="851" w:type="dxa"/>
            <w:tcBorders>
              <w:top w:val="nil"/>
              <w:left w:val="nil"/>
              <w:bottom w:val="single" w:sz="4" w:space="0" w:color="auto"/>
              <w:right w:val="nil"/>
            </w:tcBorders>
            <w:shd w:val="clear" w:color="000000" w:fill="D9D9D9"/>
            <w:vAlign w:val="center"/>
            <w:hideMark/>
          </w:tcPr>
          <w:p w:rsidR="00F17649" w:rsidRPr="00F17649" w:rsidRDefault="00F17649" w:rsidP="0038710A">
            <w:pPr>
              <w:keepNext/>
              <w:spacing w:before="0" w:after="0"/>
              <w:jc w:val="center"/>
              <w:rPr>
                <w:rFonts w:eastAsia="Times New Roman" w:cs="Times New Roman"/>
                <w:b/>
                <w:bCs/>
                <w:color w:val="000000"/>
                <w:sz w:val="18"/>
                <w:szCs w:val="18"/>
                <w:lang w:eastAsia="cs-CZ"/>
              </w:rPr>
            </w:pPr>
            <w:r w:rsidRPr="00F17649">
              <w:rPr>
                <w:rFonts w:eastAsia="Times New Roman" w:cs="Times New Roman"/>
                <w:b/>
                <w:bCs/>
                <w:color w:val="000000"/>
                <w:sz w:val="18"/>
                <w:szCs w:val="18"/>
                <w:lang w:eastAsia="cs-CZ"/>
              </w:rPr>
              <w:t>Celkem</w:t>
            </w:r>
          </w:p>
        </w:tc>
      </w:tr>
      <w:tr w:rsidR="00F17649" w:rsidRPr="00F17649" w:rsidTr="005C45B3">
        <w:trPr>
          <w:cantSplit/>
          <w:trHeight w:val="340"/>
        </w:trPr>
        <w:tc>
          <w:tcPr>
            <w:tcW w:w="5544" w:type="dxa"/>
            <w:tcBorders>
              <w:top w:val="nil"/>
              <w:left w:val="nil"/>
              <w:bottom w:val="nil"/>
              <w:right w:val="nil"/>
            </w:tcBorders>
            <w:shd w:val="clear" w:color="auto" w:fill="auto"/>
            <w:noWrap/>
            <w:vAlign w:val="center"/>
            <w:hideMark/>
          </w:tcPr>
          <w:p w:rsidR="00F17649" w:rsidRPr="00F17649" w:rsidRDefault="00F17649" w:rsidP="00F17649">
            <w:pPr>
              <w:spacing w:before="0" w:after="0"/>
              <w:jc w:val="left"/>
              <w:rPr>
                <w:rFonts w:eastAsia="Times New Roman" w:cs="Times New Roman"/>
                <w:color w:val="000000"/>
                <w:sz w:val="18"/>
                <w:szCs w:val="18"/>
                <w:lang w:eastAsia="cs-CZ"/>
              </w:rPr>
            </w:pPr>
            <w:r w:rsidRPr="00F17649">
              <w:rPr>
                <w:rFonts w:eastAsia="Times New Roman" w:cs="Times New Roman"/>
                <w:color w:val="000000"/>
                <w:sz w:val="18"/>
                <w:szCs w:val="18"/>
                <w:lang w:eastAsia="cs-CZ"/>
              </w:rPr>
              <w:t>FRAUNHOFER GESELLSCHAFT ZUR FORDERUNG DER ANGEWANDTEN FORSCHUNG EV</w:t>
            </w:r>
          </w:p>
        </w:tc>
        <w:tc>
          <w:tcPr>
            <w:tcW w:w="1276" w:type="dxa"/>
            <w:tcBorders>
              <w:top w:val="nil"/>
              <w:left w:val="nil"/>
              <w:bottom w:val="nil"/>
              <w:right w:val="nil"/>
            </w:tcBorders>
            <w:shd w:val="clear" w:color="auto" w:fill="auto"/>
            <w:noWrap/>
            <w:vAlign w:val="center"/>
            <w:hideMark/>
          </w:tcPr>
          <w:p w:rsidR="00F17649" w:rsidRPr="00F17649" w:rsidRDefault="00F17649" w:rsidP="00F17649">
            <w:pPr>
              <w:spacing w:before="0" w:after="0"/>
              <w:jc w:val="left"/>
              <w:rPr>
                <w:rFonts w:eastAsia="Times New Roman" w:cs="Times New Roman"/>
                <w:color w:val="000000"/>
                <w:sz w:val="18"/>
                <w:szCs w:val="18"/>
                <w:lang w:eastAsia="cs-CZ"/>
              </w:rPr>
            </w:pPr>
            <w:r w:rsidRPr="00F17649">
              <w:rPr>
                <w:rFonts w:eastAsia="Times New Roman" w:cs="Times New Roman"/>
                <w:color w:val="000000"/>
                <w:sz w:val="18"/>
                <w:szCs w:val="18"/>
                <w:lang w:eastAsia="cs-CZ"/>
              </w:rPr>
              <w:t>Německo</w:t>
            </w:r>
          </w:p>
        </w:tc>
        <w:tc>
          <w:tcPr>
            <w:tcW w:w="709" w:type="dxa"/>
            <w:tcBorders>
              <w:top w:val="nil"/>
              <w:left w:val="nil"/>
              <w:bottom w:val="nil"/>
              <w:right w:val="nil"/>
            </w:tcBorders>
            <w:shd w:val="clear" w:color="auto" w:fill="auto"/>
            <w:noWrap/>
            <w:vAlign w:val="center"/>
            <w:hideMark/>
          </w:tcPr>
          <w:p w:rsidR="00F17649" w:rsidRPr="00F17649" w:rsidRDefault="00F17649" w:rsidP="00F17649">
            <w:pPr>
              <w:spacing w:before="0" w:after="0"/>
              <w:jc w:val="center"/>
              <w:rPr>
                <w:rFonts w:eastAsia="Times New Roman" w:cs="Times New Roman"/>
                <w:color w:val="000000"/>
                <w:sz w:val="18"/>
                <w:szCs w:val="18"/>
                <w:lang w:eastAsia="cs-CZ"/>
              </w:rPr>
            </w:pPr>
            <w:r w:rsidRPr="00F17649">
              <w:rPr>
                <w:rFonts w:eastAsia="Times New Roman" w:cs="Times New Roman"/>
                <w:color w:val="000000"/>
                <w:sz w:val="18"/>
                <w:szCs w:val="18"/>
                <w:lang w:eastAsia="cs-CZ"/>
              </w:rPr>
              <w:t>12</w:t>
            </w:r>
          </w:p>
        </w:tc>
        <w:tc>
          <w:tcPr>
            <w:tcW w:w="708" w:type="dxa"/>
            <w:tcBorders>
              <w:top w:val="nil"/>
              <w:left w:val="nil"/>
              <w:bottom w:val="nil"/>
              <w:right w:val="nil"/>
            </w:tcBorders>
            <w:shd w:val="clear" w:color="auto" w:fill="auto"/>
            <w:noWrap/>
            <w:vAlign w:val="center"/>
            <w:hideMark/>
          </w:tcPr>
          <w:p w:rsidR="00F17649" w:rsidRPr="00F17649" w:rsidRDefault="00F17649" w:rsidP="00F17649">
            <w:pPr>
              <w:spacing w:before="0" w:after="0"/>
              <w:jc w:val="center"/>
              <w:rPr>
                <w:rFonts w:eastAsia="Times New Roman" w:cs="Times New Roman"/>
                <w:color w:val="000000"/>
                <w:sz w:val="18"/>
                <w:szCs w:val="18"/>
                <w:lang w:eastAsia="cs-CZ"/>
              </w:rPr>
            </w:pPr>
            <w:r w:rsidRPr="00F17649">
              <w:rPr>
                <w:rFonts w:eastAsia="Times New Roman" w:cs="Times New Roman"/>
                <w:color w:val="000000"/>
                <w:sz w:val="18"/>
                <w:szCs w:val="18"/>
                <w:lang w:eastAsia="cs-CZ"/>
              </w:rPr>
              <w:t>1</w:t>
            </w:r>
          </w:p>
        </w:tc>
        <w:tc>
          <w:tcPr>
            <w:tcW w:w="851" w:type="dxa"/>
            <w:tcBorders>
              <w:top w:val="nil"/>
              <w:left w:val="nil"/>
              <w:bottom w:val="nil"/>
              <w:right w:val="nil"/>
            </w:tcBorders>
            <w:shd w:val="clear" w:color="auto" w:fill="auto"/>
            <w:noWrap/>
            <w:vAlign w:val="center"/>
            <w:hideMark/>
          </w:tcPr>
          <w:p w:rsidR="00F17649" w:rsidRPr="00F17649" w:rsidRDefault="00F17649" w:rsidP="00F17649">
            <w:pPr>
              <w:spacing w:before="0" w:after="0"/>
              <w:jc w:val="center"/>
              <w:rPr>
                <w:rFonts w:eastAsia="Times New Roman" w:cs="Times New Roman"/>
                <w:b/>
                <w:color w:val="000000"/>
                <w:sz w:val="18"/>
                <w:szCs w:val="18"/>
                <w:lang w:eastAsia="cs-CZ"/>
              </w:rPr>
            </w:pPr>
            <w:r w:rsidRPr="00F17649">
              <w:rPr>
                <w:rFonts w:eastAsia="Times New Roman" w:cs="Times New Roman"/>
                <w:b/>
                <w:color w:val="000000"/>
                <w:sz w:val="18"/>
                <w:szCs w:val="18"/>
                <w:lang w:eastAsia="cs-CZ"/>
              </w:rPr>
              <w:t>13</w:t>
            </w:r>
          </w:p>
        </w:tc>
      </w:tr>
      <w:tr w:rsidR="00F17649" w:rsidRPr="00F17649" w:rsidTr="005C45B3">
        <w:trPr>
          <w:cantSplit/>
          <w:trHeight w:val="340"/>
        </w:trPr>
        <w:tc>
          <w:tcPr>
            <w:tcW w:w="5544" w:type="dxa"/>
            <w:tcBorders>
              <w:top w:val="nil"/>
              <w:left w:val="nil"/>
              <w:bottom w:val="nil"/>
              <w:right w:val="nil"/>
            </w:tcBorders>
            <w:shd w:val="clear" w:color="auto" w:fill="auto"/>
            <w:noWrap/>
            <w:vAlign w:val="center"/>
            <w:hideMark/>
          </w:tcPr>
          <w:p w:rsidR="00F17649" w:rsidRPr="00F17649" w:rsidRDefault="00F17649" w:rsidP="00F17649">
            <w:pPr>
              <w:spacing w:before="0" w:after="0"/>
              <w:jc w:val="left"/>
              <w:rPr>
                <w:rFonts w:eastAsia="Times New Roman" w:cs="Times New Roman"/>
                <w:color w:val="000000"/>
                <w:sz w:val="18"/>
                <w:szCs w:val="18"/>
                <w:lang w:eastAsia="cs-CZ"/>
              </w:rPr>
            </w:pPr>
            <w:r w:rsidRPr="00F17649">
              <w:rPr>
                <w:rFonts w:eastAsia="Times New Roman" w:cs="Times New Roman"/>
                <w:color w:val="000000"/>
                <w:sz w:val="18"/>
                <w:szCs w:val="18"/>
                <w:lang w:eastAsia="cs-CZ"/>
              </w:rPr>
              <w:t>AIRBUS</w:t>
            </w:r>
            <w:r w:rsidRPr="00F17649">
              <w:rPr>
                <w:rFonts w:eastAsia="Times New Roman" w:cs="Times New Roman"/>
                <w:color w:val="000000"/>
                <w:sz w:val="18"/>
                <w:szCs w:val="18"/>
                <w:vertAlign w:val="superscript"/>
                <w:lang w:eastAsia="cs-CZ"/>
              </w:rPr>
              <w:footnoteReference w:id="38"/>
            </w:r>
          </w:p>
        </w:tc>
        <w:tc>
          <w:tcPr>
            <w:tcW w:w="1276" w:type="dxa"/>
            <w:tcBorders>
              <w:top w:val="nil"/>
              <w:left w:val="nil"/>
              <w:bottom w:val="nil"/>
              <w:right w:val="nil"/>
            </w:tcBorders>
            <w:shd w:val="clear" w:color="auto" w:fill="auto"/>
            <w:noWrap/>
            <w:vAlign w:val="center"/>
            <w:hideMark/>
          </w:tcPr>
          <w:p w:rsidR="00F17649" w:rsidRPr="00F17649" w:rsidRDefault="00F17649" w:rsidP="00F17649">
            <w:pPr>
              <w:spacing w:before="0" w:after="0"/>
              <w:jc w:val="left"/>
              <w:rPr>
                <w:rFonts w:eastAsia="Times New Roman" w:cs="Times New Roman"/>
                <w:color w:val="000000"/>
                <w:sz w:val="18"/>
                <w:szCs w:val="18"/>
                <w:lang w:eastAsia="cs-CZ"/>
              </w:rPr>
            </w:pPr>
            <w:r w:rsidRPr="00F17649">
              <w:rPr>
                <w:rFonts w:eastAsia="Times New Roman" w:cs="Times New Roman"/>
                <w:color w:val="000000"/>
                <w:sz w:val="18"/>
                <w:szCs w:val="18"/>
                <w:lang w:eastAsia="cs-CZ"/>
              </w:rPr>
              <w:t>Francie</w:t>
            </w:r>
          </w:p>
        </w:tc>
        <w:tc>
          <w:tcPr>
            <w:tcW w:w="709" w:type="dxa"/>
            <w:tcBorders>
              <w:top w:val="nil"/>
              <w:left w:val="nil"/>
              <w:bottom w:val="nil"/>
              <w:right w:val="nil"/>
            </w:tcBorders>
            <w:shd w:val="clear" w:color="auto" w:fill="auto"/>
            <w:noWrap/>
            <w:vAlign w:val="center"/>
            <w:hideMark/>
          </w:tcPr>
          <w:p w:rsidR="00F17649" w:rsidRPr="00F17649" w:rsidRDefault="00F17649" w:rsidP="00F17649">
            <w:pPr>
              <w:spacing w:before="0" w:after="0"/>
              <w:jc w:val="center"/>
              <w:rPr>
                <w:rFonts w:eastAsia="Times New Roman" w:cs="Times New Roman"/>
                <w:color w:val="000000"/>
                <w:sz w:val="18"/>
                <w:szCs w:val="18"/>
                <w:lang w:eastAsia="cs-CZ"/>
              </w:rPr>
            </w:pPr>
            <w:r w:rsidRPr="00F17649">
              <w:rPr>
                <w:rFonts w:eastAsia="Times New Roman" w:cs="Times New Roman"/>
                <w:color w:val="000000"/>
                <w:sz w:val="18"/>
                <w:szCs w:val="18"/>
                <w:lang w:eastAsia="cs-CZ"/>
              </w:rPr>
              <w:t>12</w:t>
            </w:r>
          </w:p>
        </w:tc>
        <w:tc>
          <w:tcPr>
            <w:tcW w:w="708" w:type="dxa"/>
            <w:tcBorders>
              <w:top w:val="nil"/>
              <w:left w:val="nil"/>
              <w:bottom w:val="nil"/>
              <w:right w:val="nil"/>
            </w:tcBorders>
            <w:shd w:val="clear" w:color="auto" w:fill="auto"/>
            <w:noWrap/>
            <w:vAlign w:val="center"/>
            <w:hideMark/>
          </w:tcPr>
          <w:p w:rsidR="00F17649" w:rsidRPr="00F17649" w:rsidRDefault="00F17649" w:rsidP="00F17649">
            <w:pPr>
              <w:spacing w:before="0" w:after="0"/>
              <w:jc w:val="center"/>
              <w:rPr>
                <w:rFonts w:eastAsia="Times New Roman" w:cs="Times New Roman"/>
                <w:color w:val="000000"/>
                <w:sz w:val="18"/>
                <w:szCs w:val="18"/>
                <w:lang w:eastAsia="cs-CZ"/>
              </w:rPr>
            </w:pPr>
          </w:p>
        </w:tc>
        <w:tc>
          <w:tcPr>
            <w:tcW w:w="851" w:type="dxa"/>
            <w:tcBorders>
              <w:top w:val="nil"/>
              <w:left w:val="nil"/>
              <w:bottom w:val="nil"/>
              <w:right w:val="nil"/>
            </w:tcBorders>
            <w:shd w:val="clear" w:color="auto" w:fill="auto"/>
            <w:noWrap/>
            <w:vAlign w:val="center"/>
            <w:hideMark/>
          </w:tcPr>
          <w:p w:rsidR="00F17649" w:rsidRPr="00F17649" w:rsidRDefault="00F17649" w:rsidP="00F17649">
            <w:pPr>
              <w:spacing w:before="0" w:after="0"/>
              <w:jc w:val="center"/>
              <w:rPr>
                <w:rFonts w:eastAsia="Times New Roman" w:cs="Times New Roman"/>
                <w:b/>
                <w:color w:val="000000"/>
                <w:sz w:val="18"/>
                <w:szCs w:val="18"/>
                <w:lang w:eastAsia="cs-CZ"/>
              </w:rPr>
            </w:pPr>
            <w:r w:rsidRPr="00F17649">
              <w:rPr>
                <w:rFonts w:eastAsia="Times New Roman" w:cs="Times New Roman"/>
                <w:b/>
                <w:color w:val="000000"/>
                <w:sz w:val="18"/>
                <w:szCs w:val="18"/>
                <w:lang w:eastAsia="cs-CZ"/>
              </w:rPr>
              <w:t>12</w:t>
            </w:r>
          </w:p>
        </w:tc>
      </w:tr>
      <w:tr w:rsidR="00F17649" w:rsidRPr="00F17649" w:rsidTr="005C45B3">
        <w:trPr>
          <w:cantSplit/>
          <w:trHeight w:val="340"/>
        </w:trPr>
        <w:tc>
          <w:tcPr>
            <w:tcW w:w="5544" w:type="dxa"/>
            <w:tcBorders>
              <w:top w:val="nil"/>
              <w:left w:val="nil"/>
              <w:bottom w:val="nil"/>
              <w:right w:val="nil"/>
            </w:tcBorders>
            <w:shd w:val="clear" w:color="auto" w:fill="auto"/>
            <w:noWrap/>
            <w:vAlign w:val="center"/>
            <w:hideMark/>
          </w:tcPr>
          <w:p w:rsidR="00F17649" w:rsidRPr="00F17649" w:rsidRDefault="00F17649" w:rsidP="00F17649">
            <w:pPr>
              <w:spacing w:before="0" w:after="0"/>
              <w:jc w:val="left"/>
              <w:rPr>
                <w:rFonts w:eastAsia="Times New Roman" w:cs="Times New Roman"/>
                <w:color w:val="000000"/>
                <w:sz w:val="18"/>
                <w:szCs w:val="18"/>
                <w:lang w:eastAsia="cs-CZ"/>
              </w:rPr>
            </w:pPr>
            <w:r w:rsidRPr="00F17649">
              <w:rPr>
                <w:rFonts w:eastAsia="Times New Roman" w:cs="Times New Roman"/>
                <w:color w:val="000000"/>
                <w:sz w:val="18"/>
                <w:szCs w:val="18"/>
                <w:lang w:eastAsia="cs-CZ"/>
              </w:rPr>
              <w:t>ATOS SPAIN SA</w:t>
            </w:r>
          </w:p>
        </w:tc>
        <w:tc>
          <w:tcPr>
            <w:tcW w:w="1276" w:type="dxa"/>
            <w:tcBorders>
              <w:top w:val="nil"/>
              <w:left w:val="nil"/>
              <w:bottom w:val="nil"/>
              <w:right w:val="nil"/>
            </w:tcBorders>
            <w:shd w:val="clear" w:color="auto" w:fill="auto"/>
            <w:noWrap/>
            <w:vAlign w:val="center"/>
            <w:hideMark/>
          </w:tcPr>
          <w:p w:rsidR="00F17649" w:rsidRPr="00F17649" w:rsidRDefault="00F17649" w:rsidP="00F17649">
            <w:pPr>
              <w:spacing w:before="0" w:after="0"/>
              <w:jc w:val="left"/>
              <w:rPr>
                <w:rFonts w:eastAsia="Times New Roman" w:cs="Times New Roman"/>
                <w:color w:val="000000"/>
                <w:sz w:val="18"/>
                <w:szCs w:val="18"/>
                <w:lang w:eastAsia="cs-CZ"/>
              </w:rPr>
            </w:pPr>
            <w:r w:rsidRPr="00F17649">
              <w:rPr>
                <w:rFonts w:eastAsia="Times New Roman" w:cs="Times New Roman"/>
                <w:color w:val="000000"/>
                <w:sz w:val="18"/>
                <w:szCs w:val="18"/>
                <w:lang w:eastAsia="cs-CZ"/>
              </w:rPr>
              <w:t>Španělsko</w:t>
            </w:r>
          </w:p>
        </w:tc>
        <w:tc>
          <w:tcPr>
            <w:tcW w:w="709" w:type="dxa"/>
            <w:tcBorders>
              <w:top w:val="nil"/>
              <w:left w:val="nil"/>
              <w:bottom w:val="nil"/>
              <w:right w:val="nil"/>
            </w:tcBorders>
            <w:shd w:val="clear" w:color="auto" w:fill="auto"/>
            <w:noWrap/>
            <w:vAlign w:val="center"/>
            <w:hideMark/>
          </w:tcPr>
          <w:p w:rsidR="00F17649" w:rsidRPr="00F17649" w:rsidRDefault="00F17649" w:rsidP="00F17649">
            <w:pPr>
              <w:spacing w:before="0" w:after="0"/>
              <w:jc w:val="center"/>
              <w:rPr>
                <w:rFonts w:eastAsia="Times New Roman" w:cs="Times New Roman"/>
                <w:color w:val="000000"/>
                <w:sz w:val="18"/>
                <w:szCs w:val="18"/>
                <w:lang w:eastAsia="cs-CZ"/>
              </w:rPr>
            </w:pPr>
            <w:r w:rsidRPr="00F17649">
              <w:rPr>
                <w:rFonts w:eastAsia="Times New Roman" w:cs="Times New Roman"/>
                <w:color w:val="000000"/>
                <w:sz w:val="18"/>
                <w:szCs w:val="18"/>
                <w:lang w:eastAsia="cs-CZ"/>
              </w:rPr>
              <w:t>6</w:t>
            </w:r>
          </w:p>
        </w:tc>
        <w:tc>
          <w:tcPr>
            <w:tcW w:w="708" w:type="dxa"/>
            <w:tcBorders>
              <w:top w:val="nil"/>
              <w:left w:val="nil"/>
              <w:bottom w:val="nil"/>
              <w:right w:val="nil"/>
            </w:tcBorders>
            <w:shd w:val="clear" w:color="auto" w:fill="auto"/>
            <w:noWrap/>
            <w:vAlign w:val="center"/>
            <w:hideMark/>
          </w:tcPr>
          <w:p w:rsidR="00F17649" w:rsidRPr="00F17649" w:rsidRDefault="00F17649" w:rsidP="00F17649">
            <w:pPr>
              <w:spacing w:before="0" w:after="0"/>
              <w:jc w:val="center"/>
              <w:rPr>
                <w:rFonts w:eastAsia="Times New Roman" w:cs="Times New Roman"/>
                <w:color w:val="000000"/>
                <w:sz w:val="18"/>
                <w:szCs w:val="18"/>
                <w:lang w:eastAsia="cs-CZ"/>
              </w:rPr>
            </w:pPr>
            <w:r w:rsidRPr="00F17649">
              <w:rPr>
                <w:rFonts w:eastAsia="Times New Roman" w:cs="Times New Roman"/>
                <w:color w:val="000000"/>
                <w:sz w:val="18"/>
                <w:szCs w:val="18"/>
                <w:lang w:eastAsia="cs-CZ"/>
              </w:rPr>
              <w:t>2</w:t>
            </w:r>
          </w:p>
        </w:tc>
        <w:tc>
          <w:tcPr>
            <w:tcW w:w="851" w:type="dxa"/>
            <w:tcBorders>
              <w:top w:val="nil"/>
              <w:left w:val="nil"/>
              <w:bottom w:val="nil"/>
              <w:right w:val="nil"/>
            </w:tcBorders>
            <w:shd w:val="clear" w:color="auto" w:fill="auto"/>
            <w:noWrap/>
            <w:vAlign w:val="center"/>
            <w:hideMark/>
          </w:tcPr>
          <w:p w:rsidR="00F17649" w:rsidRPr="00F17649" w:rsidRDefault="00F17649" w:rsidP="00F17649">
            <w:pPr>
              <w:spacing w:before="0" w:after="0"/>
              <w:jc w:val="center"/>
              <w:rPr>
                <w:rFonts w:eastAsia="Times New Roman" w:cs="Times New Roman"/>
                <w:b/>
                <w:color w:val="000000"/>
                <w:sz w:val="18"/>
                <w:szCs w:val="18"/>
                <w:lang w:eastAsia="cs-CZ"/>
              </w:rPr>
            </w:pPr>
            <w:r w:rsidRPr="00F17649">
              <w:rPr>
                <w:rFonts w:eastAsia="Times New Roman" w:cs="Times New Roman"/>
                <w:b/>
                <w:color w:val="000000"/>
                <w:sz w:val="18"/>
                <w:szCs w:val="18"/>
                <w:lang w:eastAsia="cs-CZ"/>
              </w:rPr>
              <w:t>8</w:t>
            </w:r>
          </w:p>
        </w:tc>
      </w:tr>
      <w:tr w:rsidR="00F17649" w:rsidRPr="00F17649" w:rsidTr="005C45B3">
        <w:trPr>
          <w:cantSplit/>
          <w:trHeight w:val="340"/>
        </w:trPr>
        <w:tc>
          <w:tcPr>
            <w:tcW w:w="5544" w:type="dxa"/>
            <w:tcBorders>
              <w:top w:val="nil"/>
              <w:left w:val="nil"/>
              <w:bottom w:val="nil"/>
              <w:right w:val="nil"/>
            </w:tcBorders>
            <w:shd w:val="clear" w:color="auto" w:fill="auto"/>
            <w:noWrap/>
            <w:vAlign w:val="center"/>
            <w:hideMark/>
          </w:tcPr>
          <w:p w:rsidR="00F17649" w:rsidRPr="00F17649" w:rsidRDefault="00F17649" w:rsidP="00F17649">
            <w:pPr>
              <w:spacing w:before="0" w:after="0"/>
              <w:jc w:val="left"/>
              <w:rPr>
                <w:rFonts w:eastAsia="Times New Roman" w:cs="Times New Roman"/>
                <w:color w:val="000000"/>
                <w:sz w:val="18"/>
                <w:szCs w:val="18"/>
                <w:lang w:eastAsia="cs-CZ"/>
              </w:rPr>
            </w:pPr>
            <w:r w:rsidRPr="00F17649">
              <w:rPr>
                <w:rFonts w:eastAsia="Times New Roman" w:cs="Times New Roman"/>
                <w:color w:val="000000"/>
                <w:sz w:val="18"/>
                <w:szCs w:val="18"/>
                <w:lang w:eastAsia="cs-CZ"/>
              </w:rPr>
              <w:lastRenderedPageBreak/>
              <w:t>COMMISSARIAT A L ENERGIE ATOMIQUE ET AUX ENERGIES ALTERNATIVES</w:t>
            </w:r>
          </w:p>
        </w:tc>
        <w:tc>
          <w:tcPr>
            <w:tcW w:w="1276" w:type="dxa"/>
            <w:tcBorders>
              <w:top w:val="nil"/>
              <w:left w:val="nil"/>
              <w:bottom w:val="nil"/>
              <w:right w:val="nil"/>
            </w:tcBorders>
            <w:shd w:val="clear" w:color="auto" w:fill="auto"/>
            <w:noWrap/>
            <w:vAlign w:val="center"/>
            <w:hideMark/>
          </w:tcPr>
          <w:p w:rsidR="00F17649" w:rsidRPr="00F17649" w:rsidRDefault="00F17649" w:rsidP="00F17649">
            <w:pPr>
              <w:spacing w:before="0" w:after="0"/>
              <w:jc w:val="left"/>
              <w:rPr>
                <w:rFonts w:eastAsia="Times New Roman" w:cs="Times New Roman"/>
                <w:color w:val="000000"/>
                <w:sz w:val="18"/>
                <w:szCs w:val="18"/>
                <w:lang w:eastAsia="cs-CZ"/>
              </w:rPr>
            </w:pPr>
            <w:r w:rsidRPr="00F17649">
              <w:rPr>
                <w:rFonts w:eastAsia="Times New Roman" w:cs="Times New Roman"/>
                <w:color w:val="000000"/>
                <w:sz w:val="18"/>
                <w:szCs w:val="18"/>
                <w:lang w:eastAsia="cs-CZ"/>
              </w:rPr>
              <w:t>Francie</w:t>
            </w:r>
          </w:p>
        </w:tc>
        <w:tc>
          <w:tcPr>
            <w:tcW w:w="709" w:type="dxa"/>
            <w:tcBorders>
              <w:top w:val="nil"/>
              <w:left w:val="nil"/>
              <w:bottom w:val="nil"/>
              <w:right w:val="nil"/>
            </w:tcBorders>
            <w:shd w:val="clear" w:color="auto" w:fill="auto"/>
            <w:noWrap/>
            <w:vAlign w:val="center"/>
            <w:hideMark/>
          </w:tcPr>
          <w:p w:rsidR="00F17649" w:rsidRPr="00F17649" w:rsidRDefault="00F17649" w:rsidP="00F17649">
            <w:pPr>
              <w:spacing w:before="0" w:after="0"/>
              <w:jc w:val="center"/>
              <w:rPr>
                <w:rFonts w:eastAsia="Times New Roman" w:cs="Times New Roman"/>
                <w:color w:val="000000"/>
                <w:sz w:val="18"/>
                <w:szCs w:val="18"/>
                <w:lang w:eastAsia="cs-CZ"/>
              </w:rPr>
            </w:pPr>
            <w:r w:rsidRPr="00F17649">
              <w:rPr>
                <w:rFonts w:eastAsia="Times New Roman" w:cs="Times New Roman"/>
                <w:color w:val="000000"/>
                <w:sz w:val="18"/>
                <w:szCs w:val="18"/>
                <w:lang w:eastAsia="cs-CZ"/>
              </w:rPr>
              <w:t>6</w:t>
            </w:r>
          </w:p>
        </w:tc>
        <w:tc>
          <w:tcPr>
            <w:tcW w:w="708" w:type="dxa"/>
            <w:tcBorders>
              <w:top w:val="nil"/>
              <w:left w:val="nil"/>
              <w:bottom w:val="nil"/>
              <w:right w:val="nil"/>
            </w:tcBorders>
            <w:shd w:val="clear" w:color="auto" w:fill="auto"/>
            <w:noWrap/>
            <w:vAlign w:val="center"/>
            <w:hideMark/>
          </w:tcPr>
          <w:p w:rsidR="00F17649" w:rsidRPr="00F17649" w:rsidRDefault="00F17649" w:rsidP="00F17649">
            <w:pPr>
              <w:spacing w:before="0" w:after="0"/>
              <w:jc w:val="center"/>
              <w:rPr>
                <w:rFonts w:eastAsia="Times New Roman" w:cs="Times New Roman"/>
                <w:color w:val="000000"/>
                <w:sz w:val="18"/>
                <w:szCs w:val="18"/>
                <w:lang w:eastAsia="cs-CZ"/>
              </w:rPr>
            </w:pPr>
            <w:r w:rsidRPr="00F17649">
              <w:rPr>
                <w:rFonts w:eastAsia="Times New Roman" w:cs="Times New Roman"/>
                <w:color w:val="000000"/>
                <w:sz w:val="18"/>
                <w:szCs w:val="18"/>
                <w:lang w:eastAsia="cs-CZ"/>
              </w:rPr>
              <w:t>1</w:t>
            </w:r>
          </w:p>
        </w:tc>
        <w:tc>
          <w:tcPr>
            <w:tcW w:w="851" w:type="dxa"/>
            <w:tcBorders>
              <w:top w:val="nil"/>
              <w:left w:val="nil"/>
              <w:bottom w:val="nil"/>
              <w:right w:val="nil"/>
            </w:tcBorders>
            <w:shd w:val="clear" w:color="auto" w:fill="auto"/>
            <w:noWrap/>
            <w:vAlign w:val="center"/>
            <w:hideMark/>
          </w:tcPr>
          <w:p w:rsidR="00F17649" w:rsidRPr="00F17649" w:rsidRDefault="00F17649" w:rsidP="00F17649">
            <w:pPr>
              <w:spacing w:before="0" w:after="0"/>
              <w:jc w:val="center"/>
              <w:rPr>
                <w:rFonts w:eastAsia="Times New Roman" w:cs="Times New Roman"/>
                <w:b/>
                <w:color w:val="000000"/>
                <w:sz w:val="18"/>
                <w:szCs w:val="18"/>
                <w:lang w:eastAsia="cs-CZ"/>
              </w:rPr>
            </w:pPr>
            <w:r w:rsidRPr="00F17649">
              <w:rPr>
                <w:rFonts w:eastAsia="Times New Roman" w:cs="Times New Roman"/>
                <w:b/>
                <w:color w:val="000000"/>
                <w:sz w:val="18"/>
                <w:szCs w:val="18"/>
                <w:lang w:eastAsia="cs-CZ"/>
              </w:rPr>
              <w:t>7</w:t>
            </w:r>
          </w:p>
        </w:tc>
      </w:tr>
      <w:tr w:rsidR="00F17649" w:rsidRPr="00F17649" w:rsidTr="005C45B3">
        <w:trPr>
          <w:cantSplit/>
          <w:trHeight w:val="340"/>
        </w:trPr>
        <w:tc>
          <w:tcPr>
            <w:tcW w:w="5544" w:type="dxa"/>
            <w:tcBorders>
              <w:top w:val="nil"/>
              <w:left w:val="nil"/>
              <w:bottom w:val="nil"/>
              <w:right w:val="nil"/>
            </w:tcBorders>
            <w:shd w:val="clear" w:color="auto" w:fill="auto"/>
            <w:noWrap/>
            <w:vAlign w:val="center"/>
            <w:hideMark/>
          </w:tcPr>
          <w:p w:rsidR="00F17649" w:rsidRPr="00F17649" w:rsidRDefault="00F17649" w:rsidP="00F17649">
            <w:pPr>
              <w:spacing w:before="0" w:after="0"/>
              <w:jc w:val="left"/>
              <w:rPr>
                <w:rFonts w:eastAsia="Times New Roman" w:cs="Times New Roman"/>
                <w:color w:val="000000"/>
                <w:sz w:val="18"/>
                <w:szCs w:val="18"/>
                <w:lang w:eastAsia="cs-CZ"/>
              </w:rPr>
            </w:pPr>
            <w:r w:rsidRPr="00F17649">
              <w:rPr>
                <w:rFonts w:eastAsia="Times New Roman" w:cs="Times New Roman"/>
                <w:color w:val="000000"/>
                <w:sz w:val="18"/>
                <w:szCs w:val="18"/>
                <w:lang w:eastAsia="cs-CZ"/>
              </w:rPr>
              <w:t>CONSIGLIO NAZIONALE DELLE RICERCHE</w:t>
            </w:r>
          </w:p>
        </w:tc>
        <w:tc>
          <w:tcPr>
            <w:tcW w:w="1276" w:type="dxa"/>
            <w:tcBorders>
              <w:top w:val="nil"/>
              <w:left w:val="nil"/>
              <w:bottom w:val="nil"/>
              <w:right w:val="nil"/>
            </w:tcBorders>
            <w:shd w:val="clear" w:color="auto" w:fill="auto"/>
            <w:noWrap/>
            <w:vAlign w:val="center"/>
            <w:hideMark/>
          </w:tcPr>
          <w:p w:rsidR="00F17649" w:rsidRPr="00F17649" w:rsidRDefault="00F17649" w:rsidP="00F17649">
            <w:pPr>
              <w:spacing w:before="0" w:after="0"/>
              <w:jc w:val="left"/>
              <w:rPr>
                <w:rFonts w:eastAsia="Times New Roman" w:cs="Times New Roman"/>
                <w:color w:val="000000"/>
                <w:sz w:val="18"/>
                <w:szCs w:val="18"/>
                <w:lang w:eastAsia="cs-CZ"/>
              </w:rPr>
            </w:pPr>
            <w:r w:rsidRPr="00F17649">
              <w:rPr>
                <w:rFonts w:eastAsia="Times New Roman" w:cs="Times New Roman"/>
                <w:color w:val="000000"/>
                <w:sz w:val="18"/>
                <w:szCs w:val="18"/>
                <w:lang w:eastAsia="cs-CZ"/>
              </w:rPr>
              <w:t>Itálie</w:t>
            </w:r>
          </w:p>
        </w:tc>
        <w:tc>
          <w:tcPr>
            <w:tcW w:w="709" w:type="dxa"/>
            <w:tcBorders>
              <w:top w:val="nil"/>
              <w:left w:val="nil"/>
              <w:bottom w:val="nil"/>
              <w:right w:val="nil"/>
            </w:tcBorders>
            <w:shd w:val="clear" w:color="auto" w:fill="auto"/>
            <w:noWrap/>
            <w:vAlign w:val="center"/>
            <w:hideMark/>
          </w:tcPr>
          <w:p w:rsidR="00F17649" w:rsidRPr="00F17649" w:rsidRDefault="00F17649" w:rsidP="00F17649">
            <w:pPr>
              <w:spacing w:before="0" w:after="0"/>
              <w:jc w:val="center"/>
              <w:rPr>
                <w:rFonts w:eastAsia="Times New Roman" w:cs="Times New Roman"/>
                <w:color w:val="000000"/>
                <w:sz w:val="18"/>
                <w:szCs w:val="18"/>
                <w:lang w:eastAsia="cs-CZ"/>
              </w:rPr>
            </w:pPr>
            <w:r w:rsidRPr="00F17649">
              <w:rPr>
                <w:rFonts w:eastAsia="Times New Roman" w:cs="Times New Roman"/>
                <w:color w:val="000000"/>
                <w:sz w:val="18"/>
                <w:szCs w:val="18"/>
                <w:lang w:eastAsia="cs-CZ"/>
              </w:rPr>
              <w:t>6</w:t>
            </w:r>
          </w:p>
        </w:tc>
        <w:tc>
          <w:tcPr>
            <w:tcW w:w="708" w:type="dxa"/>
            <w:tcBorders>
              <w:top w:val="nil"/>
              <w:left w:val="nil"/>
              <w:bottom w:val="nil"/>
              <w:right w:val="nil"/>
            </w:tcBorders>
            <w:shd w:val="clear" w:color="auto" w:fill="auto"/>
            <w:noWrap/>
            <w:vAlign w:val="center"/>
            <w:hideMark/>
          </w:tcPr>
          <w:p w:rsidR="00F17649" w:rsidRPr="00F17649" w:rsidRDefault="00F17649" w:rsidP="00F17649">
            <w:pPr>
              <w:spacing w:before="0" w:after="0"/>
              <w:jc w:val="center"/>
              <w:rPr>
                <w:rFonts w:eastAsia="Times New Roman" w:cs="Times New Roman"/>
                <w:color w:val="000000"/>
                <w:sz w:val="18"/>
                <w:szCs w:val="18"/>
                <w:lang w:eastAsia="cs-CZ"/>
              </w:rPr>
            </w:pPr>
          </w:p>
        </w:tc>
        <w:tc>
          <w:tcPr>
            <w:tcW w:w="851" w:type="dxa"/>
            <w:tcBorders>
              <w:top w:val="nil"/>
              <w:left w:val="nil"/>
              <w:bottom w:val="nil"/>
              <w:right w:val="nil"/>
            </w:tcBorders>
            <w:shd w:val="clear" w:color="auto" w:fill="auto"/>
            <w:noWrap/>
            <w:vAlign w:val="center"/>
            <w:hideMark/>
          </w:tcPr>
          <w:p w:rsidR="00F17649" w:rsidRPr="00F17649" w:rsidRDefault="00F17649" w:rsidP="00F17649">
            <w:pPr>
              <w:spacing w:before="0" w:after="0"/>
              <w:jc w:val="center"/>
              <w:rPr>
                <w:rFonts w:eastAsia="Times New Roman" w:cs="Times New Roman"/>
                <w:b/>
                <w:color w:val="000000"/>
                <w:sz w:val="18"/>
                <w:szCs w:val="18"/>
                <w:lang w:eastAsia="cs-CZ"/>
              </w:rPr>
            </w:pPr>
            <w:r w:rsidRPr="00F17649">
              <w:rPr>
                <w:rFonts w:eastAsia="Times New Roman" w:cs="Times New Roman"/>
                <w:b/>
                <w:color w:val="000000"/>
                <w:sz w:val="18"/>
                <w:szCs w:val="18"/>
                <w:lang w:eastAsia="cs-CZ"/>
              </w:rPr>
              <w:t>6</w:t>
            </w:r>
          </w:p>
        </w:tc>
      </w:tr>
      <w:tr w:rsidR="00F17649" w:rsidRPr="00F17649" w:rsidTr="005C45B3">
        <w:trPr>
          <w:cantSplit/>
          <w:trHeight w:val="340"/>
        </w:trPr>
        <w:tc>
          <w:tcPr>
            <w:tcW w:w="5544" w:type="dxa"/>
            <w:tcBorders>
              <w:top w:val="nil"/>
              <w:left w:val="nil"/>
              <w:bottom w:val="nil"/>
              <w:right w:val="nil"/>
            </w:tcBorders>
            <w:shd w:val="clear" w:color="auto" w:fill="auto"/>
            <w:noWrap/>
            <w:vAlign w:val="center"/>
            <w:hideMark/>
          </w:tcPr>
          <w:p w:rsidR="00F17649" w:rsidRPr="00F17649" w:rsidRDefault="00F17649" w:rsidP="00F17649">
            <w:pPr>
              <w:spacing w:before="0" w:after="0"/>
              <w:jc w:val="left"/>
              <w:rPr>
                <w:rFonts w:eastAsia="Times New Roman" w:cs="Times New Roman"/>
                <w:color w:val="000000"/>
                <w:sz w:val="18"/>
                <w:szCs w:val="18"/>
                <w:lang w:eastAsia="cs-CZ"/>
              </w:rPr>
            </w:pPr>
            <w:r w:rsidRPr="00F17649">
              <w:rPr>
                <w:rFonts w:eastAsia="Times New Roman" w:cs="Times New Roman"/>
                <w:color w:val="000000"/>
                <w:sz w:val="18"/>
                <w:szCs w:val="18"/>
                <w:lang w:eastAsia="cs-CZ"/>
              </w:rPr>
              <w:t>NEDERLANDSE ORGANISATIE VOOR TOEGEPAST NATUURWETENSCHAPPELIJK ONDERZOEK TNO</w:t>
            </w:r>
          </w:p>
        </w:tc>
        <w:tc>
          <w:tcPr>
            <w:tcW w:w="1276" w:type="dxa"/>
            <w:tcBorders>
              <w:top w:val="nil"/>
              <w:left w:val="nil"/>
              <w:bottom w:val="nil"/>
              <w:right w:val="nil"/>
            </w:tcBorders>
            <w:shd w:val="clear" w:color="auto" w:fill="auto"/>
            <w:noWrap/>
            <w:vAlign w:val="center"/>
            <w:hideMark/>
          </w:tcPr>
          <w:p w:rsidR="00F17649" w:rsidRPr="00F17649" w:rsidRDefault="00F17649" w:rsidP="00F17649">
            <w:pPr>
              <w:spacing w:before="0" w:after="0"/>
              <w:jc w:val="left"/>
              <w:rPr>
                <w:rFonts w:eastAsia="Times New Roman" w:cs="Times New Roman"/>
                <w:color w:val="000000"/>
                <w:sz w:val="18"/>
                <w:szCs w:val="18"/>
                <w:lang w:eastAsia="cs-CZ"/>
              </w:rPr>
            </w:pPr>
            <w:r w:rsidRPr="00F17649">
              <w:rPr>
                <w:rFonts w:eastAsia="Times New Roman" w:cs="Times New Roman"/>
                <w:color w:val="000000"/>
                <w:sz w:val="18"/>
                <w:szCs w:val="18"/>
                <w:lang w:eastAsia="cs-CZ"/>
              </w:rPr>
              <w:t>Nizozemsko</w:t>
            </w:r>
          </w:p>
        </w:tc>
        <w:tc>
          <w:tcPr>
            <w:tcW w:w="709" w:type="dxa"/>
            <w:tcBorders>
              <w:top w:val="nil"/>
              <w:left w:val="nil"/>
              <w:bottom w:val="nil"/>
              <w:right w:val="nil"/>
            </w:tcBorders>
            <w:shd w:val="clear" w:color="auto" w:fill="auto"/>
            <w:noWrap/>
            <w:vAlign w:val="center"/>
            <w:hideMark/>
          </w:tcPr>
          <w:p w:rsidR="00F17649" w:rsidRPr="00F17649" w:rsidRDefault="00F17649" w:rsidP="00F17649">
            <w:pPr>
              <w:spacing w:before="0" w:after="0"/>
              <w:jc w:val="center"/>
              <w:rPr>
                <w:rFonts w:eastAsia="Times New Roman" w:cs="Times New Roman"/>
                <w:color w:val="000000"/>
                <w:sz w:val="18"/>
                <w:szCs w:val="18"/>
                <w:lang w:eastAsia="cs-CZ"/>
              </w:rPr>
            </w:pPr>
            <w:r w:rsidRPr="00F17649">
              <w:rPr>
                <w:rFonts w:eastAsia="Times New Roman" w:cs="Times New Roman"/>
                <w:color w:val="000000"/>
                <w:sz w:val="18"/>
                <w:szCs w:val="18"/>
                <w:lang w:eastAsia="cs-CZ"/>
              </w:rPr>
              <w:t>6</w:t>
            </w:r>
          </w:p>
        </w:tc>
        <w:tc>
          <w:tcPr>
            <w:tcW w:w="708" w:type="dxa"/>
            <w:tcBorders>
              <w:top w:val="nil"/>
              <w:left w:val="nil"/>
              <w:bottom w:val="nil"/>
              <w:right w:val="nil"/>
            </w:tcBorders>
            <w:shd w:val="clear" w:color="auto" w:fill="auto"/>
            <w:noWrap/>
            <w:vAlign w:val="center"/>
            <w:hideMark/>
          </w:tcPr>
          <w:p w:rsidR="00F17649" w:rsidRPr="00F17649" w:rsidRDefault="00F17649" w:rsidP="00F17649">
            <w:pPr>
              <w:spacing w:before="0" w:after="0"/>
              <w:jc w:val="center"/>
              <w:rPr>
                <w:rFonts w:eastAsia="Times New Roman" w:cs="Times New Roman"/>
                <w:color w:val="000000"/>
                <w:sz w:val="18"/>
                <w:szCs w:val="18"/>
                <w:lang w:eastAsia="cs-CZ"/>
              </w:rPr>
            </w:pPr>
          </w:p>
        </w:tc>
        <w:tc>
          <w:tcPr>
            <w:tcW w:w="851" w:type="dxa"/>
            <w:tcBorders>
              <w:top w:val="nil"/>
              <w:left w:val="nil"/>
              <w:bottom w:val="nil"/>
              <w:right w:val="nil"/>
            </w:tcBorders>
            <w:shd w:val="clear" w:color="auto" w:fill="auto"/>
            <w:noWrap/>
            <w:vAlign w:val="center"/>
            <w:hideMark/>
          </w:tcPr>
          <w:p w:rsidR="00F17649" w:rsidRPr="00F17649" w:rsidRDefault="00F17649" w:rsidP="00F17649">
            <w:pPr>
              <w:spacing w:before="0" w:after="0"/>
              <w:jc w:val="center"/>
              <w:rPr>
                <w:rFonts w:eastAsia="Times New Roman" w:cs="Times New Roman"/>
                <w:b/>
                <w:color w:val="000000"/>
                <w:sz w:val="18"/>
                <w:szCs w:val="18"/>
                <w:lang w:eastAsia="cs-CZ"/>
              </w:rPr>
            </w:pPr>
            <w:r w:rsidRPr="00F17649">
              <w:rPr>
                <w:rFonts w:eastAsia="Times New Roman" w:cs="Times New Roman"/>
                <w:b/>
                <w:color w:val="000000"/>
                <w:sz w:val="18"/>
                <w:szCs w:val="18"/>
                <w:lang w:eastAsia="cs-CZ"/>
              </w:rPr>
              <w:t>6</w:t>
            </w:r>
          </w:p>
        </w:tc>
      </w:tr>
      <w:tr w:rsidR="00F17649" w:rsidRPr="00F17649" w:rsidTr="005C45B3">
        <w:trPr>
          <w:cantSplit/>
          <w:trHeight w:val="340"/>
        </w:trPr>
        <w:tc>
          <w:tcPr>
            <w:tcW w:w="5544" w:type="dxa"/>
            <w:tcBorders>
              <w:top w:val="nil"/>
              <w:left w:val="nil"/>
              <w:bottom w:val="nil"/>
              <w:right w:val="nil"/>
            </w:tcBorders>
            <w:shd w:val="clear" w:color="auto" w:fill="auto"/>
            <w:noWrap/>
            <w:vAlign w:val="center"/>
            <w:hideMark/>
          </w:tcPr>
          <w:p w:rsidR="00F17649" w:rsidRPr="00F17649" w:rsidRDefault="00F17649" w:rsidP="00F17649">
            <w:pPr>
              <w:spacing w:before="0" w:after="0"/>
              <w:jc w:val="left"/>
              <w:rPr>
                <w:rFonts w:eastAsia="Times New Roman" w:cs="Times New Roman"/>
                <w:color w:val="000000"/>
                <w:sz w:val="18"/>
                <w:szCs w:val="18"/>
                <w:lang w:eastAsia="cs-CZ"/>
              </w:rPr>
            </w:pPr>
            <w:r w:rsidRPr="00F17649">
              <w:rPr>
                <w:rFonts w:eastAsia="Times New Roman" w:cs="Times New Roman"/>
                <w:color w:val="000000"/>
                <w:sz w:val="18"/>
                <w:szCs w:val="18"/>
                <w:lang w:eastAsia="cs-CZ"/>
              </w:rPr>
              <w:t>TOTALFORSVARETS FORSKNINGSINSTITUT</w:t>
            </w:r>
          </w:p>
        </w:tc>
        <w:tc>
          <w:tcPr>
            <w:tcW w:w="1276" w:type="dxa"/>
            <w:tcBorders>
              <w:top w:val="nil"/>
              <w:left w:val="nil"/>
              <w:bottom w:val="nil"/>
              <w:right w:val="nil"/>
            </w:tcBorders>
            <w:shd w:val="clear" w:color="auto" w:fill="auto"/>
            <w:noWrap/>
            <w:vAlign w:val="center"/>
            <w:hideMark/>
          </w:tcPr>
          <w:p w:rsidR="00F17649" w:rsidRPr="00F17649" w:rsidRDefault="00F17649" w:rsidP="00F17649">
            <w:pPr>
              <w:spacing w:before="0" w:after="0"/>
              <w:jc w:val="left"/>
              <w:rPr>
                <w:rFonts w:eastAsia="Times New Roman" w:cs="Times New Roman"/>
                <w:color w:val="000000"/>
                <w:sz w:val="18"/>
                <w:szCs w:val="18"/>
                <w:lang w:eastAsia="cs-CZ"/>
              </w:rPr>
            </w:pPr>
            <w:r w:rsidRPr="00F17649">
              <w:rPr>
                <w:rFonts w:eastAsia="Times New Roman" w:cs="Times New Roman"/>
                <w:color w:val="000000"/>
                <w:sz w:val="18"/>
                <w:szCs w:val="18"/>
                <w:lang w:eastAsia="cs-CZ"/>
              </w:rPr>
              <w:t>Švédsko</w:t>
            </w:r>
          </w:p>
        </w:tc>
        <w:tc>
          <w:tcPr>
            <w:tcW w:w="709" w:type="dxa"/>
            <w:tcBorders>
              <w:top w:val="nil"/>
              <w:left w:val="nil"/>
              <w:bottom w:val="nil"/>
              <w:right w:val="nil"/>
            </w:tcBorders>
            <w:shd w:val="clear" w:color="auto" w:fill="auto"/>
            <w:noWrap/>
            <w:vAlign w:val="center"/>
            <w:hideMark/>
          </w:tcPr>
          <w:p w:rsidR="00F17649" w:rsidRPr="00F17649" w:rsidRDefault="00F17649" w:rsidP="00F17649">
            <w:pPr>
              <w:spacing w:before="0" w:after="0"/>
              <w:jc w:val="center"/>
              <w:rPr>
                <w:rFonts w:eastAsia="Times New Roman" w:cs="Times New Roman"/>
                <w:color w:val="000000"/>
                <w:sz w:val="18"/>
                <w:szCs w:val="18"/>
                <w:lang w:eastAsia="cs-CZ"/>
              </w:rPr>
            </w:pPr>
            <w:r w:rsidRPr="00F17649">
              <w:rPr>
                <w:rFonts w:eastAsia="Times New Roman" w:cs="Times New Roman"/>
                <w:color w:val="000000"/>
                <w:sz w:val="18"/>
                <w:szCs w:val="18"/>
                <w:lang w:eastAsia="cs-CZ"/>
              </w:rPr>
              <w:t>6</w:t>
            </w:r>
          </w:p>
        </w:tc>
        <w:tc>
          <w:tcPr>
            <w:tcW w:w="708" w:type="dxa"/>
            <w:tcBorders>
              <w:top w:val="nil"/>
              <w:left w:val="nil"/>
              <w:bottom w:val="nil"/>
              <w:right w:val="nil"/>
            </w:tcBorders>
            <w:shd w:val="clear" w:color="auto" w:fill="auto"/>
            <w:noWrap/>
            <w:vAlign w:val="center"/>
            <w:hideMark/>
          </w:tcPr>
          <w:p w:rsidR="00F17649" w:rsidRPr="00F17649" w:rsidRDefault="00F17649" w:rsidP="00F17649">
            <w:pPr>
              <w:spacing w:before="0" w:after="0"/>
              <w:jc w:val="center"/>
              <w:rPr>
                <w:rFonts w:eastAsia="Times New Roman" w:cs="Times New Roman"/>
                <w:color w:val="000000"/>
                <w:sz w:val="18"/>
                <w:szCs w:val="18"/>
                <w:lang w:eastAsia="cs-CZ"/>
              </w:rPr>
            </w:pPr>
          </w:p>
        </w:tc>
        <w:tc>
          <w:tcPr>
            <w:tcW w:w="851" w:type="dxa"/>
            <w:tcBorders>
              <w:top w:val="nil"/>
              <w:left w:val="nil"/>
              <w:bottom w:val="nil"/>
              <w:right w:val="nil"/>
            </w:tcBorders>
            <w:shd w:val="clear" w:color="auto" w:fill="auto"/>
            <w:noWrap/>
            <w:vAlign w:val="center"/>
            <w:hideMark/>
          </w:tcPr>
          <w:p w:rsidR="00F17649" w:rsidRPr="00F17649" w:rsidRDefault="00F17649" w:rsidP="00F17649">
            <w:pPr>
              <w:spacing w:before="0" w:after="0"/>
              <w:jc w:val="center"/>
              <w:rPr>
                <w:rFonts w:eastAsia="Times New Roman" w:cs="Times New Roman"/>
                <w:b/>
                <w:color w:val="000000"/>
                <w:sz w:val="18"/>
                <w:szCs w:val="18"/>
                <w:lang w:eastAsia="cs-CZ"/>
              </w:rPr>
            </w:pPr>
            <w:r w:rsidRPr="00F17649">
              <w:rPr>
                <w:rFonts w:eastAsia="Times New Roman" w:cs="Times New Roman"/>
                <w:b/>
                <w:color w:val="000000"/>
                <w:sz w:val="18"/>
                <w:szCs w:val="18"/>
                <w:lang w:eastAsia="cs-CZ"/>
              </w:rPr>
              <w:t>6</w:t>
            </w:r>
          </w:p>
        </w:tc>
      </w:tr>
      <w:tr w:rsidR="00F17649" w:rsidRPr="00F17649" w:rsidTr="005C45B3">
        <w:trPr>
          <w:cantSplit/>
          <w:trHeight w:val="340"/>
        </w:trPr>
        <w:tc>
          <w:tcPr>
            <w:tcW w:w="5544" w:type="dxa"/>
            <w:tcBorders>
              <w:top w:val="nil"/>
              <w:left w:val="nil"/>
              <w:bottom w:val="nil"/>
              <w:right w:val="nil"/>
            </w:tcBorders>
            <w:shd w:val="clear" w:color="auto" w:fill="auto"/>
            <w:noWrap/>
            <w:vAlign w:val="center"/>
            <w:hideMark/>
          </w:tcPr>
          <w:p w:rsidR="00F17649" w:rsidRPr="00F17649" w:rsidRDefault="00F17649" w:rsidP="00F17649">
            <w:pPr>
              <w:spacing w:before="0" w:after="0"/>
              <w:jc w:val="left"/>
              <w:rPr>
                <w:rFonts w:eastAsia="Times New Roman" w:cs="Times New Roman"/>
                <w:color w:val="000000"/>
                <w:sz w:val="18"/>
                <w:szCs w:val="18"/>
                <w:lang w:eastAsia="cs-CZ"/>
              </w:rPr>
            </w:pPr>
            <w:r w:rsidRPr="00F17649">
              <w:rPr>
                <w:rFonts w:eastAsia="Times New Roman" w:cs="Times New Roman"/>
                <w:color w:val="000000"/>
                <w:sz w:val="18"/>
                <w:szCs w:val="18"/>
                <w:lang w:eastAsia="cs-CZ"/>
              </w:rPr>
              <w:t>AGENZIA NAZIONALE PER LE NUOVE TECNOLOGIE, L'ENERGIA E LO SVILUPPO ECONOMICO SOSTENIBILE</w:t>
            </w:r>
          </w:p>
        </w:tc>
        <w:tc>
          <w:tcPr>
            <w:tcW w:w="1276" w:type="dxa"/>
            <w:tcBorders>
              <w:top w:val="nil"/>
              <w:left w:val="nil"/>
              <w:bottom w:val="nil"/>
              <w:right w:val="nil"/>
            </w:tcBorders>
            <w:shd w:val="clear" w:color="auto" w:fill="auto"/>
            <w:noWrap/>
            <w:vAlign w:val="center"/>
            <w:hideMark/>
          </w:tcPr>
          <w:p w:rsidR="00F17649" w:rsidRPr="00F17649" w:rsidRDefault="00F17649" w:rsidP="00F17649">
            <w:pPr>
              <w:spacing w:before="0" w:after="0"/>
              <w:jc w:val="left"/>
              <w:rPr>
                <w:rFonts w:eastAsia="Times New Roman" w:cs="Times New Roman"/>
                <w:color w:val="000000"/>
                <w:sz w:val="18"/>
                <w:szCs w:val="18"/>
                <w:lang w:eastAsia="cs-CZ"/>
              </w:rPr>
            </w:pPr>
            <w:r w:rsidRPr="00F17649">
              <w:rPr>
                <w:rFonts w:eastAsia="Times New Roman" w:cs="Times New Roman"/>
                <w:color w:val="000000"/>
                <w:sz w:val="18"/>
                <w:szCs w:val="18"/>
                <w:lang w:eastAsia="cs-CZ"/>
              </w:rPr>
              <w:t>Itálie</w:t>
            </w:r>
          </w:p>
        </w:tc>
        <w:tc>
          <w:tcPr>
            <w:tcW w:w="709" w:type="dxa"/>
            <w:tcBorders>
              <w:top w:val="nil"/>
              <w:left w:val="nil"/>
              <w:bottom w:val="nil"/>
              <w:right w:val="nil"/>
            </w:tcBorders>
            <w:shd w:val="clear" w:color="auto" w:fill="auto"/>
            <w:noWrap/>
            <w:vAlign w:val="center"/>
            <w:hideMark/>
          </w:tcPr>
          <w:p w:rsidR="00F17649" w:rsidRPr="00F17649" w:rsidRDefault="00F17649" w:rsidP="00F17649">
            <w:pPr>
              <w:spacing w:before="0" w:after="0"/>
              <w:jc w:val="center"/>
              <w:rPr>
                <w:rFonts w:eastAsia="Times New Roman" w:cs="Times New Roman"/>
                <w:color w:val="000000"/>
                <w:sz w:val="18"/>
                <w:szCs w:val="18"/>
                <w:lang w:eastAsia="cs-CZ"/>
              </w:rPr>
            </w:pPr>
            <w:r w:rsidRPr="00F17649">
              <w:rPr>
                <w:rFonts w:eastAsia="Times New Roman" w:cs="Times New Roman"/>
                <w:color w:val="000000"/>
                <w:sz w:val="18"/>
                <w:szCs w:val="18"/>
                <w:lang w:eastAsia="cs-CZ"/>
              </w:rPr>
              <w:t>3</w:t>
            </w:r>
          </w:p>
        </w:tc>
        <w:tc>
          <w:tcPr>
            <w:tcW w:w="708" w:type="dxa"/>
            <w:tcBorders>
              <w:top w:val="nil"/>
              <w:left w:val="nil"/>
              <w:bottom w:val="nil"/>
              <w:right w:val="nil"/>
            </w:tcBorders>
            <w:shd w:val="clear" w:color="auto" w:fill="auto"/>
            <w:noWrap/>
            <w:vAlign w:val="center"/>
            <w:hideMark/>
          </w:tcPr>
          <w:p w:rsidR="00F17649" w:rsidRPr="00F17649" w:rsidRDefault="00F17649" w:rsidP="00F17649">
            <w:pPr>
              <w:spacing w:before="0" w:after="0"/>
              <w:jc w:val="center"/>
              <w:rPr>
                <w:rFonts w:eastAsia="Times New Roman" w:cs="Times New Roman"/>
                <w:color w:val="000000"/>
                <w:sz w:val="18"/>
                <w:szCs w:val="18"/>
                <w:lang w:eastAsia="cs-CZ"/>
              </w:rPr>
            </w:pPr>
            <w:r w:rsidRPr="00F17649">
              <w:rPr>
                <w:rFonts w:eastAsia="Times New Roman" w:cs="Times New Roman"/>
                <w:color w:val="000000"/>
                <w:sz w:val="18"/>
                <w:szCs w:val="18"/>
                <w:lang w:eastAsia="cs-CZ"/>
              </w:rPr>
              <w:t>2</w:t>
            </w:r>
          </w:p>
        </w:tc>
        <w:tc>
          <w:tcPr>
            <w:tcW w:w="851" w:type="dxa"/>
            <w:tcBorders>
              <w:top w:val="nil"/>
              <w:left w:val="nil"/>
              <w:bottom w:val="nil"/>
              <w:right w:val="nil"/>
            </w:tcBorders>
            <w:shd w:val="clear" w:color="auto" w:fill="auto"/>
            <w:noWrap/>
            <w:vAlign w:val="center"/>
            <w:hideMark/>
          </w:tcPr>
          <w:p w:rsidR="00F17649" w:rsidRPr="00F17649" w:rsidRDefault="00F17649" w:rsidP="00F17649">
            <w:pPr>
              <w:spacing w:before="0" w:after="0"/>
              <w:jc w:val="center"/>
              <w:rPr>
                <w:rFonts w:eastAsia="Times New Roman" w:cs="Times New Roman"/>
                <w:b/>
                <w:color w:val="000000"/>
                <w:sz w:val="18"/>
                <w:szCs w:val="18"/>
                <w:lang w:eastAsia="cs-CZ"/>
              </w:rPr>
            </w:pPr>
            <w:r w:rsidRPr="00F17649">
              <w:rPr>
                <w:rFonts w:eastAsia="Times New Roman" w:cs="Times New Roman"/>
                <w:b/>
                <w:color w:val="000000"/>
                <w:sz w:val="18"/>
                <w:szCs w:val="18"/>
                <w:lang w:eastAsia="cs-CZ"/>
              </w:rPr>
              <w:t>5</w:t>
            </w:r>
          </w:p>
        </w:tc>
      </w:tr>
      <w:tr w:rsidR="00F17649" w:rsidRPr="00F17649" w:rsidTr="005C45B3">
        <w:trPr>
          <w:cantSplit/>
          <w:trHeight w:val="340"/>
        </w:trPr>
        <w:tc>
          <w:tcPr>
            <w:tcW w:w="5544" w:type="dxa"/>
            <w:tcBorders>
              <w:top w:val="nil"/>
              <w:left w:val="nil"/>
              <w:bottom w:val="nil"/>
              <w:right w:val="nil"/>
            </w:tcBorders>
            <w:shd w:val="clear" w:color="auto" w:fill="auto"/>
            <w:noWrap/>
            <w:vAlign w:val="center"/>
            <w:hideMark/>
          </w:tcPr>
          <w:p w:rsidR="00F17649" w:rsidRPr="00F17649" w:rsidRDefault="00F17649" w:rsidP="00F17649">
            <w:pPr>
              <w:spacing w:before="0" w:after="0"/>
              <w:jc w:val="left"/>
              <w:rPr>
                <w:rFonts w:eastAsia="Times New Roman" w:cs="Times New Roman"/>
                <w:color w:val="000000"/>
                <w:sz w:val="18"/>
                <w:szCs w:val="18"/>
                <w:lang w:eastAsia="cs-CZ"/>
              </w:rPr>
            </w:pPr>
            <w:r w:rsidRPr="00F17649">
              <w:rPr>
                <w:rFonts w:eastAsia="Times New Roman" w:cs="Times New Roman"/>
                <w:color w:val="000000"/>
                <w:sz w:val="18"/>
                <w:szCs w:val="18"/>
                <w:lang w:eastAsia="cs-CZ"/>
              </w:rPr>
              <w:t>EIDGENOESSISCHE TECHNISCHE HOCHSCHULE ZUERICH</w:t>
            </w:r>
          </w:p>
        </w:tc>
        <w:tc>
          <w:tcPr>
            <w:tcW w:w="1276" w:type="dxa"/>
            <w:tcBorders>
              <w:top w:val="nil"/>
              <w:left w:val="nil"/>
              <w:bottom w:val="nil"/>
              <w:right w:val="nil"/>
            </w:tcBorders>
            <w:shd w:val="clear" w:color="auto" w:fill="auto"/>
            <w:noWrap/>
            <w:vAlign w:val="center"/>
            <w:hideMark/>
          </w:tcPr>
          <w:p w:rsidR="00F17649" w:rsidRPr="00F17649" w:rsidRDefault="00F17649" w:rsidP="00F17649">
            <w:pPr>
              <w:spacing w:before="0" w:after="0"/>
              <w:jc w:val="left"/>
              <w:rPr>
                <w:rFonts w:eastAsia="Times New Roman" w:cs="Times New Roman"/>
                <w:color w:val="000000"/>
                <w:sz w:val="18"/>
                <w:szCs w:val="18"/>
                <w:lang w:eastAsia="cs-CZ"/>
              </w:rPr>
            </w:pPr>
            <w:r w:rsidRPr="00F17649">
              <w:rPr>
                <w:rFonts w:eastAsia="Times New Roman" w:cs="Times New Roman"/>
                <w:color w:val="000000"/>
                <w:sz w:val="18"/>
                <w:szCs w:val="18"/>
                <w:lang w:eastAsia="cs-CZ"/>
              </w:rPr>
              <w:t>Švýcarsko</w:t>
            </w:r>
          </w:p>
        </w:tc>
        <w:tc>
          <w:tcPr>
            <w:tcW w:w="709" w:type="dxa"/>
            <w:tcBorders>
              <w:top w:val="nil"/>
              <w:left w:val="nil"/>
              <w:bottom w:val="nil"/>
              <w:right w:val="nil"/>
            </w:tcBorders>
            <w:shd w:val="clear" w:color="auto" w:fill="auto"/>
            <w:noWrap/>
            <w:vAlign w:val="center"/>
            <w:hideMark/>
          </w:tcPr>
          <w:p w:rsidR="00F17649" w:rsidRPr="00F17649" w:rsidRDefault="00F17649" w:rsidP="00F17649">
            <w:pPr>
              <w:spacing w:before="0" w:after="0"/>
              <w:jc w:val="center"/>
              <w:rPr>
                <w:rFonts w:eastAsia="Times New Roman" w:cs="Times New Roman"/>
                <w:color w:val="000000"/>
                <w:sz w:val="18"/>
                <w:szCs w:val="18"/>
                <w:lang w:eastAsia="cs-CZ"/>
              </w:rPr>
            </w:pPr>
            <w:r w:rsidRPr="00F17649">
              <w:rPr>
                <w:rFonts w:eastAsia="Times New Roman" w:cs="Times New Roman"/>
                <w:color w:val="000000"/>
                <w:sz w:val="18"/>
                <w:szCs w:val="18"/>
                <w:lang w:eastAsia="cs-CZ"/>
              </w:rPr>
              <w:t>4</w:t>
            </w:r>
          </w:p>
        </w:tc>
        <w:tc>
          <w:tcPr>
            <w:tcW w:w="708" w:type="dxa"/>
            <w:tcBorders>
              <w:top w:val="nil"/>
              <w:left w:val="nil"/>
              <w:bottom w:val="nil"/>
              <w:right w:val="nil"/>
            </w:tcBorders>
            <w:shd w:val="clear" w:color="auto" w:fill="auto"/>
            <w:noWrap/>
            <w:vAlign w:val="center"/>
            <w:hideMark/>
          </w:tcPr>
          <w:p w:rsidR="00F17649" w:rsidRPr="00F17649" w:rsidRDefault="00F17649" w:rsidP="00F17649">
            <w:pPr>
              <w:spacing w:before="0" w:after="0"/>
              <w:jc w:val="center"/>
              <w:rPr>
                <w:rFonts w:eastAsia="Times New Roman" w:cs="Times New Roman"/>
                <w:color w:val="000000"/>
                <w:sz w:val="18"/>
                <w:szCs w:val="18"/>
                <w:lang w:eastAsia="cs-CZ"/>
              </w:rPr>
            </w:pPr>
            <w:r w:rsidRPr="00F17649">
              <w:rPr>
                <w:rFonts w:eastAsia="Times New Roman" w:cs="Times New Roman"/>
                <w:color w:val="000000"/>
                <w:sz w:val="18"/>
                <w:szCs w:val="18"/>
                <w:lang w:eastAsia="cs-CZ"/>
              </w:rPr>
              <w:t>1</w:t>
            </w:r>
          </w:p>
        </w:tc>
        <w:tc>
          <w:tcPr>
            <w:tcW w:w="851" w:type="dxa"/>
            <w:tcBorders>
              <w:top w:val="nil"/>
              <w:left w:val="nil"/>
              <w:bottom w:val="nil"/>
              <w:right w:val="nil"/>
            </w:tcBorders>
            <w:shd w:val="clear" w:color="auto" w:fill="auto"/>
            <w:noWrap/>
            <w:vAlign w:val="center"/>
            <w:hideMark/>
          </w:tcPr>
          <w:p w:rsidR="00F17649" w:rsidRPr="00F17649" w:rsidRDefault="00F17649" w:rsidP="00F17649">
            <w:pPr>
              <w:spacing w:before="0" w:after="0"/>
              <w:jc w:val="center"/>
              <w:rPr>
                <w:rFonts w:eastAsia="Times New Roman" w:cs="Times New Roman"/>
                <w:b/>
                <w:color w:val="000000"/>
                <w:sz w:val="18"/>
                <w:szCs w:val="18"/>
                <w:lang w:eastAsia="cs-CZ"/>
              </w:rPr>
            </w:pPr>
            <w:r w:rsidRPr="00F17649">
              <w:rPr>
                <w:rFonts w:eastAsia="Times New Roman" w:cs="Times New Roman"/>
                <w:b/>
                <w:color w:val="000000"/>
                <w:sz w:val="18"/>
                <w:szCs w:val="18"/>
                <w:lang w:eastAsia="cs-CZ"/>
              </w:rPr>
              <w:t>5</w:t>
            </w:r>
          </w:p>
        </w:tc>
      </w:tr>
      <w:tr w:rsidR="00F17649" w:rsidRPr="00F17649" w:rsidTr="005C45B3">
        <w:trPr>
          <w:cantSplit/>
          <w:trHeight w:val="340"/>
        </w:trPr>
        <w:tc>
          <w:tcPr>
            <w:tcW w:w="5544" w:type="dxa"/>
            <w:tcBorders>
              <w:top w:val="nil"/>
              <w:left w:val="nil"/>
              <w:bottom w:val="nil"/>
              <w:right w:val="nil"/>
            </w:tcBorders>
            <w:shd w:val="clear" w:color="auto" w:fill="auto"/>
            <w:noWrap/>
            <w:vAlign w:val="center"/>
            <w:hideMark/>
          </w:tcPr>
          <w:p w:rsidR="00F17649" w:rsidRPr="00F17649" w:rsidRDefault="00F17649" w:rsidP="00F17649">
            <w:pPr>
              <w:spacing w:before="0" w:after="0"/>
              <w:jc w:val="left"/>
              <w:rPr>
                <w:rFonts w:eastAsia="Times New Roman" w:cs="Times New Roman"/>
                <w:color w:val="000000"/>
                <w:sz w:val="18"/>
                <w:szCs w:val="18"/>
                <w:lang w:eastAsia="cs-CZ"/>
              </w:rPr>
            </w:pPr>
            <w:r w:rsidRPr="00F17649">
              <w:rPr>
                <w:rFonts w:eastAsia="Times New Roman" w:cs="Times New Roman"/>
                <w:color w:val="000000"/>
                <w:sz w:val="18"/>
                <w:szCs w:val="18"/>
                <w:lang w:eastAsia="cs-CZ"/>
              </w:rPr>
              <w:t>KENTRO MELETON ASFALEIAS</w:t>
            </w:r>
          </w:p>
        </w:tc>
        <w:tc>
          <w:tcPr>
            <w:tcW w:w="1276" w:type="dxa"/>
            <w:tcBorders>
              <w:top w:val="nil"/>
              <w:left w:val="nil"/>
              <w:bottom w:val="nil"/>
              <w:right w:val="nil"/>
            </w:tcBorders>
            <w:shd w:val="clear" w:color="auto" w:fill="auto"/>
            <w:noWrap/>
            <w:vAlign w:val="center"/>
            <w:hideMark/>
          </w:tcPr>
          <w:p w:rsidR="00F17649" w:rsidRPr="00F17649" w:rsidRDefault="00F17649" w:rsidP="00F17649">
            <w:pPr>
              <w:spacing w:before="0" w:after="0"/>
              <w:jc w:val="left"/>
              <w:rPr>
                <w:rFonts w:eastAsia="Times New Roman" w:cs="Times New Roman"/>
                <w:color w:val="000000"/>
                <w:sz w:val="18"/>
                <w:szCs w:val="18"/>
                <w:lang w:eastAsia="cs-CZ"/>
              </w:rPr>
            </w:pPr>
            <w:r w:rsidRPr="00F17649">
              <w:rPr>
                <w:rFonts w:eastAsia="Times New Roman" w:cs="Times New Roman"/>
                <w:color w:val="000000"/>
                <w:sz w:val="18"/>
                <w:szCs w:val="18"/>
                <w:lang w:eastAsia="cs-CZ"/>
              </w:rPr>
              <w:t>Řecko</w:t>
            </w:r>
          </w:p>
        </w:tc>
        <w:tc>
          <w:tcPr>
            <w:tcW w:w="709" w:type="dxa"/>
            <w:tcBorders>
              <w:top w:val="nil"/>
              <w:left w:val="nil"/>
              <w:bottom w:val="nil"/>
              <w:right w:val="nil"/>
            </w:tcBorders>
            <w:shd w:val="clear" w:color="auto" w:fill="auto"/>
            <w:noWrap/>
            <w:vAlign w:val="center"/>
            <w:hideMark/>
          </w:tcPr>
          <w:p w:rsidR="00F17649" w:rsidRPr="00F17649" w:rsidRDefault="00F17649" w:rsidP="00F17649">
            <w:pPr>
              <w:spacing w:before="0" w:after="0"/>
              <w:jc w:val="center"/>
              <w:rPr>
                <w:rFonts w:eastAsia="Times New Roman" w:cs="Times New Roman"/>
                <w:color w:val="000000"/>
                <w:sz w:val="18"/>
                <w:szCs w:val="18"/>
                <w:lang w:eastAsia="cs-CZ"/>
              </w:rPr>
            </w:pPr>
            <w:r w:rsidRPr="00F17649">
              <w:rPr>
                <w:rFonts w:eastAsia="Times New Roman" w:cs="Times New Roman"/>
                <w:color w:val="000000"/>
                <w:sz w:val="18"/>
                <w:szCs w:val="18"/>
                <w:lang w:eastAsia="cs-CZ"/>
              </w:rPr>
              <w:t>5</w:t>
            </w:r>
          </w:p>
        </w:tc>
        <w:tc>
          <w:tcPr>
            <w:tcW w:w="708" w:type="dxa"/>
            <w:tcBorders>
              <w:top w:val="nil"/>
              <w:left w:val="nil"/>
              <w:bottom w:val="nil"/>
              <w:right w:val="nil"/>
            </w:tcBorders>
            <w:shd w:val="clear" w:color="auto" w:fill="auto"/>
            <w:noWrap/>
            <w:vAlign w:val="center"/>
            <w:hideMark/>
          </w:tcPr>
          <w:p w:rsidR="00F17649" w:rsidRPr="00F17649" w:rsidRDefault="00F17649" w:rsidP="00F17649">
            <w:pPr>
              <w:spacing w:before="0" w:after="0"/>
              <w:jc w:val="center"/>
              <w:rPr>
                <w:rFonts w:eastAsia="Times New Roman" w:cs="Times New Roman"/>
                <w:color w:val="000000"/>
                <w:sz w:val="18"/>
                <w:szCs w:val="18"/>
                <w:lang w:eastAsia="cs-CZ"/>
              </w:rPr>
            </w:pPr>
          </w:p>
        </w:tc>
        <w:tc>
          <w:tcPr>
            <w:tcW w:w="851" w:type="dxa"/>
            <w:tcBorders>
              <w:top w:val="nil"/>
              <w:left w:val="nil"/>
              <w:bottom w:val="nil"/>
              <w:right w:val="nil"/>
            </w:tcBorders>
            <w:shd w:val="clear" w:color="auto" w:fill="auto"/>
            <w:noWrap/>
            <w:vAlign w:val="center"/>
            <w:hideMark/>
          </w:tcPr>
          <w:p w:rsidR="00F17649" w:rsidRPr="00F17649" w:rsidRDefault="00F17649" w:rsidP="00F17649">
            <w:pPr>
              <w:spacing w:before="0" w:after="0"/>
              <w:jc w:val="center"/>
              <w:rPr>
                <w:rFonts w:eastAsia="Times New Roman" w:cs="Times New Roman"/>
                <w:b/>
                <w:color w:val="000000"/>
                <w:sz w:val="18"/>
                <w:szCs w:val="18"/>
                <w:lang w:eastAsia="cs-CZ"/>
              </w:rPr>
            </w:pPr>
            <w:r w:rsidRPr="00F17649">
              <w:rPr>
                <w:rFonts w:eastAsia="Times New Roman" w:cs="Times New Roman"/>
                <w:b/>
                <w:color w:val="000000"/>
                <w:sz w:val="18"/>
                <w:szCs w:val="18"/>
                <w:lang w:eastAsia="cs-CZ"/>
              </w:rPr>
              <w:t>5</w:t>
            </w:r>
          </w:p>
        </w:tc>
      </w:tr>
      <w:tr w:rsidR="00F17649" w:rsidRPr="00F17649" w:rsidTr="005C45B3">
        <w:trPr>
          <w:cantSplit/>
          <w:trHeight w:val="340"/>
        </w:trPr>
        <w:tc>
          <w:tcPr>
            <w:tcW w:w="5544" w:type="dxa"/>
            <w:tcBorders>
              <w:top w:val="nil"/>
              <w:left w:val="nil"/>
              <w:bottom w:val="nil"/>
              <w:right w:val="nil"/>
            </w:tcBorders>
            <w:shd w:val="clear" w:color="auto" w:fill="auto"/>
            <w:noWrap/>
            <w:vAlign w:val="center"/>
            <w:hideMark/>
          </w:tcPr>
          <w:p w:rsidR="00F17649" w:rsidRPr="00F17649" w:rsidRDefault="00F17649" w:rsidP="00F17649">
            <w:pPr>
              <w:spacing w:before="0" w:after="0"/>
              <w:jc w:val="left"/>
              <w:rPr>
                <w:rFonts w:eastAsia="Times New Roman" w:cs="Times New Roman"/>
                <w:color w:val="000000"/>
                <w:sz w:val="18"/>
                <w:szCs w:val="18"/>
                <w:lang w:eastAsia="cs-CZ"/>
              </w:rPr>
            </w:pPr>
            <w:r w:rsidRPr="00F17649">
              <w:rPr>
                <w:rFonts w:eastAsia="Times New Roman" w:cs="Times New Roman"/>
                <w:color w:val="000000"/>
                <w:sz w:val="18"/>
                <w:szCs w:val="18"/>
                <w:lang w:eastAsia="cs-CZ"/>
              </w:rPr>
              <w:t>NATIONAL CENTER FOR SCIENTIFIC RESEARCH DEMOKRITOS</w:t>
            </w:r>
          </w:p>
        </w:tc>
        <w:tc>
          <w:tcPr>
            <w:tcW w:w="1276" w:type="dxa"/>
            <w:tcBorders>
              <w:top w:val="nil"/>
              <w:left w:val="nil"/>
              <w:bottom w:val="nil"/>
              <w:right w:val="nil"/>
            </w:tcBorders>
            <w:shd w:val="clear" w:color="auto" w:fill="auto"/>
            <w:noWrap/>
            <w:vAlign w:val="center"/>
            <w:hideMark/>
          </w:tcPr>
          <w:p w:rsidR="00F17649" w:rsidRPr="00F17649" w:rsidRDefault="00F17649" w:rsidP="00F17649">
            <w:pPr>
              <w:spacing w:before="0" w:after="0"/>
              <w:jc w:val="left"/>
              <w:rPr>
                <w:rFonts w:eastAsia="Times New Roman" w:cs="Times New Roman"/>
                <w:color w:val="000000"/>
                <w:sz w:val="18"/>
                <w:szCs w:val="18"/>
                <w:lang w:eastAsia="cs-CZ"/>
              </w:rPr>
            </w:pPr>
            <w:r w:rsidRPr="00F17649">
              <w:rPr>
                <w:rFonts w:eastAsia="Times New Roman" w:cs="Times New Roman"/>
                <w:color w:val="000000"/>
                <w:sz w:val="18"/>
                <w:szCs w:val="18"/>
                <w:lang w:eastAsia="cs-CZ"/>
              </w:rPr>
              <w:t>Řecko</w:t>
            </w:r>
          </w:p>
        </w:tc>
        <w:tc>
          <w:tcPr>
            <w:tcW w:w="709" w:type="dxa"/>
            <w:tcBorders>
              <w:top w:val="nil"/>
              <w:left w:val="nil"/>
              <w:bottom w:val="nil"/>
              <w:right w:val="nil"/>
            </w:tcBorders>
            <w:shd w:val="clear" w:color="auto" w:fill="auto"/>
            <w:noWrap/>
            <w:vAlign w:val="center"/>
            <w:hideMark/>
          </w:tcPr>
          <w:p w:rsidR="00F17649" w:rsidRPr="00F17649" w:rsidRDefault="00F17649" w:rsidP="00F17649">
            <w:pPr>
              <w:spacing w:before="0" w:after="0"/>
              <w:jc w:val="center"/>
              <w:rPr>
                <w:rFonts w:eastAsia="Times New Roman" w:cs="Times New Roman"/>
                <w:color w:val="000000"/>
                <w:sz w:val="18"/>
                <w:szCs w:val="18"/>
                <w:lang w:eastAsia="cs-CZ"/>
              </w:rPr>
            </w:pPr>
            <w:r w:rsidRPr="00F17649">
              <w:rPr>
                <w:rFonts w:eastAsia="Times New Roman" w:cs="Times New Roman"/>
                <w:color w:val="000000"/>
                <w:sz w:val="18"/>
                <w:szCs w:val="18"/>
                <w:lang w:eastAsia="cs-CZ"/>
              </w:rPr>
              <w:t>5</w:t>
            </w:r>
          </w:p>
        </w:tc>
        <w:tc>
          <w:tcPr>
            <w:tcW w:w="708" w:type="dxa"/>
            <w:tcBorders>
              <w:top w:val="nil"/>
              <w:left w:val="nil"/>
              <w:bottom w:val="nil"/>
              <w:right w:val="nil"/>
            </w:tcBorders>
            <w:shd w:val="clear" w:color="auto" w:fill="auto"/>
            <w:noWrap/>
            <w:vAlign w:val="center"/>
            <w:hideMark/>
          </w:tcPr>
          <w:p w:rsidR="00F17649" w:rsidRPr="00F17649" w:rsidRDefault="00F17649" w:rsidP="00F17649">
            <w:pPr>
              <w:spacing w:before="0" w:after="0"/>
              <w:jc w:val="center"/>
              <w:rPr>
                <w:rFonts w:eastAsia="Times New Roman" w:cs="Times New Roman"/>
                <w:color w:val="000000"/>
                <w:sz w:val="18"/>
                <w:szCs w:val="18"/>
                <w:lang w:eastAsia="cs-CZ"/>
              </w:rPr>
            </w:pPr>
          </w:p>
        </w:tc>
        <w:tc>
          <w:tcPr>
            <w:tcW w:w="851" w:type="dxa"/>
            <w:tcBorders>
              <w:top w:val="nil"/>
              <w:left w:val="nil"/>
              <w:bottom w:val="nil"/>
              <w:right w:val="nil"/>
            </w:tcBorders>
            <w:shd w:val="clear" w:color="auto" w:fill="auto"/>
            <w:noWrap/>
            <w:vAlign w:val="center"/>
            <w:hideMark/>
          </w:tcPr>
          <w:p w:rsidR="00F17649" w:rsidRPr="00F17649" w:rsidRDefault="00F17649" w:rsidP="00F17649">
            <w:pPr>
              <w:spacing w:before="0" w:after="0"/>
              <w:jc w:val="center"/>
              <w:rPr>
                <w:rFonts w:eastAsia="Times New Roman" w:cs="Times New Roman"/>
                <w:b/>
                <w:color w:val="000000"/>
                <w:sz w:val="18"/>
                <w:szCs w:val="18"/>
                <w:lang w:eastAsia="cs-CZ"/>
              </w:rPr>
            </w:pPr>
            <w:r w:rsidRPr="00F17649">
              <w:rPr>
                <w:rFonts w:eastAsia="Times New Roman" w:cs="Times New Roman"/>
                <w:b/>
                <w:color w:val="000000"/>
                <w:sz w:val="18"/>
                <w:szCs w:val="18"/>
                <w:lang w:eastAsia="cs-CZ"/>
              </w:rPr>
              <w:t>5</w:t>
            </w:r>
          </w:p>
        </w:tc>
      </w:tr>
      <w:tr w:rsidR="00F17649" w:rsidRPr="00F17649" w:rsidTr="005C45B3">
        <w:trPr>
          <w:cantSplit/>
          <w:trHeight w:val="340"/>
        </w:trPr>
        <w:tc>
          <w:tcPr>
            <w:tcW w:w="5544" w:type="dxa"/>
            <w:tcBorders>
              <w:top w:val="nil"/>
              <w:left w:val="nil"/>
              <w:bottom w:val="nil"/>
              <w:right w:val="nil"/>
            </w:tcBorders>
            <w:shd w:val="clear" w:color="auto" w:fill="auto"/>
            <w:noWrap/>
            <w:vAlign w:val="center"/>
            <w:hideMark/>
          </w:tcPr>
          <w:p w:rsidR="00F17649" w:rsidRPr="00F17649" w:rsidRDefault="00F17649" w:rsidP="00F17649">
            <w:pPr>
              <w:spacing w:before="0" w:after="0"/>
              <w:jc w:val="left"/>
              <w:rPr>
                <w:rFonts w:eastAsia="Times New Roman" w:cs="Times New Roman"/>
                <w:color w:val="000000"/>
                <w:sz w:val="18"/>
                <w:szCs w:val="18"/>
                <w:lang w:eastAsia="cs-CZ"/>
              </w:rPr>
            </w:pPr>
            <w:r w:rsidRPr="00F17649">
              <w:rPr>
                <w:rFonts w:eastAsia="Times New Roman" w:cs="Times New Roman"/>
                <w:color w:val="000000"/>
                <w:sz w:val="18"/>
                <w:szCs w:val="18"/>
                <w:lang w:eastAsia="cs-CZ"/>
              </w:rPr>
              <w:t>PARIS-LODRON-UNIVERSITAT SALZBURG</w:t>
            </w:r>
          </w:p>
        </w:tc>
        <w:tc>
          <w:tcPr>
            <w:tcW w:w="1276" w:type="dxa"/>
            <w:tcBorders>
              <w:top w:val="nil"/>
              <w:left w:val="nil"/>
              <w:bottom w:val="nil"/>
              <w:right w:val="nil"/>
            </w:tcBorders>
            <w:shd w:val="clear" w:color="auto" w:fill="auto"/>
            <w:noWrap/>
            <w:vAlign w:val="center"/>
            <w:hideMark/>
          </w:tcPr>
          <w:p w:rsidR="00F17649" w:rsidRPr="00F17649" w:rsidRDefault="00F17649" w:rsidP="00F17649">
            <w:pPr>
              <w:spacing w:before="0" w:after="0"/>
              <w:jc w:val="left"/>
              <w:rPr>
                <w:rFonts w:eastAsia="Times New Roman" w:cs="Times New Roman"/>
                <w:color w:val="000000"/>
                <w:sz w:val="18"/>
                <w:szCs w:val="18"/>
                <w:lang w:eastAsia="cs-CZ"/>
              </w:rPr>
            </w:pPr>
            <w:r w:rsidRPr="00F17649">
              <w:rPr>
                <w:rFonts w:eastAsia="Times New Roman" w:cs="Times New Roman"/>
                <w:color w:val="000000"/>
                <w:sz w:val="18"/>
                <w:szCs w:val="18"/>
                <w:lang w:eastAsia="cs-CZ"/>
              </w:rPr>
              <w:t>Rakousko</w:t>
            </w:r>
          </w:p>
        </w:tc>
        <w:tc>
          <w:tcPr>
            <w:tcW w:w="709" w:type="dxa"/>
            <w:tcBorders>
              <w:top w:val="nil"/>
              <w:left w:val="nil"/>
              <w:bottom w:val="nil"/>
              <w:right w:val="nil"/>
            </w:tcBorders>
            <w:shd w:val="clear" w:color="auto" w:fill="auto"/>
            <w:noWrap/>
            <w:vAlign w:val="center"/>
            <w:hideMark/>
          </w:tcPr>
          <w:p w:rsidR="00F17649" w:rsidRPr="00F17649" w:rsidRDefault="00F17649" w:rsidP="00F17649">
            <w:pPr>
              <w:spacing w:before="0" w:after="0"/>
              <w:jc w:val="center"/>
              <w:rPr>
                <w:rFonts w:eastAsia="Times New Roman" w:cs="Times New Roman"/>
                <w:color w:val="000000"/>
                <w:sz w:val="18"/>
                <w:szCs w:val="18"/>
                <w:lang w:eastAsia="cs-CZ"/>
              </w:rPr>
            </w:pPr>
            <w:r w:rsidRPr="00F17649">
              <w:rPr>
                <w:rFonts w:eastAsia="Times New Roman" w:cs="Times New Roman"/>
                <w:color w:val="000000"/>
                <w:sz w:val="18"/>
                <w:szCs w:val="18"/>
                <w:lang w:eastAsia="cs-CZ"/>
              </w:rPr>
              <w:t>5</w:t>
            </w:r>
          </w:p>
        </w:tc>
        <w:tc>
          <w:tcPr>
            <w:tcW w:w="708" w:type="dxa"/>
            <w:tcBorders>
              <w:top w:val="nil"/>
              <w:left w:val="nil"/>
              <w:bottom w:val="nil"/>
              <w:right w:val="nil"/>
            </w:tcBorders>
            <w:shd w:val="clear" w:color="auto" w:fill="auto"/>
            <w:noWrap/>
            <w:vAlign w:val="center"/>
            <w:hideMark/>
          </w:tcPr>
          <w:p w:rsidR="00F17649" w:rsidRPr="00F17649" w:rsidRDefault="00F17649" w:rsidP="00F17649">
            <w:pPr>
              <w:spacing w:before="0" w:after="0"/>
              <w:jc w:val="center"/>
              <w:rPr>
                <w:rFonts w:eastAsia="Times New Roman" w:cs="Times New Roman"/>
                <w:color w:val="000000"/>
                <w:sz w:val="18"/>
                <w:szCs w:val="18"/>
                <w:lang w:eastAsia="cs-CZ"/>
              </w:rPr>
            </w:pPr>
          </w:p>
        </w:tc>
        <w:tc>
          <w:tcPr>
            <w:tcW w:w="851" w:type="dxa"/>
            <w:tcBorders>
              <w:top w:val="nil"/>
              <w:left w:val="nil"/>
              <w:bottom w:val="nil"/>
              <w:right w:val="nil"/>
            </w:tcBorders>
            <w:shd w:val="clear" w:color="auto" w:fill="auto"/>
            <w:noWrap/>
            <w:vAlign w:val="center"/>
            <w:hideMark/>
          </w:tcPr>
          <w:p w:rsidR="00F17649" w:rsidRPr="00F17649" w:rsidRDefault="00F17649" w:rsidP="00F17649">
            <w:pPr>
              <w:spacing w:before="0" w:after="0"/>
              <w:jc w:val="center"/>
              <w:rPr>
                <w:rFonts w:eastAsia="Times New Roman" w:cs="Times New Roman"/>
                <w:b/>
                <w:color w:val="000000"/>
                <w:sz w:val="18"/>
                <w:szCs w:val="18"/>
                <w:lang w:eastAsia="cs-CZ"/>
              </w:rPr>
            </w:pPr>
            <w:r w:rsidRPr="00F17649">
              <w:rPr>
                <w:rFonts w:eastAsia="Times New Roman" w:cs="Times New Roman"/>
                <w:b/>
                <w:color w:val="000000"/>
                <w:sz w:val="18"/>
                <w:szCs w:val="18"/>
                <w:lang w:eastAsia="cs-CZ"/>
              </w:rPr>
              <w:t>5</w:t>
            </w:r>
          </w:p>
        </w:tc>
      </w:tr>
      <w:tr w:rsidR="00F17649" w:rsidRPr="00F17649" w:rsidTr="005C45B3">
        <w:trPr>
          <w:cantSplit/>
          <w:trHeight w:val="340"/>
        </w:trPr>
        <w:tc>
          <w:tcPr>
            <w:tcW w:w="5544" w:type="dxa"/>
            <w:tcBorders>
              <w:top w:val="nil"/>
              <w:left w:val="nil"/>
              <w:bottom w:val="nil"/>
              <w:right w:val="nil"/>
            </w:tcBorders>
            <w:shd w:val="clear" w:color="auto" w:fill="auto"/>
            <w:noWrap/>
            <w:vAlign w:val="center"/>
            <w:hideMark/>
          </w:tcPr>
          <w:p w:rsidR="00F17649" w:rsidRPr="00F17649" w:rsidRDefault="00F17649" w:rsidP="00F17649">
            <w:pPr>
              <w:spacing w:before="0" w:after="0"/>
              <w:jc w:val="left"/>
              <w:rPr>
                <w:rFonts w:eastAsia="Times New Roman" w:cs="Times New Roman"/>
                <w:color w:val="000000"/>
                <w:sz w:val="18"/>
                <w:szCs w:val="18"/>
                <w:lang w:eastAsia="cs-CZ"/>
              </w:rPr>
            </w:pPr>
            <w:r w:rsidRPr="00F17649">
              <w:rPr>
                <w:rFonts w:eastAsia="Times New Roman" w:cs="Times New Roman"/>
                <w:color w:val="000000"/>
                <w:sz w:val="18"/>
                <w:szCs w:val="18"/>
                <w:lang w:eastAsia="cs-CZ"/>
              </w:rPr>
              <w:t>SELEX ES SPA</w:t>
            </w:r>
          </w:p>
        </w:tc>
        <w:tc>
          <w:tcPr>
            <w:tcW w:w="1276" w:type="dxa"/>
            <w:tcBorders>
              <w:top w:val="nil"/>
              <w:left w:val="nil"/>
              <w:bottom w:val="nil"/>
              <w:right w:val="nil"/>
            </w:tcBorders>
            <w:shd w:val="clear" w:color="auto" w:fill="auto"/>
            <w:noWrap/>
            <w:vAlign w:val="center"/>
            <w:hideMark/>
          </w:tcPr>
          <w:p w:rsidR="00F17649" w:rsidRPr="00F17649" w:rsidRDefault="00F17649" w:rsidP="00F17649">
            <w:pPr>
              <w:spacing w:before="0" w:after="0"/>
              <w:jc w:val="left"/>
              <w:rPr>
                <w:rFonts w:eastAsia="Times New Roman" w:cs="Times New Roman"/>
                <w:color w:val="000000"/>
                <w:sz w:val="18"/>
                <w:szCs w:val="18"/>
                <w:lang w:eastAsia="cs-CZ"/>
              </w:rPr>
            </w:pPr>
            <w:r w:rsidRPr="00F17649">
              <w:rPr>
                <w:rFonts w:eastAsia="Times New Roman" w:cs="Times New Roman"/>
                <w:color w:val="000000"/>
                <w:sz w:val="18"/>
                <w:szCs w:val="18"/>
                <w:lang w:eastAsia="cs-CZ"/>
              </w:rPr>
              <w:t>Itálie</w:t>
            </w:r>
          </w:p>
        </w:tc>
        <w:tc>
          <w:tcPr>
            <w:tcW w:w="709" w:type="dxa"/>
            <w:tcBorders>
              <w:top w:val="nil"/>
              <w:left w:val="nil"/>
              <w:bottom w:val="nil"/>
              <w:right w:val="nil"/>
            </w:tcBorders>
            <w:shd w:val="clear" w:color="auto" w:fill="auto"/>
            <w:noWrap/>
            <w:vAlign w:val="center"/>
            <w:hideMark/>
          </w:tcPr>
          <w:p w:rsidR="00F17649" w:rsidRPr="00F17649" w:rsidRDefault="00F17649" w:rsidP="00F17649">
            <w:pPr>
              <w:spacing w:before="0" w:after="0"/>
              <w:jc w:val="center"/>
              <w:rPr>
                <w:rFonts w:eastAsia="Times New Roman" w:cs="Times New Roman"/>
                <w:color w:val="000000"/>
                <w:sz w:val="18"/>
                <w:szCs w:val="18"/>
                <w:lang w:eastAsia="cs-CZ"/>
              </w:rPr>
            </w:pPr>
            <w:r w:rsidRPr="00F17649">
              <w:rPr>
                <w:rFonts w:eastAsia="Times New Roman" w:cs="Times New Roman"/>
                <w:color w:val="000000"/>
                <w:sz w:val="18"/>
                <w:szCs w:val="18"/>
                <w:lang w:eastAsia="cs-CZ"/>
              </w:rPr>
              <w:t>5</w:t>
            </w:r>
          </w:p>
        </w:tc>
        <w:tc>
          <w:tcPr>
            <w:tcW w:w="708" w:type="dxa"/>
            <w:tcBorders>
              <w:top w:val="nil"/>
              <w:left w:val="nil"/>
              <w:bottom w:val="nil"/>
              <w:right w:val="nil"/>
            </w:tcBorders>
            <w:shd w:val="clear" w:color="auto" w:fill="auto"/>
            <w:noWrap/>
            <w:vAlign w:val="center"/>
            <w:hideMark/>
          </w:tcPr>
          <w:p w:rsidR="00F17649" w:rsidRPr="00F17649" w:rsidRDefault="00F17649" w:rsidP="00F17649">
            <w:pPr>
              <w:spacing w:before="0" w:after="0"/>
              <w:jc w:val="center"/>
              <w:rPr>
                <w:rFonts w:eastAsia="Times New Roman" w:cs="Times New Roman"/>
                <w:color w:val="000000"/>
                <w:sz w:val="18"/>
                <w:szCs w:val="18"/>
                <w:lang w:eastAsia="cs-CZ"/>
              </w:rPr>
            </w:pPr>
          </w:p>
        </w:tc>
        <w:tc>
          <w:tcPr>
            <w:tcW w:w="851" w:type="dxa"/>
            <w:tcBorders>
              <w:top w:val="nil"/>
              <w:left w:val="nil"/>
              <w:bottom w:val="nil"/>
              <w:right w:val="nil"/>
            </w:tcBorders>
            <w:shd w:val="clear" w:color="auto" w:fill="auto"/>
            <w:noWrap/>
            <w:vAlign w:val="center"/>
            <w:hideMark/>
          </w:tcPr>
          <w:p w:rsidR="00F17649" w:rsidRPr="00F17649" w:rsidRDefault="00F17649" w:rsidP="00F17649">
            <w:pPr>
              <w:spacing w:before="0" w:after="0"/>
              <w:jc w:val="center"/>
              <w:rPr>
                <w:rFonts w:eastAsia="Times New Roman" w:cs="Times New Roman"/>
                <w:b/>
                <w:color w:val="000000"/>
                <w:sz w:val="18"/>
                <w:szCs w:val="18"/>
                <w:lang w:eastAsia="cs-CZ"/>
              </w:rPr>
            </w:pPr>
            <w:r w:rsidRPr="00F17649">
              <w:rPr>
                <w:rFonts w:eastAsia="Times New Roman" w:cs="Times New Roman"/>
                <w:b/>
                <w:color w:val="000000"/>
                <w:sz w:val="18"/>
                <w:szCs w:val="18"/>
                <w:lang w:eastAsia="cs-CZ"/>
              </w:rPr>
              <w:t>5</w:t>
            </w:r>
          </w:p>
        </w:tc>
      </w:tr>
      <w:tr w:rsidR="00F17649" w:rsidRPr="00F17649" w:rsidTr="005C45B3">
        <w:trPr>
          <w:cantSplit/>
          <w:trHeight w:val="340"/>
        </w:trPr>
        <w:tc>
          <w:tcPr>
            <w:tcW w:w="5544" w:type="dxa"/>
            <w:tcBorders>
              <w:top w:val="nil"/>
              <w:left w:val="nil"/>
              <w:bottom w:val="nil"/>
              <w:right w:val="nil"/>
            </w:tcBorders>
            <w:shd w:val="clear" w:color="auto" w:fill="auto"/>
            <w:noWrap/>
            <w:vAlign w:val="center"/>
            <w:hideMark/>
          </w:tcPr>
          <w:p w:rsidR="00F17649" w:rsidRPr="00F17649" w:rsidRDefault="00F17649" w:rsidP="00F17649">
            <w:pPr>
              <w:spacing w:before="0" w:after="0"/>
              <w:jc w:val="left"/>
              <w:rPr>
                <w:rFonts w:eastAsia="Times New Roman" w:cs="Times New Roman"/>
                <w:color w:val="000000"/>
                <w:sz w:val="18"/>
                <w:szCs w:val="18"/>
                <w:lang w:eastAsia="cs-CZ"/>
              </w:rPr>
            </w:pPr>
            <w:r w:rsidRPr="00F17649">
              <w:rPr>
                <w:rFonts w:eastAsia="Times New Roman" w:cs="Times New Roman"/>
                <w:color w:val="000000"/>
                <w:sz w:val="18"/>
                <w:szCs w:val="18"/>
                <w:lang w:eastAsia="cs-CZ"/>
              </w:rPr>
              <w:t>INGENIERA DE SISTEMAS PARA LA DEFENSA DE ESPANA SA-ISDEFE</w:t>
            </w:r>
          </w:p>
        </w:tc>
        <w:tc>
          <w:tcPr>
            <w:tcW w:w="1276" w:type="dxa"/>
            <w:tcBorders>
              <w:top w:val="nil"/>
              <w:left w:val="nil"/>
              <w:bottom w:val="nil"/>
              <w:right w:val="nil"/>
            </w:tcBorders>
            <w:shd w:val="clear" w:color="auto" w:fill="auto"/>
            <w:noWrap/>
            <w:vAlign w:val="center"/>
            <w:hideMark/>
          </w:tcPr>
          <w:p w:rsidR="00F17649" w:rsidRPr="00F17649" w:rsidRDefault="00F17649" w:rsidP="00F17649">
            <w:pPr>
              <w:spacing w:before="0" w:after="0"/>
              <w:jc w:val="left"/>
              <w:rPr>
                <w:rFonts w:eastAsia="Times New Roman" w:cs="Times New Roman"/>
                <w:color w:val="000000"/>
                <w:sz w:val="18"/>
                <w:szCs w:val="18"/>
                <w:lang w:eastAsia="cs-CZ"/>
              </w:rPr>
            </w:pPr>
            <w:r w:rsidRPr="00F17649">
              <w:rPr>
                <w:rFonts w:eastAsia="Times New Roman" w:cs="Times New Roman"/>
                <w:color w:val="000000"/>
                <w:sz w:val="18"/>
                <w:szCs w:val="18"/>
                <w:lang w:eastAsia="cs-CZ"/>
              </w:rPr>
              <w:t>Španělsko</w:t>
            </w:r>
          </w:p>
        </w:tc>
        <w:tc>
          <w:tcPr>
            <w:tcW w:w="709" w:type="dxa"/>
            <w:tcBorders>
              <w:top w:val="nil"/>
              <w:left w:val="nil"/>
              <w:bottom w:val="nil"/>
              <w:right w:val="nil"/>
            </w:tcBorders>
            <w:shd w:val="clear" w:color="auto" w:fill="auto"/>
            <w:noWrap/>
            <w:vAlign w:val="center"/>
            <w:hideMark/>
          </w:tcPr>
          <w:p w:rsidR="00F17649" w:rsidRPr="00F17649" w:rsidRDefault="00F17649" w:rsidP="00F17649">
            <w:pPr>
              <w:spacing w:before="0" w:after="0"/>
              <w:jc w:val="center"/>
              <w:rPr>
                <w:rFonts w:eastAsia="Times New Roman" w:cs="Times New Roman"/>
                <w:color w:val="000000"/>
                <w:sz w:val="18"/>
                <w:szCs w:val="18"/>
                <w:lang w:eastAsia="cs-CZ"/>
              </w:rPr>
            </w:pPr>
            <w:r w:rsidRPr="00F17649">
              <w:rPr>
                <w:rFonts w:eastAsia="Times New Roman" w:cs="Times New Roman"/>
                <w:color w:val="000000"/>
                <w:sz w:val="18"/>
                <w:szCs w:val="18"/>
                <w:lang w:eastAsia="cs-CZ"/>
              </w:rPr>
              <w:t>4</w:t>
            </w:r>
          </w:p>
        </w:tc>
        <w:tc>
          <w:tcPr>
            <w:tcW w:w="708" w:type="dxa"/>
            <w:tcBorders>
              <w:top w:val="nil"/>
              <w:left w:val="nil"/>
              <w:bottom w:val="nil"/>
              <w:right w:val="nil"/>
            </w:tcBorders>
            <w:shd w:val="clear" w:color="auto" w:fill="auto"/>
            <w:noWrap/>
            <w:vAlign w:val="center"/>
            <w:hideMark/>
          </w:tcPr>
          <w:p w:rsidR="00F17649" w:rsidRPr="00F17649" w:rsidRDefault="00F17649" w:rsidP="00F17649">
            <w:pPr>
              <w:spacing w:before="0" w:after="0"/>
              <w:jc w:val="center"/>
              <w:rPr>
                <w:rFonts w:eastAsia="Times New Roman" w:cs="Times New Roman"/>
                <w:color w:val="000000"/>
                <w:sz w:val="18"/>
                <w:szCs w:val="18"/>
                <w:lang w:eastAsia="cs-CZ"/>
              </w:rPr>
            </w:pPr>
          </w:p>
        </w:tc>
        <w:tc>
          <w:tcPr>
            <w:tcW w:w="851" w:type="dxa"/>
            <w:tcBorders>
              <w:top w:val="nil"/>
              <w:left w:val="nil"/>
              <w:bottom w:val="nil"/>
              <w:right w:val="nil"/>
            </w:tcBorders>
            <w:shd w:val="clear" w:color="auto" w:fill="auto"/>
            <w:noWrap/>
            <w:vAlign w:val="center"/>
            <w:hideMark/>
          </w:tcPr>
          <w:p w:rsidR="00F17649" w:rsidRPr="00F17649" w:rsidRDefault="00F17649" w:rsidP="00F17649">
            <w:pPr>
              <w:spacing w:before="0" w:after="0"/>
              <w:jc w:val="center"/>
              <w:rPr>
                <w:rFonts w:eastAsia="Times New Roman" w:cs="Times New Roman"/>
                <w:b/>
                <w:color w:val="000000"/>
                <w:sz w:val="18"/>
                <w:szCs w:val="18"/>
                <w:lang w:eastAsia="cs-CZ"/>
              </w:rPr>
            </w:pPr>
            <w:r w:rsidRPr="00F17649">
              <w:rPr>
                <w:rFonts w:eastAsia="Times New Roman" w:cs="Times New Roman"/>
                <w:b/>
                <w:color w:val="000000"/>
                <w:sz w:val="18"/>
                <w:szCs w:val="18"/>
                <w:lang w:eastAsia="cs-CZ"/>
              </w:rPr>
              <w:t>4</w:t>
            </w:r>
          </w:p>
        </w:tc>
      </w:tr>
      <w:tr w:rsidR="00F17649" w:rsidRPr="00F17649" w:rsidTr="005C45B3">
        <w:trPr>
          <w:cantSplit/>
          <w:trHeight w:val="340"/>
        </w:trPr>
        <w:tc>
          <w:tcPr>
            <w:tcW w:w="5544" w:type="dxa"/>
            <w:tcBorders>
              <w:top w:val="nil"/>
              <w:left w:val="nil"/>
              <w:bottom w:val="nil"/>
              <w:right w:val="nil"/>
            </w:tcBorders>
            <w:shd w:val="clear" w:color="auto" w:fill="auto"/>
            <w:noWrap/>
            <w:vAlign w:val="center"/>
            <w:hideMark/>
          </w:tcPr>
          <w:p w:rsidR="00F17649" w:rsidRPr="00F17649" w:rsidRDefault="00F17649" w:rsidP="00F17649">
            <w:pPr>
              <w:spacing w:before="0" w:after="0"/>
              <w:jc w:val="left"/>
              <w:rPr>
                <w:rFonts w:eastAsia="Times New Roman" w:cs="Times New Roman"/>
                <w:color w:val="000000"/>
                <w:sz w:val="18"/>
                <w:szCs w:val="18"/>
                <w:lang w:eastAsia="cs-CZ"/>
              </w:rPr>
            </w:pPr>
            <w:r w:rsidRPr="00F17649">
              <w:rPr>
                <w:rFonts w:eastAsia="Times New Roman" w:cs="Times New Roman"/>
                <w:color w:val="000000"/>
                <w:sz w:val="18"/>
                <w:szCs w:val="18"/>
                <w:lang w:eastAsia="cs-CZ"/>
              </w:rPr>
              <w:t>INSTITUT DE RADIOPROTECTION ET DE SURETE NUCLEAIRE</w:t>
            </w:r>
          </w:p>
        </w:tc>
        <w:tc>
          <w:tcPr>
            <w:tcW w:w="1276" w:type="dxa"/>
            <w:tcBorders>
              <w:top w:val="nil"/>
              <w:left w:val="nil"/>
              <w:bottom w:val="nil"/>
              <w:right w:val="nil"/>
            </w:tcBorders>
            <w:shd w:val="clear" w:color="auto" w:fill="auto"/>
            <w:noWrap/>
            <w:vAlign w:val="center"/>
            <w:hideMark/>
          </w:tcPr>
          <w:p w:rsidR="00F17649" w:rsidRPr="00F17649" w:rsidRDefault="00F17649" w:rsidP="00F17649">
            <w:pPr>
              <w:spacing w:before="0" w:after="0"/>
              <w:jc w:val="left"/>
              <w:rPr>
                <w:rFonts w:eastAsia="Times New Roman" w:cs="Times New Roman"/>
                <w:color w:val="000000"/>
                <w:sz w:val="18"/>
                <w:szCs w:val="18"/>
                <w:lang w:eastAsia="cs-CZ"/>
              </w:rPr>
            </w:pPr>
            <w:r w:rsidRPr="00F17649">
              <w:rPr>
                <w:rFonts w:eastAsia="Times New Roman" w:cs="Times New Roman"/>
                <w:color w:val="000000"/>
                <w:sz w:val="18"/>
                <w:szCs w:val="18"/>
                <w:lang w:eastAsia="cs-CZ"/>
              </w:rPr>
              <w:t>Francie</w:t>
            </w:r>
          </w:p>
        </w:tc>
        <w:tc>
          <w:tcPr>
            <w:tcW w:w="709" w:type="dxa"/>
            <w:tcBorders>
              <w:top w:val="nil"/>
              <w:left w:val="nil"/>
              <w:bottom w:val="nil"/>
              <w:right w:val="nil"/>
            </w:tcBorders>
            <w:shd w:val="clear" w:color="auto" w:fill="auto"/>
            <w:noWrap/>
            <w:vAlign w:val="center"/>
            <w:hideMark/>
          </w:tcPr>
          <w:p w:rsidR="00F17649" w:rsidRPr="00F17649" w:rsidRDefault="00F17649" w:rsidP="00F17649">
            <w:pPr>
              <w:spacing w:before="0" w:after="0"/>
              <w:jc w:val="center"/>
              <w:rPr>
                <w:rFonts w:eastAsia="Times New Roman" w:cs="Times New Roman"/>
                <w:color w:val="000000"/>
                <w:sz w:val="18"/>
                <w:szCs w:val="18"/>
                <w:lang w:eastAsia="cs-CZ"/>
              </w:rPr>
            </w:pPr>
            <w:r w:rsidRPr="00F17649">
              <w:rPr>
                <w:rFonts w:eastAsia="Times New Roman" w:cs="Times New Roman"/>
                <w:color w:val="000000"/>
                <w:sz w:val="18"/>
                <w:szCs w:val="18"/>
                <w:lang w:eastAsia="cs-CZ"/>
              </w:rPr>
              <w:t>2</w:t>
            </w:r>
          </w:p>
        </w:tc>
        <w:tc>
          <w:tcPr>
            <w:tcW w:w="708" w:type="dxa"/>
            <w:tcBorders>
              <w:top w:val="nil"/>
              <w:left w:val="nil"/>
              <w:bottom w:val="nil"/>
              <w:right w:val="nil"/>
            </w:tcBorders>
            <w:shd w:val="clear" w:color="auto" w:fill="auto"/>
            <w:noWrap/>
            <w:vAlign w:val="center"/>
            <w:hideMark/>
          </w:tcPr>
          <w:p w:rsidR="00F17649" w:rsidRPr="00F17649" w:rsidRDefault="00F17649" w:rsidP="00F17649">
            <w:pPr>
              <w:spacing w:before="0" w:after="0"/>
              <w:jc w:val="center"/>
              <w:rPr>
                <w:rFonts w:eastAsia="Times New Roman" w:cs="Times New Roman"/>
                <w:color w:val="000000"/>
                <w:sz w:val="18"/>
                <w:szCs w:val="18"/>
                <w:lang w:eastAsia="cs-CZ"/>
              </w:rPr>
            </w:pPr>
            <w:r w:rsidRPr="00F17649">
              <w:rPr>
                <w:rFonts w:eastAsia="Times New Roman" w:cs="Times New Roman"/>
                <w:color w:val="000000"/>
                <w:sz w:val="18"/>
                <w:szCs w:val="18"/>
                <w:lang w:eastAsia="cs-CZ"/>
              </w:rPr>
              <w:t>2</w:t>
            </w:r>
          </w:p>
        </w:tc>
        <w:tc>
          <w:tcPr>
            <w:tcW w:w="851" w:type="dxa"/>
            <w:tcBorders>
              <w:top w:val="nil"/>
              <w:left w:val="nil"/>
              <w:bottom w:val="nil"/>
              <w:right w:val="nil"/>
            </w:tcBorders>
            <w:shd w:val="clear" w:color="auto" w:fill="auto"/>
            <w:noWrap/>
            <w:vAlign w:val="center"/>
            <w:hideMark/>
          </w:tcPr>
          <w:p w:rsidR="00F17649" w:rsidRPr="00F17649" w:rsidRDefault="00F17649" w:rsidP="00F17649">
            <w:pPr>
              <w:spacing w:before="0" w:after="0"/>
              <w:jc w:val="center"/>
              <w:rPr>
                <w:rFonts w:eastAsia="Times New Roman" w:cs="Times New Roman"/>
                <w:b/>
                <w:color w:val="000000"/>
                <w:sz w:val="18"/>
                <w:szCs w:val="18"/>
                <w:lang w:eastAsia="cs-CZ"/>
              </w:rPr>
            </w:pPr>
            <w:r w:rsidRPr="00F17649">
              <w:rPr>
                <w:rFonts w:eastAsia="Times New Roman" w:cs="Times New Roman"/>
                <w:b/>
                <w:color w:val="000000"/>
                <w:sz w:val="18"/>
                <w:szCs w:val="18"/>
                <w:lang w:eastAsia="cs-CZ"/>
              </w:rPr>
              <w:t>4</w:t>
            </w:r>
          </w:p>
        </w:tc>
      </w:tr>
      <w:tr w:rsidR="00F17649" w:rsidRPr="00F17649" w:rsidTr="005C45B3">
        <w:trPr>
          <w:cantSplit/>
          <w:trHeight w:val="340"/>
        </w:trPr>
        <w:tc>
          <w:tcPr>
            <w:tcW w:w="5544" w:type="dxa"/>
            <w:tcBorders>
              <w:top w:val="nil"/>
              <w:left w:val="nil"/>
              <w:bottom w:val="nil"/>
              <w:right w:val="nil"/>
            </w:tcBorders>
            <w:shd w:val="clear" w:color="auto" w:fill="auto"/>
            <w:noWrap/>
            <w:vAlign w:val="center"/>
            <w:hideMark/>
          </w:tcPr>
          <w:p w:rsidR="00F17649" w:rsidRPr="00F17649" w:rsidRDefault="00F17649" w:rsidP="00F17649">
            <w:pPr>
              <w:spacing w:before="0" w:after="0"/>
              <w:jc w:val="left"/>
              <w:rPr>
                <w:rFonts w:eastAsia="Times New Roman" w:cs="Times New Roman"/>
                <w:color w:val="000000"/>
                <w:sz w:val="18"/>
                <w:szCs w:val="18"/>
                <w:lang w:eastAsia="cs-CZ"/>
              </w:rPr>
            </w:pPr>
            <w:r w:rsidRPr="00F17649">
              <w:rPr>
                <w:rFonts w:eastAsia="Times New Roman" w:cs="Times New Roman"/>
                <w:color w:val="000000"/>
                <w:sz w:val="18"/>
                <w:szCs w:val="18"/>
                <w:lang w:eastAsia="cs-CZ"/>
              </w:rPr>
              <w:t>JRC -JOINT RESEARCH CENTRE- EUROPEAN COMMISSION</w:t>
            </w:r>
          </w:p>
        </w:tc>
        <w:tc>
          <w:tcPr>
            <w:tcW w:w="1276" w:type="dxa"/>
            <w:tcBorders>
              <w:top w:val="nil"/>
              <w:left w:val="nil"/>
              <w:bottom w:val="nil"/>
              <w:right w:val="nil"/>
            </w:tcBorders>
            <w:shd w:val="clear" w:color="auto" w:fill="auto"/>
            <w:noWrap/>
            <w:vAlign w:val="center"/>
            <w:hideMark/>
          </w:tcPr>
          <w:p w:rsidR="00F17649" w:rsidRPr="00F17649" w:rsidRDefault="00F17649" w:rsidP="00F17649">
            <w:pPr>
              <w:spacing w:before="0" w:after="0"/>
              <w:jc w:val="left"/>
              <w:rPr>
                <w:rFonts w:eastAsia="Times New Roman" w:cs="Times New Roman"/>
                <w:color w:val="000000"/>
                <w:sz w:val="18"/>
                <w:szCs w:val="18"/>
                <w:lang w:eastAsia="cs-CZ"/>
              </w:rPr>
            </w:pPr>
            <w:r w:rsidRPr="00F17649">
              <w:rPr>
                <w:rFonts w:eastAsia="Times New Roman" w:cs="Times New Roman"/>
                <w:color w:val="000000"/>
                <w:sz w:val="18"/>
                <w:szCs w:val="18"/>
                <w:lang w:eastAsia="cs-CZ"/>
              </w:rPr>
              <w:t>Evropská unie</w:t>
            </w:r>
          </w:p>
        </w:tc>
        <w:tc>
          <w:tcPr>
            <w:tcW w:w="709" w:type="dxa"/>
            <w:tcBorders>
              <w:top w:val="nil"/>
              <w:left w:val="nil"/>
              <w:bottom w:val="nil"/>
              <w:right w:val="nil"/>
            </w:tcBorders>
            <w:shd w:val="clear" w:color="auto" w:fill="auto"/>
            <w:noWrap/>
            <w:vAlign w:val="center"/>
            <w:hideMark/>
          </w:tcPr>
          <w:p w:rsidR="00F17649" w:rsidRPr="00F17649" w:rsidRDefault="00F17649" w:rsidP="00F17649">
            <w:pPr>
              <w:spacing w:before="0" w:after="0"/>
              <w:jc w:val="center"/>
              <w:rPr>
                <w:rFonts w:eastAsia="Times New Roman" w:cs="Times New Roman"/>
                <w:color w:val="000000"/>
                <w:sz w:val="18"/>
                <w:szCs w:val="18"/>
                <w:lang w:eastAsia="cs-CZ"/>
              </w:rPr>
            </w:pPr>
            <w:r w:rsidRPr="00F17649">
              <w:rPr>
                <w:rFonts w:eastAsia="Times New Roman" w:cs="Times New Roman"/>
                <w:color w:val="000000"/>
                <w:sz w:val="18"/>
                <w:szCs w:val="18"/>
                <w:lang w:eastAsia="cs-CZ"/>
              </w:rPr>
              <w:t>4</w:t>
            </w:r>
          </w:p>
        </w:tc>
        <w:tc>
          <w:tcPr>
            <w:tcW w:w="708" w:type="dxa"/>
            <w:tcBorders>
              <w:top w:val="nil"/>
              <w:left w:val="nil"/>
              <w:bottom w:val="nil"/>
              <w:right w:val="nil"/>
            </w:tcBorders>
            <w:shd w:val="clear" w:color="auto" w:fill="auto"/>
            <w:noWrap/>
            <w:vAlign w:val="center"/>
            <w:hideMark/>
          </w:tcPr>
          <w:p w:rsidR="00F17649" w:rsidRPr="00F17649" w:rsidRDefault="00F17649" w:rsidP="00F17649">
            <w:pPr>
              <w:spacing w:before="0" w:after="0"/>
              <w:jc w:val="center"/>
              <w:rPr>
                <w:rFonts w:eastAsia="Times New Roman" w:cs="Times New Roman"/>
                <w:color w:val="000000"/>
                <w:sz w:val="18"/>
                <w:szCs w:val="18"/>
                <w:lang w:eastAsia="cs-CZ"/>
              </w:rPr>
            </w:pPr>
          </w:p>
        </w:tc>
        <w:tc>
          <w:tcPr>
            <w:tcW w:w="851" w:type="dxa"/>
            <w:tcBorders>
              <w:top w:val="nil"/>
              <w:left w:val="nil"/>
              <w:bottom w:val="nil"/>
              <w:right w:val="nil"/>
            </w:tcBorders>
            <w:shd w:val="clear" w:color="auto" w:fill="auto"/>
            <w:noWrap/>
            <w:vAlign w:val="center"/>
            <w:hideMark/>
          </w:tcPr>
          <w:p w:rsidR="00F17649" w:rsidRPr="00F17649" w:rsidRDefault="00F17649" w:rsidP="00F17649">
            <w:pPr>
              <w:spacing w:before="0" w:after="0"/>
              <w:jc w:val="center"/>
              <w:rPr>
                <w:rFonts w:eastAsia="Times New Roman" w:cs="Times New Roman"/>
                <w:b/>
                <w:color w:val="000000"/>
                <w:sz w:val="18"/>
                <w:szCs w:val="18"/>
                <w:lang w:eastAsia="cs-CZ"/>
              </w:rPr>
            </w:pPr>
            <w:r w:rsidRPr="00F17649">
              <w:rPr>
                <w:rFonts w:eastAsia="Times New Roman" w:cs="Times New Roman"/>
                <w:b/>
                <w:color w:val="000000"/>
                <w:sz w:val="18"/>
                <w:szCs w:val="18"/>
                <w:lang w:eastAsia="cs-CZ"/>
              </w:rPr>
              <w:t>4</w:t>
            </w:r>
          </w:p>
        </w:tc>
      </w:tr>
      <w:tr w:rsidR="00F17649" w:rsidRPr="00F17649" w:rsidTr="005C45B3">
        <w:trPr>
          <w:cantSplit/>
          <w:trHeight w:val="340"/>
        </w:trPr>
        <w:tc>
          <w:tcPr>
            <w:tcW w:w="5544" w:type="dxa"/>
            <w:tcBorders>
              <w:top w:val="nil"/>
              <w:left w:val="nil"/>
              <w:right w:val="nil"/>
            </w:tcBorders>
            <w:shd w:val="clear" w:color="auto" w:fill="auto"/>
            <w:noWrap/>
            <w:vAlign w:val="center"/>
            <w:hideMark/>
          </w:tcPr>
          <w:p w:rsidR="00F17649" w:rsidRPr="00F17649" w:rsidRDefault="00F17649" w:rsidP="00F17649">
            <w:pPr>
              <w:spacing w:before="0" w:after="0"/>
              <w:jc w:val="left"/>
              <w:rPr>
                <w:rFonts w:eastAsia="Times New Roman" w:cs="Times New Roman"/>
                <w:color w:val="000000"/>
                <w:sz w:val="18"/>
                <w:szCs w:val="18"/>
                <w:lang w:eastAsia="cs-CZ"/>
              </w:rPr>
            </w:pPr>
            <w:r w:rsidRPr="00F17649">
              <w:rPr>
                <w:rFonts w:eastAsia="Times New Roman" w:cs="Times New Roman"/>
                <w:color w:val="000000"/>
                <w:sz w:val="18"/>
                <w:szCs w:val="18"/>
                <w:lang w:eastAsia="cs-CZ"/>
              </w:rPr>
              <w:t>ROMANIAN SPACE AGENCY</w:t>
            </w:r>
          </w:p>
        </w:tc>
        <w:tc>
          <w:tcPr>
            <w:tcW w:w="1276" w:type="dxa"/>
            <w:tcBorders>
              <w:top w:val="nil"/>
              <w:left w:val="nil"/>
              <w:right w:val="nil"/>
            </w:tcBorders>
            <w:shd w:val="clear" w:color="auto" w:fill="auto"/>
            <w:noWrap/>
            <w:vAlign w:val="center"/>
            <w:hideMark/>
          </w:tcPr>
          <w:p w:rsidR="00F17649" w:rsidRPr="00F17649" w:rsidRDefault="00F17649" w:rsidP="00F17649">
            <w:pPr>
              <w:spacing w:before="0" w:after="0"/>
              <w:jc w:val="left"/>
              <w:rPr>
                <w:rFonts w:eastAsia="Times New Roman" w:cs="Times New Roman"/>
                <w:color w:val="000000"/>
                <w:sz w:val="18"/>
                <w:szCs w:val="18"/>
                <w:lang w:eastAsia="cs-CZ"/>
              </w:rPr>
            </w:pPr>
            <w:r w:rsidRPr="00F17649">
              <w:rPr>
                <w:rFonts w:eastAsia="Times New Roman" w:cs="Times New Roman"/>
                <w:color w:val="000000"/>
                <w:sz w:val="18"/>
                <w:szCs w:val="18"/>
                <w:lang w:eastAsia="cs-CZ"/>
              </w:rPr>
              <w:t>Rumunsko</w:t>
            </w:r>
          </w:p>
        </w:tc>
        <w:tc>
          <w:tcPr>
            <w:tcW w:w="709" w:type="dxa"/>
            <w:tcBorders>
              <w:top w:val="nil"/>
              <w:left w:val="nil"/>
              <w:right w:val="nil"/>
            </w:tcBorders>
            <w:shd w:val="clear" w:color="auto" w:fill="auto"/>
            <w:noWrap/>
            <w:vAlign w:val="center"/>
            <w:hideMark/>
          </w:tcPr>
          <w:p w:rsidR="00F17649" w:rsidRPr="00F17649" w:rsidRDefault="00F17649" w:rsidP="00F17649">
            <w:pPr>
              <w:spacing w:before="0" w:after="0"/>
              <w:jc w:val="center"/>
              <w:rPr>
                <w:rFonts w:eastAsia="Times New Roman" w:cs="Times New Roman"/>
                <w:color w:val="000000"/>
                <w:sz w:val="18"/>
                <w:szCs w:val="18"/>
                <w:lang w:eastAsia="cs-CZ"/>
              </w:rPr>
            </w:pPr>
            <w:r w:rsidRPr="00F17649">
              <w:rPr>
                <w:rFonts w:eastAsia="Times New Roman" w:cs="Times New Roman"/>
                <w:color w:val="000000"/>
                <w:sz w:val="18"/>
                <w:szCs w:val="18"/>
                <w:lang w:eastAsia="cs-CZ"/>
              </w:rPr>
              <w:t>3</w:t>
            </w:r>
          </w:p>
        </w:tc>
        <w:tc>
          <w:tcPr>
            <w:tcW w:w="708" w:type="dxa"/>
            <w:tcBorders>
              <w:top w:val="nil"/>
              <w:left w:val="nil"/>
              <w:right w:val="nil"/>
            </w:tcBorders>
            <w:shd w:val="clear" w:color="auto" w:fill="auto"/>
            <w:noWrap/>
            <w:vAlign w:val="center"/>
            <w:hideMark/>
          </w:tcPr>
          <w:p w:rsidR="00F17649" w:rsidRPr="00F17649" w:rsidRDefault="00F17649" w:rsidP="00F17649">
            <w:pPr>
              <w:spacing w:before="0" w:after="0"/>
              <w:jc w:val="center"/>
              <w:rPr>
                <w:rFonts w:eastAsia="Times New Roman" w:cs="Times New Roman"/>
                <w:color w:val="000000"/>
                <w:sz w:val="18"/>
                <w:szCs w:val="18"/>
                <w:lang w:eastAsia="cs-CZ"/>
              </w:rPr>
            </w:pPr>
            <w:r w:rsidRPr="00F17649">
              <w:rPr>
                <w:rFonts w:eastAsia="Times New Roman" w:cs="Times New Roman"/>
                <w:color w:val="000000"/>
                <w:sz w:val="18"/>
                <w:szCs w:val="18"/>
                <w:lang w:eastAsia="cs-CZ"/>
              </w:rPr>
              <w:t>1</w:t>
            </w:r>
          </w:p>
        </w:tc>
        <w:tc>
          <w:tcPr>
            <w:tcW w:w="851" w:type="dxa"/>
            <w:tcBorders>
              <w:top w:val="nil"/>
              <w:left w:val="nil"/>
              <w:right w:val="nil"/>
            </w:tcBorders>
            <w:shd w:val="clear" w:color="auto" w:fill="auto"/>
            <w:noWrap/>
            <w:vAlign w:val="center"/>
            <w:hideMark/>
          </w:tcPr>
          <w:p w:rsidR="00F17649" w:rsidRPr="00F17649" w:rsidRDefault="00F17649" w:rsidP="00F17649">
            <w:pPr>
              <w:spacing w:before="0" w:after="0"/>
              <w:jc w:val="center"/>
              <w:rPr>
                <w:rFonts w:eastAsia="Times New Roman" w:cs="Times New Roman"/>
                <w:b/>
                <w:color w:val="000000"/>
                <w:sz w:val="18"/>
                <w:szCs w:val="18"/>
                <w:lang w:eastAsia="cs-CZ"/>
              </w:rPr>
            </w:pPr>
            <w:r w:rsidRPr="00F17649">
              <w:rPr>
                <w:rFonts w:eastAsia="Times New Roman" w:cs="Times New Roman"/>
                <w:b/>
                <w:color w:val="000000"/>
                <w:sz w:val="18"/>
                <w:szCs w:val="18"/>
                <w:lang w:eastAsia="cs-CZ"/>
              </w:rPr>
              <w:t>4</w:t>
            </w:r>
          </w:p>
        </w:tc>
      </w:tr>
      <w:tr w:rsidR="00F17649" w:rsidRPr="00F17649" w:rsidTr="005C45B3">
        <w:trPr>
          <w:cantSplit/>
          <w:trHeight w:val="340"/>
        </w:trPr>
        <w:tc>
          <w:tcPr>
            <w:tcW w:w="5544" w:type="dxa"/>
            <w:tcBorders>
              <w:top w:val="nil"/>
              <w:left w:val="nil"/>
              <w:bottom w:val="single" w:sz="4" w:space="0" w:color="auto"/>
              <w:right w:val="nil"/>
            </w:tcBorders>
            <w:shd w:val="clear" w:color="auto" w:fill="auto"/>
            <w:noWrap/>
            <w:vAlign w:val="center"/>
            <w:hideMark/>
          </w:tcPr>
          <w:p w:rsidR="00F17649" w:rsidRPr="00F17649" w:rsidRDefault="00F17649" w:rsidP="00F17649">
            <w:pPr>
              <w:spacing w:before="0" w:after="0"/>
              <w:jc w:val="left"/>
              <w:rPr>
                <w:rFonts w:eastAsia="Times New Roman" w:cs="Times New Roman"/>
                <w:color w:val="000000"/>
                <w:sz w:val="18"/>
                <w:szCs w:val="18"/>
                <w:lang w:eastAsia="cs-CZ"/>
              </w:rPr>
            </w:pPr>
            <w:r w:rsidRPr="00F17649">
              <w:rPr>
                <w:rFonts w:eastAsia="Times New Roman" w:cs="Times New Roman"/>
                <w:color w:val="000000"/>
                <w:sz w:val="18"/>
                <w:szCs w:val="18"/>
                <w:lang w:eastAsia="cs-CZ"/>
              </w:rPr>
              <w:t>TURKIYE BILIMSEL VE TEKNOLOJIK ARASTIRMA KURUMU</w:t>
            </w:r>
          </w:p>
        </w:tc>
        <w:tc>
          <w:tcPr>
            <w:tcW w:w="1276" w:type="dxa"/>
            <w:tcBorders>
              <w:top w:val="nil"/>
              <w:left w:val="nil"/>
              <w:bottom w:val="single" w:sz="4" w:space="0" w:color="auto"/>
              <w:right w:val="nil"/>
            </w:tcBorders>
            <w:shd w:val="clear" w:color="auto" w:fill="auto"/>
            <w:noWrap/>
            <w:vAlign w:val="center"/>
            <w:hideMark/>
          </w:tcPr>
          <w:p w:rsidR="00F17649" w:rsidRPr="00F17649" w:rsidRDefault="00F17649" w:rsidP="00F17649">
            <w:pPr>
              <w:spacing w:before="0" w:after="0"/>
              <w:jc w:val="left"/>
              <w:rPr>
                <w:rFonts w:eastAsia="Times New Roman" w:cs="Times New Roman"/>
                <w:color w:val="000000"/>
                <w:sz w:val="18"/>
                <w:szCs w:val="18"/>
                <w:lang w:eastAsia="cs-CZ"/>
              </w:rPr>
            </w:pPr>
            <w:r w:rsidRPr="00F17649">
              <w:rPr>
                <w:rFonts w:eastAsia="Times New Roman" w:cs="Times New Roman"/>
                <w:color w:val="000000"/>
                <w:sz w:val="18"/>
                <w:szCs w:val="18"/>
                <w:lang w:eastAsia="cs-CZ"/>
              </w:rPr>
              <w:t>Turecko</w:t>
            </w:r>
          </w:p>
        </w:tc>
        <w:tc>
          <w:tcPr>
            <w:tcW w:w="709" w:type="dxa"/>
            <w:tcBorders>
              <w:top w:val="nil"/>
              <w:left w:val="nil"/>
              <w:bottom w:val="single" w:sz="4" w:space="0" w:color="auto"/>
              <w:right w:val="nil"/>
            </w:tcBorders>
            <w:shd w:val="clear" w:color="auto" w:fill="auto"/>
            <w:noWrap/>
            <w:vAlign w:val="center"/>
            <w:hideMark/>
          </w:tcPr>
          <w:p w:rsidR="00F17649" w:rsidRPr="00F17649" w:rsidRDefault="00F17649" w:rsidP="00F17649">
            <w:pPr>
              <w:spacing w:before="0" w:after="0"/>
              <w:jc w:val="center"/>
              <w:rPr>
                <w:rFonts w:eastAsia="Times New Roman" w:cs="Times New Roman"/>
                <w:color w:val="000000"/>
                <w:sz w:val="18"/>
                <w:szCs w:val="18"/>
                <w:lang w:eastAsia="cs-CZ"/>
              </w:rPr>
            </w:pPr>
            <w:r w:rsidRPr="00F17649">
              <w:rPr>
                <w:rFonts w:eastAsia="Times New Roman" w:cs="Times New Roman"/>
                <w:color w:val="000000"/>
                <w:sz w:val="18"/>
                <w:szCs w:val="18"/>
                <w:lang w:eastAsia="cs-CZ"/>
              </w:rPr>
              <w:t>3</w:t>
            </w:r>
          </w:p>
        </w:tc>
        <w:tc>
          <w:tcPr>
            <w:tcW w:w="708" w:type="dxa"/>
            <w:tcBorders>
              <w:top w:val="nil"/>
              <w:left w:val="nil"/>
              <w:bottom w:val="single" w:sz="4" w:space="0" w:color="auto"/>
              <w:right w:val="nil"/>
            </w:tcBorders>
            <w:shd w:val="clear" w:color="auto" w:fill="auto"/>
            <w:noWrap/>
            <w:vAlign w:val="center"/>
            <w:hideMark/>
          </w:tcPr>
          <w:p w:rsidR="00F17649" w:rsidRPr="00F17649" w:rsidRDefault="00F17649" w:rsidP="00F17649">
            <w:pPr>
              <w:spacing w:before="0" w:after="0"/>
              <w:jc w:val="center"/>
              <w:rPr>
                <w:rFonts w:eastAsia="Times New Roman" w:cs="Times New Roman"/>
                <w:color w:val="000000"/>
                <w:sz w:val="18"/>
                <w:szCs w:val="18"/>
                <w:lang w:eastAsia="cs-CZ"/>
              </w:rPr>
            </w:pPr>
            <w:r w:rsidRPr="00F17649">
              <w:rPr>
                <w:rFonts w:eastAsia="Times New Roman" w:cs="Times New Roman"/>
                <w:color w:val="000000"/>
                <w:sz w:val="18"/>
                <w:szCs w:val="18"/>
                <w:lang w:eastAsia="cs-CZ"/>
              </w:rPr>
              <w:t>1</w:t>
            </w:r>
          </w:p>
        </w:tc>
        <w:tc>
          <w:tcPr>
            <w:tcW w:w="851" w:type="dxa"/>
            <w:tcBorders>
              <w:top w:val="nil"/>
              <w:left w:val="nil"/>
              <w:bottom w:val="single" w:sz="4" w:space="0" w:color="auto"/>
              <w:right w:val="nil"/>
            </w:tcBorders>
            <w:shd w:val="clear" w:color="auto" w:fill="auto"/>
            <w:noWrap/>
            <w:vAlign w:val="center"/>
            <w:hideMark/>
          </w:tcPr>
          <w:p w:rsidR="00F17649" w:rsidRPr="00F17649" w:rsidRDefault="00F17649" w:rsidP="00F17649">
            <w:pPr>
              <w:spacing w:before="0" w:after="0"/>
              <w:jc w:val="center"/>
              <w:rPr>
                <w:rFonts w:eastAsia="Times New Roman" w:cs="Times New Roman"/>
                <w:b/>
                <w:color w:val="000000"/>
                <w:sz w:val="18"/>
                <w:szCs w:val="18"/>
                <w:lang w:eastAsia="cs-CZ"/>
              </w:rPr>
            </w:pPr>
            <w:r w:rsidRPr="00F17649">
              <w:rPr>
                <w:rFonts w:eastAsia="Times New Roman" w:cs="Times New Roman"/>
                <w:b/>
                <w:color w:val="000000"/>
                <w:sz w:val="18"/>
                <w:szCs w:val="18"/>
                <w:lang w:eastAsia="cs-CZ"/>
              </w:rPr>
              <w:t>4</w:t>
            </w:r>
          </w:p>
        </w:tc>
      </w:tr>
    </w:tbl>
    <w:p w:rsidR="00F17649" w:rsidRDefault="00F17649" w:rsidP="0057397D">
      <w:pPr>
        <w:rPr>
          <w:lang w:eastAsia="cs-CZ"/>
        </w:rPr>
      </w:pPr>
    </w:p>
    <w:p w:rsidR="00B849AE" w:rsidRPr="00FB7964" w:rsidRDefault="00B849AE" w:rsidP="00FB7964">
      <w:pPr>
        <w:pStyle w:val="Nadpis3"/>
      </w:pPr>
      <w:bookmarkStart w:id="152" w:name="_Toc459723303"/>
      <w:r w:rsidRPr="00FB7964">
        <w:t>Mezinárodní spolupráce v dalších programech</w:t>
      </w:r>
      <w:bookmarkEnd w:id="152"/>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9430"/>
      </w:tblGrid>
      <w:tr w:rsidR="0094219D" w:rsidTr="00B102EC">
        <w:tc>
          <w:tcPr>
            <w:tcW w:w="9430" w:type="dxa"/>
            <w:shd w:val="clear" w:color="auto" w:fill="F2F2F2" w:themeFill="background1" w:themeFillShade="F2"/>
          </w:tcPr>
          <w:p w:rsidR="0094219D" w:rsidRDefault="009148E8" w:rsidP="00BB35E9">
            <w:pPr>
              <w:rPr>
                <w:lang w:eastAsia="cs-CZ"/>
              </w:rPr>
            </w:pPr>
            <w:r>
              <w:rPr>
                <w:lang w:eastAsia="cs-CZ"/>
              </w:rPr>
              <w:t>Také v programech na podporu mezinárodní spolupráce ve VaV v gesci MŠMT byla řešena řada projektů týkají</w:t>
            </w:r>
            <w:r w:rsidR="00BB35E9">
              <w:rPr>
                <w:lang w:eastAsia="cs-CZ"/>
              </w:rPr>
              <w:t>cí</w:t>
            </w:r>
            <w:r>
              <w:rPr>
                <w:lang w:eastAsia="cs-CZ"/>
              </w:rPr>
              <w:t xml:space="preserve">ch se problematiky bezpečnosti. </w:t>
            </w:r>
            <w:r w:rsidR="00BB35E9" w:rsidRPr="00BB35E9">
              <w:rPr>
                <w:lang w:eastAsia="cs-CZ"/>
              </w:rPr>
              <w:t>Nejvíce projektů bylo podpořeno v iniciativě E</w:t>
            </w:r>
            <w:r w:rsidR="00905C02">
              <w:rPr>
                <w:lang w:eastAsia="cs-CZ"/>
              </w:rPr>
              <w:t>UREKA</w:t>
            </w:r>
            <w:r w:rsidR="00BB35E9" w:rsidRPr="00BB35E9">
              <w:rPr>
                <w:lang w:eastAsia="cs-CZ"/>
              </w:rPr>
              <w:t xml:space="preserve">, kde jsou podporovány společné </w:t>
            </w:r>
            <w:r w:rsidR="00BB35E9">
              <w:rPr>
                <w:lang w:eastAsia="cs-CZ"/>
              </w:rPr>
              <w:t xml:space="preserve">mezinárodní </w:t>
            </w:r>
            <w:r w:rsidR="00BB35E9" w:rsidRPr="00BB35E9">
              <w:rPr>
                <w:lang w:eastAsia="cs-CZ"/>
              </w:rPr>
              <w:t>projekty průmyslových firem, výzkumných ústavů a VŠ zaměřené na VaV inovačních produktů, procesů a služeb.</w:t>
            </w:r>
            <w:r w:rsidR="00BB35E9">
              <w:rPr>
                <w:lang w:eastAsia="cs-CZ"/>
              </w:rPr>
              <w:t xml:space="preserve"> V</w:t>
            </w:r>
            <w:r w:rsidR="00BB35E9" w:rsidRPr="00BB35E9">
              <w:rPr>
                <w:lang w:eastAsia="cs-CZ"/>
              </w:rPr>
              <w:t>ysoký počet projektů byl t</w:t>
            </w:r>
            <w:r w:rsidR="00BB35E9">
              <w:rPr>
                <w:lang w:eastAsia="cs-CZ"/>
              </w:rPr>
              <w:t>aké podpořen v programu Kontakt</w:t>
            </w:r>
            <w:r w:rsidR="00BB35E9" w:rsidRPr="00BB35E9">
              <w:rPr>
                <w:lang w:eastAsia="cs-CZ"/>
              </w:rPr>
              <w:t>, kde jsou podporovány projekty základního a aplikovaného VaV s institucemi z nečlenských států EU</w:t>
            </w:r>
            <w:r w:rsidR="00BB35E9">
              <w:rPr>
                <w:lang w:eastAsia="cs-CZ"/>
              </w:rPr>
              <w:t>.</w:t>
            </w:r>
          </w:p>
          <w:p w:rsidR="00BB35E9" w:rsidRDefault="00711615" w:rsidP="00BB35E9">
            <w:pPr>
              <w:rPr>
                <w:lang w:eastAsia="cs-CZ"/>
              </w:rPr>
            </w:pPr>
            <w:r w:rsidRPr="00711615">
              <w:rPr>
                <w:lang w:eastAsia="cs-CZ"/>
              </w:rPr>
              <w:t>Podpořené projekty byly zaměřeny zejména na obory technických a přírodních věd. Největší část projektů byla zaměřena na elektroniku, optoelektroniku a elektrotechniku</w:t>
            </w:r>
            <w:r>
              <w:rPr>
                <w:lang w:eastAsia="cs-CZ"/>
              </w:rPr>
              <w:t>, p</w:t>
            </w:r>
            <w:r w:rsidRPr="00711615">
              <w:rPr>
                <w:lang w:eastAsia="cs-CZ"/>
              </w:rPr>
              <w:t xml:space="preserve">oměrně vysokou podporu také získaly projekty z oblasti informatiky. </w:t>
            </w:r>
            <w:r>
              <w:rPr>
                <w:lang w:eastAsia="cs-CZ"/>
              </w:rPr>
              <w:t xml:space="preserve">Oborové zaměření projektů </w:t>
            </w:r>
            <w:r w:rsidRPr="00711615">
              <w:rPr>
                <w:lang w:eastAsia="cs-CZ"/>
              </w:rPr>
              <w:t>souvisí s tím, že většina nalezených projektů s bezpečnostní tematikou byla podpořena v iniciativě E</w:t>
            </w:r>
            <w:r w:rsidR="00905C02">
              <w:rPr>
                <w:lang w:eastAsia="cs-CZ"/>
              </w:rPr>
              <w:t>UREKA</w:t>
            </w:r>
            <w:r w:rsidRPr="00711615">
              <w:rPr>
                <w:lang w:eastAsia="cs-CZ"/>
              </w:rPr>
              <w:t>, jejímž cílem je VaV nových produktů, procesů a služeb a zvyšování konkurenceschopnosti podniků.</w:t>
            </w:r>
          </w:p>
          <w:p w:rsidR="00BB35E9" w:rsidRDefault="00BB35E9" w:rsidP="00711615">
            <w:pPr>
              <w:rPr>
                <w:lang w:eastAsia="cs-CZ"/>
              </w:rPr>
            </w:pPr>
            <w:r>
              <w:rPr>
                <w:lang w:eastAsia="cs-CZ"/>
              </w:rPr>
              <w:t>V</w:t>
            </w:r>
            <w:r w:rsidRPr="00BB35E9">
              <w:rPr>
                <w:lang w:eastAsia="cs-CZ"/>
              </w:rPr>
              <w:t xml:space="preserve"> bezpečnostně zaměřených projektech mezinárodní spolupráce ve VaV </w:t>
            </w:r>
            <w:r>
              <w:rPr>
                <w:lang w:eastAsia="cs-CZ"/>
              </w:rPr>
              <w:t>byly n</w:t>
            </w:r>
            <w:r w:rsidRPr="00BB35E9">
              <w:rPr>
                <w:lang w:eastAsia="cs-CZ"/>
              </w:rPr>
              <w:t>ejvíce zapojeny Západočeská univerzita v Plzni a ČVUT v Praze. Dalšími aktivními VŠ jsou Masarykova univerzita v Brně a VUT v Brně.</w:t>
            </w:r>
            <w:r>
              <w:rPr>
                <w:lang w:eastAsia="cs-CZ"/>
              </w:rPr>
              <w:t xml:space="preserve"> Z podnikového sektoru byly nejaktivnější společnosti Vodní zdroje</w:t>
            </w:r>
            <w:r w:rsidR="00711615">
              <w:rPr>
                <w:lang w:eastAsia="cs-CZ"/>
              </w:rPr>
              <w:t>.</w:t>
            </w:r>
          </w:p>
        </w:tc>
      </w:tr>
    </w:tbl>
    <w:p w:rsidR="00114F1A" w:rsidRDefault="008D691F" w:rsidP="00114F1A">
      <w:pPr>
        <w:rPr>
          <w:lang w:eastAsia="cs-CZ"/>
        </w:rPr>
      </w:pPr>
      <w:r>
        <w:rPr>
          <w:lang w:eastAsia="cs-CZ"/>
        </w:rPr>
        <w:t xml:space="preserve">V některých programech na podporu mezinárodní spolupráce ve VaV </w:t>
      </w:r>
      <w:r w:rsidR="00F47DE1">
        <w:rPr>
          <w:lang w:eastAsia="cs-CZ"/>
        </w:rPr>
        <w:t xml:space="preserve">byly také podpořeny projekty řešící některé aspekty bezpečnosti nebo s výsledky, které mohou najít uplatnění v bezpečnostní oblasti. </w:t>
      </w:r>
      <w:r w:rsidR="009C71EB">
        <w:rPr>
          <w:lang w:eastAsia="cs-CZ"/>
        </w:rPr>
        <w:t xml:space="preserve">S využitím stejných klíčových slov jako v případě </w:t>
      </w:r>
      <w:r w:rsidR="00504297">
        <w:rPr>
          <w:lang w:eastAsia="cs-CZ"/>
        </w:rPr>
        <w:t>předcházejících analýz byl</w:t>
      </w:r>
      <w:r w:rsidR="00114F1A">
        <w:rPr>
          <w:lang w:eastAsia="cs-CZ"/>
        </w:rPr>
        <w:t xml:space="preserve">o v IS VaVaI nalezeno celkem 46 </w:t>
      </w:r>
      <w:r w:rsidR="00F47DE1">
        <w:rPr>
          <w:lang w:eastAsia="cs-CZ"/>
        </w:rPr>
        <w:t xml:space="preserve">takto zaměřených </w:t>
      </w:r>
      <w:r w:rsidR="00114F1A">
        <w:rPr>
          <w:lang w:eastAsia="cs-CZ"/>
        </w:rPr>
        <w:t>projektů</w:t>
      </w:r>
      <w:r w:rsidR="00F47DE1">
        <w:rPr>
          <w:lang w:eastAsia="cs-CZ"/>
        </w:rPr>
        <w:t xml:space="preserve">, které obdržely podporu ve výši téměř </w:t>
      </w:r>
      <w:r w:rsidR="00114F1A">
        <w:rPr>
          <w:lang w:eastAsia="cs-CZ"/>
        </w:rPr>
        <w:t>130 mil. Kč</w:t>
      </w:r>
      <w:r w:rsidR="00F47DE1">
        <w:rPr>
          <w:lang w:eastAsia="cs-CZ"/>
        </w:rPr>
        <w:t xml:space="preserve"> (viz </w:t>
      </w:r>
      <w:r w:rsidR="00F47DE1">
        <w:rPr>
          <w:lang w:eastAsia="cs-CZ"/>
        </w:rPr>
        <w:fldChar w:fldCharType="begin"/>
      </w:r>
      <w:r w:rsidR="00F47DE1">
        <w:rPr>
          <w:lang w:eastAsia="cs-CZ"/>
        </w:rPr>
        <w:instrText xml:space="preserve"> REF  _Ref452471863 \* Lower \h  \* MERGEFORMAT </w:instrText>
      </w:r>
      <w:r w:rsidR="00F47DE1">
        <w:rPr>
          <w:lang w:eastAsia="cs-CZ"/>
        </w:rPr>
      </w:r>
      <w:r w:rsidR="00F47DE1">
        <w:rPr>
          <w:lang w:eastAsia="cs-CZ"/>
        </w:rPr>
        <w:fldChar w:fldCharType="separate"/>
      </w:r>
      <w:r w:rsidR="003F08E5">
        <w:t xml:space="preserve">tab. </w:t>
      </w:r>
      <w:r w:rsidR="003F08E5">
        <w:rPr>
          <w:noProof/>
        </w:rPr>
        <w:t>40</w:t>
      </w:r>
      <w:r w:rsidR="00F47DE1">
        <w:rPr>
          <w:lang w:eastAsia="cs-CZ"/>
        </w:rPr>
        <w:fldChar w:fldCharType="end"/>
      </w:r>
      <w:r w:rsidR="00F47DE1">
        <w:rPr>
          <w:lang w:eastAsia="cs-CZ"/>
        </w:rPr>
        <w:t>)</w:t>
      </w:r>
      <w:r w:rsidR="00114F1A">
        <w:rPr>
          <w:lang w:eastAsia="cs-CZ"/>
        </w:rPr>
        <w:t>.</w:t>
      </w:r>
    </w:p>
    <w:p w:rsidR="004034EC" w:rsidRDefault="00114F1A" w:rsidP="00114F1A">
      <w:pPr>
        <w:rPr>
          <w:lang w:eastAsia="cs-CZ"/>
        </w:rPr>
      </w:pPr>
      <w:r>
        <w:rPr>
          <w:lang w:eastAsia="cs-CZ"/>
        </w:rPr>
        <w:t xml:space="preserve">Nejvíce projektů bylo </w:t>
      </w:r>
      <w:r w:rsidR="00F47DE1">
        <w:rPr>
          <w:lang w:eastAsia="cs-CZ"/>
        </w:rPr>
        <w:t xml:space="preserve">podpořeno </w:t>
      </w:r>
      <w:r>
        <w:rPr>
          <w:lang w:eastAsia="cs-CZ"/>
        </w:rPr>
        <w:t xml:space="preserve">v iniciativě </w:t>
      </w:r>
      <w:r w:rsidR="00905C02" w:rsidRPr="00711615">
        <w:rPr>
          <w:lang w:eastAsia="cs-CZ"/>
        </w:rPr>
        <w:t>E</w:t>
      </w:r>
      <w:r w:rsidR="00905C02">
        <w:rPr>
          <w:lang w:eastAsia="cs-CZ"/>
        </w:rPr>
        <w:t>UREKA</w:t>
      </w:r>
      <w:r>
        <w:rPr>
          <w:lang w:eastAsia="cs-CZ"/>
        </w:rPr>
        <w:t>, kde jsou podporovány společné projekty průmyslových firem, výzkumných ústavů a VŠ zaměřené</w:t>
      </w:r>
      <w:r w:rsidR="00F47DE1">
        <w:rPr>
          <w:lang w:eastAsia="cs-CZ"/>
        </w:rPr>
        <w:t xml:space="preserve"> na</w:t>
      </w:r>
      <w:r>
        <w:rPr>
          <w:lang w:eastAsia="cs-CZ"/>
        </w:rPr>
        <w:t xml:space="preserve"> VaV inovačních produktů, procesů a služeb. Veřejná, kterou týmy z ČR získaly na řešení bezpečnostně zaměřených projektů od roku 2010, činila téměř 80 mil. Kč. </w:t>
      </w:r>
    </w:p>
    <w:p w:rsidR="00114F1A" w:rsidRDefault="00114F1A" w:rsidP="00114F1A">
      <w:pPr>
        <w:rPr>
          <w:lang w:eastAsia="cs-CZ"/>
        </w:rPr>
      </w:pPr>
      <w:r>
        <w:rPr>
          <w:lang w:eastAsia="cs-CZ"/>
        </w:rPr>
        <w:t xml:space="preserve">Poměrně vysoký počet </w:t>
      </w:r>
      <w:r w:rsidR="00F47DE1">
        <w:rPr>
          <w:lang w:eastAsia="cs-CZ"/>
        </w:rPr>
        <w:t xml:space="preserve">projektů vztahujících se k bezpečnostní problematice </w:t>
      </w:r>
      <w:r>
        <w:rPr>
          <w:lang w:eastAsia="cs-CZ"/>
        </w:rPr>
        <w:t xml:space="preserve">byl také podpořen v programu Kontakt (viz </w:t>
      </w:r>
      <w:r>
        <w:rPr>
          <w:lang w:eastAsia="cs-CZ"/>
        </w:rPr>
        <w:fldChar w:fldCharType="begin"/>
      </w:r>
      <w:r>
        <w:rPr>
          <w:lang w:eastAsia="cs-CZ"/>
        </w:rPr>
        <w:instrText xml:space="preserve"> REF  _Ref452471863 \* Lower \h  \* MERGEFORMAT </w:instrText>
      </w:r>
      <w:r>
        <w:rPr>
          <w:lang w:eastAsia="cs-CZ"/>
        </w:rPr>
      </w:r>
      <w:r>
        <w:rPr>
          <w:lang w:eastAsia="cs-CZ"/>
        </w:rPr>
        <w:fldChar w:fldCharType="separate"/>
      </w:r>
      <w:r w:rsidR="003F08E5">
        <w:t xml:space="preserve">tab. </w:t>
      </w:r>
      <w:r w:rsidR="003F08E5">
        <w:rPr>
          <w:noProof/>
        </w:rPr>
        <w:t>40</w:t>
      </w:r>
      <w:r>
        <w:rPr>
          <w:lang w:eastAsia="cs-CZ"/>
        </w:rPr>
        <w:fldChar w:fldCharType="end"/>
      </w:r>
      <w:r>
        <w:rPr>
          <w:lang w:eastAsia="cs-CZ"/>
        </w:rPr>
        <w:t xml:space="preserve">), kde jsou podporovány projekty základního a aplikovaného VaV </w:t>
      </w:r>
      <w:r>
        <w:rPr>
          <w:lang w:eastAsia="cs-CZ"/>
        </w:rPr>
        <w:lastRenderedPageBreak/>
        <w:t xml:space="preserve">s institucemi z nečlenských států EU. Veřejná podpora na řešení těchto projektů je však ve srovnání s projekty podpořenými v iniciativě </w:t>
      </w:r>
      <w:r w:rsidR="00905C02" w:rsidRPr="00711615">
        <w:rPr>
          <w:lang w:eastAsia="cs-CZ"/>
        </w:rPr>
        <w:t>E</w:t>
      </w:r>
      <w:r w:rsidR="00905C02">
        <w:rPr>
          <w:lang w:eastAsia="cs-CZ"/>
        </w:rPr>
        <w:t>UREKA</w:t>
      </w:r>
      <w:r>
        <w:rPr>
          <w:lang w:eastAsia="cs-CZ"/>
        </w:rPr>
        <w:t xml:space="preserve"> nižší (jednalo se tedy většinou o projekty s menším rozpočtem).</w:t>
      </w:r>
    </w:p>
    <w:p w:rsidR="0040492F" w:rsidRDefault="00114F1A" w:rsidP="0057397D">
      <w:pPr>
        <w:rPr>
          <w:lang w:eastAsia="cs-CZ"/>
        </w:rPr>
      </w:pPr>
      <w:r>
        <w:rPr>
          <w:lang w:eastAsia="cs-CZ"/>
        </w:rPr>
        <w:t>V</w:t>
      </w:r>
      <w:r w:rsidR="00F47DE1">
        <w:rPr>
          <w:lang w:eastAsia="cs-CZ"/>
        </w:rPr>
        <w:t>e</w:t>
      </w:r>
      <w:r>
        <w:rPr>
          <w:lang w:eastAsia="cs-CZ"/>
        </w:rPr>
        <w:t xml:space="preserve"> zbývajících čtyřech programech bylo podpořeno již méně projektů. Charakteristika všech programů mezinárodní spolupráce ve VaV, ve kterých byly od roku 2010 podpořeny projekty </w:t>
      </w:r>
      <w:r w:rsidRPr="00114F1A">
        <w:rPr>
          <w:lang w:eastAsia="cs-CZ"/>
        </w:rPr>
        <w:t>tematicky související s</w:t>
      </w:r>
      <w:r>
        <w:rPr>
          <w:lang w:eastAsia="cs-CZ"/>
        </w:rPr>
        <w:t> </w:t>
      </w:r>
      <w:r w:rsidRPr="00114F1A">
        <w:rPr>
          <w:lang w:eastAsia="cs-CZ"/>
        </w:rPr>
        <w:t>bezpečnostní</w:t>
      </w:r>
      <w:r>
        <w:rPr>
          <w:lang w:eastAsia="cs-CZ"/>
        </w:rPr>
        <w:t xml:space="preserve"> problematikou, je uvedeno v </w:t>
      </w:r>
      <w:r>
        <w:rPr>
          <w:lang w:eastAsia="cs-CZ"/>
        </w:rPr>
        <w:fldChar w:fldCharType="begin"/>
      </w:r>
      <w:r>
        <w:rPr>
          <w:lang w:eastAsia="cs-CZ"/>
        </w:rPr>
        <w:instrText xml:space="preserve"> REF  _Ref452472754 \* Lower \h  \* MERGEFORMAT </w:instrText>
      </w:r>
      <w:r>
        <w:rPr>
          <w:lang w:eastAsia="cs-CZ"/>
        </w:rPr>
      </w:r>
      <w:r>
        <w:rPr>
          <w:lang w:eastAsia="cs-CZ"/>
        </w:rPr>
        <w:fldChar w:fldCharType="separate"/>
      </w:r>
      <w:r w:rsidR="003F08E5">
        <w:t xml:space="preserve">tab. </w:t>
      </w:r>
      <w:r w:rsidR="003F08E5">
        <w:rPr>
          <w:noProof/>
        </w:rPr>
        <w:t>41</w:t>
      </w:r>
      <w:r>
        <w:rPr>
          <w:lang w:eastAsia="cs-CZ"/>
        </w:rPr>
        <w:fldChar w:fldCharType="end"/>
      </w:r>
      <w:r>
        <w:rPr>
          <w:lang w:eastAsia="cs-CZ"/>
        </w:rPr>
        <w:t>.</w:t>
      </w:r>
    </w:p>
    <w:p w:rsidR="0040492F" w:rsidRDefault="0040492F" w:rsidP="0040492F">
      <w:pPr>
        <w:pStyle w:val="Titulek"/>
        <w:keepNext/>
      </w:pPr>
      <w:bookmarkStart w:id="153" w:name="_Ref452471863"/>
      <w:r>
        <w:t xml:space="preserve">Tab. </w:t>
      </w:r>
      <w:r w:rsidR="00990E2D">
        <w:fldChar w:fldCharType="begin"/>
      </w:r>
      <w:r w:rsidR="00990E2D">
        <w:instrText xml:space="preserve"> SEQ Tab. \* ARABIC </w:instrText>
      </w:r>
      <w:r w:rsidR="00990E2D">
        <w:fldChar w:fldCharType="separate"/>
      </w:r>
      <w:r w:rsidR="003F08E5">
        <w:rPr>
          <w:noProof/>
        </w:rPr>
        <w:t>40</w:t>
      </w:r>
      <w:r w:rsidR="00990E2D">
        <w:rPr>
          <w:noProof/>
        </w:rPr>
        <w:fldChar w:fldCharType="end"/>
      </w:r>
      <w:bookmarkEnd w:id="153"/>
      <w:r>
        <w:tab/>
        <w:t>Počet výzkumných týmů z ČR, které byly zapojeny v bezpečnostně zaměřených projektech podpořených v programech mezinárodní spolupráce ve VaV od roku 2010, a veřejn</w:t>
      </w:r>
      <w:r w:rsidR="007C1293">
        <w:t>á</w:t>
      </w:r>
      <w:r>
        <w:t xml:space="preserve"> podpora poskytnutá na řešení těchto projektů. Zdroj: IS VaVaI</w:t>
      </w:r>
    </w:p>
    <w:p w:rsidR="00B849AE" w:rsidRDefault="00B849AE" w:rsidP="00B849AE">
      <w:pPr>
        <w:jc w:val="center"/>
        <w:rPr>
          <w:lang w:eastAsia="cs-CZ"/>
        </w:rPr>
      </w:pPr>
      <w:r w:rsidRPr="00B849AE">
        <w:rPr>
          <w:noProof/>
          <w:lang w:eastAsia="cs-CZ"/>
        </w:rPr>
        <w:drawing>
          <wp:inline distT="0" distB="0" distL="0" distR="0" wp14:anchorId="30BA6B6E" wp14:editId="7AB82C68">
            <wp:extent cx="4410000" cy="1634400"/>
            <wp:effectExtent l="0" t="0" r="0" b="4445"/>
            <wp:docPr id="32" name="Obráze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4410000" cy="1634400"/>
                    </a:xfrm>
                    <a:prstGeom prst="rect">
                      <a:avLst/>
                    </a:prstGeom>
                    <a:noFill/>
                    <a:ln>
                      <a:noFill/>
                    </a:ln>
                  </pic:spPr>
                </pic:pic>
              </a:graphicData>
            </a:graphic>
          </wp:inline>
        </w:drawing>
      </w:r>
    </w:p>
    <w:p w:rsidR="00B849AE" w:rsidRDefault="00B849AE" w:rsidP="0057397D">
      <w:pPr>
        <w:rPr>
          <w:lang w:eastAsia="cs-CZ"/>
        </w:rPr>
      </w:pPr>
    </w:p>
    <w:p w:rsidR="00114F1A" w:rsidRPr="004034EC" w:rsidRDefault="00114F1A" w:rsidP="00114F1A">
      <w:pPr>
        <w:rPr>
          <w:lang w:eastAsia="cs-CZ"/>
        </w:rPr>
      </w:pPr>
    </w:p>
    <w:p w:rsidR="00114F1A" w:rsidRDefault="00114F1A" w:rsidP="00114F1A">
      <w:pPr>
        <w:pStyle w:val="Titulek"/>
        <w:keepNext/>
      </w:pPr>
      <w:bookmarkStart w:id="154" w:name="_Ref452472754"/>
      <w:r>
        <w:t xml:space="preserve">Tab. </w:t>
      </w:r>
      <w:r w:rsidR="00990E2D">
        <w:fldChar w:fldCharType="begin"/>
      </w:r>
      <w:r w:rsidR="00990E2D">
        <w:instrText xml:space="preserve"> SEQ Tab. \* ARABIC </w:instrText>
      </w:r>
      <w:r w:rsidR="00990E2D">
        <w:fldChar w:fldCharType="separate"/>
      </w:r>
      <w:r w:rsidR="003F08E5">
        <w:rPr>
          <w:noProof/>
        </w:rPr>
        <w:t>41</w:t>
      </w:r>
      <w:r w:rsidR="00990E2D">
        <w:rPr>
          <w:noProof/>
        </w:rPr>
        <w:fldChar w:fldCharType="end"/>
      </w:r>
      <w:bookmarkEnd w:id="154"/>
      <w:r>
        <w:tab/>
        <w:t xml:space="preserve">Přehled programů mezinárodní spolupráce ve VaV, ve kterých byly podpořeny </w:t>
      </w:r>
      <w:r w:rsidRPr="0040492F">
        <w:t>projekt</w:t>
      </w:r>
      <w:r>
        <w:t>y</w:t>
      </w:r>
      <w:r w:rsidRPr="0040492F">
        <w:t xml:space="preserve"> tematicky související s bezpečnostním výzkumem</w:t>
      </w:r>
      <w:r>
        <w:t xml:space="preserve"> od roku 2010. Zdroj: IS VaVaI</w:t>
      </w:r>
    </w:p>
    <w:tbl>
      <w:tblPr>
        <w:tblW w:w="0" w:type="auto"/>
        <w:jc w:val="center"/>
        <w:tblLook w:val="04A0" w:firstRow="1" w:lastRow="0" w:firstColumn="1" w:lastColumn="0" w:noHBand="0" w:noVBand="1"/>
      </w:tblPr>
      <w:tblGrid>
        <w:gridCol w:w="1462"/>
        <w:gridCol w:w="1290"/>
        <w:gridCol w:w="6520"/>
      </w:tblGrid>
      <w:tr w:rsidR="00114F1A" w:rsidRPr="009601D7" w:rsidTr="00C91312">
        <w:trPr>
          <w:jc w:val="center"/>
        </w:trPr>
        <w:tc>
          <w:tcPr>
            <w:tcW w:w="1462" w:type="dxa"/>
            <w:tcBorders>
              <w:top w:val="single" w:sz="4" w:space="0" w:color="auto"/>
              <w:bottom w:val="single" w:sz="4" w:space="0" w:color="auto"/>
            </w:tcBorders>
            <w:shd w:val="clear" w:color="auto" w:fill="D9D9D9" w:themeFill="background1" w:themeFillShade="D9"/>
          </w:tcPr>
          <w:p w:rsidR="00114F1A" w:rsidRPr="009601D7" w:rsidRDefault="00114F1A" w:rsidP="00C91312">
            <w:pPr>
              <w:rPr>
                <w:b/>
                <w:sz w:val="20"/>
                <w:lang w:eastAsia="cs-CZ"/>
              </w:rPr>
            </w:pPr>
            <w:bookmarkStart w:id="155" w:name="OLE_LINK3"/>
            <w:r w:rsidRPr="009601D7">
              <w:rPr>
                <w:b/>
                <w:sz w:val="20"/>
                <w:lang w:eastAsia="cs-CZ"/>
              </w:rPr>
              <w:t>Program</w:t>
            </w:r>
          </w:p>
        </w:tc>
        <w:tc>
          <w:tcPr>
            <w:tcW w:w="1290" w:type="dxa"/>
            <w:tcBorders>
              <w:top w:val="single" w:sz="4" w:space="0" w:color="auto"/>
              <w:bottom w:val="single" w:sz="4" w:space="0" w:color="auto"/>
            </w:tcBorders>
            <w:shd w:val="clear" w:color="auto" w:fill="D9D9D9" w:themeFill="background1" w:themeFillShade="D9"/>
          </w:tcPr>
          <w:p w:rsidR="00114F1A" w:rsidRPr="009601D7" w:rsidRDefault="00114F1A" w:rsidP="00C91312">
            <w:pPr>
              <w:rPr>
                <w:b/>
                <w:sz w:val="20"/>
                <w:lang w:eastAsia="cs-CZ"/>
              </w:rPr>
            </w:pPr>
            <w:r w:rsidRPr="009601D7">
              <w:rPr>
                <w:b/>
                <w:sz w:val="20"/>
                <w:lang w:eastAsia="cs-CZ"/>
              </w:rPr>
              <w:t>Poskytovatel</w:t>
            </w:r>
          </w:p>
        </w:tc>
        <w:tc>
          <w:tcPr>
            <w:tcW w:w="6520" w:type="dxa"/>
            <w:tcBorders>
              <w:top w:val="single" w:sz="4" w:space="0" w:color="auto"/>
              <w:bottom w:val="single" w:sz="4" w:space="0" w:color="auto"/>
            </w:tcBorders>
            <w:shd w:val="clear" w:color="auto" w:fill="D9D9D9" w:themeFill="background1" w:themeFillShade="D9"/>
          </w:tcPr>
          <w:p w:rsidR="00114F1A" w:rsidRPr="009601D7" w:rsidRDefault="00114F1A" w:rsidP="00C91312">
            <w:pPr>
              <w:rPr>
                <w:b/>
                <w:sz w:val="20"/>
                <w:lang w:eastAsia="cs-CZ"/>
              </w:rPr>
            </w:pPr>
            <w:r w:rsidRPr="009601D7">
              <w:rPr>
                <w:b/>
                <w:sz w:val="20"/>
                <w:lang w:eastAsia="cs-CZ"/>
              </w:rPr>
              <w:t>Stručná charakteristika</w:t>
            </w:r>
          </w:p>
        </w:tc>
      </w:tr>
      <w:tr w:rsidR="00114F1A" w:rsidRPr="00FA2FB3" w:rsidTr="00C91312">
        <w:trPr>
          <w:jc w:val="center"/>
        </w:trPr>
        <w:tc>
          <w:tcPr>
            <w:tcW w:w="1462" w:type="dxa"/>
            <w:tcBorders>
              <w:top w:val="single" w:sz="4" w:space="0" w:color="auto"/>
              <w:bottom w:val="single" w:sz="4" w:space="0" w:color="auto"/>
            </w:tcBorders>
          </w:tcPr>
          <w:p w:rsidR="00114F1A" w:rsidRPr="009601D7" w:rsidRDefault="00114F1A" w:rsidP="00C91312">
            <w:pPr>
              <w:spacing w:before="60" w:after="60"/>
              <w:rPr>
                <w:b/>
                <w:sz w:val="20"/>
                <w:lang w:eastAsia="cs-CZ"/>
              </w:rPr>
            </w:pPr>
            <w:r w:rsidRPr="009601D7">
              <w:rPr>
                <w:b/>
                <w:sz w:val="20"/>
                <w:lang w:eastAsia="cs-CZ"/>
              </w:rPr>
              <w:t>EUREKA CZ</w:t>
            </w:r>
          </w:p>
        </w:tc>
        <w:tc>
          <w:tcPr>
            <w:tcW w:w="1290" w:type="dxa"/>
            <w:tcBorders>
              <w:top w:val="single" w:sz="4" w:space="0" w:color="auto"/>
              <w:bottom w:val="single" w:sz="4" w:space="0" w:color="auto"/>
            </w:tcBorders>
          </w:tcPr>
          <w:p w:rsidR="00114F1A" w:rsidRDefault="00114F1A" w:rsidP="00C91312">
            <w:pPr>
              <w:spacing w:before="60" w:after="60"/>
              <w:rPr>
                <w:sz w:val="20"/>
                <w:lang w:eastAsia="cs-CZ"/>
              </w:rPr>
            </w:pPr>
            <w:r>
              <w:rPr>
                <w:sz w:val="20"/>
                <w:lang w:eastAsia="cs-CZ"/>
              </w:rPr>
              <w:t>MŠMT</w:t>
            </w:r>
          </w:p>
          <w:p w:rsidR="00114F1A" w:rsidRPr="00FA2FB3" w:rsidRDefault="00114F1A" w:rsidP="00C91312">
            <w:pPr>
              <w:spacing w:before="60" w:after="60"/>
              <w:rPr>
                <w:sz w:val="20"/>
                <w:lang w:eastAsia="cs-CZ"/>
              </w:rPr>
            </w:pPr>
          </w:p>
        </w:tc>
        <w:tc>
          <w:tcPr>
            <w:tcW w:w="6520" w:type="dxa"/>
            <w:tcBorders>
              <w:top w:val="single" w:sz="4" w:space="0" w:color="auto"/>
              <w:bottom w:val="single" w:sz="4" w:space="0" w:color="auto"/>
            </w:tcBorders>
          </w:tcPr>
          <w:p w:rsidR="00114F1A" w:rsidRPr="00FA2FB3" w:rsidRDefault="00114F1A" w:rsidP="00C91312">
            <w:pPr>
              <w:spacing w:before="60" w:after="60"/>
              <w:rPr>
                <w:sz w:val="20"/>
              </w:rPr>
            </w:pPr>
            <w:r>
              <w:rPr>
                <w:sz w:val="20"/>
                <w:lang w:eastAsia="cs-CZ"/>
              </w:rPr>
              <w:t>P</w:t>
            </w:r>
            <w:r w:rsidRPr="00FA2FB3">
              <w:rPr>
                <w:sz w:val="20"/>
                <w:lang w:eastAsia="cs-CZ"/>
              </w:rPr>
              <w:t xml:space="preserve">odpora mezinárodní spolupráce v aplikovaném výzkumu </w:t>
            </w:r>
            <w:r w:rsidR="00F47DE1">
              <w:rPr>
                <w:sz w:val="20"/>
                <w:lang w:eastAsia="cs-CZ"/>
              </w:rPr>
              <w:t xml:space="preserve">a vývoji </w:t>
            </w:r>
            <w:r w:rsidRPr="00FA2FB3">
              <w:rPr>
                <w:sz w:val="20"/>
                <w:lang w:eastAsia="cs-CZ"/>
              </w:rPr>
              <w:t>přispívající k růstu konkurenceschopnosti firem z ČR a vytváření nových inovovaných produktů</w:t>
            </w:r>
            <w:r w:rsidR="00D72BA3">
              <w:rPr>
                <w:sz w:val="20"/>
                <w:lang w:eastAsia="cs-CZ"/>
              </w:rPr>
              <w:t>, procesů</w:t>
            </w:r>
            <w:r w:rsidRPr="00FA2FB3">
              <w:rPr>
                <w:sz w:val="20"/>
                <w:lang w:eastAsia="cs-CZ"/>
              </w:rPr>
              <w:t xml:space="preserve"> a služeb</w:t>
            </w:r>
          </w:p>
        </w:tc>
      </w:tr>
      <w:tr w:rsidR="00114F1A" w:rsidRPr="00FA2FB3" w:rsidTr="00C91312">
        <w:trPr>
          <w:jc w:val="center"/>
        </w:trPr>
        <w:tc>
          <w:tcPr>
            <w:tcW w:w="1462" w:type="dxa"/>
            <w:tcBorders>
              <w:top w:val="single" w:sz="4" w:space="0" w:color="auto"/>
              <w:bottom w:val="single" w:sz="4" w:space="0" w:color="auto"/>
            </w:tcBorders>
          </w:tcPr>
          <w:p w:rsidR="00114F1A" w:rsidRPr="009601D7" w:rsidRDefault="00114F1A" w:rsidP="00C91312">
            <w:pPr>
              <w:spacing w:before="60" w:after="60"/>
              <w:rPr>
                <w:b/>
                <w:sz w:val="20"/>
                <w:lang w:eastAsia="cs-CZ"/>
              </w:rPr>
            </w:pPr>
            <w:r w:rsidRPr="009601D7">
              <w:rPr>
                <w:b/>
                <w:sz w:val="20"/>
                <w:lang w:eastAsia="cs-CZ"/>
              </w:rPr>
              <w:t>KONTAKT II</w:t>
            </w:r>
          </w:p>
        </w:tc>
        <w:tc>
          <w:tcPr>
            <w:tcW w:w="1290" w:type="dxa"/>
            <w:tcBorders>
              <w:top w:val="single" w:sz="4" w:space="0" w:color="auto"/>
              <w:bottom w:val="single" w:sz="4" w:space="0" w:color="auto"/>
            </w:tcBorders>
          </w:tcPr>
          <w:p w:rsidR="00114F1A" w:rsidRDefault="00114F1A" w:rsidP="00C91312">
            <w:pPr>
              <w:spacing w:before="60" w:after="60"/>
            </w:pPr>
            <w:r w:rsidRPr="00B76E40">
              <w:rPr>
                <w:sz w:val="20"/>
                <w:lang w:eastAsia="cs-CZ"/>
              </w:rPr>
              <w:t>MŠMT</w:t>
            </w:r>
          </w:p>
        </w:tc>
        <w:tc>
          <w:tcPr>
            <w:tcW w:w="6520" w:type="dxa"/>
            <w:tcBorders>
              <w:top w:val="single" w:sz="4" w:space="0" w:color="auto"/>
              <w:bottom w:val="single" w:sz="4" w:space="0" w:color="auto"/>
            </w:tcBorders>
          </w:tcPr>
          <w:p w:rsidR="00114F1A" w:rsidRPr="00FA2FB3" w:rsidRDefault="00114F1A" w:rsidP="00C91312">
            <w:pPr>
              <w:spacing w:before="60" w:after="60"/>
              <w:rPr>
                <w:sz w:val="20"/>
              </w:rPr>
            </w:pPr>
            <w:r w:rsidRPr="00FA2FB3">
              <w:rPr>
                <w:sz w:val="20"/>
                <w:lang w:eastAsia="cs-CZ"/>
              </w:rPr>
              <w:t>Podpora dvoustranné i vícestranné mezinárodní spolupráce institucí zabývajících se VaV v oblasti základního a aplikovaného výzkumu s důrazem na spolupráci se státy, které nejsou členy EU</w:t>
            </w:r>
          </w:p>
        </w:tc>
      </w:tr>
      <w:tr w:rsidR="00114F1A" w:rsidRPr="00FA2FB3" w:rsidTr="00C91312">
        <w:trPr>
          <w:jc w:val="center"/>
        </w:trPr>
        <w:tc>
          <w:tcPr>
            <w:tcW w:w="1462" w:type="dxa"/>
            <w:tcBorders>
              <w:top w:val="single" w:sz="4" w:space="0" w:color="auto"/>
              <w:bottom w:val="single" w:sz="4" w:space="0" w:color="auto"/>
            </w:tcBorders>
          </w:tcPr>
          <w:p w:rsidR="00114F1A" w:rsidRPr="009601D7" w:rsidRDefault="00114F1A" w:rsidP="00C91312">
            <w:pPr>
              <w:spacing w:before="60" w:after="60"/>
              <w:rPr>
                <w:b/>
                <w:sz w:val="20"/>
                <w:lang w:eastAsia="cs-CZ"/>
              </w:rPr>
            </w:pPr>
            <w:r w:rsidRPr="009601D7">
              <w:rPr>
                <w:b/>
                <w:sz w:val="20"/>
                <w:lang w:eastAsia="cs-CZ"/>
              </w:rPr>
              <w:t>EUPRO II</w:t>
            </w:r>
          </w:p>
        </w:tc>
        <w:tc>
          <w:tcPr>
            <w:tcW w:w="1290" w:type="dxa"/>
            <w:tcBorders>
              <w:top w:val="single" w:sz="4" w:space="0" w:color="auto"/>
              <w:bottom w:val="single" w:sz="4" w:space="0" w:color="auto"/>
            </w:tcBorders>
          </w:tcPr>
          <w:p w:rsidR="00114F1A" w:rsidRDefault="00114F1A" w:rsidP="00C91312">
            <w:pPr>
              <w:spacing w:before="60" w:after="60"/>
            </w:pPr>
            <w:r w:rsidRPr="00B76E40">
              <w:rPr>
                <w:sz w:val="20"/>
                <w:lang w:eastAsia="cs-CZ"/>
              </w:rPr>
              <w:t>MŠMT</w:t>
            </w:r>
          </w:p>
        </w:tc>
        <w:tc>
          <w:tcPr>
            <w:tcW w:w="6520" w:type="dxa"/>
            <w:tcBorders>
              <w:top w:val="single" w:sz="4" w:space="0" w:color="auto"/>
              <w:bottom w:val="single" w:sz="4" w:space="0" w:color="auto"/>
            </w:tcBorders>
          </w:tcPr>
          <w:p w:rsidR="00114F1A" w:rsidRPr="00FA2FB3" w:rsidRDefault="00114F1A" w:rsidP="00C91312">
            <w:pPr>
              <w:spacing w:before="60" w:after="60"/>
              <w:rPr>
                <w:sz w:val="20"/>
              </w:rPr>
            </w:pPr>
            <w:r>
              <w:rPr>
                <w:sz w:val="20"/>
                <w:lang w:eastAsia="cs-CZ"/>
              </w:rPr>
              <w:t>P</w:t>
            </w:r>
            <w:r w:rsidRPr="00FA2FB3">
              <w:rPr>
                <w:sz w:val="20"/>
                <w:lang w:eastAsia="cs-CZ"/>
              </w:rPr>
              <w:t>odpora účasti českých výzkumných institucí na koordinaci evropského výzkumu, zvýšení účasti v mezinárodních programech V</w:t>
            </w:r>
            <w:r w:rsidR="00F47DE1">
              <w:rPr>
                <w:sz w:val="20"/>
                <w:lang w:eastAsia="cs-CZ"/>
              </w:rPr>
              <w:t>aV a v bilaterálních aktivitách</w:t>
            </w:r>
          </w:p>
        </w:tc>
      </w:tr>
      <w:tr w:rsidR="00114F1A" w:rsidRPr="00FA2FB3" w:rsidTr="00C91312">
        <w:trPr>
          <w:jc w:val="center"/>
        </w:trPr>
        <w:tc>
          <w:tcPr>
            <w:tcW w:w="1462" w:type="dxa"/>
            <w:tcBorders>
              <w:top w:val="single" w:sz="4" w:space="0" w:color="auto"/>
              <w:bottom w:val="single" w:sz="4" w:space="0" w:color="auto"/>
            </w:tcBorders>
          </w:tcPr>
          <w:p w:rsidR="00114F1A" w:rsidRPr="009601D7" w:rsidRDefault="00114F1A" w:rsidP="00C91312">
            <w:pPr>
              <w:spacing w:before="60" w:after="60"/>
              <w:rPr>
                <w:b/>
                <w:sz w:val="20"/>
                <w:lang w:eastAsia="cs-CZ"/>
              </w:rPr>
            </w:pPr>
            <w:r w:rsidRPr="009601D7">
              <w:rPr>
                <w:b/>
                <w:sz w:val="20"/>
                <w:lang w:eastAsia="cs-CZ"/>
              </w:rPr>
              <w:t xml:space="preserve">COST CZ </w:t>
            </w:r>
          </w:p>
        </w:tc>
        <w:tc>
          <w:tcPr>
            <w:tcW w:w="1290" w:type="dxa"/>
            <w:tcBorders>
              <w:top w:val="single" w:sz="4" w:space="0" w:color="auto"/>
              <w:bottom w:val="single" w:sz="4" w:space="0" w:color="auto"/>
            </w:tcBorders>
          </w:tcPr>
          <w:p w:rsidR="00114F1A" w:rsidRDefault="00114F1A" w:rsidP="00C91312">
            <w:pPr>
              <w:spacing w:before="60" w:after="60"/>
            </w:pPr>
            <w:r w:rsidRPr="00B76E40">
              <w:rPr>
                <w:sz w:val="20"/>
                <w:lang w:eastAsia="cs-CZ"/>
              </w:rPr>
              <w:t>MŠMT</w:t>
            </w:r>
          </w:p>
        </w:tc>
        <w:tc>
          <w:tcPr>
            <w:tcW w:w="6520" w:type="dxa"/>
            <w:tcBorders>
              <w:top w:val="single" w:sz="4" w:space="0" w:color="auto"/>
              <w:bottom w:val="single" w:sz="4" w:space="0" w:color="auto"/>
            </w:tcBorders>
          </w:tcPr>
          <w:p w:rsidR="00114F1A" w:rsidRPr="00FA2FB3" w:rsidRDefault="00114F1A" w:rsidP="00C91312">
            <w:pPr>
              <w:spacing w:before="60" w:after="60"/>
              <w:rPr>
                <w:sz w:val="20"/>
              </w:rPr>
            </w:pPr>
            <w:r>
              <w:rPr>
                <w:sz w:val="20"/>
                <w:lang w:eastAsia="cs-CZ"/>
              </w:rPr>
              <w:t>P</w:t>
            </w:r>
            <w:r w:rsidRPr="00FA2FB3">
              <w:rPr>
                <w:sz w:val="20"/>
                <w:lang w:eastAsia="cs-CZ"/>
              </w:rPr>
              <w:t xml:space="preserve">odpora mnohostranné mezinárodní spolupráce v základním výzkumu výzkumných institucí ČR s obdobnými institucemi členských států </w:t>
            </w:r>
            <w:r>
              <w:rPr>
                <w:sz w:val="20"/>
                <w:lang w:eastAsia="cs-CZ"/>
              </w:rPr>
              <w:t>COST</w:t>
            </w:r>
          </w:p>
        </w:tc>
      </w:tr>
      <w:tr w:rsidR="00114F1A" w:rsidRPr="00FA2FB3" w:rsidTr="00C91312">
        <w:trPr>
          <w:jc w:val="center"/>
        </w:trPr>
        <w:tc>
          <w:tcPr>
            <w:tcW w:w="1462" w:type="dxa"/>
            <w:tcBorders>
              <w:top w:val="single" w:sz="4" w:space="0" w:color="auto"/>
              <w:bottom w:val="single" w:sz="4" w:space="0" w:color="auto"/>
            </w:tcBorders>
          </w:tcPr>
          <w:p w:rsidR="00114F1A" w:rsidRPr="009601D7" w:rsidRDefault="00114F1A" w:rsidP="00C91312">
            <w:pPr>
              <w:spacing w:before="60" w:after="60"/>
              <w:rPr>
                <w:b/>
                <w:sz w:val="20"/>
                <w:lang w:eastAsia="cs-CZ"/>
              </w:rPr>
            </w:pPr>
            <w:r w:rsidRPr="009601D7">
              <w:rPr>
                <w:b/>
                <w:sz w:val="20"/>
                <w:lang w:eastAsia="cs-CZ"/>
              </w:rPr>
              <w:t>GESHER/MOST</w:t>
            </w:r>
          </w:p>
        </w:tc>
        <w:tc>
          <w:tcPr>
            <w:tcW w:w="1290" w:type="dxa"/>
            <w:tcBorders>
              <w:top w:val="single" w:sz="4" w:space="0" w:color="auto"/>
              <w:bottom w:val="single" w:sz="4" w:space="0" w:color="auto"/>
            </w:tcBorders>
          </w:tcPr>
          <w:p w:rsidR="00114F1A" w:rsidRDefault="00114F1A" w:rsidP="00C91312">
            <w:pPr>
              <w:spacing w:before="60" w:after="60"/>
            </w:pPr>
            <w:r w:rsidRPr="00B76E40">
              <w:rPr>
                <w:sz w:val="20"/>
                <w:lang w:eastAsia="cs-CZ"/>
              </w:rPr>
              <w:t>MŠMT</w:t>
            </w:r>
          </w:p>
        </w:tc>
        <w:tc>
          <w:tcPr>
            <w:tcW w:w="6520" w:type="dxa"/>
            <w:tcBorders>
              <w:top w:val="single" w:sz="4" w:space="0" w:color="auto"/>
              <w:bottom w:val="single" w:sz="4" w:space="0" w:color="auto"/>
            </w:tcBorders>
          </w:tcPr>
          <w:p w:rsidR="00114F1A" w:rsidRPr="00FA2FB3" w:rsidRDefault="00114F1A" w:rsidP="00F47DE1">
            <w:pPr>
              <w:spacing w:before="60" w:after="60"/>
              <w:rPr>
                <w:sz w:val="20"/>
              </w:rPr>
            </w:pPr>
            <w:r>
              <w:rPr>
                <w:sz w:val="20"/>
                <w:lang w:eastAsia="cs-CZ"/>
              </w:rPr>
              <w:t>P</w:t>
            </w:r>
            <w:r w:rsidRPr="00FA2FB3">
              <w:rPr>
                <w:sz w:val="20"/>
                <w:lang w:eastAsia="cs-CZ"/>
              </w:rPr>
              <w:t>odpora mezinárodní spolupráce podniků ČR a Státu Izrael v aplikovaném VaV v oblasti ICT, udržitelných a čistých technologií, zemědělských a potravinářských technologií, biotechnologií</w:t>
            </w:r>
            <w:r w:rsidR="00F47DE1">
              <w:rPr>
                <w:sz w:val="20"/>
                <w:lang w:eastAsia="cs-CZ"/>
              </w:rPr>
              <w:t>,</w:t>
            </w:r>
            <w:r w:rsidRPr="00FA2FB3">
              <w:rPr>
                <w:sz w:val="20"/>
                <w:lang w:eastAsia="cs-CZ"/>
              </w:rPr>
              <w:t xml:space="preserve"> lékařské techniky a strojírenství (nové materiály, nanotechn</w:t>
            </w:r>
            <w:r w:rsidR="00F47DE1">
              <w:rPr>
                <w:sz w:val="20"/>
                <w:lang w:eastAsia="cs-CZ"/>
              </w:rPr>
              <w:t>ologie, kybernetika a robotika)</w:t>
            </w:r>
          </w:p>
        </w:tc>
      </w:tr>
      <w:tr w:rsidR="00114F1A" w:rsidRPr="00FA2FB3" w:rsidTr="00C91312">
        <w:trPr>
          <w:jc w:val="center"/>
        </w:trPr>
        <w:tc>
          <w:tcPr>
            <w:tcW w:w="1462" w:type="dxa"/>
            <w:tcBorders>
              <w:top w:val="single" w:sz="4" w:space="0" w:color="auto"/>
              <w:bottom w:val="single" w:sz="4" w:space="0" w:color="auto"/>
            </w:tcBorders>
          </w:tcPr>
          <w:p w:rsidR="00114F1A" w:rsidRPr="009601D7" w:rsidRDefault="00114F1A" w:rsidP="00C91312">
            <w:pPr>
              <w:spacing w:before="60" w:after="60"/>
              <w:rPr>
                <w:b/>
                <w:sz w:val="20"/>
                <w:lang w:eastAsia="cs-CZ"/>
              </w:rPr>
            </w:pPr>
            <w:r>
              <w:rPr>
                <w:b/>
                <w:sz w:val="20"/>
                <w:lang w:eastAsia="cs-CZ"/>
              </w:rPr>
              <w:t>Mezinárodní projekty</w:t>
            </w:r>
          </w:p>
        </w:tc>
        <w:tc>
          <w:tcPr>
            <w:tcW w:w="1290" w:type="dxa"/>
            <w:tcBorders>
              <w:top w:val="single" w:sz="4" w:space="0" w:color="auto"/>
              <w:bottom w:val="single" w:sz="4" w:space="0" w:color="auto"/>
            </w:tcBorders>
          </w:tcPr>
          <w:p w:rsidR="00114F1A" w:rsidRPr="00B76E40" w:rsidRDefault="00114F1A" w:rsidP="00C91312">
            <w:pPr>
              <w:spacing w:before="60" w:after="60"/>
              <w:rPr>
                <w:sz w:val="20"/>
                <w:lang w:eastAsia="cs-CZ"/>
              </w:rPr>
            </w:pPr>
            <w:r>
              <w:rPr>
                <w:sz w:val="20"/>
                <w:lang w:eastAsia="cs-CZ"/>
              </w:rPr>
              <w:t>GA ČR</w:t>
            </w:r>
          </w:p>
        </w:tc>
        <w:tc>
          <w:tcPr>
            <w:tcW w:w="6520" w:type="dxa"/>
            <w:tcBorders>
              <w:top w:val="single" w:sz="4" w:space="0" w:color="auto"/>
              <w:bottom w:val="single" w:sz="4" w:space="0" w:color="auto"/>
            </w:tcBorders>
          </w:tcPr>
          <w:p w:rsidR="00114F1A" w:rsidRDefault="00114F1A" w:rsidP="00F47DE1">
            <w:pPr>
              <w:spacing w:before="60" w:after="60"/>
              <w:rPr>
                <w:sz w:val="20"/>
                <w:lang w:eastAsia="cs-CZ"/>
              </w:rPr>
            </w:pPr>
            <w:r>
              <w:rPr>
                <w:sz w:val="20"/>
                <w:lang w:eastAsia="cs-CZ"/>
              </w:rPr>
              <w:t>Po</w:t>
            </w:r>
            <w:r w:rsidRPr="009601D7">
              <w:rPr>
                <w:sz w:val="20"/>
                <w:lang w:eastAsia="cs-CZ"/>
              </w:rPr>
              <w:t>dpor</w:t>
            </w:r>
            <w:r>
              <w:rPr>
                <w:sz w:val="20"/>
                <w:lang w:eastAsia="cs-CZ"/>
              </w:rPr>
              <w:t>a</w:t>
            </w:r>
            <w:r w:rsidRPr="009601D7">
              <w:rPr>
                <w:sz w:val="20"/>
                <w:lang w:eastAsia="cs-CZ"/>
              </w:rPr>
              <w:t xml:space="preserve"> účasti v mezinárodních programech na základě bilaterálních dohod GA ČR s</w:t>
            </w:r>
            <w:r w:rsidR="00F47DE1">
              <w:rPr>
                <w:sz w:val="20"/>
                <w:lang w:eastAsia="cs-CZ"/>
              </w:rPr>
              <w:t xml:space="preserve">e </w:t>
            </w:r>
            <w:r w:rsidRPr="009601D7">
              <w:rPr>
                <w:sz w:val="20"/>
                <w:lang w:eastAsia="cs-CZ"/>
              </w:rPr>
              <w:t>zahraničními grantovými institucemi, zejména v</w:t>
            </w:r>
            <w:r>
              <w:rPr>
                <w:sz w:val="20"/>
                <w:lang w:eastAsia="cs-CZ"/>
              </w:rPr>
              <w:t> </w:t>
            </w:r>
            <w:r w:rsidRPr="009601D7">
              <w:rPr>
                <w:sz w:val="20"/>
                <w:lang w:eastAsia="cs-CZ"/>
              </w:rPr>
              <w:t>zemích</w:t>
            </w:r>
            <w:r>
              <w:rPr>
                <w:sz w:val="20"/>
                <w:lang w:eastAsia="cs-CZ"/>
              </w:rPr>
              <w:t>,</w:t>
            </w:r>
            <w:r w:rsidRPr="009601D7">
              <w:rPr>
                <w:sz w:val="20"/>
                <w:lang w:eastAsia="cs-CZ"/>
              </w:rPr>
              <w:t xml:space="preserve"> jako </w:t>
            </w:r>
            <w:r>
              <w:rPr>
                <w:sz w:val="20"/>
                <w:lang w:eastAsia="cs-CZ"/>
              </w:rPr>
              <w:t xml:space="preserve">je </w:t>
            </w:r>
            <w:r w:rsidRPr="009601D7">
              <w:rPr>
                <w:sz w:val="20"/>
                <w:lang w:eastAsia="cs-CZ"/>
              </w:rPr>
              <w:t>Korea, Čína, Německo</w:t>
            </w:r>
          </w:p>
        </w:tc>
      </w:tr>
      <w:bookmarkEnd w:id="155"/>
    </w:tbl>
    <w:p w:rsidR="00114F1A" w:rsidRDefault="00114F1A" w:rsidP="00114F1A">
      <w:pPr>
        <w:rPr>
          <w:lang w:eastAsia="cs-CZ"/>
        </w:rPr>
      </w:pPr>
    </w:p>
    <w:p w:rsidR="00AD0A5A" w:rsidRDefault="00114F1A" w:rsidP="00FD54DA">
      <w:pPr>
        <w:tabs>
          <w:tab w:val="left" w:pos="8222"/>
        </w:tabs>
        <w:rPr>
          <w:lang w:eastAsia="cs-CZ"/>
        </w:rPr>
      </w:pPr>
      <w:r>
        <w:rPr>
          <w:lang w:eastAsia="cs-CZ"/>
        </w:rPr>
        <w:lastRenderedPageBreak/>
        <w:t xml:space="preserve">Jak je patrné z </w:t>
      </w:r>
      <w:r>
        <w:rPr>
          <w:lang w:eastAsia="cs-CZ"/>
        </w:rPr>
        <w:fldChar w:fldCharType="begin"/>
      </w:r>
      <w:r>
        <w:rPr>
          <w:lang w:eastAsia="cs-CZ"/>
        </w:rPr>
        <w:instrText xml:space="preserve"> REF  _Ref452472783 \* Lower \h  \* MERGEFORMAT </w:instrText>
      </w:r>
      <w:r>
        <w:rPr>
          <w:lang w:eastAsia="cs-CZ"/>
        </w:rPr>
      </w:r>
      <w:r>
        <w:rPr>
          <w:lang w:eastAsia="cs-CZ"/>
        </w:rPr>
        <w:fldChar w:fldCharType="separate"/>
      </w:r>
      <w:r w:rsidR="003F08E5">
        <w:t xml:space="preserve">tab. </w:t>
      </w:r>
      <w:r w:rsidR="003F08E5">
        <w:rPr>
          <w:noProof/>
        </w:rPr>
        <w:t>42</w:t>
      </w:r>
      <w:r>
        <w:rPr>
          <w:lang w:eastAsia="cs-CZ"/>
        </w:rPr>
        <w:fldChar w:fldCharType="end"/>
      </w:r>
      <w:r>
        <w:rPr>
          <w:lang w:eastAsia="cs-CZ"/>
        </w:rPr>
        <w:t>, nejvíce byly v bezpečnostně zaměřených projektech mezinárodní</w:t>
      </w:r>
      <w:r w:rsidR="00F47DE1">
        <w:rPr>
          <w:lang w:eastAsia="cs-CZ"/>
        </w:rPr>
        <w:t xml:space="preserve"> spolupráce ve</w:t>
      </w:r>
      <w:r>
        <w:rPr>
          <w:lang w:eastAsia="cs-CZ"/>
        </w:rPr>
        <w:t xml:space="preserve"> VaV zapojeny Západočeská univerzita v Plzni a ČVUT v Praze.</w:t>
      </w:r>
      <w:r w:rsidR="00AD0A5A">
        <w:rPr>
          <w:lang w:eastAsia="cs-CZ"/>
        </w:rPr>
        <w:t xml:space="preserve"> Dalšími aktivními VŠ jsou Masarykova univerzita v Brně a VUT v Brně.</w:t>
      </w:r>
    </w:p>
    <w:p w:rsidR="009A5014" w:rsidRDefault="00AD0A5A" w:rsidP="0057397D">
      <w:pPr>
        <w:rPr>
          <w:lang w:eastAsia="cs-CZ"/>
        </w:rPr>
      </w:pPr>
      <w:r>
        <w:rPr>
          <w:lang w:eastAsia="cs-CZ"/>
        </w:rPr>
        <w:t>Do bezpečnostně zaměřených projektů</w:t>
      </w:r>
      <w:r w:rsidR="00F47DE1">
        <w:rPr>
          <w:lang w:eastAsia="cs-CZ"/>
        </w:rPr>
        <w:t xml:space="preserve">, zejména v iniciativě </w:t>
      </w:r>
      <w:r w:rsidR="00905C02" w:rsidRPr="00711615">
        <w:rPr>
          <w:lang w:eastAsia="cs-CZ"/>
        </w:rPr>
        <w:t>E</w:t>
      </w:r>
      <w:r w:rsidR="00905C02">
        <w:rPr>
          <w:lang w:eastAsia="cs-CZ"/>
        </w:rPr>
        <w:t>UREKA</w:t>
      </w:r>
      <w:r w:rsidR="00F47DE1">
        <w:rPr>
          <w:lang w:eastAsia="cs-CZ"/>
        </w:rPr>
        <w:t>,</w:t>
      </w:r>
      <w:r>
        <w:rPr>
          <w:lang w:eastAsia="cs-CZ"/>
        </w:rPr>
        <w:t xml:space="preserve"> se také často zapojovaly podniky. Ústavy AV ČR ani další výzkumné ústavy se do řešení projektů mezinárodní spolupráce </w:t>
      </w:r>
      <w:r w:rsidR="00F47DE1">
        <w:rPr>
          <w:lang w:eastAsia="cs-CZ"/>
        </w:rPr>
        <w:t xml:space="preserve">ve VaV </w:t>
      </w:r>
      <w:r>
        <w:rPr>
          <w:lang w:eastAsia="cs-CZ"/>
        </w:rPr>
        <w:t>souvisejících s problematikou bezpečnosti příliš nezapojovaly (</w:t>
      </w:r>
      <w:r>
        <w:rPr>
          <w:lang w:eastAsia="cs-CZ"/>
        </w:rPr>
        <w:fldChar w:fldCharType="begin"/>
      </w:r>
      <w:r>
        <w:rPr>
          <w:lang w:eastAsia="cs-CZ"/>
        </w:rPr>
        <w:instrText xml:space="preserve"> REF  _Ref452472783 \* Lower \h  \* MERGEFORMAT </w:instrText>
      </w:r>
      <w:r>
        <w:rPr>
          <w:lang w:eastAsia="cs-CZ"/>
        </w:rPr>
      </w:r>
      <w:r>
        <w:rPr>
          <w:lang w:eastAsia="cs-CZ"/>
        </w:rPr>
        <w:fldChar w:fldCharType="separate"/>
      </w:r>
      <w:r w:rsidR="003F08E5">
        <w:t xml:space="preserve">tab. </w:t>
      </w:r>
      <w:r w:rsidR="003F08E5">
        <w:rPr>
          <w:noProof/>
        </w:rPr>
        <w:t>42</w:t>
      </w:r>
      <w:r>
        <w:rPr>
          <w:lang w:eastAsia="cs-CZ"/>
        </w:rPr>
        <w:fldChar w:fldCharType="end"/>
      </w:r>
      <w:r>
        <w:rPr>
          <w:lang w:eastAsia="cs-CZ"/>
        </w:rPr>
        <w:t>).</w:t>
      </w:r>
    </w:p>
    <w:p w:rsidR="0040492F" w:rsidRDefault="0040492F" w:rsidP="0040492F">
      <w:pPr>
        <w:pStyle w:val="Titulek"/>
        <w:keepNext/>
      </w:pPr>
      <w:bookmarkStart w:id="156" w:name="_Ref452472783"/>
      <w:r>
        <w:t xml:space="preserve">Tab. </w:t>
      </w:r>
      <w:r w:rsidR="00990E2D">
        <w:fldChar w:fldCharType="begin"/>
      </w:r>
      <w:r w:rsidR="00990E2D">
        <w:instrText xml:space="preserve"> SEQ Tab. \* ARABIC </w:instrText>
      </w:r>
      <w:r w:rsidR="00990E2D">
        <w:fldChar w:fldCharType="separate"/>
      </w:r>
      <w:r w:rsidR="003F08E5">
        <w:rPr>
          <w:noProof/>
        </w:rPr>
        <w:t>42</w:t>
      </w:r>
      <w:r w:rsidR="00990E2D">
        <w:rPr>
          <w:noProof/>
        </w:rPr>
        <w:fldChar w:fldCharType="end"/>
      </w:r>
      <w:bookmarkEnd w:id="156"/>
      <w:r>
        <w:tab/>
        <w:t xml:space="preserve">Přehled institucí, </w:t>
      </w:r>
      <w:r w:rsidR="007C1293">
        <w:t xml:space="preserve">které byly zapojeny v bezpečnostně zaměřených projektech podpořených v programech mezinárodní spolupráce ve VaV od roku 2010 – počet účastí a získaná veřejná podpora. </w:t>
      </w:r>
      <w:r w:rsidR="00114F1A">
        <w:t xml:space="preserve">V tabulce jsou uvedeny pouze instituce, které byly zapojeny v řešení alespoň pěti projketů. </w:t>
      </w:r>
      <w:r w:rsidR="007C1293">
        <w:t>Zdroj: IS VaVaI</w:t>
      </w:r>
    </w:p>
    <w:p w:rsidR="009A5014" w:rsidRDefault="009A5014" w:rsidP="009A5014">
      <w:pPr>
        <w:jc w:val="center"/>
        <w:rPr>
          <w:lang w:eastAsia="cs-CZ"/>
        </w:rPr>
      </w:pPr>
      <w:r w:rsidRPr="009A5014">
        <w:rPr>
          <w:noProof/>
          <w:lang w:eastAsia="cs-CZ"/>
        </w:rPr>
        <w:drawing>
          <wp:inline distT="0" distB="0" distL="0" distR="0" wp14:anchorId="068C7CA2" wp14:editId="5696073A">
            <wp:extent cx="4791600" cy="5454000"/>
            <wp:effectExtent l="0" t="0" r="0" b="0"/>
            <wp:docPr id="33" name="Obráze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4791600" cy="5454000"/>
                    </a:xfrm>
                    <a:prstGeom prst="rect">
                      <a:avLst/>
                    </a:prstGeom>
                    <a:noFill/>
                    <a:ln>
                      <a:noFill/>
                    </a:ln>
                  </pic:spPr>
                </pic:pic>
              </a:graphicData>
            </a:graphic>
          </wp:inline>
        </w:drawing>
      </w:r>
    </w:p>
    <w:p w:rsidR="009A5014" w:rsidRDefault="009A5014" w:rsidP="004034EC">
      <w:pPr>
        <w:rPr>
          <w:lang w:eastAsia="cs-CZ"/>
        </w:rPr>
      </w:pPr>
    </w:p>
    <w:p w:rsidR="00AC1700" w:rsidRDefault="007D2311" w:rsidP="004034EC">
      <w:pPr>
        <w:rPr>
          <w:lang w:eastAsia="cs-CZ"/>
        </w:rPr>
      </w:pPr>
      <w:r>
        <w:rPr>
          <w:lang w:eastAsia="cs-CZ"/>
        </w:rPr>
        <w:t>Podpořené proje</w:t>
      </w:r>
      <w:r w:rsidR="00FB7964">
        <w:rPr>
          <w:lang w:eastAsia="cs-CZ"/>
        </w:rPr>
        <w:t>k</w:t>
      </w:r>
      <w:r>
        <w:rPr>
          <w:lang w:eastAsia="cs-CZ"/>
        </w:rPr>
        <w:t>ty</w:t>
      </w:r>
      <w:r w:rsidR="00FB7964">
        <w:rPr>
          <w:lang w:eastAsia="cs-CZ"/>
        </w:rPr>
        <w:t xml:space="preserve"> byly zaměřeny zejména na obory technických a přírodních věd. </w:t>
      </w:r>
      <w:r>
        <w:rPr>
          <w:lang w:eastAsia="cs-CZ"/>
        </w:rPr>
        <w:t xml:space="preserve"> </w:t>
      </w:r>
      <w:r w:rsidR="00F47DE1">
        <w:rPr>
          <w:lang w:eastAsia="cs-CZ"/>
        </w:rPr>
        <w:t xml:space="preserve">Největší část projektů byla zaměřena na </w:t>
      </w:r>
      <w:r w:rsidR="00AD0A5A">
        <w:rPr>
          <w:lang w:eastAsia="cs-CZ"/>
        </w:rPr>
        <w:t>elektronik</w:t>
      </w:r>
      <w:r w:rsidR="00F47DE1">
        <w:rPr>
          <w:lang w:eastAsia="cs-CZ"/>
        </w:rPr>
        <w:t>u</w:t>
      </w:r>
      <w:r w:rsidR="00AD0A5A">
        <w:rPr>
          <w:lang w:eastAsia="cs-CZ"/>
        </w:rPr>
        <w:t>, optoelektronik</w:t>
      </w:r>
      <w:r w:rsidR="00F47DE1">
        <w:rPr>
          <w:lang w:eastAsia="cs-CZ"/>
        </w:rPr>
        <w:t>u</w:t>
      </w:r>
      <w:r w:rsidR="00FB7964">
        <w:rPr>
          <w:lang w:eastAsia="cs-CZ"/>
        </w:rPr>
        <w:t xml:space="preserve"> a elektrotechnik</w:t>
      </w:r>
      <w:r w:rsidR="00F47DE1">
        <w:rPr>
          <w:lang w:eastAsia="cs-CZ"/>
        </w:rPr>
        <w:t>u</w:t>
      </w:r>
      <w:r w:rsidR="00FB7964">
        <w:rPr>
          <w:lang w:eastAsia="cs-CZ"/>
        </w:rPr>
        <w:t xml:space="preserve"> a na jejich řešení směřovala téměř třetina veřejné podpory, která byla přidělena projektům mezinárodní</w:t>
      </w:r>
      <w:r w:rsidR="00F47DE1">
        <w:rPr>
          <w:lang w:eastAsia="cs-CZ"/>
        </w:rPr>
        <w:t xml:space="preserve"> spolupráce ve</w:t>
      </w:r>
      <w:r w:rsidR="00FB7964">
        <w:rPr>
          <w:lang w:eastAsia="cs-CZ"/>
        </w:rPr>
        <w:t xml:space="preserve"> VaV souvisejících s problematikou bezpečnosti. Poměrně vysokou podporu </w:t>
      </w:r>
      <w:r w:rsidR="00B61EA3">
        <w:rPr>
          <w:lang w:eastAsia="cs-CZ"/>
        </w:rPr>
        <w:t xml:space="preserve">také </w:t>
      </w:r>
      <w:r w:rsidR="00FB7964">
        <w:rPr>
          <w:lang w:eastAsia="cs-CZ"/>
        </w:rPr>
        <w:t>získaly projekty z oblasti informatiky.</w:t>
      </w:r>
      <w:r w:rsidR="007E34FB">
        <w:rPr>
          <w:lang w:eastAsia="cs-CZ"/>
        </w:rPr>
        <w:t xml:space="preserve"> </w:t>
      </w:r>
      <w:r w:rsidR="00C91312">
        <w:rPr>
          <w:lang w:eastAsia="cs-CZ"/>
        </w:rPr>
        <w:t xml:space="preserve">Z oborů společenských věd nebyl podpořen žádný projekt (viz </w:t>
      </w:r>
      <w:r w:rsidR="00C91312">
        <w:rPr>
          <w:lang w:eastAsia="cs-CZ"/>
        </w:rPr>
        <w:fldChar w:fldCharType="begin"/>
      </w:r>
      <w:r w:rsidR="00C91312">
        <w:rPr>
          <w:lang w:eastAsia="cs-CZ"/>
        </w:rPr>
        <w:instrText xml:space="preserve"> REF  _Ref452473762 \* Lower \h  \* MERGEFORMAT </w:instrText>
      </w:r>
      <w:r w:rsidR="00C91312">
        <w:rPr>
          <w:lang w:eastAsia="cs-CZ"/>
        </w:rPr>
      </w:r>
      <w:r w:rsidR="00C91312">
        <w:rPr>
          <w:lang w:eastAsia="cs-CZ"/>
        </w:rPr>
        <w:fldChar w:fldCharType="separate"/>
      </w:r>
      <w:r w:rsidR="003F08E5">
        <w:t xml:space="preserve">tab. </w:t>
      </w:r>
      <w:r w:rsidR="003F08E5">
        <w:rPr>
          <w:noProof/>
        </w:rPr>
        <w:t>43</w:t>
      </w:r>
      <w:r w:rsidR="00C91312">
        <w:rPr>
          <w:lang w:eastAsia="cs-CZ"/>
        </w:rPr>
        <w:fldChar w:fldCharType="end"/>
      </w:r>
      <w:r w:rsidR="00C91312">
        <w:rPr>
          <w:lang w:eastAsia="cs-CZ"/>
        </w:rPr>
        <w:t xml:space="preserve">), což </w:t>
      </w:r>
      <w:r w:rsidR="00D72BA3">
        <w:rPr>
          <w:lang w:eastAsia="cs-CZ"/>
        </w:rPr>
        <w:t xml:space="preserve">souvisí s tím, že </w:t>
      </w:r>
      <w:r w:rsidR="007E34FB">
        <w:rPr>
          <w:lang w:eastAsia="cs-CZ"/>
        </w:rPr>
        <w:t xml:space="preserve">většina nalezených projektů s bezpečnostní tematikou byla podpořena v </w:t>
      </w:r>
      <w:r w:rsidR="00D72BA3">
        <w:rPr>
          <w:lang w:eastAsia="cs-CZ"/>
        </w:rPr>
        <w:t xml:space="preserve">iniciativě </w:t>
      </w:r>
      <w:r w:rsidR="00905C02" w:rsidRPr="00711615">
        <w:rPr>
          <w:lang w:eastAsia="cs-CZ"/>
        </w:rPr>
        <w:t>E</w:t>
      </w:r>
      <w:r w:rsidR="00905C02">
        <w:rPr>
          <w:lang w:eastAsia="cs-CZ"/>
        </w:rPr>
        <w:t>UREKA</w:t>
      </w:r>
      <w:r w:rsidR="00D72BA3">
        <w:rPr>
          <w:lang w:eastAsia="cs-CZ"/>
        </w:rPr>
        <w:t>, jej</w:t>
      </w:r>
      <w:r w:rsidR="007E34FB">
        <w:rPr>
          <w:lang w:eastAsia="cs-CZ"/>
        </w:rPr>
        <w:t>ím</w:t>
      </w:r>
      <w:r w:rsidR="00D72BA3">
        <w:rPr>
          <w:lang w:eastAsia="cs-CZ"/>
        </w:rPr>
        <w:t>ž cílem je VaV nových produktů, procesů a služeb</w:t>
      </w:r>
      <w:r w:rsidR="00B61EA3">
        <w:rPr>
          <w:lang w:eastAsia="cs-CZ"/>
        </w:rPr>
        <w:t xml:space="preserve"> a zvyšování konkurenceschopnosti podniků.</w:t>
      </w:r>
      <w:r w:rsidR="001A7ACB">
        <w:rPr>
          <w:lang w:eastAsia="cs-CZ"/>
        </w:rPr>
        <w:t xml:space="preserve"> </w:t>
      </w:r>
      <w:r w:rsidR="00454B35">
        <w:rPr>
          <w:lang w:eastAsia="cs-CZ"/>
        </w:rPr>
        <w:lastRenderedPageBreak/>
        <w:t>Podrobnější ú</w:t>
      </w:r>
      <w:r w:rsidR="001A7ACB">
        <w:rPr>
          <w:lang w:eastAsia="cs-CZ"/>
        </w:rPr>
        <w:t xml:space="preserve">daje o mezinárodních projektech vztahujících se k bezpečnostní problematice jsou uvedeny v příloze </w:t>
      </w:r>
      <w:r w:rsidR="001A7ACB">
        <w:rPr>
          <w:i/>
          <w:lang w:eastAsia="cs-CZ"/>
        </w:rPr>
        <w:t>P 42.</w:t>
      </w:r>
      <w:r w:rsidR="001A7ACB">
        <w:rPr>
          <w:lang w:eastAsia="cs-CZ"/>
        </w:rPr>
        <w:t xml:space="preserve"> </w:t>
      </w:r>
    </w:p>
    <w:p w:rsidR="002F4450" w:rsidRDefault="002F4450" w:rsidP="002F4450">
      <w:pPr>
        <w:pStyle w:val="Titulek"/>
        <w:keepNext/>
      </w:pPr>
      <w:bookmarkStart w:id="157" w:name="_Ref452473762"/>
      <w:r>
        <w:t xml:space="preserve">Tab. </w:t>
      </w:r>
      <w:r w:rsidR="00990E2D">
        <w:fldChar w:fldCharType="begin"/>
      </w:r>
      <w:r w:rsidR="00990E2D">
        <w:instrText xml:space="preserve"> SEQ Tab. \* ARABIC </w:instrText>
      </w:r>
      <w:r w:rsidR="00990E2D">
        <w:fldChar w:fldCharType="separate"/>
      </w:r>
      <w:r w:rsidR="003F08E5">
        <w:rPr>
          <w:noProof/>
        </w:rPr>
        <w:t>43</w:t>
      </w:r>
      <w:r w:rsidR="00990E2D">
        <w:rPr>
          <w:noProof/>
        </w:rPr>
        <w:fldChar w:fldCharType="end"/>
      </w:r>
      <w:bookmarkEnd w:id="157"/>
      <w:r>
        <w:tab/>
        <w:t>Obor</w:t>
      </w:r>
      <w:r w:rsidR="00B61EA3">
        <w:t xml:space="preserve">ové zaměření projektů vztahujících se k problematice </w:t>
      </w:r>
      <w:r>
        <w:t>bezpečnost</w:t>
      </w:r>
      <w:r w:rsidR="00B61EA3">
        <w:t>i</w:t>
      </w:r>
      <w:r>
        <w:t xml:space="preserve"> s účastí tým</w:t>
      </w:r>
      <w:r w:rsidR="00B61EA3">
        <w:t>ů</w:t>
      </w:r>
      <w:r>
        <w:t xml:space="preserve"> z ČR podpořených v programech mezinárodní spolupráce ve VaV. Zdroj: IS VaVaI</w:t>
      </w:r>
    </w:p>
    <w:p w:rsidR="00EB238E" w:rsidRDefault="00EB238E" w:rsidP="00EB238E">
      <w:pPr>
        <w:jc w:val="center"/>
        <w:rPr>
          <w:lang w:eastAsia="cs-CZ"/>
        </w:rPr>
      </w:pPr>
      <w:r w:rsidRPr="00EB238E">
        <w:rPr>
          <w:noProof/>
          <w:lang w:eastAsia="cs-CZ"/>
        </w:rPr>
        <w:drawing>
          <wp:inline distT="0" distB="0" distL="0" distR="0" wp14:anchorId="54A014A2" wp14:editId="1C447F84">
            <wp:extent cx="4791600" cy="3754800"/>
            <wp:effectExtent l="0" t="0" r="9525" b="0"/>
            <wp:docPr id="34" name="Obrázek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4791600" cy="3754800"/>
                    </a:xfrm>
                    <a:prstGeom prst="rect">
                      <a:avLst/>
                    </a:prstGeom>
                    <a:noFill/>
                    <a:ln>
                      <a:noFill/>
                    </a:ln>
                  </pic:spPr>
                </pic:pic>
              </a:graphicData>
            </a:graphic>
          </wp:inline>
        </w:drawing>
      </w:r>
    </w:p>
    <w:p w:rsidR="00AC1700" w:rsidRDefault="00AC1700" w:rsidP="004034EC">
      <w:pPr>
        <w:rPr>
          <w:lang w:eastAsia="cs-CZ"/>
        </w:rPr>
      </w:pPr>
    </w:p>
    <w:p w:rsidR="005E03A2" w:rsidRDefault="005E03A2" w:rsidP="00B849AE">
      <w:pPr>
        <w:pStyle w:val="Nadpis3"/>
      </w:pPr>
      <w:bookmarkStart w:id="158" w:name="_Toc459723304"/>
      <w:r>
        <w:t xml:space="preserve">Mezinárodní spolupráce v tvorbě </w:t>
      </w:r>
      <w:r w:rsidR="00CA53D1">
        <w:t>publikací v programech BV</w:t>
      </w:r>
      <w:bookmarkEnd w:id="158"/>
      <w:r>
        <w:t xml:space="preserve"> </w:t>
      </w: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9430"/>
      </w:tblGrid>
      <w:tr w:rsidR="006408A5" w:rsidTr="00B102EC">
        <w:tc>
          <w:tcPr>
            <w:tcW w:w="9430" w:type="dxa"/>
            <w:shd w:val="clear" w:color="auto" w:fill="F2F2F2" w:themeFill="background1" w:themeFillShade="F2"/>
          </w:tcPr>
          <w:p w:rsidR="009148E8" w:rsidRDefault="006408A5" w:rsidP="009148E8">
            <w:r>
              <w:t xml:space="preserve">Přestože žádný subjekt nebyl zapojen v programech BV v gesci MV, výzkumné týmy z ČR účastnící </w:t>
            </w:r>
            <w:r w:rsidR="001E369F">
              <w:t xml:space="preserve">se </w:t>
            </w:r>
            <w:r>
              <w:t xml:space="preserve">těchto projektů při zpracování publikačních výstupů těchto projektů se zahraničními výzkumnými týmy spolupracují. O tom svědčí skutečnost, že přibližně 13 % z celkového počtu publikací  </w:t>
            </w:r>
            <w:r w:rsidRPr="006408A5">
              <w:t>v RIV, které se podařilo propojit z</w:t>
            </w:r>
            <w:r>
              <w:t> </w:t>
            </w:r>
            <w:r w:rsidRPr="006408A5">
              <w:t>WoS</w:t>
            </w:r>
            <w:r>
              <w:t>, má alespoň jednoho spoluautora ze zahraničí. Podobně jako v rámcových programech EU týmy z ČR na publikacích nejvíce spolupracují s výzkumnými týmy z Německa, Španělska, Francie a Spojeného království.</w:t>
            </w:r>
          </w:p>
          <w:p w:rsidR="009148E8" w:rsidRDefault="009148E8" w:rsidP="009148E8">
            <w:r>
              <w:t xml:space="preserve">Autoři těchto publikací vytvořených v mezinárodní spolupráci vznikla na VŠ nebo ve výzkumných ústavech. </w:t>
            </w:r>
            <w:r w:rsidRPr="009148E8">
              <w:t>Nejvíce mezinárodních publikací v programech BV má VUT v Brně,</w:t>
            </w:r>
            <w:r>
              <w:t xml:space="preserve"> SÚRO, </w:t>
            </w:r>
            <w:r w:rsidRPr="009148E8">
              <w:t>Univerzita Pardubice</w:t>
            </w:r>
            <w:r>
              <w:t xml:space="preserve"> a ÚOCHB AV ČR. Vysoký počet publikací vzniklých v mezinárodní spolupráci souvisí i s tím, že na těchto pracovištích působí výzkumní pracovníci ze zahraničí.</w:t>
            </w:r>
          </w:p>
        </w:tc>
      </w:tr>
    </w:tbl>
    <w:p w:rsidR="00665D40" w:rsidRDefault="00B61EA3" w:rsidP="00C84F89">
      <w:r>
        <w:t xml:space="preserve">I když v řešení projektů BV v gesci MV nebyl zapojen žádný subjekt ze zahraničí, některé publikace přiřazené k těmto projektům mají zahraniční spoluautory. To svědčí o tom, že týmy z ČR zapojené v programech BV spolupracují v bezpečnostně zaměřeném VaV se zahraničními výzkumnými institucemi. Pro vyhodnocení této </w:t>
      </w:r>
      <w:r w:rsidR="00C84F89" w:rsidRPr="00C84F89">
        <w:t xml:space="preserve">spolupráce </w:t>
      </w:r>
      <w:r w:rsidR="00CA53D1">
        <w:t>byl</w:t>
      </w:r>
      <w:r>
        <w:t>o</w:t>
      </w:r>
      <w:r w:rsidR="00CA53D1">
        <w:t xml:space="preserve"> </w:t>
      </w:r>
      <w:r>
        <w:t>využit</w:t>
      </w:r>
      <w:r w:rsidR="00CA53D1">
        <w:t xml:space="preserve">o </w:t>
      </w:r>
      <w:r w:rsidR="00C84F89" w:rsidRPr="00C84F89">
        <w:t>propojení databáze RIV se záznamy WoS</w:t>
      </w:r>
      <w:r w:rsidR="006C1FF3">
        <w:t xml:space="preserve">, neboť </w:t>
      </w:r>
      <w:r w:rsidR="00C84F89" w:rsidRPr="00C84F89">
        <w:t>zahraniční spoluautoři a instituce nejsou zaznamenáván</w:t>
      </w:r>
      <w:r w:rsidR="00331F79">
        <w:t>i</w:t>
      </w:r>
      <w:r w:rsidR="00C84F89" w:rsidRPr="00C84F89">
        <w:t xml:space="preserve"> v</w:t>
      </w:r>
      <w:r w:rsidR="00331F79">
        <w:t> </w:t>
      </w:r>
      <w:r w:rsidR="00C84F89" w:rsidRPr="00C84F89">
        <w:t xml:space="preserve">RIV. </w:t>
      </w:r>
      <w:r w:rsidR="00331F79">
        <w:t>Podobně jako v případě bibliometrické analýzy z</w:t>
      </w:r>
      <w:r w:rsidR="00C84F89" w:rsidRPr="00C84F89">
        <w:t xml:space="preserve">totožnění záznamů v RIV a WoS </w:t>
      </w:r>
      <w:r w:rsidR="00331F79">
        <w:t>bylo</w:t>
      </w:r>
      <w:r w:rsidR="00C84F89" w:rsidRPr="00C84F89">
        <w:t xml:space="preserve"> provedeno pomoci WoS unikátního identifikátoru záznamu UT, který však při zadávání výsledku do RIV není povinným parametrem. V analyzovaném souboru výsledků bezpečnostního výzkumu bylo s pomocí UT identifikátoru </w:t>
      </w:r>
      <w:r w:rsidR="00C84F89" w:rsidRPr="00C84F89">
        <w:lastRenderedPageBreak/>
        <w:t xml:space="preserve">ztotožněno 354 záznamů a u 57 záznamů o článcích v impaktovaných periodikách </w:t>
      </w:r>
      <w:r w:rsidR="006C1FF3">
        <w:t xml:space="preserve">identifikátor </w:t>
      </w:r>
      <w:r w:rsidR="00C84F89" w:rsidRPr="00C84F89">
        <w:t xml:space="preserve">UT chybí. Celkově tak údaje o mezinárodní spolupráci mohou být podceněny o přibližně 20 %. </w:t>
      </w:r>
    </w:p>
    <w:p w:rsidR="00175232" w:rsidRDefault="00331F79" w:rsidP="00C84F89">
      <w:r>
        <w:t>A</w:t>
      </w:r>
      <w:r w:rsidRPr="00C84F89">
        <w:t xml:space="preserve">lespoň jednoho spoluautora s cizí afiliací </w:t>
      </w:r>
      <w:r>
        <w:t xml:space="preserve">mělo </w:t>
      </w:r>
      <w:r w:rsidR="00C84F89" w:rsidRPr="00C84F89">
        <w:t>45 záznamů ve WoS</w:t>
      </w:r>
      <w:r w:rsidR="006C1FF3">
        <w:t>, což je přibližně</w:t>
      </w:r>
      <w:r>
        <w:t xml:space="preserve"> </w:t>
      </w:r>
      <w:r w:rsidR="00C84F89" w:rsidRPr="00C84F89">
        <w:t>13%</w:t>
      </w:r>
      <w:r>
        <w:t xml:space="preserve"> z celkového počtu publikací v RIV, které se podařilo propojit z WoS</w:t>
      </w:r>
      <w:r w:rsidR="00C84F89" w:rsidRPr="00C84F89">
        <w:t xml:space="preserve">. </w:t>
      </w:r>
      <w:r w:rsidR="00175232">
        <w:t xml:space="preserve">Jelikož přibližně polovina publikací s alespoň jedním autorem z ČR má alespoň jednoho zahraničního spoluautora, je podíl publikací vytvořených v mezinárodní spolupráci v programech BV výrazně nižší, než je tomu v průměru ČR. To zřejmě souvisí s tím, že </w:t>
      </w:r>
      <w:r w:rsidR="005B29AB">
        <w:t xml:space="preserve">v programech BV </w:t>
      </w:r>
      <w:r w:rsidR="005C2A24">
        <w:t xml:space="preserve">formálně </w:t>
      </w:r>
      <w:r w:rsidR="005B29AB">
        <w:t>nebyli zapojen</w:t>
      </w:r>
      <w:r w:rsidR="005C2A24">
        <w:t>i žádní</w:t>
      </w:r>
      <w:r w:rsidR="005B29AB">
        <w:t xml:space="preserve"> výzkumní pracovníci ze zahraničí</w:t>
      </w:r>
      <w:r w:rsidR="005C2A24">
        <w:t>,</w:t>
      </w:r>
      <w:r w:rsidR="005B29AB">
        <w:t xml:space="preserve"> případně s charakterem programů BV, kde jsou řešeny aktuální požadavky v oblasti </w:t>
      </w:r>
      <w:r w:rsidR="005C2A24">
        <w:t>národní bezpečnosti</w:t>
      </w:r>
      <w:r w:rsidR="005B29AB">
        <w:t>.</w:t>
      </w:r>
    </w:p>
    <w:p w:rsidR="00C84F89" w:rsidRPr="00C84F89" w:rsidRDefault="00C84F89" w:rsidP="00C84F89">
      <w:r w:rsidRPr="00C84F89">
        <w:t xml:space="preserve">Přibližně čtvrtina publikací </w:t>
      </w:r>
      <w:r w:rsidR="005B29AB">
        <w:t xml:space="preserve">vzniklých v mezinárodní spolupráci </w:t>
      </w:r>
      <w:r w:rsidRPr="00C84F89">
        <w:t>má alespoň jednoho spoluautora z</w:t>
      </w:r>
      <w:r w:rsidR="005B29AB">
        <w:t> </w:t>
      </w:r>
      <w:r w:rsidRPr="00C84F89">
        <w:t>Německa</w:t>
      </w:r>
      <w:r w:rsidR="005B29AB">
        <w:t xml:space="preserve"> (viz </w:t>
      </w:r>
      <w:r w:rsidR="005B29AB">
        <w:fldChar w:fldCharType="begin"/>
      </w:r>
      <w:r w:rsidR="005B29AB">
        <w:instrText xml:space="preserve"> REF  _Ref450506051 \* Lower \h  \* MERGEFORMAT </w:instrText>
      </w:r>
      <w:r w:rsidR="005B29AB">
        <w:fldChar w:fldCharType="separate"/>
      </w:r>
      <w:r w:rsidR="003F08E5">
        <w:t xml:space="preserve">obr. </w:t>
      </w:r>
      <w:r w:rsidR="003F08E5">
        <w:rPr>
          <w:noProof/>
        </w:rPr>
        <w:t>17</w:t>
      </w:r>
      <w:r w:rsidR="005B29AB">
        <w:fldChar w:fldCharType="end"/>
      </w:r>
      <w:r w:rsidR="005B29AB">
        <w:t xml:space="preserve">, kde jsou </w:t>
      </w:r>
      <w:r w:rsidRPr="00C84F89">
        <w:t>uvedeny země, s více než 10% výskytem v publikacích s mezinárodním spoluautorstvím</w:t>
      </w:r>
      <w:r w:rsidR="005B29AB">
        <w:t xml:space="preserve">. Více než 20 % publikací má alespoň jednoho spoluautora ze Španělska, Francie a Spojeného království. Kompletní přehled mezinárodní spolupráce v tvorbě publikací v programech BV </w:t>
      </w:r>
      <w:r w:rsidRPr="00C84F89">
        <w:t>je uveden v </w:t>
      </w:r>
      <w:r w:rsidRPr="002B0120">
        <w:t xml:space="preserve">příloze </w:t>
      </w:r>
      <w:r w:rsidRPr="002B0120">
        <w:rPr>
          <w:i/>
        </w:rPr>
        <w:t xml:space="preserve">P </w:t>
      </w:r>
      <w:r w:rsidR="000C345D">
        <w:rPr>
          <w:i/>
        </w:rPr>
        <w:t>43</w:t>
      </w:r>
      <w:r w:rsidRPr="00C84F89">
        <w:t>.</w:t>
      </w:r>
    </w:p>
    <w:p w:rsidR="005B29AB" w:rsidRDefault="005B29AB" w:rsidP="005B29AB">
      <w:pPr>
        <w:keepNext/>
        <w:jc w:val="center"/>
      </w:pPr>
      <w:r>
        <w:rPr>
          <w:noProof/>
          <w:lang w:eastAsia="cs-CZ"/>
        </w:rPr>
        <w:drawing>
          <wp:inline distT="0" distB="0" distL="0" distR="0" wp14:anchorId="0ADCBDAD" wp14:editId="51655DB4">
            <wp:extent cx="3603308" cy="3714750"/>
            <wp:effectExtent l="0" t="0" r="0" b="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3605493" cy="3717002"/>
                    </a:xfrm>
                    <a:prstGeom prst="rect">
                      <a:avLst/>
                    </a:prstGeom>
                    <a:noFill/>
                  </pic:spPr>
                </pic:pic>
              </a:graphicData>
            </a:graphic>
          </wp:inline>
        </w:drawing>
      </w:r>
    </w:p>
    <w:p w:rsidR="00C84F89" w:rsidRPr="00C84F89" w:rsidRDefault="005B29AB" w:rsidP="005B29AB">
      <w:pPr>
        <w:pStyle w:val="Titulek"/>
        <w:jc w:val="both"/>
      </w:pPr>
      <w:bookmarkStart w:id="159" w:name="_Ref450506051"/>
      <w:r>
        <w:t xml:space="preserve">Obr. </w:t>
      </w:r>
      <w:r w:rsidR="00990E2D">
        <w:fldChar w:fldCharType="begin"/>
      </w:r>
      <w:r w:rsidR="00990E2D">
        <w:instrText xml:space="preserve"> SEQ Obr. \* ARABIC </w:instrText>
      </w:r>
      <w:r w:rsidR="00990E2D">
        <w:fldChar w:fldCharType="separate"/>
      </w:r>
      <w:r w:rsidR="003F08E5">
        <w:rPr>
          <w:noProof/>
        </w:rPr>
        <w:t>17</w:t>
      </w:r>
      <w:r w:rsidR="00990E2D">
        <w:rPr>
          <w:noProof/>
        </w:rPr>
        <w:fldChar w:fldCharType="end"/>
      </w:r>
      <w:bookmarkEnd w:id="159"/>
      <w:r>
        <w:tab/>
      </w:r>
      <w:r w:rsidRPr="005B29AB">
        <w:t>Mezinárodní spoluautorství. Země, které mají více než desetinový podíl v na publikacích vytvořených s cizími autory</w:t>
      </w:r>
      <w:r>
        <w:t>. Zdroj: IS VaVaI</w:t>
      </w:r>
    </w:p>
    <w:p w:rsidR="006E7C6C" w:rsidRDefault="005B29AB" w:rsidP="006E7C6C">
      <w:r>
        <w:t>Naprostá většina publikací vytvořených v mezinárodní spolupráci má autory z VŠ nebo z ústavů AV ČR</w:t>
      </w:r>
      <w:r w:rsidR="006C6FDE">
        <w:t xml:space="preserve"> (viz </w:t>
      </w:r>
      <w:r w:rsidR="006C6FDE">
        <w:fldChar w:fldCharType="begin"/>
      </w:r>
      <w:r w:rsidR="006C6FDE">
        <w:instrText xml:space="preserve"> REF  _Ref450506463 \* Lower \h  \* MERGEFORMAT </w:instrText>
      </w:r>
      <w:r w:rsidR="006C6FDE">
        <w:fldChar w:fldCharType="separate"/>
      </w:r>
      <w:r w:rsidR="003F08E5">
        <w:t xml:space="preserve">obr. </w:t>
      </w:r>
      <w:r w:rsidR="003F08E5">
        <w:rPr>
          <w:noProof/>
        </w:rPr>
        <w:t>18</w:t>
      </w:r>
      <w:r w:rsidR="006C6FDE">
        <w:fldChar w:fldCharType="end"/>
      </w:r>
      <w:r w:rsidR="006C6FDE">
        <w:t>)</w:t>
      </w:r>
      <w:r>
        <w:t>.</w:t>
      </w:r>
      <w:r w:rsidR="006C6FDE">
        <w:t xml:space="preserve"> Nejvíce mezinárodních publikací v programech BV má VUT v Brně, kde v mezinárodní spolupráci vznikla téměř třetina publikací z programů BV. Další VŠ, kde vzniklo více publikací v mezinárodní spolupráce, je Univerzita Pardubice.</w:t>
      </w:r>
      <w:r w:rsidR="006E7C6C">
        <w:t xml:space="preserve"> Z ostatních pracovišť má vyšší počet publikací vytvořených v mezinárodní spolupráci pouze </w:t>
      </w:r>
      <w:r w:rsidR="00C84F89" w:rsidRPr="00C84F89">
        <w:t>Státní ústav radiační ochrany</w:t>
      </w:r>
      <w:r w:rsidR="006E7C6C">
        <w:t>, kde tyto publikace tvoří přibližně třetinu publikačních výstupů z projektů BV.</w:t>
      </w:r>
    </w:p>
    <w:p w:rsidR="003215BB" w:rsidRDefault="006E7C6C" w:rsidP="006E7C6C">
      <w:r>
        <w:t xml:space="preserve">Vyšší podíl publikací vzniklých v mezinárodní spolupráci na některých pracovištích zřejmě souvisí s tím, že tato pracoviště mají poměrně </w:t>
      </w:r>
      <w:r w:rsidR="00C84F89" w:rsidRPr="00C84F89">
        <w:t xml:space="preserve">intenzivní </w:t>
      </w:r>
      <w:r>
        <w:t>vazby na zahraniční pracoviště (</w:t>
      </w:r>
      <w:r w:rsidR="00F91B56">
        <w:t xml:space="preserve">zřejmě </w:t>
      </w:r>
      <w:r>
        <w:t xml:space="preserve">i </w:t>
      </w:r>
      <w:r w:rsidR="00C84F89" w:rsidRPr="00C84F89">
        <w:t xml:space="preserve">mimo </w:t>
      </w:r>
      <w:r w:rsidR="00F91B56">
        <w:t>problematiku b</w:t>
      </w:r>
      <w:r w:rsidR="00C84F89" w:rsidRPr="00C84F89">
        <w:t>ezpečnost</w:t>
      </w:r>
      <w:r w:rsidR="00F91B56">
        <w:t>i)</w:t>
      </w:r>
      <w:r>
        <w:t>.</w:t>
      </w:r>
      <w:r w:rsidR="00C84F89" w:rsidRPr="00C84F89">
        <w:t xml:space="preserve"> </w:t>
      </w:r>
      <w:r>
        <w:t xml:space="preserve">Dalším důvodem může být i to, že na významnějších výzkumně zaměřených pracovištích (jako jsou VŠ a ústavy AV ČR) působí zahraniční výzkumní pracovníci, kteří se na řešení projektů BV </w:t>
      </w:r>
      <w:r w:rsidR="00D42381">
        <w:t xml:space="preserve">mohou </w:t>
      </w:r>
      <w:r>
        <w:t>podíle</w:t>
      </w:r>
      <w:r w:rsidR="00D42381">
        <w:t>t</w:t>
      </w:r>
      <w:r>
        <w:t>.</w:t>
      </w:r>
      <w:r w:rsidR="001A1503">
        <w:t xml:space="preserve"> </w:t>
      </w:r>
    </w:p>
    <w:p w:rsidR="00C84F89" w:rsidRDefault="001A1503" w:rsidP="006E7C6C">
      <w:r>
        <w:lastRenderedPageBreak/>
        <w:t xml:space="preserve">To do </w:t>
      </w:r>
      <w:r w:rsidR="00F91B56">
        <w:t xml:space="preserve">jisté </w:t>
      </w:r>
      <w:r>
        <w:t xml:space="preserve">míry potvrzuje i </w:t>
      </w:r>
      <w:r w:rsidR="003215BB">
        <w:fldChar w:fldCharType="begin"/>
      </w:r>
      <w:r w:rsidR="003215BB">
        <w:instrText xml:space="preserve"> REF  _Ref450507206 \* Lower \h  \* MERGEFORMAT </w:instrText>
      </w:r>
      <w:r w:rsidR="003215BB">
        <w:fldChar w:fldCharType="separate"/>
      </w:r>
      <w:r w:rsidR="003F08E5">
        <w:t xml:space="preserve">tab. </w:t>
      </w:r>
      <w:r w:rsidR="003F08E5">
        <w:rPr>
          <w:noProof/>
        </w:rPr>
        <w:t>44</w:t>
      </w:r>
      <w:r w:rsidR="003215BB">
        <w:fldChar w:fldCharType="end"/>
      </w:r>
      <w:r w:rsidR="003215BB">
        <w:t xml:space="preserve">, kde jsou pro instituce s vyšším počtem mezinárodních publikací v BV uvedeny země, ze kterých pocházeli spoluautoři těchto publikací. </w:t>
      </w:r>
      <w:r w:rsidR="00F91B56">
        <w:t>Z tabulky je patrné, že tato pracoviště (n</w:t>
      </w:r>
      <w:r w:rsidR="003215BB">
        <w:t>apříklad VUT v Brně a Univerzita Pardubice</w:t>
      </w:r>
      <w:r w:rsidR="00F91B56">
        <w:t>)</w:t>
      </w:r>
      <w:r w:rsidR="003215BB">
        <w:t xml:space="preserve"> mají vysoký počet společných publikací s jednou zemí</w:t>
      </w:r>
      <w:r w:rsidR="00F91B56">
        <w:t xml:space="preserve"> a s ostatními již spolupracují méně</w:t>
      </w:r>
      <w:r w:rsidR="003215BB">
        <w:t xml:space="preserve">. </w:t>
      </w:r>
      <w:r w:rsidR="00C84F89" w:rsidRPr="00C84F89">
        <w:t xml:space="preserve">Přestože počty výstupů jsou velmi nízké, bibliometrické údaje </w:t>
      </w:r>
      <w:r w:rsidR="003215BB">
        <w:t>naznačují</w:t>
      </w:r>
      <w:r w:rsidR="00C84F89" w:rsidRPr="00C84F89">
        <w:t xml:space="preserve">, že z internacionalizace VaV </w:t>
      </w:r>
      <w:r w:rsidR="00F91B56">
        <w:t>b</w:t>
      </w:r>
      <w:r w:rsidR="00C84F89" w:rsidRPr="00C84F89">
        <w:t>enefit</w:t>
      </w:r>
      <w:r w:rsidR="00F91B56">
        <w:t>uje</w:t>
      </w:r>
      <w:r w:rsidR="00C84F89" w:rsidRPr="00C84F89">
        <w:t xml:space="preserve"> pouze bezpečnostní výzkum prováděný ve velkých výzkumných zařízeních.</w:t>
      </w:r>
    </w:p>
    <w:p w:rsidR="003215BB" w:rsidRPr="00C84F89" w:rsidRDefault="003215BB" w:rsidP="006E7C6C"/>
    <w:p w:rsidR="005B29AB" w:rsidRDefault="005B29AB" w:rsidP="005B29AB">
      <w:pPr>
        <w:keepNext/>
        <w:jc w:val="center"/>
      </w:pPr>
      <w:r>
        <w:rPr>
          <w:noProof/>
          <w:lang w:eastAsia="cs-CZ"/>
        </w:rPr>
        <w:drawing>
          <wp:inline distT="0" distB="0" distL="0" distR="0" wp14:anchorId="38C8A3A6" wp14:editId="043AE84E">
            <wp:extent cx="3362325" cy="3822531"/>
            <wp:effectExtent l="0" t="0" r="0" b="6985"/>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3362325" cy="3822531"/>
                    </a:xfrm>
                    <a:prstGeom prst="rect">
                      <a:avLst/>
                    </a:prstGeom>
                    <a:noFill/>
                  </pic:spPr>
                </pic:pic>
              </a:graphicData>
            </a:graphic>
          </wp:inline>
        </w:drawing>
      </w:r>
    </w:p>
    <w:p w:rsidR="00C84F89" w:rsidRPr="00C84F89" w:rsidRDefault="005B29AB" w:rsidP="005B29AB">
      <w:pPr>
        <w:pStyle w:val="Titulek"/>
        <w:jc w:val="both"/>
      </w:pPr>
      <w:bookmarkStart w:id="160" w:name="_Ref450506463"/>
      <w:r>
        <w:t xml:space="preserve">Obr. </w:t>
      </w:r>
      <w:r w:rsidR="00990E2D">
        <w:fldChar w:fldCharType="begin"/>
      </w:r>
      <w:r w:rsidR="00990E2D">
        <w:instrText xml:space="preserve"> SEQ Obr. \* ARABIC </w:instrText>
      </w:r>
      <w:r w:rsidR="00990E2D">
        <w:fldChar w:fldCharType="separate"/>
      </w:r>
      <w:r w:rsidR="003F08E5">
        <w:rPr>
          <w:noProof/>
        </w:rPr>
        <w:t>18</w:t>
      </w:r>
      <w:r w:rsidR="00990E2D">
        <w:rPr>
          <w:noProof/>
        </w:rPr>
        <w:fldChar w:fldCharType="end"/>
      </w:r>
      <w:bookmarkEnd w:id="160"/>
      <w:r>
        <w:tab/>
      </w:r>
      <w:r w:rsidRPr="005B29AB">
        <w:t>Instituce s více než jednou publikací ve spoluautorství s cizím pracovištěm. Údaj v % udává podíl na celkovém počtu impaktovaných výsledků přiřazených bezpečnostním programům</w:t>
      </w:r>
      <w:r>
        <w:t>. Zdroj: IS VaVaI</w:t>
      </w:r>
    </w:p>
    <w:p w:rsidR="00C84F89" w:rsidRPr="00C84F89" w:rsidRDefault="00C84F89" w:rsidP="00C84F89"/>
    <w:p w:rsidR="001A1503" w:rsidRDefault="001A1503" w:rsidP="001A1503">
      <w:pPr>
        <w:pStyle w:val="Titulek"/>
        <w:keepNext/>
      </w:pPr>
      <w:bookmarkStart w:id="161" w:name="_Ref450507206"/>
      <w:r>
        <w:t xml:space="preserve">Tab. </w:t>
      </w:r>
      <w:r w:rsidR="00990E2D">
        <w:fldChar w:fldCharType="begin"/>
      </w:r>
      <w:r w:rsidR="00990E2D">
        <w:instrText xml:space="preserve"> SEQ Tab. \* ARABIC </w:instrText>
      </w:r>
      <w:r w:rsidR="00990E2D">
        <w:fldChar w:fldCharType="separate"/>
      </w:r>
      <w:r w:rsidR="003F08E5">
        <w:rPr>
          <w:noProof/>
        </w:rPr>
        <w:t>44</w:t>
      </w:r>
      <w:r w:rsidR="00990E2D">
        <w:rPr>
          <w:noProof/>
        </w:rPr>
        <w:fldChar w:fldCharType="end"/>
      </w:r>
      <w:bookmarkEnd w:id="161"/>
      <w:r>
        <w:tab/>
      </w:r>
      <w:r w:rsidRPr="001A1503">
        <w:t>Afiliace spoluautorů společných publikací pro vybrané instituce</w:t>
      </w:r>
      <w:r>
        <w:t xml:space="preserve">. Zdroj: IS </w:t>
      </w:r>
      <w:r w:rsidR="003215BB">
        <w:t>V</w:t>
      </w:r>
      <w:r>
        <w:t>aVaI</w:t>
      </w:r>
    </w:p>
    <w:tbl>
      <w:tblPr>
        <w:tblW w:w="7103" w:type="dxa"/>
        <w:jc w:val="center"/>
        <w:tblInd w:w="55" w:type="dxa"/>
        <w:tblCellMar>
          <w:left w:w="70" w:type="dxa"/>
          <w:right w:w="70" w:type="dxa"/>
        </w:tblCellMar>
        <w:tblLook w:val="04A0" w:firstRow="1" w:lastRow="0" w:firstColumn="1" w:lastColumn="0" w:noHBand="0" w:noVBand="1"/>
      </w:tblPr>
      <w:tblGrid>
        <w:gridCol w:w="5685"/>
        <w:gridCol w:w="1418"/>
      </w:tblGrid>
      <w:tr w:rsidR="00C84F89" w:rsidRPr="001A1503" w:rsidTr="001A1503">
        <w:trPr>
          <w:trHeight w:val="450"/>
          <w:jc w:val="center"/>
        </w:trPr>
        <w:tc>
          <w:tcPr>
            <w:tcW w:w="5685" w:type="dxa"/>
            <w:tcBorders>
              <w:top w:val="single" w:sz="4" w:space="0" w:color="auto"/>
              <w:left w:val="nil"/>
              <w:bottom w:val="single" w:sz="4" w:space="0" w:color="auto"/>
              <w:right w:val="nil"/>
            </w:tcBorders>
            <w:shd w:val="clear" w:color="auto" w:fill="D9D9D9" w:themeFill="background1" w:themeFillShade="D9"/>
            <w:noWrap/>
            <w:vAlign w:val="center"/>
            <w:hideMark/>
          </w:tcPr>
          <w:p w:rsidR="00C84F89" w:rsidRPr="001A1503" w:rsidRDefault="00C84F89" w:rsidP="001A1503">
            <w:pPr>
              <w:spacing w:before="0" w:after="0"/>
              <w:jc w:val="left"/>
              <w:rPr>
                <w:rFonts w:eastAsia="Times New Roman" w:cs="Times New Roman"/>
                <w:b/>
                <w:bCs/>
                <w:color w:val="000000"/>
                <w:sz w:val="20"/>
                <w:szCs w:val="20"/>
                <w:lang w:eastAsia="cs-CZ"/>
              </w:rPr>
            </w:pPr>
            <w:r w:rsidRPr="001A1503">
              <w:rPr>
                <w:rFonts w:eastAsia="Times New Roman" w:cs="Times New Roman"/>
                <w:b/>
                <w:bCs/>
                <w:color w:val="000000"/>
                <w:sz w:val="20"/>
                <w:szCs w:val="20"/>
                <w:lang w:eastAsia="cs-CZ"/>
              </w:rPr>
              <w:t xml:space="preserve">Instituce </w:t>
            </w:r>
          </w:p>
        </w:tc>
        <w:tc>
          <w:tcPr>
            <w:tcW w:w="1418" w:type="dxa"/>
            <w:tcBorders>
              <w:top w:val="single" w:sz="4" w:space="0" w:color="auto"/>
              <w:left w:val="nil"/>
              <w:bottom w:val="single" w:sz="4" w:space="0" w:color="auto"/>
              <w:right w:val="nil"/>
            </w:tcBorders>
            <w:shd w:val="clear" w:color="auto" w:fill="D9D9D9" w:themeFill="background1" w:themeFillShade="D9"/>
            <w:vAlign w:val="center"/>
            <w:hideMark/>
          </w:tcPr>
          <w:p w:rsidR="00C84F89" w:rsidRPr="001A1503" w:rsidRDefault="001A1503" w:rsidP="001A1503">
            <w:pPr>
              <w:spacing w:before="0" w:after="0"/>
              <w:jc w:val="center"/>
              <w:rPr>
                <w:rFonts w:eastAsia="Times New Roman" w:cs="Times New Roman"/>
                <w:b/>
                <w:bCs/>
                <w:color w:val="000000"/>
                <w:sz w:val="20"/>
                <w:szCs w:val="20"/>
                <w:lang w:eastAsia="cs-CZ"/>
              </w:rPr>
            </w:pPr>
            <w:r w:rsidRPr="001A1503">
              <w:rPr>
                <w:rFonts w:eastAsia="Times New Roman" w:cs="Times New Roman"/>
                <w:b/>
                <w:bCs/>
                <w:color w:val="000000"/>
                <w:sz w:val="20"/>
                <w:szCs w:val="20"/>
                <w:lang w:eastAsia="cs-CZ"/>
              </w:rPr>
              <w:t>S</w:t>
            </w:r>
            <w:r w:rsidR="00C84F89" w:rsidRPr="001A1503">
              <w:rPr>
                <w:rFonts w:eastAsia="Times New Roman" w:cs="Times New Roman"/>
                <w:b/>
                <w:bCs/>
                <w:color w:val="000000"/>
                <w:sz w:val="20"/>
                <w:szCs w:val="20"/>
                <w:lang w:eastAsia="cs-CZ"/>
              </w:rPr>
              <w:t>polečné publikace</w:t>
            </w:r>
          </w:p>
        </w:tc>
      </w:tr>
      <w:tr w:rsidR="00C84F89" w:rsidRPr="001A1503" w:rsidTr="001A1503">
        <w:trPr>
          <w:trHeight w:val="225"/>
          <w:jc w:val="center"/>
        </w:trPr>
        <w:tc>
          <w:tcPr>
            <w:tcW w:w="5685" w:type="dxa"/>
            <w:tcBorders>
              <w:top w:val="nil"/>
              <w:left w:val="nil"/>
              <w:bottom w:val="nil"/>
              <w:right w:val="nil"/>
            </w:tcBorders>
            <w:shd w:val="clear" w:color="auto" w:fill="auto"/>
            <w:noWrap/>
            <w:vAlign w:val="bottom"/>
            <w:hideMark/>
          </w:tcPr>
          <w:p w:rsidR="00C84F89" w:rsidRPr="001A1503" w:rsidRDefault="00C84F89" w:rsidP="00CC1B04">
            <w:pPr>
              <w:spacing w:before="0" w:after="0"/>
              <w:jc w:val="left"/>
              <w:rPr>
                <w:rFonts w:eastAsia="Times New Roman" w:cs="Times New Roman"/>
                <w:b/>
                <w:bCs/>
                <w:color w:val="000000"/>
                <w:sz w:val="20"/>
                <w:szCs w:val="20"/>
                <w:lang w:eastAsia="cs-CZ"/>
              </w:rPr>
            </w:pPr>
            <w:r w:rsidRPr="001A1503">
              <w:rPr>
                <w:rFonts w:eastAsia="Times New Roman" w:cs="Times New Roman"/>
                <w:b/>
                <w:bCs/>
                <w:color w:val="000000"/>
                <w:sz w:val="20"/>
                <w:szCs w:val="20"/>
                <w:lang w:eastAsia="cs-CZ"/>
              </w:rPr>
              <w:t>VUT Fakulta elektrotechniky a komunikačních technologií</w:t>
            </w:r>
          </w:p>
        </w:tc>
        <w:tc>
          <w:tcPr>
            <w:tcW w:w="1418" w:type="dxa"/>
            <w:tcBorders>
              <w:top w:val="nil"/>
              <w:left w:val="nil"/>
              <w:bottom w:val="nil"/>
              <w:right w:val="nil"/>
            </w:tcBorders>
            <w:shd w:val="clear" w:color="auto" w:fill="auto"/>
            <w:noWrap/>
            <w:vAlign w:val="bottom"/>
            <w:hideMark/>
          </w:tcPr>
          <w:p w:rsidR="00C84F89" w:rsidRPr="001A1503" w:rsidRDefault="00C84F89" w:rsidP="001A1503">
            <w:pPr>
              <w:spacing w:before="0" w:after="0"/>
              <w:ind w:right="458"/>
              <w:jc w:val="right"/>
              <w:rPr>
                <w:rFonts w:eastAsia="Times New Roman" w:cs="Times New Roman"/>
                <w:b/>
                <w:bCs/>
                <w:color w:val="000000"/>
                <w:sz w:val="20"/>
                <w:szCs w:val="20"/>
                <w:lang w:eastAsia="cs-CZ"/>
              </w:rPr>
            </w:pPr>
            <w:r w:rsidRPr="001A1503">
              <w:rPr>
                <w:rFonts w:eastAsia="Times New Roman" w:cs="Times New Roman"/>
                <w:b/>
                <w:bCs/>
                <w:color w:val="000000"/>
                <w:sz w:val="20"/>
                <w:szCs w:val="20"/>
                <w:lang w:eastAsia="cs-CZ"/>
              </w:rPr>
              <w:t>7</w:t>
            </w:r>
          </w:p>
        </w:tc>
      </w:tr>
      <w:tr w:rsidR="00C84F89" w:rsidRPr="001A1503" w:rsidTr="001A1503">
        <w:trPr>
          <w:trHeight w:val="225"/>
          <w:jc w:val="center"/>
        </w:trPr>
        <w:tc>
          <w:tcPr>
            <w:tcW w:w="5685" w:type="dxa"/>
            <w:tcBorders>
              <w:top w:val="nil"/>
              <w:left w:val="nil"/>
              <w:bottom w:val="nil"/>
              <w:right w:val="nil"/>
            </w:tcBorders>
            <w:shd w:val="clear" w:color="auto" w:fill="auto"/>
            <w:noWrap/>
            <w:vAlign w:val="bottom"/>
            <w:hideMark/>
          </w:tcPr>
          <w:p w:rsidR="00C84F89" w:rsidRPr="001A1503" w:rsidRDefault="00C84F89" w:rsidP="00CC1B04">
            <w:pPr>
              <w:spacing w:before="0" w:after="0"/>
              <w:jc w:val="left"/>
              <w:rPr>
                <w:rFonts w:eastAsia="Times New Roman" w:cs="Times New Roman"/>
                <w:i/>
                <w:iCs/>
                <w:color w:val="000000"/>
                <w:sz w:val="20"/>
                <w:szCs w:val="20"/>
                <w:lang w:eastAsia="cs-CZ"/>
              </w:rPr>
            </w:pPr>
            <w:r w:rsidRPr="001A1503">
              <w:rPr>
                <w:rFonts w:eastAsia="Times New Roman" w:cs="Times New Roman"/>
                <w:i/>
                <w:iCs/>
                <w:color w:val="000000"/>
                <w:sz w:val="20"/>
                <w:szCs w:val="20"/>
                <w:lang w:eastAsia="cs-CZ"/>
              </w:rPr>
              <w:t>Španělsko</w:t>
            </w:r>
          </w:p>
        </w:tc>
        <w:tc>
          <w:tcPr>
            <w:tcW w:w="1418" w:type="dxa"/>
            <w:tcBorders>
              <w:top w:val="nil"/>
              <w:left w:val="nil"/>
              <w:bottom w:val="nil"/>
              <w:right w:val="nil"/>
            </w:tcBorders>
            <w:shd w:val="clear" w:color="auto" w:fill="auto"/>
            <w:noWrap/>
            <w:vAlign w:val="bottom"/>
            <w:hideMark/>
          </w:tcPr>
          <w:p w:rsidR="00C84F89" w:rsidRPr="001A1503" w:rsidRDefault="00C84F89" w:rsidP="001A1503">
            <w:pPr>
              <w:spacing w:before="0" w:after="0"/>
              <w:ind w:right="458"/>
              <w:jc w:val="right"/>
              <w:rPr>
                <w:rFonts w:eastAsia="Times New Roman" w:cs="Times New Roman"/>
                <w:i/>
                <w:iCs/>
                <w:color w:val="000000"/>
                <w:sz w:val="20"/>
                <w:szCs w:val="20"/>
                <w:lang w:eastAsia="cs-CZ"/>
              </w:rPr>
            </w:pPr>
            <w:r w:rsidRPr="001A1503">
              <w:rPr>
                <w:rFonts w:eastAsia="Times New Roman" w:cs="Times New Roman"/>
                <w:i/>
                <w:iCs/>
                <w:color w:val="000000"/>
                <w:sz w:val="20"/>
                <w:szCs w:val="20"/>
                <w:lang w:eastAsia="cs-CZ"/>
              </w:rPr>
              <w:t>7</w:t>
            </w:r>
          </w:p>
        </w:tc>
      </w:tr>
      <w:tr w:rsidR="00C84F89" w:rsidRPr="001A1503" w:rsidTr="001A1503">
        <w:trPr>
          <w:trHeight w:val="225"/>
          <w:jc w:val="center"/>
        </w:trPr>
        <w:tc>
          <w:tcPr>
            <w:tcW w:w="5685" w:type="dxa"/>
            <w:tcBorders>
              <w:top w:val="nil"/>
              <w:left w:val="nil"/>
              <w:bottom w:val="nil"/>
              <w:right w:val="nil"/>
            </w:tcBorders>
            <w:shd w:val="clear" w:color="auto" w:fill="auto"/>
            <w:noWrap/>
            <w:vAlign w:val="bottom"/>
            <w:hideMark/>
          </w:tcPr>
          <w:p w:rsidR="00C84F89" w:rsidRPr="001A1503" w:rsidRDefault="00C84F89" w:rsidP="00CC1B04">
            <w:pPr>
              <w:spacing w:before="0" w:after="0"/>
              <w:jc w:val="left"/>
              <w:rPr>
                <w:rFonts w:eastAsia="Times New Roman" w:cs="Times New Roman"/>
                <w:i/>
                <w:iCs/>
                <w:color w:val="000000"/>
                <w:sz w:val="20"/>
                <w:szCs w:val="20"/>
                <w:lang w:eastAsia="cs-CZ"/>
              </w:rPr>
            </w:pPr>
            <w:r w:rsidRPr="001A1503">
              <w:rPr>
                <w:rFonts w:eastAsia="Times New Roman" w:cs="Times New Roman"/>
                <w:i/>
                <w:iCs/>
                <w:color w:val="000000"/>
                <w:sz w:val="20"/>
                <w:szCs w:val="20"/>
                <w:lang w:eastAsia="cs-CZ"/>
              </w:rPr>
              <w:t>Itálie</w:t>
            </w:r>
          </w:p>
        </w:tc>
        <w:tc>
          <w:tcPr>
            <w:tcW w:w="1418" w:type="dxa"/>
            <w:tcBorders>
              <w:top w:val="nil"/>
              <w:left w:val="nil"/>
              <w:bottom w:val="nil"/>
              <w:right w:val="nil"/>
            </w:tcBorders>
            <w:shd w:val="clear" w:color="auto" w:fill="auto"/>
            <w:noWrap/>
            <w:vAlign w:val="bottom"/>
            <w:hideMark/>
          </w:tcPr>
          <w:p w:rsidR="00C84F89" w:rsidRPr="001A1503" w:rsidRDefault="00C84F89" w:rsidP="001A1503">
            <w:pPr>
              <w:spacing w:before="0" w:after="0"/>
              <w:ind w:right="458"/>
              <w:jc w:val="right"/>
              <w:rPr>
                <w:rFonts w:eastAsia="Times New Roman" w:cs="Times New Roman"/>
                <w:i/>
                <w:iCs/>
                <w:color w:val="000000"/>
                <w:sz w:val="20"/>
                <w:szCs w:val="20"/>
                <w:lang w:eastAsia="cs-CZ"/>
              </w:rPr>
            </w:pPr>
            <w:r w:rsidRPr="001A1503">
              <w:rPr>
                <w:rFonts w:eastAsia="Times New Roman" w:cs="Times New Roman"/>
                <w:i/>
                <w:iCs/>
                <w:color w:val="000000"/>
                <w:sz w:val="20"/>
                <w:szCs w:val="20"/>
                <w:lang w:eastAsia="cs-CZ"/>
              </w:rPr>
              <w:t>2</w:t>
            </w:r>
          </w:p>
        </w:tc>
      </w:tr>
      <w:tr w:rsidR="00C84F89" w:rsidRPr="001A1503" w:rsidTr="001A1503">
        <w:trPr>
          <w:trHeight w:val="225"/>
          <w:jc w:val="center"/>
        </w:trPr>
        <w:tc>
          <w:tcPr>
            <w:tcW w:w="5685" w:type="dxa"/>
            <w:tcBorders>
              <w:top w:val="nil"/>
              <w:left w:val="nil"/>
              <w:bottom w:val="nil"/>
              <w:right w:val="nil"/>
            </w:tcBorders>
            <w:shd w:val="clear" w:color="auto" w:fill="auto"/>
            <w:noWrap/>
            <w:vAlign w:val="bottom"/>
            <w:hideMark/>
          </w:tcPr>
          <w:p w:rsidR="00C84F89" w:rsidRPr="001A1503" w:rsidRDefault="00C84F89" w:rsidP="00CC1B04">
            <w:pPr>
              <w:spacing w:before="0" w:after="0"/>
              <w:jc w:val="left"/>
              <w:rPr>
                <w:rFonts w:eastAsia="Times New Roman" w:cs="Times New Roman"/>
                <w:i/>
                <w:iCs/>
                <w:color w:val="000000"/>
                <w:sz w:val="20"/>
                <w:szCs w:val="20"/>
                <w:lang w:eastAsia="cs-CZ"/>
              </w:rPr>
            </w:pPr>
            <w:r w:rsidRPr="001A1503">
              <w:rPr>
                <w:rFonts w:eastAsia="Times New Roman" w:cs="Times New Roman"/>
                <w:i/>
                <w:iCs/>
                <w:color w:val="000000"/>
                <w:sz w:val="20"/>
                <w:szCs w:val="20"/>
                <w:lang w:eastAsia="cs-CZ"/>
              </w:rPr>
              <w:t>Francie</w:t>
            </w:r>
          </w:p>
        </w:tc>
        <w:tc>
          <w:tcPr>
            <w:tcW w:w="1418" w:type="dxa"/>
            <w:tcBorders>
              <w:top w:val="nil"/>
              <w:left w:val="nil"/>
              <w:bottom w:val="nil"/>
              <w:right w:val="nil"/>
            </w:tcBorders>
            <w:shd w:val="clear" w:color="auto" w:fill="auto"/>
            <w:noWrap/>
            <w:vAlign w:val="bottom"/>
            <w:hideMark/>
          </w:tcPr>
          <w:p w:rsidR="00C84F89" w:rsidRPr="001A1503" w:rsidRDefault="00C84F89" w:rsidP="001A1503">
            <w:pPr>
              <w:spacing w:before="0" w:after="0"/>
              <w:ind w:right="458"/>
              <w:jc w:val="right"/>
              <w:rPr>
                <w:rFonts w:eastAsia="Times New Roman" w:cs="Times New Roman"/>
                <w:i/>
                <w:iCs/>
                <w:color w:val="000000"/>
                <w:sz w:val="20"/>
                <w:szCs w:val="20"/>
                <w:lang w:eastAsia="cs-CZ"/>
              </w:rPr>
            </w:pPr>
            <w:r w:rsidRPr="001A1503">
              <w:rPr>
                <w:rFonts w:eastAsia="Times New Roman" w:cs="Times New Roman"/>
                <w:i/>
                <w:iCs/>
                <w:color w:val="000000"/>
                <w:sz w:val="20"/>
                <w:szCs w:val="20"/>
                <w:lang w:eastAsia="cs-CZ"/>
              </w:rPr>
              <w:t>1</w:t>
            </w:r>
          </w:p>
        </w:tc>
      </w:tr>
      <w:tr w:rsidR="00C84F89" w:rsidRPr="001A1503" w:rsidTr="001A1503">
        <w:trPr>
          <w:trHeight w:val="225"/>
          <w:jc w:val="center"/>
        </w:trPr>
        <w:tc>
          <w:tcPr>
            <w:tcW w:w="5685" w:type="dxa"/>
            <w:tcBorders>
              <w:top w:val="nil"/>
              <w:left w:val="nil"/>
              <w:bottom w:val="nil"/>
              <w:right w:val="nil"/>
            </w:tcBorders>
            <w:shd w:val="clear" w:color="auto" w:fill="auto"/>
            <w:noWrap/>
            <w:vAlign w:val="bottom"/>
            <w:hideMark/>
          </w:tcPr>
          <w:p w:rsidR="00C84F89" w:rsidRPr="001A1503" w:rsidRDefault="00C84F89" w:rsidP="00CC1B04">
            <w:pPr>
              <w:spacing w:before="0" w:after="0"/>
              <w:jc w:val="left"/>
              <w:rPr>
                <w:rFonts w:eastAsia="Times New Roman" w:cs="Times New Roman"/>
                <w:i/>
                <w:iCs/>
                <w:color w:val="000000"/>
                <w:sz w:val="20"/>
                <w:szCs w:val="20"/>
                <w:lang w:eastAsia="cs-CZ"/>
              </w:rPr>
            </w:pPr>
            <w:r w:rsidRPr="001A1503">
              <w:rPr>
                <w:rFonts w:eastAsia="Times New Roman" w:cs="Times New Roman"/>
                <w:i/>
                <w:iCs/>
                <w:color w:val="000000"/>
                <w:sz w:val="20"/>
                <w:szCs w:val="20"/>
                <w:lang w:eastAsia="cs-CZ"/>
              </w:rPr>
              <w:t>UK</w:t>
            </w:r>
          </w:p>
        </w:tc>
        <w:tc>
          <w:tcPr>
            <w:tcW w:w="1418" w:type="dxa"/>
            <w:tcBorders>
              <w:top w:val="nil"/>
              <w:left w:val="nil"/>
              <w:bottom w:val="nil"/>
              <w:right w:val="nil"/>
            </w:tcBorders>
            <w:shd w:val="clear" w:color="auto" w:fill="auto"/>
            <w:noWrap/>
            <w:vAlign w:val="bottom"/>
            <w:hideMark/>
          </w:tcPr>
          <w:p w:rsidR="00C84F89" w:rsidRPr="001A1503" w:rsidRDefault="00C84F89" w:rsidP="001A1503">
            <w:pPr>
              <w:spacing w:before="0" w:after="0"/>
              <w:ind w:right="458"/>
              <w:jc w:val="right"/>
              <w:rPr>
                <w:rFonts w:eastAsia="Times New Roman" w:cs="Times New Roman"/>
                <w:i/>
                <w:iCs/>
                <w:color w:val="000000"/>
                <w:sz w:val="20"/>
                <w:szCs w:val="20"/>
                <w:lang w:eastAsia="cs-CZ"/>
              </w:rPr>
            </w:pPr>
            <w:r w:rsidRPr="001A1503">
              <w:rPr>
                <w:rFonts w:eastAsia="Times New Roman" w:cs="Times New Roman"/>
                <w:i/>
                <w:iCs/>
                <w:color w:val="000000"/>
                <w:sz w:val="20"/>
                <w:szCs w:val="20"/>
                <w:lang w:eastAsia="cs-CZ"/>
              </w:rPr>
              <w:t>1</w:t>
            </w:r>
          </w:p>
        </w:tc>
      </w:tr>
      <w:tr w:rsidR="00C84F89" w:rsidRPr="001A1503" w:rsidTr="001A1503">
        <w:trPr>
          <w:trHeight w:val="225"/>
          <w:jc w:val="center"/>
        </w:trPr>
        <w:tc>
          <w:tcPr>
            <w:tcW w:w="5685" w:type="dxa"/>
            <w:tcBorders>
              <w:top w:val="nil"/>
              <w:left w:val="nil"/>
              <w:bottom w:val="nil"/>
              <w:right w:val="nil"/>
            </w:tcBorders>
            <w:shd w:val="clear" w:color="auto" w:fill="auto"/>
            <w:noWrap/>
            <w:vAlign w:val="bottom"/>
            <w:hideMark/>
          </w:tcPr>
          <w:p w:rsidR="00C84F89" w:rsidRPr="001A1503" w:rsidRDefault="00C84F89" w:rsidP="00CC1B04">
            <w:pPr>
              <w:spacing w:before="0" w:after="0"/>
              <w:jc w:val="left"/>
              <w:rPr>
                <w:rFonts w:eastAsia="Times New Roman" w:cs="Times New Roman"/>
                <w:b/>
                <w:bCs/>
                <w:color w:val="000000"/>
                <w:sz w:val="20"/>
                <w:szCs w:val="20"/>
                <w:lang w:eastAsia="cs-CZ"/>
              </w:rPr>
            </w:pPr>
            <w:r w:rsidRPr="001A1503">
              <w:rPr>
                <w:rFonts w:eastAsia="Times New Roman" w:cs="Times New Roman"/>
                <w:b/>
                <w:bCs/>
                <w:color w:val="000000"/>
                <w:sz w:val="20"/>
                <w:szCs w:val="20"/>
                <w:lang w:eastAsia="cs-CZ"/>
              </w:rPr>
              <w:t>Univerzita Pardubice Fakulta chemicko-technologická</w:t>
            </w:r>
          </w:p>
        </w:tc>
        <w:tc>
          <w:tcPr>
            <w:tcW w:w="1418" w:type="dxa"/>
            <w:tcBorders>
              <w:top w:val="nil"/>
              <w:left w:val="nil"/>
              <w:bottom w:val="nil"/>
              <w:right w:val="nil"/>
            </w:tcBorders>
            <w:shd w:val="clear" w:color="auto" w:fill="auto"/>
            <w:noWrap/>
            <w:vAlign w:val="bottom"/>
            <w:hideMark/>
          </w:tcPr>
          <w:p w:rsidR="00C84F89" w:rsidRPr="001A1503" w:rsidRDefault="00C84F89" w:rsidP="001A1503">
            <w:pPr>
              <w:spacing w:before="0" w:after="0"/>
              <w:ind w:right="458"/>
              <w:jc w:val="right"/>
              <w:rPr>
                <w:rFonts w:eastAsia="Times New Roman" w:cs="Times New Roman"/>
                <w:b/>
                <w:bCs/>
                <w:color w:val="000000"/>
                <w:sz w:val="20"/>
                <w:szCs w:val="20"/>
                <w:lang w:eastAsia="cs-CZ"/>
              </w:rPr>
            </w:pPr>
            <w:r w:rsidRPr="001A1503">
              <w:rPr>
                <w:rFonts w:eastAsia="Times New Roman" w:cs="Times New Roman"/>
                <w:b/>
                <w:bCs/>
                <w:color w:val="000000"/>
                <w:sz w:val="20"/>
                <w:szCs w:val="20"/>
                <w:lang w:eastAsia="cs-CZ"/>
              </w:rPr>
              <w:t>6</w:t>
            </w:r>
          </w:p>
        </w:tc>
      </w:tr>
      <w:tr w:rsidR="00C84F89" w:rsidRPr="001A1503" w:rsidTr="001A1503">
        <w:trPr>
          <w:trHeight w:val="225"/>
          <w:jc w:val="center"/>
        </w:trPr>
        <w:tc>
          <w:tcPr>
            <w:tcW w:w="5685" w:type="dxa"/>
            <w:tcBorders>
              <w:top w:val="nil"/>
              <w:left w:val="nil"/>
              <w:bottom w:val="nil"/>
              <w:right w:val="nil"/>
            </w:tcBorders>
            <w:shd w:val="clear" w:color="auto" w:fill="auto"/>
            <w:noWrap/>
            <w:vAlign w:val="bottom"/>
            <w:hideMark/>
          </w:tcPr>
          <w:p w:rsidR="00C84F89" w:rsidRPr="001A1503" w:rsidRDefault="00C84F89" w:rsidP="00CC1B04">
            <w:pPr>
              <w:spacing w:before="0" w:after="0"/>
              <w:jc w:val="left"/>
              <w:rPr>
                <w:rFonts w:eastAsia="Times New Roman" w:cs="Times New Roman"/>
                <w:i/>
                <w:iCs/>
                <w:color w:val="000000"/>
                <w:sz w:val="20"/>
                <w:szCs w:val="20"/>
                <w:lang w:eastAsia="cs-CZ"/>
              </w:rPr>
            </w:pPr>
            <w:r w:rsidRPr="001A1503">
              <w:rPr>
                <w:rFonts w:eastAsia="Times New Roman" w:cs="Times New Roman"/>
                <w:i/>
                <w:iCs/>
                <w:color w:val="000000"/>
                <w:sz w:val="20"/>
                <w:szCs w:val="20"/>
                <w:lang w:eastAsia="cs-CZ"/>
              </w:rPr>
              <w:t>Egypt</w:t>
            </w:r>
          </w:p>
        </w:tc>
        <w:tc>
          <w:tcPr>
            <w:tcW w:w="1418" w:type="dxa"/>
            <w:tcBorders>
              <w:top w:val="nil"/>
              <w:left w:val="nil"/>
              <w:bottom w:val="nil"/>
              <w:right w:val="nil"/>
            </w:tcBorders>
            <w:shd w:val="clear" w:color="auto" w:fill="auto"/>
            <w:noWrap/>
            <w:vAlign w:val="bottom"/>
            <w:hideMark/>
          </w:tcPr>
          <w:p w:rsidR="00C84F89" w:rsidRPr="001A1503" w:rsidRDefault="00C84F89" w:rsidP="001A1503">
            <w:pPr>
              <w:spacing w:before="0" w:after="0"/>
              <w:ind w:right="458"/>
              <w:jc w:val="right"/>
              <w:rPr>
                <w:rFonts w:eastAsia="Times New Roman" w:cs="Times New Roman"/>
                <w:i/>
                <w:iCs/>
                <w:color w:val="000000"/>
                <w:sz w:val="20"/>
                <w:szCs w:val="20"/>
                <w:lang w:eastAsia="cs-CZ"/>
              </w:rPr>
            </w:pPr>
            <w:r w:rsidRPr="001A1503">
              <w:rPr>
                <w:rFonts w:eastAsia="Times New Roman" w:cs="Times New Roman"/>
                <w:i/>
                <w:iCs/>
                <w:color w:val="000000"/>
                <w:sz w:val="20"/>
                <w:szCs w:val="20"/>
                <w:lang w:eastAsia="cs-CZ"/>
              </w:rPr>
              <w:t>6</w:t>
            </w:r>
          </w:p>
        </w:tc>
      </w:tr>
      <w:tr w:rsidR="00C84F89" w:rsidRPr="001A1503" w:rsidTr="001A1503">
        <w:trPr>
          <w:trHeight w:val="225"/>
          <w:jc w:val="center"/>
        </w:trPr>
        <w:tc>
          <w:tcPr>
            <w:tcW w:w="5685" w:type="dxa"/>
            <w:tcBorders>
              <w:top w:val="nil"/>
              <w:left w:val="nil"/>
              <w:bottom w:val="nil"/>
              <w:right w:val="nil"/>
            </w:tcBorders>
            <w:shd w:val="clear" w:color="auto" w:fill="auto"/>
            <w:noWrap/>
            <w:vAlign w:val="bottom"/>
            <w:hideMark/>
          </w:tcPr>
          <w:p w:rsidR="00C84F89" w:rsidRPr="001A1503" w:rsidRDefault="00C84F89" w:rsidP="00CC1B04">
            <w:pPr>
              <w:spacing w:before="0" w:after="0"/>
              <w:jc w:val="left"/>
              <w:rPr>
                <w:rFonts w:eastAsia="Times New Roman" w:cs="Times New Roman"/>
                <w:i/>
                <w:iCs/>
                <w:color w:val="000000"/>
                <w:sz w:val="20"/>
                <w:szCs w:val="20"/>
                <w:lang w:eastAsia="cs-CZ"/>
              </w:rPr>
            </w:pPr>
            <w:r w:rsidRPr="001A1503">
              <w:rPr>
                <w:rFonts w:eastAsia="Times New Roman" w:cs="Times New Roman"/>
                <w:i/>
                <w:iCs/>
                <w:color w:val="000000"/>
                <w:sz w:val="20"/>
                <w:szCs w:val="20"/>
                <w:lang w:eastAsia="cs-CZ"/>
              </w:rPr>
              <w:t>Čína</w:t>
            </w:r>
          </w:p>
        </w:tc>
        <w:tc>
          <w:tcPr>
            <w:tcW w:w="1418" w:type="dxa"/>
            <w:tcBorders>
              <w:top w:val="nil"/>
              <w:left w:val="nil"/>
              <w:bottom w:val="nil"/>
              <w:right w:val="nil"/>
            </w:tcBorders>
            <w:shd w:val="clear" w:color="auto" w:fill="auto"/>
            <w:noWrap/>
            <w:vAlign w:val="bottom"/>
            <w:hideMark/>
          </w:tcPr>
          <w:p w:rsidR="00C84F89" w:rsidRPr="001A1503" w:rsidRDefault="00C84F89" w:rsidP="001A1503">
            <w:pPr>
              <w:spacing w:before="0" w:after="0"/>
              <w:ind w:right="458"/>
              <w:jc w:val="right"/>
              <w:rPr>
                <w:rFonts w:eastAsia="Times New Roman" w:cs="Times New Roman"/>
                <w:i/>
                <w:iCs/>
                <w:color w:val="000000"/>
                <w:sz w:val="20"/>
                <w:szCs w:val="20"/>
                <w:lang w:eastAsia="cs-CZ"/>
              </w:rPr>
            </w:pPr>
            <w:r w:rsidRPr="001A1503">
              <w:rPr>
                <w:rFonts w:eastAsia="Times New Roman" w:cs="Times New Roman"/>
                <w:i/>
                <w:iCs/>
                <w:color w:val="000000"/>
                <w:sz w:val="20"/>
                <w:szCs w:val="20"/>
                <w:lang w:eastAsia="cs-CZ"/>
              </w:rPr>
              <w:t>2</w:t>
            </w:r>
          </w:p>
        </w:tc>
      </w:tr>
      <w:tr w:rsidR="00C84F89" w:rsidRPr="001A1503" w:rsidTr="001A1503">
        <w:trPr>
          <w:trHeight w:val="225"/>
          <w:jc w:val="center"/>
        </w:trPr>
        <w:tc>
          <w:tcPr>
            <w:tcW w:w="5685" w:type="dxa"/>
            <w:tcBorders>
              <w:top w:val="nil"/>
              <w:left w:val="nil"/>
              <w:bottom w:val="nil"/>
              <w:right w:val="nil"/>
            </w:tcBorders>
            <w:shd w:val="clear" w:color="auto" w:fill="auto"/>
            <w:noWrap/>
            <w:vAlign w:val="bottom"/>
            <w:hideMark/>
          </w:tcPr>
          <w:p w:rsidR="00C84F89" w:rsidRPr="001A1503" w:rsidRDefault="00C84F89" w:rsidP="00CC1B04">
            <w:pPr>
              <w:spacing w:before="0" w:after="0"/>
              <w:jc w:val="left"/>
              <w:rPr>
                <w:rFonts w:eastAsia="Times New Roman" w:cs="Times New Roman"/>
                <w:b/>
                <w:bCs/>
                <w:color w:val="000000"/>
                <w:sz w:val="20"/>
                <w:szCs w:val="20"/>
                <w:lang w:eastAsia="cs-CZ"/>
              </w:rPr>
            </w:pPr>
            <w:r w:rsidRPr="001A1503">
              <w:rPr>
                <w:rFonts w:eastAsia="Times New Roman" w:cs="Times New Roman"/>
                <w:b/>
                <w:bCs/>
                <w:color w:val="000000"/>
                <w:sz w:val="20"/>
                <w:szCs w:val="20"/>
                <w:lang w:eastAsia="cs-CZ"/>
              </w:rPr>
              <w:t>Státní ústav radiační ochrany</w:t>
            </w:r>
          </w:p>
        </w:tc>
        <w:tc>
          <w:tcPr>
            <w:tcW w:w="1418" w:type="dxa"/>
            <w:tcBorders>
              <w:top w:val="nil"/>
              <w:left w:val="nil"/>
              <w:bottom w:val="nil"/>
              <w:right w:val="nil"/>
            </w:tcBorders>
            <w:shd w:val="clear" w:color="auto" w:fill="auto"/>
            <w:noWrap/>
            <w:vAlign w:val="bottom"/>
            <w:hideMark/>
          </w:tcPr>
          <w:p w:rsidR="00C84F89" w:rsidRPr="001A1503" w:rsidRDefault="00C84F89" w:rsidP="001A1503">
            <w:pPr>
              <w:spacing w:before="0" w:after="0"/>
              <w:ind w:right="458"/>
              <w:jc w:val="right"/>
              <w:rPr>
                <w:rFonts w:eastAsia="Times New Roman" w:cs="Times New Roman"/>
                <w:b/>
                <w:bCs/>
                <w:color w:val="000000"/>
                <w:sz w:val="20"/>
                <w:szCs w:val="20"/>
                <w:lang w:eastAsia="cs-CZ"/>
              </w:rPr>
            </w:pPr>
            <w:r w:rsidRPr="001A1503">
              <w:rPr>
                <w:rFonts w:eastAsia="Times New Roman" w:cs="Times New Roman"/>
                <w:b/>
                <w:bCs/>
                <w:color w:val="000000"/>
                <w:sz w:val="20"/>
                <w:szCs w:val="20"/>
                <w:lang w:eastAsia="cs-CZ"/>
              </w:rPr>
              <w:t>6</w:t>
            </w:r>
          </w:p>
        </w:tc>
      </w:tr>
      <w:tr w:rsidR="00C84F89" w:rsidRPr="001A1503" w:rsidTr="001A1503">
        <w:trPr>
          <w:trHeight w:val="225"/>
          <w:jc w:val="center"/>
        </w:trPr>
        <w:tc>
          <w:tcPr>
            <w:tcW w:w="5685" w:type="dxa"/>
            <w:tcBorders>
              <w:top w:val="nil"/>
              <w:left w:val="nil"/>
              <w:bottom w:val="nil"/>
              <w:right w:val="nil"/>
            </w:tcBorders>
            <w:shd w:val="clear" w:color="auto" w:fill="auto"/>
            <w:noWrap/>
            <w:vAlign w:val="bottom"/>
            <w:hideMark/>
          </w:tcPr>
          <w:p w:rsidR="00C84F89" w:rsidRPr="001A1503" w:rsidRDefault="00C84F89" w:rsidP="00CC1B04">
            <w:pPr>
              <w:spacing w:before="0" w:after="0"/>
              <w:jc w:val="left"/>
              <w:rPr>
                <w:rFonts w:eastAsia="Times New Roman" w:cs="Times New Roman"/>
                <w:i/>
                <w:iCs/>
                <w:color w:val="000000"/>
                <w:sz w:val="20"/>
                <w:szCs w:val="20"/>
                <w:lang w:eastAsia="cs-CZ"/>
              </w:rPr>
            </w:pPr>
            <w:r w:rsidRPr="001A1503">
              <w:rPr>
                <w:rFonts w:eastAsia="Times New Roman" w:cs="Times New Roman"/>
                <w:i/>
                <w:iCs/>
                <w:color w:val="000000"/>
                <w:sz w:val="20"/>
                <w:szCs w:val="20"/>
                <w:lang w:eastAsia="cs-CZ"/>
              </w:rPr>
              <w:t>Německo</w:t>
            </w:r>
          </w:p>
        </w:tc>
        <w:tc>
          <w:tcPr>
            <w:tcW w:w="1418" w:type="dxa"/>
            <w:tcBorders>
              <w:top w:val="nil"/>
              <w:left w:val="nil"/>
              <w:bottom w:val="nil"/>
              <w:right w:val="nil"/>
            </w:tcBorders>
            <w:shd w:val="clear" w:color="auto" w:fill="auto"/>
            <w:noWrap/>
            <w:vAlign w:val="bottom"/>
            <w:hideMark/>
          </w:tcPr>
          <w:p w:rsidR="00C84F89" w:rsidRPr="001A1503" w:rsidRDefault="00C84F89" w:rsidP="001A1503">
            <w:pPr>
              <w:spacing w:before="0" w:after="0"/>
              <w:ind w:right="458"/>
              <w:jc w:val="right"/>
              <w:rPr>
                <w:rFonts w:eastAsia="Times New Roman" w:cs="Times New Roman"/>
                <w:i/>
                <w:iCs/>
                <w:color w:val="000000"/>
                <w:sz w:val="20"/>
                <w:szCs w:val="20"/>
                <w:lang w:eastAsia="cs-CZ"/>
              </w:rPr>
            </w:pPr>
            <w:r w:rsidRPr="001A1503">
              <w:rPr>
                <w:rFonts w:eastAsia="Times New Roman" w:cs="Times New Roman"/>
                <w:i/>
                <w:iCs/>
                <w:color w:val="000000"/>
                <w:sz w:val="20"/>
                <w:szCs w:val="20"/>
                <w:lang w:eastAsia="cs-CZ"/>
              </w:rPr>
              <w:t>5</w:t>
            </w:r>
          </w:p>
        </w:tc>
      </w:tr>
      <w:tr w:rsidR="00C84F89" w:rsidRPr="001A1503" w:rsidTr="001A1503">
        <w:trPr>
          <w:trHeight w:val="225"/>
          <w:jc w:val="center"/>
        </w:trPr>
        <w:tc>
          <w:tcPr>
            <w:tcW w:w="5685" w:type="dxa"/>
            <w:tcBorders>
              <w:top w:val="nil"/>
              <w:left w:val="nil"/>
              <w:bottom w:val="nil"/>
              <w:right w:val="nil"/>
            </w:tcBorders>
            <w:shd w:val="clear" w:color="auto" w:fill="auto"/>
            <w:noWrap/>
            <w:vAlign w:val="bottom"/>
            <w:hideMark/>
          </w:tcPr>
          <w:p w:rsidR="00C84F89" w:rsidRPr="001A1503" w:rsidRDefault="00C84F89" w:rsidP="00CC1B04">
            <w:pPr>
              <w:spacing w:before="0" w:after="0"/>
              <w:jc w:val="left"/>
              <w:rPr>
                <w:rFonts w:eastAsia="Times New Roman" w:cs="Times New Roman"/>
                <w:i/>
                <w:iCs/>
                <w:color w:val="000000"/>
                <w:sz w:val="20"/>
                <w:szCs w:val="20"/>
                <w:lang w:eastAsia="cs-CZ"/>
              </w:rPr>
            </w:pPr>
            <w:r w:rsidRPr="001A1503">
              <w:rPr>
                <w:rFonts w:eastAsia="Times New Roman" w:cs="Times New Roman"/>
                <w:i/>
                <w:iCs/>
                <w:color w:val="000000"/>
                <w:sz w:val="20"/>
                <w:szCs w:val="20"/>
                <w:lang w:eastAsia="cs-CZ"/>
              </w:rPr>
              <w:t>Francie</w:t>
            </w:r>
          </w:p>
        </w:tc>
        <w:tc>
          <w:tcPr>
            <w:tcW w:w="1418" w:type="dxa"/>
            <w:tcBorders>
              <w:top w:val="nil"/>
              <w:left w:val="nil"/>
              <w:bottom w:val="nil"/>
              <w:right w:val="nil"/>
            </w:tcBorders>
            <w:shd w:val="clear" w:color="auto" w:fill="auto"/>
            <w:noWrap/>
            <w:vAlign w:val="bottom"/>
            <w:hideMark/>
          </w:tcPr>
          <w:p w:rsidR="00C84F89" w:rsidRPr="001A1503" w:rsidRDefault="00C84F89" w:rsidP="001A1503">
            <w:pPr>
              <w:spacing w:before="0" w:after="0"/>
              <w:ind w:right="458"/>
              <w:jc w:val="right"/>
              <w:rPr>
                <w:rFonts w:eastAsia="Times New Roman" w:cs="Times New Roman"/>
                <w:i/>
                <w:iCs/>
                <w:color w:val="000000"/>
                <w:sz w:val="20"/>
                <w:szCs w:val="20"/>
                <w:lang w:eastAsia="cs-CZ"/>
              </w:rPr>
            </w:pPr>
            <w:r w:rsidRPr="001A1503">
              <w:rPr>
                <w:rFonts w:eastAsia="Times New Roman" w:cs="Times New Roman"/>
                <w:i/>
                <w:iCs/>
                <w:color w:val="000000"/>
                <w:sz w:val="20"/>
                <w:szCs w:val="20"/>
                <w:lang w:eastAsia="cs-CZ"/>
              </w:rPr>
              <w:t>4</w:t>
            </w:r>
          </w:p>
        </w:tc>
      </w:tr>
      <w:tr w:rsidR="00C84F89" w:rsidRPr="001A1503" w:rsidTr="001A1503">
        <w:trPr>
          <w:trHeight w:val="225"/>
          <w:jc w:val="center"/>
        </w:trPr>
        <w:tc>
          <w:tcPr>
            <w:tcW w:w="5685" w:type="dxa"/>
            <w:tcBorders>
              <w:top w:val="nil"/>
              <w:left w:val="nil"/>
              <w:bottom w:val="nil"/>
              <w:right w:val="nil"/>
            </w:tcBorders>
            <w:shd w:val="clear" w:color="auto" w:fill="auto"/>
            <w:noWrap/>
            <w:vAlign w:val="bottom"/>
            <w:hideMark/>
          </w:tcPr>
          <w:p w:rsidR="00C84F89" w:rsidRPr="001A1503" w:rsidRDefault="00C84F89" w:rsidP="00CC1B04">
            <w:pPr>
              <w:spacing w:before="0" w:after="0"/>
              <w:jc w:val="left"/>
              <w:rPr>
                <w:rFonts w:eastAsia="Times New Roman" w:cs="Times New Roman"/>
                <w:i/>
                <w:iCs/>
                <w:color w:val="000000"/>
                <w:sz w:val="20"/>
                <w:szCs w:val="20"/>
                <w:lang w:eastAsia="cs-CZ"/>
              </w:rPr>
            </w:pPr>
            <w:r w:rsidRPr="001A1503">
              <w:rPr>
                <w:rFonts w:eastAsia="Times New Roman" w:cs="Times New Roman"/>
                <w:i/>
                <w:iCs/>
                <w:color w:val="000000"/>
                <w:sz w:val="20"/>
                <w:szCs w:val="20"/>
                <w:lang w:eastAsia="cs-CZ"/>
              </w:rPr>
              <w:t>Polsko</w:t>
            </w:r>
          </w:p>
        </w:tc>
        <w:tc>
          <w:tcPr>
            <w:tcW w:w="1418" w:type="dxa"/>
            <w:tcBorders>
              <w:top w:val="nil"/>
              <w:left w:val="nil"/>
              <w:bottom w:val="nil"/>
              <w:right w:val="nil"/>
            </w:tcBorders>
            <w:shd w:val="clear" w:color="auto" w:fill="auto"/>
            <w:noWrap/>
            <w:vAlign w:val="bottom"/>
            <w:hideMark/>
          </w:tcPr>
          <w:p w:rsidR="00C84F89" w:rsidRPr="001A1503" w:rsidRDefault="00C84F89" w:rsidP="001A1503">
            <w:pPr>
              <w:spacing w:before="0" w:after="0"/>
              <w:ind w:right="458"/>
              <w:jc w:val="right"/>
              <w:rPr>
                <w:rFonts w:eastAsia="Times New Roman" w:cs="Times New Roman"/>
                <w:i/>
                <w:iCs/>
                <w:color w:val="000000"/>
                <w:sz w:val="20"/>
                <w:szCs w:val="20"/>
                <w:lang w:eastAsia="cs-CZ"/>
              </w:rPr>
            </w:pPr>
            <w:r w:rsidRPr="001A1503">
              <w:rPr>
                <w:rFonts w:eastAsia="Times New Roman" w:cs="Times New Roman"/>
                <w:i/>
                <w:iCs/>
                <w:color w:val="000000"/>
                <w:sz w:val="20"/>
                <w:szCs w:val="20"/>
                <w:lang w:eastAsia="cs-CZ"/>
              </w:rPr>
              <w:t>4</w:t>
            </w:r>
          </w:p>
        </w:tc>
      </w:tr>
      <w:tr w:rsidR="00C84F89" w:rsidRPr="001A1503" w:rsidTr="001A1503">
        <w:trPr>
          <w:trHeight w:val="225"/>
          <w:jc w:val="center"/>
        </w:trPr>
        <w:tc>
          <w:tcPr>
            <w:tcW w:w="5685" w:type="dxa"/>
            <w:tcBorders>
              <w:top w:val="nil"/>
              <w:left w:val="nil"/>
              <w:bottom w:val="nil"/>
              <w:right w:val="nil"/>
            </w:tcBorders>
            <w:shd w:val="clear" w:color="auto" w:fill="auto"/>
            <w:noWrap/>
            <w:vAlign w:val="bottom"/>
            <w:hideMark/>
          </w:tcPr>
          <w:p w:rsidR="00C84F89" w:rsidRPr="001A1503" w:rsidRDefault="00C84F89" w:rsidP="00CC1B04">
            <w:pPr>
              <w:spacing w:before="0" w:after="0"/>
              <w:jc w:val="left"/>
              <w:rPr>
                <w:rFonts w:eastAsia="Times New Roman" w:cs="Times New Roman"/>
                <w:i/>
                <w:iCs/>
                <w:color w:val="000000"/>
                <w:sz w:val="20"/>
                <w:szCs w:val="20"/>
                <w:lang w:eastAsia="cs-CZ"/>
              </w:rPr>
            </w:pPr>
            <w:r w:rsidRPr="001A1503">
              <w:rPr>
                <w:rFonts w:eastAsia="Times New Roman" w:cs="Times New Roman"/>
                <w:i/>
                <w:iCs/>
                <w:color w:val="000000"/>
                <w:sz w:val="20"/>
                <w:szCs w:val="20"/>
                <w:lang w:eastAsia="cs-CZ"/>
              </w:rPr>
              <w:t>Portugalsko</w:t>
            </w:r>
          </w:p>
        </w:tc>
        <w:tc>
          <w:tcPr>
            <w:tcW w:w="1418" w:type="dxa"/>
            <w:tcBorders>
              <w:top w:val="nil"/>
              <w:left w:val="nil"/>
              <w:bottom w:val="nil"/>
              <w:right w:val="nil"/>
            </w:tcBorders>
            <w:shd w:val="clear" w:color="auto" w:fill="auto"/>
            <w:noWrap/>
            <w:vAlign w:val="bottom"/>
            <w:hideMark/>
          </w:tcPr>
          <w:p w:rsidR="00C84F89" w:rsidRPr="001A1503" w:rsidRDefault="00C84F89" w:rsidP="001A1503">
            <w:pPr>
              <w:spacing w:before="0" w:after="0"/>
              <w:ind w:right="458"/>
              <w:jc w:val="right"/>
              <w:rPr>
                <w:rFonts w:eastAsia="Times New Roman" w:cs="Times New Roman"/>
                <w:i/>
                <w:iCs/>
                <w:color w:val="000000"/>
                <w:sz w:val="20"/>
                <w:szCs w:val="20"/>
                <w:lang w:eastAsia="cs-CZ"/>
              </w:rPr>
            </w:pPr>
            <w:r w:rsidRPr="001A1503">
              <w:rPr>
                <w:rFonts w:eastAsia="Times New Roman" w:cs="Times New Roman"/>
                <w:i/>
                <w:iCs/>
                <w:color w:val="000000"/>
                <w:sz w:val="20"/>
                <w:szCs w:val="20"/>
                <w:lang w:eastAsia="cs-CZ"/>
              </w:rPr>
              <w:t>3</w:t>
            </w:r>
          </w:p>
        </w:tc>
      </w:tr>
      <w:tr w:rsidR="00C84F89" w:rsidRPr="001A1503" w:rsidTr="001A1503">
        <w:trPr>
          <w:trHeight w:val="225"/>
          <w:jc w:val="center"/>
        </w:trPr>
        <w:tc>
          <w:tcPr>
            <w:tcW w:w="5685" w:type="dxa"/>
            <w:tcBorders>
              <w:top w:val="nil"/>
              <w:left w:val="nil"/>
              <w:bottom w:val="nil"/>
              <w:right w:val="nil"/>
            </w:tcBorders>
            <w:shd w:val="clear" w:color="auto" w:fill="auto"/>
            <w:noWrap/>
            <w:vAlign w:val="bottom"/>
            <w:hideMark/>
          </w:tcPr>
          <w:p w:rsidR="00C84F89" w:rsidRPr="001A1503" w:rsidRDefault="00C84F89" w:rsidP="00CC1B04">
            <w:pPr>
              <w:spacing w:before="0" w:after="0"/>
              <w:jc w:val="left"/>
              <w:rPr>
                <w:rFonts w:eastAsia="Times New Roman" w:cs="Times New Roman"/>
                <w:i/>
                <w:iCs/>
                <w:color w:val="000000"/>
                <w:sz w:val="20"/>
                <w:szCs w:val="20"/>
                <w:lang w:eastAsia="cs-CZ"/>
              </w:rPr>
            </w:pPr>
            <w:r w:rsidRPr="001A1503">
              <w:rPr>
                <w:rFonts w:eastAsia="Times New Roman" w:cs="Times New Roman"/>
                <w:i/>
                <w:iCs/>
                <w:color w:val="000000"/>
                <w:sz w:val="20"/>
                <w:szCs w:val="20"/>
                <w:lang w:eastAsia="cs-CZ"/>
              </w:rPr>
              <w:lastRenderedPageBreak/>
              <w:t>UK</w:t>
            </w:r>
          </w:p>
        </w:tc>
        <w:tc>
          <w:tcPr>
            <w:tcW w:w="1418" w:type="dxa"/>
            <w:tcBorders>
              <w:top w:val="nil"/>
              <w:left w:val="nil"/>
              <w:bottom w:val="nil"/>
              <w:right w:val="nil"/>
            </w:tcBorders>
            <w:shd w:val="clear" w:color="auto" w:fill="auto"/>
            <w:noWrap/>
            <w:vAlign w:val="bottom"/>
            <w:hideMark/>
          </w:tcPr>
          <w:p w:rsidR="00C84F89" w:rsidRPr="001A1503" w:rsidRDefault="00C84F89" w:rsidP="001A1503">
            <w:pPr>
              <w:spacing w:before="0" w:after="0"/>
              <w:ind w:right="458"/>
              <w:jc w:val="right"/>
              <w:rPr>
                <w:rFonts w:eastAsia="Times New Roman" w:cs="Times New Roman"/>
                <w:i/>
                <w:iCs/>
                <w:color w:val="000000"/>
                <w:sz w:val="20"/>
                <w:szCs w:val="20"/>
                <w:lang w:eastAsia="cs-CZ"/>
              </w:rPr>
            </w:pPr>
            <w:r w:rsidRPr="001A1503">
              <w:rPr>
                <w:rFonts w:eastAsia="Times New Roman" w:cs="Times New Roman"/>
                <w:i/>
                <w:iCs/>
                <w:color w:val="000000"/>
                <w:sz w:val="20"/>
                <w:szCs w:val="20"/>
                <w:lang w:eastAsia="cs-CZ"/>
              </w:rPr>
              <w:t>3</w:t>
            </w:r>
          </w:p>
        </w:tc>
      </w:tr>
      <w:tr w:rsidR="00C84F89" w:rsidRPr="001A1503" w:rsidTr="001A1503">
        <w:trPr>
          <w:trHeight w:val="225"/>
          <w:jc w:val="center"/>
        </w:trPr>
        <w:tc>
          <w:tcPr>
            <w:tcW w:w="5685" w:type="dxa"/>
            <w:tcBorders>
              <w:top w:val="nil"/>
              <w:left w:val="nil"/>
              <w:bottom w:val="nil"/>
              <w:right w:val="nil"/>
            </w:tcBorders>
            <w:shd w:val="clear" w:color="auto" w:fill="auto"/>
            <w:noWrap/>
            <w:vAlign w:val="bottom"/>
            <w:hideMark/>
          </w:tcPr>
          <w:p w:rsidR="00C84F89" w:rsidRPr="001A1503" w:rsidRDefault="00C84F89" w:rsidP="00CC1B04">
            <w:pPr>
              <w:spacing w:before="0" w:after="0"/>
              <w:jc w:val="left"/>
              <w:rPr>
                <w:rFonts w:eastAsia="Times New Roman" w:cs="Times New Roman"/>
                <w:i/>
                <w:iCs/>
                <w:color w:val="000000"/>
                <w:sz w:val="20"/>
                <w:szCs w:val="20"/>
                <w:lang w:eastAsia="cs-CZ"/>
              </w:rPr>
            </w:pPr>
            <w:r w:rsidRPr="001A1503">
              <w:rPr>
                <w:rFonts w:eastAsia="Times New Roman" w:cs="Times New Roman"/>
                <w:i/>
                <w:iCs/>
                <w:color w:val="000000"/>
                <w:sz w:val="20"/>
                <w:szCs w:val="20"/>
                <w:lang w:eastAsia="cs-CZ"/>
              </w:rPr>
              <w:t>Rakousko</w:t>
            </w:r>
          </w:p>
        </w:tc>
        <w:tc>
          <w:tcPr>
            <w:tcW w:w="1418" w:type="dxa"/>
            <w:tcBorders>
              <w:top w:val="nil"/>
              <w:left w:val="nil"/>
              <w:bottom w:val="nil"/>
              <w:right w:val="nil"/>
            </w:tcBorders>
            <w:shd w:val="clear" w:color="auto" w:fill="auto"/>
            <w:noWrap/>
            <w:vAlign w:val="bottom"/>
            <w:hideMark/>
          </w:tcPr>
          <w:p w:rsidR="00C84F89" w:rsidRPr="001A1503" w:rsidRDefault="00C84F89" w:rsidP="001A1503">
            <w:pPr>
              <w:spacing w:before="0" w:after="0"/>
              <w:ind w:right="458"/>
              <w:jc w:val="right"/>
              <w:rPr>
                <w:rFonts w:eastAsia="Times New Roman" w:cs="Times New Roman"/>
                <w:i/>
                <w:iCs/>
                <w:color w:val="000000"/>
                <w:sz w:val="20"/>
                <w:szCs w:val="20"/>
                <w:lang w:eastAsia="cs-CZ"/>
              </w:rPr>
            </w:pPr>
            <w:r w:rsidRPr="001A1503">
              <w:rPr>
                <w:rFonts w:eastAsia="Times New Roman" w:cs="Times New Roman"/>
                <w:i/>
                <w:iCs/>
                <w:color w:val="000000"/>
                <w:sz w:val="20"/>
                <w:szCs w:val="20"/>
                <w:lang w:eastAsia="cs-CZ"/>
              </w:rPr>
              <w:t>2</w:t>
            </w:r>
          </w:p>
        </w:tc>
      </w:tr>
      <w:tr w:rsidR="00C84F89" w:rsidRPr="001A1503" w:rsidTr="001A1503">
        <w:trPr>
          <w:trHeight w:val="225"/>
          <w:jc w:val="center"/>
        </w:trPr>
        <w:tc>
          <w:tcPr>
            <w:tcW w:w="5685" w:type="dxa"/>
            <w:tcBorders>
              <w:top w:val="nil"/>
              <w:left w:val="nil"/>
              <w:bottom w:val="nil"/>
              <w:right w:val="nil"/>
            </w:tcBorders>
            <w:shd w:val="clear" w:color="auto" w:fill="auto"/>
            <w:noWrap/>
            <w:vAlign w:val="bottom"/>
            <w:hideMark/>
          </w:tcPr>
          <w:p w:rsidR="00C84F89" w:rsidRPr="001A1503" w:rsidRDefault="00C84F89" w:rsidP="00CC1B04">
            <w:pPr>
              <w:spacing w:before="0" w:after="0"/>
              <w:jc w:val="left"/>
              <w:rPr>
                <w:rFonts w:eastAsia="Times New Roman" w:cs="Times New Roman"/>
                <w:i/>
                <w:iCs/>
                <w:color w:val="000000"/>
                <w:sz w:val="20"/>
                <w:szCs w:val="20"/>
                <w:lang w:eastAsia="cs-CZ"/>
              </w:rPr>
            </w:pPr>
            <w:r w:rsidRPr="001A1503">
              <w:rPr>
                <w:rFonts w:eastAsia="Times New Roman" w:cs="Times New Roman"/>
                <w:i/>
                <w:iCs/>
                <w:color w:val="000000"/>
                <w:sz w:val="20"/>
                <w:szCs w:val="20"/>
                <w:lang w:eastAsia="cs-CZ"/>
              </w:rPr>
              <w:t>Belgie</w:t>
            </w:r>
          </w:p>
        </w:tc>
        <w:tc>
          <w:tcPr>
            <w:tcW w:w="1418" w:type="dxa"/>
            <w:tcBorders>
              <w:top w:val="nil"/>
              <w:left w:val="nil"/>
              <w:bottom w:val="nil"/>
              <w:right w:val="nil"/>
            </w:tcBorders>
            <w:shd w:val="clear" w:color="auto" w:fill="auto"/>
            <w:noWrap/>
            <w:vAlign w:val="bottom"/>
            <w:hideMark/>
          </w:tcPr>
          <w:p w:rsidR="00C84F89" w:rsidRPr="001A1503" w:rsidRDefault="00C84F89" w:rsidP="001A1503">
            <w:pPr>
              <w:spacing w:before="0" w:after="0"/>
              <w:ind w:right="458"/>
              <w:jc w:val="right"/>
              <w:rPr>
                <w:rFonts w:eastAsia="Times New Roman" w:cs="Times New Roman"/>
                <w:i/>
                <w:iCs/>
                <w:color w:val="000000"/>
                <w:sz w:val="20"/>
                <w:szCs w:val="20"/>
                <w:lang w:eastAsia="cs-CZ"/>
              </w:rPr>
            </w:pPr>
            <w:r w:rsidRPr="001A1503">
              <w:rPr>
                <w:rFonts w:eastAsia="Times New Roman" w:cs="Times New Roman"/>
                <w:i/>
                <w:iCs/>
                <w:color w:val="000000"/>
                <w:sz w:val="20"/>
                <w:szCs w:val="20"/>
                <w:lang w:eastAsia="cs-CZ"/>
              </w:rPr>
              <w:t>2</w:t>
            </w:r>
          </w:p>
        </w:tc>
      </w:tr>
      <w:tr w:rsidR="00C84F89" w:rsidRPr="001A1503" w:rsidTr="001A1503">
        <w:trPr>
          <w:trHeight w:val="225"/>
          <w:jc w:val="center"/>
        </w:trPr>
        <w:tc>
          <w:tcPr>
            <w:tcW w:w="5685" w:type="dxa"/>
            <w:tcBorders>
              <w:top w:val="nil"/>
              <w:left w:val="nil"/>
              <w:bottom w:val="nil"/>
              <w:right w:val="nil"/>
            </w:tcBorders>
            <w:shd w:val="clear" w:color="auto" w:fill="auto"/>
            <w:noWrap/>
            <w:vAlign w:val="bottom"/>
            <w:hideMark/>
          </w:tcPr>
          <w:p w:rsidR="00C84F89" w:rsidRPr="001A1503" w:rsidRDefault="00C84F89" w:rsidP="00CC1B04">
            <w:pPr>
              <w:spacing w:before="0" w:after="0"/>
              <w:jc w:val="left"/>
              <w:rPr>
                <w:rFonts w:eastAsia="Times New Roman" w:cs="Times New Roman"/>
                <w:i/>
                <w:iCs/>
                <w:color w:val="000000"/>
                <w:sz w:val="20"/>
                <w:szCs w:val="20"/>
                <w:lang w:eastAsia="cs-CZ"/>
              </w:rPr>
            </w:pPr>
            <w:r w:rsidRPr="001A1503">
              <w:rPr>
                <w:rFonts w:eastAsia="Times New Roman" w:cs="Times New Roman"/>
                <w:i/>
                <w:iCs/>
                <w:color w:val="000000"/>
                <w:sz w:val="20"/>
                <w:szCs w:val="20"/>
                <w:lang w:eastAsia="cs-CZ"/>
              </w:rPr>
              <w:t>Řecko</w:t>
            </w:r>
          </w:p>
        </w:tc>
        <w:tc>
          <w:tcPr>
            <w:tcW w:w="1418" w:type="dxa"/>
            <w:tcBorders>
              <w:top w:val="nil"/>
              <w:left w:val="nil"/>
              <w:bottom w:val="nil"/>
              <w:right w:val="nil"/>
            </w:tcBorders>
            <w:shd w:val="clear" w:color="auto" w:fill="auto"/>
            <w:noWrap/>
            <w:vAlign w:val="bottom"/>
            <w:hideMark/>
          </w:tcPr>
          <w:p w:rsidR="00C84F89" w:rsidRPr="001A1503" w:rsidRDefault="00C84F89" w:rsidP="001A1503">
            <w:pPr>
              <w:spacing w:before="0" w:after="0"/>
              <w:ind w:right="458"/>
              <w:jc w:val="right"/>
              <w:rPr>
                <w:rFonts w:eastAsia="Times New Roman" w:cs="Times New Roman"/>
                <w:i/>
                <w:iCs/>
                <w:color w:val="000000"/>
                <w:sz w:val="20"/>
                <w:szCs w:val="20"/>
                <w:lang w:eastAsia="cs-CZ"/>
              </w:rPr>
            </w:pPr>
            <w:r w:rsidRPr="001A1503">
              <w:rPr>
                <w:rFonts w:eastAsia="Times New Roman" w:cs="Times New Roman"/>
                <w:i/>
                <w:iCs/>
                <w:color w:val="000000"/>
                <w:sz w:val="20"/>
                <w:szCs w:val="20"/>
                <w:lang w:eastAsia="cs-CZ"/>
              </w:rPr>
              <w:t>2</w:t>
            </w:r>
          </w:p>
        </w:tc>
      </w:tr>
      <w:tr w:rsidR="00C84F89" w:rsidRPr="001A1503" w:rsidTr="001A1503">
        <w:trPr>
          <w:trHeight w:val="225"/>
          <w:jc w:val="center"/>
        </w:trPr>
        <w:tc>
          <w:tcPr>
            <w:tcW w:w="5685" w:type="dxa"/>
            <w:tcBorders>
              <w:top w:val="nil"/>
              <w:left w:val="nil"/>
              <w:bottom w:val="nil"/>
              <w:right w:val="nil"/>
            </w:tcBorders>
            <w:shd w:val="clear" w:color="auto" w:fill="auto"/>
            <w:noWrap/>
            <w:vAlign w:val="bottom"/>
            <w:hideMark/>
          </w:tcPr>
          <w:p w:rsidR="00C84F89" w:rsidRPr="001A1503" w:rsidRDefault="00C84F89" w:rsidP="00CC1B04">
            <w:pPr>
              <w:spacing w:before="0" w:after="0"/>
              <w:jc w:val="left"/>
              <w:rPr>
                <w:rFonts w:eastAsia="Times New Roman" w:cs="Times New Roman"/>
                <w:i/>
                <w:iCs/>
                <w:color w:val="000000"/>
                <w:sz w:val="20"/>
                <w:szCs w:val="20"/>
                <w:lang w:eastAsia="cs-CZ"/>
              </w:rPr>
            </w:pPr>
            <w:r w:rsidRPr="001A1503">
              <w:rPr>
                <w:rFonts w:eastAsia="Times New Roman" w:cs="Times New Roman"/>
                <w:i/>
                <w:iCs/>
                <w:color w:val="000000"/>
                <w:sz w:val="20"/>
                <w:szCs w:val="20"/>
                <w:lang w:eastAsia="cs-CZ"/>
              </w:rPr>
              <w:t>Slovensko</w:t>
            </w:r>
          </w:p>
        </w:tc>
        <w:tc>
          <w:tcPr>
            <w:tcW w:w="1418" w:type="dxa"/>
            <w:tcBorders>
              <w:top w:val="nil"/>
              <w:left w:val="nil"/>
              <w:bottom w:val="nil"/>
              <w:right w:val="nil"/>
            </w:tcBorders>
            <w:shd w:val="clear" w:color="auto" w:fill="auto"/>
            <w:noWrap/>
            <w:vAlign w:val="bottom"/>
            <w:hideMark/>
          </w:tcPr>
          <w:p w:rsidR="00C84F89" w:rsidRPr="001A1503" w:rsidRDefault="00C84F89" w:rsidP="001A1503">
            <w:pPr>
              <w:spacing w:before="0" w:after="0"/>
              <w:ind w:right="458"/>
              <w:jc w:val="right"/>
              <w:rPr>
                <w:rFonts w:eastAsia="Times New Roman" w:cs="Times New Roman"/>
                <w:i/>
                <w:iCs/>
                <w:color w:val="000000"/>
                <w:sz w:val="20"/>
                <w:szCs w:val="20"/>
                <w:lang w:eastAsia="cs-CZ"/>
              </w:rPr>
            </w:pPr>
            <w:r w:rsidRPr="001A1503">
              <w:rPr>
                <w:rFonts w:eastAsia="Times New Roman" w:cs="Times New Roman"/>
                <w:i/>
                <w:iCs/>
                <w:color w:val="000000"/>
                <w:sz w:val="20"/>
                <w:szCs w:val="20"/>
                <w:lang w:eastAsia="cs-CZ"/>
              </w:rPr>
              <w:t>2</w:t>
            </w:r>
          </w:p>
        </w:tc>
      </w:tr>
      <w:tr w:rsidR="00C84F89" w:rsidRPr="001A1503" w:rsidTr="001A1503">
        <w:trPr>
          <w:trHeight w:val="225"/>
          <w:jc w:val="center"/>
        </w:trPr>
        <w:tc>
          <w:tcPr>
            <w:tcW w:w="5685" w:type="dxa"/>
            <w:tcBorders>
              <w:top w:val="nil"/>
              <w:left w:val="nil"/>
              <w:bottom w:val="nil"/>
              <w:right w:val="nil"/>
            </w:tcBorders>
            <w:shd w:val="clear" w:color="auto" w:fill="auto"/>
            <w:noWrap/>
            <w:vAlign w:val="bottom"/>
            <w:hideMark/>
          </w:tcPr>
          <w:p w:rsidR="00C84F89" w:rsidRPr="001A1503" w:rsidRDefault="00C84F89" w:rsidP="00CC1B04">
            <w:pPr>
              <w:spacing w:before="0" w:after="0"/>
              <w:jc w:val="left"/>
              <w:rPr>
                <w:rFonts w:eastAsia="Times New Roman" w:cs="Times New Roman"/>
                <w:i/>
                <w:iCs/>
                <w:color w:val="000000"/>
                <w:sz w:val="20"/>
                <w:szCs w:val="20"/>
                <w:lang w:eastAsia="cs-CZ"/>
              </w:rPr>
            </w:pPr>
            <w:r w:rsidRPr="001A1503">
              <w:rPr>
                <w:rFonts w:eastAsia="Times New Roman" w:cs="Times New Roman"/>
                <w:i/>
                <w:iCs/>
                <w:color w:val="000000"/>
                <w:sz w:val="20"/>
                <w:szCs w:val="20"/>
                <w:lang w:eastAsia="cs-CZ"/>
              </w:rPr>
              <w:t>Španělsko</w:t>
            </w:r>
          </w:p>
        </w:tc>
        <w:tc>
          <w:tcPr>
            <w:tcW w:w="1418" w:type="dxa"/>
            <w:tcBorders>
              <w:top w:val="nil"/>
              <w:left w:val="nil"/>
              <w:bottom w:val="nil"/>
              <w:right w:val="nil"/>
            </w:tcBorders>
            <w:shd w:val="clear" w:color="auto" w:fill="auto"/>
            <w:noWrap/>
            <w:vAlign w:val="bottom"/>
            <w:hideMark/>
          </w:tcPr>
          <w:p w:rsidR="00C84F89" w:rsidRPr="001A1503" w:rsidRDefault="00C84F89" w:rsidP="001A1503">
            <w:pPr>
              <w:spacing w:before="0" w:after="0"/>
              <w:ind w:right="458"/>
              <w:jc w:val="right"/>
              <w:rPr>
                <w:rFonts w:eastAsia="Times New Roman" w:cs="Times New Roman"/>
                <w:i/>
                <w:iCs/>
                <w:color w:val="000000"/>
                <w:sz w:val="20"/>
                <w:szCs w:val="20"/>
                <w:lang w:eastAsia="cs-CZ"/>
              </w:rPr>
            </w:pPr>
            <w:r w:rsidRPr="001A1503">
              <w:rPr>
                <w:rFonts w:eastAsia="Times New Roman" w:cs="Times New Roman"/>
                <w:i/>
                <w:iCs/>
                <w:color w:val="000000"/>
                <w:sz w:val="20"/>
                <w:szCs w:val="20"/>
                <w:lang w:eastAsia="cs-CZ"/>
              </w:rPr>
              <w:t>2</w:t>
            </w:r>
          </w:p>
        </w:tc>
      </w:tr>
      <w:tr w:rsidR="00C84F89" w:rsidRPr="001A1503" w:rsidTr="001A1503">
        <w:trPr>
          <w:trHeight w:val="225"/>
          <w:jc w:val="center"/>
        </w:trPr>
        <w:tc>
          <w:tcPr>
            <w:tcW w:w="5685" w:type="dxa"/>
            <w:tcBorders>
              <w:top w:val="nil"/>
              <w:left w:val="nil"/>
              <w:bottom w:val="nil"/>
              <w:right w:val="nil"/>
            </w:tcBorders>
            <w:shd w:val="clear" w:color="auto" w:fill="auto"/>
            <w:noWrap/>
            <w:vAlign w:val="bottom"/>
            <w:hideMark/>
          </w:tcPr>
          <w:p w:rsidR="00C84F89" w:rsidRPr="001A1503" w:rsidRDefault="00C84F89" w:rsidP="00CC1B04">
            <w:pPr>
              <w:spacing w:before="0" w:after="0"/>
              <w:jc w:val="left"/>
              <w:rPr>
                <w:rFonts w:eastAsia="Times New Roman" w:cs="Times New Roman"/>
                <w:i/>
                <w:iCs/>
                <w:color w:val="000000"/>
                <w:sz w:val="20"/>
                <w:szCs w:val="20"/>
                <w:lang w:eastAsia="cs-CZ"/>
              </w:rPr>
            </w:pPr>
            <w:r w:rsidRPr="001A1503">
              <w:rPr>
                <w:rFonts w:eastAsia="Times New Roman" w:cs="Times New Roman"/>
                <w:i/>
                <w:iCs/>
                <w:color w:val="000000"/>
                <w:sz w:val="20"/>
                <w:szCs w:val="20"/>
                <w:lang w:eastAsia="cs-CZ"/>
              </w:rPr>
              <w:t>Itálie</w:t>
            </w:r>
          </w:p>
        </w:tc>
        <w:tc>
          <w:tcPr>
            <w:tcW w:w="1418" w:type="dxa"/>
            <w:tcBorders>
              <w:top w:val="nil"/>
              <w:left w:val="nil"/>
              <w:bottom w:val="nil"/>
              <w:right w:val="nil"/>
            </w:tcBorders>
            <w:shd w:val="clear" w:color="auto" w:fill="auto"/>
            <w:noWrap/>
            <w:vAlign w:val="bottom"/>
            <w:hideMark/>
          </w:tcPr>
          <w:p w:rsidR="00C84F89" w:rsidRPr="001A1503" w:rsidRDefault="00C84F89" w:rsidP="001A1503">
            <w:pPr>
              <w:spacing w:before="0" w:after="0"/>
              <w:ind w:right="458"/>
              <w:jc w:val="right"/>
              <w:rPr>
                <w:rFonts w:eastAsia="Times New Roman" w:cs="Times New Roman"/>
                <w:i/>
                <w:iCs/>
                <w:color w:val="000000"/>
                <w:sz w:val="20"/>
                <w:szCs w:val="20"/>
                <w:lang w:eastAsia="cs-CZ"/>
              </w:rPr>
            </w:pPr>
            <w:r w:rsidRPr="001A1503">
              <w:rPr>
                <w:rFonts w:eastAsia="Times New Roman" w:cs="Times New Roman"/>
                <w:i/>
                <w:iCs/>
                <w:color w:val="000000"/>
                <w:sz w:val="20"/>
                <w:szCs w:val="20"/>
                <w:lang w:eastAsia="cs-CZ"/>
              </w:rPr>
              <w:t>2</w:t>
            </w:r>
          </w:p>
        </w:tc>
      </w:tr>
      <w:tr w:rsidR="00C84F89" w:rsidRPr="001A1503" w:rsidTr="001A1503">
        <w:trPr>
          <w:trHeight w:val="225"/>
          <w:jc w:val="center"/>
        </w:trPr>
        <w:tc>
          <w:tcPr>
            <w:tcW w:w="5685" w:type="dxa"/>
            <w:tcBorders>
              <w:top w:val="nil"/>
              <w:left w:val="nil"/>
              <w:bottom w:val="nil"/>
              <w:right w:val="nil"/>
            </w:tcBorders>
            <w:shd w:val="clear" w:color="auto" w:fill="auto"/>
            <w:noWrap/>
            <w:vAlign w:val="bottom"/>
            <w:hideMark/>
          </w:tcPr>
          <w:p w:rsidR="00C84F89" w:rsidRPr="001A1503" w:rsidRDefault="00C84F89" w:rsidP="00CC1B04">
            <w:pPr>
              <w:spacing w:before="0" w:after="0"/>
              <w:jc w:val="left"/>
              <w:rPr>
                <w:rFonts w:eastAsia="Times New Roman" w:cs="Times New Roman"/>
                <w:i/>
                <w:iCs/>
                <w:color w:val="000000"/>
                <w:sz w:val="20"/>
                <w:szCs w:val="20"/>
                <w:lang w:eastAsia="cs-CZ"/>
              </w:rPr>
            </w:pPr>
            <w:r w:rsidRPr="001A1503">
              <w:rPr>
                <w:rFonts w:eastAsia="Times New Roman" w:cs="Times New Roman"/>
                <w:i/>
                <w:iCs/>
                <w:color w:val="000000"/>
                <w:sz w:val="20"/>
                <w:szCs w:val="20"/>
                <w:lang w:eastAsia="cs-CZ"/>
              </w:rPr>
              <w:t>Švédsko</w:t>
            </w:r>
          </w:p>
        </w:tc>
        <w:tc>
          <w:tcPr>
            <w:tcW w:w="1418" w:type="dxa"/>
            <w:tcBorders>
              <w:top w:val="nil"/>
              <w:left w:val="nil"/>
              <w:bottom w:val="nil"/>
              <w:right w:val="nil"/>
            </w:tcBorders>
            <w:shd w:val="clear" w:color="auto" w:fill="auto"/>
            <w:noWrap/>
            <w:vAlign w:val="bottom"/>
            <w:hideMark/>
          </w:tcPr>
          <w:p w:rsidR="00C84F89" w:rsidRPr="001A1503" w:rsidRDefault="00C84F89" w:rsidP="001A1503">
            <w:pPr>
              <w:spacing w:before="0" w:after="0"/>
              <w:ind w:right="458"/>
              <w:jc w:val="right"/>
              <w:rPr>
                <w:rFonts w:eastAsia="Times New Roman" w:cs="Times New Roman"/>
                <w:i/>
                <w:iCs/>
                <w:color w:val="000000"/>
                <w:sz w:val="20"/>
                <w:szCs w:val="20"/>
                <w:lang w:eastAsia="cs-CZ"/>
              </w:rPr>
            </w:pPr>
            <w:r w:rsidRPr="001A1503">
              <w:rPr>
                <w:rFonts w:eastAsia="Times New Roman" w:cs="Times New Roman"/>
                <w:i/>
                <w:iCs/>
                <w:color w:val="000000"/>
                <w:sz w:val="20"/>
                <w:szCs w:val="20"/>
                <w:lang w:eastAsia="cs-CZ"/>
              </w:rPr>
              <w:t>2</w:t>
            </w:r>
          </w:p>
        </w:tc>
      </w:tr>
      <w:tr w:rsidR="00C84F89" w:rsidRPr="001A1503" w:rsidTr="001A1503">
        <w:trPr>
          <w:trHeight w:val="225"/>
          <w:jc w:val="center"/>
        </w:trPr>
        <w:tc>
          <w:tcPr>
            <w:tcW w:w="5685" w:type="dxa"/>
            <w:tcBorders>
              <w:top w:val="nil"/>
              <w:left w:val="nil"/>
              <w:bottom w:val="nil"/>
              <w:right w:val="nil"/>
            </w:tcBorders>
            <w:shd w:val="clear" w:color="auto" w:fill="auto"/>
            <w:noWrap/>
            <w:vAlign w:val="bottom"/>
            <w:hideMark/>
          </w:tcPr>
          <w:p w:rsidR="00C84F89" w:rsidRPr="001A1503" w:rsidRDefault="00C84F89" w:rsidP="00CC1B04">
            <w:pPr>
              <w:spacing w:before="0" w:after="0"/>
              <w:jc w:val="left"/>
              <w:rPr>
                <w:rFonts w:eastAsia="Times New Roman" w:cs="Times New Roman"/>
                <w:b/>
                <w:bCs/>
                <w:color w:val="000000"/>
                <w:sz w:val="20"/>
                <w:szCs w:val="20"/>
                <w:lang w:eastAsia="cs-CZ"/>
              </w:rPr>
            </w:pPr>
            <w:r w:rsidRPr="001A1503">
              <w:rPr>
                <w:rFonts w:eastAsia="Times New Roman" w:cs="Times New Roman"/>
                <w:b/>
                <w:bCs/>
                <w:color w:val="000000"/>
                <w:sz w:val="20"/>
                <w:szCs w:val="20"/>
                <w:lang w:eastAsia="cs-CZ"/>
              </w:rPr>
              <w:t>ÚOCHB AVČR</w:t>
            </w:r>
          </w:p>
        </w:tc>
        <w:tc>
          <w:tcPr>
            <w:tcW w:w="1418" w:type="dxa"/>
            <w:tcBorders>
              <w:top w:val="nil"/>
              <w:left w:val="nil"/>
              <w:bottom w:val="nil"/>
              <w:right w:val="nil"/>
            </w:tcBorders>
            <w:shd w:val="clear" w:color="auto" w:fill="auto"/>
            <w:noWrap/>
            <w:vAlign w:val="bottom"/>
            <w:hideMark/>
          </w:tcPr>
          <w:p w:rsidR="00C84F89" w:rsidRPr="001A1503" w:rsidRDefault="00C84F89" w:rsidP="001A1503">
            <w:pPr>
              <w:spacing w:before="0" w:after="0"/>
              <w:ind w:right="458"/>
              <w:jc w:val="right"/>
              <w:rPr>
                <w:rFonts w:eastAsia="Times New Roman" w:cs="Times New Roman"/>
                <w:b/>
                <w:bCs/>
                <w:color w:val="000000"/>
                <w:sz w:val="20"/>
                <w:szCs w:val="20"/>
                <w:lang w:eastAsia="cs-CZ"/>
              </w:rPr>
            </w:pPr>
            <w:r w:rsidRPr="001A1503">
              <w:rPr>
                <w:rFonts w:eastAsia="Times New Roman" w:cs="Times New Roman"/>
                <w:b/>
                <w:bCs/>
                <w:color w:val="000000"/>
                <w:sz w:val="20"/>
                <w:szCs w:val="20"/>
                <w:lang w:eastAsia="cs-CZ"/>
              </w:rPr>
              <w:t>4</w:t>
            </w:r>
          </w:p>
        </w:tc>
      </w:tr>
      <w:tr w:rsidR="00C84F89" w:rsidRPr="001A1503" w:rsidTr="001A1503">
        <w:trPr>
          <w:trHeight w:val="225"/>
          <w:jc w:val="center"/>
        </w:trPr>
        <w:tc>
          <w:tcPr>
            <w:tcW w:w="5685" w:type="dxa"/>
            <w:tcBorders>
              <w:top w:val="nil"/>
              <w:left w:val="nil"/>
              <w:bottom w:val="nil"/>
              <w:right w:val="nil"/>
            </w:tcBorders>
            <w:shd w:val="clear" w:color="auto" w:fill="auto"/>
            <w:noWrap/>
            <w:vAlign w:val="bottom"/>
            <w:hideMark/>
          </w:tcPr>
          <w:p w:rsidR="00C84F89" w:rsidRPr="001A1503" w:rsidRDefault="00C84F89" w:rsidP="00CC1B04">
            <w:pPr>
              <w:spacing w:before="0" w:after="0"/>
              <w:jc w:val="left"/>
              <w:rPr>
                <w:rFonts w:eastAsia="Times New Roman" w:cs="Times New Roman"/>
                <w:i/>
                <w:iCs/>
                <w:color w:val="000000"/>
                <w:sz w:val="20"/>
                <w:szCs w:val="20"/>
                <w:lang w:eastAsia="cs-CZ"/>
              </w:rPr>
            </w:pPr>
            <w:r w:rsidRPr="001A1503">
              <w:rPr>
                <w:rFonts w:eastAsia="Times New Roman" w:cs="Times New Roman"/>
                <w:i/>
                <w:iCs/>
                <w:color w:val="000000"/>
                <w:sz w:val="20"/>
                <w:szCs w:val="20"/>
                <w:lang w:eastAsia="cs-CZ"/>
              </w:rPr>
              <w:t>Austrálie</w:t>
            </w:r>
          </w:p>
        </w:tc>
        <w:tc>
          <w:tcPr>
            <w:tcW w:w="1418" w:type="dxa"/>
            <w:tcBorders>
              <w:top w:val="nil"/>
              <w:left w:val="nil"/>
              <w:bottom w:val="nil"/>
              <w:right w:val="nil"/>
            </w:tcBorders>
            <w:shd w:val="clear" w:color="auto" w:fill="auto"/>
            <w:noWrap/>
            <w:vAlign w:val="bottom"/>
            <w:hideMark/>
          </w:tcPr>
          <w:p w:rsidR="00C84F89" w:rsidRPr="001A1503" w:rsidRDefault="00C84F89" w:rsidP="001A1503">
            <w:pPr>
              <w:spacing w:before="0" w:after="0"/>
              <w:ind w:right="458"/>
              <w:jc w:val="right"/>
              <w:rPr>
                <w:rFonts w:eastAsia="Times New Roman" w:cs="Times New Roman"/>
                <w:i/>
                <w:iCs/>
                <w:color w:val="000000"/>
                <w:sz w:val="20"/>
                <w:szCs w:val="20"/>
                <w:lang w:eastAsia="cs-CZ"/>
              </w:rPr>
            </w:pPr>
            <w:r w:rsidRPr="001A1503">
              <w:rPr>
                <w:rFonts w:eastAsia="Times New Roman" w:cs="Times New Roman"/>
                <w:i/>
                <w:iCs/>
                <w:color w:val="000000"/>
                <w:sz w:val="20"/>
                <w:szCs w:val="20"/>
                <w:lang w:eastAsia="cs-CZ"/>
              </w:rPr>
              <w:t>1</w:t>
            </w:r>
          </w:p>
        </w:tc>
      </w:tr>
      <w:tr w:rsidR="00C84F89" w:rsidRPr="001A1503" w:rsidTr="001A1503">
        <w:trPr>
          <w:trHeight w:val="225"/>
          <w:jc w:val="center"/>
        </w:trPr>
        <w:tc>
          <w:tcPr>
            <w:tcW w:w="5685" w:type="dxa"/>
            <w:tcBorders>
              <w:top w:val="nil"/>
              <w:left w:val="nil"/>
              <w:bottom w:val="nil"/>
              <w:right w:val="nil"/>
            </w:tcBorders>
            <w:shd w:val="clear" w:color="auto" w:fill="auto"/>
            <w:noWrap/>
            <w:vAlign w:val="bottom"/>
            <w:hideMark/>
          </w:tcPr>
          <w:p w:rsidR="00C84F89" w:rsidRPr="001A1503" w:rsidRDefault="00C84F89" w:rsidP="00CC1B04">
            <w:pPr>
              <w:spacing w:before="0" w:after="0"/>
              <w:jc w:val="left"/>
              <w:rPr>
                <w:rFonts w:eastAsia="Times New Roman" w:cs="Times New Roman"/>
                <w:i/>
                <w:iCs/>
                <w:color w:val="000000"/>
                <w:sz w:val="20"/>
                <w:szCs w:val="20"/>
                <w:lang w:eastAsia="cs-CZ"/>
              </w:rPr>
            </w:pPr>
            <w:r w:rsidRPr="001A1503">
              <w:rPr>
                <w:rFonts w:eastAsia="Times New Roman" w:cs="Times New Roman"/>
                <w:i/>
                <w:iCs/>
                <w:color w:val="000000"/>
                <w:sz w:val="20"/>
                <w:szCs w:val="20"/>
                <w:lang w:eastAsia="cs-CZ"/>
              </w:rPr>
              <w:t>USA</w:t>
            </w:r>
          </w:p>
        </w:tc>
        <w:tc>
          <w:tcPr>
            <w:tcW w:w="1418" w:type="dxa"/>
            <w:tcBorders>
              <w:top w:val="nil"/>
              <w:left w:val="nil"/>
              <w:bottom w:val="nil"/>
              <w:right w:val="nil"/>
            </w:tcBorders>
            <w:shd w:val="clear" w:color="auto" w:fill="auto"/>
            <w:noWrap/>
            <w:vAlign w:val="bottom"/>
            <w:hideMark/>
          </w:tcPr>
          <w:p w:rsidR="00C84F89" w:rsidRPr="001A1503" w:rsidRDefault="00C84F89" w:rsidP="001A1503">
            <w:pPr>
              <w:spacing w:before="0" w:after="0"/>
              <w:ind w:right="458"/>
              <w:jc w:val="right"/>
              <w:rPr>
                <w:rFonts w:eastAsia="Times New Roman" w:cs="Times New Roman"/>
                <w:i/>
                <w:iCs/>
                <w:color w:val="000000"/>
                <w:sz w:val="20"/>
                <w:szCs w:val="20"/>
                <w:lang w:eastAsia="cs-CZ"/>
              </w:rPr>
            </w:pPr>
            <w:r w:rsidRPr="001A1503">
              <w:rPr>
                <w:rFonts w:eastAsia="Times New Roman" w:cs="Times New Roman"/>
                <w:i/>
                <w:iCs/>
                <w:color w:val="000000"/>
                <w:sz w:val="20"/>
                <w:szCs w:val="20"/>
                <w:lang w:eastAsia="cs-CZ"/>
              </w:rPr>
              <w:t>1</w:t>
            </w:r>
          </w:p>
        </w:tc>
      </w:tr>
      <w:tr w:rsidR="00C84F89" w:rsidRPr="001A1503" w:rsidTr="001A1503">
        <w:trPr>
          <w:trHeight w:val="225"/>
          <w:jc w:val="center"/>
        </w:trPr>
        <w:tc>
          <w:tcPr>
            <w:tcW w:w="5685" w:type="dxa"/>
            <w:tcBorders>
              <w:top w:val="nil"/>
              <w:left w:val="nil"/>
              <w:bottom w:val="nil"/>
              <w:right w:val="nil"/>
            </w:tcBorders>
            <w:shd w:val="clear" w:color="auto" w:fill="auto"/>
            <w:noWrap/>
            <w:vAlign w:val="bottom"/>
            <w:hideMark/>
          </w:tcPr>
          <w:p w:rsidR="00C84F89" w:rsidRPr="001A1503" w:rsidRDefault="00C84F89" w:rsidP="00CC1B04">
            <w:pPr>
              <w:spacing w:before="0" w:after="0"/>
              <w:jc w:val="left"/>
              <w:rPr>
                <w:rFonts w:eastAsia="Times New Roman" w:cs="Times New Roman"/>
                <w:i/>
                <w:iCs/>
                <w:color w:val="000000"/>
                <w:sz w:val="20"/>
                <w:szCs w:val="20"/>
                <w:lang w:eastAsia="cs-CZ"/>
              </w:rPr>
            </w:pPr>
            <w:r w:rsidRPr="001A1503">
              <w:rPr>
                <w:rFonts w:eastAsia="Times New Roman" w:cs="Times New Roman"/>
                <w:i/>
                <w:iCs/>
                <w:color w:val="000000"/>
                <w:sz w:val="20"/>
                <w:szCs w:val="20"/>
                <w:lang w:eastAsia="cs-CZ"/>
              </w:rPr>
              <w:t>Belgie</w:t>
            </w:r>
          </w:p>
        </w:tc>
        <w:tc>
          <w:tcPr>
            <w:tcW w:w="1418" w:type="dxa"/>
            <w:tcBorders>
              <w:top w:val="nil"/>
              <w:left w:val="nil"/>
              <w:bottom w:val="nil"/>
              <w:right w:val="nil"/>
            </w:tcBorders>
            <w:shd w:val="clear" w:color="auto" w:fill="auto"/>
            <w:noWrap/>
            <w:vAlign w:val="bottom"/>
            <w:hideMark/>
          </w:tcPr>
          <w:p w:rsidR="00C84F89" w:rsidRPr="001A1503" w:rsidRDefault="00C84F89" w:rsidP="001A1503">
            <w:pPr>
              <w:spacing w:before="0" w:after="0"/>
              <w:ind w:right="458"/>
              <w:jc w:val="right"/>
              <w:rPr>
                <w:rFonts w:eastAsia="Times New Roman" w:cs="Times New Roman"/>
                <w:i/>
                <w:iCs/>
                <w:color w:val="000000"/>
                <w:sz w:val="20"/>
                <w:szCs w:val="20"/>
                <w:lang w:eastAsia="cs-CZ"/>
              </w:rPr>
            </w:pPr>
            <w:r w:rsidRPr="001A1503">
              <w:rPr>
                <w:rFonts w:eastAsia="Times New Roman" w:cs="Times New Roman"/>
                <w:i/>
                <w:iCs/>
                <w:color w:val="000000"/>
                <w:sz w:val="20"/>
                <w:szCs w:val="20"/>
                <w:lang w:eastAsia="cs-CZ"/>
              </w:rPr>
              <w:t>2</w:t>
            </w:r>
          </w:p>
        </w:tc>
      </w:tr>
      <w:tr w:rsidR="00C84F89" w:rsidRPr="001A1503" w:rsidTr="001A1503">
        <w:trPr>
          <w:trHeight w:val="225"/>
          <w:jc w:val="center"/>
        </w:trPr>
        <w:tc>
          <w:tcPr>
            <w:tcW w:w="5685" w:type="dxa"/>
            <w:tcBorders>
              <w:top w:val="nil"/>
              <w:left w:val="nil"/>
              <w:bottom w:val="nil"/>
              <w:right w:val="nil"/>
            </w:tcBorders>
            <w:shd w:val="clear" w:color="auto" w:fill="auto"/>
            <w:noWrap/>
            <w:vAlign w:val="bottom"/>
            <w:hideMark/>
          </w:tcPr>
          <w:p w:rsidR="00C84F89" w:rsidRPr="001A1503" w:rsidRDefault="00C84F89" w:rsidP="00CC1B04">
            <w:pPr>
              <w:spacing w:before="0" w:after="0"/>
              <w:jc w:val="left"/>
              <w:rPr>
                <w:rFonts w:eastAsia="Times New Roman" w:cs="Times New Roman"/>
                <w:b/>
                <w:bCs/>
                <w:color w:val="000000"/>
                <w:sz w:val="20"/>
                <w:szCs w:val="20"/>
                <w:lang w:eastAsia="cs-CZ"/>
              </w:rPr>
            </w:pPr>
            <w:r w:rsidRPr="001A1503">
              <w:rPr>
                <w:rFonts w:eastAsia="Times New Roman" w:cs="Times New Roman"/>
                <w:b/>
                <w:bCs/>
                <w:color w:val="000000"/>
                <w:sz w:val="20"/>
                <w:szCs w:val="20"/>
                <w:lang w:eastAsia="cs-CZ"/>
              </w:rPr>
              <w:t>ÚTIA AVČR</w:t>
            </w:r>
          </w:p>
        </w:tc>
        <w:tc>
          <w:tcPr>
            <w:tcW w:w="1418" w:type="dxa"/>
            <w:tcBorders>
              <w:top w:val="nil"/>
              <w:left w:val="nil"/>
              <w:bottom w:val="nil"/>
              <w:right w:val="nil"/>
            </w:tcBorders>
            <w:shd w:val="clear" w:color="auto" w:fill="auto"/>
            <w:noWrap/>
            <w:vAlign w:val="bottom"/>
            <w:hideMark/>
          </w:tcPr>
          <w:p w:rsidR="00C84F89" w:rsidRPr="001A1503" w:rsidRDefault="00C84F89" w:rsidP="001A1503">
            <w:pPr>
              <w:spacing w:before="0" w:after="0"/>
              <w:ind w:right="458"/>
              <w:jc w:val="right"/>
              <w:rPr>
                <w:rFonts w:eastAsia="Times New Roman" w:cs="Times New Roman"/>
                <w:b/>
                <w:bCs/>
                <w:color w:val="000000"/>
                <w:sz w:val="20"/>
                <w:szCs w:val="20"/>
                <w:lang w:eastAsia="cs-CZ"/>
              </w:rPr>
            </w:pPr>
            <w:r w:rsidRPr="001A1503">
              <w:rPr>
                <w:rFonts w:eastAsia="Times New Roman" w:cs="Times New Roman"/>
                <w:b/>
                <w:bCs/>
                <w:color w:val="000000"/>
                <w:sz w:val="20"/>
                <w:szCs w:val="20"/>
                <w:lang w:eastAsia="cs-CZ"/>
              </w:rPr>
              <w:t>3</w:t>
            </w:r>
          </w:p>
        </w:tc>
      </w:tr>
      <w:tr w:rsidR="00C84F89" w:rsidRPr="001A1503" w:rsidTr="001A1503">
        <w:trPr>
          <w:trHeight w:val="225"/>
          <w:jc w:val="center"/>
        </w:trPr>
        <w:tc>
          <w:tcPr>
            <w:tcW w:w="5685" w:type="dxa"/>
            <w:tcBorders>
              <w:top w:val="nil"/>
              <w:left w:val="nil"/>
              <w:bottom w:val="nil"/>
              <w:right w:val="nil"/>
            </w:tcBorders>
            <w:shd w:val="clear" w:color="auto" w:fill="auto"/>
            <w:noWrap/>
            <w:vAlign w:val="bottom"/>
            <w:hideMark/>
          </w:tcPr>
          <w:p w:rsidR="00C84F89" w:rsidRPr="001A1503" w:rsidRDefault="00C84F89" w:rsidP="00CC1B04">
            <w:pPr>
              <w:spacing w:before="0" w:after="0"/>
              <w:jc w:val="left"/>
              <w:rPr>
                <w:rFonts w:eastAsia="Times New Roman" w:cs="Times New Roman"/>
                <w:i/>
                <w:iCs/>
                <w:color w:val="000000"/>
                <w:sz w:val="20"/>
                <w:szCs w:val="20"/>
                <w:lang w:eastAsia="cs-CZ"/>
              </w:rPr>
            </w:pPr>
            <w:r w:rsidRPr="001A1503">
              <w:rPr>
                <w:rFonts w:eastAsia="Times New Roman" w:cs="Times New Roman"/>
                <w:i/>
                <w:iCs/>
                <w:color w:val="000000"/>
                <w:sz w:val="20"/>
                <w:szCs w:val="20"/>
                <w:lang w:eastAsia="cs-CZ"/>
              </w:rPr>
              <w:t>USA</w:t>
            </w:r>
          </w:p>
        </w:tc>
        <w:tc>
          <w:tcPr>
            <w:tcW w:w="1418" w:type="dxa"/>
            <w:tcBorders>
              <w:top w:val="nil"/>
              <w:left w:val="nil"/>
              <w:bottom w:val="nil"/>
              <w:right w:val="nil"/>
            </w:tcBorders>
            <w:shd w:val="clear" w:color="auto" w:fill="auto"/>
            <w:noWrap/>
            <w:vAlign w:val="bottom"/>
            <w:hideMark/>
          </w:tcPr>
          <w:p w:rsidR="00C84F89" w:rsidRPr="001A1503" w:rsidRDefault="00C84F89" w:rsidP="001A1503">
            <w:pPr>
              <w:spacing w:before="0" w:after="0"/>
              <w:ind w:right="458"/>
              <w:jc w:val="right"/>
              <w:rPr>
                <w:rFonts w:eastAsia="Times New Roman" w:cs="Times New Roman"/>
                <w:i/>
                <w:iCs/>
                <w:color w:val="000000"/>
                <w:sz w:val="20"/>
                <w:szCs w:val="20"/>
                <w:lang w:eastAsia="cs-CZ"/>
              </w:rPr>
            </w:pPr>
            <w:r w:rsidRPr="001A1503">
              <w:rPr>
                <w:rFonts w:eastAsia="Times New Roman" w:cs="Times New Roman"/>
                <w:i/>
                <w:iCs/>
                <w:color w:val="000000"/>
                <w:sz w:val="20"/>
                <w:szCs w:val="20"/>
                <w:lang w:eastAsia="cs-CZ"/>
              </w:rPr>
              <w:t>2</w:t>
            </w:r>
          </w:p>
        </w:tc>
      </w:tr>
      <w:tr w:rsidR="00C84F89" w:rsidRPr="001A1503" w:rsidTr="001A1503">
        <w:trPr>
          <w:trHeight w:val="225"/>
          <w:jc w:val="center"/>
        </w:trPr>
        <w:tc>
          <w:tcPr>
            <w:tcW w:w="5685" w:type="dxa"/>
            <w:tcBorders>
              <w:top w:val="nil"/>
              <w:left w:val="nil"/>
              <w:bottom w:val="nil"/>
              <w:right w:val="nil"/>
            </w:tcBorders>
            <w:shd w:val="clear" w:color="auto" w:fill="auto"/>
            <w:noWrap/>
            <w:vAlign w:val="bottom"/>
            <w:hideMark/>
          </w:tcPr>
          <w:p w:rsidR="00C84F89" w:rsidRPr="001A1503" w:rsidRDefault="00C84F89" w:rsidP="00CC1B04">
            <w:pPr>
              <w:spacing w:before="0" w:after="0"/>
              <w:jc w:val="left"/>
              <w:rPr>
                <w:rFonts w:eastAsia="Times New Roman" w:cs="Times New Roman"/>
                <w:i/>
                <w:iCs/>
                <w:color w:val="000000"/>
                <w:sz w:val="20"/>
                <w:szCs w:val="20"/>
                <w:lang w:eastAsia="cs-CZ"/>
              </w:rPr>
            </w:pPr>
            <w:r w:rsidRPr="001A1503">
              <w:rPr>
                <w:rFonts w:eastAsia="Times New Roman" w:cs="Times New Roman"/>
                <w:i/>
                <w:iCs/>
                <w:color w:val="000000"/>
                <w:sz w:val="20"/>
                <w:szCs w:val="20"/>
                <w:lang w:eastAsia="cs-CZ"/>
              </w:rPr>
              <w:t>Itálie</w:t>
            </w:r>
          </w:p>
        </w:tc>
        <w:tc>
          <w:tcPr>
            <w:tcW w:w="1418" w:type="dxa"/>
            <w:tcBorders>
              <w:top w:val="nil"/>
              <w:left w:val="nil"/>
              <w:bottom w:val="nil"/>
              <w:right w:val="nil"/>
            </w:tcBorders>
            <w:shd w:val="clear" w:color="auto" w:fill="auto"/>
            <w:noWrap/>
            <w:vAlign w:val="bottom"/>
            <w:hideMark/>
          </w:tcPr>
          <w:p w:rsidR="00C84F89" w:rsidRPr="001A1503" w:rsidRDefault="00C84F89" w:rsidP="001A1503">
            <w:pPr>
              <w:spacing w:before="0" w:after="0"/>
              <w:ind w:right="458"/>
              <w:jc w:val="right"/>
              <w:rPr>
                <w:rFonts w:eastAsia="Times New Roman" w:cs="Times New Roman"/>
                <w:i/>
                <w:iCs/>
                <w:color w:val="000000"/>
                <w:sz w:val="20"/>
                <w:szCs w:val="20"/>
                <w:lang w:eastAsia="cs-CZ"/>
              </w:rPr>
            </w:pPr>
            <w:r w:rsidRPr="001A1503">
              <w:rPr>
                <w:rFonts w:eastAsia="Times New Roman" w:cs="Times New Roman"/>
                <w:i/>
                <w:iCs/>
                <w:color w:val="000000"/>
                <w:sz w:val="20"/>
                <w:szCs w:val="20"/>
                <w:lang w:eastAsia="cs-CZ"/>
              </w:rPr>
              <w:t>1</w:t>
            </w:r>
          </w:p>
        </w:tc>
      </w:tr>
      <w:tr w:rsidR="00C84F89" w:rsidRPr="001A1503" w:rsidTr="001A1503">
        <w:trPr>
          <w:trHeight w:val="225"/>
          <w:jc w:val="center"/>
        </w:trPr>
        <w:tc>
          <w:tcPr>
            <w:tcW w:w="5685" w:type="dxa"/>
            <w:tcBorders>
              <w:top w:val="nil"/>
              <w:left w:val="nil"/>
              <w:bottom w:val="nil"/>
              <w:right w:val="nil"/>
            </w:tcBorders>
            <w:shd w:val="clear" w:color="auto" w:fill="auto"/>
            <w:noWrap/>
            <w:vAlign w:val="bottom"/>
            <w:hideMark/>
          </w:tcPr>
          <w:p w:rsidR="00C84F89" w:rsidRPr="001A1503" w:rsidRDefault="00C84F89" w:rsidP="00CC1B04">
            <w:pPr>
              <w:spacing w:before="0" w:after="0"/>
              <w:jc w:val="left"/>
              <w:rPr>
                <w:rFonts w:eastAsia="Times New Roman" w:cs="Times New Roman"/>
                <w:b/>
                <w:bCs/>
                <w:color w:val="000000"/>
                <w:sz w:val="20"/>
                <w:szCs w:val="20"/>
                <w:lang w:eastAsia="cs-CZ"/>
              </w:rPr>
            </w:pPr>
            <w:r w:rsidRPr="001A1503">
              <w:rPr>
                <w:rFonts w:eastAsia="Times New Roman" w:cs="Times New Roman"/>
                <w:b/>
                <w:bCs/>
                <w:color w:val="000000"/>
                <w:sz w:val="20"/>
                <w:szCs w:val="20"/>
                <w:lang w:eastAsia="cs-CZ"/>
              </w:rPr>
              <w:t>ÚIACH AVČR</w:t>
            </w:r>
          </w:p>
        </w:tc>
        <w:tc>
          <w:tcPr>
            <w:tcW w:w="1418" w:type="dxa"/>
            <w:tcBorders>
              <w:top w:val="nil"/>
              <w:left w:val="nil"/>
              <w:bottom w:val="nil"/>
              <w:right w:val="nil"/>
            </w:tcBorders>
            <w:shd w:val="clear" w:color="auto" w:fill="auto"/>
            <w:noWrap/>
            <w:vAlign w:val="bottom"/>
            <w:hideMark/>
          </w:tcPr>
          <w:p w:rsidR="00C84F89" w:rsidRPr="001A1503" w:rsidRDefault="00C84F89" w:rsidP="001A1503">
            <w:pPr>
              <w:spacing w:before="0" w:after="0"/>
              <w:ind w:right="458"/>
              <w:jc w:val="right"/>
              <w:rPr>
                <w:rFonts w:eastAsia="Times New Roman" w:cs="Times New Roman"/>
                <w:b/>
                <w:bCs/>
                <w:color w:val="000000"/>
                <w:sz w:val="20"/>
                <w:szCs w:val="20"/>
                <w:lang w:eastAsia="cs-CZ"/>
              </w:rPr>
            </w:pPr>
            <w:r w:rsidRPr="001A1503">
              <w:rPr>
                <w:rFonts w:eastAsia="Times New Roman" w:cs="Times New Roman"/>
                <w:b/>
                <w:bCs/>
                <w:color w:val="000000"/>
                <w:sz w:val="20"/>
                <w:szCs w:val="20"/>
                <w:lang w:eastAsia="cs-CZ"/>
              </w:rPr>
              <w:t>3</w:t>
            </w:r>
          </w:p>
        </w:tc>
      </w:tr>
      <w:tr w:rsidR="00C84F89" w:rsidRPr="001A1503" w:rsidTr="001A1503">
        <w:trPr>
          <w:trHeight w:val="225"/>
          <w:jc w:val="center"/>
        </w:trPr>
        <w:tc>
          <w:tcPr>
            <w:tcW w:w="5685" w:type="dxa"/>
            <w:tcBorders>
              <w:top w:val="nil"/>
              <w:left w:val="nil"/>
              <w:bottom w:val="nil"/>
              <w:right w:val="nil"/>
            </w:tcBorders>
            <w:shd w:val="clear" w:color="auto" w:fill="auto"/>
            <w:noWrap/>
            <w:vAlign w:val="bottom"/>
            <w:hideMark/>
          </w:tcPr>
          <w:p w:rsidR="00C84F89" w:rsidRPr="001A1503" w:rsidRDefault="00C84F89" w:rsidP="00CC1B04">
            <w:pPr>
              <w:spacing w:before="0" w:after="0"/>
              <w:jc w:val="left"/>
              <w:rPr>
                <w:rFonts w:eastAsia="Times New Roman" w:cs="Times New Roman"/>
                <w:i/>
                <w:iCs/>
                <w:color w:val="000000"/>
                <w:sz w:val="20"/>
                <w:szCs w:val="20"/>
                <w:lang w:eastAsia="cs-CZ"/>
              </w:rPr>
            </w:pPr>
            <w:r w:rsidRPr="001A1503">
              <w:rPr>
                <w:rFonts w:eastAsia="Times New Roman" w:cs="Times New Roman"/>
                <w:i/>
                <w:iCs/>
                <w:color w:val="000000"/>
                <w:sz w:val="20"/>
                <w:szCs w:val="20"/>
                <w:lang w:eastAsia="cs-CZ"/>
              </w:rPr>
              <w:t>Finsko</w:t>
            </w:r>
          </w:p>
        </w:tc>
        <w:tc>
          <w:tcPr>
            <w:tcW w:w="1418" w:type="dxa"/>
            <w:tcBorders>
              <w:top w:val="nil"/>
              <w:left w:val="nil"/>
              <w:bottom w:val="nil"/>
              <w:right w:val="nil"/>
            </w:tcBorders>
            <w:shd w:val="clear" w:color="auto" w:fill="auto"/>
            <w:noWrap/>
            <w:vAlign w:val="bottom"/>
            <w:hideMark/>
          </w:tcPr>
          <w:p w:rsidR="00C84F89" w:rsidRPr="001A1503" w:rsidRDefault="00C84F89" w:rsidP="001A1503">
            <w:pPr>
              <w:spacing w:before="0" w:after="0"/>
              <w:ind w:right="458"/>
              <w:jc w:val="right"/>
              <w:rPr>
                <w:rFonts w:eastAsia="Times New Roman" w:cs="Times New Roman"/>
                <w:i/>
                <w:iCs/>
                <w:color w:val="000000"/>
                <w:sz w:val="20"/>
                <w:szCs w:val="20"/>
                <w:lang w:eastAsia="cs-CZ"/>
              </w:rPr>
            </w:pPr>
            <w:r w:rsidRPr="001A1503">
              <w:rPr>
                <w:rFonts w:eastAsia="Times New Roman" w:cs="Times New Roman"/>
                <w:i/>
                <w:iCs/>
                <w:color w:val="000000"/>
                <w:sz w:val="20"/>
                <w:szCs w:val="20"/>
                <w:lang w:eastAsia="cs-CZ"/>
              </w:rPr>
              <w:t>2</w:t>
            </w:r>
          </w:p>
        </w:tc>
      </w:tr>
      <w:tr w:rsidR="00C84F89" w:rsidRPr="001A1503" w:rsidTr="001A1503">
        <w:trPr>
          <w:trHeight w:val="225"/>
          <w:jc w:val="center"/>
        </w:trPr>
        <w:tc>
          <w:tcPr>
            <w:tcW w:w="5685" w:type="dxa"/>
            <w:tcBorders>
              <w:top w:val="nil"/>
              <w:left w:val="nil"/>
              <w:bottom w:val="nil"/>
              <w:right w:val="nil"/>
            </w:tcBorders>
            <w:shd w:val="clear" w:color="auto" w:fill="auto"/>
            <w:noWrap/>
            <w:vAlign w:val="bottom"/>
            <w:hideMark/>
          </w:tcPr>
          <w:p w:rsidR="00C84F89" w:rsidRPr="001A1503" w:rsidRDefault="00C84F89" w:rsidP="00CC1B04">
            <w:pPr>
              <w:spacing w:before="0" w:after="0"/>
              <w:jc w:val="left"/>
              <w:rPr>
                <w:rFonts w:eastAsia="Times New Roman" w:cs="Times New Roman"/>
                <w:i/>
                <w:iCs/>
                <w:color w:val="000000"/>
                <w:sz w:val="20"/>
                <w:szCs w:val="20"/>
                <w:lang w:eastAsia="cs-CZ"/>
              </w:rPr>
            </w:pPr>
            <w:r w:rsidRPr="001A1503">
              <w:rPr>
                <w:rFonts w:eastAsia="Times New Roman" w:cs="Times New Roman"/>
                <w:i/>
                <w:iCs/>
                <w:color w:val="000000"/>
                <w:sz w:val="20"/>
                <w:szCs w:val="20"/>
                <w:lang w:eastAsia="cs-CZ"/>
              </w:rPr>
              <w:t>Dánsko</w:t>
            </w:r>
          </w:p>
        </w:tc>
        <w:tc>
          <w:tcPr>
            <w:tcW w:w="1418" w:type="dxa"/>
            <w:tcBorders>
              <w:top w:val="nil"/>
              <w:left w:val="nil"/>
              <w:bottom w:val="nil"/>
              <w:right w:val="nil"/>
            </w:tcBorders>
            <w:shd w:val="clear" w:color="auto" w:fill="auto"/>
            <w:noWrap/>
            <w:vAlign w:val="bottom"/>
            <w:hideMark/>
          </w:tcPr>
          <w:p w:rsidR="00C84F89" w:rsidRPr="001A1503" w:rsidRDefault="00C84F89" w:rsidP="001A1503">
            <w:pPr>
              <w:spacing w:before="0" w:after="0"/>
              <w:ind w:right="458"/>
              <w:jc w:val="right"/>
              <w:rPr>
                <w:rFonts w:eastAsia="Times New Roman" w:cs="Times New Roman"/>
                <w:i/>
                <w:iCs/>
                <w:color w:val="000000"/>
                <w:sz w:val="20"/>
                <w:szCs w:val="20"/>
                <w:lang w:eastAsia="cs-CZ"/>
              </w:rPr>
            </w:pPr>
            <w:r w:rsidRPr="001A1503">
              <w:rPr>
                <w:rFonts w:eastAsia="Times New Roman" w:cs="Times New Roman"/>
                <w:i/>
                <w:iCs/>
                <w:color w:val="000000"/>
                <w:sz w:val="20"/>
                <w:szCs w:val="20"/>
                <w:lang w:eastAsia="cs-CZ"/>
              </w:rPr>
              <w:t>1</w:t>
            </w:r>
          </w:p>
        </w:tc>
      </w:tr>
      <w:tr w:rsidR="00C84F89" w:rsidRPr="001A1503" w:rsidTr="001A1503">
        <w:trPr>
          <w:trHeight w:val="225"/>
          <w:jc w:val="center"/>
        </w:trPr>
        <w:tc>
          <w:tcPr>
            <w:tcW w:w="5685" w:type="dxa"/>
            <w:tcBorders>
              <w:top w:val="nil"/>
              <w:left w:val="nil"/>
              <w:bottom w:val="nil"/>
              <w:right w:val="nil"/>
            </w:tcBorders>
            <w:shd w:val="clear" w:color="auto" w:fill="auto"/>
            <w:noWrap/>
            <w:vAlign w:val="bottom"/>
            <w:hideMark/>
          </w:tcPr>
          <w:p w:rsidR="00C84F89" w:rsidRPr="001A1503" w:rsidRDefault="00C84F89" w:rsidP="00CC1B04">
            <w:pPr>
              <w:spacing w:before="0" w:after="0"/>
              <w:jc w:val="left"/>
              <w:rPr>
                <w:rFonts w:eastAsia="Times New Roman" w:cs="Times New Roman"/>
                <w:i/>
                <w:iCs/>
                <w:color w:val="000000"/>
                <w:sz w:val="20"/>
                <w:szCs w:val="20"/>
                <w:lang w:eastAsia="cs-CZ"/>
              </w:rPr>
            </w:pPr>
            <w:r w:rsidRPr="001A1503">
              <w:rPr>
                <w:rFonts w:eastAsia="Times New Roman" w:cs="Times New Roman"/>
                <w:i/>
                <w:iCs/>
                <w:color w:val="000000"/>
                <w:sz w:val="20"/>
                <w:szCs w:val="20"/>
                <w:lang w:eastAsia="cs-CZ"/>
              </w:rPr>
              <w:t>Maďarsko</w:t>
            </w:r>
          </w:p>
        </w:tc>
        <w:tc>
          <w:tcPr>
            <w:tcW w:w="1418" w:type="dxa"/>
            <w:tcBorders>
              <w:top w:val="nil"/>
              <w:left w:val="nil"/>
              <w:bottom w:val="nil"/>
              <w:right w:val="nil"/>
            </w:tcBorders>
            <w:shd w:val="clear" w:color="auto" w:fill="auto"/>
            <w:noWrap/>
            <w:vAlign w:val="bottom"/>
            <w:hideMark/>
          </w:tcPr>
          <w:p w:rsidR="00C84F89" w:rsidRPr="001A1503" w:rsidRDefault="00C84F89" w:rsidP="001A1503">
            <w:pPr>
              <w:spacing w:before="0" w:after="0"/>
              <w:ind w:right="458"/>
              <w:jc w:val="right"/>
              <w:rPr>
                <w:rFonts w:eastAsia="Times New Roman" w:cs="Times New Roman"/>
                <w:i/>
                <w:iCs/>
                <w:color w:val="000000"/>
                <w:sz w:val="20"/>
                <w:szCs w:val="20"/>
                <w:lang w:eastAsia="cs-CZ"/>
              </w:rPr>
            </w:pPr>
            <w:r w:rsidRPr="001A1503">
              <w:rPr>
                <w:rFonts w:eastAsia="Times New Roman" w:cs="Times New Roman"/>
                <w:i/>
                <w:iCs/>
                <w:color w:val="000000"/>
                <w:sz w:val="20"/>
                <w:szCs w:val="20"/>
                <w:lang w:eastAsia="cs-CZ"/>
              </w:rPr>
              <w:t>1</w:t>
            </w:r>
          </w:p>
        </w:tc>
      </w:tr>
      <w:tr w:rsidR="00C84F89" w:rsidRPr="001A1503" w:rsidTr="001A1503">
        <w:trPr>
          <w:trHeight w:val="225"/>
          <w:jc w:val="center"/>
        </w:trPr>
        <w:tc>
          <w:tcPr>
            <w:tcW w:w="5685" w:type="dxa"/>
            <w:tcBorders>
              <w:top w:val="nil"/>
              <w:left w:val="nil"/>
              <w:bottom w:val="nil"/>
              <w:right w:val="nil"/>
            </w:tcBorders>
            <w:shd w:val="clear" w:color="auto" w:fill="auto"/>
            <w:noWrap/>
            <w:vAlign w:val="bottom"/>
            <w:hideMark/>
          </w:tcPr>
          <w:p w:rsidR="00C84F89" w:rsidRPr="001A1503" w:rsidRDefault="00C84F89" w:rsidP="00CC1B04">
            <w:pPr>
              <w:spacing w:before="0" w:after="0"/>
              <w:jc w:val="left"/>
              <w:rPr>
                <w:rFonts w:eastAsia="Times New Roman" w:cs="Times New Roman"/>
                <w:b/>
                <w:bCs/>
                <w:color w:val="000000"/>
                <w:sz w:val="20"/>
                <w:szCs w:val="20"/>
                <w:lang w:eastAsia="cs-CZ"/>
              </w:rPr>
            </w:pPr>
            <w:r w:rsidRPr="001A1503">
              <w:rPr>
                <w:rFonts w:eastAsia="Times New Roman" w:cs="Times New Roman"/>
                <w:b/>
                <w:bCs/>
                <w:color w:val="000000"/>
                <w:sz w:val="20"/>
                <w:szCs w:val="20"/>
                <w:lang w:eastAsia="cs-CZ"/>
              </w:rPr>
              <w:t xml:space="preserve">ČVUT Fakulta elektrotechnická  </w:t>
            </w:r>
          </w:p>
        </w:tc>
        <w:tc>
          <w:tcPr>
            <w:tcW w:w="1418" w:type="dxa"/>
            <w:tcBorders>
              <w:top w:val="nil"/>
              <w:left w:val="nil"/>
              <w:bottom w:val="nil"/>
              <w:right w:val="nil"/>
            </w:tcBorders>
            <w:shd w:val="clear" w:color="auto" w:fill="auto"/>
            <w:noWrap/>
            <w:vAlign w:val="bottom"/>
            <w:hideMark/>
          </w:tcPr>
          <w:p w:rsidR="00C84F89" w:rsidRPr="001A1503" w:rsidRDefault="00C84F89" w:rsidP="001A1503">
            <w:pPr>
              <w:spacing w:before="0" w:after="0"/>
              <w:ind w:right="458"/>
              <w:jc w:val="right"/>
              <w:rPr>
                <w:rFonts w:eastAsia="Times New Roman" w:cs="Times New Roman"/>
                <w:b/>
                <w:bCs/>
                <w:color w:val="000000"/>
                <w:sz w:val="20"/>
                <w:szCs w:val="20"/>
                <w:lang w:eastAsia="cs-CZ"/>
              </w:rPr>
            </w:pPr>
            <w:r w:rsidRPr="001A1503">
              <w:rPr>
                <w:rFonts w:eastAsia="Times New Roman" w:cs="Times New Roman"/>
                <w:b/>
                <w:bCs/>
                <w:color w:val="000000"/>
                <w:sz w:val="20"/>
                <w:szCs w:val="20"/>
                <w:lang w:eastAsia="cs-CZ"/>
              </w:rPr>
              <w:t>3</w:t>
            </w:r>
          </w:p>
        </w:tc>
      </w:tr>
      <w:tr w:rsidR="00C84F89" w:rsidRPr="001A1503" w:rsidTr="001A1503">
        <w:trPr>
          <w:trHeight w:val="225"/>
          <w:jc w:val="center"/>
        </w:trPr>
        <w:tc>
          <w:tcPr>
            <w:tcW w:w="5685" w:type="dxa"/>
            <w:tcBorders>
              <w:top w:val="nil"/>
              <w:left w:val="nil"/>
              <w:bottom w:val="nil"/>
              <w:right w:val="nil"/>
            </w:tcBorders>
            <w:shd w:val="clear" w:color="auto" w:fill="auto"/>
            <w:noWrap/>
            <w:vAlign w:val="bottom"/>
            <w:hideMark/>
          </w:tcPr>
          <w:p w:rsidR="00C84F89" w:rsidRPr="001A1503" w:rsidRDefault="00C84F89" w:rsidP="00CC1B04">
            <w:pPr>
              <w:spacing w:before="0" w:after="0"/>
              <w:jc w:val="left"/>
              <w:rPr>
                <w:rFonts w:eastAsia="Times New Roman" w:cs="Times New Roman"/>
                <w:i/>
                <w:iCs/>
                <w:color w:val="000000"/>
                <w:sz w:val="20"/>
                <w:szCs w:val="20"/>
                <w:lang w:eastAsia="cs-CZ"/>
              </w:rPr>
            </w:pPr>
            <w:r w:rsidRPr="001A1503">
              <w:rPr>
                <w:rFonts w:eastAsia="Times New Roman" w:cs="Times New Roman"/>
                <w:i/>
                <w:iCs/>
                <w:color w:val="000000"/>
                <w:sz w:val="20"/>
                <w:szCs w:val="20"/>
                <w:lang w:eastAsia="cs-CZ"/>
              </w:rPr>
              <w:t>Argentina</w:t>
            </w:r>
          </w:p>
        </w:tc>
        <w:tc>
          <w:tcPr>
            <w:tcW w:w="1418" w:type="dxa"/>
            <w:tcBorders>
              <w:top w:val="nil"/>
              <w:left w:val="nil"/>
              <w:bottom w:val="nil"/>
              <w:right w:val="nil"/>
            </w:tcBorders>
            <w:shd w:val="clear" w:color="auto" w:fill="auto"/>
            <w:noWrap/>
            <w:vAlign w:val="bottom"/>
            <w:hideMark/>
          </w:tcPr>
          <w:p w:rsidR="00C84F89" w:rsidRPr="001A1503" w:rsidRDefault="00C84F89" w:rsidP="001A1503">
            <w:pPr>
              <w:spacing w:before="0" w:after="0"/>
              <w:ind w:right="458"/>
              <w:jc w:val="right"/>
              <w:rPr>
                <w:rFonts w:eastAsia="Times New Roman" w:cs="Times New Roman"/>
                <w:i/>
                <w:iCs/>
                <w:color w:val="000000"/>
                <w:sz w:val="20"/>
                <w:szCs w:val="20"/>
                <w:lang w:eastAsia="cs-CZ"/>
              </w:rPr>
            </w:pPr>
            <w:r w:rsidRPr="001A1503">
              <w:rPr>
                <w:rFonts w:eastAsia="Times New Roman" w:cs="Times New Roman"/>
                <w:i/>
                <w:iCs/>
                <w:color w:val="000000"/>
                <w:sz w:val="20"/>
                <w:szCs w:val="20"/>
                <w:lang w:eastAsia="cs-CZ"/>
              </w:rPr>
              <w:t>1</w:t>
            </w:r>
          </w:p>
        </w:tc>
      </w:tr>
      <w:tr w:rsidR="00C84F89" w:rsidRPr="001A1503" w:rsidTr="001A1503">
        <w:trPr>
          <w:trHeight w:val="225"/>
          <w:jc w:val="center"/>
        </w:trPr>
        <w:tc>
          <w:tcPr>
            <w:tcW w:w="5685" w:type="dxa"/>
            <w:tcBorders>
              <w:top w:val="nil"/>
              <w:left w:val="nil"/>
              <w:bottom w:val="nil"/>
              <w:right w:val="nil"/>
            </w:tcBorders>
            <w:shd w:val="clear" w:color="auto" w:fill="auto"/>
            <w:noWrap/>
            <w:vAlign w:val="bottom"/>
            <w:hideMark/>
          </w:tcPr>
          <w:p w:rsidR="00C84F89" w:rsidRPr="001A1503" w:rsidRDefault="00C84F89" w:rsidP="00CC1B04">
            <w:pPr>
              <w:spacing w:before="0" w:after="0"/>
              <w:jc w:val="left"/>
              <w:rPr>
                <w:rFonts w:eastAsia="Times New Roman" w:cs="Times New Roman"/>
                <w:i/>
                <w:iCs/>
                <w:color w:val="000000"/>
                <w:sz w:val="20"/>
                <w:szCs w:val="20"/>
                <w:lang w:eastAsia="cs-CZ"/>
              </w:rPr>
            </w:pPr>
            <w:r w:rsidRPr="001A1503">
              <w:rPr>
                <w:rFonts w:eastAsia="Times New Roman" w:cs="Times New Roman"/>
                <w:i/>
                <w:iCs/>
                <w:color w:val="000000"/>
                <w:sz w:val="20"/>
                <w:szCs w:val="20"/>
                <w:lang w:eastAsia="cs-CZ"/>
              </w:rPr>
              <w:t>Slovensko</w:t>
            </w:r>
          </w:p>
        </w:tc>
        <w:tc>
          <w:tcPr>
            <w:tcW w:w="1418" w:type="dxa"/>
            <w:tcBorders>
              <w:top w:val="nil"/>
              <w:left w:val="nil"/>
              <w:bottom w:val="nil"/>
              <w:right w:val="nil"/>
            </w:tcBorders>
            <w:shd w:val="clear" w:color="auto" w:fill="auto"/>
            <w:noWrap/>
            <w:vAlign w:val="bottom"/>
            <w:hideMark/>
          </w:tcPr>
          <w:p w:rsidR="00C84F89" w:rsidRPr="001A1503" w:rsidRDefault="00C84F89" w:rsidP="001A1503">
            <w:pPr>
              <w:spacing w:before="0" w:after="0"/>
              <w:ind w:right="458"/>
              <w:jc w:val="right"/>
              <w:rPr>
                <w:rFonts w:eastAsia="Times New Roman" w:cs="Times New Roman"/>
                <w:i/>
                <w:iCs/>
                <w:color w:val="000000"/>
                <w:sz w:val="20"/>
                <w:szCs w:val="20"/>
                <w:lang w:eastAsia="cs-CZ"/>
              </w:rPr>
            </w:pPr>
            <w:r w:rsidRPr="001A1503">
              <w:rPr>
                <w:rFonts w:eastAsia="Times New Roman" w:cs="Times New Roman"/>
                <w:i/>
                <w:iCs/>
                <w:color w:val="000000"/>
                <w:sz w:val="20"/>
                <w:szCs w:val="20"/>
                <w:lang w:eastAsia="cs-CZ"/>
              </w:rPr>
              <w:t>1</w:t>
            </w:r>
          </w:p>
        </w:tc>
      </w:tr>
      <w:tr w:rsidR="00C84F89" w:rsidRPr="001A1503" w:rsidTr="001A1503">
        <w:trPr>
          <w:trHeight w:val="225"/>
          <w:jc w:val="center"/>
        </w:trPr>
        <w:tc>
          <w:tcPr>
            <w:tcW w:w="5685" w:type="dxa"/>
            <w:tcBorders>
              <w:top w:val="nil"/>
              <w:left w:val="nil"/>
              <w:bottom w:val="single" w:sz="4" w:space="0" w:color="auto"/>
              <w:right w:val="nil"/>
            </w:tcBorders>
            <w:shd w:val="clear" w:color="auto" w:fill="auto"/>
            <w:noWrap/>
            <w:vAlign w:val="bottom"/>
            <w:hideMark/>
          </w:tcPr>
          <w:p w:rsidR="00C84F89" w:rsidRPr="001A1503" w:rsidRDefault="00C84F89" w:rsidP="00CC1B04">
            <w:pPr>
              <w:spacing w:before="0" w:after="0"/>
              <w:jc w:val="left"/>
              <w:rPr>
                <w:rFonts w:eastAsia="Times New Roman" w:cs="Times New Roman"/>
                <w:i/>
                <w:iCs/>
                <w:color w:val="000000"/>
                <w:sz w:val="20"/>
                <w:szCs w:val="20"/>
                <w:lang w:eastAsia="cs-CZ"/>
              </w:rPr>
            </w:pPr>
            <w:r w:rsidRPr="001A1503">
              <w:rPr>
                <w:rFonts w:eastAsia="Times New Roman" w:cs="Times New Roman"/>
                <w:i/>
                <w:iCs/>
                <w:color w:val="000000"/>
                <w:sz w:val="20"/>
                <w:szCs w:val="20"/>
                <w:lang w:eastAsia="cs-CZ"/>
              </w:rPr>
              <w:t>USA</w:t>
            </w:r>
          </w:p>
        </w:tc>
        <w:tc>
          <w:tcPr>
            <w:tcW w:w="1418" w:type="dxa"/>
            <w:tcBorders>
              <w:top w:val="nil"/>
              <w:left w:val="nil"/>
              <w:bottom w:val="single" w:sz="4" w:space="0" w:color="auto"/>
              <w:right w:val="nil"/>
            </w:tcBorders>
            <w:shd w:val="clear" w:color="auto" w:fill="auto"/>
            <w:noWrap/>
            <w:vAlign w:val="bottom"/>
            <w:hideMark/>
          </w:tcPr>
          <w:p w:rsidR="00C84F89" w:rsidRPr="001A1503" w:rsidRDefault="00C84F89" w:rsidP="001A1503">
            <w:pPr>
              <w:spacing w:before="0" w:after="0"/>
              <w:ind w:right="458"/>
              <w:jc w:val="right"/>
              <w:rPr>
                <w:rFonts w:eastAsia="Times New Roman" w:cs="Times New Roman"/>
                <w:i/>
                <w:iCs/>
                <w:color w:val="000000"/>
                <w:sz w:val="20"/>
                <w:szCs w:val="20"/>
                <w:lang w:eastAsia="cs-CZ"/>
              </w:rPr>
            </w:pPr>
            <w:r w:rsidRPr="001A1503">
              <w:rPr>
                <w:rFonts w:eastAsia="Times New Roman" w:cs="Times New Roman"/>
                <w:i/>
                <w:iCs/>
                <w:color w:val="000000"/>
                <w:sz w:val="20"/>
                <w:szCs w:val="20"/>
                <w:lang w:eastAsia="cs-CZ"/>
              </w:rPr>
              <w:t>1</w:t>
            </w:r>
          </w:p>
        </w:tc>
      </w:tr>
    </w:tbl>
    <w:p w:rsidR="00C84F89" w:rsidRDefault="00C84F89" w:rsidP="00C84F89"/>
    <w:p w:rsidR="00AD5AE9" w:rsidRPr="009E7B88" w:rsidRDefault="00AD5AE9" w:rsidP="00AD5AE9">
      <w:pPr>
        <w:pStyle w:val="Nadpis3"/>
      </w:pPr>
      <w:bookmarkStart w:id="162" w:name="_Toc459723305"/>
      <w:r w:rsidRPr="00AD5AE9">
        <w:t>Úspěšnost zapojení do mezinárodních výzkumných programů a překážky mezinárodní spolupráce</w:t>
      </w:r>
      <w:bookmarkEnd w:id="162"/>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9354"/>
      </w:tblGrid>
      <w:tr w:rsidR="00C467A5" w:rsidTr="007F0ECE">
        <w:tc>
          <w:tcPr>
            <w:tcW w:w="9354" w:type="dxa"/>
            <w:shd w:val="clear" w:color="auto" w:fill="F2F2F2" w:themeFill="background1" w:themeFillShade="F2"/>
          </w:tcPr>
          <w:p w:rsidR="00C467A5" w:rsidRDefault="00C467A5" w:rsidP="007F0ECE">
            <w:r w:rsidRPr="00C467A5">
              <w:t>Úspěšnost návrhů projektů týkajících se problematiky bezpečnosti podaných účastníky z ČR byla v 7. RP poměrně vysoká</w:t>
            </w:r>
            <w:r>
              <w:t xml:space="preserve">, neboť přibližně 13 % návrhů podaných do 7. RP bylo úspěšných.  </w:t>
            </w:r>
            <w:r w:rsidRPr="00C467A5">
              <w:t xml:space="preserve">Velmi nízkou úspěšnost </w:t>
            </w:r>
            <w:r>
              <w:t xml:space="preserve">však mají </w:t>
            </w:r>
            <w:r w:rsidRPr="00C467A5">
              <w:t>projekty koordinované účastníkem z</w:t>
            </w:r>
            <w:r>
              <w:t> </w:t>
            </w:r>
            <w:r w:rsidRPr="00C467A5">
              <w:t>ČR</w:t>
            </w:r>
            <w:r>
              <w:t>, kde z</w:t>
            </w:r>
            <w:r w:rsidRPr="00C467A5">
              <w:t xml:space="preserve"> více než 40 návrhů projektů podaných do 7. RP byl pro financování vybrán pouze jeden projekt</w:t>
            </w:r>
            <w:r>
              <w:t>.</w:t>
            </w:r>
          </w:p>
          <w:p w:rsidR="00C467A5" w:rsidRPr="009B68E6" w:rsidRDefault="00C467A5" w:rsidP="007F0ECE">
            <w:r>
              <w:t xml:space="preserve">Jak vyplývá z dotazníkového šetření mezi výzkumnými pracovníky, s mezinárodní výzkumnou spoluprací má nějakou zkušenost přibližně polovina organizací, ze kterých pocházejí respondenti. S čerpáním finanční podpory ze zahraničních zdrojů má </w:t>
            </w:r>
            <w:r w:rsidRPr="009B68E6">
              <w:t xml:space="preserve">zkušenost </w:t>
            </w:r>
            <w:r>
              <w:t>zhruba</w:t>
            </w:r>
            <w:r w:rsidRPr="009B68E6">
              <w:t xml:space="preserve"> 30 % organizací. Se současnou mírou zapojení své organizace do mezinárodní spolupráce v rámci bezpečnostního výzkumu je spokojeno pouze 23 % respondentů. </w:t>
            </w:r>
          </w:p>
          <w:p w:rsidR="00C467A5" w:rsidRDefault="00C467A5" w:rsidP="007F0ECE">
            <w:r w:rsidRPr="009B68E6">
              <w:t>Nevyšší míru zahraniční spolupráce vykazují výzkumníci v oblasti krizového řízení (20 %), dále v oblastech ochrana kyberprostoru (14,4 %) a detekce a ochrana proti CBRN prostředkům (14,4 %).</w:t>
            </w:r>
          </w:p>
          <w:p w:rsidR="00C467A5" w:rsidRDefault="00C467A5" w:rsidP="007F0ECE">
            <w:r w:rsidRPr="009B68E6">
              <w:t>Jako nejvýznamnější motivační faktory pro mezinárodní spolupráci výzkumníci uvádějí rozvoj znalostí v rámci spolupráce a (96 %) a možnost získání finanční podpory</w:t>
            </w:r>
            <w:r>
              <w:t xml:space="preserve"> (95 %). Největší překážkou je obava z administrativní náročnosti mezinárodní spolupráce (73 %).</w:t>
            </w:r>
          </w:p>
        </w:tc>
      </w:tr>
    </w:tbl>
    <w:p w:rsidR="00C467A5" w:rsidRDefault="00724154" w:rsidP="00724154">
      <w:pPr>
        <w:pStyle w:val="Nadpis4"/>
        <w:ind w:left="862" w:hanging="862"/>
      </w:pPr>
      <w:bookmarkStart w:id="163" w:name="_Toc459723306"/>
      <w:r w:rsidRPr="00F00D5B">
        <w:t>Úspěšnost subjektů z ČR v rámcových programech EU</w:t>
      </w:r>
      <w:bookmarkEnd w:id="163"/>
    </w:p>
    <w:p w:rsidR="006136BF" w:rsidRPr="006136BF" w:rsidRDefault="006136BF" w:rsidP="006136BF">
      <w:r w:rsidRPr="006136BF">
        <w:t>Úspěšnost návrhů projektů týkajících se problematiky bezpečnosti podaných účastníky z ČR byla v 7. RP poměrně vysoká</w:t>
      </w:r>
      <w:r w:rsidR="00265AB1">
        <w:rPr>
          <w:rStyle w:val="Znakapoznpodarou"/>
        </w:rPr>
        <w:footnoteReference w:id="39"/>
      </w:r>
      <w:r w:rsidRPr="006136BF">
        <w:t>. Jak je patrné z</w:t>
      </w:r>
      <w:r w:rsidR="005C45B3">
        <w:t xml:space="preserve"> </w:t>
      </w:r>
      <w:r w:rsidR="005C45B3">
        <w:fldChar w:fldCharType="begin"/>
      </w:r>
      <w:r w:rsidR="005C45B3">
        <w:instrText xml:space="preserve"> REF  _Ref451518890 \* Lower \h  \* MERGEFORMAT </w:instrText>
      </w:r>
      <w:r w:rsidR="005C45B3">
        <w:fldChar w:fldCharType="separate"/>
      </w:r>
      <w:r w:rsidR="003F08E5">
        <w:t xml:space="preserve">tab. </w:t>
      </w:r>
      <w:r w:rsidR="003F08E5">
        <w:rPr>
          <w:noProof/>
        </w:rPr>
        <w:t>45</w:t>
      </w:r>
      <w:r w:rsidR="005C45B3">
        <w:fldChar w:fldCharType="end"/>
      </w:r>
      <w:r w:rsidRPr="006136BF">
        <w:t xml:space="preserve">, kde jsou uvedeny údaje o podaných a financovaných projektech s účastníky z ČR v 7. RP a programu H2020, přibližně 13 % návrhů podaných v 7. RP bylo </w:t>
      </w:r>
      <w:r w:rsidRPr="006136BF">
        <w:lastRenderedPageBreak/>
        <w:t>úspěšných. Nejvyšší úspěšnost měly výzkumné instituce (téměř 19 % návrhů bylo úspěšných). Naopak, nejnižší úspěšnost návrhů projektů mě</w:t>
      </w:r>
      <w:r w:rsidR="00F91B56">
        <w:t>ly</w:t>
      </w:r>
      <w:r w:rsidRPr="006136BF">
        <w:t xml:space="preserve"> VŠ (necelých 6 %).</w:t>
      </w:r>
      <w:r w:rsidR="00F91B56">
        <w:t xml:space="preserve"> Jak vyplývá z porovnání počtu podaných návrhů projektů a počtu projektů s grantovou dohodou, poměrně vysokou úspěšnost </w:t>
      </w:r>
      <w:r w:rsidR="00F91B56" w:rsidRPr="006136BF">
        <w:t>v 7. RP měly zejména návrhy podané v pr</w:t>
      </w:r>
      <w:r w:rsidR="00F91B56">
        <w:t>ioritách</w:t>
      </w:r>
      <w:r w:rsidR="00F91B56" w:rsidRPr="006136BF">
        <w:t xml:space="preserve"> Bezpečnost</w:t>
      </w:r>
      <w:r w:rsidR="00F91B56">
        <w:t xml:space="preserve"> a </w:t>
      </w:r>
      <w:r w:rsidR="00F91B56" w:rsidRPr="006136BF">
        <w:t>Informační a komunikační technologie.</w:t>
      </w:r>
    </w:p>
    <w:p w:rsidR="006136BF" w:rsidRPr="006136BF" w:rsidRDefault="006136BF" w:rsidP="006136BF">
      <w:r w:rsidRPr="006136BF">
        <w:t>Velmi nízkou úspěšnost měly</w:t>
      </w:r>
      <w:r w:rsidR="00F91B56">
        <w:t xml:space="preserve"> </w:t>
      </w:r>
      <w:r w:rsidRPr="006136BF">
        <w:t xml:space="preserve">projekty koordinované účastníkem z ČR. Z více než 40 návrhů projektů </w:t>
      </w:r>
      <w:r w:rsidR="00F91B56">
        <w:t xml:space="preserve">podaných do 7. RP </w:t>
      </w:r>
      <w:r w:rsidRPr="006136BF">
        <w:t>s koordinátorem z ČR byl pro financování vybrán pouze jeden projekt (jednalo se o projekt mobility podpořený v programu Lidé koordinovaný společností Honeywell, s.r.o.).</w:t>
      </w:r>
      <w:r w:rsidR="00265AB1">
        <w:t xml:space="preserve"> </w:t>
      </w:r>
    </w:p>
    <w:p w:rsidR="005C45B3" w:rsidRPr="006136BF" w:rsidRDefault="00F91B56" w:rsidP="006136BF">
      <w:r>
        <w:t xml:space="preserve">V </w:t>
      </w:r>
      <w:r w:rsidRPr="006136BF">
        <w:t xml:space="preserve">dosavadním průběhu programu H2020 je </w:t>
      </w:r>
      <w:r>
        <w:t>však ú</w:t>
      </w:r>
      <w:r w:rsidR="006136BF" w:rsidRPr="006136BF">
        <w:t>spěšnost návrhů s účastníkem z ČR poněkud nižší (viz</w:t>
      </w:r>
      <w:r w:rsidR="00FE1B95">
        <w:t xml:space="preserve"> </w:t>
      </w:r>
      <w:r w:rsidR="00FE1B95">
        <w:fldChar w:fldCharType="begin"/>
      </w:r>
      <w:r w:rsidR="00FE1B95">
        <w:instrText xml:space="preserve"> REF  _Ref451518890 \* Lower \h  \* MERGEFORMAT </w:instrText>
      </w:r>
      <w:r w:rsidR="00FE1B95">
        <w:fldChar w:fldCharType="separate"/>
      </w:r>
      <w:r w:rsidR="003F08E5">
        <w:t xml:space="preserve">tab. </w:t>
      </w:r>
      <w:r w:rsidR="003F08E5">
        <w:rPr>
          <w:noProof/>
        </w:rPr>
        <w:t>45</w:t>
      </w:r>
      <w:r w:rsidR="00FE1B95">
        <w:fldChar w:fldCharType="end"/>
      </w:r>
      <w:r w:rsidR="006136BF" w:rsidRPr="006136BF">
        <w:t xml:space="preserve">). Z 213 návrhů projektů bylo úspěšných pouze 15 (tj. 7 %). Největší úspěšnost mají zatím výzkumné instituce (více než 8 %), nejnižší opět VŠ (přibližně 4 % návrhů podaných VŠ bylo úspěšných). Žádný z návrhů projektů podaných koordinátorem z ČR zatím nebyl </w:t>
      </w:r>
      <w:r>
        <w:t>vybrán pro financování</w:t>
      </w:r>
      <w:r w:rsidR="00293C0D">
        <w:t>.</w:t>
      </w:r>
    </w:p>
    <w:p w:rsidR="005C45B3" w:rsidRDefault="005C45B3" w:rsidP="005C45B3">
      <w:pPr>
        <w:pStyle w:val="Titulek"/>
        <w:keepNext/>
      </w:pPr>
      <w:bookmarkStart w:id="164" w:name="_Ref451518890"/>
      <w:r>
        <w:t xml:space="preserve">Tab. </w:t>
      </w:r>
      <w:r w:rsidR="00990E2D">
        <w:fldChar w:fldCharType="begin"/>
      </w:r>
      <w:r w:rsidR="00990E2D">
        <w:instrText xml:space="preserve"> SEQ Tab. \* ARABIC </w:instrText>
      </w:r>
      <w:r w:rsidR="00990E2D">
        <w:fldChar w:fldCharType="separate"/>
      </w:r>
      <w:r w:rsidR="003F08E5">
        <w:rPr>
          <w:noProof/>
        </w:rPr>
        <w:t>45</w:t>
      </w:r>
      <w:r w:rsidR="00990E2D">
        <w:rPr>
          <w:noProof/>
        </w:rPr>
        <w:fldChar w:fldCharType="end"/>
      </w:r>
      <w:bookmarkEnd w:id="164"/>
      <w:r>
        <w:tab/>
      </w:r>
      <w:r w:rsidRPr="005C45B3">
        <w:t>Základní přehled o zapojení ČR do projektů řešících problematiku bezpečnosti v 7. RP a H2020. Zdroj: e-Corda</w:t>
      </w:r>
    </w:p>
    <w:p w:rsidR="006136BF" w:rsidRDefault="00CD50EB" w:rsidP="006136BF">
      <w:pPr>
        <w:jc w:val="center"/>
      </w:pPr>
      <w:r w:rsidRPr="00CD50EB">
        <w:rPr>
          <w:noProof/>
          <w:lang w:eastAsia="cs-CZ"/>
        </w:rPr>
        <w:drawing>
          <wp:inline distT="0" distB="0" distL="0" distR="0" wp14:anchorId="62EEB95F" wp14:editId="7B4A64D3">
            <wp:extent cx="5850890" cy="1984622"/>
            <wp:effectExtent l="0" t="0" r="0" b="0"/>
            <wp:docPr id="73" name="Obrázek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850890" cy="1984622"/>
                    </a:xfrm>
                    <a:prstGeom prst="rect">
                      <a:avLst/>
                    </a:prstGeom>
                    <a:noFill/>
                    <a:ln>
                      <a:noFill/>
                    </a:ln>
                  </pic:spPr>
                </pic:pic>
              </a:graphicData>
            </a:graphic>
          </wp:inline>
        </w:drawing>
      </w:r>
    </w:p>
    <w:p w:rsidR="006136BF" w:rsidRDefault="006136BF" w:rsidP="00443711">
      <w:pPr>
        <w:jc w:val="left"/>
      </w:pPr>
    </w:p>
    <w:p w:rsidR="00443711" w:rsidRDefault="00443711" w:rsidP="00443711">
      <w:pPr>
        <w:pStyle w:val="Nadpis4"/>
      </w:pPr>
      <w:bookmarkStart w:id="165" w:name="_Toc459723307"/>
      <w:r>
        <w:t>Zjištění z dotazníkového šetření mezi výzkumníky</w:t>
      </w:r>
      <w:bookmarkEnd w:id="165"/>
    </w:p>
    <w:p w:rsidR="00443711" w:rsidRDefault="00724154" w:rsidP="00443711">
      <w:r>
        <w:t xml:space="preserve">Jak vyplývá z dotazníkového šetření, přibližně polovina institucí, kde působí výzkumní pracovníci účastnící se šetření, má zkušenosti s mezinárodním výzkumem. </w:t>
      </w:r>
      <w:r w:rsidR="00443711">
        <w:t>V období 2010</w:t>
      </w:r>
      <w:r>
        <w:t xml:space="preserve"> </w:t>
      </w:r>
      <w:r w:rsidR="00443711">
        <w:t>-</w:t>
      </w:r>
      <w:r>
        <w:t xml:space="preserve"> </w:t>
      </w:r>
      <w:r w:rsidR="00443711">
        <w:t xml:space="preserve">2015 byly do mezinárodní spolupráce zapojeny organizace 52 % respondentů, v současné době jsou to organizace 45 % respondentů. </w:t>
      </w:r>
      <w:r>
        <w:t xml:space="preserve">Přibližně třetina respondentů podala </w:t>
      </w:r>
      <w:r w:rsidR="00443711">
        <w:t xml:space="preserve">mezinárodního projekt v oblasti bezpečnostního výzkumu, který nezískal finanční podporu.   </w:t>
      </w:r>
    </w:p>
    <w:p w:rsidR="00FA617B" w:rsidRDefault="00443711" w:rsidP="00443711">
      <w:r>
        <w:t>Finanční podporu za zahraničních zdrojů čerpaly v období 2010</w:t>
      </w:r>
      <w:r w:rsidR="00724154">
        <w:t xml:space="preserve"> </w:t>
      </w:r>
      <w:r>
        <w:t>-</w:t>
      </w:r>
      <w:r w:rsidR="00724154">
        <w:t xml:space="preserve"> </w:t>
      </w:r>
      <w:r>
        <w:t xml:space="preserve">2015 organizace 30 % respondentů, v současné době jsou to organizace 24 % respondentů. Nejvýznamnější zdroj zahraniční podpory představují rámcové programy EU, z nichž čerpaly nebo čerpají finanční podporu organizace 28 % respondentů. Organizace 2 % respondentů čerpaly finanční podporu od Úřadu pro námořní výzkum (ONRG) při velvyslanectví USA v Praze a 11 % respondentů uvedlo další zdroje finanční podpory (DARPA, ENFSI, ISEC, MAAE, CIPS, DTRA, EDA, dotace EHP/Norska, soukromé zdroje). </w:t>
      </w:r>
    </w:p>
    <w:p w:rsidR="00443711" w:rsidRPr="009B68E6" w:rsidRDefault="00443711" w:rsidP="00443711">
      <w:r w:rsidRPr="009B68E6">
        <w:t xml:space="preserve">Procentuální zastoupení organizací respondentů využívajících zahraniční spolupráci nebo podporu ve vybraných oblastech výzkumu ukazuje graf </w:t>
      </w:r>
      <w:r w:rsidR="00094FC5" w:rsidRPr="009B68E6">
        <w:t xml:space="preserve">na </w:t>
      </w:r>
      <w:r w:rsidR="00094FC5" w:rsidRPr="009B68E6">
        <w:fldChar w:fldCharType="begin"/>
      </w:r>
      <w:r w:rsidR="00094FC5" w:rsidRPr="009B68E6">
        <w:instrText xml:space="preserve"> REF  _Ref454187609 \* Lower \h  \* MERGEFORMAT </w:instrText>
      </w:r>
      <w:r w:rsidR="00094FC5" w:rsidRPr="009B68E6">
        <w:fldChar w:fldCharType="separate"/>
      </w:r>
      <w:r w:rsidR="003F08E5" w:rsidRPr="009B68E6">
        <w:t xml:space="preserve">obr. </w:t>
      </w:r>
      <w:r w:rsidR="003F08E5">
        <w:rPr>
          <w:noProof/>
        </w:rPr>
        <w:t>19</w:t>
      </w:r>
      <w:r w:rsidR="00094FC5" w:rsidRPr="009B68E6">
        <w:fldChar w:fldCharType="end"/>
      </w:r>
      <w:r w:rsidRPr="009B68E6">
        <w:t>.</w:t>
      </w:r>
    </w:p>
    <w:p w:rsidR="00443711" w:rsidRPr="009B68E6" w:rsidRDefault="00443711" w:rsidP="00443711">
      <w:pPr>
        <w:keepNext/>
        <w:jc w:val="center"/>
      </w:pPr>
      <w:r w:rsidRPr="009B68E6">
        <w:rPr>
          <w:noProof/>
          <w:lang w:eastAsia="cs-CZ"/>
        </w:rPr>
        <w:lastRenderedPageBreak/>
        <w:drawing>
          <wp:inline distT="0" distB="0" distL="0" distR="0" wp14:anchorId="700AE165" wp14:editId="6C75CB83">
            <wp:extent cx="5676900" cy="2447925"/>
            <wp:effectExtent l="0" t="0" r="0" b="9525"/>
            <wp:docPr id="62" name="Obrázek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676900" cy="2447925"/>
                    </a:xfrm>
                    <a:prstGeom prst="rect">
                      <a:avLst/>
                    </a:prstGeom>
                    <a:noFill/>
                  </pic:spPr>
                </pic:pic>
              </a:graphicData>
            </a:graphic>
          </wp:inline>
        </w:drawing>
      </w:r>
    </w:p>
    <w:p w:rsidR="00443711" w:rsidRPr="009B68E6" w:rsidRDefault="00443711" w:rsidP="00443711">
      <w:pPr>
        <w:pStyle w:val="Titulek"/>
        <w:jc w:val="both"/>
      </w:pPr>
      <w:bookmarkStart w:id="166" w:name="_Ref454187609"/>
      <w:r w:rsidRPr="009B68E6">
        <w:t xml:space="preserve">Obr. </w:t>
      </w:r>
      <w:r w:rsidR="00990E2D">
        <w:fldChar w:fldCharType="begin"/>
      </w:r>
      <w:r w:rsidR="00990E2D">
        <w:instrText xml:space="preserve"> SEQ Obr. \* ARAB</w:instrText>
      </w:r>
      <w:r w:rsidR="00990E2D">
        <w:instrText xml:space="preserve">IC </w:instrText>
      </w:r>
      <w:r w:rsidR="00990E2D">
        <w:fldChar w:fldCharType="separate"/>
      </w:r>
      <w:r w:rsidR="003F08E5">
        <w:rPr>
          <w:noProof/>
        </w:rPr>
        <w:t>19</w:t>
      </w:r>
      <w:r w:rsidR="00990E2D">
        <w:rPr>
          <w:noProof/>
        </w:rPr>
        <w:fldChar w:fldCharType="end"/>
      </w:r>
      <w:bookmarkEnd w:id="166"/>
      <w:r w:rsidRPr="009B68E6">
        <w:tab/>
        <w:t>Procentuální zastoupení organizací respondentů využívajících zahraniční spolupráci nebo podporu ve vybraných oblastech výzkumu</w:t>
      </w:r>
    </w:p>
    <w:p w:rsidR="00C455C7" w:rsidRPr="009B68E6" w:rsidRDefault="00C455C7" w:rsidP="00C455C7">
      <w:r w:rsidRPr="009B68E6">
        <w:t>Mezi další oblasti zahraniční spolupráce uvedené respondenty</w:t>
      </w:r>
      <w:r w:rsidR="009B68E6" w:rsidRPr="009B68E6">
        <w:t>, které jsou zařazeny do skupiny „jiné“</w:t>
      </w:r>
      <w:r w:rsidR="007F0ECE">
        <w:t>,</w:t>
      </w:r>
      <w:r w:rsidRPr="009B68E6">
        <w:t xml:space="preserve"> patří: </w:t>
      </w:r>
    </w:p>
    <w:p w:rsidR="00C455C7" w:rsidRPr="009B68E6" w:rsidRDefault="00C455C7" w:rsidP="004F74B7">
      <w:pPr>
        <w:pStyle w:val="Odstavecseseznamem"/>
        <w:numPr>
          <w:ilvl w:val="0"/>
          <w:numId w:val="3"/>
        </w:numPr>
        <w:spacing w:before="60" w:after="60"/>
        <w:ind w:left="714" w:hanging="357"/>
        <w:contextualSpacing w:val="0"/>
      </w:pPr>
      <w:r w:rsidRPr="009B68E6">
        <w:t>bezpečnost pracovníků v podzemí</w:t>
      </w:r>
    </w:p>
    <w:p w:rsidR="00C455C7" w:rsidRPr="009B68E6" w:rsidRDefault="00C455C7" w:rsidP="004F74B7">
      <w:pPr>
        <w:pStyle w:val="Odstavecseseznamem"/>
        <w:numPr>
          <w:ilvl w:val="0"/>
          <w:numId w:val="3"/>
        </w:numPr>
        <w:spacing w:before="60" w:after="60"/>
        <w:ind w:left="714" w:hanging="357"/>
        <w:contextualSpacing w:val="0"/>
      </w:pPr>
      <w:r w:rsidRPr="009B68E6">
        <w:t>ochrana kritické infrastruktury</w:t>
      </w:r>
    </w:p>
    <w:p w:rsidR="00C455C7" w:rsidRPr="009B68E6" w:rsidRDefault="00C455C7" w:rsidP="004F74B7">
      <w:pPr>
        <w:pStyle w:val="Odstavecseseznamem"/>
        <w:numPr>
          <w:ilvl w:val="0"/>
          <w:numId w:val="3"/>
        </w:numPr>
        <w:spacing w:before="60" w:after="60"/>
        <w:ind w:left="714" w:hanging="357"/>
        <w:contextualSpacing w:val="0"/>
      </w:pPr>
      <w:r w:rsidRPr="009B68E6">
        <w:t>forenzní analýza digitálních dat</w:t>
      </w:r>
    </w:p>
    <w:p w:rsidR="00C455C7" w:rsidRPr="009B68E6" w:rsidRDefault="00C455C7" w:rsidP="004F74B7">
      <w:pPr>
        <w:pStyle w:val="Odstavecseseznamem"/>
        <w:numPr>
          <w:ilvl w:val="0"/>
          <w:numId w:val="3"/>
        </w:numPr>
        <w:spacing w:before="60" w:after="60"/>
        <w:ind w:left="714" w:hanging="357"/>
        <w:contextualSpacing w:val="0"/>
      </w:pPr>
      <w:r w:rsidRPr="009B68E6">
        <w:t>ochrana obyvatelstva, vývoj léků</w:t>
      </w:r>
    </w:p>
    <w:p w:rsidR="00C455C7" w:rsidRPr="009B68E6" w:rsidRDefault="00C455C7" w:rsidP="004F74B7">
      <w:pPr>
        <w:pStyle w:val="Odstavecseseznamem"/>
        <w:numPr>
          <w:ilvl w:val="0"/>
          <w:numId w:val="3"/>
        </w:numPr>
        <w:spacing w:before="60" w:after="60"/>
        <w:ind w:left="714" w:hanging="357"/>
        <w:contextualSpacing w:val="0"/>
      </w:pPr>
      <w:r w:rsidRPr="009B68E6">
        <w:t>rozvoj metod Znalecké služby PČR</w:t>
      </w:r>
    </w:p>
    <w:p w:rsidR="00C455C7" w:rsidRPr="009B68E6" w:rsidRDefault="00C455C7" w:rsidP="004F74B7">
      <w:pPr>
        <w:pStyle w:val="Odstavecseseznamem"/>
        <w:numPr>
          <w:ilvl w:val="0"/>
          <w:numId w:val="3"/>
        </w:numPr>
        <w:spacing w:before="60" w:after="60"/>
        <w:ind w:left="714" w:hanging="357"/>
        <w:contextualSpacing w:val="0"/>
      </w:pPr>
      <w:r w:rsidRPr="009B68E6">
        <w:t>dokumentace místa činu, nehody</w:t>
      </w:r>
    </w:p>
    <w:p w:rsidR="00C455C7" w:rsidRPr="009B68E6" w:rsidRDefault="00C455C7" w:rsidP="004F74B7">
      <w:pPr>
        <w:pStyle w:val="Odstavecseseznamem"/>
        <w:numPr>
          <w:ilvl w:val="0"/>
          <w:numId w:val="3"/>
        </w:numPr>
        <w:spacing w:before="60" w:after="60"/>
        <w:ind w:left="714" w:hanging="357"/>
        <w:contextualSpacing w:val="0"/>
      </w:pPr>
      <w:r w:rsidRPr="009B68E6">
        <w:t>psychosociální pomoc</w:t>
      </w:r>
    </w:p>
    <w:p w:rsidR="00C455C7" w:rsidRPr="009B68E6" w:rsidRDefault="00C455C7" w:rsidP="004F74B7">
      <w:pPr>
        <w:pStyle w:val="Odstavecseseznamem"/>
        <w:numPr>
          <w:ilvl w:val="0"/>
          <w:numId w:val="3"/>
        </w:numPr>
        <w:spacing w:before="60" w:after="60"/>
        <w:ind w:left="714" w:hanging="357"/>
        <w:contextualSpacing w:val="0"/>
      </w:pPr>
      <w:r w:rsidRPr="009B68E6">
        <w:t>ochrana památkových objektů před přírodními katastrofami</w:t>
      </w:r>
    </w:p>
    <w:p w:rsidR="00C455C7" w:rsidRPr="009B68E6" w:rsidRDefault="00C455C7" w:rsidP="004F74B7">
      <w:pPr>
        <w:pStyle w:val="Odstavecseseznamem"/>
        <w:numPr>
          <w:ilvl w:val="0"/>
          <w:numId w:val="3"/>
        </w:numPr>
        <w:spacing w:before="60" w:after="60"/>
        <w:ind w:left="714" w:hanging="357"/>
        <w:contextualSpacing w:val="0"/>
      </w:pPr>
      <w:r w:rsidRPr="009B68E6">
        <w:t>vývoj informačních systémů</w:t>
      </w:r>
    </w:p>
    <w:p w:rsidR="00C455C7" w:rsidRPr="009B68E6" w:rsidRDefault="00C455C7" w:rsidP="004F74B7">
      <w:pPr>
        <w:pStyle w:val="Odstavecseseznamem"/>
        <w:numPr>
          <w:ilvl w:val="0"/>
          <w:numId w:val="3"/>
        </w:numPr>
        <w:spacing w:before="60" w:after="60"/>
        <w:ind w:left="714" w:hanging="357"/>
        <w:contextualSpacing w:val="0"/>
      </w:pPr>
      <w:r w:rsidRPr="009B68E6">
        <w:t>bezdrátová infrastruktura</w:t>
      </w:r>
    </w:p>
    <w:p w:rsidR="00C455C7" w:rsidRPr="009B68E6" w:rsidRDefault="00C455C7" w:rsidP="004F74B7">
      <w:pPr>
        <w:pStyle w:val="Odstavecseseznamem"/>
        <w:numPr>
          <w:ilvl w:val="0"/>
          <w:numId w:val="3"/>
        </w:numPr>
        <w:spacing w:before="60" w:after="60"/>
        <w:ind w:left="714" w:hanging="357"/>
        <w:contextualSpacing w:val="0"/>
      </w:pPr>
      <w:r w:rsidRPr="009B68E6">
        <w:t>ochrana zdraví lidí a zvířat</w:t>
      </w:r>
    </w:p>
    <w:p w:rsidR="00C455C7" w:rsidRPr="009B68E6" w:rsidRDefault="00C455C7" w:rsidP="004F74B7">
      <w:pPr>
        <w:pStyle w:val="Odstavecseseznamem"/>
        <w:numPr>
          <w:ilvl w:val="0"/>
          <w:numId w:val="3"/>
        </w:numPr>
        <w:spacing w:before="60" w:after="60"/>
        <w:ind w:left="714" w:hanging="357"/>
        <w:contextualSpacing w:val="0"/>
      </w:pPr>
      <w:r w:rsidRPr="009B68E6">
        <w:t>opatření pro prevenci požáru a pro krizové řízení</w:t>
      </w:r>
    </w:p>
    <w:p w:rsidR="00C455C7" w:rsidRPr="009B68E6" w:rsidRDefault="00C455C7" w:rsidP="004F74B7">
      <w:pPr>
        <w:pStyle w:val="Odstavecseseznamem"/>
        <w:numPr>
          <w:ilvl w:val="0"/>
          <w:numId w:val="3"/>
        </w:numPr>
        <w:spacing w:before="60" w:after="60"/>
        <w:ind w:left="714" w:hanging="357"/>
        <w:contextualSpacing w:val="0"/>
      </w:pPr>
      <w:r w:rsidRPr="009B68E6">
        <w:t>bezpečnost dopravy</w:t>
      </w:r>
    </w:p>
    <w:p w:rsidR="00C455C7" w:rsidRPr="009B68E6" w:rsidRDefault="00C455C7" w:rsidP="004F74B7">
      <w:pPr>
        <w:pStyle w:val="Odstavecseseznamem"/>
        <w:numPr>
          <w:ilvl w:val="0"/>
          <w:numId w:val="3"/>
        </w:numPr>
        <w:spacing w:before="60" w:after="60"/>
        <w:ind w:left="714" w:hanging="357"/>
        <w:contextualSpacing w:val="0"/>
      </w:pPr>
      <w:r w:rsidRPr="009B68E6">
        <w:t>oblast ekologické bezpečnosti a souběhu rizik z povodní a sucha</w:t>
      </w:r>
    </w:p>
    <w:p w:rsidR="00C455C7" w:rsidRPr="009B68E6" w:rsidRDefault="00C455C7" w:rsidP="004F74B7">
      <w:pPr>
        <w:pStyle w:val="Odstavecseseznamem"/>
        <w:numPr>
          <w:ilvl w:val="0"/>
          <w:numId w:val="3"/>
        </w:numPr>
        <w:spacing w:before="60" w:after="60"/>
        <w:ind w:left="714" w:hanging="357"/>
        <w:contextualSpacing w:val="0"/>
      </w:pPr>
      <w:r w:rsidRPr="009B68E6">
        <w:t>telekomunikace</w:t>
      </w:r>
    </w:p>
    <w:p w:rsidR="00C455C7" w:rsidRPr="009B68E6" w:rsidRDefault="00C455C7" w:rsidP="004F74B7">
      <w:pPr>
        <w:pStyle w:val="Odstavecseseznamem"/>
        <w:numPr>
          <w:ilvl w:val="0"/>
          <w:numId w:val="3"/>
        </w:numPr>
        <w:spacing w:before="60" w:after="60"/>
        <w:ind w:left="714" w:hanging="357"/>
        <w:contextualSpacing w:val="0"/>
      </w:pPr>
      <w:r w:rsidRPr="009B68E6">
        <w:t>jaderná energetika</w:t>
      </w:r>
    </w:p>
    <w:p w:rsidR="00C455C7" w:rsidRDefault="00C455C7" w:rsidP="00C455C7">
      <w:r>
        <w:t xml:space="preserve">V období 2010-2015 nalezly praktické uplatnění v zahraničí výsledky 31 % organizací a mezinárodní patentovou ochranu získaly výsledky 5 % organizací.  V 61 % organizací působí osoba, která se systematicky zabývá podporou rozvoje mezinárodní spolupráce ve výzkumu a ve 46 % organizací působí osoba, která se systematicky zabývá podporou transferu znalostí do / ze zahraničí. </w:t>
      </w:r>
    </w:p>
    <w:p w:rsidR="00443711" w:rsidRDefault="00C455C7" w:rsidP="00C455C7">
      <w:r>
        <w:t xml:space="preserve">Hodnocení nejvýznamnějších faktorů pomáhajících a naopak bránících rozvoji mezinárodní spolupráce v bezpečnostním výzkumu v organizacích respondentů ukazují grafy </w:t>
      </w:r>
      <w:r w:rsidR="00094FC5">
        <w:t xml:space="preserve">na </w:t>
      </w:r>
      <w:r w:rsidR="00094FC5">
        <w:fldChar w:fldCharType="begin"/>
      </w:r>
      <w:r w:rsidR="00094FC5">
        <w:instrText xml:space="preserve"> REF  _Ref454187628 \* Lower \h  \* MERGEFORMAT </w:instrText>
      </w:r>
      <w:r w:rsidR="00094FC5">
        <w:fldChar w:fldCharType="separate"/>
      </w:r>
      <w:r w:rsidR="003F08E5">
        <w:t xml:space="preserve">obr. </w:t>
      </w:r>
      <w:r w:rsidR="003F08E5">
        <w:rPr>
          <w:noProof/>
        </w:rPr>
        <w:t>20</w:t>
      </w:r>
      <w:r w:rsidR="00094FC5">
        <w:fldChar w:fldCharType="end"/>
      </w:r>
      <w:r w:rsidR="00094FC5">
        <w:t xml:space="preserve"> a </w:t>
      </w:r>
      <w:r w:rsidR="00094FC5">
        <w:fldChar w:fldCharType="begin"/>
      </w:r>
      <w:r w:rsidR="00094FC5">
        <w:instrText xml:space="preserve"> REF  _Ref454187631 \* Lower \h  \* MERGEFORMAT </w:instrText>
      </w:r>
      <w:r w:rsidR="00094FC5">
        <w:fldChar w:fldCharType="separate"/>
      </w:r>
      <w:r w:rsidR="003F08E5">
        <w:t xml:space="preserve">obr. </w:t>
      </w:r>
      <w:r w:rsidR="003F08E5">
        <w:rPr>
          <w:noProof/>
        </w:rPr>
        <w:t>21</w:t>
      </w:r>
      <w:r w:rsidR="00094FC5">
        <w:fldChar w:fldCharType="end"/>
      </w:r>
      <w:r>
        <w:t>.</w:t>
      </w:r>
    </w:p>
    <w:p w:rsidR="00443711" w:rsidRDefault="00443711" w:rsidP="00443711"/>
    <w:p w:rsidR="00C455C7" w:rsidRDefault="00C455C7" w:rsidP="00443711"/>
    <w:p w:rsidR="00C455C7" w:rsidRDefault="00C455C7" w:rsidP="00443711"/>
    <w:p w:rsidR="00C455C7" w:rsidRDefault="00C455C7" w:rsidP="00C455C7">
      <w:pPr>
        <w:keepNext/>
        <w:jc w:val="center"/>
      </w:pPr>
      <w:r>
        <w:rPr>
          <w:noProof/>
          <w:lang w:eastAsia="cs-CZ"/>
        </w:rPr>
        <w:lastRenderedPageBreak/>
        <w:drawing>
          <wp:inline distT="0" distB="0" distL="0" distR="0" wp14:anchorId="7E0D491D" wp14:editId="5EBAC65C">
            <wp:extent cx="5095875" cy="2085975"/>
            <wp:effectExtent l="0" t="0" r="9525" b="9525"/>
            <wp:docPr id="65" name="Obrázek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095875" cy="2085975"/>
                    </a:xfrm>
                    <a:prstGeom prst="rect">
                      <a:avLst/>
                    </a:prstGeom>
                    <a:noFill/>
                  </pic:spPr>
                </pic:pic>
              </a:graphicData>
            </a:graphic>
          </wp:inline>
        </w:drawing>
      </w:r>
    </w:p>
    <w:p w:rsidR="00C455C7" w:rsidRDefault="00C455C7" w:rsidP="00C455C7">
      <w:pPr>
        <w:pStyle w:val="Titulek"/>
        <w:jc w:val="both"/>
      </w:pPr>
      <w:bookmarkStart w:id="167" w:name="_Ref454187628"/>
      <w:r>
        <w:t xml:space="preserve">Obr. </w:t>
      </w:r>
      <w:r w:rsidR="00990E2D">
        <w:fldChar w:fldCharType="begin"/>
      </w:r>
      <w:r w:rsidR="00990E2D">
        <w:instrText xml:space="preserve"> SEQ Obr. \* ARABIC </w:instrText>
      </w:r>
      <w:r w:rsidR="00990E2D">
        <w:fldChar w:fldCharType="separate"/>
      </w:r>
      <w:r w:rsidR="003F08E5">
        <w:rPr>
          <w:noProof/>
        </w:rPr>
        <w:t>20</w:t>
      </w:r>
      <w:r w:rsidR="00990E2D">
        <w:rPr>
          <w:noProof/>
        </w:rPr>
        <w:fldChar w:fldCharType="end"/>
      </w:r>
      <w:bookmarkEnd w:id="167"/>
      <w:r>
        <w:tab/>
      </w:r>
      <w:r w:rsidRPr="00C455C7">
        <w:t>Faktory pomáhající rozvoji mezinárodní spolupráce v organizacích respondentů (% respondentů, kteří souhlasí s tím, že daný faktor motivuje nebo motivuje významně rozvoji mezinárodní spolupráce)</w:t>
      </w:r>
    </w:p>
    <w:p w:rsidR="00C455C7" w:rsidRDefault="00C455C7" w:rsidP="00C455C7"/>
    <w:p w:rsidR="00C455C7" w:rsidRDefault="00C455C7" w:rsidP="00C455C7">
      <w:pPr>
        <w:keepNext/>
        <w:jc w:val="center"/>
      </w:pPr>
      <w:r>
        <w:rPr>
          <w:noProof/>
          <w:lang w:eastAsia="cs-CZ"/>
        </w:rPr>
        <w:drawing>
          <wp:inline distT="0" distB="0" distL="0" distR="0" wp14:anchorId="3E5895C2" wp14:editId="67760140">
            <wp:extent cx="5000625" cy="2409825"/>
            <wp:effectExtent l="0" t="0" r="9525" b="9525"/>
            <wp:docPr id="74" name="Obrázek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000625" cy="2409825"/>
                    </a:xfrm>
                    <a:prstGeom prst="rect">
                      <a:avLst/>
                    </a:prstGeom>
                    <a:noFill/>
                  </pic:spPr>
                </pic:pic>
              </a:graphicData>
            </a:graphic>
          </wp:inline>
        </w:drawing>
      </w:r>
    </w:p>
    <w:p w:rsidR="00C455C7" w:rsidRDefault="00C455C7" w:rsidP="00C455C7">
      <w:pPr>
        <w:pStyle w:val="Titulek"/>
        <w:jc w:val="both"/>
      </w:pPr>
      <w:bookmarkStart w:id="168" w:name="_Ref454187631"/>
      <w:r>
        <w:t xml:space="preserve">Obr. </w:t>
      </w:r>
      <w:r w:rsidR="00990E2D">
        <w:fldChar w:fldCharType="begin"/>
      </w:r>
      <w:r w:rsidR="00990E2D">
        <w:instrText xml:space="preserve"> SEQ Obr. \* ARABIC </w:instrText>
      </w:r>
      <w:r w:rsidR="00990E2D">
        <w:fldChar w:fldCharType="separate"/>
      </w:r>
      <w:r w:rsidR="003F08E5">
        <w:rPr>
          <w:noProof/>
        </w:rPr>
        <w:t>21</w:t>
      </w:r>
      <w:r w:rsidR="00990E2D">
        <w:rPr>
          <w:noProof/>
        </w:rPr>
        <w:fldChar w:fldCharType="end"/>
      </w:r>
      <w:bookmarkEnd w:id="168"/>
      <w:r>
        <w:tab/>
      </w:r>
      <w:r w:rsidRPr="00C455C7">
        <w:t>Faktory bránící rozvoji mezinárodní spolupráce v organizacích respondentů (% respondentů, kteří souhlasí s tím, že daný faktor brání nebo brání významně rozvoji mezinárodní spolupráce)</w:t>
      </w:r>
    </w:p>
    <w:p w:rsidR="00C455C7" w:rsidRDefault="00C455C7" w:rsidP="00C455C7">
      <w:r>
        <w:t>Mezi dalšími faktory pomáhajícími rozvoji mezinárodní spolupráce respondenti uvedli:</w:t>
      </w:r>
    </w:p>
    <w:p w:rsidR="00C455C7" w:rsidRDefault="00C455C7" w:rsidP="004F74B7">
      <w:pPr>
        <w:pStyle w:val="Odstavecseseznamem"/>
        <w:numPr>
          <w:ilvl w:val="0"/>
          <w:numId w:val="3"/>
        </w:numPr>
        <w:spacing w:before="60" w:after="60"/>
        <w:ind w:left="714" w:hanging="357"/>
        <w:contextualSpacing w:val="0"/>
      </w:pPr>
      <w:r>
        <w:t>Přístup ke znalostem, které ještě nebyly publikovány.</w:t>
      </w:r>
    </w:p>
    <w:p w:rsidR="00C455C7" w:rsidRDefault="00C455C7" w:rsidP="004F74B7">
      <w:pPr>
        <w:pStyle w:val="Odstavecseseznamem"/>
        <w:numPr>
          <w:ilvl w:val="0"/>
          <w:numId w:val="3"/>
        </w:numPr>
        <w:spacing w:before="60" w:after="60"/>
        <w:ind w:left="714" w:hanging="357"/>
        <w:contextualSpacing w:val="0"/>
      </w:pPr>
      <w:r>
        <w:t>Uznání vědeckou komunitou, zviditelnit se ve světě</w:t>
      </w:r>
    </w:p>
    <w:p w:rsidR="00C455C7" w:rsidRDefault="00C455C7" w:rsidP="004F74B7">
      <w:pPr>
        <w:pStyle w:val="Odstavecseseznamem"/>
        <w:numPr>
          <w:ilvl w:val="0"/>
          <w:numId w:val="3"/>
        </w:numPr>
        <w:spacing w:before="60" w:after="60"/>
        <w:ind w:left="714" w:hanging="357"/>
        <w:contextualSpacing w:val="0"/>
      </w:pPr>
      <w:r>
        <w:t>Jazyková a další regionální znalost</w:t>
      </w:r>
    </w:p>
    <w:p w:rsidR="00C455C7" w:rsidRDefault="00C455C7" w:rsidP="004F74B7">
      <w:pPr>
        <w:pStyle w:val="Odstavecseseznamem"/>
        <w:numPr>
          <w:ilvl w:val="0"/>
          <w:numId w:val="3"/>
        </w:numPr>
        <w:spacing w:before="60" w:after="60"/>
        <w:ind w:left="714" w:hanging="357"/>
        <w:contextualSpacing w:val="0"/>
      </w:pPr>
      <w:r>
        <w:t>Rozvoj neformální spolupráce na úrovni EU a IAEA</w:t>
      </w:r>
    </w:p>
    <w:p w:rsidR="00C455C7" w:rsidRDefault="00C455C7" w:rsidP="004F74B7">
      <w:pPr>
        <w:pStyle w:val="Odstavecseseznamem"/>
        <w:numPr>
          <w:ilvl w:val="0"/>
          <w:numId w:val="3"/>
        </w:numPr>
        <w:spacing w:before="60" w:after="60"/>
        <w:ind w:left="714" w:hanging="357"/>
        <w:contextualSpacing w:val="0"/>
      </w:pPr>
      <w:r>
        <w:t>Budování měřících a personálních kapacit ke zvládnutí nehod na mezinárodní úrovni</w:t>
      </w:r>
    </w:p>
    <w:p w:rsidR="00C455C7" w:rsidRDefault="00C455C7" w:rsidP="004F74B7">
      <w:pPr>
        <w:pStyle w:val="Odstavecseseznamem"/>
        <w:numPr>
          <w:ilvl w:val="0"/>
          <w:numId w:val="3"/>
        </w:numPr>
        <w:spacing w:before="60" w:after="60"/>
        <w:ind w:left="714" w:hanging="357"/>
        <w:contextualSpacing w:val="0"/>
      </w:pPr>
      <w:r>
        <w:t>Výměna zkušeností, transfer našich technologií do zahraničí</w:t>
      </w:r>
    </w:p>
    <w:p w:rsidR="00C455C7" w:rsidRDefault="00C455C7" w:rsidP="004F74B7">
      <w:pPr>
        <w:pStyle w:val="Odstavecseseznamem"/>
        <w:numPr>
          <w:ilvl w:val="0"/>
          <w:numId w:val="3"/>
        </w:numPr>
        <w:spacing w:before="60" w:after="60"/>
        <w:ind w:left="714" w:hanging="357"/>
        <w:contextualSpacing w:val="0"/>
      </w:pPr>
      <w:r>
        <w:t>Zviditelnění mezi zahraničními potenciálními partnery</w:t>
      </w:r>
    </w:p>
    <w:p w:rsidR="00C455C7" w:rsidRDefault="00C455C7" w:rsidP="00C455C7">
      <w:r>
        <w:t>Mezi dalšími faktory bránícími rozvoji mezinárodní spolupráce respondenti uvedli:</w:t>
      </w:r>
    </w:p>
    <w:p w:rsidR="00C455C7" w:rsidRDefault="00C455C7" w:rsidP="004F74B7">
      <w:pPr>
        <w:pStyle w:val="Odstavecseseznamem"/>
        <w:numPr>
          <w:ilvl w:val="0"/>
          <w:numId w:val="3"/>
        </w:numPr>
        <w:spacing w:before="60" w:after="60"/>
        <w:ind w:left="714" w:hanging="357"/>
        <w:contextualSpacing w:val="0"/>
      </w:pPr>
      <w:r>
        <w:t>Nastavení zejména evropských projektů tak, že samotná spolupráce je výrazně důležitější než výsledek. Reálná efektivita mezinárodní spolupráce, tak jak je preferována, je spíše nízká.</w:t>
      </w:r>
    </w:p>
    <w:p w:rsidR="00C455C7" w:rsidRDefault="00C455C7" w:rsidP="004F74B7">
      <w:pPr>
        <w:pStyle w:val="Odstavecseseznamem"/>
        <w:numPr>
          <w:ilvl w:val="0"/>
          <w:numId w:val="3"/>
        </w:numPr>
        <w:spacing w:before="60" w:after="60"/>
        <w:ind w:left="714" w:hanging="357"/>
        <w:contextualSpacing w:val="0"/>
      </w:pPr>
      <w:r>
        <w:lastRenderedPageBreak/>
        <w:t>V oblasti bezpečnosti nejsou vždy zahraniční agentury ochotny podporovat výzkum v ČR. Raději podporují domácí instituce.</w:t>
      </w:r>
    </w:p>
    <w:p w:rsidR="00C455C7" w:rsidRDefault="00C455C7" w:rsidP="004F74B7">
      <w:pPr>
        <w:pStyle w:val="Odstavecseseznamem"/>
        <w:numPr>
          <w:ilvl w:val="0"/>
          <w:numId w:val="3"/>
        </w:numPr>
        <w:spacing w:before="60" w:after="60"/>
        <w:ind w:left="714" w:hanging="357"/>
        <w:contextualSpacing w:val="0"/>
      </w:pPr>
      <w:r>
        <w:t>Nedostatek společných financí</w:t>
      </w:r>
    </w:p>
    <w:p w:rsidR="00C455C7" w:rsidRDefault="00C455C7" w:rsidP="00C455C7">
      <w:r>
        <w:t>Se současnou mírou zapojení své organizace do mezinárodní spolupráce v rámci bezpečnostního výzkumu je spokojeno pouze 23 % respondentů.</w:t>
      </w:r>
    </w:p>
    <w:p w:rsidR="0048365D" w:rsidRDefault="0048365D" w:rsidP="0048365D">
      <w:pPr>
        <w:pStyle w:val="Nadpis4"/>
      </w:pPr>
      <w:bookmarkStart w:id="169" w:name="_Toc459723308"/>
      <w:r>
        <w:t>Zjištění z expertního workshopu</w:t>
      </w:r>
      <w:bookmarkEnd w:id="169"/>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9354"/>
      </w:tblGrid>
      <w:tr w:rsidR="0048365D" w:rsidTr="002823D5">
        <w:tc>
          <w:tcPr>
            <w:tcW w:w="9354" w:type="dxa"/>
            <w:shd w:val="clear" w:color="auto" w:fill="F2F2F2" w:themeFill="background1" w:themeFillShade="F2"/>
          </w:tcPr>
          <w:p w:rsidR="0048365D" w:rsidRDefault="0048365D" w:rsidP="0048365D">
            <w:r w:rsidRPr="0048365D">
              <w:t>Jako nejvýznamnější překážku pro rozvoj mezinárodní spolupráce vidí experti ve shodě s výzkumníky obavu z administrativní náročnost i mezinárodní spolupráce.</w:t>
            </w:r>
          </w:p>
        </w:tc>
      </w:tr>
    </w:tbl>
    <w:p w:rsidR="0092702F" w:rsidRDefault="001A4978" w:rsidP="00443711">
      <w:r w:rsidRPr="001A4978">
        <w:t xml:space="preserve">Hodnocení významnosti vybraných překážek pro zapojení českých subjektů do mezinárodní spolupráce v bezpečnostním výzkumu provedené experty v rámci workshopu ukazuje graf </w:t>
      </w:r>
      <w:r>
        <w:t xml:space="preserve">na </w:t>
      </w:r>
      <w:r>
        <w:fldChar w:fldCharType="begin"/>
      </w:r>
      <w:r>
        <w:instrText xml:space="preserve"> REF  _Ref454188248 \* Lower \h  \* MERGEFORMAT </w:instrText>
      </w:r>
      <w:r>
        <w:fldChar w:fldCharType="separate"/>
      </w:r>
      <w:r w:rsidR="003F08E5">
        <w:t xml:space="preserve">obr. </w:t>
      </w:r>
      <w:r w:rsidR="003F08E5">
        <w:rPr>
          <w:noProof/>
        </w:rPr>
        <w:t>22</w:t>
      </w:r>
      <w:r>
        <w:fldChar w:fldCharType="end"/>
      </w:r>
      <w:r w:rsidRPr="001A4978">
        <w:t>.</w:t>
      </w:r>
    </w:p>
    <w:p w:rsidR="001A4978" w:rsidRDefault="001A4978" w:rsidP="001A4978">
      <w:pPr>
        <w:keepNext/>
        <w:jc w:val="center"/>
      </w:pPr>
      <w:r>
        <w:rPr>
          <w:noProof/>
          <w:lang w:eastAsia="cs-CZ"/>
        </w:rPr>
        <w:drawing>
          <wp:inline distT="0" distB="0" distL="0" distR="0" wp14:anchorId="351AE2EC" wp14:editId="63803613">
            <wp:extent cx="4791075" cy="2905125"/>
            <wp:effectExtent l="0" t="0" r="9525" b="9525"/>
            <wp:docPr id="79" name="Obrázek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4791075" cy="2905125"/>
                    </a:xfrm>
                    <a:prstGeom prst="rect">
                      <a:avLst/>
                    </a:prstGeom>
                    <a:noFill/>
                  </pic:spPr>
                </pic:pic>
              </a:graphicData>
            </a:graphic>
          </wp:inline>
        </w:drawing>
      </w:r>
    </w:p>
    <w:p w:rsidR="001A4978" w:rsidRDefault="001A4978" w:rsidP="001A4978">
      <w:pPr>
        <w:pStyle w:val="Titulek"/>
        <w:jc w:val="both"/>
      </w:pPr>
      <w:bookmarkStart w:id="170" w:name="_Ref454188248"/>
      <w:r>
        <w:t xml:space="preserve">Obr. </w:t>
      </w:r>
      <w:r w:rsidR="00990E2D">
        <w:fldChar w:fldCharType="begin"/>
      </w:r>
      <w:r w:rsidR="00990E2D">
        <w:instrText xml:space="preserve"> SEQ Obr. \* ARABIC </w:instrText>
      </w:r>
      <w:r w:rsidR="00990E2D">
        <w:fldChar w:fldCharType="separate"/>
      </w:r>
      <w:r w:rsidR="003F08E5">
        <w:rPr>
          <w:noProof/>
        </w:rPr>
        <w:t>22</w:t>
      </w:r>
      <w:r w:rsidR="00990E2D">
        <w:rPr>
          <w:noProof/>
        </w:rPr>
        <w:fldChar w:fldCharType="end"/>
      </w:r>
      <w:bookmarkEnd w:id="170"/>
      <w:r>
        <w:tab/>
      </w:r>
      <w:r w:rsidRPr="001A4978">
        <w:t>Významnost překážek pro rozvoj mezinárodní spolupráce (počty hlasů expertů)</w:t>
      </w:r>
    </w:p>
    <w:p w:rsidR="001A4978" w:rsidRDefault="001A4978" w:rsidP="001A4978"/>
    <w:p w:rsidR="001A4978" w:rsidRDefault="001A4978" w:rsidP="001A4978">
      <w:r>
        <w:t>Jako další významné překážky experti uvedli:</w:t>
      </w:r>
    </w:p>
    <w:p w:rsidR="001A4978" w:rsidRDefault="001A4978" w:rsidP="004F74B7">
      <w:pPr>
        <w:pStyle w:val="Odstavecseseznamem"/>
        <w:numPr>
          <w:ilvl w:val="0"/>
          <w:numId w:val="3"/>
        </w:numPr>
        <w:spacing w:before="60" w:after="60"/>
        <w:ind w:left="714" w:hanging="357"/>
        <w:contextualSpacing w:val="0"/>
      </w:pPr>
      <w:r>
        <w:t xml:space="preserve">Nedostatek grantových výzev a jejich formální náročnost </w:t>
      </w:r>
    </w:p>
    <w:p w:rsidR="001A4978" w:rsidRDefault="001A4978" w:rsidP="004F74B7">
      <w:pPr>
        <w:pStyle w:val="Odstavecseseznamem"/>
        <w:numPr>
          <w:ilvl w:val="0"/>
          <w:numId w:val="3"/>
        </w:numPr>
        <w:spacing w:before="60" w:after="60"/>
        <w:ind w:left="714" w:hanging="357"/>
        <w:contextualSpacing w:val="0"/>
      </w:pPr>
      <w:r>
        <w:t>Omezené zdroje financování / spolufinancování</w:t>
      </w:r>
    </w:p>
    <w:p w:rsidR="001A4978" w:rsidRDefault="001A4978" w:rsidP="004F74B7">
      <w:pPr>
        <w:pStyle w:val="Odstavecseseznamem"/>
        <w:numPr>
          <w:ilvl w:val="0"/>
          <w:numId w:val="3"/>
        </w:numPr>
        <w:spacing w:before="60" w:after="60"/>
        <w:ind w:left="714" w:hanging="357"/>
        <w:contextualSpacing w:val="0"/>
      </w:pPr>
      <w:r>
        <w:t>Jazyková bariéra</w:t>
      </w:r>
    </w:p>
    <w:p w:rsidR="001A4978" w:rsidRDefault="001A4978" w:rsidP="004F74B7">
      <w:pPr>
        <w:pStyle w:val="Odstavecseseznamem"/>
        <w:numPr>
          <w:ilvl w:val="0"/>
          <w:numId w:val="3"/>
        </w:numPr>
        <w:spacing w:before="60" w:after="60"/>
        <w:ind w:left="714" w:hanging="357"/>
        <w:contextualSpacing w:val="0"/>
      </w:pPr>
      <w:r>
        <w:t>Rigidita stávajících organizačních struktur</w:t>
      </w:r>
    </w:p>
    <w:p w:rsidR="001A4978" w:rsidRDefault="001A4978" w:rsidP="004F74B7">
      <w:pPr>
        <w:pStyle w:val="Odstavecseseznamem"/>
        <w:numPr>
          <w:ilvl w:val="0"/>
          <w:numId w:val="3"/>
        </w:numPr>
        <w:spacing w:before="60" w:after="60"/>
        <w:ind w:left="714" w:hanging="357"/>
        <w:contextualSpacing w:val="0"/>
      </w:pPr>
      <w:r>
        <w:t>Nedostatečná motivace českých partnerů</w:t>
      </w:r>
    </w:p>
    <w:p w:rsidR="001A4978" w:rsidRDefault="001A4978" w:rsidP="004F74B7">
      <w:pPr>
        <w:pStyle w:val="Odstavecseseznamem"/>
        <w:numPr>
          <w:ilvl w:val="0"/>
          <w:numId w:val="3"/>
        </w:numPr>
        <w:spacing w:before="60" w:after="60"/>
        <w:ind w:left="714" w:hanging="357"/>
        <w:contextualSpacing w:val="0"/>
      </w:pPr>
      <w:r>
        <w:t>Nezájem koncových uživatelů BV o účast v projektech</w:t>
      </w:r>
    </w:p>
    <w:p w:rsidR="001A4978" w:rsidRDefault="001A4978" w:rsidP="004F74B7">
      <w:pPr>
        <w:pStyle w:val="Odstavecseseznamem"/>
        <w:numPr>
          <w:ilvl w:val="0"/>
          <w:numId w:val="3"/>
        </w:numPr>
        <w:spacing w:before="60" w:after="60"/>
        <w:ind w:left="714" w:hanging="357"/>
        <w:contextualSpacing w:val="0"/>
      </w:pPr>
      <w:r>
        <w:t>Nedostatek programů (grantů) pro přípravu projektů (velkého rozsahu typu H2020)</w:t>
      </w:r>
    </w:p>
    <w:p w:rsidR="001A4978" w:rsidRDefault="001A4978" w:rsidP="001A4978">
      <w:r>
        <w:t xml:space="preserve">Hodnocení prospěšnosti zavedení nebo rozšíření vybraných služeb pro výzkumné organizace na podporu mezinárodní spolupráce v bezpečnostním výzkumu provedené experty v rámci workshopu ukazuje graf na </w:t>
      </w:r>
      <w:r>
        <w:fldChar w:fldCharType="begin"/>
      </w:r>
      <w:r>
        <w:instrText xml:space="preserve"> REF  _Ref454188376 \* Lower \h  \* MERGEFORMAT </w:instrText>
      </w:r>
      <w:r>
        <w:fldChar w:fldCharType="separate"/>
      </w:r>
      <w:r w:rsidR="003F08E5">
        <w:t xml:space="preserve">obr. </w:t>
      </w:r>
      <w:r w:rsidR="003F08E5">
        <w:rPr>
          <w:noProof/>
        </w:rPr>
        <w:t>23</w:t>
      </w:r>
      <w:r>
        <w:fldChar w:fldCharType="end"/>
      </w:r>
      <w:r>
        <w:t>.</w:t>
      </w:r>
    </w:p>
    <w:p w:rsidR="001A4978" w:rsidRDefault="001A4978" w:rsidP="001A4978">
      <w:pPr>
        <w:keepNext/>
        <w:jc w:val="center"/>
      </w:pPr>
      <w:r>
        <w:rPr>
          <w:noProof/>
          <w:lang w:eastAsia="cs-CZ"/>
        </w:rPr>
        <w:lastRenderedPageBreak/>
        <w:drawing>
          <wp:inline distT="0" distB="0" distL="0" distR="0" wp14:anchorId="48A75589" wp14:editId="5689526B">
            <wp:extent cx="5343525" cy="2714625"/>
            <wp:effectExtent l="0" t="0" r="9525" b="9525"/>
            <wp:docPr id="82" name="Obrázek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343525" cy="2714625"/>
                    </a:xfrm>
                    <a:prstGeom prst="rect">
                      <a:avLst/>
                    </a:prstGeom>
                    <a:noFill/>
                  </pic:spPr>
                </pic:pic>
              </a:graphicData>
            </a:graphic>
          </wp:inline>
        </w:drawing>
      </w:r>
    </w:p>
    <w:p w:rsidR="001A4978" w:rsidRDefault="001A4978" w:rsidP="001A4978">
      <w:pPr>
        <w:pStyle w:val="Titulek"/>
        <w:jc w:val="both"/>
      </w:pPr>
      <w:bookmarkStart w:id="171" w:name="_Ref454188376"/>
      <w:r>
        <w:t xml:space="preserve">Obr. </w:t>
      </w:r>
      <w:r w:rsidR="00990E2D">
        <w:fldChar w:fldCharType="begin"/>
      </w:r>
      <w:r w:rsidR="00990E2D">
        <w:instrText xml:space="preserve"> SEQ Obr. \* ARABIC </w:instrText>
      </w:r>
      <w:r w:rsidR="00990E2D">
        <w:fldChar w:fldCharType="separate"/>
      </w:r>
      <w:r w:rsidR="003F08E5">
        <w:rPr>
          <w:noProof/>
        </w:rPr>
        <w:t>23</w:t>
      </w:r>
      <w:r w:rsidR="00990E2D">
        <w:rPr>
          <w:noProof/>
        </w:rPr>
        <w:fldChar w:fldCharType="end"/>
      </w:r>
      <w:bookmarkEnd w:id="171"/>
      <w:r>
        <w:tab/>
      </w:r>
      <w:r w:rsidRPr="001A4978">
        <w:t>Prospěšnost služeb pro výzkumné organizace na podporu mezinárodní spolupráce (počty hlasů expertů)</w:t>
      </w:r>
    </w:p>
    <w:p w:rsidR="00BD14D8" w:rsidRPr="00BD14D8" w:rsidRDefault="00BD14D8" w:rsidP="00BD14D8"/>
    <w:p w:rsidR="001A4978" w:rsidRDefault="001A4978" w:rsidP="001A4978">
      <w:r>
        <w:t>Jako další účinné možnosti podpory experti uvedli:</w:t>
      </w:r>
    </w:p>
    <w:p w:rsidR="001A4978" w:rsidRDefault="001A4978" w:rsidP="004F74B7">
      <w:pPr>
        <w:pStyle w:val="Odstavecseseznamem"/>
        <w:numPr>
          <w:ilvl w:val="0"/>
          <w:numId w:val="3"/>
        </w:numPr>
        <w:spacing w:before="60" w:after="60"/>
        <w:ind w:left="714" w:hanging="357"/>
        <w:contextualSpacing w:val="0"/>
      </w:pPr>
      <w:r>
        <w:t>Propagace českých výsledků VaV v zahraničí</w:t>
      </w:r>
    </w:p>
    <w:p w:rsidR="001A4978" w:rsidRDefault="001A4978" w:rsidP="004F74B7">
      <w:pPr>
        <w:pStyle w:val="Odstavecseseznamem"/>
        <w:numPr>
          <w:ilvl w:val="0"/>
          <w:numId w:val="3"/>
        </w:numPr>
        <w:spacing w:before="60" w:after="60"/>
        <w:ind w:left="714" w:hanging="357"/>
        <w:contextualSpacing w:val="0"/>
      </w:pPr>
      <w:r>
        <w:t>Podpora výměnných studijních a pracovních pobytů</w:t>
      </w:r>
    </w:p>
    <w:p w:rsidR="001A4978" w:rsidRDefault="001A4978" w:rsidP="004F74B7">
      <w:pPr>
        <w:pStyle w:val="Odstavecseseznamem"/>
        <w:numPr>
          <w:ilvl w:val="0"/>
          <w:numId w:val="3"/>
        </w:numPr>
        <w:spacing w:before="60" w:after="60"/>
        <w:ind w:left="714" w:hanging="357"/>
        <w:contextualSpacing w:val="0"/>
      </w:pPr>
      <w:r>
        <w:t>Podpora účasti na mezinárodních fórech a konferencích</w:t>
      </w:r>
    </w:p>
    <w:p w:rsidR="001A4978" w:rsidRDefault="001A4978" w:rsidP="001A4978">
      <w:r>
        <w:t>Další komentáře expertů k problematice podpory mezinárodní spolupráce v bezpečnostním výzkumu:</w:t>
      </w:r>
    </w:p>
    <w:p w:rsidR="001A4978" w:rsidRDefault="001A4978" w:rsidP="004F74B7">
      <w:pPr>
        <w:pStyle w:val="Odstavecseseznamem"/>
        <w:numPr>
          <w:ilvl w:val="0"/>
          <w:numId w:val="3"/>
        </w:numPr>
        <w:spacing w:before="60" w:after="60"/>
        <w:ind w:left="714" w:hanging="357"/>
        <w:contextualSpacing w:val="0"/>
      </w:pPr>
      <w:r>
        <w:t xml:space="preserve">Je paradox, že dochází k financování VaV v oblastech, kde již existují přímo použitelné zahraniční výsledky. Efektivnější by bylo zadávat výzkumné úkoly přímo k jejich převzetí. </w:t>
      </w:r>
    </w:p>
    <w:p w:rsidR="0092702F" w:rsidRDefault="001A4978" w:rsidP="004F74B7">
      <w:pPr>
        <w:pStyle w:val="Odstavecseseznamem"/>
        <w:numPr>
          <w:ilvl w:val="0"/>
          <w:numId w:val="3"/>
        </w:numPr>
        <w:spacing w:before="60" w:after="60"/>
        <w:ind w:left="714" w:hanging="357"/>
        <w:contextualSpacing w:val="0"/>
      </w:pPr>
      <w:r>
        <w:t>Pokud řeší všechny státy stejné problémy, bylo by daleko schůdnější si práci rozdělit.</w:t>
      </w:r>
    </w:p>
    <w:p w:rsidR="001A4978" w:rsidRPr="00443711" w:rsidRDefault="001A4978" w:rsidP="00443711"/>
    <w:p w:rsidR="00BB318F" w:rsidRDefault="009513E8" w:rsidP="00BB318F">
      <w:pPr>
        <w:pStyle w:val="Nadpis2"/>
      </w:pPr>
      <w:bookmarkStart w:id="172" w:name="_Toc459723309"/>
      <w:r>
        <w:t>S</w:t>
      </w:r>
      <w:r w:rsidR="00BB318F">
        <w:t>iln</w:t>
      </w:r>
      <w:r>
        <w:t>á</w:t>
      </w:r>
      <w:r w:rsidR="00BB318F">
        <w:t xml:space="preserve"> a slab</w:t>
      </w:r>
      <w:r>
        <w:t>á</w:t>
      </w:r>
      <w:r w:rsidR="00BB318F">
        <w:t xml:space="preserve"> témat</w:t>
      </w:r>
      <w:r>
        <w:t>a</w:t>
      </w:r>
      <w:r w:rsidR="00BB318F">
        <w:t xml:space="preserve"> pro bezpečnostní výzkum</w:t>
      </w:r>
      <w:bookmarkEnd w:id="172"/>
      <w:r w:rsidR="00BB318F">
        <w:t xml:space="preserve"> </w:t>
      </w:r>
    </w:p>
    <w:p w:rsidR="00BB318F" w:rsidRDefault="00BB318F" w:rsidP="00BB318F">
      <w:pPr>
        <w:pStyle w:val="Nadpis3"/>
      </w:pPr>
      <w:bookmarkStart w:id="173" w:name="_Ref454285163"/>
      <w:bookmarkStart w:id="174" w:name="_Toc459723310"/>
      <w:r>
        <w:t>Silná a slabá témata z analýzy financování a výsledků programů BV</w:t>
      </w:r>
      <w:bookmarkEnd w:id="173"/>
      <w:bookmarkEnd w:id="174"/>
    </w:p>
    <w:tbl>
      <w:tblPr>
        <w:tblStyle w:val="Mkatabulky"/>
        <w:tblW w:w="0" w:type="auto"/>
        <w:tblLook w:val="04A0" w:firstRow="1" w:lastRow="0" w:firstColumn="1" w:lastColumn="0" w:noHBand="0" w:noVBand="1"/>
      </w:tblPr>
      <w:tblGrid>
        <w:gridCol w:w="9354"/>
      </w:tblGrid>
      <w:tr w:rsidR="00C66918" w:rsidTr="00C66918">
        <w:tc>
          <w:tcPr>
            <w:tcW w:w="9354" w:type="dxa"/>
            <w:shd w:val="clear" w:color="auto" w:fill="F2F2F2" w:themeFill="background1" w:themeFillShade="F2"/>
          </w:tcPr>
          <w:p w:rsidR="009414CD" w:rsidRDefault="00C66918" w:rsidP="00C66918">
            <w:r>
              <w:t>Z porovnání veřejných výdajů v programech BV realizovaných MV v letech 2010 – 2015 a jejich výsledků uvedených v IS VaVaI vyplývá, že mezi siln</w:t>
            </w:r>
            <w:r w:rsidR="00CD169C">
              <w:t>é</w:t>
            </w:r>
            <w:r>
              <w:t xml:space="preserve"> </w:t>
            </w:r>
            <w:r w:rsidR="00CD169C">
              <w:t>obory</w:t>
            </w:r>
            <w:r>
              <w:t xml:space="preserve"> BV patří</w:t>
            </w:r>
            <w:r w:rsidR="009414CD">
              <w:t>:</w:t>
            </w:r>
          </w:p>
          <w:p w:rsidR="009414CD" w:rsidRDefault="009414CD" w:rsidP="009414CD">
            <w:pPr>
              <w:pStyle w:val="Odstavecseseznamem"/>
              <w:numPr>
                <w:ilvl w:val="0"/>
                <w:numId w:val="3"/>
              </w:numPr>
              <w:spacing w:before="60" w:after="60"/>
              <w:ind w:left="714" w:hanging="357"/>
              <w:contextualSpacing w:val="0"/>
            </w:pPr>
            <w:r>
              <w:t>Průmysl (J);</w:t>
            </w:r>
          </w:p>
          <w:p w:rsidR="009414CD" w:rsidRDefault="009414CD" w:rsidP="009414CD">
            <w:pPr>
              <w:pStyle w:val="Odstavecseseznamem"/>
              <w:numPr>
                <w:ilvl w:val="0"/>
                <w:numId w:val="3"/>
              </w:numPr>
              <w:spacing w:before="60" w:after="60"/>
              <w:ind w:left="714" w:hanging="357"/>
              <w:contextualSpacing w:val="0"/>
            </w:pPr>
            <w:r>
              <w:t>Chemie (C);</w:t>
            </w:r>
          </w:p>
          <w:p w:rsidR="009414CD" w:rsidRDefault="009414CD" w:rsidP="009414CD">
            <w:pPr>
              <w:pStyle w:val="Odstavecseseznamem"/>
              <w:numPr>
                <w:ilvl w:val="0"/>
                <w:numId w:val="3"/>
              </w:numPr>
              <w:spacing w:before="60" w:after="60"/>
              <w:ind w:left="714" w:hanging="357"/>
              <w:contextualSpacing w:val="0"/>
            </w:pPr>
            <w:r>
              <w:t>Vědy o zemi (D);</w:t>
            </w:r>
          </w:p>
          <w:p w:rsidR="009414CD" w:rsidRDefault="009414CD" w:rsidP="009414CD">
            <w:pPr>
              <w:pStyle w:val="Odstavecseseznamem"/>
              <w:numPr>
                <w:ilvl w:val="0"/>
                <w:numId w:val="3"/>
              </w:numPr>
              <w:spacing w:before="60" w:after="60"/>
              <w:ind w:left="714" w:hanging="357"/>
              <w:contextualSpacing w:val="0"/>
            </w:pPr>
            <w:r>
              <w:t xml:space="preserve">Společenské vědy (A), a to zejména obor </w:t>
            </w:r>
            <w:r w:rsidR="00CD169C">
              <w:t>B</w:t>
            </w:r>
            <w:r>
              <w:t>ezpečnost a ochrana zdr</w:t>
            </w:r>
            <w:r w:rsidR="001B747B">
              <w:t>a</w:t>
            </w:r>
            <w:r>
              <w:t>ví, člověk – stroj (AQ);</w:t>
            </w:r>
          </w:p>
          <w:p w:rsidR="00C66918" w:rsidRDefault="009414CD" w:rsidP="009414CD">
            <w:pPr>
              <w:pStyle w:val="Odstavecseseznamem"/>
              <w:numPr>
                <w:ilvl w:val="0"/>
                <w:numId w:val="3"/>
              </w:numPr>
              <w:spacing w:before="60" w:after="60"/>
              <w:ind w:left="714" w:hanging="357"/>
              <w:contextualSpacing w:val="0"/>
            </w:pPr>
            <w:r>
              <w:t>informatika (I)</w:t>
            </w:r>
            <w:r w:rsidR="00C66918">
              <w:t>.</w:t>
            </w:r>
          </w:p>
          <w:p w:rsidR="009414CD" w:rsidRPr="00C66918" w:rsidRDefault="009414CD" w:rsidP="00D257CA">
            <w:r>
              <w:t xml:space="preserve">Za slabé obory v programech BV je možné považovat fyziku a matematiku, lékařské obory a zemědělství. Lékařské obory je však nutné považovat za </w:t>
            </w:r>
            <w:r w:rsidR="00D257CA">
              <w:t xml:space="preserve">relativně </w:t>
            </w:r>
            <w:r>
              <w:t xml:space="preserve">slabé pouze v programech BV, nikoli v kontextu </w:t>
            </w:r>
            <w:r w:rsidR="001B747B">
              <w:t>bezpečnostně zaměřeného VaV v ČR.</w:t>
            </w:r>
            <w:r>
              <w:t xml:space="preserve"> </w:t>
            </w:r>
          </w:p>
        </w:tc>
      </w:tr>
    </w:tbl>
    <w:p w:rsidR="00594622" w:rsidRDefault="00594622" w:rsidP="00594622">
      <w:r>
        <w:t xml:space="preserve">Pro stanovení silných a slabých témat v programech BV realizovaných MV v letech 2010 až 2015 byla využita </w:t>
      </w:r>
      <w:r w:rsidR="001833DC">
        <w:t xml:space="preserve">oborová </w:t>
      </w:r>
      <w:r>
        <w:t xml:space="preserve">analýza veřejných výdajů v programech BV a výsledků projektů řešených v těchto </w:t>
      </w:r>
      <w:r>
        <w:lastRenderedPageBreak/>
        <w:t>programech. Přehledné shrnutí oborového rozdělení veřejné podpory poskytnuté v programech BV a vytvořených výsledků publikačního i aplikačního typu je uveden</w:t>
      </w:r>
      <w:r w:rsidR="001833DC">
        <w:t>o</w:t>
      </w:r>
      <w:r>
        <w:t xml:space="preserve"> v </w:t>
      </w:r>
      <w:r>
        <w:fldChar w:fldCharType="begin"/>
      </w:r>
      <w:r>
        <w:instrText xml:space="preserve"> REF  _Ref454281186 \* Lower \h  \* MERGEFORMAT </w:instrText>
      </w:r>
      <w:r>
        <w:fldChar w:fldCharType="separate"/>
      </w:r>
      <w:r w:rsidR="003F08E5">
        <w:t xml:space="preserve">tab. </w:t>
      </w:r>
      <w:r w:rsidR="003F08E5">
        <w:rPr>
          <w:noProof/>
        </w:rPr>
        <w:t>46</w:t>
      </w:r>
      <w:r>
        <w:fldChar w:fldCharType="end"/>
      </w:r>
      <w:r>
        <w:t>.</w:t>
      </w:r>
    </w:p>
    <w:p w:rsidR="001B747B" w:rsidRDefault="00594622" w:rsidP="00594622">
      <w:r>
        <w:t xml:space="preserve">Z porovnání v </w:t>
      </w:r>
      <w:r>
        <w:fldChar w:fldCharType="begin"/>
      </w:r>
      <w:r>
        <w:instrText xml:space="preserve"> REF  _Ref454281186 \* Lower \h  \* MERGEFORMAT </w:instrText>
      </w:r>
      <w:r>
        <w:fldChar w:fldCharType="separate"/>
      </w:r>
      <w:r w:rsidR="003F08E5">
        <w:t xml:space="preserve">tab. </w:t>
      </w:r>
      <w:r w:rsidR="003F08E5">
        <w:rPr>
          <w:noProof/>
        </w:rPr>
        <w:t>46</w:t>
      </w:r>
      <w:r>
        <w:fldChar w:fldCharType="end"/>
      </w:r>
      <w:r>
        <w:t xml:space="preserve"> vyplývá, že nejsilnějším oborem byl obor J – Průmysl. Do průmyslových oborů směřovala nejvyšší část veřejné podpory poskytnut</w:t>
      </w:r>
      <w:r w:rsidR="001833DC">
        <w:t>á</w:t>
      </w:r>
      <w:r>
        <w:t xml:space="preserve"> v programech BV, a zároveň zde </w:t>
      </w:r>
      <w:r w:rsidR="00C2177D">
        <w:t xml:space="preserve">v řešených projektech </w:t>
      </w:r>
      <w:r>
        <w:t xml:space="preserve">vzniklo nejvíce výsledků. V průmyslových oborech </w:t>
      </w:r>
      <w:r w:rsidR="00C2177D">
        <w:t xml:space="preserve">bylo </w:t>
      </w:r>
      <w:r>
        <w:t xml:space="preserve">také </w:t>
      </w:r>
      <w:r w:rsidR="00C2177D">
        <w:t>vytvořeno</w:t>
      </w:r>
      <w:r>
        <w:t xml:space="preserve"> nejvíce výsledků aplikačního typu, což souvisí zejména s charakterem VaV v těchto oborech.</w:t>
      </w:r>
    </w:p>
    <w:p w:rsidR="00594622" w:rsidRDefault="00594622" w:rsidP="00594622">
      <w:r>
        <w:t xml:space="preserve">Dalšími silnými obory podle </w:t>
      </w:r>
      <w:r w:rsidR="00836805">
        <w:t>veřejných výdajů</w:t>
      </w:r>
      <w:r>
        <w:t xml:space="preserve"> </w:t>
      </w:r>
      <w:r w:rsidR="001B747B">
        <w:t>jsou chemie (C) a vědy o Zemi (D), do kterých směřovala necelá polovina veřejných prostředků ve srovnání s</w:t>
      </w:r>
      <w:r w:rsidR="00C2177D">
        <w:t> </w:t>
      </w:r>
      <w:r w:rsidR="001B747B">
        <w:t>průmysl</w:t>
      </w:r>
      <w:r w:rsidR="00C2177D">
        <w:t>ovými obory</w:t>
      </w:r>
      <w:r w:rsidR="001B747B">
        <w:t xml:space="preserve"> (viz </w:t>
      </w:r>
      <w:r w:rsidR="001B747B">
        <w:fldChar w:fldCharType="begin"/>
      </w:r>
      <w:r w:rsidR="001B747B">
        <w:instrText xml:space="preserve"> REF  _Ref454281186 \* Lower \h  \* MERGEFORMAT </w:instrText>
      </w:r>
      <w:r w:rsidR="001B747B">
        <w:fldChar w:fldCharType="separate"/>
      </w:r>
      <w:r w:rsidR="003F08E5">
        <w:t xml:space="preserve">tab. </w:t>
      </w:r>
      <w:r w:rsidR="003F08E5">
        <w:rPr>
          <w:noProof/>
        </w:rPr>
        <w:t>46</w:t>
      </w:r>
      <w:r w:rsidR="001B747B">
        <w:fldChar w:fldCharType="end"/>
      </w:r>
      <w:r w:rsidR="001B747B">
        <w:t xml:space="preserve">). Počet výsledků je však poněkud nižší – publikačních výsledků je ve srovnání s oborem průmysl pouze třetina, aplikačních výsledků ještě méně (zhruba desetina). </w:t>
      </w:r>
      <w:r w:rsidR="009414CD">
        <w:t xml:space="preserve">Mezi silné </w:t>
      </w:r>
      <w:r>
        <w:t>obor</w:t>
      </w:r>
      <w:r w:rsidR="009414CD">
        <w:t xml:space="preserve">y lze zařadit i </w:t>
      </w:r>
      <w:r>
        <w:t>informatik</w:t>
      </w:r>
      <w:r w:rsidR="009414CD">
        <w:t>u</w:t>
      </w:r>
      <w:r w:rsidR="001B747B">
        <w:t xml:space="preserve">, kam sice směřovala menší část veřejné podpory než v předcházejících dvou oborech, ale počet publikačních výsledků je vyšší. </w:t>
      </w:r>
    </w:p>
    <w:p w:rsidR="001B747B" w:rsidRDefault="001B747B" w:rsidP="00594622">
      <w:r>
        <w:t xml:space="preserve">Velmi sinými obory jsou společenské vědy (A). Pokud se však z oboru A vyčlení obor AQ (bezpečnost a ochrana zdraví, člověk – stroj), </w:t>
      </w:r>
      <w:r w:rsidR="00C2177D">
        <w:t xml:space="preserve">do něhož </w:t>
      </w:r>
      <w:r w:rsidR="00C2177D" w:rsidRPr="00C2177D">
        <w:t>jsou přiřazována i výzkumná témata mimo rámec společenských věd</w:t>
      </w:r>
      <w:r>
        <w:t xml:space="preserve">, výdaje v obou „rozdělených“ oborech jsou poněkud </w:t>
      </w:r>
      <w:r w:rsidR="00C2177D">
        <w:t>men</w:t>
      </w:r>
      <w:r>
        <w:t>ší než ve výše uvedených oborech. Počet výsledků (zejména publikací</w:t>
      </w:r>
      <w:r w:rsidR="00C2177D">
        <w:t>)</w:t>
      </w:r>
      <w:r>
        <w:t xml:space="preserve"> je však velmi vysoký (viz </w:t>
      </w:r>
      <w:r>
        <w:fldChar w:fldCharType="begin"/>
      </w:r>
      <w:r>
        <w:instrText xml:space="preserve"> REF  _Ref454281186 \* Lower \h  \* MERGEFORMAT </w:instrText>
      </w:r>
      <w:r>
        <w:fldChar w:fldCharType="separate"/>
      </w:r>
      <w:r w:rsidR="003F08E5">
        <w:t xml:space="preserve">tab. </w:t>
      </w:r>
      <w:r w:rsidR="003F08E5">
        <w:rPr>
          <w:noProof/>
        </w:rPr>
        <w:t>46</w:t>
      </w:r>
      <w:r>
        <w:fldChar w:fldCharType="end"/>
      </w:r>
      <w:r>
        <w:t>).</w:t>
      </w:r>
    </w:p>
    <w:p w:rsidR="00594622" w:rsidRDefault="00594622" w:rsidP="00594622">
      <w:r>
        <w:t>Naopak nízké veřejné výdaje na VaV i výsledky VaV jsou v lékařských vědách.  Nízk</w:t>
      </w:r>
      <w:r w:rsidR="00C2177D">
        <w:t>ý</w:t>
      </w:r>
      <w:r>
        <w:t xml:space="preserve"> počet projektů řešených v programech BV v lékařských vědách je však poněkud v kontrastu s tím, že v programech jiných poskytovatelů veřejné podpory byly </w:t>
      </w:r>
      <w:r w:rsidR="00C2177D">
        <w:t xml:space="preserve">podpořeny </w:t>
      </w:r>
      <w:r>
        <w:t xml:space="preserve">projekty </w:t>
      </w:r>
      <w:r w:rsidR="00C2177D">
        <w:t>spadající do lékařských, které se týkaly bezpečnosti,</w:t>
      </w:r>
      <w:r>
        <w:t xml:space="preserve"> a jejich účastníky byly lékařské fakulty a fakultní nemocnice (viz kap.</w:t>
      </w:r>
      <w:r w:rsidR="00836805">
        <w:t xml:space="preserve"> </w:t>
      </w:r>
      <w:r>
        <w:fldChar w:fldCharType="begin"/>
      </w:r>
      <w:r>
        <w:instrText xml:space="preserve"> REF _Ref454281999 \r \h </w:instrText>
      </w:r>
      <w:r>
        <w:fldChar w:fldCharType="separate"/>
      </w:r>
      <w:r w:rsidR="003F08E5">
        <w:t>2.3.1</w:t>
      </w:r>
      <w:r>
        <w:fldChar w:fldCharType="end"/>
      </w:r>
      <w:r>
        <w:t>). Také počet publikací v datab</w:t>
      </w:r>
      <w:r w:rsidRPr="006B05F9">
        <w:t>ází WoS</w:t>
      </w:r>
      <w:r w:rsidR="00C2177D">
        <w:t xml:space="preserve"> z lékařských věd</w:t>
      </w:r>
      <w:r w:rsidR="006B05F9" w:rsidRPr="006B05F9">
        <w:t>, které se tematicky dotýkají problematiky bez</w:t>
      </w:r>
      <w:r w:rsidR="006B05F9">
        <w:t>pe</w:t>
      </w:r>
      <w:r w:rsidR="006B05F9" w:rsidRPr="006B05F9">
        <w:t>čnosti,</w:t>
      </w:r>
      <w:r w:rsidRPr="006B05F9">
        <w:t xml:space="preserve"> je poměrně vysoký (vi</w:t>
      </w:r>
      <w:r>
        <w:t xml:space="preserve">z </w:t>
      </w:r>
      <w:r w:rsidR="009414CD">
        <w:t xml:space="preserve">kap. </w:t>
      </w:r>
      <w:r>
        <w:fldChar w:fldCharType="begin"/>
      </w:r>
      <w:r>
        <w:instrText xml:space="preserve"> REF _Ref452118979 \r \h </w:instrText>
      </w:r>
      <w:r>
        <w:fldChar w:fldCharType="separate"/>
      </w:r>
      <w:r w:rsidR="003F08E5">
        <w:t>2.3.2</w:t>
      </w:r>
      <w:r>
        <w:fldChar w:fldCharType="end"/>
      </w:r>
      <w:r w:rsidR="009414CD">
        <w:t>).</w:t>
      </w:r>
      <w:r>
        <w:t xml:space="preserve"> Lékařské vědy lze tedy považovat za téma relativně slabé pouze v programech BV realizovaných v letech 2010 – 2015, nikoli v kontextu celého bezpečnostně zaměřeného VaV v ČR.</w:t>
      </w:r>
    </w:p>
    <w:p w:rsidR="009414CD" w:rsidRDefault="009414CD" w:rsidP="00594622">
      <w:r>
        <w:t>Dalšími slabými obory je fyzika a matematika (B) a zemědělství (G). Je nutné si však uvědomit, že VaV, jehož zaměření souvisí fyzikálními obory, může být realizován i v jiných oborech (například v informatice).</w:t>
      </w:r>
    </w:p>
    <w:p w:rsidR="00C66918" w:rsidRDefault="00C66918" w:rsidP="00C66918">
      <w:pPr>
        <w:pStyle w:val="Titulek"/>
        <w:keepNext/>
      </w:pPr>
      <w:bookmarkStart w:id="175" w:name="_Ref454281186"/>
      <w:r>
        <w:t xml:space="preserve">Tab. </w:t>
      </w:r>
      <w:r w:rsidR="00990E2D">
        <w:fldChar w:fldCharType="begin"/>
      </w:r>
      <w:r w:rsidR="00990E2D">
        <w:instrText xml:space="preserve"> SEQ Tab. \* ARABIC </w:instrText>
      </w:r>
      <w:r w:rsidR="00990E2D">
        <w:fldChar w:fldCharType="separate"/>
      </w:r>
      <w:r w:rsidR="003F08E5">
        <w:rPr>
          <w:noProof/>
        </w:rPr>
        <w:t>46</w:t>
      </w:r>
      <w:r w:rsidR="00990E2D">
        <w:rPr>
          <w:noProof/>
        </w:rPr>
        <w:fldChar w:fldCharType="end"/>
      </w:r>
      <w:bookmarkEnd w:id="175"/>
      <w:r>
        <w:tab/>
        <w:t>Veřejné výdaje v programech BV a počty jejich výsledků v širších vědních oborech. Zdroj: IS VaVaI</w:t>
      </w:r>
    </w:p>
    <w:p w:rsidR="001E0141" w:rsidRDefault="001E0141" w:rsidP="001E0141">
      <w:pPr>
        <w:jc w:val="center"/>
        <w:rPr>
          <w:highlight w:val="yellow"/>
        </w:rPr>
      </w:pPr>
      <w:r w:rsidRPr="001E0141">
        <w:rPr>
          <w:noProof/>
          <w:lang w:eastAsia="cs-CZ"/>
        </w:rPr>
        <w:drawing>
          <wp:inline distT="0" distB="0" distL="0" distR="0" wp14:anchorId="6D2BB10E" wp14:editId="40344C4A">
            <wp:extent cx="5631514" cy="2524125"/>
            <wp:effectExtent l="0" t="0" r="7620" b="0"/>
            <wp:docPr id="67" name="Obrázek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631514" cy="2524125"/>
                    </a:xfrm>
                    <a:prstGeom prst="rect">
                      <a:avLst/>
                    </a:prstGeom>
                    <a:noFill/>
                    <a:ln>
                      <a:noFill/>
                    </a:ln>
                  </pic:spPr>
                </pic:pic>
              </a:graphicData>
            </a:graphic>
          </wp:inline>
        </w:drawing>
      </w:r>
    </w:p>
    <w:p w:rsidR="001E0141" w:rsidRPr="001E0141" w:rsidRDefault="001E0141" w:rsidP="001E0141">
      <w:pPr>
        <w:spacing w:before="60" w:after="60"/>
        <w:jc w:val="left"/>
        <w:rPr>
          <w:i/>
          <w:sz w:val="20"/>
          <w:u w:val="single"/>
        </w:rPr>
      </w:pPr>
      <w:r w:rsidRPr="001E0141">
        <w:rPr>
          <w:i/>
          <w:sz w:val="20"/>
          <w:u w:val="single"/>
        </w:rPr>
        <w:t>Poznámka:</w:t>
      </w:r>
    </w:p>
    <w:p w:rsidR="001E0141" w:rsidRDefault="001E0141" w:rsidP="001E0141">
      <w:pPr>
        <w:spacing w:before="60" w:after="60"/>
        <w:jc w:val="left"/>
        <w:rPr>
          <w:i/>
          <w:sz w:val="20"/>
        </w:rPr>
      </w:pPr>
      <w:r>
        <w:rPr>
          <w:i/>
          <w:sz w:val="20"/>
        </w:rPr>
        <w:t>P</w:t>
      </w:r>
      <w:r w:rsidRPr="001E0141">
        <w:rPr>
          <w:i/>
          <w:sz w:val="20"/>
        </w:rPr>
        <w:t>ublikačn</w:t>
      </w:r>
      <w:r>
        <w:rPr>
          <w:i/>
          <w:sz w:val="20"/>
        </w:rPr>
        <w:t>í</w:t>
      </w:r>
      <w:r w:rsidRPr="001E0141">
        <w:rPr>
          <w:i/>
          <w:sz w:val="20"/>
        </w:rPr>
        <w:t xml:space="preserve"> v</w:t>
      </w:r>
      <w:r>
        <w:rPr>
          <w:i/>
          <w:sz w:val="20"/>
        </w:rPr>
        <w:t>ý</w:t>
      </w:r>
      <w:r w:rsidRPr="001E0141">
        <w:rPr>
          <w:i/>
          <w:sz w:val="20"/>
        </w:rPr>
        <w:t xml:space="preserve">sledky: </w:t>
      </w:r>
      <w:r w:rsidR="00C66918">
        <w:rPr>
          <w:i/>
          <w:sz w:val="20"/>
        </w:rPr>
        <w:t xml:space="preserve">typ výsledku v IS VaVaI </w:t>
      </w:r>
      <w:r w:rsidRPr="001E0141">
        <w:rPr>
          <w:i/>
          <w:sz w:val="20"/>
        </w:rPr>
        <w:t>'B',  'C',</w:t>
      </w:r>
      <w:r>
        <w:rPr>
          <w:i/>
          <w:sz w:val="20"/>
        </w:rPr>
        <w:t xml:space="preserve"> </w:t>
      </w:r>
      <w:r w:rsidRPr="001E0141">
        <w:rPr>
          <w:i/>
          <w:sz w:val="20"/>
        </w:rPr>
        <w:t>'J',  'D' a 'V</w:t>
      </w:r>
    </w:p>
    <w:p w:rsidR="001E0141" w:rsidRPr="001E0141" w:rsidRDefault="001E0141" w:rsidP="001E0141">
      <w:pPr>
        <w:spacing w:before="60" w:after="60"/>
        <w:jc w:val="left"/>
        <w:rPr>
          <w:i/>
          <w:sz w:val="20"/>
          <w:highlight w:val="yellow"/>
        </w:rPr>
      </w:pPr>
      <w:r>
        <w:rPr>
          <w:i/>
          <w:sz w:val="20"/>
        </w:rPr>
        <w:t>A</w:t>
      </w:r>
      <w:r w:rsidRPr="001E0141">
        <w:rPr>
          <w:i/>
          <w:sz w:val="20"/>
        </w:rPr>
        <w:t xml:space="preserve">plikační výsledky: </w:t>
      </w:r>
      <w:r w:rsidR="00C66918">
        <w:rPr>
          <w:i/>
          <w:sz w:val="20"/>
        </w:rPr>
        <w:t xml:space="preserve">typ výsledku v IOS VaVaI </w:t>
      </w:r>
      <w:r w:rsidRPr="001E0141">
        <w:rPr>
          <w:i/>
          <w:sz w:val="20"/>
        </w:rPr>
        <w:t>'P', 'Z', 'F', 'G', 'N' a 'R'</w:t>
      </w:r>
    </w:p>
    <w:p w:rsidR="00403B86" w:rsidRDefault="00403B86" w:rsidP="00102F97">
      <w:pPr>
        <w:rPr>
          <w:highlight w:val="yellow"/>
        </w:rPr>
      </w:pPr>
    </w:p>
    <w:bookmarkStart w:id="176" w:name="_Ref449971994"/>
    <w:p w:rsidR="00280A31" w:rsidRPr="0047697B" w:rsidRDefault="003F08E5" w:rsidP="00280A31">
      <w:pPr>
        <w:rPr>
          <w:color w:val="C00000"/>
          <w:lang w:eastAsia="cs-CZ"/>
        </w:rPr>
      </w:pPr>
      <w:r>
        <w:rPr>
          <w:color w:val="0070C0"/>
          <w:lang w:eastAsia="cs-CZ"/>
        </w:rPr>
        <w:lastRenderedPageBreak/>
        <w:fldChar w:fldCharType="begin"/>
      </w:r>
      <w:r>
        <w:rPr>
          <w:color w:val="0070C0"/>
          <w:lang w:eastAsia="cs-CZ"/>
        </w:rPr>
        <w:instrText xml:space="preserve"> REF  _Ref459723209 \* FirstCap \h  \* MERGEFORMAT </w:instrText>
      </w:r>
      <w:r>
        <w:rPr>
          <w:color w:val="0070C0"/>
          <w:lang w:eastAsia="cs-CZ"/>
        </w:rPr>
      </w:r>
      <w:r>
        <w:rPr>
          <w:color w:val="0070C0"/>
          <w:lang w:eastAsia="cs-CZ"/>
        </w:rPr>
        <w:fldChar w:fldCharType="separate"/>
      </w:r>
      <w:r>
        <w:t xml:space="preserve">Tab. </w:t>
      </w:r>
      <w:r>
        <w:rPr>
          <w:noProof/>
        </w:rPr>
        <w:t>47</w:t>
      </w:r>
      <w:r>
        <w:rPr>
          <w:color w:val="0070C0"/>
          <w:lang w:eastAsia="cs-CZ"/>
        </w:rPr>
        <w:fldChar w:fldCharType="end"/>
      </w:r>
      <w:r w:rsidR="00280A31" w:rsidRPr="0047697B">
        <w:rPr>
          <w:color w:val="C00000"/>
          <w:lang w:eastAsia="cs-CZ"/>
        </w:rPr>
        <w:t xml:space="preserve"> ukazuje rozdělení projektů bezpečnostního výzkumu v letech 2010 – 2015 z hlediska jejich rámcového zaměření a věcných oblastí (viz Návrh struktury věcného vymezení problematiky bezpečnostního výzkumu po roce 2017 v  </w:t>
      </w:r>
      <w:r w:rsidR="00B9253E" w:rsidRPr="0047697B">
        <w:rPr>
          <w:color w:val="C00000"/>
          <w:lang w:eastAsia="cs-CZ"/>
        </w:rPr>
        <w:fldChar w:fldCharType="begin"/>
      </w:r>
      <w:r w:rsidR="00B9253E" w:rsidRPr="0047697B">
        <w:rPr>
          <w:color w:val="C00000"/>
          <w:lang w:eastAsia="cs-CZ"/>
        </w:rPr>
        <w:instrText xml:space="preserve"> REF  _Ref454188863 \* Lower \h  \* MERGEFORMAT </w:instrText>
      </w:r>
      <w:r w:rsidR="00B9253E" w:rsidRPr="0047697B">
        <w:rPr>
          <w:color w:val="C00000"/>
          <w:lang w:eastAsia="cs-CZ"/>
        </w:rPr>
      </w:r>
      <w:r w:rsidR="00B9253E" w:rsidRPr="0047697B">
        <w:rPr>
          <w:color w:val="C00000"/>
          <w:lang w:eastAsia="cs-CZ"/>
        </w:rPr>
        <w:fldChar w:fldCharType="separate"/>
      </w:r>
      <w:r w:rsidRPr="003F08E5">
        <w:rPr>
          <w:color w:val="C00000"/>
        </w:rPr>
        <w:t xml:space="preserve">tab. </w:t>
      </w:r>
      <w:r w:rsidRPr="003F08E5">
        <w:rPr>
          <w:noProof/>
          <w:color w:val="C00000"/>
        </w:rPr>
        <w:t>48</w:t>
      </w:r>
      <w:r w:rsidR="00B9253E" w:rsidRPr="0047697B">
        <w:rPr>
          <w:color w:val="C00000"/>
          <w:lang w:eastAsia="cs-CZ"/>
        </w:rPr>
        <w:fldChar w:fldCharType="end"/>
      </w:r>
      <w:r w:rsidR="00280A31" w:rsidRPr="0047697B">
        <w:rPr>
          <w:color w:val="C00000"/>
          <w:lang w:eastAsia="cs-CZ"/>
        </w:rPr>
        <w:t>). Pro přiřazení programů k věcným oblastem bylo využito analýzy výskytu relevantních klíčových slov v anglických anotacích a názvech projektů. Analýza byla provedena na třech sadách projektů – na projektech z programů bezpečnostního výzkumu MV, na projektech národních poskytovatelů účelového financování (viz kap.</w:t>
      </w:r>
      <w:r w:rsidR="00D414CC">
        <w:rPr>
          <w:color w:val="C00000"/>
          <w:lang w:eastAsia="cs-CZ"/>
        </w:rPr>
        <w:t xml:space="preserve"> </w:t>
      </w:r>
      <w:r w:rsidR="00D414CC">
        <w:rPr>
          <w:color w:val="C00000"/>
          <w:lang w:eastAsia="cs-CZ"/>
        </w:rPr>
        <w:fldChar w:fldCharType="begin"/>
      </w:r>
      <w:r w:rsidR="00D414CC">
        <w:rPr>
          <w:color w:val="C00000"/>
          <w:lang w:eastAsia="cs-CZ"/>
        </w:rPr>
        <w:instrText xml:space="preserve"> REF _Ref452122298 \r \h </w:instrText>
      </w:r>
      <w:r w:rsidR="00D414CC">
        <w:rPr>
          <w:color w:val="C00000"/>
          <w:lang w:eastAsia="cs-CZ"/>
        </w:rPr>
      </w:r>
      <w:r w:rsidR="00D414CC">
        <w:rPr>
          <w:color w:val="C00000"/>
          <w:lang w:eastAsia="cs-CZ"/>
        </w:rPr>
        <w:fldChar w:fldCharType="separate"/>
      </w:r>
      <w:r w:rsidR="00D414CC">
        <w:rPr>
          <w:color w:val="C00000"/>
          <w:lang w:eastAsia="cs-CZ"/>
        </w:rPr>
        <w:t>2.3.1.2</w:t>
      </w:r>
      <w:r w:rsidR="00D414CC">
        <w:rPr>
          <w:color w:val="C00000"/>
          <w:lang w:eastAsia="cs-CZ"/>
        </w:rPr>
        <w:fldChar w:fldCharType="end"/>
      </w:r>
      <w:r w:rsidR="00280A31" w:rsidRPr="0047697B">
        <w:rPr>
          <w:color w:val="C00000"/>
          <w:lang w:eastAsia="cs-CZ"/>
        </w:rPr>
        <w:t xml:space="preserve">) a na projektech speciálně vybraných pracovníky MV z programů MPO, MZe a TA ČR (viz kap. </w:t>
      </w:r>
      <w:r w:rsidR="00D414CC">
        <w:rPr>
          <w:color w:val="C00000"/>
          <w:lang w:eastAsia="cs-CZ"/>
        </w:rPr>
        <w:fldChar w:fldCharType="begin"/>
      </w:r>
      <w:r w:rsidR="00D414CC">
        <w:rPr>
          <w:color w:val="C00000"/>
          <w:lang w:eastAsia="cs-CZ"/>
        </w:rPr>
        <w:instrText xml:space="preserve"> REF _Ref452122296 \r \h </w:instrText>
      </w:r>
      <w:r w:rsidR="00D414CC">
        <w:rPr>
          <w:color w:val="C00000"/>
          <w:lang w:eastAsia="cs-CZ"/>
        </w:rPr>
      </w:r>
      <w:r w:rsidR="00D414CC">
        <w:rPr>
          <w:color w:val="C00000"/>
          <w:lang w:eastAsia="cs-CZ"/>
        </w:rPr>
        <w:fldChar w:fldCharType="separate"/>
      </w:r>
      <w:r w:rsidR="00D414CC">
        <w:rPr>
          <w:color w:val="C00000"/>
          <w:lang w:eastAsia="cs-CZ"/>
        </w:rPr>
        <w:t>2.3.1.1</w:t>
      </w:r>
      <w:r w:rsidR="00D414CC">
        <w:rPr>
          <w:color w:val="C00000"/>
          <w:lang w:eastAsia="cs-CZ"/>
        </w:rPr>
        <w:fldChar w:fldCharType="end"/>
      </w:r>
      <w:r w:rsidR="00280A31" w:rsidRPr="0047697B">
        <w:rPr>
          <w:color w:val="C00000"/>
          <w:lang w:eastAsia="cs-CZ"/>
        </w:rPr>
        <w:t xml:space="preserve">). </w:t>
      </w:r>
    </w:p>
    <w:p w:rsidR="00280A31" w:rsidRPr="0047697B" w:rsidRDefault="00280A31" w:rsidP="00280A31">
      <w:pPr>
        <w:rPr>
          <w:color w:val="C00000"/>
          <w:lang w:eastAsia="cs-CZ"/>
        </w:rPr>
      </w:pPr>
      <w:r w:rsidRPr="0047697B">
        <w:rPr>
          <w:color w:val="C00000"/>
          <w:lang w:eastAsia="cs-CZ"/>
        </w:rPr>
        <w:t xml:space="preserve">Výsledek </w:t>
      </w:r>
      <w:r w:rsidR="00443FCA" w:rsidRPr="0047697B">
        <w:rPr>
          <w:color w:val="C00000"/>
          <w:lang w:eastAsia="cs-CZ"/>
        </w:rPr>
        <w:t xml:space="preserve">této </w:t>
      </w:r>
      <w:r w:rsidRPr="0047697B">
        <w:rPr>
          <w:color w:val="C00000"/>
          <w:lang w:eastAsia="cs-CZ"/>
        </w:rPr>
        <w:t xml:space="preserve">analýzy je nepochybně ovlivněn výběrem sady klíčových slov </w:t>
      </w:r>
      <w:r w:rsidR="00B9253E" w:rsidRPr="0047697B">
        <w:rPr>
          <w:color w:val="C00000"/>
          <w:lang w:eastAsia="cs-CZ"/>
        </w:rPr>
        <w:t>a</w:t>
      </w:r>
      <w:r w:rsidRPr="0047697B">
        <w:rPr>
          <w:color w:val="C00000"/>
          <w:lang w:eastAsia="cs-CZ"/>
        </w:rPr>
        <w:t xml:space="preserve"> jejich přiřazením </w:t>
      </w:r>
      <w:r w:rsidR="00B9253E" w:rsidRPr="0047697B">
        <w:rPr>
          <w:color w:val="C00000"/>
          <w:lang w:eastAsia="cs-CZ"/>
        </w:rPr>
        <w:t xml:space="preserve">k jednotlivým věcným oblastem, může však poskytnout alespoň hrubý přehled o dosavadním objemu výzkumu i o aktivitě různých poskytovatelů účelového financování v navrhovaných věcných oblastech. </w:t>
      </w:r>
      <w:r w:rsidR="00443FCA" w:rsidRPr="0047697B">
        <w:rPr>
          <w:color w:val="C00000"/>
          <w:lang w:eastAsia="cs-CZ"/>
        </w:rPr>
        <w:t xml:space="preserve">Tyto poznatky pak mohou pomoci při přípravě programů a při meziresortní koordinaci bezpečnostního výzkumu pro období po roce 2017. </w:t>
      </w:r>
    </w:p>
    <w:p w:rsidR="00844A36" w:rsidRDefault="007711BF" w:rsidP="007711BF">
      <w:pPr>
        <w:rPr>
          <w:color w:val="C00000"/>
          <w:lang w:eastAsia="cs-CZ"/>
        </w:rPr>
      </w:pPr>
      <w:r w:rsidRPr="0047697B">
        <w:rPr>
          <w:color w:val="C00000"/>
          <w:lang w:eastAsia="cs-CZ"/>
        </w:rPr>
        <w:t>Z analýzy vyplývá, že v programech MV byla největší pozornost věnována věcné oblasti Schopnost efektivní intervence (110 projektů s celkovou veřejnou podporou ve výši 525 tis. Kč).  K překryvu projektů MV s vybranými projekty MPO, MZe a TA ČR docházelo nejvíce ve věcné oblasti Bezpečno</w:t>
      </w:r>
      <w:r w:rsidR="0035412E" w:rsidRPr="0047697B">
        <w:rPr>
          <w:color w:val="C00000"/>
          <w:lang w:eastAsia="cs-CZ"/>
        </w:rPr>
        <w:t>stní politika a krizové řízení. Dále se tito poskytovatelé významně podílel</w:t>
      </w:r>
      <w:r w:rsidR="00A222D3" w:rsidRPr="0047697B">
        <w:rPr>
          <w:color w:val="C00000"/>
          <w:lang w:eastAsia="cs-CZ"/>
        </w:rPr>
        <w:t>i</w:t>
      </w:r>
      <w:r w:rsidR="0035412E" w:rsidRPr="0047697B">
        <w:rPr>
          <w:color w:val="C00000"/>
          <w:lang w:eastAsia="cs-CZ"/>
        </w:rPr>
        <w:t xml:space="preserve"> na podpoře projektů zejména v oblastech Bezpečný veřejný prostor a Bezpečnost infrastruktur.</w:t>
      </w:r>
    </w:p>
    <w:p w:rsidR="007711BF" w:rsidRPr="0047697B" w:rsidRDefault="0035412E" w:rsidP="007711BF">
      <w:pPr>
        <w:rPr>
          <w:color w:val="C00000"/>
          <w:lang w:eastAsia="cs-CZ"/>
        </w:rPr>
      </w:pPr>
      <w:r w:rsidRPr="0047697B">
        <w:rPr>
          <w:color w:val="C00000"/>
          <w:lang w:eastAsia="cs-CZ"/>
        </w:rPr>
        <w:t>Projekty podpořené ostatními národními poskytovateli účelového financování nejčastěji spada</w:t>
      </w:r>
      <w:r w:rsidR="00A222D3" w:rsidRPr="0047697B">
        <w:rPr>
          <w:color w:val="C00000"/>
          <w:lang w:eastAsia="cs-CZ"/>
        </w:rPr>
        <w:t>ly</w:t>
      </w:r>
      <w:r w:rsidRPr="0047697B">
        <w:rPr>
          <w:color w:val="C00000"/>
          <w:lang w:eastAsia="cs-CZ"/>
        </w:rPr>
        <w:t xml:space="preserve"> do oblasti Speciální technologie (která zahrnuje zejména ICT) a také do oblasti Bezpečnost infrastruktur</w:t>
      </w:r>
      <w:r w:rsidR="00A222D3" w:rsidRPr="0047697B">
        <w:rPr>
          <w:color w:val="C00000"/>
          <w:lang w:eastAsia="cs-CZ"/>
        </w:rPr>
        <w:t xml:space="preserve"> (přičemž i zde se zřejmě jedná hlavně o ICT projekty, které mohou, ale nemusí mít klíčový význam pro bezpečnostní výzkum</w:t>
      </w:r>
      <w:r w:rsidR="00A222D3" w:rsidRPr="009B3D27">
        <w:rPr>
          <w:color w:val="C00000"/>
          <w:lang w:eastAsia="cs-CZ"/>
        </w:rPr>
        <w:t>)</w:t>
      </w:r>
      <w:r w:rsidRPr="009B3D27">
        <w:rPr>
          <w:color w:val="C00000"/>
          <w:lang w:eastAsia="cs-CZ"/>
        </w:rPr>
        <w:t xml:space="preserve">. </w:t>
      </w:r>
      <w:r w:rsidR="00844A36" w:rsidRPr="009B3D27">
        <w:rPr>
          <w:color w:val="C00000"/>
          <w:lang w:eastAsia="cs-CZ"/>
        </w:rPr>
        <w:t xml:space="preserve">Další oblastí, která </w:t>
      </w:r>
      <w:r w:rsidR="00CD78DF" w:rsidRPr="009B3D27">
        <w:rPr>
          <w:color w:val="C00000"/>
          <w:lang w:eastAsia="cs-CZ"/>
        </w:rPr>
        <w:t>kam směřovala významná část podpory z programů jiných poskytovatelů účelového financování</w:t>
      </w:r>
      <w:r w:rsidR="00844A36" w:rsidRPr="009B3D27">
        <w:rPr>
          <w:color w:val="C00000"/>
          <w:lang w:eastAsia="cs-CZ"/>
        </w:rPr>
        <w:t xml:space="preserve">, je Bezpečnostní politika a krizové řízení (viz </w:t>
      </w:r>
      <w:r w:rsidR="003F08E5">
        <w:rPr>
          <w:color w:val="0070C0"/>
          <w:lang w:eastAsia="cs-CZ"/>
        </w:rPr>
        <w:fldChar w:fldCharType="begin"/>
      </w:r>
      <w:r w:rsidR="003F08E5">
        <w:rPr>
          <w:color w:val="0070C0"/>
          <w:lang w:eastAsia="cs-CZ"/>
        </w:rPr>
        <w:instrText xml:space="preserve"> REF  _Ref459723209 \* Lower \h  \* MERGEFORMAT </w:instrText>
      </w:r>
      <w:r w:rsidR="003F08E5">
        <w:rPr>
          <w:color w:val="0070C0"/>
          <w:lang w:eastAsia="cs-CZ"/>
        </w:rPr>
      </w:r>
      <w:r w:rsidR="003F08E5">
        <w:rPr>
          <w:color w:val="0070C0"/>
          <w:lang w:eastAsia="cs-CZ"/>
        </w:rPr>
        <w:fldChar w:fldCharType="separate"/>
      </w:r>
      <w:r w:rsidR="003F08E5">
        <w:t xml:space="preserve">tab. </w:t>
      </w:r>
      <w:r w:rsidR="003F08E5">
        <w:rPr>
          <w:noProof/>
        </w:rPr>
        <w:t>47</w:t>
      </w:r>
      <w:r w:rsidR="003F08E5">
        <w:rPr>
          <w:color w:val="0070C0"/>
          <w:lang w:eastAsia="cs-CZ"/>
        </w:rPr>
        <w:fldChar w:fldCharType="end"/>
      </w:r>
      <w:r w:rsidR="003F08E5" w:rsidRPr="009B3D27">
        <w:rPr>
          <w:color w:val="C00000"/>
          <w:lang w:eastAsia="cs-CZ"/>
        </w:rPr>
        <w:t>)</w:t>
      </w:r>
      <w:r w:rsidR="00844A36" w:rsidRPr="009B3D27">
        <w:rPr>
          <w:color w:val="C00000"/>
          <w:lang w:eastAsia="cs-CZ"/>
        </w:rPr>
        <w:t>.</w:t>
      </w:r>
      <w:r w:rsidR="00443FCA" w:rsidRPr="009B3D27">
        <w:rPr>
          <w:color w:val="C00000"/>
          <w:lang w:eastAsia="cs-CZ"/>
        </w:rPr>
        <w:t xml:space="preserve"> </w:t>
      </w:r>
    </w:p>
    <w:p w:rsidR="00403B86" w:rsidRDefault="00403B86" w:rsidP="00403B86">
      <w:pPr>
        <w:pStyle w:val="Titulek"/>
        <w:keepNext/>
      </w:pPr>
      <w:bookmarkStart w:id="177" w:name="_Ref459723209"/>
      <w:r>
        <w:t xml:space="preserve">Tab. </w:t>
      </w:r>
      <w:r w:rsidR="00990E2D">
        <w:fldChar w:fldCharType="begin"/>
      </w:r>
      <w:r w:rsidR="00990E2D">
        <w:instrText xml:space="preserve"> SEQ Tab. \* ARABIC </w:instrText>
      </w:r>
      <w:r w:rsidR="00990E2D">
        <w:fldChar w:fldCharType="separate"/>
      </w:r>
      <w:r w:rsidR="003F08E5">
        <w:rPr>
          <w:noProof/>
        </w:rPr>
        <w:t>47</w:t>
      </w:r>
      <w:r w:rsidR="00990E2D">
        <w:rPr>
          <w:noProof/>
        </w:rPr>
        <w:fldChar w:fldCharType="end"/>
      </w:r>
      <w:bookmarkEnd w:id="177"/>
      <w:r w:rsidR="00C74AAB">
        <w:tab/>
        <w:t>Rozdělení pro</w:t>
      </w:r>
      <w:r w:rsidR="00102F97">
        <w:t>jektů</w:t>
      </w:r>
      <w:r w:rsidR="00C74AAB">
        <w:t xml:space="preserve"> BV podle rámcového zaměření a věcných oblastí</w:t>
      </w:r>
      <w:r w:rsidR="00102F97">
        <w:t xml:space="preserve"> </w:t>
      </w:r>
    </w:p>
    <w:p w:rsidR="00C74AAB" w:rsidRDefault="00C34DEC" w:rsidP="00C74AAB">
      <w:r w:rsidRPr="00C34DEC">
        <w:rPr>
          <w:noProof/>
          <w:lang w:eastAsia="cs-CZ"/>
        </w:rPr>
        <w:drawing>
          <wp:inline distT="0" distB="0" distL="0" distR="0" wp14:anchorId="0B8370DE" wp14:editId="4C8DB443">
            <wp:extent cx="5850890" cy="2700968"/>
            <wp:effectExtent l="0" t="0" r="0" b="4445"/>
            <wp:docPr id="52" name="Obrázek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850890" cy="2700968"/>
                    </a:xfrm>
                    <a:prstGeom prst="rect">
                      <a:avLst/>
                    </a:prstGeom>
                    <a:noFill/>
                    <a:ln>
                      <a:noFill/>
                    </a:ln>
                  </pic:spPr>
                </pic:pic>
              </a:graphicData>
            </a:graphic>
          </wp:inline>
        </w:drawing>
      </w:r>
    </w:p>
    <w:p w:rsidR="00C74AAB" w:rsidRDefault="00102F97" w:rsidP="00C74AAB">
      <w:pPr>
        <w:rPr>
          <w:i/>
        </w:rPr>
      </w:pPr>
      <w:r w:rsidRPr="00102F97">
        <w:rPr>
          <w:i/>
        </w:rPr>
        <w:t>Pozn: OBV -  odbor bezpečnostního</w:t>
      </w:r>
      <w:r w:rsidR="00844A36">
        <w:rPr>
          <w:i/>
        </w:rPr>
        <w:t xml:space="preserve"> </w:t>
      </w:r>
      <w:r w:rsidRPr="00102F97">
        <w:rPr>
          <w:i/>
        </w:rPr>
        <w:t>výzkumu a policejního vzdělávání MV</w:t>
      </w:r>
    </w:p>
    <w:p w:rsidR="00C66918" w:rsidRDefault="00C66918" w:rsidP="00403B86">
      <w:pPr>
        <w:pStyle w:val="Nadpis3"/>
      </w:pPr>
      <w:bookmarkStart w:id="178" w:name="_Toc459723311"/>
      <w:r>
        <w:t>Silná a slabá témata mezinárodní spolupráce</w:t>
      </w:r>
      <w:bookmarkEnd w:id="176"/>
      <w:bookmarkEnd w:id="178"/>
    </w:p>
    <w:tbl>
      <w:tblPr>
        <w:tblStyle w:val="Mkatabulky"/>
        <w:tblW w:w="0" w:type="auto"/>
        <w:tblLook w:val="04A0" w:firstRow="1" w:lastRow="0" w:firstColumn="1" w:lastColumn="0" w:noHBand="0" w:noVBand="1"/>
      </w:tblPr>
      <w:tblGrid>
        <w:gridCol w:w="9354"/>
      </w:tblGrid>
      <w:tr w:rsidR="00C66918" w:rsidTr="00594622">
        <w:tc>
          <w:tcPr>
            <w:tcW w:w="9354" w:type="dxa"/>
            <w:shd w:val="clear" w:color="auto" w:fill="F2F2F2" w:themeFill="background1" w:themeFillShade="F2"/>
          </w:tcPr>
          <w:p w:rsidR="00C66918" w:rsidRDefault="00C66918" w:rsidP="00B928F7">
            <w:pPr>
              <w:rPr>
                <w:lang w:eastAsia="cs-CZ"/>
              </w:rPr>
            </w:pPr>
            <w:r>
              <w:rPr>
                <w:lang w:eastAsia="cs-CZ"/>
              </w:rPr>
              <w:t xml:space="preserve">Problematika bezpečnosti je obecně silným tématem pro mezinárodní výzkumnou spolupráci. Výzkumné týmy z ČR jsou velmi aktivní v projektech RP řešících aktuální výzvy evropské společnosti </w:t>
            </w:r>
            <w:r w:rsidR="00B928F7">
              <w:rPr>
                <w:lang w:eastAsia="cs-CZ"/>
              </w:rPr>
              <w:t xml:space="preserve">v oblasti bezpečnosti </w:t>
            </w:r>
            <w:r>
              <w:rPr>
                <w:lang w:eastAsia="cs-CZ"/>
              </w:rPr>
              <w:t xml:space="preserve">(reakce na krize a katastrofy, krizový management, bezpečnost kritických infrastruktur). Za silná technologické obory z pohledu mezinárodní spolupráce v bezpečnostně zaměřeném výzkumu lze považovat informační a komunikační technologie, jaderné technologie, nanotechnologie a některé kosmické technologie. Jako silné téma pro mezinárodní spolupráci lze </w:t>
            </w:r>
            <w:r>
              <w:rPr>
                <w:lang w:eastAsia="cs-CZ"/>
              </w:rPr>
              <w:lastRenderedPageBreak/>
              <w:t>považovat také elektroniku, opto</w:t>
            </w:r>
            <w:r w:rsidR="009B3D27">
              <w:rPr>
                <w:lang w:eastAsia="cs-CZ"/>
              </w:rPr>
              <w:t>e</w:t>
            </w:r>
            <w:r>
              <w:rPr>
                <w:lang w:eastAsia="cs-CZ"/>
              </w:rPr>
              <w:t>lektroniku a elektrotechniku (tj. technické vědy). Slabší obory n</w:t>
            </w:r>
            <w:r w:rsidR="006B3908">
              <w:rPr>
                <w:lang w:eastAsia="cs-CZ"/>
              </w:rPr>
              <w:t xml:space="preserve">ení možné spolehlivě stanovit. </w:t>
            </w:r>
          </w:p>
        </w:tc>
      </w:tr>
    </w:tbl>
    <w:p w:rsidR="00C66918" w:rsidRDefault="00C66918" w:rsidP="00C66918">
      <w:pPr>
        <w:rPr>
          <w:lang w:eastAsia="cs-CZ"/>
        </w:rPr>
      </w:pPr>
      <w:r>
        <w:rPr>
          <w:lang w:eastAsia="cs-CZ"/>
        </w:rPr>
        <w:lastRenderedPageBreak/>
        <w:t>Ze zpracované analýzy účasti ČR v RP EU vyplynulo, že subjekty z ČR se do projektů řešících problematiku bezpečnosti zapojují aktivněji než v jiných oblastech RP. Vysoká aktivita (počet návrhů projektů i počet projektů vybraných pro financování) byla zejména v programech Bezpečnost v 7. RP a ve společenské výzvě Bezpečné společnosti programu H2020, tj. v oblastech, kde jsou řešeny klíčové výzvy evropské společnosti</w:t>
      </w:r>
      <w:r w:rsidR="00B928F7">
        <w:rPr>
          <w:lang w:eastAsia="cs-CZ"/>
        </w:rPr>
        <w:t xml:space="preserve"> v oblasti bezpečnosti</w:t>
      </w:r>
      <w:r>
        <w:rPr>
          <w:lang w:eastAsia="cs-CZ"/>
        </w:rPr>
        <w:t xml:space="preserve">. Podle zaměření projektů </w:t>
      </w:r>
      <w:r w:rsidR="00B928F7">
        <w:rPr>
          <w:lang w:eastAsia="cs-CZ"/>
        </w:rPr>
        <w:t xml:space="preserve">podaných v těchto oblastech </w:t>
      </w:r>
      <w:r>
        <w:rPr>
          <w:lang w:eastAsia="cs-CZ"/>
        </w:rPr>
        <w:t>lze za silné obory považovat zejména:</w:t>
      </w:r>
    </w:p>
    <w:p w:rsidR="00C66918" w:rsidRDefault="00C66918" w:rsidP="00C66918">
      <w:pPr>
        <w:pStyle w:val="Odstavecseseznamem"/>
        <w:numPr>
          <w:ilvl w:val="0"/>
          <w:numId w:val="3"/>
        </w:numPr>
        <w:ind w:left="714" w:hanging="357"/>
        <w:contextualSpacing w:val="0"/>
        <w:rPr>
          <w:lang w:eastAsia="cs-CZ"/>
        </w:rPr>
      </w:pPr>
      <w:r>
        <w:rPr>
          <w:lang w:eastAsia="cs-CZ"/>
        </w:rPr>
        <w:t>Reakce na krize - obnovení bezpečnosti a ochrany v případě krizí, krizový management;</w:t>
      </w:r>
    </w:p>
    <w:p w:rsidR="00C66918" w:rsidRDefault="00C66918" w:rsidP="00C66918">
      <w:pPr>
        <w:pStyle w:val="Odstavecseseznamem"/>
        <w:numPr>
          <w:ilvl w:val="0"/>
          <w:numId w:val="3"/>
        </w:numPr>
        <w:ind w:left="714" w:hanging="357"/>
        <w:contextualSpacing w:val="0"/>
        <w:rPr>
          <w:lang w:eastAsia="cs-CZ"/>
        </w:rPr>
      </w:pPr>
      <w:r>
        <w:rPr>
          <w:lang w:eastAsia="cs-CZ"/>
        </w:rPr>
        <w:t>Reakce na katastrofy a změny klimatu;</w:t>
      </w:r>
    </w:p>
    <w:p w:rsidR="00C66918" w:rsidRDefault="00C66918" w:rsidP="00C66918">
      <w:pPr>
        <w:pStyle w:val="Odstavecseseznamem"/>
        <w:numPr>
          <w:ilvl w:val="0"/>
          <w:numId w:val="3"/>
        </w:numPr>
        <w:ind w:left="714" w:hanging="357"/>
        <w:contextualSpacing w:val="0"/>
        <w:rPr>
          <w:lang w:eastAsia="cs-CZ"/>
        </w:rPr>
      </w:pPr>
      <w:r>
        <w:rPr>
          <w:lang w:eastAsia="cs-CZ"/>
        </w:rPr>
        <w:t>Bezpečnost občanů a společnosti;</w:t>
      </w:r>
    </w:p>
    <w:p w:rsidR="00C66918" w:rsidRDefault="00C66918" w:rsidP="00C66918">
      <w:pPr>
        <w:pStyle w:val="Odstavecseseznamem"/>
        <w:numPr>
          <w:ilvl w:val="0"/>
          <w:numId w:val="3"/>
        </w:numPr>
        <w:ind w:left="714" w:hanging="357"/>
        <w:contextualSpacing w:val="0"/>
        <w:rPr>
          <w:lang w:eastAsia="cs-CZ"/>
        </w:rPr>
      </w:pPr>
      <w:r>
        <w:rPr>
          <w:lang w:eastAsia="cs-CZ"/>
        </w:rPr>
        <w:t>Bezpečnost infrastruktur.</w:t>
      </w:r>
    </w:p>
    <w:p w:rsidR="007F0ECE" w:rsidRDefault="007F0ECE" w:rsidP="00C66918">
      <w:pPr>
        <w:rPr>
          <w:lang w:eastAsia="cs-CZ"/>
        </w:rPr>
      </w:pPr>
      <w:r>
        <w:rPr>
          <w:lang w:eastAsia="cs-CZ"/>
        </w:rPr>
        <w:t>O tom, že oblast krizového řízení je silným oborem mezinárodního výzkumu</w:t>
      </w:r>
      <w:r w:rsidR="00B928F7">
        <w:rPr>
          <w:lang w:eastAsia="cs-CZ"/>
        </w:rPr>
        <w:t>,</w:t>
      </w:r>
      <w:r>
        <w:rPr>
          <w:lang w:eastAsia="cs-CZ"/>
        </w:rPr>
        <w:t xml:space="preserve"> může svědčit i to, že přibližně 16 % institucí respondentů dotazníkového šetření využívá v této </w:t>
      </w:r>
      <w:r w:rsidR="00B928F7">
        <w:rPr>
          <w:lang w:eastAsia="cs-CZ"/>
        </w:rPr>
        <w:t xml:space="preserve">oblasti </w:t>
      </w:r>
      <w:r>
        <w:rPr>
          <w:lang w:eastAsia="cs-CZ"/>
        </w:rPr>
        <w:t xml:space="preserve">mezinárodní výzkumnou spolupráci (viz </w:t>
      </w:r>
      <w:r>
        <w:rPr>
          <w:lang w:eastAsia="cs-CZ"/>
        </w:rPr>
        <w:fldChar w:fldCharType="begin"/>
      </w:r>
      <w:r>
        <w:rPr>
          <w:lang w:eastAsia="cs-CZ"/>
        </w:rPr>
        <w:instrText xml:space="preserve"> REF  _Ref454195440 \* Lower \h  \* MERGEFORMAT </w:instrText>
      </w:r>
      <w:r>
        <w:rPr>
          <w:lang w:eastAsia="cs-CZ"/>
        </w:rPr>
      </w:r>
      <w:r>
        <w:rPr>
          <w:lang w:eastAsia="cs-CZ"/>
        </w:rPr>
        <w:fldChar w:fldCharType="separate"/>
      </w:r>
      <w:r w:rsidR="003F08E5">
        <w:t xml:space="preserve">obr. </w:t>
      </w:r>
      <w:r w:rsidR="003F08E5">
        <w:rPr>
          <w:noProof/>
        </w:rPr>
        <w:t>26</w:t>
      </w:r>
      <w:r>
        <w:rPr>
          <w:lang w:eastAsia="cs-CZ"/>
        </w:rPr>
        <w:fldChar w:fldCharType="end"/>
      </w:r>
      <w:r>
        <w:rPr>
          <w:lang w:eastAsia="cs-CZ"/>
        </w:rPr>
        <w:t xml:space="preserve">). </w:t>
      </w:r>
    </w:p>
    <w:p w:rsidR="00C66918" w:rsidRDefault="00C66918" w:rsidP="00C66918">
      <w:pPr>
        <w:rPr>
          <w:lang w:eastAsia="cs-CZ"/>
        </w:rPr>
      </w:pPr>
      <w:r>
        <w:rPr>
          <w:lang w:eastAsia="cs-CZ"/>
        </w:rPr>
        <w:t>Slabé obory pro mezinárodní spolupráci v bezpečnostně zaměřeném VaV lze obtížně vyhodnotit. Z relativně malého počtu projektů i návrhů projektů lze za slabší obory považovat zdravotní výzkum, kde byl subjekty z ČR podán jen velmi nízký počet návrhů projektů</w:t>
      </w:r>
      <w:r w:rsidR="00B928F7">
        <w:rPr>
          <w:lang w:eastAsia="cs-CZ"/>
        </w:rPr>
        <w:t>, přičemž</w:t>
      </w:r>
      <w:r>
        <w:rPr>
          <w:lang w:eastAsia="cs-CZ"/>
        </w:rPr>
        <w:t xml:space="preserve"> žádný z nich nebyl vybrán pro financování.  Za relativně slabší obor by sice bylo </w:t>
      </w:r>
      <w:r w:rsidR="00B928F7">
        <w:rPr>
          <w:lang w:eastAsia="cs-CZ"/>
        </w:rPr>
        <w:t xml:space="preserve">možné </w:t>
      </w:r>
      <w:r>
        <w:rPr>
          <w:lang w:eastAsia="cs-CZ"/>
        </w:rPr>
        <w:t>považovat i sociální a humanitní vědy, kde též nebyl financován žádný projekt, avšak projekty týkající se sociálních a humanitních věd byly zřejmě řešeny v programu Bezpečnost</w:t>
      </w:r>
      <w:r w:rsidR="00B928F7">
        <w:rPr>
          <w:lang w:eastAsia="cs-CZ"/>
        </w:rPr>
        <w:t xml:space="preserve"> (navíc do programu Socioekonomické a humanitní vědy bylo podáno více návrhů, které však nebyly vybrány pro financování)</w:t>
      </w:r>
      <w:r>
        <w:rPr>
          <w:lang w:eastAsia="cs-CZ"/>
        </w:rPr>
        <w:t xml:space="preserve">. </w:t>
      </w:r>
    </w:p>
    <w:p w:rsidR="00C66918" w:rsidRDefault="00C66918" w:rsidP="00C66918">
      <w:pPr>
        <w:rPr>
          <w:lang w:eastAsia="cs-CZ"/>
        </w:rPr>
      </w:pPr>
      <w:r>
        <w:rPr>
          <w:lang w:eastAsia="cs-CZ"/>
        </w:rPr>
        <w:t xml:space="preserve">Subjekty z ČR jsou také </w:t>
      </w:r>
      <w:r w:rsidR="00B928F7">
        <w:rPr>
          <w:lang w:eastAsia="cs-CZ"/>
        </w:rPr>
        <w:t>poměrně</w:t>
      </w:r>
      <w:r>
        <w:rPr>
          <w:lang w:eastAsia="cs-CZ"/>
        </w:rPr>
        <w:t xml:space="preserve"> aktivní v některých technologicky zaměřených programech a aktivitách RP. </w:t>
      </w:r>
      <w:r w:rsidR="00B928F7">
        <w:rPr>
          <w:lang w:eastAsia="cs-CZ"/>
        </w:rPr>
        <w:t>Z</w:t>
      </w:r>
      <w:r>
        <w:rPr>
          <w:lang w:eastAsia="cs-CZ"/>
        </w:rPr>
        <w:t>a silné obory považovat zejména:</w:t>
      </w:r>
    </w:p>
    <w:p w:rsidR="00C66918" w:rsidRDefault="00C66918" w:rsidP="00C66918">
      <w:pPr>
        <w:pStyle w:val="Odstavecseseznamem"/>
        <w:numPr>
          <w:ilvl w:val="0"/>
          <w:numId w:val="3"/>
        </w:numPr>
        <w:contextualSpacing w:val="0"/>
        <w:rPr>
          <w:lang w:eastAsia="cs-CZ"/>
        </w:rPr>
      </w:pPr>
      <w:r>
        <w:rPr>
          <w:lang w:eastAsia="cs-CZ"/>
        </w:rPr>
        <w:t>Jaderné technologie – nehody, bezpečnost;</w:t>
      </w:r>
    </w:p>
    <w:p w:rsidR="00C66918" w:rsidRDefault="00C66918" w:rsidP="00C66918">
      <w:pPr>
        <w:pStyle w:val="Odstavecseseznamem"/>
        <w:numPr>
          <w:ilvl w:val="0"/>
          <w:numId w:val="3"/>
        </w:numPr>
        <w:contextualSpacing w:val="0"/>
        <w:rPr>
          <w:lang w:eastAsia="cs-CZ"/>
        </w:rPr>
      </w:pPr>
      <w:r>
        <w:rPr>
          <w:lang w:eastAsia="cs-CZ"/>
        </w:rPr>
        <w:t>Informační a komunikační technologie - bezpečnost síťové infrastruktury a služeb;</w:t>
      </w:r>
    </w:p>
    <w:p w:rsidR="00C66918" w:rsidRDefault="00C66918" w:rsidP="00C66918">
      <w:pPr>
        <w:pStyle w:val="Odstavecseseznamem"/>
        <w:numPr>
          <w:ilvl w:val="0"/>
          <w:numId w:val="3"/>
        </w:numPr>
        <w:ind w:hanging="357"/>
        <w:contextualSpacing w:val="0"/>
        <w:rPr>
          <w:lang w:eastAsia="cs-CZ"/>
        </w:rPr>
      </w:pPr>
      <w:r>
        <w:rPr>
          <w:lang w:eastAsia="cs-CZ"/>
        </w:rPr>
        <w:t>N</w:t>
      </w:r>
      <w:r w:rsidRPr="007539B4">
        <w:rPr>
          <w:lang w:eastAsia="cs-CZ"/>
        </w:rPr>
        <w:t>anotechnologie</w:t>
      </w:r>
      <w:r>
        <w:rPr>
          <w:lang w:eastAsia="cs-CZ"/>
        </w:rPr>
        <w:t>;</w:t>
      </w:r>
    </w:p>
    <w:p w:rsidR="00C66918" w:rsidRDefault="00C66918" w:rsidP="00C66918">
      <w:pPr>
        <w:pStyle w:val="Odstavecseseznamem"/>
        <w:numPr>
          <w:ilvl w:val="0"/>
          <w:numId w:val="3"/>
        </w:numPr>
        <w:ind w:hanging="357"/>
        <w:contextualSpacing w:val="0"/>
        <w:rPr>
          <w:lang w:eastAsia="cs-CZ"/>
        </w:rPr>
      </w:pPr>
      <w:r w:rsidRPr="007539B4">
        <w:rPr>
          <w:lang w:eastAsia="cs-CZ"/>
        </w:rPr>
        <w:t>Kosmický výzkum</w:t>
      </w:r>
      <w:r>
        <w:rPr>
          <w:lang w:eastAsia="cs-CZ"/>
        </w:rPr>
        <w:t xml:space="preserve"> – vesmírné technologie a jejich aplikace, navigační služby (EGNSS).</w:t>
      </w:r>
    </w:p>
    <w:p w:rsidR="00C66918" w:rsidRDefault="00C66918" w:rsidP="00C66918">
      <w:r>
        <w:rPr>
          <w:lang w:eastAsia="cs-CZ"/>
        </w:rPr>
        <w:t>Siln</w:t>
      </w:r>
      <w:r w:rsidR="00B928F7">
        <w:rPr>
          <w:lang w:eastAsia="cs-CZ"/>
        </w:rPr>
        <w:t>ými</w:t>
      </w:r>
      <w:r>
        <w:rPr>
          <w:lang w:eastAsia="cs-CZ"/>
        </w:rPr>
        <w:t xml:space="preserve"> obory v programech na podporu mezinárodní spolupráce </w:t>
      </w:r>
      <w:r w:rsidR="00B928F7">
        <w:rPr>
          <w:lang w:eastAsia="cs-CZ"/>
        </w:rPr>
        <w:t xml:space="preserve">VaV v gesci MŠMT </w:t>
      </w:r>
      <w:r>
        <w:rPr>
          <w:lang w:eastAsia="cs-CZ"/>
        </w:rPr>
        <w:t>jsou zejména některé obory technických a přírodních věd</w:t>
      </w:r>
      <w:r w:rsidR="00B928F7">
        <w:rPr>
          <w:lang w:eastAsia="cs-CZ"/>
        </w:rPr>
        <w:t>, jako je e</w:t>
      </w:r>
      <w:r>
        <w:rPr>
          <w:lang w:eastAsia="cs-CZ"/>
        </w:rPr>
        <w:t>lektronik</w:t>
      </w:r>
      <w:r w:rsidR="00B928F7">
        <w:rPr>
          <w:lang w:eastAsia="cs-CZ"/>
        </w:rPr>
        <w:t>a</w:t>
      </w:r>
      <w:r>
        <w:rPr>
          <w:lang w:eastAsia="cs-CZ"/>
        </w:rPr>
        <w:t>, optoelektronik</w:t>
      </w:r>
      <w:r w:rsidR="00B928F7">
        <w:rPr>
          <w:lang w:eastAsia="cs-CZ"/>
        </w:rPr>
        <w:t>a</w:t>
      </w:r>
      <w:r>
        <w:rPr>
          <w:lang w:eastAsia="cs-CZ"/>
        </w:rPr>
        <w:t xml:space="preserve"> a elektrotechnik</w:t>
      </w:r>
      <w:r w:rsidR="00B928F7">
        <w:rPr>
          <w:lang w:eastAsia="cs-CZ"/>
        </w:rPr>
        <w:t>a a i</w:t>
      </w:r>
      <w:r>
        <w:rPr>
          <w:lang w:eastAsia="cs-CZ"/>
        </w:rPr>
        <w:t>nformatika.</w:t>
      </w:r>
      <w:r w:rsidR="00B928F7">
        <w:rPr>
          <w:lang w:eastAsia="cs-CZ"/>
        </w:rPr>
        <w:t xml:space="preserve"> </w:t>
      </w:r>
      <w:r w:rsidR="007F0ECE">
        <w:rPr>
          <w:lang w:eastAsia="cs-CZ"/>
        </w:rPr>
        <w:t>O významu ICT v mezinárodní spolupráci svědčí i to, že přibližně 15 % institucí zapojených v šetření využívá</w:t>
      </w:r>
      <w:r w:rsidR="00B928F7">
        <w:rPr>
          <w:lang w:eastAsia="cs-CZ"/>
        </w:rPr>
        <w:t xml:space="preserve"> v oblasti ICT</w:t>
      </w:r>
      <w:r w:rsidR="007F0ECE">
        <w:rPr>
          <w:lang w:eastAsia="cs-CZ"/>
        </w:rPr>
        <w:t xml:space="preserve"> mezinárodní výzkumnou spolupráci (viz </w:t>
      </w:r>
      <w:r w:rsidR="007F0ECE">
        <w:rPr>
          <w:lang w:eastAsia="cs-CZ"/>
        </w:rPr>
        <w:fldChar w:fldCharType="begin"/>
      </w:r>
      <w:r w:rsidR="007F0ECE">
        <w:rPr>
          <w:lang w:eastAsia="cs-CZ"/>
        </w:rPr>
        <w:instrText xml:space="preserve"> REF  _Ref454195440 \* Lower \h  \* MERGEFORMAT </w:instrText>
      </w:r>
      <w:r w:rsidR="007F0ECE">
        <w:rPr>
          <w:lang w:eastAsia="cs-CZ"/>
        </w:rPr>
      </w:r>
      <w:r w:rsidR="007F0ECE">
        <w:rPr>
          <w:lang w:eastAsia="cs-CZ"/>
        </w:rPr>
        <w:fldChar w:fldCharType="separate"/>
      </w:r>
      <w:r w:rsidR="003F08E5">
        <w:t xml:space="preserve">obr. </w:t>
      </w:r>
      <w:r w:rsidR="003F08E5">
        <w:rPr>
          <w:noProof/>
        </w:rPr>
        <w:t>26</w:t>
      </w:r>
      <w:r w:rsidR="007F0ECE">
        <w:rPr>
          <w:lang w:eastAsia="cs-CZ"/>
        </w:rPr>
        <w:fldChar w:fldCharType="end"/>
      </w:r>
      <w:r w:rsidR="007F0ECE">
        <w:rPr>
          <w:lang w:eastAsia="cs-CZ"/>
        </w:rPr>
        <w:t>). Ob</w:t>
      </w:r>
      <w:r>
        <w:t>dobně jako v případě RP i zde nebyly financovány projekty řešící zdravotní problematiku a projekty z oblasti sociálních a humanitních věd, což však souvisí s tím, že většina projektů byla podpořena v iniciativě Eureka, jejímž cílem je posílení konkurenceschopnosti podniků.</w:t>
      </w:r>
    </w:p>
    <w:p w:rsidR="00C66918" w:rsidRDefault="00C66918" w:rsidP="006B3908">
      <w:pPr>
        <w:pStyle w:val="Nadpis3"/>
      </w:pPr>
      <w:bookmarkStart w:id="179" w:name="_Ref454291434"/>
      <w:bookmarkStart w:id="180" w:name="_Toc459723312"/>
      <w:r>
        <w:t>Zájmové oblasti vhodné pro mezinárodní spolupráci</w:t>
      </w:r>
      <w:bookmarkEnd w:id="179"/>
      <w:bookmarkEnd w:id="180"/>
    </w:p>
    <w:tbl>
      <w:tblPr>
        <w:tblStyle w:val="Mkatabulky"/>
        <w:tblW w:w="0" w:type="auto"/>
        <w:tblLook w:val="04A0" w:firstRow="1" w:lastRow="0" w:firstColumn="1" w:lastColumn="0" w:noHBand="0" w:noVBand="1"/>
      </w:tblPr>
      <w:tblGrid>
        <w:gridCol w:w="9354"/>
      </w:tblGrid>
      <w:tr w:rsidR="006B3908" w:rsidRPr="006B3908" w:rsidTr="007F0ECE">
        <w:tc>
          <w:tcPr>
            <w:tcW w:w="9354" w:type="dxa"/>
            <w:shd w:val="clear" w:color="auto" w:fill="F2F2F2" w:themeFill="background1" w:themeFillShade="F2"/>
          </w:tcPr>
          <w:p w:rsidR="006B3908" w:rsidRDefault="006B3908" w:rsidP="006B3908">
            <w:pPr>
              <w:rPr>
                <w:lang w:eastAsia="cs-CZ"/>
              </w:rPr>
            </w:pPr>
            <w:r w:rsidRPr="006B3908">
              <w:rPr>
                <w:lang w:eastAsia="cs-CZ"/>
              </w:rPr>
              <w:t xml:space="preserve">Experti v rámci workshopu </w:t>
            </w:r>
            <w:r>
              <w:rPr>
                <w:lang w:eastAsia="cs-CZ"/>
              </w:rPr>
              <w:t>vyho</w:t>
            </w:r>
            <w:r w:rsidRPr="006B3908">
              <w:rPr>
                <w:lang w:eastAsia="cs-CZ"/>
              </w:rPr>
              <w:t xml:space="preserve">dnotili </w:t>
            </w:r>
            <w:r w:rsidR="000A6234">
              <w:rPr>
                <w:lang w:eastAsia="cs-CZ"/>
              </w:rPr>
              <w:t>následujících pět zájmových oblastí jako nejvhodnější pro rozvoj mezinárodní spolupráce ve VaV</w:t>
            </w:r>
            <w:r>
              <w:rPr>
                <w:lang w:eastAsia="cs-CZ"/>
              </w:rPr>
              <w:t>:</w:t>
            </w:r>
          </w:p>
          <w:p w:rsidR="006B3908" w:rsidRDefault="006B3908" w:rsidP="00D3747D">
            <w:pPr>
              <w:pStyle w:val="Odstavecseseznamem"/>
              <w:numPr>
                <w:ilvl w:val="0"/>
                <w:numId w:val="3"/>
              </w:numPr>
              <w:spacing w:before="60" w:after="60"/>
              <w:ind w:left="714" w:hanging="357"/>
              <w:contextualSpacing w:val="0"/>
              <w:rPr>
                <w:lang w:eastAsia="cs-CZ"/>
              </w:rPr>
            </w:pPr>
            <w:r>
              <w:rPr>
                <w:lang w:eastAsia="cs-CZ"/>
              </w:rPr>
              <w:t>N</w:t>
            </w:r>
            <w:r w:rsidRPr="006B3908">
              <w:rPr>
                <w:lang w:eastAsia="cs-CZ"/>
              </w:rPr>
              <w:t>ové a pokročilé metody identifikace osob a věcí</w:t>
            </w:r>
            <w:r>
              <w:rPr>
                <w:lang w:eastAsia="cs-CZ"/>
              </w:rPr>
              <w:t>;</w:t>
            </w:r>
          </w:p>
          <w:p w:rsidR="006B3908" w:rsidRDefault="006B3908" w:rsidP="00D3747D">
            <w:pPr>
              <w:pStyle w:val="Odstavecseseznamem"/>
              <w:numPr>
                <w:ilvl w:val="0"/>
                <w:numId w:val="3"/>
              </w:numPr>
              <w:spacing w:before="60" w:after="60"/>
              <w:ind w:left="714" w:hanging="357"/>
              <w:contextualSpacing w:val="0"/>
              <w:rPr>
                <w:lang w:eastAsia="cs-CZ"/>
              </w:rPr>
            </w:pPr>
            <w:r>
              <w:rPr>
                <w:lang w:eastAsia="cs-CZ"/>
              </w:rPr>
              <w:t>P</w:t>
            </w:r>
            <w:r w:rsidRPr="006B3908">
              <w:rPr>
                <w:lang w:eastAsia="cs-CZ"/>
              </w:rPr>
              <w:t>okročilé technologie automatické biometrické identifikace</w:t>
            </w:r>
            <w:r>
              <w:rPr>
                <w:lang w:eastAsia="cs-CZ"/>
              </w:rPr>
              <w:t>;</w:t>
            </w:r>
          </w:p>
          <w:p w:rsidR="006B3908" w:rsidRDefault="006B3908" w:rsidP="00D3747D">
            <w:pPr>
              <w:pStyle w:val="Odstavecseseznamem"/>
              <w:numPr>
                <w:ilvl w:val="0"/>
                <w:numId w:val="3"/>
              </w:numPr>
              <w:spacing w:before="60" w:after="60"/>
              <w:ind w:left="714" w:hanging="357"/>
              <w:contextualSpacing w:val="0"/>
              <w:rPr>
                <w:lang w:eastAsia="cs-CZ"/>
              </w:rPr>
            </w:pPr>
            <w:r>
              <w:rPr>
                <w:lang w:eastAsia="cs-CZ"/>
              </w:rPr>
              <w:t>P</w:t>
            </w:r>
            <w:r w:rsidRPr="006B3908">
              <w:rPr>
                <w:lang w:eastAsia="cs-CZ"/>
              </w:rPr>
              <w:t>rediktivní modelování a velká data</w:t>
            </w:r>
            <w:r>
              <w:rPr>
                <w:lang w:eastAsia="cs-CZ"/>
              </w:rPr>
              <w:t>;</w:t>
            </w:r>
          </w:p>
          <w:p w:rsidR="006B3908" w:rsidRDefault="006B3908" w:rsidP="00D3747D">
            <w:pPr>
              <w:pStyle w:val="Odstavecseseznamem"/>
              <w:numPr>
                <w:ilvl w:val="0"/>
                <w:numId w:val="3"/>
              </w:numPr>
              <w:spacing w:before="60" w:after="60"/>
              <w:ind w:left="714" w:hanging="357"/>
              <w:contextualSpacing w:val="0"/>
              <w:rPr>
                <w:lang w:eastAsia="cs-CZ"/>
              </w:rPr>
            </w:pPr>
            <w:r>
              <w:rPr>
                <w:lang w:eastAsia="cs-CZ"/>
              </w:rPr>
              <w:t>Pokročilé materiály;</w:t>
            </w:r>
          </w:p>
          <w:p w:rsidR="006B3908" w:rsidRDefault="006B3908" w:rsidP="00D3747D">
            <w:pPr>
              <w:pStyle w:val="Odstavecseseznamem"/>
              <w:numPr>
                <w:ilvl w:val="0"/>
                <w:numId w:val="3"/>
              </w:numPr>
              <w:spacing w:before="60" w:after="60"/>
              <w:ind w:left="714" w:hanging="357"/>
              <w:contextualSpacing w:val="0"/>
              <w:rPr>
                <w:lang w:eastAsia="cs-CZ"/>
              </w:rPr>
            </w:pPr>
            <w:r>
              <w:rPr>
                <w:lang w:eastAsia="cs-CZ"/>
              </w:rPr>
              <w:lastRenderedPageBreak/>
              <w:t>K</w:t>
            </w:r>
            <w:r w:rsidRPr="006B3908">
              <w:rPr>
                <w:lang w:eastAsia="cs-CZ"/>
              </w:rPr>
              <w:t>rizov</w:t>
            </w:r>
            <w:r>
              <w:rPr>
                <w:lang w:eastAsia="cs-CZ"/>
              </w:rPr>
              <w:t>á</w:t>
            </w:r>
            <w:r w:rsidRPr="006B3908">
              <w:rPr>
                <w:lang w:eastAsia="cs-CZ"/>
              </w:rPr>
              <w:t xml:space="preserve"> komunikac</w:t>
            </w:r>
            <w:r>
              <w:rPr>
                <w:lang w:eastAsia="cs-CZ"/>
              </w:rPr>
              <w:t>e</w:t>
            </w:r>
            <w:r w:rsidRPr="006B3908">
              <w:rPr>
                <w:lang w:eastAsia="cs-CZ"/>
              </w:rPr>
              <w:t>.</w:t>
            </w:r>
          </w:p>
          <w:p w:rsidR="006B3908" w:rsidRDefault="006B3908" w:rsidP="006B3908">
            <w:pPr>
              <w:rPr>
                <w:lang w:eastAsia="cs-CZ"/>
              </w:rPr>
            </w:pPr>
            <w:r>
              <w:rPr>
                <w:lang w:eastAsia="cs-CZ"/>
              </w:rPr>
              <w:t xml:space="preserve">Naopak jako </w:t>
            </w:r>
            <w:r w:rsidR="000A6234">
              <w:rPr>
                <w:lang w:eastAsia="cs-CZ"/>
              </w:rPr>
              <w:t>pět zájmových oblastí nejméně vhodných pro rozvoj mezinárodní spolupráce ve VaV</w:t>
            </w:r>
            <w:r>
              <w:rPr>
                <w:lang w:eastAsia="cs-CZ"/>
              </w:rPr>
              <w:t>, experti vyhodnotili:</w:t>
            </w:r>
          </w:p>
          <w:p w:rsidR="000A6234" w:rsidRDefault="000A6234" w:rsidP="000A6234">
            <w:pPr>
              <w:pStyle w:val="Odstavecseseznamem"/>
              <w:numPr>
                <w:ilvl w:val="0"/>
                <w:numId w:val="3"/>
              </w:numPr>
              <w:spacing w:before="60" w:after="60"/>
              <w:ind w:left="714" w:hanging="357"/>
              <w:contextualSpacing w:val="0"/>
              <w:rPr>
                <w:lang w:eastAsia="cs-CZ"/>
              </w:rPr>
            </w:pPr>
            <w:r>
              <w:rPr>
                <w:lang w:eastAsia="cs-CZ"/>
              </w:rPr>
              <w:t>Opatření proti vnitřním zdrojům ohrožení;</w:t>
            </w:r>
          </w:p>
          <w:p w:rsidR="000A6234" w:rsidRDefault="000A6234" w:rsidP="000A6234">
            <w:pPr>
              <w:pStyle w:val="Odstavecseseznamem"/>
              <w:numPr>
                <w:ilvl w:val="0"/>
                <w:numId w:val="3"/>
              </w:numPr>
              <w:spacing w:before="60" w:after="60"/>
              <w:ind w:left="714" w:hanging="357"/>
              <w:contextualSpacing w:val="0"/>
              <w:rPr>
                <w:lang w:eastAsia="cs-CZ"/>
              </w:rPr>
            </w:pPr>
            <w:r>
              <w:rPr>
                <w:lang w:eastAsia="cs-CZ"/>
              </w:rPr>
              <w:t>Velení a řízení;</w:t>
            </w:r>
          </w:p>
          <w:p w:rsidR="000A6234" w:rsidRDefault="000A6234" w:rsidP="000A6234">
            <w:pPr>
              <w:pStyle w:val="Odstavecseseznamem"/>
              <w:numPr>
                <w:ilvl w:val="0"/>
                <w:numId w:val="3"/>
              </w:numPr>
              <w:spacing w:before="60" w:after="60"/>
              <w:ind w:left="714" w:hanging="357"/>
              <w:contextualSpacing w:val="0"/>
              <w:rPr>
                <w:lang w:eastAsia="cs-CZ"/>
              </w:rPr>
            </w:pPr>
            <w:r>
              <w:rPr>
                <w:lang w:eastAsia="cs-CZ"/>
              </w:rPr>
              <w:t>Dokumentace a rekonstrukce místa / průběhu incidentu;</w:t>
            </w:r>
          </w:p>
          <w:p w:rsidR="000A6234" w:rsidRDefault="000A6234" w:rsidP="000A6234">
            <w:pPr>
              <w:pStyle w:val="Odstavecseseznamem"/>
              <w:numPr>
                <w:ilvl w:val="0"/>
                <w:numId w:val="3"/>
              </w:numPr>
              <w:spacing w:before="60" w:after="60"/>
              <w:ind w:left="714" w:hanging="357"/>
              <w:contextualSpacing w:val="0"/>
              <w:rPr>
                <w:lang w:eastAsia="cs-CZ"/>
              </w:rPr>
            </w:pPr>
            <w:r>
              <w:rPr>
                <w:lang w:eastAsia="cs-CZ"/>
              </w:rPr>
              <w:t>Sociální vyloučení a integrace;</w:t>
            </w:r>
          </w:p>
          <w:p w:rsidR="006B3908" w:rsidRPr="006B3908" w:rsidRDefault="000A6234" w:rsidP="000A6234">
            <w:pPr>
              <w:pStyle w:val="Odstavecseseznamem"/>
              <w:numPr>
                <w:ilvl w:val="0"/>
                <w:numId w:val="3"/>
              </w:numPr>
              <w:spacing w:before="60" w:after="60"/>
              <w:ind w:left="714" w:hanging="357"/>
              <w:contextualSpacing w:val="0"/>
              <w:rPr>
                <w:lang w:eastAsia="cs-CZ"/>
              </w:rPr>
            </w:pPr>
            <w:r>
              <w:rPr>
                <w:lang w:eastAsia="cs-CZ"/>
              </w:rPr>
              <w:t>Vymáhání ochranných režimů.</w:t>
            </w:r>
          </w:p>
        </w:tc>
      </w:tr>
    </w:tbl>
    <w:p w:rsidR="00C66918" w:rsidRDefault="00F63640" w:rsidP="00C66918">
      <w:r>
        <w:lastRenderedPageBreak/>
        <w:t>Pro stanovení zájmových oblastí pro mezinárodní spolupráci v bezpečnostně zaměřeném výzkumu byly také využity názory expertů na workshopu,</w:t>
      </w:r>
      <w:r w:rsidR="00C66918">
        <w:t xml:space="preserve"> kteří se snažili posoudit, jaké </w:t>
      </w:r>
      <w:r w:rsidR="00836805">
        <w:t>oblasti bezpečnostního výzkumu</w:t>
      </w:r>
      <w:r w:rsidR="00C66918">
        <w:t xml:space="preserve"> jsou vhodné pro rozvoj mezinárodní spolupráce. Oblasti, kde je ne</w:t>
      </w:r>
      <w:r w:rsidR="00FB1AC0">
        <w:t xml:space="preserve">jvhodnější </w:t>
      </w:r>
      <w:r>
        <w:t>využí</w:t>
      </w:r>
      <w:r w:rsidR="00FB1AC0">
        <w:t>t VaV realizovaný</w:t>
      </w:r>
      <w:r w:rsidR="00C66918">
        <w:t xml:space="preserve"> v mezinárodní spolupráci</w:t>
      </w:r>
      <w:r>
        <w:t>,</w:t>
      </w:r>
      <w:r w:rsidR="00C66918">
        <w:t xml:space="preserve"> jsou zachyceny na </w:t>
      </w:r>
      <w:r w:rsidR="00C66918">
        <w:fldChar w:fldCharType="begin"/>
      </w:r>
      <w:r w:rsidR="00C66918">
        <w:instrText xml:space="preserve"> REF  _Ref454187843 \* Lower \h  \* MERGEFORMAT </w:instrText>
      </w:r>
      <w:r w:rsidR="00C66918">
        <w:fldChar w:fldCharType="separate"/>
      </w:r>
      <w:r w:rsidR="003F08E5">
        <w:t xml:space="preserve">obr. </w:t>
      </w:r>
      <w:r w:rsidR="003F08E5">
        <w:rPr>
          <w:noProof/>
        </w:rPr>
        <w:t>24</w:t>
      </w:r>
      <w:r w:rsidR="00C66918">
        <w:fldChar w:fldCharType="end"/>
      </w:r>
      <w:r w:rsidR="00C66918">
        <w:t xml:space="preserve">. Kompletní přehled zájmových oblastí včetně hodnocení jejich vhodnosti pro rozvoj mezinárodní výzkumné </w:t>
      </w:r>
      <w:r w:rsidR="00FB1AC0">
        <w:t xml:space="preserve">spolupráce </w:t>
      </w:r>
      <w:r w:rsidR="00C66918">
        <w:t xml:space="preserve">je uveden v </w:t>
      </w:r>
      <w:r w:rsidR="00C66918">
        <w:fldChar w:fldCharType="begin"/>
      </w:r>
      <w:r w:rsidR="00C66918">
        <w:instrText xml:space="preserve"> REF  _Ref454195247 \* Lower \h  \* MERGEFORMAT </w:instrText>
      </w:r>
      <w:r w:rsidR="00C66918">
        <w:fldChar w:fldCharType="separate"/>
      </w:r>
      <w:r w:rsidR="003F08E5">
        <w:t xml:space="preserve">tab. </w:t>
      </w:r>
      <w:r w:rsidR="003F08E5">
        <w:rPr>
          <w:noProof/>
        </w:rPr>
        <w:t>49</w:t>
      </w:r>
      <w:r w:rsidR="00C66918">
        <w:fldChar w:fldCharType="end"/>
      </w:r>
      <w:r w:rsidR="00C66918">
        <w:t xml:space="preserve"> v kap. </w:t>
      </w:r>
      <w:r w:rsidR="00C66918">
        <w:fldChar w:fldCharType="begin"/>
      </w:r>
      <w:r w:rsidR="00C66918">
        <w:instrText xml:space="preserve"> REF _Ref454279223 \r \h </w:instrText>
      </w:r>
      <w:r w:rsidR="00C66918">
        <w:fldChar w:fldCharType="separate"/>
      </w:r>
      <w:r w:rsidR="003F08E5">
        <w:t>3.6.4</w:t>
      </w:r>
      <w:r w:rsidR="00C66918">
        <w:fldChar w:fldCharType="end"/>
      </w:r>
      <w:r w:rsidR="00C66918">
        <w:t>.</w:t>
      </w:r>
    </w:p>
    <w:p w:rsidR="00C66918" w:rsidRDefault="00C66918" w:rsidP="00C66918">
      <w:pPr>
        <w:keepNext/>
        <w:jc w:val="center"/>
      </w:pPr>
      <w:r>
        <w:rPr>
          <w:noProof/>
          <w:lang w:eastAsia="cs-CZ"/>
        </w:rPr>
        <w:drawing>
          <wp:inline distT="0" distB="0" distL="0" distR="0" wp14:anchorId="55AA54AF" wp14:editId="027FAA13">
            <wp:extent cx="5301523" cy="3120755"/>
            <wp:effectExtent l="0" t="0" r="0" b="3810"/>
            <wp:docPr id="100" name="Obrázek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301523" cy="3120755"/>
                    </a:xfrm>
                    <a:prstGeom prst="rect">
                      <a:avLst/>
                    </a:prstGeom>
                    <a:noFill/>
                  </pic:spPr>
                </pic:pic>
              </a:graphicData>
            </a:graphic>
          </wp:inline>
        </w:drawing>
      </w:r>
    </w:p>
    <w:p w:rsidR="00C66918" w:rsidRDefault="00C66918" w:rsidP="00C66918">
      <w:pPr>
        <w:pStyle w:val="Titulek"/>
        <w:jc w:val="both"/>
      </w:pPr>
      <w:bookmarkStart w:id="181" w:name="_Ref454187843"/>
      <w:r>
        <w:t xml:space="preserve">Obr. </w:t>
      </w:r>
      <w:r w:rsidR="00990E2D">
        <w:fldChar w:fldCharType="begin"/>
      </w:r>
      <w:r w:rsidR="00990E2D">
        <w:instrText xml:space="preserve"> SEQ Obr. \* ARABIC </w:instrText>
      </w:r>
      <w:r w:rsidR="00990E2D">
        <w:fldChar w:fldCharType="separate"/>
      </w:r>
      <w:r w:rsidR="003F08E5">
        <w:rPr>
          <w:noProof/>
        </w:rPr>
        <w:t>24</w:t>
      </w:r>
      <w:r w:rsidR="00990E2D">
        <w:rPr>
          <w:noProof/>
        </w:rPr>
        <w:fldChar w:fldCharType="end"/>
      </w:r>
      <w:bookmarkEnd w:id="181"/>
      <w:r>
        <w:tab/>
      </w:r>
      <w:r w:rsidRPr="002B46E9">
        <w:t xml:space="preserve">Zájmové oblasti s nejvyšším hodnocením z hlediska jejich vhodnosti pro mezinárodní výzkumnou spolupráci (1 = nevhodná oblast pro </w:t>
      </w:r>
      <w:r>
        <w:t xml:space="preserve">mezinárodní výzkumnou spolupráci </w:t>
      </w:r>
      <w:r w:rsidRPr="002B46E9">
        <w:t xml:space="preserve">až 5 = nutno řešit v </w:t>
      </w:r>
      <w:r>
        <w:t>mezinárodní výzkumné spolupráci</w:t>
      </w:r>
      <w:r w:rsidRPr="002B46E9">
        <w:t>)</w:t>
      </w:r>
    </w:p>
    <w:p w:rsidR="00601391" w:rsidRDefault="00601391" w:rsidP="00601391">
      <w:r>
        <w:t xml:space="preserve">Z přehledu vyplývá, že experti </w:t>
      </w:r>
      <w:r w:rsidR="00FB1AC0">
        <w:t>z</w:t>
      </w:r>
      <w:r>
        <w:t>a nejvhodnější oblasti pro VaV realizovaný v mezinárodní spolupráci považují zejména metody a technologie identifikace osob a automatickou biometrickou identifikaci, prediktivní modelování a velká data, pokročilé materiály a krizovou komunikaci. Naopak, jako oblasti nejméně vhodné pro rozvoj mezinárodní výzkumné spolupráce experti uvedli o</w:t>
      </w:r>
      <w:r>
        <w:rPr>
          <w:lang w:eastAsia="cs-CZ"/>
        </w:rPr>
        <w:t xml:space="preserve">patření proti vnitřním zdrojům ohrožení, velení a řízení, dokumentaci a rekonstrukci místa / průběhu incidentu, sociální vyloučení a integraci a vymáhání ochranných režimů (viz </w:t>
      </w:r>
      <w:r>
        <w:fldChar w:fldCharType="begin"/>
      </w:r>
      <w:r>
        <w:instrText xml:space="preserve"> REF  _Ref454195247 \* Lower \h  \* MERGEFORMAT </w:instrText>
      </w:r>
      <w:r>
        <w:fldChar w:fldCharType="separate"/>
      </w:r>
      <w:r w:rsidR="003F08E5">
        <w:t xml:space="preserve">tab. </w:t>
      </w:r>
      <w:r w:rsidR="003F08E5">
        <w:rPr>
          <w:noProof/>
        </w:rPr>
        <w:t>49</w:t>
      </w:r>
      <w:r>
        <w:fldChar w:fldCharType="end"/>
      </w:r>
      <w:r>
        <w:t xml:space="preserve"> v kap. </w:t>
      </w:r>
      <w:r>
        <w:fldChar w:fldCharType="begin"/>
      </w:r>
      <w:r>
        <w:instrText xml:space="preserve"> REF _Ref454279223 \r \h </w:instrText>
      </w:r>
      <w:r>
        <w:fldChar w:fldCharType="separate"/>
      </w:r>
      <w:r w:rsidR="003F08E5">
        <w:t>3.6.4</w:t>
      </w:r>
      <w:r>
        <w:fldChar w:fldCharType="end"/>
      </w:r>
      <w:r>
        <w:t>)</w:t>
      </w:r>
      <w:r>
        <w:rPr>
          <w:lang w:eastAsia="cs-CZ"/>
        </w:rPr>
        <w:t>.</w:t>
      </w:r>
    </w:p>
    <w:p w:rsidR="0057397D" w:rsidRDefault="009513E8" w:rsidP="00B265D1">
      <w:pPr>
        <w:pStyle w:val="Nadpis3"/>
      </w:pPr>
      <w:bookmarkStart w:id="182" w:name="_Ref454279223"/>
      <w:bookmarkStart w:id="183" w:name="_Toc459723313"/>
      <w:r>
        <w:t>Zájmové oblasti</w:t>
      </w:r>
      <w:r w:rsidR="00B265D1">
        <w:t xml:space="preserve"> bezpečnosti</w:t>
      </w:r>
      <w:bookmarkEnd w:id="182"/>
      <w:bookmarkEnd w:id="183"/>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9354"/>
      </w:tblGrid>
      <w:tr w:rsidR="00956D7A" w:rsidRPr="00DC6464" w:rsidTr="00DC6464">
        <w:tc>
          <w:tcPr>
            <w:tcW w:w="9354" w:type="dxa"/>
            <w:shd w:val="clear" w:color="auto" w:fill="F2F2F2" w:themeFill="background1" w:themeFillShade="F2"/>
          </w:tcPr>
          <w:p w:rsidR="00FE0E6D" w:rsidRPr="00DC6464" w:rsidRDefault="001316AF" w:rsidP="00FE0E6D">
            <w:pPr>
              <w:rPr>
                <w:lang w:eastAsia="cs-CZ"/>
              </w:rPr>
            </w:pPr>
            <w:r w:rsidRPr="001316AF">
              <w:rPr>
                <w:lang w:eastAsia="cs-CZ"/>
              </w:rPr>
              <w:t xml:space="preserve">Hodnocení jednotlivých zájmových oblastí bylo provedeno experty v rámci workshopu. </w:t>
            </w:r>
            <w:r w:rsidR="00FE0E6D" w:rsidRPr="00DC6464">
              <w:rPr>
                <w:lang w:eastAsia="cs-CZ"/>
              </w:rPr>
              <w:t>Experti hodnot</w:t>
            </w:r>
            <w:r>
              <w:rPr>
                <w:lang w:eastAsia="cs-CZ"/>
              </w:rPr>
              <w:t>ili</w:t>
            </w:r>
            <w:r w:rsidR="00FE0E6D" w:rsidRPr="00DC6464">
              <w:rPr>
                <w:lang w:eastAsia="cs-CZ"/>
              </w:rPr>
              <w:t xml:space="preserve"> současnou úroveň znalostí pro bezpečnostní výzkum v ČR jako spíše průměrnou až podprůměrnou</w:t>
            </w:r>
            <w:r>
              <w:rPr>
                <w:lang w:eastAsia="cs-CZ"/>
              </w:rPr>
              <w:t xml:space="preserve">. </w:t>
            </w:r>
            <w:r w:rsidR="00FE0E6D" w:rsidRPr="00DC6464">
              <w:rPr>
                <w:lang w:eastAsia="cs-CZ"/>
              </w:rPr>
              <w:t xml:space="preserve">Zájmovou oblastí s nejlepší úrovní znalostí pro VaV je podle mínění expertů </w:t>
            </w:r>
            <w:r w:rsidR="00FE0E6D" w:rsidRPr="00DC6464">
              <w:rPr>
                <w:b/>
                <w:lang w:eastAsia="cs-CZ"/>
              </w:rPr>
              <w:lastRenderedPageBreak/>
              <w:t>Monitoring kontrolovaných a nebezpečných látek</w:t>
            </w:r>
            <w:r>
              <w:rPr>
                <w:lang w:eastAsia="cs-CZ"/>
              </w:rPr>
              <w:t xml:space="preserve">. </w:t>
            </w:r>
            <w:r w:rsidRPr="00315603">
              <w:rPr>
                <w:lang w:eastAsia="cs-CZ"/>
              </w:rPr>
              <w:t>Hodnocení zájmových oblastí z hlediska poptávky naopak naznačuje spíše nadprůměrný zájem o výsledky bezpečnostního výzkumu</w:t>
            </w:r>
            <w:r w:rsidRPr="00DC6464">
              <w:rPr>
                <w:lang w:eastAsia="cs-CZ"/>
              </w:rPr>
              <w:t>.</w:t>
            </w:r>
            <w:r>
              <w:rPr>
                <w:lang w:eastAsia="cs-CZ"/>
              </w:rPr>
              <w:t xml:space="preserve"> Z</w:t>
            </w:r>
            <w:r w:rsidR="00FE0E6D" w:rsidRPr="00DC6464">
              <w:rPr>
                <w:lang w:eastAsia="cs-CZ"/>
              </w:rPr>
              <w:t>ájmovou oblast s nejvyšší poptávkou po VaV ze strany uživatelů předsta</w:t>
            </w:r>
            <w:r>
              <w:rPr>
                <w:lang w:eastAsia="cs-CZ"/>
              </w:rPr>
              <w:t>vují</w:t>
            </w:r>
            <w:r w:rsidR="00FE0E6D" w:rsidRPr="00DC6464">
              <w:rPr>
                <w:lang w:eastAsia="cs-CZ"/>
              </w:rPr>
              <w:t xml:space="preserve"> </w:t>
            </w:r>
            <w:r w:rsidR="00FE0E6D" w:rsidRPr="00DC6464">
              <w:rPr>
                <w:b/>
                <w:lang w:eastAsia="cs-CZ"/>
              </w:rPr>
              <w:t>Technická protiopatření a prostředky ochrany informací</w:t>
            </w:r>
            <w:r w:rsidR="00FE0E6D" w:rsidRPr="00DC6464">
              <w:rPr>
                <w:lang w:eastAsia="cs-CZ"/>
              </w:rPr>
              <w:t xml:space="preserve">. </w:t>
            </w:r>
          </w:p>
          <w:p w:rsidR="00956D7A" w:rsidRPr="00DC6464" w:rsidRDefault="00FE0E6D" w:rsidP="006571B0">
            <w:pPr>
              <w:rPr>
                <w:lang w:eastAsia="cs-CZ"/>
              </w:rPr>
            </w:pPr>
            <w:r w:rsidRPr="00DC6464">
              <w:rPr>
                <w:lang w:eastAsia="cs-CZ"/>
              </w:rPr>
              <w:t xml:space="preserve">Jako zájmové oblasti bezpečnostního výzkumu, které by měly být v období do roku 2025 nejvíce podpořeny z veřejných zdrojů, experti navrhují zejména </w:t>
            </w:r>
            <w:r w:rsidRPr="00DC6464">
              <w:rPr>
                <w:b/>
                <w:lang w:eastAsia="cs-CZ"/>
              </w:rPr>
              <w:t>Analýzu predikce hrozeb a rizik</w:t>
            </w:r>
            <w:r w:rsidRPr="00DC6464">
              <w:rPr>
                <w:lang w:eastAsia="cs-CZ"/>
              </w:rPr>
              <w:t xml:space="preserve">, </w:t>
            </w:r>
            <w:r w:rsidRPr="00DC6464">
              <w:rPr>
                <w:b/>
                <w:lang w:eastAsia="cs-CZ"/>
              </w:rPr>
              <w:t>Nové pokročilé metody identifikace osob a věcí</w:t>
            </w:r>
            <w:r w:rsidRPr="00DC6464">
              <w:rPr>
                <w:lang w:eastAsia="cs-CZ"/>
              </w:rPr>
              <w:t xml:space="preserve"> a </w:t>
            </w:r>
            <w:r w:rsidRPr="00DC6464">
              <w:rPr>
                <w:b/>
                <w:lang w:eastAsia="cs-CZ"/>
              </w:rPr>
              <w:t>Data mining a automatizovanou analýzu</w:t>
            </w:r>
            <w:r w:rsidR="00E45112" w:rsidRPr="00DC6464">
              <w:rPr>
                <w:lang w:eastAsia="cs-CZ"/>
              </w:rPr>
              <w:t xml:space="preserve">. </w:t>
            </w:r>
          </w:p>
        </w:tc>
      </w:tr>
    </w:tbl>
    <w:p w:rsidR="00FE0E6D" w:rsidRDefault="00080AC0" w:rsidP="006571B0">
      <w:pPr>
        <w:rPr>
          <w:lang w:eastAsia="cs-CZ"/>
        </w:rPr>
      </w:pPr>
      <w:r w:rsidRPr="00080AC0">
        <w:rPr>
          <w:lang w:eastAsia="cs-CZ"/>
        </w:rPr>
        <w:lastRenderedPageBreak/>
        <w:t>V rámci přípravy variant rozvoje systému bezpečnostního výzkumu pro období po roce 2017 připravilo MV návrh věcného vymezení problematiky bezpečnostního výzkumu, jehož struktura je zachycena v</w:t>
      </w:r>
      <w:r w:rsidR="001D1D85">
        <w:rPr>
          <w:lang w:eastAsia="cs-CZ"/>
        </w:rPr>
        <w:t xml:space="preserve"> </w:t>
      </w:r>
      <w:r w:rsidR="001D1D85">
        <w:rPr>
          <w:lang w:eastAsia="cs-CZ"/>
        </w:rPr>
        <w:fldChar w:fldCharType="begin"/>
      </w:r>
      <w:r w:rsidR="001D1D85">
        <w:rPr>
          <w:lang w:eastAsia="cs-CZ"/>
        </w:rPr>
        <w:instrText xml:space="preserve"> REF  _Ref454188863 \* Lower \h  \* MERGEFORMAT </w:instrText>
      </w:r>
      <w:r w:rsidR="001D1D85">
        <w:rPr>
          <w:lang w:eastAsia="cs-CZ"/>
        </w:rPr>
      </w:r>
      <w:r w:rsidR="001D1D85">
        <w:rPr>
          <w:lang w:eastAsia="cs-CZ"/>
        </w:rPr>
        <w:fldChar w:fldCharType="separate"/>
      </w:r>
      <w:r w:rsidR="003F08E5">
        <w:t xml:space="preserve">tab. </w:t>
      </w:r>
      <w:r w:rsidR="003F08E5">
        <w:rPr>
          <w:noProof/>
        </w:rPr>
        <w:t>48</w:t>
      </w:r>
      <w:r w:rsidR="001D1D85">
        <w:rPr>
          <w:lang w:eastAsia="cs-CZ"/>
        </w:rPr>
        <w:fldChar w:fldCharType="end"/>
      </w:r>
      <w:r w:rsidRPr="00080AC0">
        <w:rPr>
          <w:lang w:eastAsia="cs-CZ"/>
        </w:rPr>
        <w:t>.</w:t>
      </w:r>
    </w:p>
    <w:p w:rsidR="001D1D85" w:rsidRDefault="001D1D85" w:rsidP="001D1D85">
      <w:pPr>
        <w:pStyle w:val="Titulek"/>
        <w:keepNext/>
      </w:pPr>
      <w:bookmarkStart w:id="184" w:name="_Ref454188863"/>
      <w:r>
        <w:t xml:space="preserve">Tab. </w:t>
      </w:r>
      <w:r w:rsidR="00990E2D">
        <w:fldChar w:fldCharType="begin"/>
      </w:r>
      <w:r w:rsidR="00990E2D">
        <w:instrText xml:space="preserve"> SEQ Tab. \* ARABIC </w:instrText>
      </w:r>
      <w:r w:rsidR="00990E2D">
        <w:fldChar w:fldCharType="separate"/>
      </w:r>
      <w:r w:rsidR="003F08E5">
        <w:rPr>
          <w:noProof/>
        </w:rPr>
        <w:t>48</w:t>
      </w:r>
      <w:r w:rsidR="00990E2D">
        <w:rPr>
          <w:noProof/>
        </w:rPr>
        <w:fldChar w:fldCharType="end"/>
      </w:r>
      <w:bookmarkEnd w:id="184"/>
      <w:r>
        <w:tab/>
      </w:r>
      <w:r w:rsidRPr="001D1D85">
        <w:t>Návrh struktury věcného vymezení problematiky bezpečnostního výzkumu po roce 2017</w:t>
      </w:r>
      <w:r w:rsidR="000212B7">
        <w:t xml:space="preserve">. </w:t>
      </w:r>
      <w:r w:rsidR="000212B7" w:rsidRPr="000212B7">
        <w:t>Zdroj: MV ČR</w:t>
      </w:r>
    </w:p>
    <w:tbl>
      <w:tblPr>
        <w:tblW w:w="9307" w:type="dxa"/>
        <w:jc w:val="center"/>
        <w:tblCellMar>
          <w:left w:w="70" w:type="dxa"/>
          <w:right w:w="70" w:type="dxa"/>
        </w:tblCellMar>
        <w:tblLook w:val="04A0" w:firstRow="1" w:lastRow="0" w:firstColumn="1" w:lastColumn="0" w:noHBand="0" w:noVBand="1"/>
      </w:tblPr>
      <w:tblGrid>
        <w:gridCol w:w="1205"/>
        <w:gridCol w:w="2007"/>
        <w:gridCol w:w="6095"/>
      </w:tblGrid>
      <w:tr w:rsidR="001316AF" w:rsidRPr="00AE2BC0" w:rsidTr="001316AF">
        <w:trPr>
          <w:trHeight w:val="288"/>
          <w:jc w:val="center"/>
        </w:trPr>
        <w:tc>
          <w:tcPr>
            <w:tcW w:w="1205"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rsidR="00AE2BC0" w:rsidRPr="00AE2BC0" w:rsidRDefault="00AE2BC0" w:rsidP="00AE2BC0">
            <w:pPr>
              <w:spacing w:before="20" w:after="20"/>
              <w:jc w:val="center"/>
              <w:rPr>
                <w:rFonts w:eastAsia="Times New Roman" w:cs="Times New Roman"/>
                <w:b/>
                <w:i/>
                <w:iCs/>
                <w:color w:val="000000"/>
                <w:sz w:val="20"/>
                <w:szCs w:val="20"/>
                <w:lang w:eastAsia="cs-CZ"/>
              </w:rPr>
            </w:pPr>
            <w:r w:rsidRPr="00AE2BC0">
              <w:rPr>
                <w:rFonts w:eastAsia="Times New Roman" w:cs="Times New Roman"/>
                <w:b/>
                <w:color w:val="000000"/>
                <w:sz w:val="20"/>
                <w:szCs w:val="20"/>
                <w:lang w:eastAsia="cs-CZ"/>
              </w:rPr>
              <w:t>Rámcové zaměření</w:t>
            </w:r>
          </w:p>
        </w:tc>
        <w:tc>
          <w:tcPr>
            <w:tcW w:w="2007"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AE2BC0" w:rsidRPr="00AE2BC0" w:rsidRDefault="00AE2BC0" w:rsidP="00AE2BC0">
            <w:pPr>
              <w:spacing w:before="20" w:after="20"/>
              <w:jc w:val="center"/>
              <w:rPr>
                <w:rFonts w:eastAsia="Times New Roman" w:cs="Times New Roman"/>
                <w:b/>
                <w:i/>
                <w:iCs/>
                <w:color w:val="000000"/>
                <w:sz w:val="20"/>
                <w:szCs w:val="20"/>
                <w:lang w:eastAsia="cs-CZ"/>
              </w:rPr>
            </w:pPr>
            <w:r w:rsidRPr="00AE2BC0">
              <w:rPr>
                <w:rFonts w:eastAsia="Times New Roman" w:cs="Times New Roman"/>
                <w:b/>
                <w:color w:val="000000"/>
                <w:sz w:val="20"/>
                <w:szCs w:val="20"/>
                <w:lang w:eastAsia="cs-CZ"/>
              </w:rPr>
              <w:t>Věcná oblast</w:t>
            </w:r>
          </w:p>
        </w:tc>
        <w:tc>
          <w:tcPr>
            <w:tcW w:w="6095"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AE2BC0" w:rsidRPr="00AE2BC0" w:rsidRDefault="00AE2BC0" w:rsidP="00AE2BC0">
            <w:pPr>
              <w:spacing w:before="20" w:after="20"/>
              <w:jc w:val="left"/>
              <w:rPr>
                <w:rFonts w:eastAsia="Times New Roman" w:cs="Times New Roman"/>
                <w:b/>
                <w:i/>
                <w:iCs/>
                <w:color w:val="000000"/>
                <w:sz w:val="20"/>
                <w:szCs w:val="20"/>
                <w:lang w:eastAsia="cs-CZ"/>
              </w:rPr>
            </w:pPr>
            <w:r w:rsidRPr="00AE2BC0">
              <w:rPr>
                <w:rFonts w:eastAsia="Times New Roman" w:cs="Times New Roman"/>
                <w:b/>
                <w:color w:val="000000"/>
                <w:sz w:val="20"/>
                <w:szCs w:val="20"/>
                <w:lang w:eastAsia="cs-CZ"/>
              </w:rPr>
              <w:t>Zájmové oblasti</w:t>
            </w:r>
          </w:p>
        </w:tc>
      </w:tr>
      <w:tr w:rsidR="00AE2BC0" w:rsidRPr="00AE2BC0" w:rsidTr="00A42657">
        <w:trPr>
          <w:trHeight w:val="218"/>
          <w:jc w:val="center"/>
        </w:trPr>
        <w:tc>
          <w:tcPr>
            <w:tcW w:w="1205" w:type="dxa"/>
            <w:vMerge w:val="restart"/>
            <w:tcBorders>
              <w:top w:val="nil"/>
              <w:left w:val="single" w:sz="4" w:space="0" w:color="auto"/>
              <w:bottom w:val="single" w:sz="4" w:space="0" w:color="auto"/>
              <w:right w:val="single" w:sz="4" w:space="0" w:color="auto"/>
            </w:tcBorders>
            <w:textDirection w:val="btLr"/>
            <w:vAlign w:val="center"/>
            <w:hideMark/>
          </w:tcPr>
          <w:p w:rsidR="00AE2BC0" w:rsidRPr="00AE2BC0" w:rsidRDefault="00AE2BC0" w:rsidP="00AE2BC0">
            <w:pPr>
              <w:spacing w:before="20" w:after="20"/>
              <w:jc w:val="center"/>
              <w:rPr>
                <w:rFonts w:eastAsia="Times New Roman" w:cs="Times New Roman"/>
                <w:b/>
                <w:iCs/>
                <w:color w:val="000000"/>
                <w:sz w:val="20"/>
                <w:szCs w:val="20"/>
                <w:lang w:eastAsia="cs-CZ"/>
              </w:rPr>
            </w:pPr>
            <w:r w:rsidRPr="006D3758">
              <w:rPr>
                <w:rFonts w:eastAsia="Times New Roman" w:cs="Times New Roman"/>
                <w:b/>
                <w:color w:val="000000"/>
                <w:sz w:val="20"/>
                <w:szCs w:val="20"/>
                <w:lang w:eastAsia="cs-CZ"/>
              </w:rPr>
              <w:t>Rozvoj bezpečnostního systému</w:t>
            </w:r>
          </w:p>
        </w:tc>
        <w:tc>
          <w:tcPr>
            <w:tcW w:w="2007" w:type="dxa"/>
            <w:vMerge w:val="restart"/>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jc w:val="center"/>
              <w:rPr>
                <w:rFonts w:eastAsia="Times New Roman" w:cs="Times New Roman"/>
                <w:iCs/>
                <w:color w:val="000000"/>
                <w:sz w:val="20"/>
                <w:szCs w:val="20"/>
                <w:lang w:eastAsia="cs-CZ"/>
              </w:rPr>
            </w:pPr>
            <w:r w:rsidRPr="00AE2BC0">
              <w:rPr>
                <w:rFonts w:eastAsia="Times New Roman" w:cs="Times New Roman"/>
                <w:color w:val="000000"/>
                <w:sz w:val="20"/>
                <w:szCs w:val="20"/>
                <w:lang w:eastAsia="cs-CZ"/>
              </w:rPr>
              <w:t>Bezpečnostní politika a krizové řízení</w:t>
            </w:r>
          </w:p>
        </w:tc>
        <w:tc>
          <w:tcPr>
            <w:tcW w:w="6095" w:type="dxa"/>
            <w:tcBorders>
              <w:top w:val="nil"/>
              <w:left w:val="nil"/>
              <w:bottom w:val="single" w:sz="4" w:space="0" w:color="auto"/>
              <w:right w:val="single" w:sz="4" w:space="0" w:color="auto"/>
            </w:tcBorders>
            <w:vAlign w:val="center"/>
            <w:hideMark/>
          </w:tcPr>
          <w:p w:rsidR="00AE2BC0" w:rsidRPr="00AE2BC0" w:rsidRDefault="00AE2BC0" w:rsidP="006D3758">
            <w:pPr>
              <w:spacing w:before="20" w:after="20"/>
              <w:jc w:val="left"/>
              <w:rPr>
                <w:rFonts w:eastAsia="Times New Roman" w:cs="Times New Roman"/>
                <w:iCs/>
                <w:color w:val="000000"/>
                <w:sz w:val="20"/>
                <w:szCs w:val="20"/>
                <w:lang w:eastAsia="cs-CZ"/>
              </w:rPr>
            </w:pPr>
            <w:r w:rsidRPr="00AE2BC0">
              <w:rPr>
                <w:rFonts w:eastAsia="Times New Roman" w:cs="Times New Roman"/>
                <w:color w:val="000000"/>
                <w:sz w:val="20"/>
                <w:szCs w:val="20"/>
                <w:lang w:eastAsia="cs-CZ"/>
              </w:rPr>
              <w:t xml:space="preserve">Speciální bezpečnostní a krizová legislativa, organizační nástroje řízení </w:t>
            </w:r>
            <w:r w:rsidR="004F345F">
              <w:rPr>
                <w:rFonts w:eastAsia="Times New Roman" w:cs="Times New Roman"/>
                <w:color w:val="000000"/>
                <w:sz w:val="20"/>
                <w:szCs w:val="20"/>
                <w:lang w:eastAsia="cs-CZ"/>
              </w:rPr>
              <w:t xml:space="preserve">BS </w:t>
            </w:r>
            <w:r w:rsidRPr="00AE2BC0">
              <w:rPr>
                <w:rFonts w:eastAsia="Times New Roman" w:cs="Times New Roman"/>
                <w:color w:val="000000"/>
                <w:sz w:val="20"/>
                <w:szCs w:val="20"/>
                <w:lang w:eastAsia="cs-CZ"/>
              </w:rPr>
              <w:t>a evaluace</w:t>
            </w:r>
          </w:p>
        </w:tc>
      </w:tr>
      <w:tr w:rsidR="00AE2BC0" w:rsidRPr="00AE2BC0" w:rsidTr="00A42657">
        <w:trPr>
          <w:trHeight w:val="288"/>
          <w:jc w:val="center"/>
        </w:trPr>
        <w:tc>
          <w:tcPr>
            <w:tcW w:w="1205" w:type="dxa"/>
            <w:vMerge/>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rPr>
                <w:rFonts w:eastAsia="Times New Roman" w:cs="Times New Roman"/>
                <w:iCs/>
                <w:color w:val="000000"/>
                <w:sz w:val="20"/>
                <w:szCs w:val="20"/>
                <w:lang w:eastAsia="cs-CZ"/>
              </w:rPr>
            </w:pPr>
          </w:p>
        </w:tc>
        <w:tc>
          <w:tcPr>
            <w:tcW w:w="2007" w:type="dxa"/>
            <w:vMerge/>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rPr>
                <w:rFonts w:eastAsia="Times New Roman" w:cs="Times New Roman"/>
                <w:iCs/>
                <w:color w:val="000000"/>
                <w:sz w:val="20"/>
                <w:szCs w:val="20"/>
                <w:lang w:eastAsia="cs-CZ"/>
              </w:rPr>
            </w:pPr>
          </w:p>
        </w:tc>
        <w:tc>
          <w:tcPr>
            <w:tcW w:w="6095" w:type="dxa"/>
            <w:tcBorders>
              <w:top w:val="nil"/>
              <w:left w:val="nil"/>
              <w:bottom w:val="single" w:sz="4" w:space="0" w:color="auto"/>
              <w:right w:val="single" w:sz="4" w:space="0" w:color="auto"/>
            </w:tcBorders>
            <w:vAlign w:val="center"/>
            <w:hideMark/>
          </w:tcPr>
          <w:p w:rsidR="00AE2BC0" w:rsidRPr="00AE2BC0" w:rsidRDefault="00AE2BC0" w:rsidP="00AE2BC0">
            <w:pPr>
              <w:spacing w:before="20" w:after="20"/>
              <w:jc w:val="left"/>
              <w:rPr>
                <w:rFonts w:eastAsia="Times New Roman" w:cs="Times New Roman"/>
                <w:iCs/>
                <w:color w:val="000000"/>
                <w:sz w:val="20"/>
                <w:szCs w:val="20"/>
                <w:lang w:eastAsia="cs-CZ"/>
              </w:rPr>
            </w:pPr>
            <w:r w:rsidRPr="00AE2BC0">
              <w:rPr>
                <w:rFonts w:eastAsia="Times New Roman" w:cs="Times New Roman"/>
                <w:color w:val="000000"/>
                <w:sz w:val="20"/>
                <w:szCs w:val="20"/>
                <w:lang w:eastAsia="cs-CZ"/>
              </w:rPr>
              <w:t>Analýza &amp; predikce hrozeb a rizik</w:t>
            </w:r>
          </w:p>
        </w:tc>
      </w:tr>
      <w:tr w:rsidR="00AE2BC0" w:rsidRPr="00AE2BC0" w:rsidTr="00A42657">
        <w:trPr>
          <w:trHeight w:val="288"/>
          <w:jc w:val="center"/>
        </w:trPr>
        <w:tc>
          <w:tcPr>
            <w:tcW w:w="1205" w:type="dxa"/>
            <w:vMerge/>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rPr>
                <w:rFonts w:eastAsia="Times New Roman" w:cs="Times New Roman"/>
                <w:iCs/>
                <w:color w:val="000000"/>
                <w:sz w:val="20"/>
                <w:szCs w:val="20"/>
                <w:lang w:eastAsia="cs-CZ"/>
              </w:rPr>
            </w:pPr>
          </w:p>
        </w:tc>
        <w:tc>
          <w:tcPr>
            <w:tcW w:w="2007" w:type="dxa"/>
            <w:vMerge/>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rPr>
                <w:rFonts w:eastAsia="Times New Roman" w:cs="Times New Roman"/>
                <w:iCs/>
                <w:color w:val="000000"/>
                <w:sz w:val="20"/>
                <w:szCs w:val="20"/>
                <w:lang w:eastAsia="cs-CZ"/>
              </w:rPr>
            </w:pPr>
          </w:p>
        </w:tc>
        <w:tc>
          <w:tcPr>
            <w:tcW w:w="6095" w:type="dxa"/>
            <w:tcBorders>
              <w:top w:val="nil"/>
              <w:left w:val="nil"/>
              <w:bottom w:val="single" w:sz="4" w:space="0" w:color="auto"/>
              <w:right w:val="single" w:sz="4" w:space="0" w:color="auto"/>
            </w:tcBorders>
            <w:vAlign w:val="center"/>
            <w:hideMark/>
          </w:tcPr>
          <w:p w:rsidR="00AE2BC0" w:rsidRPr="00AE2BC0" w:rsidRDefault="00AE2BC0" w:rsidP="00AE2BC0">
            <w:pPr>
              <w:spacing w:before="20" w:after="20"/>
              <w:jc w:val="left"/>
              <w:rPr>
                <w:rFonts w:eastAsia="Times New Roman" w:cs="Times New Roman"/>
                <w:iCs/>
                <w:color w:val="000000"/>
                <w:sz w:val="20"/>
                <w:szCs w:val="20"/>
                <w:lang w:eastAsia="cs-CZ"/>
              </w:rPr>
            </w:pPr>
            <w:r w:rsidRPr="00AE2BC0">
              <w:rPr>
                <w:rFonts w:eastAsia="Times New Roman" w:cs="Times New Roman"/>
                <w:color w:val="000000"/>
                <w:sz w:val="20"/>
                <w:szCs w:val="20"/>
                <w:lang w:eastAsia="cs-CZ"/>
              </w:rPr>
              <w:t>Analytická podpora procesů krizového řízení a CNP</w:t>
            </w:r>
          </w:p>
        </w:tc>
      </w:tr>
      <w:tr w:rsidR="00AE2BC0" w:rsidRPr="00AE2BC0" w:rsidTr="00A42657">
        <w:trPr>
          <w:trHeight w:val="288"/>
          <w:jc w:val="center"/>
        </w:trPr>
        <w:tc>
          <w:tcPr>
            <w:tcW w:w="1205" w:type="dxa"/>
            <w:vMerge/>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rPr>
                <w:rFonts w:eastAsia="Times New Roman" w:cs="Times New Roman"/>
                <w:iCs/>
                <w:color w:val="000000"/>
                <w:sz w:val="20"/>
                <w:szCs w:val="20"/>
                <w:lang w:eastAsia="cs-CZ"/>
              </w:rPr>
            </w:pPr>
          </w:p>
        </w:tc>
        <w:tc>
          <w:tcPr>
            <w:tcW w:w="2007" w:type="dxa"/>
            <w:vMerge/>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rPr>
                <w:rFonts w:eastAsia="Times New Roman" w:cs="Times New Roman"/>
                <w:iCs/>
                <w:color w:val="000000"/>
                <w:sz w:val="20"/>
                <w:szCs w:val="20"/>
                <w:lang w:eastAsia="cs-CZ"/>
              </w:rPr>
            </w:pPr>
          </w:p>
        </w:tc>
        <w:tc>
          <w:tcPr>
            <w:tcW w:w="6095" w:type="dxa"/>
            <w:tcBorders>
              <w:top w:val="nil"/>
              <w:left w:val="nil"/>
              <w:bottom w:val="single" w:sz="4" w:space="0" w:color="auto"/>
              <w:right w:val="single" w:sz="4" w:space="0" w:color="auto"/>
            </w:tcBorders>
            <w:vAlign w:val="center"/>
            <w:hideMark/>
          </w:tcPr>
          <w:p w:rsidR="00AE2BC0" w:rsidRPr="00AE2BC0" w:rsidRDefault="00AE2BC0" w:rsidP="00AE2BC0">
            <w:pPr>
              <w:spacing w:before="20" w:after="20"/>
              <w:jc w:val="left"/>
              <w:rPr>
                <w:rFonts w:eastAsia="Times New Roman" w:cs="Times New Roman"/>
                <w:iCs/>
                <w:color w:val="000000"/>
                <w:sz w:val="20"/>
                <w:szCs w:val="20"/>
                <w:lang w:eastAsia="cs-CZ"/>
              </w:rPr>
            </w:pPr>
            <w:r w:rsidRPr="00AE2BC0">
              <w:rPr>
                <w:rFonts w:eastAsia="Times New Roman" w:cs="Times New Roman"/>
                <w:color w:val="000000"/>
                <w:sz w:val="20"/>
                <w:szCs w:val="20"/>
                <w:lang w:eastAsia="cs-CZ"/>
              </w:rPr>
              <w:t>Komunikace a koordinace s externími subjekty</w:t>
            </w:r>
          </w:p>
        </w:tc>
      </w:tr>
      <w:tr w:rsidR="00AE2BC0" w:rsidRPr="00AE2BC0" w:rsidTr="00A42657">
        <w:trPr>
          <w:trHeight w:val="288"/>
          <w:jc w:val="center"/>
        </w:trPr>
        <w:tc>
          <w:tcPr>
            <w:tcW w:w="1205" w:type="dxa"/>
            <w:vMerge/>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rPr>
                <w:rFonts w:eastAsia="Times New Roman" w:cs="Times New Roman"/>
                <w:iCs/>
                <w:color w:val="000000"/>
                <w:sz w:val="20"/>
                <w:szCs w:val="20"/>
                <w:lang w:eastAsia="cs-CZ"/>
              </w:rPr>
            </w:pPr>
          </w:p>
        </w:tc>
        <w:tc>
          <w:tcPr>
            <w:tcW w:w="2007" w:type="dxa"/>
            <w:vMerge w:val="restart"/>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jc w:val="center"/>
              <w:rPr>
                <w:rFonts w:eastAsia="Times New Roman" w:cs="Times New Roman"/>
                <w:iCs/>
                <w:color w:val="000000"/>
                <w:sz w:val="20"/>
                <w:szCs w:val="20"/>
                <w:lang w:eastAsia="cs-CZ"/>
              </w:rPr>
            </w:pPr>
            <w:r w:rsidRPr="00AE2BC0">
              <w:rPr>
                <w:rFonts w:eastAsia="Times New Roman" w:cs="Times New Roman"/>
                <w:color w:val="000000"/>
                <w:sz w:val="20"/>
                <w:szCs w:val="20"/>
                <w:lang w:eastAsia="cs-CZ"/>
              </w:rPr>
              <w:t>Schopnosti efektivní intervence</w:t>
            </w:r>
          </w:p>
        </w:tc>
        <w:tc>
          <w:tcPr>
            <w:tcW w:w="6095" w:type="dxa"/>
            <w:tcBorders>
              <w:top w:val="nil"/>
              <w:left w:val="nil"/>
              <w:bottom w:val="single" w:sz="4" w:space="0" w:color="auto"/>
              <w:right w:val="single" w:sz="4" w:space="0" w:color="auto"/>
            </w:tcBorders>
            <w:vAlign w:val="center"/>
            <w:hideMark/>
          </w:tcPr>
          <w:p w:rsidR="00AE2BC0" w:rsidRPr="00AE2BC0" w:rsidRDefault="00AE2BC0" w:rsidP="00AE2BC0">
            <w:pPr>
              <w:spacing w:before="20" w:after="20"/>
              <w:jc w:val="left"/>
              <w:rPr>
                <w:rFonts w:eastAsia="Times New Roman" w:cs="Times New Roman"/>
                <w:iCs/>
                <w:color w:val="000000"/>
                <w:sz w:val="20"/>
                <w:szCs w:val="20"/>
                <w:lang w:eastAsia="cs-CZ"/>
              </w:rPr>
            </w:pPr>
            <w:r w:rsidRPr="00AE2BC0">
              <w:rPr>
                <w:rFonts w:eastAsia="Times New Roman" w:cs="Times New Roman"/>
                <w:color w:val="000000"/>
                <w:sz w:val="20"/>
                <w:szCs w:val="20"/>
                <w:lang w:eastAsia="cs-CZ"/>
              </w:rPr>
              <w:t>Speciální zásahové prostředky a postupy</w:t>
            </w:r>
          </w:p>
        </w:tc>
      </w:tr>
      <w:tr w:rsidR="00AE2BC0" w:rsidRPr="00AE2BC0" w:rsidTr="00A42657">
        <w:trPr>
          <w:trHeight w:val="234"/>
          <w:jc w:val="center"/>
        </w:trPr>
        <w:tc>
          <w:tcPr>
            <w:tcW w:w="1205" w:type="dxa"/>
            <w:vMerge/>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rPr>
                <w:rFonts w:eastAsia="Times New Roman" w:cs="Times New Roman"/>
                <w:iCs/>
                <w:color w:val="000000"/>
                <w:sz w:val="20"/>
                <w:szCs w:val="20"/>
                <w:lang w:eastAsia="cs-CZ"/>
              </w:rPr>
            </w:pPr>
          </w:p>
        </w:tc>
        <w:tc>
          <w:tcPr>
            <w:tcW w:w="2007" w:type="dxa"/>
            <w:vMerge/>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rPr>
                <w:rFonts w:eastAsia="Times New Roman" w:cs="Times New Roman"/>
                <w:iCs/>
                <w:color w:val="000000"/>
                <w:sz w:val="20"/>
                <w:szCs w:val="20"/>
                <w:lang w:eastAsia="cs-CZ"/>
              </w:rPr>
            </w:pPr>
          </w:p>
        </w:tc>
        <w:tc>
          <w:tcPr>
            <w:tcW w:w="6095" w:type="dxa"/>
            <w:tcBorders>
              <w:top w:val="nil"/>
              <w:left w:val="nil"/>
              <w:bottom w:val="single" w:sz="4" w:space="0" w:color="auto"/>
              <w:right w:val="single" w:sz="4" w:space="0" w:color="auto"/>
            </w:tcBorders>
            <w:vAlign w:val="center"/>
            <w:hideMark/>
          </w:tcPr>
          <w:p w:rsidR="00AE2BC0" w:rsidRPr="00AE2BC0" w:rsidRDefault="00AE2BC0" w:rsidP="00AE2BC0">
            <w:pPr>
              <w:spacing w:before="20" w:after="20"/>
              <w:jc w:val="left"/>
              <w:rPr>
                <w:rFonts w:eastAsia="Times New Roman" w:cs="Times New Roman"/>
                <w:iCs/>
                <w:color w:val="000000"/>
                <w:sz w:val="20"/>
                <w:szCs w:val="20"/>
                <w:lang w:eastAsia="cs-CZ"/>
              </w:rPr>
            </w:pPr>
            <w:r w:rsidRPr="00AE2BC0">
              <w:rPr>
                <w:rFonts w:eastAsia="Times New Roman" w:cs="Times New Roman"/>
                <w:color w:val="000000"/>
                <w:sz w:val="20"/>
                <w:szCs w:val="20"/>
                <w:lang w:eastAsia="cs-CZ"/>
              </w:rPr>
              <w:t>Prostředky vzdálené detekce a lokalizace osob a věcí</w:t>
            </w:r>
          </w:p>
        </w:tc>
      </w:tr>
      <w:tr w:rsidR="00AE2BC0" w:rsidRPr="00AE2BC0" w:rsidTr="00A42657">
        <w:trPr>
          <w:trHeight w:val="288"/>
          <w:jc w:val="center"/>
        </w:trPr>
        <w:tc>
          <w:tcPr>
            <w:tcW w:w="1205" w:type="dxa"/>
            <w:vMerge/>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rPr>
                <w:rFonts w:eastAsia="Times New Roman" w:cs="Times New Roman"/>
                <w:iCs/>
                <w:color w:val="000000"/>
                <w:sz w:val="20"/>
                <w:szCs w:val="20"/>
                <w:lang w:eastAsia="cs-CZ"/>
              </w:rPr>
            </w:pPr>
          </w:p>
        </w:tc>
        <w:tc>
          <w:tcPr>
            <w:tcW w:w="2007" w:type="dxa"/>
            <w:vMerge/>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rPr>
                <w:rFonts w:eastAsia="Times New Roman" w:cs="Times New Roman"/>
                <w:iCs/>
                <w:color w:val="000000"/>
                <w:sz w:val="20"/>
                <w:szCs w:val="20"/>
                <w:lang w:eastAsia="cs-CZ"/>
              </w:rPr>
            </w:pPr>
          </w:p>
        </w:tc>
        <w:tc>
          <w:tcPr>
            <w:tcW w:w="6095" w:type="dxa"/>
            <w:tcBorders>
              <w:top w:val="nil"/>
              <w:left w:val="nil"/>
              <w:bottom w:val="single" w:sz="4" w:space="0" w:color="auto"/>
              <w:right w:val="single" w:sz="4" w:space="0" w:color="auto"/>
            </w:tcBorders>
            <w:vAlign w:val="center"/>
            <w:hideMark/>
          </w:tcPr>
          <w:p w:rsidR="00AE2BC0" w:rsidRPr="00AE2BC0" w:rsidRDefault="00AE2BC0" w:rsidP="00AE2BC0">
            <w:pPr>
              <w:spacing w:before="20" w:after="20"/>
              <w:jc w:val="left"/>
              <w:rPr>
                <w:rFonts w:eastAsia="Times New Roman" w:cs="Times New Roman"/>
                <w:iCs/>
                <w:color w:val="000000"/>
                <w:sz w:val="20"/>
                <w:szCs w:val="20"/>
                <w:lang w:eastAsia="cs-CZ"/>
              </w:rPr>
            </w:pPr>
            <w:r w:rsidRPr="00AE2BC0">
              <w:rPr>
                <w:rFonts w:eastAsia="Times New Roman" w:cs="Times New Roman"/>
                <w:color w:val="000000"/>
                <w:sz w:val="20"/>
                <w:szCs w:val="20"/>
                <w:lang w:eastAsia="cs-CZ"/>
              </w:rPr>
              <w:t>Komunikace</w:t>
            </w:r>
          </w:p>
        </w:tc>
      </w:tr>
      <w:tr w:rsidR="00AE2BC0" w:rsidRPr="00AE2BC0" w:rsidTr="00A42657">
        <w:trPr>
          <w:trHeight w:val="288"/>
          <w:jc w:val="center"/>
        </w:trPr>
        <w:tc>
          <w:tcPr>
            <w:tcW w:w="1205" w:type="dxa"/>
            <w:vMerge/>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rPr>
                <w:rFonts w:eastAsia="Times New Roman" w:cs="Times New Roman"/>
                <w:iCs/>
                <w:color w:val="000000"/>
                <w:sz w:val="20"/>
                <w:szCs w:val="20"/>
                <w:lang w:eastAsia="cs-CZ"/>
              </w:rPr>
            </w:pPr>
          </w:p>
        </w:tc>
        <w:tc>
          <w:tcPr>
            <w:tcW w:w="2007" w:type="dxa"/>
            <w:vMerge/>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rPr>
                <w:rFonts w:eastAsia="Times New Roman" w:cs="Times New Roman"/>
                <w:iCs/>
                <w:color w:val="000000"/>
                <w:sz w:val="20"/>
                <w:szCs w:val="20"/>
                <w:lang w:eastAsia="cs-CZ"/>
              </w:rPr>
            </w:pPr>
          </w:p>
        </w:tc>
        <w:tc>
          <w:tcPr>
            <w:tcW w:w="6095" w:type="dxa"/>
            <w:tcBorders>
              <w:top w:val="nil"/>
              <w:left w:val="nil"/>
              <w:bottom w:val="single" w:sz="4" w:space="0" w:color="auto"/>
              <w:right w:val="single" w:sz="4" w:space="0" w:color="auto"/>
            </w:tcBorders>
            <w:vAlign w:val="center"/>
            <w:hideMark/>
          </w:tcPr>
          <w:p w:rsidR="00AE2BC0" w:rsidRPr="00AE2BC0" w:rsidRDefault="00AE2BC0" w:rsidP="00AE2BC0">
            <w:pPr>
              <w:spacing w:before="20" w:after="20"/>
              <w:jc w:val="left"/>
              <w:rPr>
                <w:rFonts w:eastAsia="Times New Roman" w:cs="Times New Roman"/>
                <w:iCs/>
                <w:color w:val="000000"/>
                <w:sz w:val="20"/>
                <w:szCs w:val="20"/>
                <w:lang w:eastAsia="cs-CZ"/>
              </w:rPr>
            </w:pPr>
            <w:r w:rsidRPr="00AE2BC0">
              <w:rPr>
                <w:rFonts w:eastAsia="Times New Roman" w:cs="Times New Roman"/>
                <w:color w:val="000000"/>
                <w:sz w:val="20"/>
                <w:szCs w:val="20"/>
                <w:lang w:eastAsia="cs-CZ"/>
              </w:rPr>
              <w:t>Velení a řízení</w:t>
            </w:r>
          </w:p>
        </w:tc>
      </w:tr>
      <w:tr w:rsidR="00AE2BC0" w:rsidRPr="00AE2BC0" w:rsidTr="00A42657">
        <w:trPr>
          <w:trHeight w:val="238"/>
          <w:jc w:val="center"/>
        </w:trPr>
        <w:tc>
          <w:tcPr>
            <w:tcW w:w="1205" w:type="dxa"/>
            <w:vMerge/>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rPr>
                <w:rFonts w:eastAsia="Times New Roman" w:cs="Times New Roman"/>
                <w:iCs/>
                <w:color w:val="000000"/>
                <w:sz w:val="20"/>
                <w:szCs w:val="20"/>
                <w:lang w:eastAsia="cs-CZ"/>
              </w:rPr>
            </w:pPr>
          </w:p>
        </w:tc>
        <w:tc>
          <w:tcPr>
            <w:tcW w:w="2007" w:type="dxa"/>
            <w:vMerge w:val="restart"/>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jc w:val="center"/>
              <w:rPr>
                <w:rFonts w:eastAsia="Times New Roman" w:cs="Times New Roman"/>
                <w:iCs/>
                <w:color w:val="000000"/>
                <w:sz w:val="20"/>
                <w:szCs w:val="20"/>
                <w:lang w:eastAsia="cs-CZ"/>
              </w:rPr>
            </w:pPr>
            <w:r w:rsidRPr="00AE2BC0">
              <w:rPr>
                <w:rFonts w:eastAsia="Times New Roman" w:cs="Times New Roman"/>
                <w:color w:val="000000"/>
                <w:sz w:val="20"/>
                <w:szCs w:val="20"/>
                <w:lang w:eastAsia="cs-CZ"/>
              </w:rPr>
              <w:t>Speciální technologie</w:t>
            </w:r>
          </w:p>
        </w:tc>
        <w:tc>
          <w:tcPr>
            <w:tcW w:w="6095" w:type="dxa"/>
            <w:tcBorders>
              <w:top w:val="nil"/>
              <w:left w:val="nil"/>
              <w:bottom w:val="single" w:sz="4" w:space="0" w:color="auto"/>
              <w:right w:val="single" w:sz="4" w:space="0" w:color="auto"/>
            </w:tcBorders>
            <w:vAlign w:val="center"/>
            <w:hideMark/>
          </w:tcPr>
          <w:p w:rsidR="00AE2BC0" w:rsidRPr="00AE2BC0" w:rsidRDefault="00AE2BC0" w:rsidP="00AE2BC0">
            <w:pPr>
              <w:spacing w:before="20" w:after="20"/>
              <w:jc w:val="left"/>
              <w:rPr>
                <w:rFonts w:eastAsia="Times New Roman" w:cs="Times New Roman"/>
                <w:iCs/>
                <w:color w:val="000000"/>
                <w:sz w:val="20"/>
                <w:szCs w:val="20"/>
                <w:lang w:eastAsia="cs-CZ"/>
              </w:rPr>
            </w:pPr>
            <w:r w:rsidRPr="00AE2BC0">
              <w:rPr>
                <w:rFonts w:eastAsia="Times New Roman" w:cs="Times New Roman"/>
                <w:color w:val="000000"/>
                <w:sz w:val="20"/>
                <w:szCs w:val="20"/>
                <w:lang w:eastAsia="cs-CZ"/>
              </w:rPr>
              <w:t>Prostředky technických operací proti zájmovým budovám a sítím</w:t>
            </w:r>
          </w:p>
        </w:tc>
      </w:tr>
      <w:tr w:rsidR="00AE2BC0" w:rsidRPr="00AE2BC0" w:rsidTr="00A42657">
        <w:trPr>
          <w:trHeight w:val="273"/>
          <w:jc w:val="center"/>
        </w:trPr>
        <w:tc>
          <w:tcPr>
            <w:tcW w:w="1205" w:type="dxa"/>
            <w:vMerge/>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rPr>
                <w:rFonts w:eastAsia="Times New Roman" w:cs="Times New Roman"/>
                <w:iCs/>
                <w:color w:val="000000"/>
                <w:sz w:val="20"/>
                <w:szCs w:val="20"/>
                <w:lang w:eastAsia="cs-CZ"/>
              </w:rPr>
            </w:pPr>
          </w:p>
        </w:tc>
        <w:tc>
          <w:tcPr>
            <w:tcW w:w="2007" w:type="dxa"/>
            <w:vMerge/>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rPr>
                <w:rFonts w:eastAsia="Times New Roman" w:cs="Times New Roman"/>
                <w:iCs/>
                <w:color w:val="000000"/>
                <w:sz w:val="20"/>
                <w:szCs w:val="20"/>
                <w:lang w:eastAsia="cs-CZ"/>
              </w:rPr>
            </w:pPr>
          </w:p>
        </w:tc>
        <w:tc>
          <w:tcPr>
            <w:tcW w:w="6095" w:type="dxa"/>
            <w:tcBorders>
              <w:top w:val="nil"/>
              <w:left w:val="nil"/>
              <w:bottom w:val="single" w:sz="4" w:space="0" w:color="auto"/>
              <w:right w:val="single" w:sz="4" w:space="0" w:color="auto"/>
            </w:tcBorders>
            <w:vAlign w:val="center"/>
            <w:hideMark/>
          </w:tcPr>
          <w:p w:rsidR="00AE2BC0" w:rsidRPr="00AE2BC0" w:rsidRDefault="00AE2BC0" w:rsidP="00AE2BC0">
            <w:pPr>
              <w:spacing w:before="20" w:after="20"/>
              <w:jc w:val="left"/>
              <w:rPr>
                <w:rFonts w:eastAsia="Times New Roman" w:cs="Times New Roman"/>
                <w:iCs/>
                <w:color w:val="000000"/>
                <w:sz w:val="20"/>
                <w:szCs w:val="20"/>
                <w:lang w:eastAsia="cs-CZ"/>
              </w:rPr>
            </w:pPr>
            <w:r w:rsidRPr="00AE2BC0">
              <w:rPr>
                <w:rFonts w:eastAsia="Times New Roman" w:cs="Times New Roman"/>
                <w:color w:val="000000"/>
                <w:sz w:val="20"/>
                <w:szCs w:val="20"/>
                <w:lang w:eastAsia="cs-CZ"/>
              </w:rPr>
              <w:t>Technologická protiopatření a prostředky ochrany informací</w:t>
            </w:r>
          </w:p>
        </w:tc>
      </w:tr>
      <w:tr w:rsidR="00AE2BC0" w:rsidRPr="00AE2BC0" w:rsidTr="00A42657">
        <w:trPr>
          <w:trHeight w:val="288"/>
          <w:jc w:val="center"/>
        </w:trPr>
        <w:tc>
          <w:tcPr>
            <w:tcW w:w="1205" w:type="dxa"/>
            <w:vMerge/>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rPr>
                <w:rFonts w:eastAsia="Times New Roman" w:cs="Times New Roman"/>
                <w:iCs/>
                <w:color w:val="000000"/>
                <w:sz w:val="20"/>
                <w:szCs w:val="20"/>
                <w:lang w:eastAsia="cs-CZ"/>
              </w:rPr>
            </w:pPr>
          </w:p>
        </w:tc>
        <w:tc>
          <w:tcPr>
            <w:tcW w:w="2007" w:type="dxa"/>
            <w:vMerge/>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rPr>
                <w:rFonts w:eastAsia="Times New Roman" w:cs="Times New Roman"/>
                <w:iCs/>
                <w:color w:val="000000"/>
                <w:sz w:val="20"/>
                <w:szCs w:val="20"/>
                <w:lang w:eastAsia="cs-CZ"/>
              </w:rPr>
            </w:pPr>
          </w:p>
        </w:tc>
        <w:tc>
          <w:tcPr>
            <w:tcW w:w="6095" w:type="dxa"/>
            <w:tcBorders>
              <w:top w:val="nil"/>
              <w:left w:val="nil"/>
              <w:bottom w:val="single" w:sz="4" w:space="0" w:color="auto"/>
              <w:right w:val="single" w:sz="4" w:space="0" w:color="auto"/>
            </w:tcBorders>
            <w:vAlign w:val="center"/>
            <w:hideMark/>
          </w:tcPr>
          <w:p w:rsidR="00AE2BC0" w:rsidRPr="00AE2BC0" w:rsidRDefault="00AE2BC0" w:rsidP="00AE2BC0">
            <w:pPr>
              <w:spacing w:before="20" w:after="20"/>
              <w:jc w:val="left"/>
              <w:rPr>
                <w:rFonts w:eastAsia="Times New Roman" w:cs="Times New Roman"/>
                <w:iCs/>
                <w:color w:val="000000"/>
                <w:sz w:val="20"/>
                <w:szCs w:val="20"/>
                <w:lang w:eastAsia="cs-CZ"/>
              </w:rPr>
            </w:pPr>
            <w:r w:rsidRPr="00AE2BC0">
              <w:rPr>
                <w:rFonts w:eastAsia="Times New Roman" w:cs="Times New Roman"/>
                <w:color w:val="000000"/>
                <w:sz w:val="20"/>
                <w:szCs w:val="20"/>
                <w:lang w:eastAsia="cs-CZ"/>
              </w:rPr>
              <w:t>Operativně-pátrací prostředky</w:t>
            </w:r>
          </w:p>
        </w:tc>
      </w:tr>
      <w:tr w:rsidR="00AE2BC0" w:rsidRPr="00AE2BC0" w:rsidTr="00A42657">
        <w:trPr>
          <w:trHeight w:val="252"/>
          <w:jc w:val="center"/>
        </w:trPr>
        <w:tc>
          <w:tcPr>
            <w:tcW w:w="1205" w:type="dxa"/>
            <w:vMerge/>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rPr>
                <w:rFonts w:eastAsia="Times New Roman" w:cs="Times New Roman"/>
                <w:iCs/>
                <w:color w:val="000000"/>
                <w:sz w:val="20"/>
                <w:szCs w:val="20"/>
                <w:lang w:eastAsia="cs-CZ"/>
              </w:rPr>
            </w:pPr>
          </w:p>
        </w:tc>
        <w:tc>
          <w:tcPr>
            <w:tcW w:w="2007" w:type="dxa"/>
            <w:vMerge/>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rPr>
                <w:rFonts w:eastAsia="Times New Roman" w:cs="Times New Roman"/>
                <w:iCs/>
                <w:color w:val="000000"/>
                <w:sz w:val="20"/>
                <w:szCs w:val="20"/>
                <w:lang w:eastAsia="cs-CZ"/>
              </w:rPr>
            </w:pPr>
          </w:p>
        </w:tc>
        <w:tc>
          <w:tcPr>
            <w:tcW w:w="6095" w:type="dxa"/>
            <w:tcBorders>
              <w:top w:val="nil"/>
              <w:left w:val="nil"/>
              <w:bottom w:val="single" w:sz="4" w:space="0" w:color="auto"/>
              <w:right w:val="single" w:sz="4" w:space="0" w:color="auto"/>
            </w:tcBorders>
            <w:vAlign w:val="center"/>
            <w:hideMark/>
          </w:tcPr>
          <w:p w:rsidR="00AE2BC0" w:rsidRPr="00AE2BC0" w:rsidRDefault="00AE2BC0" w:rsidP="00AE2BC0">
            <w:pPr>
              <w:spacing w:before="20" w:after="20"/>
              <w:jc w:val="left"/>
              <w:rPr>
                <w:rFonts w:eastAsia="Times New Roman" w:cs="Times New Roman"/>
                <w:iCs/>
                <w:color w:val="000000"/>
                <w:sz w:val="20"/>
                <w:szCs w:val="20"/>
                <w:lang w:eastAsia="cs-CZ"/>
              </w:rPr>
            </w:pPr>
            <w:r w:rsidRPr="00AE2BC0">
              <w:rPr>
                <w:rFonts w:eastAsia="Times New Roman" w:cs="Times New Roman"/>
                <w:color w:val="000000"/>
                <w:sz w:val="20"/>
                <w:szCs w:val="20"/>
                <w:lang w:eastAsia="cs-CZ"/>
              </w:rPr>
              <w:t>Pokročilé technologie automatické biometrické identifikace</w:t>
            </w:r>
          </w:p>
        </w:tc>
      </w:tr>
      <w:tr w:rsidR="00AE2BC0" w:rsidRPr="00AE2BC0" w:rsidTr="00A42657">
        <w:trPr>
          <w:trHeight w:val="221"/>
          <w:jc w:val="center"/>
        </w:trPr>
        <w:tc>
          <w:tcPr>
            <w:tcW w:w="1205" w:type="dxa"/>
            <w:vMerge/>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rPr>
                <w:rFonts w:eastAsia="Times New Roman" w:cs="Times New Roman"/>
                <w:iCs/>
                <w:color w:val="000000"/>
                <w:sz w:val="20"/>
                <w:szCs w:val="20"/>
                <w:lang w:eastAsia="cs-CZ"/>
              </w:rPr>
            </w:pPr>
          </w:p>
        </w:tc>
        <w:tc>
          <w:tcPr>
            <w:tcW w:w="2007" w:type="dxa"/>
            <w:vMerge/>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rPr>
                <w:rFonts w:eastAsia="Times New Roman" w:cs="Times New Roman"/>
                <w:iCs/>
                <w:color w:val="000000"/>
                <w:sz w:val="20"/>
                <w:szCs w:val="20"/>
                <w:lang w:eastAsia="cs-CZ"/>
              </w:rPr>
            </w:pPr>
          </w:p>
        </w:tc>
        <w:tc>
          <w:tcPr>
            <w:tcW w:w="6095" w:type="dxa"/>
            <w:tcBorders>
              <w:top w:val="nil"/>
              <w:left w:val="nil"/>
              <w:bottom w:val="single" w:sz="4" w:space="0" w:color="auto"/>
              <w:right w:val="single" w:sz="4" w:space="0" w:color="auto"/>
            </w:tcBorders>
            <w:vAlign w:val="center"/>
            <w:hideMark/>
          </w:tcPr>
          <w:p w:rsidR="00AE2BC0" w:rsidRPr="00AE2BC0" w:rsidRDefault="00AE2BC0" w:rsidP="00AE2BC0">
            <w:pPr>
              <w:spacing w:before="20" w:after="20"/>
              <w:jc w:val="left"/>
              <w:rPr>
                <w:rFonts w:eastAsia="Times New Roman" w:cs="Times New Roman"/>
                <w:iCs/>
                <w:color w:val="000000"/>
                <w:sz w:val="20"/>
                <w:szCs w:val="20"/>
                <w:lang w:eastAsia="cs-CZ"/>
              </w:rPr>
            </w:pPr>
            <w:r w:rsidRPr="00AE2BC0">
              <w:rPr>
                <w:rFonts w:eastAsia="Times New Roman" w:cs="Times New Roman"/>
                <w:color w:val="000000"/>
                <w:sz w:val="20"/>
                <w:szCs w:val="20"/>
                <w:lang w:eastAsia="cs-CZ"/>
              </w:rPr>
              <w:t>Data-Mining a automatizovaná analýza</w:t>
            </w:r>
          </w:p>
        </w:tc>
      </w:tr>
      <w:tr w:rsidR="00AE2BC0" w:rsidRPr="00AE2BC0" w:rsidTr="00A42657">
        <w:trPr>
          <w:trHeight w:val="288"/>
          <w:jc w:val="center"/>
        </w:trPr>
        <w:tc>
          <w:tcPr>
            <w:tcW w:w="1205" w:type="dxa"/>
            <w:vMerge/>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rPr>
                <w:rFonts w:eastAsia="Times New Roman" w:cs="Times New Roman"/>
                <w:iCs/>
                <w:color w:val="000000"/>
                <w:sz w:val="20"/>
                <w:szCs w:val="20"/>
                <w:lang w:eastAsia="cs-CZ"/>
              </w:rPr>
            </w:pPr>
          </w:p>
        </w:tc>
        <w:tc>
          <w:tcPr>
            <w:tcW w:w="2007" w:type="dxa"/>
            <w:vMerge w:val="restart"/>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jc w:val="center"/>
              <w:rPr>
                <w:rFonts w:eastAsia="Times New Roman" w:cs="Times New Roman"/>
                <w:iCs/>
                <w:color w:val="000000"/>
                <w:sz w:val="20"/>
                <w:szCs w:val="20"/>
                <w:lang w:eastAsia="cs-CZ"/>
              </w:rPr>
            </w:pPr>
            <w:r w:rsidRPr="00AE2BC0">
              <w:rPr>
                <w:rFonts w:eastAsia="Times New Roman" w:cs="Times New Roman"/>
                <w:color w:val="000000"/>
                <w:sz w:val="20"/>
                <w:szCs w:val="20"/>
                <w:lang w:eastAsia="cs-CZ"/>
              </w:rPr>
              <w:t>Forenzní schopnosti</w:t>
            </w:r>
          </w:p>
        </w:tc>
        <w:tc>
          <w:tcPr>
            <w:tcW w:w="6095" w:type="dxa"/>
            <w:tcBorders>
              <w:top w:val="nil"/>
              <w:left w:val="nil"/>
              <w:bottom w:val="single" w:sz="4" w:space="0" w:color="auto"/>
              <w:right w:val="single" w:sz="4" w:space="0" w:color="auto"/>
            </w:tcBorders>
            <w:vAlign w:val="center"/>
            <w:hideMark/>
          </w:tcPr>
          <w:p w:rsidR="00AE2BC0" w:rsidRPr="00AE2BC0" w:rsidRDefault="00AE2BC0" w:rsidP="00AE2BC0">
            <w:pPr>
              <w:spacing w:before="20" w:after="20"/>
              <w:jc w:val="left"/>
              <w:rPr>
                <w:rFonts w:eastAsia="Times New Roman" w:cs="Times New Roman"/>
                <w:iCs/>
                <w:color w:val="000000"/>
                <w:sz w:val="20"/>
                <w:szCs w:val="20"/>
                <w:lang w:eastAsia="cs-CZ"/>
              </w:rPr>
            </w:pPr>
            <w:r w:rsidRPr="00AE2BC0">
              <w:rPr>
                <w:rFonts w:eastAsia="Times New Roman" w:cs="Times New Roman"/>
                <w:color w:val="000000"/>
                <w:sz w:val="20"/>
                <w:szCs w:val="20"/>
                <w:lang w:eastAsia="cs-CZ"/>
              </w:rPr>
              <w:t>Nové a pokročilé metody identifikace osob a věcí</w:t>
            </w:r>
          </w:p>
        </w:tc>
      </w:tr>
      <w:tr w:rsidR="00AE2BC0" w:rsidRPr="00AE2BC0" w:rsidTr="00A42657">
        <w:trPr>
          <w:trHeight w:val="80"/>
          <w:jc w:val="center"/>
        </w:trPr>
        <w:tc>
          <w:tcPr>
            <w:tcW w:w="1205" w:type="dxa"/>
            <w:vMerge/>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rPr>
                <w:rFonts w:eastAsia="Times New Roman" w:cs="Times New Roman"/>
                <w:iCs/>
                <w:color w:val="000000"/>
                <w:sz w:val="20"/>
                <w:szCs w:val="20"/>
                <w:lang w:eastAsia="cs-CZ"/>
              </w:rPr>
            </w:pPr>
          </w:p>
        </w:tc>
        <w:tc>
          <w:tcPr>
            <w:tcW w:w="2007" w:type="dxa"/>
            <w:vMerge/>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rPr>
                <w:rFonts w:eastAsia="Times New Roman" w:cs="Times New Roman"/>
                <w:iCs/>
                <w:color w:val="000000"/>
                <w:sz w:val="20"/>
                <w:szCs w:val="20"/>
                <w:lang w:eastAsia="cs-CZ"/>
              </w:rPr>
            </w:pPr>
          </w:p>
        </w:tc>
        <w:tc>
          <w:tcPr>
            <w:tcW w:w="6095" w:type="dxa"/>
            <w:tcBorders>
              <w:top w:val="nil"/>
              <w:left w:val="nil"/>
              <w:bottom w:val="single" w:sz="4" w:space="0" w:color="auto"/>
              <w:right w:val="single" w:sz="4" w:space="0" w:color="auto"/>
            </w:tcBorders>
            <w:vAlign w:val="center"/>
            <w:hideMark/>
          </w:tcPr>
          <w:p w:rsidR="00AE2BC0" w:rsidRPr="00AE2BC0" w:rsidRDefault="00AE2BC0" w:rsidP="00AE2BC0">
            <w:pPr>
              <w:spacing w:before="20" w:after="20"/>
              <w:jc w:val="left"/>
              <w:rPr>
                <w:rFonts w:eastAsia="Times New Roman" w:cs="Times New Roman"/>
                <w:iCs/>
                <w:color w:val="000000"/>
                <w:sz w:val="20"/>
                <w:szCs w:val="20"/>
                <w:lang w:eastAsia="cs-CZ"/>
              </w:rPr>
            </w:pPr>
            <w:r w:rsidRPr="00AE2BC0">
              <w:rPr>
                <w:rFonts w:eastAsia="Times New Roman" w:cs="Times New Roman"/>
                <w:color w:val="000000"/>
                <w:sz w:val="20"/>
                <w:szCs w:val="20"/>
                <w:lang w:eastAsia="cs-CZ"/>
              </w:rPr>
              <w:t>Vytěžování elektronických zdrojů dat a analýza škodlivých kódů</w:t>
            </w:r>
          </w:p>
        </w:tc>
      </w:tr>
      <w:tr w:rsidR="00AE2BC0" w:rsidRPr="00AE2BC0" w:rsidTr="00A42657">
        <w:trPr>
          <w:trHeight w:val="212"/>
          <w:jc w:val="center"/>
        </w:trPr>
        <w:tc>
          <w:tcPr>
            <w:tcW w:w="1205" w:type="dxa"/>
            <w:vMerge/>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rPr>
                <w:rFonts w:eastAsia="Times New Roman" w:cs="Times New Roman"/>
                <w:iCs/>
                <w:color w:val="000000"/>
                <w:sz w:val="20"/>
                <w:szCs w:val="20"/>
                <w:lang w:eastAsia="cs-CZ"/>
              </w:rPr>
            </w:pPr>
          </w:p>
        </w:tc>
        <w:tc>
          <w:tcPr>
            <w:tcW w:w="2007" w:type="dxa"/>
            <w:vMerge/>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rPr>
                <w:rFonts w:eastAsia="Times New Roman" w:cs="Times New Roman"/>
                <w:iCs/>
                <w:color w:val="000000"/>
                <w:sz w:val="20"/>
                <w:szCs w:val="20"/>
                <w:lang w:eastAsia="cs-CZ"/>
              </w:rPr>
            </w:pPr>
          </w:p>
        </w:tc>
        <w:tc>
          <w:tcPr>
            <w:tcW w:w="6095" w:type="dxa"/>
            <w:tcBorders>
              <w:top w:val="nil"/>
              <w:left w:val="nil"/>
              <w:bottom w:val="single" w:sz="4" w:space="0" w:color="auto"/>
              <w:right w:val="single" w:sz="4" w:space="0" w:color="auto"/>
            </w:tcBorders>
            <w:vAlign w:val="center"/>
            <w:hideMark/>
          </w:tcPr>
          <w:p w:rsidR="00AE2BC0" w:rsidRPr="00AE2BC0" w:rsidRDefault="00AE2BC0" w:rsidP="00AE2BC0">
            <w:pPr>
              <w:spacing w:before="20" w:after="20"/>
              <w:jc w:val="left"/>
              <w:rPr>
                <w:rFonts w:eastAsia="Times New Roman" w:cs="Times New Roman"/>
                <w:iCs/>
                <w:color w:val="000000"/>
                <w:sz w:val="20"/>
                <w:szCs w:val="20"/>
                <w:lang w:eastAsia="cs-CZ"/>
              </w:rPr>
            </w:pPr>
            <w:r w:rsidRPr="00AE2BC0">
              <w:rPr>
                <w:rFonts w:eastAsia="Times New Roman" w:cs="Times New Roman"/>
                <w:color w:val="000000"/>
                <w:sz w:val="20"/>
                <w:szCs w:val="20"/>
                <w:lang w:eastAsia="cs-CZ"/>
              </w:rPr>
              <w:t>Dokumentace a rekonstrukce místa / průběhu incidentu</w:t>
            </w:r>
          </w:p>
        </w:tc>
      </w:tr>
      <w:tr w:rsidR="00AE2BC0" w:rsidRPr="00AE2BC0" w:rsidTr="00A42657">
        <w:trPr>
          <w:trHeight w:val="70"/>
          <w:jc w:val="center"/>
        </w:trPr>
        <w:tc>
          <w:tcPr>
            <w:tcW w:w="1205" w:type="dxa"/>
            <w:vMerge/>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rPr>
                <w:rFonts w:eastAsia="Times New Roman" w:cs="Times New Roman"/>
                <w:iCs/>
                <w:color w:val="000000"/>
                <w:sz w:val="20"/>
                <w:szCs w:val="20"/>
                <w:lang w:eastAsia="cs-CZ"/>
              </w:rPr>
            </w:pPr>
          </w:p>
        </w:tc>
        <w:tc>
          <w:tcPr>
            <w:tcW w:w="2007" w:type="dxa"/>
            <w:vMerge/>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rPr>
                <w:rFonts w:eastAsia="Times New Roman" w:cs="Times New Roman"/>
                <w:iCs/>
                <w:color w:val="000000"/>
                <w:sz w:val="20"/>
                <w:szCs w:val="20"/>
                <w:lang w:eastAsia="cs-CZ"/>
              </w:rPr>
            </w:pPr>
          </w:p>
        </w:tc>
        <w:tc>
          <w:tcPr>
            <w:tcW w:w="6095" w:type="dxa"/>
            <w:tcBorders>
              <w:top w:val="nil"/>
              <w:left w:val="nil"/>
              <w:bottom w:val="single" w:sz="4" w:space="0" w:color="auto"/>
              <w:right w:val="single" w:sz="4" w:space="0" w:color="auto"/>
            </w:tcBorders>
            <w:vAlign w:val="center"/>
            <w:hideMark/>
          </w:tcPr>
          <w:p w:rsidR="00AE2BC0" w:rsidRPr="00AE2BC0" w:rsidRDefault="00AE2BC0" w:rsidP="00AE2BC0">
            <w:pPr>
              <w:spacing w:before="20" w:after="20"/>
              <w:jc w:val="left"/>
              <w:rPr>
                <w:rFonts w:eastAsia="Times New Roman" w:cs="Times New Roman"/>
                <w:iCs/>
                <w:color w:val="000000"/>
                <w:sz w:val="20"/>
                <w:szCs w:val="20"/>
                <w:lang w:eastAsia="cs-CZ"/>
              </w:rPr>
            </w:pPr>
            <w:r w:rsidRPr="00AE2BC0">
              <w:rPr>
                <w:rFonts w:eastAsia="Times New Roman" w:cs="Times New Roman"/>
                <w:color w:val="000000"/>
                <w:sz w:val="20"/>
                <w:szCs w:val="20"/>
                <w:lang w:eastAsia="cs-CZ"/>
              </w:rPr>
              <w:t>Budování a automatizované zpracování evidencí a databází</w:t>
            </w:r>
          </w:p>
        </w:tc>
      </w:tr>
      <w:tr w:rsidR="00AE2BC0" w:rsidRPr="00AE2BC0" w:rsidTr="00A42657">
        <w:trPr>
          <w:trHeight w:val="288"/>
          <w:jc w:val="center"/>
        </w:trPr>
        <w:tc>
          <w:tcPr>
            <w:tcW w:w="1205" w:type="dxa"/>
            <w:vMerge/>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rPr>
                <w:rFonts w:eastAsia="Times New Roman" w:cs="Times New Roman"/>
                <w:iCs/>
                <w:color w:val="000000"/>
                <w:sz w:val="20"/>
                <w:szCs w:val="20"/>
                <w:lang w:eastAsia="cs-CZ"/>
              </w:rPr>
            </w:pPr>
          </w:p>
        </w:tc>
        <w:tc>
          <w:tcPr>
            <w:tcW w:w="2007" w:type="dxa"/>
            <w:vMerge w:val="restart"/>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jc w:val="center"/>
              <w:rPr>
                <w:rFonts w:eastAsia="Times New Roman" w:cs="Times New Roman"/>
                <w:iCs/>
                <w:color w:val="000000"/>
                <w:sz w:val="20"/>
                <w:szCs w:val="20"/>
                <w:lang w:eastAsia="cs-CZ"/>
              </w:rPr>
            </w:pPr>
            <w:r w:rsidRPr="00AE2BC0">
              <w:rPr>
                <w:rFonts w:eastAsia="Times New Roman" w:cs="Times New Roman"/>
                <w:color w:val="000000"/>
                <w:sz w:val="20"/>
                <w:szCs w:val="20"/>
                <w:lang w:eastAsia="cs-CZ"/>
              </w:rPr>
              <w:t>Vnitřní rozvoj součástí bezpečnostního sytému</w:t>
            </w:r>
          </w:p>
        </w:tc>
        <w:tc>
          <w:tcPr>
            <w:tcW w:w="6095" w:type="dxa"/>
            <w:tcBorders>
              <w:top w:val="nil"/>
              <w:left w:val="nil"/>
              <w:bottom w:val="single" w:sz="4" w:space="0" w:color="auto"/>
              <w:right w:val="single" w:sz="4" w:space="0" w:color="auto"/>
            </w:tcBorders>
            <w:vAlign w:val="center"/>
            <w:hideMark/>
          </w:tcPr>
          <w:p w:rsidR="00AE2BC0" w:rsidRPr="00AE2BC0" w:rsidRDefault="00AE2BC0" w:rsidP="00AE2BC0">
            <w:pPr>
              <w:spacing w:before="20" w:after="20"/>
              <w:jc w:val="left"/>
              <w:rPr>
                <w:rFonts w:eastAsia="Times New Roman" w:cs="Times New Roman"/>
                <w:iCs/>
                <w:color w:val="000000"/>
                <w:sz w:val="20"/>
                <w:szCs w:val="20"/>
                <w:lang w:eastAsia="cs-CZ"/>
              </w:rPr>
            </w:pPr>
            <w:r w:rsidRPr="00AE2BC0">
              <w:rPr>
                <w:rFonts w:eastAsia="Times New Roman" w:cs="Times New Roman"/>
                <w:color w:val="000000"/>
                <w:sz w:val="20"/>
                <w:szCs w:val="20"/>
                <w:lang w:eastAsia="cs-CZ"/>
              </w:rPr>
              <w:t>Ochrana zasahujících příslušníků BS</w:t>
            </w:r>
          </w:p>
        </w:tc>
      </w:tr>
      <w:tr w:rsidR="00AE2BC0" w:rsidRPr="00AE2BC0" w:rsidTr="00A42657">
        <w:trPr>
          <w:trHeight w:val="288"/>
          <w:jc w:val="center"/>
        </w:trPr>
        <w:tc>
          <w:tcPr>
            <w:tcW w:w="1205" w:type="dxa"/>
            <w:vMerge/>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rPr>
                <w:rFonts w:eastAsia="Times New Roman" w:cs="Times New Roman"/>
                <w:iCs/>
                <w:color w:val="000000"/>
                <w:sz w:val="20"/>
                <w:szCs w:val="20"/>
                <w:lang w:eastAsia="cs-CZ"/>
              </w:rPr>
            </w:pPr>
          </w:p>
        </w:tc>
        <w:tc>
          <w:tcPr>
            <w:tcW w:w="2007" w:type="dxa"/>
            <w:vMerge/>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rPr>
                <w:rFonts w:eastAsia="Times New Roman" w:cs="Times New Roman"/>
                <w:iCs/>
                <w:color w:val="000000"/>
                <w:sz w:val="20"/>
                <w:szCs w:val="20"/>
                <w:lang w:eastAsia="cs-CZ"/>
              </w:rPr>
            </w:pPr>
          </w:p>
        </w:tc>
        <w:tc>
          <w:tcPr>
            <w:tcW w:w="6095" w:type="dxa"/>
            <w:tcBorders>
              <w:top w:val="nil"/>
              <w:left w:val="nil"/>
              <w:bottom w:val="single" w:sz="4" w:space="0" w:color="auto"/>
              <w:right w:val="single" w:sz="4" w:space="0" w:color="auto"/>
            </w:tcBorders>
            <w:vAlign w:val="center"/>
            <w:hideMark/>
          </w:tcPr>
          <w:p w:rsidR="00AE2BC0" w:rsidRPr="00AE2BC0" w:rsidRDefault="00AE2BC0" w:rsidP="00AE2BC0">
            <w:pPr>
              <w:spacing w:before="20" w:after="20"/>
              <w:jc w:val="left"/>
              <w:rPr>
                <w:rFonts w:eastAsia="Times New Roman" w:cs="Times New Roman"/>
                <w:iCs/>
                <w:color w:val="000000"/>
                <w:sz w:val="20"/>
                <w:szCs w:val="20"/>
                <w:lang w:eastAsia="cs-CZ"/>
              </w:rPr>
            </w:pPr>
            <w:r w:rsidRPr="00AE2BC0">
              <w:rPr>
                <w:rFonts w:eastAsia="Times New Roman" w:cs="Times New Roman"/>
                <w:color w:val="000000"/>
                <w:sz w:val="20"/>
                <w:szCs w:val="20"/>
                <w:lang w:eastAsia="cs-CZ"/>
              </w:rPr>
              <w:t>Bezpečnost práce v podmínkách BS</w:t>
            </w:r>
          </w:p>
        </w:tc>
      </w:tr>
      <w:tr w:rsidR="00AE2BC0" w:rsidRPr="00AE2BC0" w:rsidTr="00A42657">
        <w:trPr>
          <w:trHeight w:val="288"/>
          <w:jc w:val="center"/>
        </w:trPr>
        <w:tc>
          <w:tcPr>
            <w:tcW w:w="1205" w:type="dxa"/>
            <w:vMerge/>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rPr>
                <w:rFonts w:eastAsia="Times New Roman" w:cs="Times New Roman"/>
                <w:iCs/>
                <w:color w:val="000000"/>
                <w:sz w:val="20"/>
                <w:szCs w:val="20"/>
                <w:lang w:eastAsia="cs-CZ"/>
              </w:rPr>
            </w:pPr>
          </w:p>
        </w:tc>
        <w:tc>
          <w:tcPr>
            <w:tcW w:w="2007" w:type="dxa"/>
            <w:vMerge/>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rPr>
                <w:rFonts w:eastAsia="Times New Roman" w:cs="Times New Roman"/>
                <w:iCs/>
                <w:color w:val="000000"/>
                <w:sz w:val="20"/>
                <w:szCs w:val="20"/>
                <w:lang w:eastAsia="cs-CZ"/>
              </w:rPr>
            </w:pPr>
          </w:p>
        </w:tc>
        <w:tc>
          <w:tcPr>
            <w:tcW w:w="6095" w:type="dxa"/>
            <w:tcBorders>
              <w:top w:val="nil"/>
              <w:left w:val="nil"/>
              <w:bottom w:val="single" w:sz="4" w:space="0" w:color="auto"/>
              <w:right w:val="single" w:sz="4" w:space="0" w:color="auto"/>
            </w:tcBorders>
            <w:vAlign w:val="center"/>
            <w:hideMark/>
          </w:tcPr>
          <w:p w:rsidR="00AE2BC0" w:rsidRPr="00AE2BC0" w:rsidRDefault="00AE2BC0" w:rsidP="00AE2BC0">
            <w:pPr>
              <w:spacing w:before="20" w:after="20"/>
              <w:jc w:val="left"/>
              <w:rPr>
                <w:rFonts w:eastAsia="Times New Roman" w:cs="Times New Roman"/>
                <w:iCs/>
                <w:color w:val="000000"/>
                <w:sz w:val="20"/>
                <w:szCs w:val="20"/>
                <w:lang w:eastAsia="cs-CZ"/>
              </w:rPr>
            </w:pPr>
            <w:r w:rsidRPr="00AE2BC0">
              <w:rPr>
                <w:rFonts w:eastAsia="Times New Roman" w:cs="Times New Roman"/>
                <w:color w:val="000000"/>
                <w:sz w:val="20"/>
                <w:szCs w:val="20"/>
                <w:lang w:eastAsia="cs-CZ"/>
              </w:rPr>
              <w:t xml:space="preserve">Rozhraní člověk-stroj v praxi BS </w:t>
            </w:r>
          </w:p>
        </w:tc>
      </w:tr>
      <w:tr w:rsidR="00AE2BC0" w:rsidRPr="00AE2BC0" w:rsidTr="00A42657">
        <w:trPr>
          <w:trHeight w:val="288"/>
          <w:jc w:val="center"/>
        </w:trPr>
        <w:tc>
          <w:tcPr>
            <w:tcW w:w="1205" w:type="dxa"/>
            <w:vMerge/>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rPr>
                <w:rFonts w:eastAsia="Times New Roman" w:cs="Times New Roman"/>
                <w:iCs/>
                <w:color w:val="000000"/>
                <w:sz w:val="20"/>
                <w:szCs w:val="20"/>
                <w:lang w:eastAsia="cs-CZ"/>
              </w:rPr>
            </w:pPr>
          </w:p>
        </w:tc>
        <w:tc>
          <w:tcPr>
            <w:tcW w:w="2007" w:type="dxa"/>
            <w:vMerge/>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rPr>
                <w:rFonts w:eastAsia="Times New Roman" w:cs="Times New Roman"/>
                <w:iCs/>
                <w:color w:val="000000"/>
                <w:sz w:val="20"/>
                <w:szCs w:val="20"/>
                <w:lang w:eastAsia="cs-CZ"/>
              </w:rPr>
            </w:pPr>
          </w:p>
        </w:tc>
        <w:tc>
          <w:tcPr>
            <w:tcW w:w="6095" w:type="dxa"/>
            <w:tcBorders>
              <w:top w:val="nil"/>
              <w:left w:val="nil"/>
              <w:bottom w:val="single" w:sz="4" w:space="0" w:color="auto"/>
              <w:right w:val="single" w:sz="4" w:space="0" w:color="auto"/>
            </w:tcBorders>
            <w:vAlign w:val="center"/>
            <w:hideMark/>
          </w:tcPr>
          <w:p w:rsidR="00AE2BC0" w:rsidRPr="00AE2BC0" w:rsidRDefault="00AE2BC0" w:rsidP="00AE2BC0">
            <w:pPr>
              <w:spacing w:before="20" w:after="20"/>
              <w:jc w:val="left"/>
              <w:rPr>
                <w:rFonts w:eastAsia="Times New Roman" w:cs="Times New Roman"/>
                <w:iCs/>
                <w:color w:val="000000"/>
                <w:sz w:val="20"/>
                <w:szCs w:val="20"/>
                <w:lang w:eastAsia="cs-CZ"/>
              </w:rPr>
            </w:pPr>
            <w:r w:rsidRPr="00AE2BC0">
              <w:rPr>
                <w:rFonts w:eastAsia="Times New Roman" w:cs="Times New Roman"/>
                <w:color w:val="000000"/>
                <w:sz w:val="20"/>
                <w:szCs w:val="20"/>
                <w:lang w:eastAsia="cs-CZ"/>
              </w:rPr>
              <w:t>Zdrojová efektivita součástí BS</w:t>
            </w:r>
          </w:p>
        </w:tc>
      </w:tr>
      <w:tr w:rsidR="00AE2BC0" w:rsidRPr="00AE2BC0" w:rsidTr="00A42657">
        <w:trPr>
          <w:trHeight w:val="288"/>
          <w:jc w:val="center"/>
        </w:trPr>
        <w:tc>
          <w:tcPr>
            <w:tcW w:w="1205" w:type="dxa"/>
            <w:vMerge/>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rPr>
                <w:rFonts w:eastAsia="Times New Roman" w:cs="Times New Roman"/>
                <w:iCs/>
                <w:color w:val="000000"/>
                <w:sz w:val="20"/>
                <w:szCs w:val="20"/>
                <w:lang w:eastAsia="cs-CZ"/>
              </w:rPr>
            </w:pPr>
          </w:p>
        </w:tc>
        <w:tc>
          <w:tcPr>
            <w:tcW w:w="2007" w:type="dxa"/>
            <w:vMerge/>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rPr>
                <w:rFonts w:eastAsia="Times New Roman" w:cs="Times New Roman"/>
                <w:iCs/>
                <w:color w:val="000000"/>
                <w:sz w:val="20"/>
                <w:szCs w:val="20"/>
                <w:lang w:eastAsia="cs-CZ"/>
              </w:rPr>
            </w:pPr>
          </w:p>
        </w:tc>
        <w:tc>
          <w:tcPr>
            <w:tcW w:w="6095" w:type="dxa"/>
            <w:tcBorders>
              <w:top w:val="nil"/>
              <w:left w:val="nil"/>
              <w:bottom w:val="single" w:sz="4" w:space="0" w:color="auto"/>
              <w:right w:val="single" w:sz="4" w:space="0" w:color="auto"/>
            </w:tcBorders>
            <w:vAlign w:val="center"/>
            <w:hideMark/>
          </w:tcPr>
          <w:p w:rsidR="00AE2BC0" w:rsidRPr="00AE2BC0" w:rsidRDefault="00AE2BC0" w:rsidP="00AE2BC0">
            <w:pPr>
              <w:spacing w:before="20" w:after="20"/>
              <w:jc w:val="left"/>
              <w:rPr>
                <w:rFonts w:eastAsia="Times New Roman" w:cs="Times New Roman"/>
                <w:iCs/>
                <w:color w:val="000000"/>
                <w:sz w:val="20"/>
                <w:szCs w:val="20"/>
                <w:lang w:eastAsia="cs-CZ"/>
              </w:rPr>
            </w:pPr>
            <w:r w:rsidRPr="00AE2BC0">
              <w:rPr>
                <w:rFonts w:eastAsia="Times New Roman" w:cs="Times New Roman"/>
                <w:color w:val="000000"/>
                <w:sz w:val="20"/>
                <w:szCs w:val="20"/>
                <w:lang w:eastAsia="cs-CZ"/>
              </w:rPr>
              <w:t>Mobilita BS</w:t>
            </w:r>
          </w:p>
        </w:tc>
      </w:tr>
      <w:tr w:rsidR="00AE2BC0" w:rsidRPr="00AE2BC0" w:rsidTr="00A42657">
        <w:trPr>
          <w:trHeight w:val="288"/>
          <w:jc w:val="center"/>
        </w:trPr>
        <w:tc>
          <w:tcPr>
            <w:tcW w:w="1205" w:type="dxa"/>
            <w:vMerge/>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rPr>
                <w:rFonts w:eastAsia="Times New Roman" w:cs="Times New Roman"/>
                <w:iCs/>
                <w:color w:val="000000"/>
                <w:sz w:val="20"/>
                <w:szCs w:val="20"/>
                <w:lang w:eastAsia="cs-CZ"/>
              </w:rPr>
            </w:pPr>
          </w:p>
        </w:tc>
        <w:tc>
          <w:tcPr>
            <w:tcW w:w="2007" w:type="dxa"/>
            <w:vMerge/>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rPr>
                <w:rFonts w:eastAsia="Times New Roman" w:cs="Times New Roman"/>
                <w:iCs/>
                <w:color w:val="000000"/>
                <w:sz w:val="20"/>
                <w:szCs w:val="20"/>
                <w:lang w:eastAsia="cs-CZ"/>
              </w:rPr>
            </w:pPr>
          </w:p>
        </w:tc>
        <w:tc>
          <w:tcPr>
            <w:tcW w:w="6095" w:type="dxa"/>
            <w:tcBorders>
              <w:top w:val="nil"/>
              <w:left w:val="nil"/>
              <w:bottom w:val="single" w:sz="4" w:space="0" w:color="auto"/>
              <w:right w:val="single" w:sz="4" w:space="0" w:color="auto"/>
            </w:tcBorders>
            <w:vAlign w:val="center"/>
            <w:hideMark/>
          </w:tcPr>
          <w:p w:rsidR="00AE2BC0" w:rsidRPr="00AE2BC0" w:rsidRDefault="00AE2BC0" w:rsidP="00AE2BC0">
            <w:pPr>
              <w:spacing w:before="20" w:after="20"/>
              <w:jc w:val="left"/>
              <w:rPr>
                <w:rFonts w:eastAsia="Times New Roman" w:cs="Times New Roman"/>
                <w:iCs/>
                <w:sz w:val="20"/>
                <w:szCs w:val="20"/>
                <w:lang w:eastAsia="cs-CZ"/>
              </w:rPr>
            </w:pPr>
            <w:r w:rsidRPr="00AE2BC0">
              <w:rPr>
                <w:sz w:val="20"/>
                <w:szCs w:val="20"/>
              </w:rPr>
              <w:t>Operační výzkum a učení ze zkušeností</w:t>
            </w:r>
          </w:p>
        </w:tc>
      </w:tr>
      <w:tr w:rsidR="00AE2BC0" w:rsidRPr="00AE2BC0" w:rsidTr="00A42657">
        <w:trPr>
          <w:trHeight w:val="104"/>
          <w:jc w:val="center"/>
        </w:trPr>
        <w:tc>
          <w:tcPr>
            <w:tcW w:w="1205" w:type="dxa"/>
            <w:vMerge/>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rPr>
                <w:rFonts w:eastAsia="Times New Roman" w:cs="Times New Roman"/>
                <w:iCs/>
                <w:color w:val="000000"/>
                <w:sz w:val="20"/>
                <w:szCs w:val="20"/>
                <w:lang w:eastAsia="cs-CZ"/>
              </w:rPr>
            </w:pPr>
          </w:p>
        </w:tc>
        <w:tc>
          <w:tcPr>
            <w:tcW w:w="2007" w:type="dxa"/>
            <w:vMerge/>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rPr>
                <w:rFonts w:eastAsia="Times New Roman" w:cs="Times New Roman"/>
                <w:iCs/>
                <w:color w:val="000000"/>
                <w:sz w:val="20"/>
                <w:szCs w:val="20"/>
                <w:lang w:eastAsia="cs-CZ"/>
              </w:rPr>
            </w:pPr>
          </w:p>
        </w:tc>
        <w:tc>
          <w:tcPr>
            <w:tcW w:w="6095" w:type="dxa"/>
            <w:tcBorders>
              <w:top w:val="nil"/>
              <w:left w:val="nil"/>
              <w:bottom w:val="single" w:sz="4" w:space="0" w:color="auto"/>
              <w:right w:val="single" w:sz="4" w:space="0" w:color="auto"/>
            </w:tcBorders>
            <w:vAlign w:val="center"/>
          </w:tcPr>
          <w:p w:rsidR="00AE2BC0" w:rsidRPr="00AE2BC0" w:rsidRDefault="00AE2BC0" w:rsidP="00AE2BC0">
            <w:pPr>
              <w:spacing w:before="20" w:after="20"/>
              <w:jc w:val="left"/>
              <w:rPr>
                <w:sz w:val="20"/>
                <w:szCs w:val="20"/>
              </w:rPr>
            </w:pPr>
            <w:r w:rsidRPr="00AE2BC0">
              <w:rPr>
                <w:sz w:val="20"/>
                <w:szCs w:val="20"/>
              </w:rPr>
              <w:t>Výcvikové nástroje a postupy</w:t>
            </w:r>
          </w:p>
        </w:tc>
      </w:tr>
      <w:tr w:rsidR="00AE2BC0" w:rsidRPr="00AE2BC0" w:rsidTr="00A42657">
        <w:trPr>
          <w:trHeight w:val="288"/>
          <w:jc w:val="center"/>
        </w:trPr>
        <w:tc>
          <w:tcPr>
            <w:tcW w:w="1205" w:type="dxa"/>
            <w:vMerge w:val="restart"/>
            <w:tcBorders>
              <w:top w:val="nil"/>
              <w:left w:val="single" w:sz="4" w:space="0" w:color="auto"/>
              <w:bottom w:val="single" w:sz="4" w:space="0" w:color="auto"/>
              <w:right w:val="single" w:sz="4" w:space="0" w:color="auto"/>
            </w:tcBorders>
            <w:textDirection w:val="btLr"/>
            <w:vAlign w:val="center"/>
            <w:hideMark/>
          </w:tcPr>
          <w:p w:rsidR="00AE2BC0" w:rsidRPr="00AE2BC0" w:rsidRDefault="00AE2BC0" w:rsidP="00AE2BC0">
            <w:pPr>
              <w:spacing w:before="20" w:after="20"/>
              <w:jc w:val="center"/>
              <w:rPr>
                <w:rFonts w:eastAsia="Times New Roman" w:cs="Times New Roman"/>
                <w:b/>
                <w:iCs/>
                <w:color w:val="000000"/>
                <w:sz w:val="20"/>
                <w:szCs w:val="20"/>
                <w:lang w:eastAsia="cs-CZ"/>
              </w:rPr>
            </w:pPr>
            <w:r w:rsidRPr="006D3758">
              <w:rPr>
                <w:rFonts w:eastAsia="Times New Roman" w:cs="Times New Roman"/>
                <w:b/>
                <w:color w:val="000000"/>
                <w:sz w:val="20"/>
                <w:szCs w:val="20"/>
                <w:lang w:eastAsia="cs-CZ"/>
              </w:rPr>
              <w:t>Bezpečná společnost</w:t>
            </w:r>
          </w:p>
        </w:tc>
        <w:tc>
          <w:tcPr>
            <w:tcW w:w="2007" w:type="dxa"/>
            <w:vMerge w:val="restart"/>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jc w:val="center"/>
              <w:rPr>
                <w:rFonts w:eastAsia="Times New Roman" w:cs="Times New Roman"/>
                <w:iCs/>
                <w:color w:val="000000"/>
                <w:sz w:val="20"/>
                <w:szCs w:val="20"/>
                <w:lang w:eastAsia="cs-CZ"/>
              </w:rPr>
            </w:pPr>
            <w:r w:rsidRPr="00AE2BC0">
              <w:rPr>
                <w:rFonts w:eastAsia="Times New Roman" w:cs="Times New Roman"/>
                <w:color w:val="000000"/>
                <w:sz w:val="20"/>
                <w:szCs w:val="20"/>
                <w:lang w:eastAsia="cs-CZ"/>
              </w:rPr>
              <w:t>Bezpečný veřejný prostor</w:t>
            </w:r>
          </w:p>
        </w:tc>
        <w:tc>
          <w:tcPr>
            <w:tcW w:w="6095" w:type="dxa"/>
            <w:tcBorders>
              <w:top w:val="nil"/>
              <w:left w:val="nil"/>
              <w:bottom w:val="single" w:sz="4" w:space="0" w:color="auto"/>
              <w:right w:val="single" w:sz="4" w:space="0" w:color="auto"/>
            </w:tcBorders>
            <w:vAlign w:val="center"/>
            <w:hideMark/>
          </w:tcPr>
          <w:p w:rsidR="00AE2BC0" w:rsidRPr="00AE2BC0" w:rsidRDefault="00AE2BC0" w:rsidP="00AE2BC0">
            <w:pPr>
              <w:spacing w:before="20" w:after="20"/>
              <w:jc w:val="left"/>
              <w:rPr>
                <w:rFonts w:eastAsia="Times New Roman" w:cs="Times New Roman"/>
                <w:iCs/>
                <w:sz w:val="20"/>
                <w:szCs w:val="20"/>
                <w:lang w:eastAsia="cs-CZ"/>
              </w:rPr>
            </w:pPr>
            <w:r w:rsidRPr="00AE2BC0">
              <w:rPr>
                <w:sz w:val="20"/>
                <w:szCs w:val="20"/>
              </w:rPr>
              <w:t>Krizová komunikace</w:t>
            </w:r>
          </w:p>
        </w:tc>
      </w:tr>
      <w:tr w:rsidR="00AE2BC0" w:rsidRPr="00AE2BC0" w:rsidTr="00A42657">
        <w:trPr>
          <w:trHeight w:val="288"/>
          <w:jc w:val="center"/>
        </w:trPr>
        <w:tc>
          <w:tcPr>
            <w:tcW w:w="1205" w:type="dxa"/>
            <w:vMerge/>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rPr>
                <w:rFonts w:eastAsia="Times New Roman" w:cs="Times New Roman"/>
                <w:iCs/>
                <w:color w:val="000000"/>
                <w:sz w:val="20"/>
                <w:szCs w:val="20"/>
                <w:lang w:eastAsia="cs-CZ"/>
              </w:rPr>
            </w:pPr>
          </w:p>
        </w:tc>
        <w:tc>
          <w:tcPr>
            <w:tcW w:w="2007" w:type="dxa"/>
            <w:vMerge/>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rPr>
                <w:rFonts w:eastAsia="Times New Roman" w:cs="Times New Roman"/>
                <w:iCs/>
                <w:color w:val="000000"/>
                <w:sz w:val="20"/>
                <w:szCs w:val="20"/>
                <w:lang w:eastAsia="cs-CZ"/>
              </w:rPr>
            </w:pPr>
          </w:p>
        </w:tc>
        <w:tc>
          <w:tcPr>
            <w:tcW w:w="6095" w:type="dxa"/>
            <w:tcBorders>
              <w:top w:val="nil"/>
              <w:left w:val="nil"/>
              <w:bottom w:val="single" w:sz="4" w:space="0" w:color="auto"/>
              <w:right w:val="single" w:sz="4" w:space="0" w:color="auto"/>
            </w:tcBorders>
            <w:vAlign w:val="center"/>
            <w:hideMark/>
          </w:tcPr>
          <w:p w:rsidR="00AE2BC0" w:rsidRPr="00AE2BC0" w:rsidRDefault="00AE2BC0" w:rsidP="00AE2BC0">
            <w:pPr>
              <w:spacing w:before="20" w:after="20"/>
              <w:jc w:val="left"/>
              <w:rPr>
                <w:rFonts w:eastAsia="Times New Roman" w:cs="Times New Roman"/>
                <w:iCs/>
                <w:sz w:val="20"/>
                <w:szCs w:val="20"/>
                <w:lang w:eastAsia="cs-CZ"/>
              </w:rPr>
            </w:pPr>
            <w:r w:rsidRPr="00AE2BC0">
              <w:rPr>
                <w:rFonts w:eastAsia="Times New Roman" w:cs="Times New Roman"/>
                <w:sz w:val="20"/>
                <w:szCs w:val="20"/>
                <w:lang w:eastAsia="cs-CZ"/>
              </w:rPr>
              <w:t>Pokročilé materiály</w:t>
            </w:r>
          </w:p>
        </w:tc>
      </w:tr>
      <w:tr w:rsidR="00AE2BC0" w:rsidRPr="00AE2BC0" w:rsidTr="00A42657">
        <w:trPr>
          <w:trHeight w:val="288"/>
          <w:jc w:val="center"/>
        </w:trPr>
        <w:tc>
          <w:tcPr>
            <w:tcW w:w="1205" w:type="dxa"/>
            <w:vMerge/>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rPr>
                <w:rFonts w:eastAsia="Times New Roman" w:cs="Times New Roman"/>
                <w:iCs/>
                <w:color w:val="000000"/>
                <w:sz w:val="20"/>
                <w:szCs w:val="20"/>
                <w:lang w:eastAsia="cs-CZ"/>
              </w:rPr>
            </w:pPr>
          </w:p>
        </w:tc>
        <w:tc>
          <w:tcPr>
            <w:tcW w:w="2007" w:type="dxa"/>
            <w:vMerge/>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rPr>
                <w:rFonts w:eastAsia="Times New Roman" w:cs="Times New Roman"/>
                <w:iCs/>
                <w:color w:val="000000"/>
                <w:sz w:val="20"/>
                <w:szCs w:val="20"/>
                <w:lang w:eastAsia="cs-CZ"/>
              </w:rPr>
            </w:pPr>
          </w:p>
        </w:tc>
        <w:tc>
          <w:tcPr>
            <w:tcW w:w="6095" w:type="dxa"/>
            <w:tcBorders>
              <w:top w:val="nil"/>
              <w:left w:val="nil"/>
              <w:bottom w:val="single" w:sz="4" w:space="0" w:color="auto"/>
              <w:right w:val="single" w:sz="4" w:space="0" w:color="auto"/>
            </w:tcBorders>
            <w:vAlign w:val="center"/>
            <w:hideMark/>
          </w:tcPr>
          <w:p w:rsidR="00AE2BC0" w:rsidRPr="00AE2BC0" w:rsidRDefault="00AE2BC0" w:rsidP="00AE2BC0">
            <w:pPr>
              <w:spacing w:before="20" w:after="20"/>
              <w:jc w:val="left"/>
              <w:rPr>
                <w:rFonts w:eastAsia="Times New Roman" w:cs="Times New Roman"/>
                <w:iCs/>
                <w:color w:val="000000"/>
                <w:sz w:val="20"/>
                <w:szCs w:val="20"/>
                <w:lang w:eastAsia="cs-CZ"/>
              </w:rPr>
            </w:pPr>
            <w:r w:rsidRPr="00AE2BC0">
              <w:rPr>
                <w:rFonts w:eastAsia="Times New Roman" w:cs="Times New Roman"/>
                <w:color w:val="000000"/>
                <w:sz w:val="20"/>
                <w:szCs w:val="20"/>
                <w:lang w:eastAsia="cs-CZ"/>
              </w:rPr>
              <w:t>Design a architektura pro bezpečnost</w:t>
            </w:r>
          </w:p>
        </w:tc>
      </w:tr>
      <w:tr w:rsidR="00AE2BC0" w:rsidRPr="00AE2BC0" w:rsidTr="00A42657">
        <w:trPr>
          <w:trHeight w:val="192"/>
          <w:jc w:val="center"/>
        </w:trPr>
        <w:tc>
          <w:tcPr>
            <w:tcW w:w="1205" w:type="dxa"/>
            <w:vMerge/>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rPr>
                <w:rFonts w:eastAsia="Times New Roman" w:cs="Times New Roman"/>
                <w:iCs/>
                <w:color w:val="000000"/>
                <w:sz w:val="20"/>
                <w:szCs w:val="20"/>
                <w:lang w:eastAsia="cs-CZ"/>
              </w:rPr>
            </w:pPr>
          </w:p>
        </w:tc>
        <w:tc>
          <w:tcPr>
            <w:tcW w:w="2007" w:type="dxa"/>
            <w:vMerge/>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rPr>
                <w:rFonts w:eastAsia="Times New Roman" w:cs="Times New Roman"/>
                <w:iCs/>
                <w:color w:val="000000"/>
                <w:sz w:val="20"/>
                <w:szCs w:val="20"/>
                <w:lang w:eastAsia="cs-CZ"/>
              </w:rPr>
            </w:pPr>
          </w:p>
        </w:tc>
        <w:tc>
          <w:tcPr>
            <w:tcW w:w="6095" w:type="dxa"/>
            <w:tcBorders>
              <w:top w:val="nil"/>
              <w:left w:val="nil"/>
              <w:bottom w:val="single" w:sz="4" w:space="0" w:color="auto"/>
              <w:right w:val="single" w:sz="4" w:space="0" w:color="auto"/>
            </w:tcBorders>
            <w:vAlign w:val="center"/>
            <w:hideMark/>
          </w:tcPr>
          <w:p w:rsidR="00AE2BC0" w:rsidRPr="00AE2BC0" w:rsidRDefault="00AE2BC0" w:rsidP="00AE2BC0">
            <w:pPr>
              <w:spacing w:before="20" w:after="20"/>
              <w:jc w:val="left"/>
              <w:rPr>
                <w:rFonts w:eastAsia="Times New Roman" w:cs="Times New Roman"/>
                <w:iCs/>
                <w:color w:val="000000"/>
                <w:sz w:val="20"/>
                <w:szCs w:val="20"/>
                <w:lang w:eastAsia="cs-CZ"/>
              </w:rPr>
            </w:pPr>
            <w:r w:rsidRPr="00AE2BC0">
              <w:rPr>
                <w:rFonts w:eastAsia="Times New Roman" w:cs="Times New Roman"/>
                <w:color w:val="000000"/>
                <w:sz w:val="20"/>
                <w:szCs w:val="20"/>
                <w:lang w:eastAsia="cs-CZ"/>
              </w:rPr>
              <w:t>Behaviorální aspekty bezpečnosti ve veřejném prostoru</w:t>
            </w:r>
          </w:p>
        </w:tc>
      </w:tr>
      <w:tr w:rsidR="00AE2BC0" w:rsidRPr="00AE2BC0" w:rsidTr="00A42657">
        <w:trPr>
          <w:trHeight w:val="288"/>
          <w:jc w:val="center"/>
        </w:trPr>
        <w:tc>
          <w:tcPr>
            <w:tcW w:w="1205" w:type="dxa"/>
            <w:vMerge/>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rPr>
                <w:rFonts w:eastAsia="Times New Roman" w:cs="Times New Roman"/>
                <w:iCs/>
                <w:color w:val="000000"/>
                <w:sz w:val="20"/>
                <w:szCs w:val="20"/>
                <w:lang w:eastAsia="cs-CZ"/>
              </w:rPr>
            </w:pPr>
          </w:p>
        </w:tc>
        <w:tc>
          <w:tcPr>
            <w:tcW w:w="2007" w:type="dxa"/>
            <w:vMerge/>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rPr>
                <w:rFonts w:eastAsia="Times New Roman" w:cs="Times New Roman"/>
                <w:iCs/>
                <w:color w:val="000000"/>
                <w:sz w:val="20"/>
                <w:szCs w:val="20"/>
                <w:lang w:eastAsia="cs-CZ"/>
              </w:rPr>
            </w:pPr>
          </w:p>
        </w:tc>
        <w:tc>
          <w:tcPr>
            <w:tcW w:w="6095" w:type="dxa"/>
            <w:tcBorders>
              <w:top w:val="nil"/>
              <w:left w:val="nil"/>
              <w:bottom w:val="single" w:sz="4" w:space="0" w:color="auto"/>
              <w:right w:val="single" w:sz="4" w:space="0" w:color="auto"/>
            </w:tcBorders>
            <w:vAlign w:val="center"/>
            <w:hideMark/>
          </w:tcPr>
          <w:p w:rsidR="00AE2BC0" w:rsidRPr="00AE2BC0" w:rsidRDefault="00AE2BC0" w:rsidP="00AE2BC0">
            <w:pPr>
              <w:spacing w:before="20" w:after="20"/>
              <w:jc w:val="left"/>
              <w:rPr>
                <w:rFonts w:eastAsia="Times New Roman" w:cs="Times New Roman"/>
                <w:iCs/>
                <w:color w:val="000000"/>
                <w:sz w:val="20"/>
                <w:szCs w:val="20"/>
                <w:lang w:eastAsia="cs-CZ"/>
              </w:rPr>
            </w:pPr>
            <w:r w:rsidRPr="00AE2BC0">
              <w:rPr>
                <w:rFonts w:eastAsia="Times New Roman" w:cs="Times New Roman"/>
                <w:color w:val="000000"/>
                <w:sz w:val="20"/>
                <w:szCs w:val="20"/>
                <w:lang w:eastAsia="cs-CZ"/>
              </w:rPr>
              <w:t>Varování a vyrozumění</w:t>
            </w:r>
          </w:p>
        </w:tc>
      </w:tr>
      <w:tr w:rsidR="00AE2BC0" w:rsidRPr="00AE2BC0" w:rsidTr="00A42657">
        <w:trPr>
          <w:trHeight w:val="288"/>
          <w:jc w:val="center"/>
        </w:trPr>
        <w:tc>
          <w:tcPr>
            <w:tcW w:w="1205" w:type="dxa"/>
            <w:vMerge/>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rPr>
                <w:rFonts w:eastAsia="Times New Roman" w:cs="Times New Roman"/>
                <w:iCs/>
                <w:color w:val="000000"/>
                <w:sz w:val="20"/>
                <w:szCs w:val="20"/>
                <w:lang w:eastAsia="cs-CZ"/>
              </w:rPr>
            </w:pPr>
          </w:p>
        </w:tc>
        <w:tc>
          <w:tcPr>
            <w:tcW w:w="2007" w:type="dxa"/>
            <w:vMerge w:val="restart"/>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jc w:val="center"/>
              <w:rPr>
                <w:rFonts w:eastAsia="Times New Roman" w:cs="Times New Roman"/>
                <w:iCs/>
                <w:color w:val="000000"/>
                <w:sz w:val="20"/>
                <w:szCs w:val="20"/>
                <w:lang w:eastAsia="cs-CZ"/>
              </w:rPr>
            </w:pPr>
            <w:r w:rsidRPr="00AE2BC0">
              <w:rPr>
                <w:rFonts w:eastAsia="Times New Roman" w:cs="Times New Roman"/>
                <w:color w:val="000000"/>
                <w:sz w:val="20"/>
                <w:szCs w:val="20"/>
                <w:lang w:eastAsia="cs-CZ"/>
              </w:rPr>
              <w:t>Včasná výstraha a situační přehled</w:t>
            </w:r>
          </w:p>
        </w:tc>
        <w:tc>
          <w:tcPr>
            <w:tcW w:w="6095" w:type="dxa"/>
            <w:tcBorders>
              <w:top w:val="nil"/>
              <w:left w:val="nil"/>
              <w:bottom w:val="single" w:sz="4" w:space="0" w:color="auto"/>
              <w:right w:val="single" w:sz="4" w:space="0" w:color="auto"/>
            </w:tcBorders>
            <w:vAlign w:val="center"/>
            <w:hideMark/>
          </w:tcPr>
          <w:p w:rsidR="00AE2BC0" w:rsidRPr="00AE2BC0" w:rsidRDefault="00AE2BC0" w:rsidP="00AE2BC0">
            <w:pPr>
              <w:spacing w:before="20" w:after="20"/>
              <w:jc w:val="left"/>
              <w:rPr>
                <w:rFonts w:eastAsia="Times New Roman" w:cs="Times New Roman"/>
                <w:iCs/>
                <w:color w:val="000000"/>
                <w:sz w:val="20"/>
                <w:szCs w:val="20"/>
                <w:lang w:eastAsia="cs-CZ"/>
              </w:rPr>
            </w:pPr>
            <w:r w:rsidRPr="00AE2BC0">
              <w:rPr>
                <w:rFonts w:eastAsia="Times New Roman" w:cs="Times New Roman"/>
                <w:color w:val="000000"/>
                <w:sz w:val="20"/>
                <w:szCs w:val="20"/>
                <w:lang w:eastAsia="cs-CZ"/>
              </w:rPr>
              <w:t>Prediktivní modelování a velká data</w:t>
            </w:r>
          </w:p>
        </w:tc>
      </w:tr>
      <w:tr w:rsidR="00AE2BC0" w:rsidRPr="00AE2BC0" w:rsidTr="00A42657">
        <w:trPr>
          <w:trHeight w:val="288"/>
          <w:jc w:val="center"/>
        </w:trPr>
        <w:tc>
          <w:tcPr>
            <w:tcW w:w="1205" w:type="dxa"/>
            <w:vMerge/>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rPr>
                <w:rFonts w:eastAsia="Times New Roman" w:cs="Times New Roman"/>
                <w:iCs/>
                <w:color w:val="000000"/>
                <w:sz w:val="20"/>
                <w:szCs w:val="20"/>
                <w:lang w:eastAsia="cs-CZ"/>
              </w:rPr>
            </w:pPr>
          </w:p>
        </w:tc>
        <w:tc>
          <w:tcPr>
            <w:tcW w:w="2007" w:type="dxa"/>
            <w:vMerge/>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rPr>
                <w:rFonts w:eastAsia="Times New Roman" w:cs="Times New Roman"/>
                <w:iCs/>
                <w:color w:val="000000"/>
                <w:sz w:val="20"/>
                <w:szCs w:val="20"/>
                <w:lang w:eastAsia="cs-CZ"/>
              </w:rPr>
            </w:pPr>
          </w:p>
        </w:tc>
        <w:tc>
          <w:tcPr>
            <w:tcW w:w="6095" w:type="dxa"/>
            <w:tcBorders>
              <w:top w:val="nil"/>
              <w:left w:val="nil"/>
              <w:bottom w:val="single" w:sz="4" w:space="0" w:color="auto"/>
              <w:right w:val="single" w:sz="4" w:space="0" w:color="auto"/>
            </w:tcBorders>
            <w:vAlign w:val="center"/>
            <w:hideMark/>
          </w:tcPr>
          <w:p w:rsidR="00AE2BC0" w:rsidRPr="00AE2BC0" w:rsidRDefault="00AE2BC0" w:rsidP="00AE2BC0">
            <w:pPr>
              <w:spacing w:before="20" w:after="20"/>
              <w:jc w:val="left"/>
              <w:rPr>
                <w:rFonts w:eastAsia="Times New Roman" w:cs="Times New Roman"/>
                <w:iCs/>
                <w:color w:val="000000"/>
                <w:sz w:val="20"/>
                <w:szCs w:val="20"/>
                <w:lang w:eastAsia="cs-CZ"/>
              </w:rPr>
            </w:pPr>
            <w:r w:rsidRPr="00AE2BC0">
              <w:rPr>
                <w:rFonts w:eastAsia="Times New Roman" w:cs="Times New Roman"/>
                <w:color w:val="000000"/>
                <w:sz w:val="20"/>
                <w:szCs w:val="20"/>
                <w:lang w:eastAsia="cs-CZ"/>
              </w:rPr>
              <w:t>Senzorové sítě a jejich integrace</w:t>
            </w:r>
          </w:p>
        </w:tc>
      </w:tr>
      <w:tr w:rsidR="00AE2BC0" w:rsidRPr="00AE2BC0" w:rsidTr="00A42657">
        <w:trPr>
          <w:trHeight w:val="164"/>
          <w:jc w:val="center"/>
        </w:trPr>
        <w:tc>
          <w:tcPr>
            <w:tcW w:w="1205" w:type="dxa"/>
            <w:vMerge/>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rPr>
                <w:rFonts w:eastAsia="Times New Roman" w:cs="Times New Roman"/>
                <w:iCs/>
                <w:color w:val="000000"/>
                <w:sz w:val="20"/>
                <w:szCs w:val="20"/>
                <w:lang w:eastAsia="cs-CZ"/>
              </w:rPr>
            </w:pPr>
          </w:p>
        </w:tc>
        <w:tc>
          <w:tcPr>
            <w:tcW w:w="2007" w:type="dxa"/>
            <w:vMerge/>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rPr>
                <w:rFonts w:eastAsia="Times New Roman" w:cs="Times New Roman"/>
                <w:iCs/>
                <w:color w:val="000000"/>
                <w:sz w:val="20"/>
                <w:szCs w:val="20"/>
                <w:lang w:eastAsia="cs-CZ"/>
              </w:rPr>
            </w:pPr>
          </w:p>
        </w:tc>
        <w:tc>
          <w:tcPr>
            <w:tcW w:w="6095" w:type="dxa"/>
            <w:tcBorders>
              <w:top w:val="nil"/>
              <w:left w:val="nil"/>
              <w:bottom w:val="single" w:sz="4" w:space="0" w:color="auto"/>
              <w:right w:val="single" w:sz="4" w:space="0" w:color="auto"/>
            </w:tcBorders>
            <w:vAlign w:val="center"/>
            <w:hideMark/>
          </w:tcPr>
          <w:p w:rsidR="00AE2BC0" w:rsidRPr="00AE2BC0" w:rsidRDefault="00AE2BC0" w:rsidP="00AE2BC0">
            <w:pPr>
              <w:spacing w:before="20" w:after="20"/>
              <w:jc w:val="left"/>
              <w:rPr>
                <w:rFonts w:eastAsia="Times New Roman" w:cs="Times New Roman"/>
                <w:iCs/>
                <w:color w:val="000000"/>
                <w:sz w:val="20"/>
                <w:szCs w:val="20"/>
                <w:lang w:eastAsia="cs-CZ"/>
              </w:rPr>
            </w:pPr>
            <w:r w:rsidRPr="00AE2BC0">
              <w:rPr>
                <w:rFonts w:eastAsia="Times New Roman" w:cs="Times New Roman"/>
                <w:color w:val="000000"/>
                <w:sz w:val="20"/>
                <w:szCs w:val="20"/>
                <w:lang w:eastAsia="cs-CZ"/>
              </w:rPr>
              <w:t>Vzdálené multisenzorové sledování rizikových prostor a operativní předávání dat</w:t>
            </w:r>
          </w:p>
        </w:tc>
      </w:tr>
      <w:tr w:rsidR="00AE2BC0" w:rsidRPr="00AE2BC0" w:rsidTr="00A42657">
        <w:trPr>
          <w:trHeight w:val="288"/>
          <w:jc w:val="center"/>
        </w:trPr>
        <w:tc>
          <w:tcPr>
            <w:tcW w:w="1205" w:type="dxa"/>
            <w:vMerge/>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rPr>
                <w:rFonts w:eastAsia="Times New Roman" w:cs="Times New Roman"/>
                <w:iCs/>
                <w:color w:val="000000"/>
                <w:sz w:val="20"/>
                <w:szCs w:val="20"/>
                <w:lang w:eastAsia="cs-CZ"/>
              </w:rPr>
            </w:pPr>
          </w:p>
        </w:tc>
        <w:tc>
          <w:tcPr>
            <w:tcW w:w="2007" w:type="dxa"/>
            <w:vMerge/>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rPr>
                <w:rFonts w:eastAsia="Times New Roman" w:cs="Times New Roman"/>
                <w:iCs/>
                <w:color w:val="000000"/>
                <w:sz w:val="20"/>
                <w:szCs w:val="20"/>
                <w:lang w:eastAsia="cs-CZ"/>
              </w:rPr>
            </w:pPr>
          </w:p>
        </w:tc>
        <w:tc>
          <w:tcPr>
            <w:tcW w:w="6095" w:type="dxa"/>
            <w:tcBorders>
              <w:top w:val="nil"/>
              <w:left w:val="nil"/>
              <w:bottom w:val="single" w:sz="4" w:space="0" w:color="auto"/>
              <w:right w:val="single" w:sz="4" w:space="0" w:color="auto"/>
            </w:tcBorders>
            <w:vAlign w:val="center"/>
            <w:hideMark/>
          </w:tcPr>
          <w:p w:rsidR="00AE2BC0" w:rsidRPr="00AE2BC0" w:rsidRDefault="00AE2BC0" w:rsidP="00AE2BC0">
            <w:pPr>
              <w:spacing w:before="20" w:after="20"/>
              <w:jc w:val="left"/>
              <w:rPr>
                <w:rFonts w:eastAsia="Times New Roman" w:cs="Times New Roman"/>
                <w:iCs/>
                <w:color w:val="000000"/>
                <w:sz w:val="20"/>
                <w:szCs w:val="20"/>
                <w:lang w:eastAsia="cs-CZ"/>
              </w:rPr>
            </w:pPr>
            <w:r w:rsidRPr="00AE2BC0">
              <w:rPr>
                <w:rFonts w:eastAsia="Times New Roman" w:cs="Times New Roman"/>
                <w:color w:val="000000"/>
                <w:sz w:val="20"/>
                <w:szCs w:val="20"/>
                <w:lang w:eastAsia="cs-CZ"/>
              </w:rPr>
              <w:t>Automatizovaná vícezdrojová analýza a verifikace</w:t>
            </w:r>
          </w:p>
        </w:tc>
      </w:tr>
      <w:tr w:rsidR="00AE2BC0" w:rsidRPr="00AE2BC0" w:rsidTr="00A42657">
        <w:trPr>
          <w:trHeight w:val="288"/>
          <w:jc w:val="center"/>
        </w:trPr>
        <w:tc>
          <w:tcPr>
            <w:tcW w:w="1205" w:type="dxa"/>
            <w:vMerge/>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rPr>
                <w:rFonts w:eastAsia="Times New Roman" w:cs="Times New Roman"/>
                <w:iCs/>
                <w:color w:val="000000"/>
                <w:sz w:val="20"/>
                <w:szCs w:val="20"/>
                <w:lang w:eastAsia="cs-CZ"/>
              </w:rPr>
            </w:pPr>
          </w:p>
        </w:tc>
        <w:tc>
          <w:tcPr>
            <w:tcW w:w="2007" w:type="dxa"/>
            <w:vMerge/>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rPr>
                <w:rFonts w:eastAsia="Times New Roman" w:cs="Times New Roman"/>
                <w:iCs/>
                <w:color w:val="000000"/>
                <w:sz w:val="20"/>
                <w:szCs w:val="20"/>
                <w:lang w:eastAsia="cs-CZ"/>
              </w:rPr>
            </w:pPr>
          </w:p>
        </w:tc>
        <w:tc>
          <w:tcPr>
            <w:tcW w:w="6095" w:type="dxa"/>
            <w:tcBorders>
              <w:top w:val="nil"/>
              <w:left w:val="nil"/>
              <w:bottom w:val="single" w:sz="4" w:space="0" w:color="auto"/>
              <w:right w:val="single" w:sz="4" w:space="0" w:color="auto"/>
            </w:tcBorders>
            <w:vAlign w:val="center"/>
            <w:hideMark/>
          </w:tcPr>
          <w:p w:rsidR="00AE2BC0" w:rsidRPr="00AE2BC0" w:rsidRDefault="00AE2BC0" w:rsidP="00AE2BC0">
            <w:pPr>
              <w:spacing w:before="20" w:after="20"/>
              <w:jc w:val="left"/>
              <w:rPr>
                <w:rFonts w:eastAsia="Times New Roman" w:cs="Times New Roman"/>
                <w:iCs/>
                <w:color w:val="000000"/>
                <w:sz w:val="20"/>
                <w:szCs w:val="20"/>
                <w:lang w:eastAsia="cs-CZ"/>
              </w:rPr>
            </w:pPr>
            <w:r w:rsidRPr="00AE2BC0">
              <w:rPr>
                <w:rFonts w:eastAsia="Times New Roman" w:cs="Times New Roman"/>
                <w:color w:val="000000"/>
                <w:sz w:val="20"/>
                <w:szCs w:val="20"/>
                <w:lang w:eastAsia="cs-CZ"/>
              </w:rPr>
              <w:t>Monitoring kontrolovaných a nebezpečných látek</w:t>
            </w:r>
          </w:p>
        </w:tc>
      </w:tr>
      <w:tr w:rsidR="00AE2BC0" w:rsidRPr="00AE2BC0" w:rsidTr="00A42657">
        <w:trPr>
          <w:trHeight w:val="288"/>
          <w:jc w:val="center"/>
        </w:trPr>
        <w:tc>
          <w:tcPr>
            <w:tcW w:w="1205" w:type="dxa"/>
            <w:vMerge/>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rPr>
                <w:rFonts w:eastAsia="Times New Roman" w:cs="Times New Roman"/>
                <w:iCs/>
                <w:color w:val="000000"/>
                <w:sz w:val="20"/>
                <w:szCs w:val="20"/>
                <w:lang w:eastAsia="cs-CZ"/>
              </w:rPr>
            </w:pPr>
          </w:p>
        </w:tc>
        <w:tc>
          <w:tcPr>
            <w:tcW w:w="2007" w:type="dxa"/>
            <w:vMerge w:val="restart"/>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jc w:val="center"/>
              <w:rPr>
                <w:rFonts w:eastAsia="Times New Roman" w:cs="Times New Roman"/>
                <w:iCs/>
                <w:color w:val="000000"/>
                <w:sz w:val="20"/>
                <w:szCs w:val="20"/>
                <w:lang w:eastAsia="cs-CZ"/>
              </w:rPr>
            </w:pPr>
            <w:r w:rsidRPr="00AE2BC0">
              <w:rPr>
                <w:rFonts w:eastAsia="Times New Roman" w:cs="Times New Roman"/>
                <w:color w:val="000000"/>
                <w:sz w:val="20"/>
                <w:szCs w:val="20"/>
                <w:lang w:eastAsia="cs-CZ"/>
              </w:rPr>
              <w:t>Bezpečnost infrastruktur</w:t>
            </w:r>
          </w:p>
        </w:tc>
        <w:tc>
          <w:tcPr>
            <w:tcW w:w="6095" w:type="dxa"/>
            <w:tcBorders>
              <w:top w:val="nil"/>
              <w:left w:val="nil"/>
              <w:bottom w:val="single" w:sz="4" w:space="0" w:color="auto"/>
              <w:right w:val="single" w:sz="4" w:space="0" w:color="auto"/>
            </w:tcBorders>
            <w:vAlign w:val="center"/>
            <w:hideMark/>
          </w:tcPr>
          <w:p w:rsidR="00AE2BC0" w:rsidRPr="00AE2BC0" w:rsidRDefault="00AE2BC0" w:rsidP="00AE2BC0">
            <w:pPr>
              <w:spacing w:before="20" w:after="20"/>
              <w:jc w:val="left"/>
              <w:rPr>
                <w:rFonts w:eastAsia="Times New Roman" w:cs="Times New Roman"/>
                <w:iCs/>
                <w:color w:val="000000"/>
                <w:sz w:val="20"/>
                <w:szCs w:val="20"/>
                <w:lang w:eastAsia="cs-CZ"/>
              </w:rPr>
            </w:pPr>
            <w:r w:rsidRPr="00AE2BC0">
              <w:rPr>
                <w:rFonts w:eastAsia="Times New Roman" w:cs="Times New Roman"/>
                <w:color w:val="000000"/>
                <w:sz w:val="20"/>
                <w:szCs w:val="20"/>
                <w:lang w:eastAsia="cs-CZ"/>
              </w:rPr>
              <w:t>Opatření proti vnitřním zdrojům ohrožení</w:t>
            </w:r>
          </w:p>
        </w:tc>
      </w:tr>
      <w:tr w:rsidR="00AE2BC0" w:rsidRPr="00AE2BC0" w:rsidTr="00A42657">
        <w:trPr>
          <w:trHeight w:val="146"/>
          <w:jc w:val="center"/>
        </w:trPr>
        <w:tc>
          <w:tcPr>
            <w:tcW w:w="1205" w:type="dxa"/>
            <w:vMerge/>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rPr>
                <w:rFonts w:eastAsia="Times New Roman" w:cs="Times New Roman"/>
                <w:iCs/>
                <w:color w:val="000000"/>
                <w:sz w:val="20"/>
                <w:szCs w:val="20"/>
                <w:lang w:eastAsia="cs-CZ"/>
              </w:rPr>
            </w:pPr>
          </w:p>
        </w:tc>
        <w:tc>
          <w:tcPr>
            <w:tcW w:w="2007" w:type="dxa"/>
            <w:vMerge/>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rPr>
                <w:rFonts w:eastAsia="Times New Roman" w:cs="Times New Roman"/>
                <w:iCs/>
                <w:color w:val="000000"/>
                <w:sz w:val="20"/>
                <w:szCs w:val="20"/>
                <w:lang w:eastAsia="cs-CZ"/>
              </w:rPr>
            </w:pPr>
          </w:p>
        </w:tc>
        <w:tc>
          <w:tcPr>
            <w:tcW w:w="6095" w:type="dxa"/>
            <w:tcBorders>
              <w:top w:val="nil"/>
              <w:left w:val="nil"/>
              <w:bottom w:val="single" w:sz="4" w:space="0" w:color="auto"/>
              <w:right w:val="single" w:sz="4" w:space="0" w:color="auto"/>
            </w:tcBorders>
            <w:vAlign w:val="center"/>
            <w:hideMark/>
          </w:tcPr>
          <w:p w:rsidR="00AE2BC0" w:rsidRPr="00AE2BC0" w:rsidRDefault="00AE2BC0" w:rsidP="00AE2BC0">
            <w:pPr>
              <w:spacing w:before="20" w:after="20"/>
              <w:jc w:val="left"/>
              <w:rPr>
                <w:rFonts w:eastAsia="Times New Roman" w:cs="Times New Roman"/>
                <w:iCs/>
                <w:color w:val="000000"/>
                <w:sz w:val="20"/>
                <w:szCs w:val="20"/>
                <w:lang w:eastAsia="cs-CZ"/>
              </w:rPr>
            </w:pPr>
            <w:r w:rsidRPr="00AE2BC0">
              <w:rPr>
                <w:rFonts w:eastAsia="Times New Roman" w:cs="Times New Roman"/>
                <w:color w:val="000000"/>
                <w:sz w:val="20"/>
                <w:szCs w:val="20"/>
                <w:lang w:eastAsia="cs-CZ"/>
              </w:rPr>
              <w:t>Nouzová izolace sítí pod tlakem a kontrolovaný rozpad</w:t>
            </w:r>
          </w:p>
        </w:tc>
      </w:tr>
      <w:tr w:rsidR="00AE2BC0" w:rsidRPr="00AE2BC0" w:rsidTr="00A42657">
        <w:trPr>
          <w:trHeight w:val="288"/>
          <w:jc w:val="center"/>
        </w:trPr>
        <w:tc>
          <w:tcPr>
            <w:tcW w:w="1205" w:type="dxa"/>
            <w:vMerge/>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rPr>
                <w:rFonts w:eastAsia="Times New Roman" w:cs="Times New Roman"/>
                <w:iCs/>
                <w:color w:val="000000"/>
                <w:sz w:val="20"/>
                <w:szCs w:val="20"/>
                <w:lang w:eastAsia="cs-CZ"/>
              </w:rPr>
            </w:pPr>
          </w:p>
        </w:tc>
        <w:tc>
          <w:tcPr>
            <w:tcW w:w="2007" w:type="dxa"/>
            <w:vMerge/>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rPr>
                <w:rFonts w:eastAsia="Times New Roman" w:cs="Times New Roman"/>
                <w:iCs/>
                <w:color w:val="000000"/>
                <w:sz w:val="20"/>
                <w:szCs w:val="20"/>
                <w:lang w:eastAsia="cs-CZ"/>
              </w:rPr>
            </w:pPr>
          </w:p>
        </w:tc>
        <w:tc>
          <w:tcPr>
            <w:tcW w:w="6095" w:type="dxa"/>
            <w:tcBorders>
              <w:top w:val="nil"/>
              <w:left w:val="nil"/>
              <w:bottom w:val="single" w:sz="4" w:space="0" w:color="auto"/>
              <w:right w:val="single" w:sz="4" w:space="0" w:color="auto"/>
            </w:tcBorders>
            <w:vAlign w:val="center"/>
            <w:hideMark/>
          </w:tcPr>
          <w:p w:rsidR="00AE2BC0" w:rsidRPr="00AE2BC0" w:rsidRDefault="00AE2BC0" w:rsidP="00AE2BC0">
            <w:pPr>
              <w:spacing w:before="20" w:after="20"/>
              <w:jc w:val="left"/>
              <w:rPr>
                <w:rFonts w:eastAsia="Times New Roman" w:cs="Times New Roman"/>
                <w:iCs/>
                <w:color w:val="000000"/>
                <w:sz w:val="20"/>
                <w:szCs w:val="20"/>
                <w:lang w:eastAsia="cs-CZ"/>
              </w:rPr>
            </w:pPr>
            <w:r w:rsidRPr="00AE2BC0">
              <w:rPr>
                <w:rFonts w:eastAsia="Times New Roman" w:cs="Times New Roman"/>
                <w:color w:val="000000"/>
                <w:sz w:val="20"/>
                <w:szCs w:val="20"/>
                <w:lang w:eastAsia="cs-CZ"/>
              </w:rPr>
              <w:t>Modely vzájemných závislostí</w:t>
            </w:r>
          </w:p>
        </w:tc>
      </w:tr>
      <w:tr w:rsidR="00AE2BC0" w:rsidRPr="00AE2BC0" w:rsidTr="00A42657">
        <w:trPr>
          <w:trHeight w:val="288"/>
          <w:jc w:val="center"/>
        </w:trPr>
        <w:tc>
          <w:tcPr>
            <w:tcW w:w="1205" w:type="dxa"/>
            <w:vMerge/>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rPr>
                <w:rFonts w:eastAsia="Times New Roman" w:cs="Times New Roman"/>
                <w:iCs/>
                <w:color w:val="000000"/>
                <w:sz w:val="20"/>
                <w:szCs w:val="20"/>
                <w:lang w:eastAsia="cs-CZ"/>
              </w:rPr>
            </w:pPr>
          </w:p>
        </w:tc>
        <w:tc>
          <w:tcPr>
            <w:tcW w:w="2007" w:type="dxa"/>
            <w:vMerge/>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rPr>
                <w:rFonts w:eastAsia="Times New Roman" w:cs="Times New Roman"/>
                <w:iCs/>
                <w:color w:val="000000"/>
                <w:sz w:val="20"/>
                <w:szCs w:val="20"/>
                <w:lang w:eastAsia="cs-CZ"/>
              </w:rPr>
            </w:pPr>
          </w:p>
        </w:tc>
        <w:tc>
          <w:tcPr>
            <w:tcW w:w="6095" w:type="dxa"/>
            <w:tcBorders>
              <w:top w:val="nil"/>
              <w:left w:val="nil"/>
              <w:bottom w:val="single" w:sz="4" w:space="0" w:color="auto"/>
              <w:right w:val="single" w:sz="4" w:space="0" w:color="auto"/>
            </w:tcBorders>
            <w:vAlign w:val="center"/>
            <w:hideMark/>
          </w:tcPr>
          <w:p w:rsidR="00AE2BC0" w:rsidRPr="00AE2BC0" w:rsidRDefault="00AE2BC0" w:rsidP="00AE2BC0">
            <w:pPr>
              <w:spacing w:before="20" w:after="20"/>
              <w:jc w:val="left"/>
              <w:rPr>
                <w:rFonts w:eastAsia="Times New Roman" w:cs="Times New Roman"/>
                <w:iCs/>
                <w:color w:val="000000"/>
                <w:sz w:val="20"/>
                <w:szCs w:val="20"/>
                <w:lang w:eastAsia="cs-CZ"/>
              </w:rPr>
            </w:pPr>
            <w:r w:rsidRPr="00AE2BC0">
              <w:rPr>
                <w:rFonts w:eastAsia="Times New Roman" w:cs="Times New Roman"/>
                <w:color w:val="000000"/>
                <w:sz w:val="20"/>
                <w:szCs w:val="20"/>
                <w:lang w:eastAsia="cs-CZ"/>
              </w:rPr>
              <w:t>Monitorování chráněných sítí a jejich uzlů</w:t>
            </w:r>
          </w:p>
        </w:tc>
      </w:tr>
      <w:tr w:rsidR="00AE2BC0" w:rsidRPr="00AE2BC0" w:rsidTr="00A42657">
        <w:trPr>
          <w:trHeight w:val="182"/>
          <w:jc w:val="center"/>
        </w:trPr>
        <w:tc>
          <w:tcPr>
            <w:tcW w:w="1205" w:type="dxa"/>
            <w:vMerge/>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rPr>
                <w:rFonts w:eastAsia="Times New Roman" w:cs="Times New Roman"/>
                <w:iCs/>
                <w:color w:val="000000"/>
                <w:sz w:val="20"/>
                <w:szCs w:val="20"/>
                <w:lang w:eastAsia="cs-CZ"/>
              </w:rPr>
            </w:pPr>
          </w:p>
        </w:tc>
        <w:tc>
          <w:tcPr>
            <w:tcW w:w="2007" w:type="dxa"/>
            <w:vMerge/>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rPr>
                <w:rFonts w:eastAsia="Times New Roman" w:cs="Times New Roman"/>
                <w:iCs/>
                <w:color w:val="000000"/>
                <w:sz w:val="20"/>
                <w:szCs w:val="20"/>
                <w:lang w:eastAsia="cs-CZ"/>
              </w:rPr>
            </w:pPr>
          </w:p>
        </w:tc>
        <w:tc>
          <w:tcPr>
            <w:tcW w:w="6095" w:type="dxa"/>
            <w:tcBorders>
              <w:top w:val="nil"/>
              <w:left w:val="nil"/>
              <w:bottom w:val="single" w:sz="4" w:space="0" w:color="auto"/>
              <w:right w:val="single" w:sz="4" w:space="0" w:color="auto"/>
            </w:tcBorders>
            <w:vAlign w:val="center"/>
            <w:hideMark/>
          </w:tcPr>
          <w:p w:rsidR="00AE2BC0" w:rsidRPr="00AE2BC0" w:rsidRDefault="00AE2BC0" w:rsidP="00AE2BC0">
            <w:pPr>
              <w:spacing w:before="20" w:after="20"/>
              <w:jc w:val="left"/>
              <w:rPr>
                <w:rFonts w:eastAsia="Times New Roman" w:cs="Times New Roman"/>
                <w:iCs/>
                <w:color w:val="000000"/>
                <w:sz w:val="20"/>
                <w:szCs w:val="20"/>
                <w:lang w:eastAsia="cs-CZ"/>
              </w:rPr>
            </w:pPr>
            <w:r w:rsidRPr="00AE2BC0">
              <w:rPr>
                <w:rFonts w:eastAsia="Times New Roman" w:cs="Times New Roman"/>
                <w:color w:val="000000"/>
                <w:sz w:val="20"/>
                <w:szCs w:val="20"/>
                <w:lang w:eastAsia="cs-CZ"/>
              </w:rPr>
              <w:t>Ochrana perimetru, režimová opatření, osobní kontrola</w:t>
            </w:r>
          </w:p>
        </w:tc>
      </w:tr>
      <w:tr w:rsidR="00AE2BC0" w:rsidRPr="00AE2BC0" w:rsidTr="00A42657">
        <w:trPr>
          <w:trHeight w:val="300"/>
          <w:jc w:val="center"/>
        </w:trPr>
        <w:tc>
          <w:tcPr>
            <w:tcW w:w="1205" w:type="dxa"/>
            <w:vMerge/>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rPr>
                <w:rFonts w:eastAsia="Times New Roman" w:cs="Times New Roman"/>
                <w:iCs/>
                <w:color w:val="000000"/>
                <w:sz w:val="20"/>
                <w:szCs w:val="20"/>
                <w:lang w:eastAsia="cs-CZ"/>
              </w:rPr>
            </w:pPr>
          </w:p>
        </w:tc>
        <w:tc>
          <w:tcPr>
            <w:tcW w:w="2007" w:type="dxa"/>
            <w:vMerge w:val="restart"/>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jc w:val="center"/>
              <w:rPr>
                <w:rFonts w:eastAsia="Times New Roman" w:cs="Times New Roman"/>
                <w:iCs/>
                <w:color w:val="000000"/>
                <w:sz w:val="20"/>
                <w:szCs w:val="20"/>
                <w:lang w:eastAsia="cs-CZ"/>
              </w:rPr>
            </w:pPr>
            <w:r w:rsidRPr="00AE2BC0">
              <w:rPr>
                <w:rFonts w:eastAsia="Times New Roman" w:cs="Times New Roman"/>
                <w:color w:val="000000"/>
                <w:sz w:val="20"/>
                <w:szCs w:val="20"/>
                <w:lang w:eastAsia="cs-CZ"/>
              </w:rPr>
              <w:t>Environmentální rozhraní</w:t>
            </w:r>
          </w:p>
        </w:tc>
        <w:tc>
          <w:tcPr>
            <w:tcW w:w="6095" w:type="dxa"/>
            <w:tcBorders>
              <w:top w:val="nil"/>
              <w:left w:val="nil"/>
              <w:bottom w:val="single" w:sz="4" w:space="0" w:color="auto"/>
              <w:right w:val="single" w:sz="4" w:space="0" w:color="auto"/>
            </w:tcBorders>
            <w:vAlign w:val="center"/>
            <w:hideMark/>
          </w:tcPr>
          <w:p w:rsidR="00AE2BC0" w:rsidRPr="00AE2BC0" w:rsidRDefault="00AE2BC0" w:rsidP="00AE2BC0">
            <w:pPr>
              <w:spacing w:before="20" w:after="20"/>
              <w:jc w:val="left"/>
              <w:rPr>
                <w:rFonts w:eastAsia="Times New Roman" w:cs="Times New Roman"/>
                <w:iCs/>
                <w:color w:val="000000"/>
                <w:sz w:val="20"/>
                <w:szCs w:val="20"/>
                <w:lang w:eastAsia="cs-CZ"/>
              </w:rPr>
            </w:pPr>
            <w:r w:rsidRPr="00AE2BC0">
              <w:rPr>
                <w:rFonts w:eastAsia="Times New Roman" w:cs="Times New Roman"/>
                <w:color w:val="000000"/>
                <w:sz w:val="20"/>
                <w:szCs w:val="20"/>
                <w:lang w:eastAsia="cs-CZ"/>
              </w:rPr>
              <w:t>Ochrana schopnosti a udržení kvality zemědělské produkce</w:t>
            </w:r>
          </w:p>
        </w:tc>
      </w:tr>
      <w:tr w:rsidR="00AE2BC0" w:rsidRPr="00AE2BC0" w:rsidTr="00A42657">
        <w:trPr>
          <w:trHeight w:val="288"/>
          <w:jc w:val="center"/>
        </w:trPr>
        <w:tc>
          <w:tcPr>
            <w:tcW w:w="1205" w:type="dxa"/>
            <w:vMerge/>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rPr>
                <w:rFonts w:eastAsia="Times New Roman" w:cs="Times New Roman"/>
                <w:iCs/>
                <w:color w:val="000000"/>
                <w:sz w:val="20"/>
                <w:szCs w:val="20"/>
                <w:lang w:eastAsia="cs-CZ"/>
              </w:rPr>
            </w:pPr>
          </w:p>
        </w:tc>
        <w:tc>
          <w:tcPr>
            <w:tcW w:w="2007" w:type="dxa"/>
            <w:vMerge/>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rPr>
                <w:rFonts w:eastAsia="Times New Roman" w:cs="Times New Roman"/>
                <w:iCs/>
                <w:color w:val="000000"/>
                <w:sz w:val="20"/>
                <w:szCs w:val="20"/>
                <w:lang w:eastAsia="cs-CZ"/>
              </w:rPr>
            </w:pPr>
          </w:p>
        </w:tc>
        <w:tc>
          <w:tcPr>
            <w:tcW w:w="6095" w:type="dxa"/>
            <w:tcBorders>
              <w:top w:val="nil"/>
              <w:left w:val="nil"/>
              <w:bottom w:val="single" w:sz="4" w:space="0" w:color="auto"/>
              <w:right w:val="single" w:sz="4" w:space="0" w:color="auto"/>
            </w:tcBorders>
            <w:vAlign w:val="center"/>
            <w:hideMark/>
          </w:tcPr>
          <w:p w:rsidR="00AE2BC0" w:rsidRPr="00AE2BC0" w:rsidRDefault="00AE2BC0" w:rsidP="00AE2BC0">
            <w:pPr>
              <w:spacing w:before="20" w:after="20"/>
              <w:jc w:val="left"/>
              <w:rPr>
                <w:rFonts w:eastAsia="Times New Roman" w:cs="Times New Roman"/>
                <w:iCs/>
                <w:color w:val="000000"/>
                <w:sz w:val="20"/>
                <w:szCs w:val="20"/>
                <w:lang w:eastAsia="cs-CZ"/>
              </w:rPr>
            </w:pPr>
            <w:r w:rsidRPr="00AE2BC0">
              <w:rPr>
                <w:rFonts w:eastAsia="Times New Roman" w:cs="Times New Roman"/>
                <w:color w:val="000000"/>
                <w:sz w:val="20"/>
                <w:szCs w:val="20"/>
                <w:lang w:eastAsia="cs-CZ"/>
              </w:rPr>
              <w:t>Vymáhání ochranných režimů</w:t>
            </w:r>
          </w:p>
        </w:tc>
      </w:tr>
      <w:tr w:rsidR="00AE2BC0" w:rsidRPr="00AE2BC0" w:rsidTr="00A42657">
        <w:trPr>
          <w:trHeight w:val="288"/>
          <w:jc w:val="center"/>
        </w:trPr>
        <w:tc>
          <w:tcPr>
            <w:tcW w:w="1205" w:type="dxa"/>
            <w:vMerge/>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rPr>
                <w:rFonts w:eastAsia="Times New Roman" w:cs="Times New Roman"/>
                <w:iCs/>
                <w:color w:val="000000"/>
                <w:sz w:val="20"/>
                <w:szCs w:val="20"/>
                <w:lang w:eastAsia="cs-CZ"/>
              </w:rPr>
            </w:pPr>
          </w:p>
        </w:tc>
        <w:tc>
          <w:tcPr>
            <w:tcW w:w="2007" w:type="dxa"/>
            <w:vMerge/>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rPr>
                <w:rFonts w:eastAsia="Times New Roman" w:cs="Times New Roman"/>
                <w:iCs/>
                <w:color w:val="000000"/>
                <w:sz w:val="20"/>
                <w:szCs w:val="20"/>
                <w:lang w:eastAsia="cs-CZ"/>
              </w:rPr>
            </w:pPr>
          </w:p>
        </w:tc>
        <w:tc>
          <w:tcPr>
            <w:tcW w:w="6095" w:type="dxa"/>
            <w:tcBorders>
              <w:top w:val="nil"/>
              <w:left w:val="nil"/>
              <w:bottom w:val="single" w:sz="4" w:space="0" w:color="auto"/>
              <w:right w:val="single" w:sz="4" w:space="0" w:color="auto"/>
            </w:tcBorders>
            <w:vAlign w:val="center"/>
            <w:hideMark/>
          </w:tcPr>
          <w:p w:rsidR="00AE2BC0" w:rsidRPr="00AE2BC0" w:rsidRDefault="00AE2BC0" w:rsidP="00AE2BC0">
            <w:pPr>
              <w:spacing w:before="20" w:after="20"/>
              <w:jc w:val="left"/>
              <w:rPr>
                <w:rFonts w:eastAsia="Times New Roman" w:cs="Times New Roman"/>
                <w:iCs/>
                <w:color w:val="000000"/>
                <w:sz w:val="20"/>
                <w:szCs w:val="20"/>
                <w:lang w:eastAsia="cs-CZ"/>
              </w:rPr>
            </w:pPr>
            <w:r w:rsidRPr="00AE2BC0">
              <w:rPr>
                <w:rFonts w:eastAsia="Times New Roman" w:cs="Times New Roman"/>
                <w:color w:val="000000"/>
                <w:sz w:val="20"/>
                <w:szCs w:val="20"/>
                <w:lang w:eastAsia="cs-CZ"/>
              </w:rPr>
              <w:t>Monitoring a analýza dopadů klimatické změny</w:t>
            </w:r>
          </w:p>
        </w:tc>
      </w:tr>
      <w:tr w:rsidR="00AE2BC0" w:rsidRPr="00AE2BC0" w:rsidTr="00A42657">
        <w:trPr>
          <w:trHeight w:val="288"/>
          <w:jc w:val="center"/>
        </w:trPr>
        <w:tc>
          <w:tcPr>
            <w:tcW w:w="1205" w:type="dxa"/>
            <w:vMerge/>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rPr>
                <w:rFonts w:eastAsia="Times New Roman" w:cs="Times New Roman"/>
                <w:iCs/>
                <w:color w:val="000000"/>
                <w:sz w:val="20"/>
                <w:szCs w:val="20"/>
                <w:lang w:eastAsia="cs-CZ"/>
              </w:rPr>
            </w:pPr>
          </w:p>
        </w:tc>
        <w:tc>
          <w:tcPr>
            <w:tcW w:w="2007" w:type="dxa"/>
            <w:vMerge/>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rPr>
                <w:rFonts w:eastAsia="Times New Roman" w:cs="Times New Roman"/>
                <w:iCs/>
                <w:color w:val="000000"/>
                <w:sz w:val="20"/>
                <w:szCs w:val="20"/>
                <w:lang w:eastAsia="cs-CZ"/>
              </w:rPr>
            </w:pPr>
          </w:p>
        </w:tc>
        <w:tc>
          <w:tcPr>
            <w:tcW w:w="6095" w:type="dxa"/>
            <w:tcBorders>
              <w:top w:val="nil"/>
              <w:left w:val="nil"/>
              <w:bottom w:val="single" w:sz="4" w:space="0" w:color="auto"/>
              <w:right w:val="single" w:sz="4" w:space="0" w:color="auto"/>
            </w:tcBorders>
            <w:vAlign w:val="center"/>
            <w:hideMark/>
          </w:tcPr>
          <w:p w:rsidR="00AE2BC0" w:rsidRPr="00AE2BC0" w:rsidRDefault="00AE2BC0" w:rsidP="00AE2BC0">
            <w:pPr>
              <w:spacing w:before="20" w:after="20"/>
              <w:jc w:val="left"/>
              <w:rPr>
                <w:rFonts w:eastAsia="Times New Roman" w:cs="Times New Roman"/>
                <w:iCs/>
                <w:color w:val="000000"/>
                <w:sz w:val="20"/>
                <w:szCs w:val="20"/>
                <w:lang w:eastAsia="cs-CZ"/>
              </w:rPr>
            </w:pPr>
            <w:r w:rsidRPr="00AE2BC0">
              <w:rPr>
                <w:rFonts w:eastAsia="Times New Roman" w:cs="Times New Roman"/>
                <w:color w:val="000000"/>
                <w:sz w:val="20"/>
                <w:szCs w:val="20"/>
                <w:lang w:eastAsia="cs-CZ"/>
              </w:rPr>
              <w:t>Analýza nových technologických rizik pro ŽP</w:t>
            </w:r>
          </w:p>
        </w:tc>
      </w:tr>
      <w:tr w:rsidR="00AE2BC0" w:rsidRPr="00AE2BC0" w:rsidTr="00A42657">
        <w:trPr>
          <w:trHeight w:val="288"/>
          <w:jc w:val="center"/>
        </w:trPr>
        <w:tc>
          <w:tcPr>
            <w:tcW w:w="1205" w:type="dxa"/>
            <w:vMerge/>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rPr>
                <w:rFonts w:eastAsia="Times New Roman" w:cs="Times New Roman"/>
                <w:iCs/>
                <w:color w:val="000000"/>
                <w:sz w:val="20"/>
                <w:szCs w:val="20"/>
                <w:lang w:eastAsia="cs-CZ"/>
              </w:rPr>
            </w:pPr>
          </w:p>
        </w:tc>
        <w:tc>
          <w:tcPr>
            <w:tcW w:w="2007" w:type="dxa"/>
            <w:vMerge/>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rPr>
                <w:rFonts w:eastAsia="Times New Roman" w:cs="Times New Roman"/>
                <w:iCs/>
                <w:color w:val="000000"/>
                <w:sz w:val="20"/>
                <w:szCs w:val="20"/>
                <w:lang w:eastAsia="cs-CZ"/>
              </w:rPr>
            </w:pPr>
          </w:p>
        </w:tc>
        <w:tc>
          <w:tcPr>
            <w:tcW w:w="6095" w:type="dxa"/>
            <w:tcBorders>
              <w:top w:val="nil"/>
              <w:left w:val="nil"/>
              <w:bottom w:val="single" w:sz="4" w:space="0" w:color="auto"/>
              <w:right w:val="single" w:sz="4" w:space="0" w:color="auto"/>
            </w:tcBorders>
            <w:vAlign w:val="center"/>
            <w:hideMark/>
          </w:tcPr>
          <w:p w:rsidR="00AE2BC0" w:rsidRPr="00AE2BC0" w:rsidRDefault="00AE2BC0" w:rsidP="00AE2BC0">
            <w:pPr>
              <w:spacing w:before="20" w:after="20"/>
              <w:jc w:val="left"/>
              <w:rPr>
                <w:rFonts w:eastAsia="Times New Roman" w:cs="Times New Roman"/>
                <w:iCs/>
                <w:color w:val="000000"/>
                <w:sz w:val="20"/>
                <w:szCs w:val="20"/>
                <w:lang w:eastAsia="cs-CZ"/>
              </w:rPr>
            </w:pPr>
            <w:r w:rsidRPr="00AE2BC0">
              <w:rPr>
                <w:rFonts w:eastAsia="Times New Roman" w:cs="Times New Roman"/>
                <w:color w:val="000000"/>
                <w:sz w:val="20"/>
                <w:szCs w:val="20"/>
                <w:lang w:eastAsia="cs-CZ"/>
              </w:rPr>
              <w:t>Ochrana biodiverzity</w:t>
            </w:r>
          </w:p>
        </w:tc>
      </w:tr>
      <w:tr w:rsidR="00AE2BC0" w:rsidRPr="00AE2BC0" w:rsidTr="00A42657">
        <w:trPr>
          <w:trHeight w:val="288"/>
          <w:jc w:val="center"/>
        </w:trPr>
        <w:tc>
          <w:tcPr>
            <w:tcW w:w="1205" w:type="dxa"/>
            <w:vMerge/>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rPr>
                <w:rFonts w:eastAsia="Times New Roman" w:cs="Times New Roman"/>
                <w:iCs/>
                <w:color w:val="000000"/>
                <w:sz w:val="20"/>
                <w:szCs w:val="20"/>
                <w:lang w:eastAsia="cs-CZ"/>
              </w:rPr>
            </w:pPr>
          </w:p>
        </w:tc>
        <w:tc>
          <w:tcPr>
            <w:tcW w:w="2007" w:type="dxa"/>
            <w:vMerge w:val="restart"/>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jc w:val="center"/>
              <w:rPr>
                <w:rFonts w:eastAsia="Times New Roman" w:cs="Times New Roman"/>
                <w:iCs/>
                <w:color w:val="000000"/>
                <w:sz w:val="20"/>
                <w:szCs w:val="20"/>
                <w:lang w:eastAsia="cs-CZ"/>
              </w:rPr>
            </w:pPr>
            <w:r w:rsidRPr="00AE2BC0">
              <w:rPr>
                <w:rFonts w:eastAsia="Times New Roman" w:cs="Times New Roman"/>
                <w:color w:val="000000"/>
                <w:sz w:val="20"/>
                <w:szCs w:val="20"/>
                <w:lang w:eastAsia="cs-CZ"/>
              </w:rPr>
              <w:t>Ekonomické rozhraní</w:t>
            </w:r>
          </w:p>
        </w:tc>
        <w:tc>
          <w:tcPr>
            <w:tcW w:w="6095" w:type="dxa"/>
            <w:tcBorders>
              <w:top w:val="nil"/>
              <w:left w:val="nil"/>
              <w:bottom w:val="single" w:sz="4" w:space="0" w:color="auto"/>
              <w:right w:val="single" w:sz="4" w:space="0" w:color="auto"/>
            </w:tcBorders>
            <w:vAlign w:val="center"/>
            <w:hideMark/>
          </w:tcPr>
          <w:p w:rsidR="00AE2BC0" w:rsidRPr="00AE2BC0" w:rsidRDefault="00AE2BC0" w:rsidP="00AE2BC0">
            <w:pPr>
              <w:spacing w:before="20" w:after="20"/>
              <w:jc w:val="left"/>
              <w:rPr>
                <w:rFonts w:eastAsia="Times New Roman" w:cs="Times New Roman"/>
                <w:iCs/>
                <w:color w:val="000000"/>
                <w:sz w:val="20"/>
                <w:szCs w:val="20"/>
                <w:lang w:eastAsia="cs-CZ"/>
              </w:rPr>
            </w:pPr>
            <w:r w:rsidRPr="00AE2BC0">
              <w:rPr>
                <w:rFonts w:eastAsia="Times New Roman" w:cs="Times New Roman"/>
                <w:color w:val="000000"/>
                <w:sz w:val="20"/>
                <w:szCs w:val="20"/>
                <w:lang w:eastAsia="cs-CZ"/>
              </w:rPr>
              <w:t>Řízení kontinuity</w:t>
            </w:r>
          </w:p>
        </w:tc>
      </w:tr>
      <w:tr w:rsidR="00AE2BC0" w:rsidRPr="00AE2BC0" w:rsidTr="00A42657">
        <w:trPr>
          <w:trHeight w:val="288"/>
          <w:jc w:val="center"/>
        </w:trPr>
        <w:tc>
          <w:tcPr>
            <w:tcW w:w="1205" w:type="dxa"/>
            <w:vMerge/>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rPr>
                <w:rFonts w:eastAsia="Times New Roman" w:cs="Times New Roman"/>
                <w:iCs/>
                <w:color w:val="000000"/>
                <w:sz w:val="20"/>
                <w:szCs w:val="20"/>
                <w:lang w:eastAsia="cs-CZ"/>
              </w:rPr>
            </w:pPr>
          </w:p>
        </w:tc>
        <w:tc>
          <w:tcPr>
            <w:tcW w:w="2007" w:type="dxa"/>
            <w:vMerge/>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rPr>
                <w:rFonts w:eastAsia="Times New Roman" w:cs="Times New Roman"/>
                <w:iCs/>
                <w:color w:val="000000"/>
                <w:sz w:val="20"/>
                <w:szCs w:val="20"/>
                <w:lang w:eastAsia="cs-CZ"/>
              </w:rPr>
            </w:pPr>
          </w:p>
        </w:tc>
        <w:tc>
          <w:tcPr>
            <w:tcW w:w="6095" w:type="dxa"/>
            <w:tcBorders>
              <w:top w:val="nil"/>
              <w:left w:val="nil"/>
              <w:bottom w:val="single" w:sz="4" w:space="0" w:color="auto"/>
              <w:right w:val="single" w:sz="4" w:space="0" w:color="auto"/>
            </w:tcBorders>
            <w:vAlign w:val="center"/>
            <w:hideMark/>
          </w:tcPr>
          <w:p w:rsidR="00AE2BC0" w:rsidRPr="00AE2BC0" w:rsidRDefault="00AE2BC0" w:rsidP="00AE2BC0">
            <w:pPr>
              <w:spacing w:before="20" w:after="20"/>
              <w:jc w:val="left"/>
              <w:rPr>
                <w:rFonts w:eastAsia="Times New Roman" w:cs="Times New Roman"/>
                <w:iCs/>
                <w:color w:val="000000"/>
                <w:sz w:val="20"/>
                <w:szCs w:val="20"/>
                <w:lang w:eastAsia="cs-CZ"/>
              </w:rPr>
            </w:pPr>
            <w:r w:rsidRPr="00AE2BC0">
              <w:rPr>
                <w:rFonts w:eastAsia="Times New Roman" w:cs="Times New Roman"/>
                <w:color w:val="000000"/>
                <w:sz w:val="20"/>
                <w:szCs w:val="20"/>
                <w:lang w:eastAsia="cs-CZ"/>
              </w:rPr>
              <w:t>Ochrana obchodních a privátních informací</w:t>
            </w:r>
          </w:p>
        </w:tc>
      </w:tr>
      <w:tr w:rsidR="00AE2BC0" w:rsidRPr="00AE2BC0" w:rsidTr="00A42657">
        <w:trPr>
          <w:trHeight w:val="288"/>
          <w:jc w:val="center"/>
        </w:trPr>
        <w:tc>
          <w:tcPr>
            <w:tcW w:w="1205" w:type="dxa"/>
            <w:vMerge/>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rPr>
                <w:rFonts w:eastAsia="Times New Roman" w:cs="Times New Roman"/>
                <w:iCs/>
                <w:color w:val="000000"/>
                <w:sz w:val="20"/>
                <w:szCs w:val="20"/>
                <w:lang w:eastAsia="cs-CZ"/>
              </w:rPr>
            </w:pPr>
          </w:p>
        </w:tc>
        <w:tc>
          <w:tcPr>
            <w:tcW w:w="2007" w:type="dxa"/>
            <w:vMerge/>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rPr>
                <w:rFonts w:eastAsia="Times New Roman" w:cs="Times New Roman"/>
                <w:iCs/>
                <w:color w:val="000000"/>
                <w:sz w:val="20"/>
                <w:szCs w:val="20"/>
                <w:lang w:eastAsia="cs-CZ"/>
              </w:rPr>
            </w:pPr>
          </w:p>
        </w:tc>
        <w:tc>
          <w:tcPr>
            <w:tcW w:w="6095" w:type="dxa"/>
            <w:tcBorders>
              <w:top w:val="nil"/>
              <w:left w:val="nil"/>
              <w:bottom w:val="single" w:sz="4" w:space="0" w:color="auto"/>
              <w:right w:val="single" w:sz="4" w:space="0" w:color="auto"/>
            </w:tcBorders>
            <w:vAlign w:val="center"/>
            <w:hideMark/>
          </w:tcPr>
          <w:p w:rsidR="00AE2BC0" w:rsidRPr="00AE2BC0" w:rsidRDefault="00AE2BC0" w:rsidP="00AE2BC0">
            <w:pPr>
              <w:spacing w:before="20" w:after="20"/>
              <w:jc w:val="left"/>
              <w:rPr>
                <w:rFonts w:eastAsia="Times New Roman" w:cs="Times New Roman"/>
                <w:iCs/>
                <w:color w:val="000000"/>
                <w:sz w:val="20"/>
                <w:szCs w:val="20"/>
                <w:lang w:eastAsia="cs-CZ"/>
              </w:rPr>
            </w:pPr>
            <w:r w:rsidRPr="00AE2BC0">
              <w:rPr>
                <w:rFonts w:eastAsia="Times New Roman" w:cs="Times New Roman"/>
                <w:color w:val="000000"/>
                <w:sz w:val="20"/>
                <w:szCs w:val="20"/>
                <w:lang w:eastAsia="cs-CZ"/>
              </w:rPr>
              <w:t>Ochrana inovační sféry a práv duševního vlastnictví</w:t>
            </w:r>
          </w:p>
        </w:tc>
      </w:tr>
      <w:tr w:rsidR="00AE2BC0" w:rsidRPr="00AE2BC0" w:rsidTr="00A42657">
        <w:trPr>
          <w:trHeight w:val="288"/>
          <w:jc w:val="center"/>
        </w:trPr>
        <w:tc>
          <w:tcPr>
            <w:tcW w:w="1205" w:type="dxa"/>
            <w:vMerge/>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rPr>
                <w:rFonts w:eastAsia="Times New Roman" w:cs="Times New Roman"/>
                <w:iCs/>
                <w:color w:val="000000"/>
                <w:sz w:val="20"/>
                <w:szCs w:val="20"/>
                <w:lang w:eastAsia="cs-CZ"/>
              </w:rPr>
            </w:pPr>
          </w:p>
        </w:tc>
        <w:tc>
          <w:tcPr>
            <w:tcW w:w="2007" w:type="dxa"/>
            <w:vMerge/>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rPr>
                <w:rFonts w:eastAsia="Times New Roman" w:cs="Times New Roman"/>
                <w:iCs/>
                <w:color w:val="000000"/>
                <w:sz w:val="20"/>
                <w:szCs w:val="20"/>
                <w:lang w:eastAsia="cs-CZ"/>
              </w:rPr>
            </w:pPr>
          </w:p>
        </w:tc>
        <w:tc>
          <w:tcPr>
            <w:tcW w:w="6095" w:type="dxa"/>
            <w:tcBorders>
              <w:top w:val="nil"/>
              <w:left w:val="nil"/>
              <w:bottom w:val="single" w:sz="4" w:space="0" w:color="auto"/>
              <w:right w:val="single" w:sz="4" w:space="0" w:color="auto"/>
            </w:tcBorders>
            <w:vAlign w:val="center"/>
            <w:hideMark/>
          </w:tcPr>
          <w:p w:rsidR="00AE2BC0" w:rsidRPr="00AE2BC0" w:rsidRDefault="00AE2BC0" w:rsidP="00AE2BC0">
            <w:pPr>
              <w:spacing w:before="20" w:after="20"/>
              <w:jc w:val="left"/>
              <w:rPr>
                <w:rFonts w:eastAsia="Times New Roman" w:cs="Times New Roman"/>
                <w:iCs/>
                <w:color w:val="000000"/>
                <w:sz w:val="20"/>
                <w:szCs w:val="20"/>
                <w:lang w:eastAsia="cs-CZ"/>
              </w:rPr>
            </w:pPr>
            <w:r w:rsidRPr="00AE2BC0">
              <w:rPr>
                <w:rFonts w:eastAsia="Times New Roman" w:cs="Times New Roman"/>
                <w:color w:val="000000"/>
                <w:sz w:val="20"/>
                <w:szCs w:val="20"/>
                <w:lang w:eastAsia="cs-CZ"/>
              </w:rPr>
              <w:t>Odolnost komerčních služeb</w:t>
            </w:r>
          </w:p>
        </w:tc>
      </w:tr>
      <w:tr w:rsidR="00AE2BC0" w:rsidRPr="00AE2BC0" w:rsidTr="00A42657">
        <w:trPr>
          <w:trHeight w:val="288"/>
          <w:jc w:val="center"/>
        </w:trPr>
        <w:tc>
          <w:tcPr>
            <w:tcW w:w="1205" w:type="dxa"/>
            <w:vMerge/>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rPr>
                <w:rFonts w:eastAsia="Times New Roman" w:cs="Times New Roman"/>
                <w:iCs/>
                <w:color w:val="000000"/>
                <w:sz w:val="20"/>
                <w:szCs w:val="20"/>
                <w:lang w:eastAsia="cs-CZ"/>
              </w:rPr>
            </w:pPr>
          </w:p>
        </w:tc>
        <w:tc>
          <w:tcPr>
            <w:tcW w:w="2007" w:type="dxa"/>
            <w:vMerge/>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rPr>
                <w:rFonts w:eastAsia="Times New Roman" w:cs="Times New Roman"/>
                <w:iCs/>
                <w:color w:val="000000"/>
                <w:sz w:val="20"/>
                <w:szCs w:val="20"/>
                <w:lang w:eastAsia="cs-CZ"/>
              </w:rPr>
            </w:pPr>
          </w:p>
        </w:tc>
        <w:tc>
          <w:tcPr>
            <w:tcW w:w="6095" w:type="dxa"/>
            <w:tcBorders>
              <w:top w:val="nil"/>
              <w:left w:val="nil"/>
              <w:bottom w:val="single" w:sz="4" w:space="0" w:color="auto"/>
              <w:right w:val="single" w:sz="4" w:space="0" w:color="auto"/>
            </w:tcBorders>
            <w:vAlign w:val="center"/>
            <w:hideMark/>
          </w:tcPr>
          <w:p w:rsidR="00AE2BC0" w:rsidRPr="00AE2BC0" w:rsidRDefault="00AE2BC0" w:rsidP="00AE2BC0">
            <w:pPr>
              <w:spacing w:before="20" w:after="20"/>
              <w:jc w:val="left"/>
              <w:rPr>
                <w:rFonts w:eastAsia="Times New Roman" w:cs="Times New Roman"/>
                <w:iCs/>
                <w:color w:val="000000"/>
                <w:sz w:val="20"/>
                <w:szCs w:val="20"/>
                <w:lang w:eastAsia="cs-CZ"/>
              </w:rPr>
            </w:pPr>
            <w:r w:rsidRPr="00AE2BC0">
              <w:rPr>
                <w:rFonts w:eastAsia="Times New Roman" w:cs="Times New Roman"/>
                <w:color w:val="000000"/>
                <w:sz w:val="20"/>
                <w:szCs w:val="20"/>
                <w:lang w:eastAsia="cs-CZ"/>
              </w:rPr>
              <w:t>Ochrana dodavatelských řetězců a zásobování</w:t>
            </w:r>
          </w:p>
        </w:tc>
      </w:tr>
      <w:tr w:rsidR="00AE2BC0" w:rsidRPr="00AE2BC0" w:rsidTr="00A42657">
        <w:trPr>
          <w:trHeight w:val="288"/>
          <w:jc w:val="center"/>
        </w:trPr>
        <w:tc>
          <w:tcPr>
            <w:tcW w:w="1205" w:type="dxa"/>
            <w:vMerge/>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rPr>
                <w:rFonts w:eastAsia="Times New Roman" w:cs="Times New Roman"/>
                <w:iCs/>
                <w:color w:val="000000"/>
                <w:sz w:val="20"/>
                <w:szCs w:val="20"/>
                <w:lang w:eastAsia="cs-CZ"/>
              </w:rPr>
            </w:pPr>
          </w:p>
        </w:tc>
        <w:tc>
          <w:tcPr>
            <w:tcW w:w="2007" w:type="dxa"/>
            <w:vMerge/>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rPr>
                <w:rFonts w:eastAsia="Times New Roman" w:cs="Times New Roman"/>
                <w:iCs/>
                <w:color w:val="000000"/>
                <w:sz w:val="20"/>
                <w:szCs w:val="20"/>
                <w:lang w:eastAsia="cs-CZ"/>
              </w:rPr>
            </w:pPr>
          </w:p>
        </w:tc>
        <w:tc>
          <w:tcPr>
            <w:tcW w:w="6095" w:type="dxa"/>
            <w:tcBorders>
              <w:top w:val="nil"/>
              <w:left w:val="nil"/>
              <w:bottom w:val="single" w:sz="4" w:space="0" w:color="auto"/>
              <w:right w:val="single" w:sz="4" w:space="0" w:color="auto"/>
            </w:tcBorders>
            <w:vAlign w:val="center"/>
            <w:hideMark/>
          </w:tcPr>
          <w:p w:rsidR="00AE2BC0" w:rsidRPr="00AE2BC0" w:rsidRDefault="00AE2BC0" w:rsidP="00AE2BC0">
            <w:pPr>
              <w:spacing w:before="20" w:after="20"/>
              <w:jc w:val="left"/>
              <w:rPr>
                <w:rFonts w:eastAsia="Times New Roman" w:cs="Times New Roman"/>
                <w:iCs/>
                <w:color w:val="000000"/>
                <w:sz w:val="20"/>
                <w:szCs w:val="20"/>
                <w:lang w:eastAsia="cs-CZ"/>
              </w:rPr>
            </w:pPr>
            <w:r w:rsidRPr="00AE2BC0">
              <w:rPr>
                <w:rFonts w:eastAsia="Times New Roman" w:cs="Times New Roman"/>
                <w:color w:val="000000"/>
                <w:sz w:val="20"/>
                <w:szCs w:val="20"/>
                <w:lang w:eastAsia="cs-CZ"/>
              </w:rPr>
              <w:t>Bezpečnost práce</w:t>
            </w:r>
          </w:p>
        </w:tc>
      </w:tr>
      <w:tr w:rsidR="00AE2BC0" w:rsidRPr="00AE2BC0" w:rsidTr="00A42657">
        <w:trPr>
          <w:trHeight w:val="288"/>
          <w:jc w:val="center"/>
        </w:trPr>
        <w:tc>
          <w:tcPr>
            <w:tcW w:w="1205" w:type="dxa"/>
            <w:vMerge/>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rPr>
                <w:rFonts w:eastAsia="Times New Roman" w:cs="Times New Roman"/>
                <w:iCs/>
                <w:color w:val="000000"/>
                <w:sz w:val="20"/>
                <w:szCs w:val="20"/>
                <w:lang w:eastAsia="cs-CZ"/>
              </w:rPr>
            </w:pPr>
          </w:p>
        </w:tc>
        <w:tc>
          <w:tcPr>
            <w:tcW w:w="2007" w:type="dxa"/>
            <w:vMerge/>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rPr>
                <w:rFonts w:eastAsia="Times New Roman" w:cs="Times New Roman"/>
                <w:iCs/>
                <w:color w:val="000000"/>
                <w:sz w:val="20"/>
                <w:szCs w:val="20"/>
                <w:lang w:eastAsia="cs-CZ"/>
              </w:rPr>
            </w:pPr>
          </w:p>
        </w:tc>
        <w:tc>
          <w:tcPr>
            <w:tcW w:w="6095" w:type="dxa"/>
            <w:tcBorders>
              <w:top w:val="nil"/>
              <w:left w:val="nil"/>
              <w:bottom w:val="single" w:sz="4" w:space="0" w:color="auto"/>
              <w:right w:val="single" w:sz="4" w:space="0" w:color="auto"/>
            </w:tcBorders>
            <w:vAlign w:val="center"/>
            <w:hideMark/>
          </w:tcPr>
          <w:p w:rsidR="00AE2BC0" w:rsidRPr="00AE2BC0" w:rsidRDefault="00AE2BC0" w:rsidP="00AE2BC0">
            <w:pPr>
              <w:spacing w:before="20" w:after="20"/>
              <w:jc w:val="left"/>
              <w:rPr>
                <w:rFonts w:eastAsia="Times New Roman" w:cs="Times New Roman"/>
                <w:iCs/>
                <w:color w:val="000000"/>
                <w:sz w:val="20"/>
                <w:szCs w:val="20"/>
                <w:lang w:eastAsia="cs-CZ"/>
              </w:rPr>
            </w:pPr>
            <w:r w:rsidRPr="00AE2BC0">
              <w:rPr>
                <w:rFonts w:eastAsia="Times New Roman" w:cs="Times New Roman"/>
                <w:color w:val="000000"/>
                <w:sz w:val="20"/>
                <w:szCs w:val="20"/>
                <w:lang w:eastAsia="cs-CZ"/>
              </w:rPr>
              <w:t>Spolehlivost industriálních celků a jejich prvků</w:t>
            </w:r>
          </w:p>
        </w:tc>
      </w:tr>
      <w:tr w:rsidR="00AE2BC0" w:rsidRPr="00AE2BC0" w:rsidTr="00A42657">
        <w:trPr>
          <w:trHeight w:val="288"/>
          <w:jc w:val="center"/>
        </w:trPr>
        <w:tc>
          <w:tcPr>
            <w:tcW w:w="1205" w:type="dxa"/>
            <w:vMerge/>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rPr>
                <w:rFonts w:eastAsia="Times New Roman" w:cs="Times New Roman"/>
                <w:iCs/>
                <w:color w:val="000000"/>
                <w:sz w:val="20"/>
                <w:szCs w:val="20"/>
                <w:lang w:eastAsia="cs-CZ"/>
              </w:rPr>
            </w:pPr>
          </w:p>
        </w:tc>
        <w:tc>
          <w:tcPr>
            <w:tcW w:w="2007" w:type="dxa"/>
            <w:vMerge/>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rPr>
                <w:rFonts w:eastAsia="Times New Roman" w:cs="Times New Roman"/>
                <w:iCs/>
                <w:color w:val="000000"/>
                <w:sz w:val="20"/>
                <w:szCs w:val="20"/>
                <w:lang w:eastAsia="cs-CZ"/>
              </w:rPr>
            </w:pPr>
          </w:p>
        </w:tc>
        <w:tc>
          <w:tcPr>
            <w:tcW w:w="6095" w:type="dxa"/>
            <w:tcBorders>
              <w:top w:val="nil"/>
              <w:left w:val="nil"/>
              <w:bottom w:val="single" w:sz="4" w:space="0" w:color="auto"/>
              <w:right w:val="single" w:sz="4" w:space="0" w:color="auto"/>
            </w:tcBorders>
            <w:vAlign w:val="center"/>
            <w:hideMark/>
          </w:tcPr>
          <w:p w:rsidR="00AE2BC0" w:rsidRPr="00AE2BC0" w:rsidRDefault="00AE2BC0" w:rsidP="00AE2BC0">
            <w:pPr>
              <w:spacing w:before="20" w:after="20"/>
              <w:jc w:val="left"/>
              <w:rPr>
                <w:rFonts w:eastAsia="Times New Roman" w:cs="Times New Roman"/>
                <w:iCs/>
                <w:color w:val="000000"/>
                <w:sz w:val="20"/>
                <w:szCs w:val="20"/>
                <w:lang w:eastAsia="cs-CZ"/>
              </w:rPr>
            </w:pPr>
            <w:r w:rsidRPr="00AE2BC0">
              <w:rPr>
                <w:rFonts w:eastAsia="Times New Roman" w:cs="Times New Roman"/>
                <w:color w:val="000000"/>
                <w:sz w:val="20"/>
                <w:szCs w:val="20"/>
                <w:lang w:eastAsia="cs-CZ"/>
              </w:rPr>
              <w:t>Právní aspekty technologických selhání</w:t>
            </w:r>
          </w:p>
        </w:tc>
      </w:tr>
      <w:tr w:rsidR="00AE2BC0" w:rsidRPr="00AE2BC0" w:rsidTr="00A42657">
        <w:trPr>
          <w:trHeight w:val="88"/>
          <w:jc w:val="center"/>
        </w:trPr>
        <w:tc>
          <w:tcPr>
            <w:tcW w:w="1205" w:type="dxa"/>
            <w:vMerge w:val="restart"/>
            <w:tcBorders>
              <w:top w:val="nil"/>
              <w:left w:val="single" w:sz="4" w:space="0" w:color="auto"/>
              <w:bottom w:val="single" w:sz="4" w:space="0" w:color="auto"/>
              <w:right w:val="single" w:sz="4" w:space="0" w:color="auto"/>
            </w:tcBorders>
            <w:textDirection w:val="btLr"/>
            <w:vAlign w:val="center"/>
            <w:hideMark/>
          </w:tcPr>
          <w:p w:rsidR="00AE2BC0" w:rsidRPr="001316AF" w:rsidRDefault="00AE2BC0" w:rsidP="00AE2BC0">
            <w:pPr>
              <w:spacing w:before="20" w:after="20"/>
              <w:jc w:val="center"/>
              <w:rPr>
                <w:rFonts w:eastAsia="Times New Roman" w:cs="Times New Roman"/>
                <w:b/>
                <w:iCs/>
                <w:color w:val="000000"/>
                <w:sz w:val="20"/>
                <w:szCs w:val="20"/>
                <w:lang w:eastAsia="cs-CZ"/>
              </w:rPr>
            </w:pPr>
            <w:r w:rsidRPr="006D3758">
              <w:rPr>
                <w:rFonts w:eastAsia="Times New Roman" w:cs="Times New Roman"/>
                <w:b/>
                <w:color w:val="000000"/>
                <w:sz w:val="20"/>
                <w:szCs w:val="20"/>
                <w:lang w:eastAsia="cs-CZ"/>
              </w:rPr>
              <w:t>Kontexty bezpečnosti</w:t>
            </w:r>
          </w:p>
        </w:tc>
        <w:tc>
          <w:tcPr>
            <w:tcW w:w="2007" w:type="dxa"/>
            <w:vMerge w:val="restart"/>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jc w:val="center"/>
              <w:rPr>
                <w:rFonts w:eastAsia="Times New Roman" w:cs="Times New Roman"/>
                <w:iCs/>
                <w:color w:val="000000"/>
                <w:sz w:val="20"/>
                <w:szCs w:val="20"/>
                <w:lang w:eastAsia="cs-CZ"/>
              </w:rPr>
            </w:pPr>
            <w:r w:rsidRPr="00AE2BC0">
              <w:rPr>
                <w:rFonts w:eastAsia="Times New Roman" w:cs="Times New Roman"/>
                <w:color w:val="000000"/>
                <w:sz w:val="20"/>
                <w:szCs w:val="20"/>
                <w:lang w:eastAsia="cs-CZ"/>
              </w:rPr>
              <w:t>Societální rozhraní</w:t>
            </w:r>
          </w:p>
        </w:tc>
        <w:tc>
          <w:tcPr>
            <w:tcW w:w="6095" w:type="dxa"/>
            <w:tcBorders>
              <w:top w:val="nil"/>
              <w:left w:val="nil"/>
              <w:bottom w:val="single" w:sz="4" w:space="0" w:color="auto"/>
              <w:right w:val="single" w:sz="4" w:space="0" w:color="auto"/>
            </w:tcBorders>
            <w:vAlign w:val="center"/>
            <w:hideMark/>
          </w:tcPr>
          <w:p w:rsidR="00AE2BC0" w:rsidRPr="00AE2BC0" w:rsidRDefault="00AE2BC0" w:rsidP="00AE2BC0">
            <w:pPr>
              <w:spacing w:before="20" w:after="20"/>
              <w:jc w:val="left"/>
              <w:rPr>
                <w:rFonts w:eastAsia="Times New Roman" w:cs="Times New Roman"/>
                <w:iCs/>
                <w:color w:val="000000"/>
                <w:sz w:val="20"/>
                <w:szCs w:val="20"/>
                <w:lang w:eastAsia="cs-CZ"/>
              </w:rPr>
            </w:pPr>
            <w:r w:rsidRPr="00AE2BC0">
              <w:rPr>
                <w:rFonts w:eastAsia="Times New Roman" w:cs="Times New Roman"/>
                <w:color w:val="000000"/>
                <w:sz w:val="20"/>
                <w:szCs w:val="20"/>
                <w:lang w:eastAsia="cs-CZ"/>
              </w:rPr>
              <w:t>Etické aspekty technologií</w:t>
            </w:r>
          </w:p>
        </w:tc>
      </w:tr>
      <w:tr w:rsidR="00AE2BC0" w:rsidRPr="00AE2BC0" w:rsidTr="00A42657">
        <w:trPr>
          <w:trHeight w:val="220"/>
          <w:jc w:val="center"/>
        </w:trPr>
        <w:tc>
          <w:tcPr>
            <w:tcW w:w="1205" w:type="dxa"/>
            <w:vMerge/>
            <w:tcBorders>
              <w:top w:val="nil"/>
              <w:left w:val="single" w:sz="4" w:space="0" w:color="auto"/>
              <w:bottom w:val="single" w:sz="4" w:space="0" w:color="auto"/>
              <w:right w:val="single" w:sz="4" w:space="0" w:color="auto"/>
            </w:tcBorders>
            <w:vAlign w:val="center"/>
            <w:hideMark/>
          </w:tcPr>
          <w:p w:rsidR="00AE2BC0" w:rsidRPr="00A42657" w:rsidRDefault="00AE2BC0" w:rsidP="00AE2BC0">
            <w:pPr>
              <w:spacing w:before="20" w:after="20"/>
              <w:rPr>
                <w:rFonts w:eastAsia="Times New Roman" w:cs="Times New Roman"/>
                <w:b/>
                <w:iCs/>
                <w:color w:val="000000"/>
                <w:sz w:val="20"/>
                <w:szCs w:val="20"/>
                <w:lang w:eastAsia="cs-CZ"/>
              </w:rPr>
            </w:pPr>
          </w:p>
        </w:tc>
        <w:tc>
          <w:tcPr>
            <w:tcW w:w="2007" w:type="dxa"/>
            <w:vMerge/>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rPr>
                <w:rFonts w:eastAsia="Times New Roman" w:cs="Times New Roman"/>
                <w:iCs/>
                <w:color w:val="000000"/>
                <w:sz w:val="20"/>
                <w:szCs w:val="20"/>
                <w:lang w:eastAsia="cs-CZ"/>
              </w:rPr>
            </w:pPr>
          </w:p>
        </w:tc>
        <w:tc>
          <w:tcPr>
            <w:tcW w:w="6095" w:type="dxa"/>
            <w:tcBorders>
              <w:top w:val="nil"/>
              <w:left w:val="nil"/>
              <w:bottom w:val="single" w:sz="4" w:space="0" w:color="auto"/>
              <w:right w:val="single" w:sz="4" w:space="0" w:color="auto"/>
            </w:tcBorders>
            <w:vAlign w:val="center"/>
            <w:hideMark/>
          </w:tcPr>
          <w:p w:rsidR="00AE2BC0" w:rsidRPr="00AE2BC0" w:rsidRDefault="00AE2BC0" w:rsidP="00AE2BC0">
            <w:pPr>
              <w:spacing w:before="20" w:after="20"/>
              <w:jc w:val="left"/>
              <w:rPr>
                <w:rFonts w:eastAsia="Times New Roman" w:cs="Times New Roman"/>
                <w:iCs/>
                <w:color w:val="000000"/>
                <w:sz w:val="20"/>
                <w:szCs w:val="20"/>
                <w:lang w:eastAsia="cs-CZ"/>
              </w:rPr>
            </w:pPr>
            <w:r w:rsidRPr="00AE2BC0">
              <w:rPr>
                <w:rFonts w:eastAsia="Times New Roman" w:cs="Times New Roman"/>
                <w:color w:val="000000"/>
                <w:sz w:val="20"/>
                <w:szCs w:val="20"/>
                <w:lang w:eastAsia="cs-CZ"/>
              </w:rPr>
              <w:t>Specifické problémy ohrožených skupin obyvatelstva</w:t>
            </w:r>
          </w:p>
        </w:tc>
      </w:tr>
      <w:tr w:rsidR="00AE2BC0" w:rsidRPr="00AE2BC0" w:rsidTr="00A42657">
        <w:trPr>
          <w:trHeight w:val="288"/>
          <w:jc w:val="center"/>
        </w:trPr>
        <w:tc>
          <w:tcPr>
            <w:tcW w:w="1205" w:type="dxa"/>
            <w:vMerge/>
            <w:tcBorders>
              <w:top w:val="nil"/>
              <w:left w:val="single" w:sz="4" w:space="0" w:color="auto"/>
              <w:bottom w:val="single" w:sz="4" w:space="0" w:color="auto"/>
              <w:right w:val="single" w:sz="4" w:space="0" w:color="auto"/>
            </w:tcBorders>
            <w:vAlign w:val="center"/>
            <w:hideMark/>
          </w:tcPr>
          <w:p w:rsidR="00AE2BC0" w:rsidRPr="00A42657" w:rsidRDefault="00AE2BC0" w:rsidP="00AE2BC0">
            <w:pPr>
              <w:spacing w:before="20" w:after="20"/>
              <w:rPr>
                <w:rFonts w:eastAsia="Times New Roman" w:cs="Times New Roman"/>
                <w:b/>
                <w:iCs/>
                <w:color w:val="000000"/>
                <w:sz w:val="20"/>
                <w:szCs w:val="20"/>
                <w:lang w:eastAsia="cs-CZ"/>
              </w:rPr>
            </w:pPr>
          </w:p>
        </w:tc>
        <w:tc>
          <w:tcPr>
            <w:tcW w:w="2007" w:type="dxa"/>
            <w:vMerge/>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rPr>
                <w:rFonts w:eastAsia="Times New Roman" w:cs="Times New Roman"/>
                <w:iCs/>
                <w:color w:val="000000"/>
                <w:sz w:val="20"/>
                <w:szCs w:val="20"/>
                <w:lang w:eastAsia="cs-CZ"/>
              </w:rPr>
            </w:pPr>
          </w:p>
        </w:tc>
        <w:tc>
          <w:tcPr>
            <w:tcW w:w="6095" w:type="dxa"/>
            <w:tcBorders>
              <w:top w:val="nil"/>
              <w:left w:val="nil"/>
              <w:bottom w:val="single" w:sz="4" w:space="0" w:color="auto"/>
              <w:right w:val="single" w:sz="4" w:space="0" w:color="auto"/>
            </w:tcBorders>
            <w:vAlign w:val="center"/>
            <w:hideMark/>
          </w:tcPr>
          <w:p w:rsidR="00AE2BC0" w:rsidRPr="00AE2BC0" w:rsidRDefault="00AE2BC0" w:rsidP="00AE2BC0">
            <w:pPr>
              <w:spacing w:before="20" w:after="20"/>
              <w:jc w:val="left"/>
              <w:rPr>
                <w:rFonts w:eastAsia="Times New Roman" w:cs="Times New Roman"/>
                <w:iCs/>
                <w:color w:val="000000"/>
                <w:sz w:val="20"/>
                <w:szCs w:val="20"/>
                <w:lang w:eastAsia="cs-CZ"/>
              </w:rPr>
            </w:pPr>
            <w:r w:rsidRPr="00AE2BC0">
              <w:rPr>
                <w:rFonts w:eastAsia="Times New Roman" w:cs="Times New Roman"/>
                <w:color w:val="000000"/>
                <w:sz w:val="20"/>
                <w:szCs w:val="20"/>
                <w:lang w:eastAsia="cs-CZ"/>
              </w:rPr>
              <w:t>Ochrana kulturního dědictví</w:t>
            </w:r>
          </w:p>
        </w:tc>
      </w:tr>
      <w:tr w:rsidR="00AE2BC0" w:rsidRPr="00AE2BC0" w:rsidTr="00A42657">
        <w:trPr>
          <w:trHeight w:val="288"/>
          <w:jc w:val="center"/>
        </w:trPr>
        <w:tc>
          <w:tcPr>
            <w:tcW w:w="1205" w:type="dxa"/>
            <w:vMerge/>
            <w:tcBorders>
              <w:top w:val="nil"/>
              <w:left w:val="single" w:sz="4" w:space="0" w:color="auto"/>
              <w:bottom w:val="single" w:sz="4" w:space="0" w:color="auto"/>
              <w:right w:val="single" w:sz="4" w:space="0" w:color="auto"/>
            </w:tcBorders>
            <w:vAlign w:val="center"/>
            <w:hideMark/>
          </w:tcPr>
          <w:p w:rsidR="00AE2BC0" w:rsidRPr="00A42657" w:rsidRDefault="00AE2BC0" w:rsidP="00AE2BC0">
            <w:pPr>
              <w:spacing w:before="20" w:after="20"/>
              <w:rPr>
                <w:rFonts w:eastAsia="Times New Roman" w:cs="Times New Roman"/>
                <w:b/>
                <w:iCs/>
                <w:color w:val="000000"/>
                <w:sz w:val="20"/>
                <w:szCs w:val="20"/>
                <w:lang w:eastAsia="cs-CZ"/>
              </w:rPr>
            </w:pPr>
          </w:p>
        </w:tc>
        <w:tc>
          <w:tcPr>
            <w:tcW w:w="2007" w:type="dxa"/>
            <w:vMerge/>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rPr>
                <w:rFonts w:eastAsia="Times New Roman" w:cs="Times New Roman"/>
                <w:iCs/>
                <w:color w:val="000000"/>
                <w:sz w:val="20"/>
                <w:szCs w:val="20"/>
                <w:lang w:eastAsia="cs-CZ"/>
              </w:rPr>
            </w:pPr>
          </w:p>
        </w:tc>
        <w:tc>
          <w:tcPr>
            <w:tcW w:w="6095" w:type="dxa"/>
            <w:tcBorders>
              <w:top w:val="nil"/>
              <w:left w:val="nil"/>
              <w:bottom w:val="single" w:sz="4" w:space="0" w:color="auto"/>
              <w:right w:val="single" w:sz="4" w:space="0" w:color="auto"/>
            </w:tcBorders>
            <w:vAlign w:val="center"/>
            <w:hideMark/>
          </w:tcPr>
          <w:p w:rsidR="00AE2BC0" w:rsidRPr="00AE2BC0" w:rsidRDefault="00AE2BC0" w:rsidP="00AE2BC0">
            <w:pPr>
              <w:spacing w:before="20" w:after="20"/>
              <w:jc w:val="left"/>
              <w:rPr>
                <w:rFonts w:eastAsia="Times New Roman" w:cs="Times New Roman"/>
                <w:iCs/>
                <w:color w:val="000000"/>
                <w:sz w:val="20"/>
                <w:szCs w:val="20"/>
                <w:lang w:eastAsia="cs-CZ"/>
              </w:rPr>
            </w:pPr>
            <w:r w:rsidRPr="00AE2BC0">
              <w:rPr>
                <w:rFonts w:eastAsia="Times New Roman" w:cs="Times New Roman"/>
                <w:color w:val="000000"/>
                <w:sz w:val="20"/>
                <w:szCs w:val="20"/>
                <w:lang w:eastAsia="cs-CZ"/>
              </w:rPr>
              <w:t>Trest a resocializace</w:t>
            </w:r>
          </w:p>
        </w:tc>
      </w:tr>
      <w:tr w:rsidR="00AE2BC0" w:rsidRPr="00AE2BC0" w:rsidTr="00A42657">
        <w:trPr>
          <w:trHeight w:val="288"/>
          <w:jc w:val="center"/>
        </w:trPr>
        <w:tc>
          <w:tcPr>
            <w:tcW w:w="1205" w:type="dxa"/>
            <w:vMerge/>
            <w:tcBorders>
              <w:top w:val="nil"/>
              <w:left w:val="single" w:sz="4" w:space="0" w:color="auto"/>
              <w:bottom w:val="single" w:sz="4" w:space="0" w:color="auto"/>
              <w:right w:val="single" w:sz="4" w:space="0" w:color="auto"/>
            </w:tcBorders>
            <w:vAlign w:val="center"/>
            <w:hideMark/>
          </w:tcPr>
          <w:p w:rsidR="00AE2BC0" w:rsidRPr="00A42657" w:rsidRDefault="00AE2BC0" w:rsidP="00AE2BC0">
            <w:pPr>
              <w:spacing w:before="20" w:after="20"/>
              <w:rPr>
                <w:rFonts w:eastAsia="Times New Roman" w:cs="Times New Roman"/>
                <w:b/>
                <w:iCs/>
                <w:color w:val="000000"/>
                <w:sz w:val="20"/>
                <w:szCs w:val="20"/>
                <w:lang w:eastAsia="cs-CZ"/>
              </w:rPr>
            </w:pPr>
          </w:p>
        </w:tc>
        <w:tc>
          <w:tcPr>
            <w:tcW w:w="2007" w:type="dxa"/>
            <w:vMerge/>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rPr>
                <w:rFonts w:eastAsia="Times New Roman" w:cs="Times New Roman"/>
                <w:iCs/>
                <w:color w:val="000000"/>
                <w:sz w:val="20"/>
                <w:szCs w:val="20"/>
                <w:lang w:eastAsia="cs-CZ"/>
              </w:rPr>
            </w:pPr>
          </w:p>
        </w:tc>
        <w:tc>
          <w:tcPr>
            <w:tcW w:w="6095" w:type="dxa"/>
            <w:tcBorders>
              <w:top w:val="nil"/>
              <w:left w:val="nil"/>
              <w:bottom w:val="single" w:sz="4" w:space="0" w:color="auto"/>
              <w:right w:val="single" w:sz="4" w:space="0" w:color="auto"/>
            </w:tcBorders>
            <w:vAlign w:val="center"/>
            <w:hideMark/>
          </w:tcPr>
          <w:p w:rsidR="00AE2BC0" w:rsidRPr="00AE2BC0" w:rsidRDefault="00AE2BC0" w:rsidP="00AE2BC0">
            <w:pPr>
              <w:spacing w:before="20" w:after="20"/>
              <w:jc w:val="left"/>
              <w:rPr>
                <w:rFonts w:eastAsia="Times New Roman" w:cs="Times New Roman"/>
                <w:iCs/>
                <w:color w:val="000000"/>
                <w:sz w:val="20"/>
                <w:szCs w:val="20"/>
                <w:lang w:eastAsia="cs-CZ"/>
              </w:rPr>
            </w:pPr>
            <w:r w:rsidRPr="00AE2BC0">
              <w:rPr>
                <w:rFonts w:eastAsia="Times New Roman" w:cs="Times New Roman"/>
                <w:color w:val="000000"/>
                <w:sz w:val="20"/>
                <w:szCs w:val="20"/>
                <w:lang w:eastAsia="cs-CZ"/>
              </w:rPr>
              <w:t>Sociální vyloučení a integrace</w:t>
            </w:r>
          </w:p>
        </w:tc>
      </w:tr>
      <w:tr w:rsidR="00AE2BC0" w:rsidRPr="00AE2BC0" w:rsidTr="00A42657">
        <w:trPr>
          <w:trHeight w:val="288"/>
          <w:jc w:val="center"/>
        </w:trPr>
        <w:tc>
          <w:tcPr>
            <w:tcW w:w="1205" w:type="dxa"/>
            <w:vMerge/>
            <w:tcBorders>
              <w:top w:val="nil"/>
              <w:left w:val="single" w:sz="4" w:space="0" w:color="auto"/>
              <w:bottom w:val="single" w:sz="4" w:space="0" w:color="auto"/>
              <w:right w:val="single" w:sz="4" w:space="0" w:color="auto"/>
            </w:tcBorders>
            <w:vAlign w:val="center"/>
            <w:hideMark/>
          </w:tcPr>
          <w:p w:rsidR="00AE2BC0" w:rsidRPr="00A42657" w:rsidRDefault="00AE2BC0" w:rsidP="00AE2BC0">
            <w:pPr>
              <w:spacing w:before="20" w:after="20"/>
              <w:rPr>
                <w:rFonts w:eastAsia="Times New Roman" w:cs="Times New Roman"/>
                <w:b/>
                <w:iCs/>
                <w:color w:val="000000"/>
                <w:sz w:val="20"/>
                <w:szCs w:val="20"/>
                <w:lang w:eastAsia="cs-CZ"/>
              </w:rPr>
            </w:pPr>
          </w:p>
        </w:tc>
        <w:tc>
          <w:tcPr>
            <w:tcW w:w="2007" w:type="dxa"/>
            <w:vMerge/>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rPr>
                <w:rFonts w:eastAsia="Times New Roman" w:cs="Times New Roman"/>
                <w:iCs/>
                <w:color w:val="000000"/>
                <w:sz w:val="20"/>
                <w:szCs w:val="20"/>
                <w:lang w:eastAsia="cs-CZ"/>
              </w:rPr>
            </w:pPr>
          </w:p>
        </w:tc>
        <w:tc>
          <w:tcPr>
            <w:tcW w:w="6095" w:type="dxa"/>
            <w:tcBorders>
              <w:top w:val="nil"/>
              <w:left w:val="nil"/>
              <w:bottom w:val="single" w:sz="4" w:space="0" w:color="auto"/>
              <w:right w:val="single" w:sz="4" w:space="0" w:color="auto"/>
            </w:tcBorders>
            <w:vAlign w:val="center"/>
            <w:hideMark/>
          </w:tcPr>
          <w:p w:rsidR="00AE2BC0" w:rsidRPr="00AE2BC0" w:rsidRDefault="00AE2BC0" w:rsidP="00AE2BC0">
            <w:pPr>
              <w:spacing w:before="20" w:after="20"/>
              <w:jc w:val="left"/>
              <w:rPr>
                <w:rFonts w:eastAsia="Times New Roman" w:cs="Times New Roman"/>
                <w:iCs/>
                <w:color w:val="000000"/>
                <w:sz w:val="20"/>
                <w:szCs w:val="20"/>
                <w:lang w:eastAsia="cs-CZ"/>
              </w:rPr>
            </w:pPr>
            <w:r w:rsidRPr="00AE2BC0">
              <w:rPr>
                <w:rFonts w:eastAsia="Times New Roman" w:cs="Times New Roman"/>
                <w:color w:val="000000"/>
                <w:sz w:val="20"/>
                <w:szCs w:val="20"/>
                <w:lang w:eastAsia="cs-CZ"/>
              </w:rPr>
              <w:t>Ochrana soukromí a lidská práva</w:t>
            </w:r>
          </w:p>
        </w:tc>
      </w:tr>
      <w:tr w:rsidR="00AE2BC0" w:rsidRPr="00AE2BC0" w:rsidTr="00A42657">
        <w:trPr>
          <w:trHeight w:val="288"/>
          <w:jc w:val="center"/>
        </w:trPr>
        <w:tc>
          <w:tcPr>
            <w:tcW w:w="1205" w:type="dxa"/>
            <w:vMerge/>
            <w:tcBorders>
              <w:top w:val="nil"/>
              <w:left w:val="single" w:sz="4" w:space="0" w:color="auto"/>
              <w:bottom w:val="single" w:sz="4" w:space="0" w:color="auto"/>
              <w:right w:val="single" w:sz="4" w:space="0" w:color="auto"/>
            </w:tcBorders>
            <w:vAlign w:val="center"/>
            <w:hideMark/>
          </w:tcPr>
          <w:p w:rsidR="00AE2BC0" w:rsidRPr="00A42657" w:rsidRDefault="00AE2BC0" w:rsidP="00AE2BC0">
            <w:pPr>
              <w:spacing w:before="20" w:after="20"/>
              <w:rPr>
                <w:rFonts w:eastAsia="Times New Roman" w:cs="Times New Roman"/>
                <w:b/>
                <w:iCs/>
                <w:color w:val="000000"/>
                <w:sz w:val="20"/>
                <w:szCs w:val="20"/>
                <w:lang w:eastAsia="cs-CZ"/>
              </w:rPr>
            </w:pPr>
          </w:p>
        </w:tc>
        <w:tc>
          <w:tcPr>
            <w:tcW w:w="2007" w:type="dxa"/>
            <w:vMerge/>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rPr>
                <w:rFonts w:eastAsia="Times New Roman" w:cs="Times New Roman"/>
                <w:iCs/>
                <w:color w:val="000000"/>
                <w:sz w:val="20"/>
                <w:szCs w:val="20"/>
                <w:lang w:eastAsia="cs-CZ"/>
              </w:rPr>
            </w:pPr>
          </w:p>
        </w:tc>
        <w:tc>
          <w:tcPr>
            <w:tcW w:w="6095" w:type="dxa"/>
            <w:tcBorders>
              <w:top w:val="nil"/>
              <w:left w:val="nil"/>
              <w:bottom w:val="single" w:sz="4" w:space="0" w:color="auto"/>
              <w:right w:val="single" w:sz="4" w:space="0" w:color="auto"/>
            </w:tcBorders>
            <w:vAlign w:val="center"/>
            <w:hideMark/>
          </w:tcPr>
          <w:p w:rsidR="00AE2BC0" w:rsidRPr="00AE2BC0" w:rsidRDefault="00AE2BC0" w:rsidP="00AE2BC0">
            <w:pPr>
              <w:spacing w:before="20" w:after="20"/>
              <w:jc w:val="left"/>
              <w:rPr>
                <w:rFonts w:eastAsia="Times New Roman" w:cs="Times New Roman"/>
                <w:iCs/>
                <w:color w:val="000000"/>
                <w:sz w:val="20"/>
                <w:szCs w:val="20"/>
                <w:lang w:eastAsia="cs-CZ"/>
              </w:rPr>
            </w:pPr>
            <w:r w:rsidRPr="00AE2BC0">
              <w:rPr>
                <w:rFonts w:eastAsia="Times New Roman" w:cs="Times New Roman"/>
                <w:color w:val="000000"/>
                <w:sz w:val="20"/>
                <w:szCs w:val="20"/>
                <w:lang w:eastAsia="cs-CZ"/>
              </w:rPr>
              <w:t>Veřejná kontrola a mapování vlivových struktur</w:t>
            </w:r>
          </w:p>
        </w:tc>
      </w:tr>
      <w:tr w:rsidR="00AE2BC0" w:rsidRPr="00AE2BC0" w:rsidTr="00A42657">
        <w:trPr>
          <w:trHeight w:val="157"/>
          <w:jc w:val="center"/>
        </w:trPr>
        <w:tc>
          <w:tcPr>
            <w:tcW w:w="1205" w:type="dxa"/>
            <w:vMerge w:val="restart"/>
            <w:tcBorders>
              <w:top w:val="nil"/>
              <w:left w:val="single" w:sz="4" w:space="0" w:color="auto"/>
              <w:bottom w:val="single" w:sz="4" w:space="0" w:color="auto"/>
              <w:right w:val="single" w:sz="4" w:space="0" w:color="auto"/>
            </w:tcBorders>
            <w:textDirection w:val="btLr"/>
            <w:vAlign w:val="center"/>
            <w:hideMark/>
          </w:tcPr>
          <w:p w:rsidR="00AE2BC0" w:rsidRPr="00597B96" w:rsidRDefault="00AE2BC0" w:rsidP="00AE2BC0">
            <w:pPr>
              <w:spacing w:before="20" w:after="20"/>
              <w:jc w:val="center"/>
              <w:rPr>
                <w:rFonts w:eastAsia="Times New Roman" w:cs="Times New Roman"/>
                <w:b/>
                <w:iCs/>
                <w:color w:val="000000"/>
                <w:sz w:val="20"/>
                <w:szCs w:val="20"/>
                <w:lang w:eastAsia="cs-CZ"/>
              </w:rPr>
            </w:pPr>
            <w:r w:rsidRPr="006D3758">
              <w:rPr>
                <w:rFonts w:eastAsia="Times New Roman" w:cs="Times New Roman"/>
                <w:b/>
                <w:color w:val="000000"/>
                <w:sz w:val="20"/>
                <w:szCs w:val="20"/>
                <w:lang w:eastAsia="cs-CZ"/>
              </w:rPr>
              <w:t>Nadějná témata</w:t>
            </w:r>
          </w:p>
        </w:tc>
        <w:tc>
          <w:tcPr>
            <w:tcW w:w="2007" w:type="dxa"/>
            <w:vMerge w:val="restart"/>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jc w:val="center"/>
              <w:rPr>
                <w:rFonts w:eastAsia="Times New Roman" w:cs="Times New Roman"/>
                <w:iCs/>
                <w:color w:val="000000"/>
                <w:sz w:val="20"/>
                <w:szCs w:val="20"/>
                <w:lang w:eastAsia="cs-CZ"/>
              </w:rPr>
            </w:pPr>
            <w:r w:rsidRPr="00AE2BC0">
              <w:rPr>
                <w:rFonts w:eastAsia="Times New Roman" w:cs="Times New Roman"/>
                <w:color w:val="000000"/>
                <w:sz w:val="20"/>
                <w:szCs w:val="20"/>
                <w:lang w:eastAsia="cs-CZ"/>
              </w:rPr>
              <w:t>Budoucnost bezpečnosti</w:t>
            </w:r>
          </w:p>
        </w:tc>
        <w:tc>
          <w:tcPr>
            <w:tcW w:w="6095" w:type="dxa"/>
            <w:tcBorders>
              <w:top w:val="nil"/>
              <w:left w:val="nil"/>
              <w:bottom w:val="single" w:sz="4" w:space="0" w:color="auto"/>
              <w:right w:val="single" w:sz="4" w:space="0" w:color="auto"/>
            </w:tcBorders>
            <w:vAlign w:val="center"/>
            <w:hideMark/>
          </w:tcPr>
          <w:p w:rsidR="00AE2BC0" w:rsidRPr="00AE2BC0" w:rsidRDefault="00AE2BC0" w:rsidP="00AE2BC0">
            <w:pPr>
              <w:spacing w:before="20" w:after="20"/>
              <w:jc w:val="left"/>
              <w:rPr>
                <w:rFonts w:eastAsia="Times New Roman" w:cs="Times New Roman"/>
                <w:iCs/>
                <w:color w:val="000000"/>
                <w:sz w:val="20"/>
                <w:szCs w:val="20"/>
                <w:lang w:eastAsia="cs-CZ"/>
              </w:rPr>
            </w:pPr>
            <w:r w:rsidRPr="00AE2BC0">
              <w:rPr>
                <w:rFonts w:eastAsia="Times New Roman" w:cs="Times New Roman"/>
                <w:color w:val="000000"/>
                <w:sz w:val="20"/>
                <w:szCs w:val="20"/>
                <w:lang w:eastAsia="cs-CZ"/>
              </w:rPr>
              <w:t>Potenciální bezpečnostní dopady technologických trendů</w:t>
            </w:r>
          </w:p>
        </w:tc>
      </w:tr>
      <w:tr w:rsidR="00AE2BC0" w:rsidRPr="00AE2BC0" w:rsidTr="00A42657">
        <w:trPr>
          <w:trHeight w:val="70"/>
          <w:jc w:val="center"/>
        </w:trPr>
        <w:tc>
          <w:tcPr>
            <w:tcW w:w="1205" w:type="dxa"/>
            <w:vMerge/>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rPr>
                <w:rFonts w:eastAsia="Times New Roman" w:cs="Times New Roman"/>
                <w:iCs/>
                <w:color w:val="000000"/>
                <w:sz w:val="20"/>
                <w:szCs w:val="20"/>
                <w:lang w:eastAsia="cs-CZ"/>
              </w:rPr>
            </w:pPr>
          </w:p>
        </w:tc>
        <w:tc>
          <w:tcPr>
            <w:tcW w:w="2007" w:type="dxa"/>
            <w:vMerge/>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rPr>
                <w:rFonts w:eastAsia="Times New Roman" w:cs="Times New Roman"/>
                <w:iCs/>
                <w:color w:val="000000"/>
                <w:sz w:val="20"/>
                <w:szCs w:val="20"/>
                <w:lang w:eastAsia="cs-CZ"/>
              </w:rPr>
            </w:pPr>
          </w:p>
        </w:tc>
        <w:tc>
          <w:tcPr>
            <w:tcW w:w="6095" w:type="dxa"/>
            <w:tcBorders>
              <w:top w:val="nil"/>
              <w:left w:val="nil"/>
              <w:bottom w:val="single" w:sz="4" w:space="0" w:color="auto"/>
              <w:right w:val="single" w:sz="4" w:space="0" w:color="auto"/>
            </w:tcBorders>
            <w:vAlign w:val="center"/>
            <w:hideMark/>
          </w:tcPr>
          <w:p w:rsidR="00AE2BC0" w:rsidRPr="00AE2BC0" w:rsidRDefault="00AE2BC0" w:rsidP="00AE2BC0">
            <w:pPr>
              <w:spacing w:before="20" w:after="20"/>
              <w:jc w:val="left"/>
              <w:rPr>
                <w:rFonts w:eastAsia="Times New Roman" w:cs="Times New Roman"/>
                <w:iCs/>
                <w:color w:val="000000"/>
                <w:sz w:val="20"/>
                <w:szCs w:val="20"/>
                <w:lang w:eastAsia="cs-CZ"/>
              </w:rPr>
            </w:pPr>
            <w:r w:rsidRPr="00AE2BC0">
              <w:rPr>
                <w:rFonts w:eastAsia="Times New Roman" w:cs="Times New Roman"/>
                <w:color w:val="000000"/>
                <w:sz w:val="20"/>
                <w:szCs w:val="20"/>
                <w:lang w:eastAsia="cs-CZ"/>
              </w:rPr>
              <w:t>Futuristická bezpečnostní řešení a jejich proveditelnost</w:t>
            </w:r>
          </w:p>
        </w:tc>
      </w:tr>
      <w:tr w:rsidR="00AE2BC0" w:rsidRPr="00AE2BC0" w:rsidTr="00A42657">
        <w:trPr>
          <w:trHeight w:val="70"/>
          <w:jc w:val="center"/>
        </w:trPr>
        <w:tc>
          <w:tcPr>
            <w:tcW w:w="1205" w:type="dxa"/>
            <w:vMerge/>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rPr>
                <w:rFonts w:eastAsia="Times New Roman" w:cs="Times New Roman"/>
                <w:iCs/>
                <w:color w:val="000000"/>
                <w:sz w:val="20"/>
                <w:szCs w:val="20"/>
                <w:lang w:eastAsia="cs-CZ"/>
              </w:rPr>
            </w:pPr>
          </w:p>
        </w:tc>
        <w:tc>
          <w:tcPr>
            <w:tcW w:w="2007" w:type="dxa"/>
            <w:vMerge/>
            <w:tcBorders>
              <w:top w:val="nil"/>
              <w:left w:val="single" w:sz="4" w:space="0" w:color="auto"/>
              <w:bottom w:val="single" w:sz="4" w:space="0" w:color="auto"/>
              <w:right w:val="single" w:sz="4" w:space="0" w:color="auto"/>
            </w:tcBorders>
            <w:vAlign w:val="center"/>
            <w:hideMark/>
          </w:tcPr>
          <w:p w:rsidR="00AE2BC0" w:rsidRPr="00AE2BC0" w:rsidRDefault="00AE2BC0" w:rsidP="00AE2BC0">
            <w:pPr>
              <w:spacing w:before="20" w:after="20"/>
              <w:rPr>
                <w:rFonts w:eastAsia="Times New Roman" w:cs="Times New Roman"/>
                <w:iCs/>
                <w:color w:val="000000"/>
                <w:sz w:val="20"/>
                <w:szCs w:val="20"/>
                <w:lang w:eastAsia="cs-CZ"/>
              </w:rPr>
            </w:pPr>
          </w:p>
        </w:tc>
        <w:tc>
          <w:tcPr>
            <w:tcW w:w="6095" w:type="dxa"/>
            <w:tcBorders>
              <w:top w:val="nil"/>
              <w:left w:val="nil"/>
              <w:bottom w:val="single" w:sz="4" w:space="0" w:color="auto"/>
              <w:right w:val="single" w:sz="4" w:space="0" w:color="auto"/>
            </w:tcBorders>
            <w:vAlign w:val="center"/>
            <w:hideMark/>
          </w:tcPr>
          <w:p w:rsidR="00AE2BC0" w:rsidRPr="00AE2BC0" w:rsidRDefault="00AE2BC0" w:rsidP="00AE2BC0">
            <w:pPr>
              <w:spacing w:before="20" w:after="20"/>
              <w:jc w:val="left"/>
              <w:rPr>
                <w:rFonts w:eastAsia="Times New Roman" w:cs="Times New Roman"/>
                <w:iCs/>
                <w:color w:val="000000"/>
                <w:sz w:val="20"/>
                <w:szCs w:val="20"/>
                <w:lang w:eastAsia="cs-CZ"/>
              </w:rPr>
            </w:pPr>
            <w:r w:rsidRPr="00AE2BC0">
              <w:rPr>
                <w:rFonts w:eastAsia="Times New Roman" w:cs="Times New Roman"/>
                <w:color w:val="000000"/>
                <w:sz w:val="20"/>
                <w:szCs w:val="20"/>
                <w:lang w:eastAsia="cs-CZ"/>
              </w:rPr>
              <w:t>Nové zdroje dat a jejich využitelnost</w:t>
            </w:r>
          </w:p>
        </w:tc>
      </w:tr>
    </w:tbl>
    <w:p w:rsidR="00080AC0" w:rsidRDefault="00080AC0" w:rsidP="006571B0">
      <w:pPr>
        <w:rPr>
          <w:lang w:eastAsia="cs-CZ"/>
        </w:rPr>
      </w:pPr>
    </w:p>
    <w:p w:rsidR="00657A20" w:rsidRDefault="00352DF1" w:rsidP="006571B0">
      <w:pPr>
        <w:rPr>
          <w:lang w:eastAsia="cs-CZ"/>
        </w:rPr>
      </w:pPr>
      <w:r w:rsidRPr="00352DF1">
        <w:rPr>
          <w:lang w:eastAsia="cs-CZ"/>
        </w:rPr>
        <w:t xml:space="preserve">Hodnocení jednotlivých zájmových oblastí z tohoto návrhu </w:t>
      </w:r>
      <w:r w:rsidR="00657A20">
        <w:rPr>
          <w:lang w:eastAsia="cs-CZ"/>
        </w:rPr>
        <w:t xml:space="preserve">bylo </w:t>
      </w:r>
      <w:r w:rsidRPr="00352DF1">
        <w:rPr>
          <w:lang w:eastAsia="cs-CZ"/>
        </w:rPr>
        <w:t>proveden</w:t>
      </w:r>
      <w:r w:rsidR="00657A20">
        <w:rPr>
          <w:lang w:eastAsia="cs-CZ"/>
        </w:rPr>
        <w:t>o</w:t>
      </w:r>
      <w:r w:rsidRPr="00352DF1">
        <w:rPr>
          <w:lang w:eastAsia="cs-CZ"/>
        </w:rPr>
        <w:t xml:space="preserve"> experty v rámci workshopu. Jednotliv</w:t>
      </w:r>
      <w:r w:rsidR="00DC6464">
        <w:rPr>
          <w:lang w:eastAsia="cs-CZ"/>
        </w:rPr>
        <w:t>í</w:t>
      </w:r>
      <w:r w:rsidRPr="00352DF1">
        <w:rPr>
          <w:lang w:eastAsia="cs-CZ"/>
        </w:rPr>
        <w:t xml:space="preserve"> experti hodnotili každou zájmovou oblast body v rozsahu 1 – 5 z hlediska existující úrovně znalostí v ČR pro danou zájmovou oblast (1= velmi nízká, až 5 = velmi vysoká) a z hlediska významnosti poptávky uživatelské sféry po výsledcích výzkumu v dané zájmové oblasti (1 = nevýznamná až 5 = vysoce významná</w:t>
      </w:r>
      <w:r w:rsidR="0051594A">
        <w:rPr>
          <w:lang w:eastAsia="cs-CZ"/>
        </w:rPr>
        <w:t>).</w:t>
      </w:r>
    </w:p>
    <w:p w:rsidR="00DC6464" w:rsidRDefault="00352DF1" w:rsidP="006571B0">
      <w:pPr>
        <w:rPr>
          <w:lang w:eastAsia="cs-CZ"/>
        </w:rPr>
      </w:pPr>
      <w:r w:rsidRPr="00352DF1">
        <w:rPr>
          <w:lang w:eastAsia="cs-CZ"/>
        </w:rPr>
        <w:t>Z hodnocení jednotlivých expertů bylo následně pro každou zájmovou oblast vypočteno průměrné hodnocení obou kritérií, tj. předpokladů pro VaV a poptávky po výsledcích VaV (v rozsahu 1</w:t>
      </w:r>
      <w:r w:rsidR="00657A20">
        <w:rPr>
          <w:lang w:eastAsia="cs-CZ"/>
        </w:rPr>
        <w:t> </w:t>
      </w:r>
      <w:r w:rsidRPr="00352DF1">
        <w:rPr>
          <w:lang w:eastAsia="cs-CZ"/>
        </w:rPr>
        <w:t>-</w:t>
      </w:r>
      <w:r w:rsidR="00657A20">
        <w:rPr>
          <w:lang w:eastAsia="cs-CZ"/>
        </w:rPr>
        <w:t> </w:t>
      </w:r>
      <w:r w:rsidRPr="00352DF1">
        <w:rPr>
          <w:lang w:eastAsia="cs-CZ"/>
        </w:rPr>
        <w:t>5)</w:t>
      </w:r>
      <w:r w:rsidR="00DC6464">
        <w:rPr>
          <w:lang w:eastAsia="cs-CZ"/>
        </w:rPr>
        <w:t>,</w:t>
      </w:r>
      <w:r w:rsidRPr="00352DF1">
        <w:rPr>
          <w:lang w:eastAsia="cs-CZ"/>
        </w:rPr>
        <w:t xml:space="preserve"> a kompozitní indikátor důležitosti zájmové oblasti jakožto součet průměrného hodnocení předpokladů a průměrného hodnocení poptávky (tj. v rozsahu 2 – 10). Zájmové oblasti byly následně očíslovány podle takto stanovené důležitosti (1 = nejdůležitější oblast). </w:t>
      </w:r>
      <w:r w:rsidR="00657A20">
        <w:rPr>
          <w:lang w:eastAsia="cs-CZ"/>
        </w:rPr>
        <w:t xml:space="preserve">Výsledky hodnocení jsou zachyceny v  </w:t>
      </w:r>
      <w:r w:rsidR="00657A20">
        <w:rPr>
          <w:lang w:eastAsia="cs-CZ"/>
        </w:rPr>
        <w:fldChar w:fldCharType="begin"/>
      </w:r>
      <w:r w:rsidR="00657A20">
        <w:rPr>
          <w:lang w:eastAsia="cs-CZ"/>
        </w:rPr>
        <w:instrText xml:space="preserve"> REF  _Ref454195247 \* Lower \h  \* MERGEFORMAT </w:instrText>
      </w:r>
      <w:r w:rsidR="00657A20">
        <w:rPr>
          <w:lang w:eastAsia="cs-CZ"/>
        </w:rPr>
      </w:r>
      <w:r w:rsidR="00657A20">
        <w:rPr>
          <w:lang w:eastAsia="cs-CZ"/>
        </w:rPr>
        <w:fldChar w:fldCharType="separate"/>
      </w:r>
      <w:r w:rsidR="003F08E5">
        <w:t xml:space="preserve">tab. </w:t>
      </w:r>
      <w:r w:rsidR="003F08E5">
        <w:rPr>
          <w:noProof/>
        </w:rPr>
        <w:t>49</w:t>
      </w:r>
      <w:r w:rsidR="00657A20">
        <w:rPr>
          <w:lang w:eastAsia="cs-CZ"/>
        </w:rPr>
        <w:fldChar w:fldCharType="end"/>
      </w:r>
      <w:r w:rsidR="00657A20">
        <w:rPr>
          <w:lang w:eastAsia="cs-CZ"/>
        </w:rPr>
        <w:t>.</w:t>
      </w:r>
    </w:p>
    <w:p w:rsidR="00657A20" w:rsidRDefault="00657A20" w:rsidP="00657A20">
      <w:pPr>
        <w:rPr>
          <w:lang w:eastAsia="cs-CZ"/>
        </w:rPr>
      </w:pPr>
      <w:r w:rsidRPr="00352DF1">
        <w:rPr>
          <w:lang w:eastAsia="cs-CZ"/>
        </w:rPr>
        <w:t>Hodnocení proběhlo i z hlediska vhodnosti dané zájmové oblasti pro rozvoj mezinárodní výzkumné spolupráce</w:t>
      </w:r>
      <w:r>
        <w:rPr>
          <w:lang w:eastAsia="cs-CZ"/>
        </w:rPr>
        <w:t xml:space="preserve"> (1 = nevhodná pro mezinárodní výzkumnou spolupráci až 5 = nutno řešit v mezinárodní výzkumné spolupráci)</w:t>
      </w:r>
      <w:r w:rsidRPr="00352DF1">
        <w:rPr>
          <w:lang w:eastAsia="cs-CZ"/>
        </w:rPr>
        <w:t xml:space="preserve">. Tabulku doplňují grafy </w:t>
      </w:r>
      <w:r>
        <w:rPr>
          <w:lang w:eastAsia="cs-CZ"/>
        </w:rPr>
        <w:t xml:space="preserve">na </w:t>
      </w:r>
      <w:r>
        <w:rPr>
          <w:lang w:eastAsia="cs-CZ"/>
        </w:rPr>
        <w:fldChar w:fldCharType="begin"/>
      </w:r>
      <w:r>
        <w:rPr>
          <w:lang w:eastAsia="cs-CZ"/>
        </w:rPr>
        <w:instrText xml:space="preserve"> REF  _Ref454195438 \* Lower \h  \* MERGEFORMAT </w:instrText>
      </w:r>
      <w:r>
        <w:rPr>
          <w:lang w:eastAsia="cs-CZ"/>
        </w:rPr>
      </w:r>
      <w:r>
        <w:rPr>
          <w:lang w:eastAsia="cs-CZ"/>
        </w:rPr>
        <w:fldChar w:fldCharType="separate"/>
      </w:r>
      <w:r w:rsidR="003F08E5">
        <w:t xml:space="preserve">obr. </w:t>
      </w:r>
      <w:r w:rsidR="003F08E5">
        <w:rPr>
          <w:noProof/>
        </w:rPr>
        <w:t>25</w:t>
      </w:r>
      <w:r>
        <w:rPr>
          <w:lang w:eastAsia="cs-CZ"/>
        </w:rPr>
        <w:fldChar w:fldCharType="end"/>
      </w:r>
      <w:r>
        <w:rPr>
          <w:lang w:eastAsia="cs-CZ"/>
        </w:rPr>
        <w:t xml:space="preserve"> a </w:t>
      </w:r>
      <w:r>
        <w:rPr>
          <w:lang w:eastAsia="cs-CZ"/>
        </w:rPr>
        <w:fldChar w:fldCharType="begin"/>
      </w:r>
      <w:r>
        <w:rPr>
          <w:lang w:eastAsia="cs-CZ"/>
        </w:rPr>
        <w:instrText xml:space="preserve"> REF  _Ref454195440 \* Lower \h  \* MERGEFORMAT </w:instrText>
      </w:r>
      <w:r>
        <w:rPr>
          <w:lang w:eastAsia="cs-CZ"/>
        </w:rPr>
      </w:r>
      <w:r>
        <w:rPr>
          <w:lang w:eastAsia="cs-CZ"/>
        </w:rPr>
        <w:fldChar w:fldCharType="separate"/>
      </w:r>
      <w:r w:rsidR="003F08E5">
        <w:t xml:space="preserve">obr. </w:t>
      </w:r>
      <w:r w:rsidR="003F08E5">
        <w:rPr>
          <w:noProof/>
        </w:rPr>
        <w:t>26</w:t>
      </w:r>
      <w:r>
        <w:rPr>
          <w:lang w:eastAsia="cs-CZ"/>
        </w:rPr>
        <w:fldChar w:fldCharType="end"/>
      </w:r>
      <w:r w:rsidRPr="00352DF1">
        <w:rPr>
          <w:lang w:eastAsia="cs-CZ"/>
        </w:rPr>
        <w:t>, které ukazují nejvýznamnější oblasti z hlediska předpokladů pro VaV a z hlediska poptávky po VaV.</w:t>
      </w:r>
    </w:p>
    <w:p w:rsidR="003C7591" w:rsidRDefault="003C7591" w:rsidP="003C7591">
      <w:pPr>
        <w:pStyle w:val="Titulek"/>
        <w:keepNext/>
      </w:pPr>
      <w:bookmarkStart w:id="185" w:name="_Ref454195247"/>
      <w:r>
        <w:t xml:space="preserve">Tab. </w:t>
      </w:r>
      <w:r w:rsidR="00990E2D">
        <w:fldChar w:fldCharType="begin"/>
      </w:r>
      <w:r w:rsidR="00990E2D">
        <w:instrText xml:space="preserve"> SEQ Tab. \* ARABIC </w:instrText>
      </w:r>
      <w:r w:rsidR="00990E2D">
        <w:fldChar w:fldCharType="separate"/>
      </w:r>
      <w:r w:rsidR="003F08E5">
        <w:rPr>
          <w:noProof/>
        </w:rPr>
        <w:t>49</w:t>
      </w:r>
      <w:r w:rsidR="00990E2D">
        <w:rPr>
          <w:noProof/>
        </w:rPr>
        <w:fldChar w:fldCharType="end"/>
      </w:r>
      <w:bookmarkEnd w:id="185"/>
      <w:r>
        <w:tab/>
      </w:r>
      <w:r w:rsidRPr="003C7591">
        <w:t>Hodnocení významnosti zájmových oblastí experty</w:t>
      </w:r>
      <w:r w:rsidR="001316AF">
        <w:t xml:space="preserve"> – předpoklady pro VaV, poptávka po VaV, pořadí důležitosti a předpoklady pro mezinárodní výzkumnou spolupráci.</w:t>
      </w:r>
    </w:p>
    <w:p w:rsidR="001316AF" w:rsidRDefault="00F6434D" w:rsidP="00A42657">
      <w:r w:rsidRPr="00F6434D">
        <w:rPr>
          <w:noProof/>
          <w:lang w:eastAsia="cs-CZ"/>
        </w:rPr>
        <w:drawing>
          <wp:inline distT="0" distB="0" distL="0" distR="0" wp14:anchorId="76AC4EF9" wp14:editId="4B5EAFE1">
            <wp:extent cx="5850890" cy="5901329"/>
            <wp:effectExtent l="0" t="0" r="0" b="4445"/>
            <wp:docPr id="78" name="Obrázek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850890" cy="5901329"/>
                    </a:xfrm>
                    <a:prstGeom prst="rect">
                      <a:avLst/>
                    </a:prstGeom>
                    <a:noFill/>
                    <a:ln>
                      <a:noFill/>
                    </a:ln>
                  </pic:spPr>
                </pic:pic>
              </a:graphicData>
            </a:graphic>
          </wp:inline>
        </w:drawing>
      </w:r>
    </w:p>
    <w:p w:rsidR="001316AF" w:rsidRPr="00597B96" w:rsidRDefault="001316AF" w:rsidP="00A42657"/>
    <w:p w:rsidR="00F33215" w:rsidRDefault="00F33215" w:rsidP="00F33215"/>
    <w:p w:rsidR="001316AF" w:rsidRDefault="00F6434D" w:rsidP="00F33215">
      <w:r w:rsidRPr="00F6434D">
        <w:rPr>
          <w:noProof/>
          <w:lang w:eastAsia="cs-CZ"/>
        </w:rPr>
        <w:drawing>
          <wp:inline distT="0" distB="0" distL="0" distR="0" wp14:anchorId="0A8E1A3E" wp14:editId="0891654A">
            <wp:extent cx="5850890" cy="5228813"/>
            <wp:effectExtent l="0" t="0" r="0" b="0"/>
            <wp:docPr id="80" name="Obrázek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850890" cy="5228813"/>
                    </a:xfrm>
                    <a:prstGeom prst="rect">
                      <a:avLst/>
                    </a:prstGeom>
                    <a:noFill/>
                    <a:ln>
                      <a:noFill/>
                    </a:ln>
                  </pic:spPr>
                </pic:pic>
              </a:graphicData>
            </a:graphic>
          </wp:inline>
        </w:drawing>
      </w:r>
    </w:p>
    <w:p w:rsidR="00657A20" w:rsidRDefault="00657A20" w:rsidP="00F33215"/>
    <w:p w:rsidR="003C7591" w:rsidRDefault="003C7591" w:rsidP="00C858BE">
      <w:pPr>
        <w:keepNext/>
        <w:jc w:val="center"/>
      </w:pPr>
      <w:r>
        <w:rPr>
          <w:noProof/>
          <w:lang w:eastAsia="cs-CZ"/>
        </w:rPr>
        <w:drawing>
          <wp:inline distT="0" distB="0" distL="0" distR="0" wp14:anchorId="4CE7742A" wp14:editId="66605682">
            <wp:extent cx="5977003" cy="2914650"/>
            <wp:effectExtent l="0" t="0" r="0" b="0"/>
            <wp:docPr id="84" name="Obrázek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978972" cy="2915610"/>
                    </a:xfrm>
                    <a:prstGeom prst="rect">
                      <a:avLst/>
                    </a:prstGeom>
                    <a:noFill/>
                  </pic:spPr>
                </pic:pic>
              </a:graphicData>
            </a:graphic>
          </wp:inline>
        </w:drawing>
      </w:r>
    </w:p>
    <w:p w:rsidR="00AE2BC0" w:rsidRDefault="003C7591" w:rsidP="003C7591">
      <w:pPr>
        <w:pStyle w:val="Titulek"/>
        <w:jc w:val="both"/>
        <w:rPr>
          <w:lang w:eastAsia="cs-CZ"/>
        </w:rPr>
      </w:pPr>
      <w:bookmarkStart w:id="186" w:name="_Ref454195438"/>
      <w:bookmarkStart w:id="187" w:name="_Ref454195428"/>
      <w:r>
        <w:t xml:space="preserve">Obr. </w:t>
      </w:r>
      <w:r w:rsidR="00990E2D">
        <w:fldChar w:fldCharType="begin"/>
      </w:r>
      <w:r w:rsidR="00990E2D">
        <w:instrText xml:space="preserve"> SEQ Obr. \* ARABIC </w:instrText>
      </w:r>
      <w:r w:rsidR="00990E2D">
        <w:fldChar w:fldCharType="separate"/>
      </w:r>
      <w:r w:rsidR="003F08E5">
        <w:rPr>
          <w:noProof/>
        </w:rPr>
        <w:t>25</w:t>
      </w:r>
      <w:r w:rsidR="00990E2D">
        <w:rPr>
          <w:noProof/>
        </w:rPr>
        <w:fldChar w:fldCharType="end"/>
      </w:r>
      <w:bookmarkEnd w:id="186"/>
      <w:r>
        <w:tab/>
      </w:r>
      <w:r w:rsidRPr="003C7591">
        <w:t>Zájmové oblasti s nejvyšším hodnocením existující úrovně znalostí pro VaV</w:t>
      </w:r>
      <w:bookmarkEnd w:id="187"/>
    </w:p>
    <w:p w:rsidR="003C7591" w:rsidRDefault="003C7591" w:rsidP="00C858BE">
      <w:pPr>
        <w:keepNext/>
        <w:jc w:val="center"/>
      </w:pPr>
      <w:r>
        <w:rPr>
          <w:noProof/>
          <w:lang w:eastAsia="cs-CZ"/>
        </w:rPr>
        <w:drawing>
          <wp:inline distT="0" distB="0" distL="0" distR="0" wp14:anchorId="18E39E9B" wp14:editId="6F4870EE">
            <wp:extent cx="5461776" cy="2933700"/>
            <wp:effectExtent l="0" t="0" r="5715" b="0"/>
            <wp:docPr id="87" name="Obrázek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481294" cy="2944184"/>
                    </a:xfrm>
                    <a:prstGeom prst="rect">
                      <a:avLst/>
                    </a:prstGeom>
                    <a:noFill/>
                  </pic:spPr>
                </pic:pic>
              </a:graphicData>
            </a:graphic>
          </wp:inline>
        </w:drawing>
      </w:r>
    </w:p>
    <w:p w:rsidR="003C7591" w:rsidRDefault="003C7591" w:rsidP="003C7591">
      <w:pPr>
        <w:pStyle w:val="Titulek"/>
        <w:jc w:val="both"/>
      </w:pPr>
      <w:bookmarkStart w:id="188" w:name="_Ref454195440"/>
      <w:bookmarkStart w:id="189" w:name="_Ref454195429"/>
      <w:r>
        <w:t xml:space="preserve">Obr. </w:t>
      </w:r>
      <w:r w:rsidR="00990E2D">
        <w:fldChar w:fldCharType="begin"/>
      </w:r>
      <w:r w:rsidR="00990E2D">
        <w:instrText xml:space="preserve"> SEQ Obr. \* ARABIC </w:instrText>
      </w:r>
      <w:r w:rsidR="00990E2D">
        <w:fldChar w:fldCharType="separate"/>
      </w:r>
      <w:r w:rsidR="003F08E5">
        <w:rPr>
          <w:noProof/>
        </w:rPr>
        <w:t>26</w:t>
      </w:r>
      <w:r w:rsidR="00990E2D">
        <w:rPr>
          <w:noProof/>
        </w:rPr>
        <w:fldChar w:fldCharType="end"/>
      </w:r>
      <w:bookmarkEnd w:id="188"/>
      <w:r>
        <w:tab/>
      </w:r>
      <w:r w:rsidRPr="003C7591">
        <w:t>Zájmové oblasti s nejvyšším hodnocením z hlediska poptávky uživatelské sféry po VaV</w:t>
      </w:r>
      <w:bookmarkEnd w:id="189"/>
    </w:p>
    <w:p w:rsidR="009B3D27" w:rsidRDefault="009B3D27" w:rsidP="00F6434D">
      <w:pPr>
        <w:rPr>
          <w:lang w:eastAsia="cs-CZ"/>
        </w:rPr>
      </w:pPr>
    </w:p>
    <w:p w:rsidR="00F6434D" w:rsidRDefault="00F6434D" w:rsidP="00F6434D">
      <w:pPr>
        <w:rPr>
          <w:lang w:eastAsia="cs-CZ"/>
        </w:rPr>
      </w:pPr>
      <w:r w:rsidRPr="00315603">
        <w:rPr>
          <w:lang w:eastAsia="cs-CZ"/>
        </w:rPr>
        <w:t xml:space="preserve">Graf </w:t>
      </w:r>
      <w:r>
        <w:rPr>
          <w:lang w:eastAsia="cs-CZ"/>
        </w:rPr>
        <w:t xml:space="preserve">na </w:t>
      </w:r>
      <w:r>
        <w:rPr>
          <w:lang w:eastAsia="cs-CZ"/>
        </w:rPr>
        <w:fldChar w:fldCharType="begin"/>
      </w:r>
      <w:r>
        <w:rPr>
          <w:lang w:eastAsia="cs-CZ"/>
        </w:rPr>
        <w:instrText xml:space="preserve"> REF  _Ref454195768 \* Lower \h  \* MERGEFORMAT </w:instrText>
      </w:r>
      <w:r>
        <w:rPr>
          <w:lang w:eastAsia="cs-CZ"/>
        </w:rPr>
      </w:r>
      <w:r>
        <w:rPr>
          <w:lang w:eastAsia="cs-CZ"/>
        </w:rPr>
        <w:fldChar w:fldCharType="separate"/>
      </w:r>
      <w:r w:rsidR="003F08E5">
        <w:t xml:space="preserve">obr. </w:t>
      </w:r>
      <w:r w:rsidR="003F08E5">
        <w:rPr>
          <w:noProof/>
        </w:rPr>
        <w:t>27</w:t>
      </w:r>
      <w:r>
        <w:rPr>
          <w:lang w:eastAsia="cs-CZ"/>
        </w:rPr>
        <w:fldChar w:fldCharType="end"/>
      </w:r>
      <w:r w:rsidRPr="00315603">
        <w:rPr>
          <w:lang w:eastAsia="cs-CZ"/>
        </w:rPr>
        <w:t xml:space="preserve"> znázorňuje rozložení zájmových oblastí z hlediska předpokladů (vodorovná osa) a poptávky (svislá osa). Hodnocení zájmových oblastí z hlediska předpokladů se pohybuje v rozmezí hodnot 0,75 až 3,7 na pětistupňové škále. Lze tedy konstatovat, že experti hodnotili existující úroveň znalostí pro bezpečnostní výzkum v ČR obecně spíše jako průměrnou až podprůměrnou. Hodnocení zájmových oblastí z hlediska poptávky se pohybuje v rozmezí hodnot 2,33 až 4,82 na pětistupňové škále, což naopak naznačuje spíše nadprůměrný zájem o výsledky bezpečnostního výzkumu.  Z tohoto pohledu tedy nevyhlíží současné situace v bezpečnostním výzkumu příliš uspokojivě. Pozoruhodná je zejména skutečnost, že podle mínění expertů neexistuje žádná zájmová oblast, u níž by se snoubily výborné předpoklady pro VaV s vysokou poptávkou ze strany uživatelů.</w:t>
      </w:r>
    </w:p>
    <w:p w:rsidR="00270766" w:rsidRPr="00A42657" w:rsidRDefault="00270766" w:rsidP="00D31E68"/>
    <w:p w:rsidR="00FB0584" w:rsidRDefault="00C858BE" w:rsidP="00FB0584">
      <w:pPr>
        <w:keepNext/>
        <w:jc w:val="center"/>
      </w:pPr>
      <w:r>
        <w:rPr>
          <w:noProof/>
          <w:lang w:eastAsia="cs-CZ"/>
        </w:rPr>
        <w:drawing>
          <wp:inline distT="0" distB="0" distL="0" distR="0" wp14:anchorId="49214562" wp14:editId="1C6FA23C">
            <wp:extent cx="4972050" cy="4478501"/>
            <wp:effectExtent l="0" t="0" r="0" b="0"/>
            <wp:docPr id="85" name="Obrázek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4972050" cy="4478501"/>
                    </a:xfrm>
                    <a:prstGeom prst="rect">
                      <a:avLst/>
                    </a:prstGeom>
                    <a:noFill/>
                  </pic:spPr>
                </pic:pic>
              </a:graphicData>
            </a:graphic>
          </wp:inline>
        </w:drawing>
      </w:r>
    </w:p>
    <w:p w:rsidR="00315603" w:rsidRDefault="00FB0584" w:rsidP="00FB0584">
      <w:pPr>
        <w:pStyle w:val="Titulek"/>
        <w:jc w:val="both"/>
        <w:rPr>
          <w:lang w:eastAsia="cs-CZ"/>
        </w:rPr>
      </w:pPr>
      <w:bookmarkStart w:id="190" w:name="_Ref454195768"/>
      <w:r>
        <w:t xml:space="preserve">Obr. </w:t>
      </w:r>
      <w:r w:rsidR="00990E2D">
        <w:fldChar w:fldCharType="begin"/>
      </w:r>
      <w:r w:rsidR="00990E2D">
        <w:instrText xml:space="preserve"> SEQ Obr. \* ARABIC </w:instrText>
      </w:r>
      <w:r w:rsidR="00990E2D">
        <w:fldChar w:fldCharType="separate"/>
      </w:r>
      <w:r w:rsidR="003F08E5">
        <w:rPr>
          <w:noProof/>
        </w:rPr>
        <w:t>27</w:t>
      </w:r>
      <w:r w:rsidR="00990E2D">
        <w:rPr>
          <w:noProof/>
        </w:rPr>
        <w:fldChar w:fldCharType="end"/>
      </w:r>
      <w:bookmarkEnd w:id="190"/>
      <w:r>
        <w:tab/>
      </w:r>
      <w:r w:rsidRPr="00FB0584">
        <w:t>Rozložení zájmových oblastí z hlediska předpokladů pro VaV (vodorovná osa) a poptávky po VaV (svislá osa)</w:t>
      </w:r>
      <w:r w:rsidR="00C858BE">
        <w:t xml:space="preserve"> </w:t>
      </w:r>
    </w:p>
    <w:p w:rsidR="003C7591" w:rsidRDefault="003C7591" w:rsidP="006571B0">
      <w:pPr>
        <w:rPr>
          <w:lang w:eastAsia="cs-CZ"/>
        </w:rPr>
      </w:pPr>
    </w:p>
    <w:p w:rsidR="00FB0584" w:rsidRDefault="00FB0584" w:rsidP="00FB0584">
      <w:pPr>
        <w:rPr>
          <w:lang w:eastAsia="cs-CZ"/>
        </w:rPr>
      </w:pPr>
      <w:r>
        <w:rPr>
          <w:lang w:eastAsia="cs-CZ"/>
        </w:rPr>
        <w:t xml:space="preserve">Následujícím úkolem expertů v rámci workshopu bylo s využitím výše uvedených informací vybrat zájmové oblasti bezpečnostního výzkumu, které by měly být v období do roku 2025 nejvíce podpořeny z veřejných zdrojů. Každý z expertů disponoval třemi hlasy, které mohl libovolným způsobem rozdělit mezi všechny zájmové oblasti. Pořadí zájmových oblastí podle počtu získaných hlasů je následující (v případě rovnosti počtu hlasů je na vyšší příčce zájmová oblast s vyšším pořadím z hlediska důležitosti, viz </w:t>
      </w:r>
      <w:r>
        <w:rPr>
          <w:lang w:eastAsia="cs-CZ"/>
        </w:rPr>
        <w:fldChar w:fldCharType="begin"/>
      </w:r>
      <w:r>
        <w:rPr>
          <w:lang w:eastAsia="cs-CZ"/>
        </w:rPr>
        <w:instrText xml:space="preserve"> REF  _Ref454195247 \* Lower \h  \* MERGEFORMAT </w:instrText>
      </w:r>
      <w:r>
        <w:rPr>
          <w:lang w:eastAsia="cs-CZ"/>
        </w:rPr>
      </w:r>
      <w:r>
        <w:rPr>
          <w:lang w:eastAsia="cs-CZ"/>
        </w:rPr>
        <w:fldChar w:fldCharType="separate"/>
      </w:r>
      <w:r w:rsidR="003F08E5">
        <w:t xml:space="preserve">tab. </w:t>
      </w:r>
      <w:r w:rsidR="003F08E5">
        <w:rPr>
          <w:noProof/>
        </w:rPr>
        <w:t>49</w:t>
      </w:r>
      <w:r>
        <w:rPr>
          <w:lang w:eastAsia="cs-CZ"/>
        </w:rPr>
        <w:fldChar w:fldCharType="end"/>
      </w:r>
      <w:r>
        <w:rPr>
          <w:lang w:eastAsia="cs-CZ"/>
        </w:rPr>
        <w:t xml:space="preserve">): </w:t>
      </w:r>
    </w:p>
    <w:p w:rsidR="00FB0584" w:rsidRDefault="00FB0584" w:rsidP="004F74B7">
      <w:pPr>
        <w:pStyle w:val="Odstavecseseznamem"/>
        <w:numPr>
          <w:ilvl w:val="0"/>
          <w:numId w:val="16"/>
        </w:numPr>
        <w:ind w:left="714" w:hanging="357"/>
        <w:contextualSpacing w:val="0"/>
        <w:rPr>
          <w:lang w:eastAsia="cs-CZ"/>
        </w:rPr>
      </w:pPr>
      <w:r>
        <w:rPr>
          <w:lang w:eastAsia="cs-CZ"/>
        </w:rPr>
        <w:t>Analýza a predikce hrozeb a rizik (3) – 8 hlasů</w:t>
      </w:r>
    </w:p>
    <w:p w:rsidR="00FB0584" w:rsidRDefault="00FB0584" w:rsidP="004F74B7">
      <w:pPr>
        <w:pStyle w:val="Odstavecseseznamem"/>
        <w:numPr>
          <w:ilvl w:val="0"/>
          <w:numId w:val="16"/>
        </w:numPr>
        <w:ind w:left="714" w:hanging="357"/>
        <w:contextualSpacing w:val="0"/>
        <w:rPr>
          <w:lang w:eastAsia="cs-CZ"/>
        </w:rPr>
      </w:pPr>
      <w:r>
        <w:rPr>
          <w:lang w:eastAsia="cs-CZ"/>
        </w:rPr>
        <w:t>Nové pokročilé metody identifikace osob a věcí (5) – 6 hlasů</w:t>
      </w:r>
    </w:p>
    <w:p w:rsidR="00FB0584" w:rsidRDefault="00FB0584" w:rsidP="004F74B7">
      <w:pPr>
        <w:pStyle w:val="Odstavecseseznamem"/>
        <w:numPr>
          <w:ilvl w:val="0"/>
          <w:numId w:val="16"/>
        </w:numPr>
        <w:ind w:left="714" w:hanging="357"/>
        <w:contextualSpacing w:val="0"/>
        <w:rPr>
          <w:lang w:eastAsia="cs-CZ"/>
        </w:rPr>
      </w:pPr>
      <w:r>
        <w:rPr>
          <w:lang w:eastAsia="cs-CZ"/>
        </w:rPr>
        <w:t xml:space="preserve">Data mining a automatizovaná analýza (14) – 4 hlasy </w:t>
      </w:r>
    </w:p>
    <w:p w:rsidR="00FB0584" w:rsidRDefault="00FB0584" w:rsidP="004F74B7">
      <w:pPr>
        <w:pStyle w:val="Odstavecseseznamem"/>
        <w:numPr>
          <w:ilvl w:val="0"/>
          <w:numId w:val="16"/>
        </w:numPr>
        <w:ind w:left="714" w:hanging="357"/>
        <w:contextualSpacing w:val="0"/>
        <w:rPr>
          <w:lang w:eastAsia="cs-CZ"/>
        </w:rPr>
      </w:pPr>
      <w:r>
        <w:rPr>
          <w:lang w:eastAsia="cs-CZ"/>
        </w:rPr>
        <w:t>Speciální zásahové prostředky a postupy (12) – 3 hlasy</w:t>
      </w:r>
    </w:p>
    <w:p w:rsidR="00FB0584" w:rsidRDefault="00FB0584" w:rsidP="004F74B7">
      <w:pPr>
        <w:pStyle w:val="Odstavecseseznamem"/>
        <w:numPr>
          <w:ilvl w:val="0"/>
          <w:numId w:val="16"/>
        </w:numPr>
        <w:ind w:left="714" w:hanging="357"/>
        <w:contextualSpacing w:val="0"/>
        <w:rPr>
          <w:lang w:eastAsia="cs-CZ"/>
        </w:rPr>
      </w:pPr>
      <w:r>
        <w:rPr>
          <w:lang w:eastAsia="cs-CZ"/>
        </w:rPr>
        <w:t xml:space="preserve">Odolnost komerčních služeb (22) – 3 hlasy </w:t>
      </w:r>
    </w:p>
    <w:p w:rsidR="00FB0584" w:rsidRDefault="00FB0584" w:rsidP="004F74B7">
      <w:pPr>
        <w:pStyle w:val="Odstavecseseznamem"/>
        <w:numPr>
          <w:ilvl w:val="0"/>
          <w:numId w:val="16"/>
        </w:numPr>
        <w:ind w:left="714" w:hanging="357"/>
        <w:contextualSpacing w:val="0"/>
        <w:rPr>
          <w:lang w:eastAsia="cs-CZ"/>
        </w:rPr>
      </w:pPr>
      <w:r>
        <w:rPr>
          <w:lang w:eastAsia="cs-CZ"/>
        </w:rPr>
        <w:t xml:space="preserve">Prostředky vzdálené detekce a lokalizace věcí a osob (24) – 3 hlasy </w:t>
      </w:r>
    </w:p>
    <w:p w:rsidR="00FB0584" w:rsidRDefault="00FB0584" w:rsidP="004F74B7">
      <w:pPr>
        <w:pStyle w:val="Odstavecseseznamem"/>
        <w:numPr>
          <w:ilvl w:val="0"/>
          <w:numId w:val="16"/>
        </w:numPr>
        <w:ind w:left="714" w:hanging="357"/>
        <w:contextualSpacing w:val="0"/>
        <w:rPr>
          <w:lang w:eastAsia="cs-CZ"/>
        </w:rPr>
      </w:pPr>
      <w:r>
        <w:rPr>
          <w:lang w:eastAsia="cs-CZ"/>
        </w:rPr>
        <w:t xml:space="preserve">Technologické protiopatření a prostředky ochrany informací (1) – 2 hlasy </w:t>
      </w:r>
    </w:p>
    <w:p w:rsidR="00FB0584" w:rsidRDefault="00FB0584" w:rsidP="004F74B7">
      <w:pPr>
        <w:pStyle w:val="Odstavecseseznamem"/>
        <w:numPr>
          <w:ilvl w:val="0"/>
          <w:numId w:val="16"/>
        </w:numPr>
        <w:ind w:left="714" w:hanging="357"/>
        <w:contextualSpacing w:val="0"/>
        <w:rPr>
          <w:lang w:eastAsia="cs-CZ"/>
        </w:rPr>
      </w:pPr>
      <w:r>
        <w:rPr>
          <w:lang w:eastAsia="cs-CZ"/>
        </w:rPr>
        <w:t xml:space="preserve">Vytěžování elektronických zdrojů dat, analýza škodlivých kódů (2) – 2 hlasy </w:t>
      </w:r>
    </w:p>
    <w:p w:rsidR="00FB0584" w:rsidRDefault="00FB0584" w:rsidP="004F74B7">
      <w:pPr>
        <w:pStyle w:val="Odstavecseseznamem"/>
        <w:numPr>
          <w:ilvl w:val="0"/>
          <w:numId w:val="16"/>
        </w:numPr>
        <w:ind w:left="714" w:hanging="357"/>
        <w:contextualSpacing w:val="0"/>
        <w:rPr>
          <w:lang w:eastAsia="cs-CZ"/>
        </w:rPr>
      </w:pPr>
      <w:r>
        <w:rPr>
          <w:lang w:eastAsia="cs-CZ"/>
        </w:rPr>
        <w:t>Modely vzájemných závislostí (28) – 2 hlasy</w:t>
      </w:r>
    </w:p>
    <w:p w:rsidR="00FB0584" w:rsidRDefault="00FB0584" w:rsidP="004F74B7">
      <w:pPr>
        <w:pStyle w:val="Odstavecseseznamem"/>
        <w:numPr>
          <w:ilvl w:val="0"/>
          <w:numId w:val="16"/>
        </w:numPr>
        <w:ind w:left="714" w:hanging="357"/>
        <w:contextualSpacing w:val="0"/>
        <w:rPr>
          <w:lang w:eastAsia="cs-CZ"/>
        </w:rPr>
      </w:pPr>
      <w:r>
        <w:rPr>
          <w:lang w:eastAsia="cs-CZ"/>
        </w:rPr>
        <w:t>Opatření proti vnitřním zdrojům ohrožení (11) – 1 hlas</w:t>
      </w:r>
    </w:p>
    <w:p w:rsidR="00FB0584" w:rsidRDefault="00FB0584" w:rsidP="004F74B7">
      <w:pPr>
        <w:pStyle w:val="Odstavecseseznamem"/>
        <w:numPr>
          <w:ilvl w:val="0"/>
          <w:numId w:val="16"/>
        </w:numPr>
        <w:ind w:left="714" w:hanging="357"/>
        <w:contextualSpacing w:val="0"/>
        <w:rPr>
          <w:lang w:eastAsia="cs-CZ"/>
        </w:rPr>
      </w:pPr>
      <w:r>
        <w:rPr>
          <w:lang w:eastAsia="cs-CZ"/>
        </w:rPr>
        <w:t>Vzdálené multisenzorické sledování rizikových prostor a předávání dat (18) – 1 hlas</w:t>
      </w:r>
    </w:p>
    <w:p w:rsidR="00FB0584" w:rsidRDefault="00FB0584" w:rsidP="004F74B7">
      <w:pPr>
        <w:pStyle w:val="Odstavecseseznamem"/>
        <w:numPr>
          <w:ilvl w:val="0"/>
          <w:numId w:val="16"/>
        </w:numPr>
        <w:ind w:left="714" w:hanging="357"/>
        <w:contextualSpacing w:val="0"/>
        <w:rPr>
          <w:lang w:eastAsia="cs-CZ"/>
        </w:rPr>
      </w:pPr>
      <w:r>
        <w:rPr>
          <w:lang w:eastAsia="cs-CZ"/>
        </w:rPr>
        <w:t>Varování a vyrozumění (19) – 1 hlas</w:t>
      </w:r>
    </w:p>
    <w:p w:rsidR="009C295A" w:rsidRDefault="009C295A" w:rsidP="00FB0584">
      <w:pPr>
        <w:rPr>
          <w:lang w:eastAsia="cs-CZ"/>
        </w:rPr>
      </w:pPr>
    </w:p>
    <w:p w:rsidR="009513E8" w:rsidRDefault="009513E8" w:rsidP="009513E8">
      <w:pPr>
        <w:pStyle w:val="Nadpis3"/>
      </w:pPr>
      <w:bookmarkStart w:id="191" w:name="_Toc459723314"/>
      <w:r>
        <w:t>Využití silných oborů pro řešení očekávaných potřeb v oblasti v bezpečnosti</w:t>
      </w:r>
      <w:bookmarkEnd w:id="191"/>
    </w:p>
    <w:tbl>
      <w:tblPr>
        <w:tblStyle w:val="Mkatabulky"/>
        <w:tblW w:w="0" w:type="auto"/>
        <w:tblLook w:val="04A0" w:firstRow="1" w:lastRow="0" w:firstColumn="1" w:lastColumn="0" w:noHBand="0" w:noVBand="1"/>
      </w:tblPr>
      <w:tblGrid>
        <w:gridCol w:w="9354"/>
      </w:tblGrid>
      <w:tr w:rsidR="00F466FC" w:rsidTr="00F466FC">
        <w:tc>
          <w:tcPr>
            <w:tcW w:w="9354" w:type="dxa"/>
            <w:shd w:val="clear" w:color="auto" w:fill="F2F2F2" w:themeFill="background1" w:themeFillShade="F2"/>
          </w:tcPr>
          <w:p w:rsidR="00F466FC" w:rsidRDefault="002823D5" w:rsidP="002823D5">
            <w:pPr>
              <w:rPr>
                <w:lang w:eastAsia="cs-CZ"/>
              </w:rPr>
            </w:pPr>
            <w:r>
              <w:rPr>
                <w:lang w:eastAsia="cs-CZ"/>
              </w:rPr>
              <w:t>K řešení očekávaných potřeb v oblasti bezpečnosti mohou přispět i některé silné obory BV v ČR identifikované v předcházejících analýzách. ČR má poměrně dobro</w:t>
            </w:r>
            <w:r w:rsidR="00615568">
              <w:rPr>
                <w:lang w:eastAsia="cs-CZ"/>
              </w:rPr>
              <w:t>u</w:t>
            </w:r>
            <w:r>
              <w:rPr>
                <w:lang w:eastAsia="cs-CZ"/>
              </w:rPr>
              <w:t xml:space="preserve"> pozici v BV v oblasti informačních a komunikačních technologií, které se mohou uplatnit v řešení významných potřeb v oblasti bezpečnosti.</w:t>
            </w:r>
          </w:p>
          <w:p w:rsidR="00756A9C" w:rsidRDefault="000B60CC" w:rsidP="000B60CC">
            <w:pPr>
              <w:rPr>
                <w:lang w:eastAsia="cs-CZ"/>
              </w:rPr>
            </w:pPr>
            <w:r w:rsidRPr="000B60CC">
              <w:rPr>
                <w:lang w:eastAsia="cs-CZ"/>
              </w:rPr>
              <w:t>K řešení bezpečnostních potřeb mohou</w:t>
            </w:r>
            <w:r>
              <w:rPr>
                <w:lang w:eastAsia="cs-CZ"/>
              </w:rPr>
              <w:t xml:space="preserve"> přispět i další silné obory BV, jako jsou </w:t>
            </w:r>
            <w:r w:rsidRPr="000B60CC">
              <w:rPr>
                <w:lang w:eastAsia="cs-CZ"/>
              </w:rPr>
              <w:t xml:space="preserve">sociální vědy, průmyslové obory </w:t>
            </w:r>
            <w:r>
              <w:rPr>
                <w:lang w:eastAsia="cs-CZ"/>
              </w:rPr>
              <w:t xml:space="preserve">a </w:t>
            </w:r>
            <w:r w:rsidRPr="000B60CC">
              <w:rPr>
                <w:lang w:eastAsia="cs-CZ"/>
              </w:rPr>
              <w:t>chemie</w:t>
            </w:r>
            <w:r>
              <w:rPr>
                <w:lang w:eastAsia="cs-CZ"/>
              </w:rPr>
              <w:t>. N</w:t>
            </w:r>
            <w:r w:rsidRPr="000B60CC">
              <w:rPr>
                <w:lang w:eastAsia="cs-CZ"/>
              </w:rPr>
              <w:t xml:space="preserve">ěkteré </w:t>
            </w:r>
            <w:r>
              <w:rPr>
                <w:lang w:eastAsia="cs-CZ"/>
              </w:rPr>
              <w:t xml:space="preserve">očekávané </w:t>
            </w:r>
            <w:r w:rsidRPr="000B60CC">
              <w:rPr>
                <w:lang w:eastAsia="cs-CZ"/>
              </w:rPr>
              <w:t xml:space="preserve">potřeby </w:t>
            </w:r>
            <w:r>
              <w:rPr>
                <w:lang w:eastAsia="cs-CZ"/>
              </w:rPr>
              <w:t>v oblasti bezpečnosti bud</w:t>
            </w:r>
            <w:r w:rsidRPr="000B60CC">
              <w:rPr>
                <w:lang w:eastAsia="cs-CZ"/>
              </w:rPr>
              <w:t xml:space="preserve">e vhodné řešit v </w:t>
            </w:r>
            <w:r>
              <w:rPr>
                <w:lang w:eastAsia="cs-CZ"/>
              </w:rPr>
              <w:t>mezinárodní výzkumné spolupráci (například vytěžování dat, analýzu a predikci hrozeb či metody identifikace osob a věcí.</w:t>
            </w:r>
          </w:p>
        </w:tc>
      </w:tr>
    </w:tbl>
    <w:p w:rsidR="009513E8" w:rsidRDefault="00F466FC" w:rsidP="00E91104">
      <w:pPr>
        <w:rPr>
          <w:lang w:eastAsia="cs-CZ"/>
        </w:rPr>
      </w:pPr>
      <w:r>
        <w:rPr>
          <w:lang w:eastAsia="cs-CZ"/>
        </w:rPr>
        <w:t xml:space="preserve">Silné obory BV identifikované z analýzy programů BV, analýzy jejich výsledků a analýzy mezinárodní spolupráce v bezpečnostně zaměřeném výzkumu mohou napomoci řešení některých očekávaných potřeb v oblasti bezpečnosti. Jak je patrné z </w:t>
      </w:r>
      <w:r>
        <w:rPr>
          <w:lang w:eastAsia="cs-CZ"/>
        </w:rPr>
        <w:fldChar w:fldCharType="begin"/>
      </w:r>
      <w:r>
        <w:rPr>
          <w:lang w:eastAsia="cs-CZ"/>
        </w:rPr>
        <w:instrText xml:space="preserve"> REF  _Ref454195247 \* Lower \h  \* MERGEFORMAT </w:instrText>
      </w:r>
      <w:r>
        <w:rPr>
          <w:lang w:eastAsia="cs-CZ"/>
        </w:rPr>
      </w:r>
      <w:r>
        <w:rPr>
          <w:lang w:eastAsia="cs-CZ"/>
        </w:rPr>
        <w:fldChar w:fldCharType="separate"/>
      </w:r>
      <w:r w:rsidR="003F08E5">
        <w:t xml:space="preserve">tab. </w:t>
      </w:r>
      <w:r w:rsidR="003F08E5">
        <w:rPr>
          <w:noProof/>
        </w:rPr>
        <w:t>49</w:t>
      </w:r>
      <w:r>
        <w:rPr>
          <w:lang w:eastAsia="cs-CZ"/>
        </w:rPr>
        <w:fldChar w:fldCharType="end"/>
      </w:r>
      <w:r>
        <w:rPr>
          <w:lang w:eastAsia="cs-CZ"/>
        </w:rPr>
        <w:t>, poměrně významná část zájmových oblastí, které jsou na předních místech v pořadí podle důležitosti, souvisí informačními a komunikačními technologiem</w:t>
      </w:r>
      <w:r w:rsidR="00005CCB">
        <w:rPr>
          <w:lang w:eastAsia="cs-CZ"/>
        </w:rPr>
        <w:t xml:space="preserve">i. Pro řešení těchto očekávaných potřeb (jedná se například o technologická protiopatření a prostředky ochrany informací, vytěžování elektronických zdrojů dat a analýzu škodlivých kódů a budování a automatizované zpracování evidencí a databází) má ČR dobré předpoklady, neboť ICT </w:t>
      </w:r>
      <w:r>
        <w:rPr>
          <w:lang w:eastAsia="cs-CZ"/>
        </w:rPr>
        <w:t>představují jeden z velmi silných oborů BV v ČR na národní i mezinárodní úrovni</w:t>
      </w:r>
      <w:r w:rsidR="00005CCB">
        <w:rPr>
          <w:lang w:eastAsia="cs-CZ"/>
        </w:rPr>
        <w:t xml:space="preserve"> (viz kap. </w:t>
      </w:r>
      <w:r w:rsidR="00005CCB">
        <w:rPr>
          <w:lang w:eastAsia="cs-CZ"/>
        </w:rPr>
        <w:fldChar w:fldCharType="begin"/>
      </w:r>
      <w:r w:rsidR="00005CCB">
        <w:rPr>
          <w:lang w:eastAsia="cs-CZ"/>
        </w:rPr>
        <w:instrText xml:space="preserve"> REF _Ref454285163 \r \h </w:instrText>
      </w:r>
      <w:r w:rsidR="00005CCB">
        <w:rPr>
          <w:lang w:eastAsia="cs-CZ"/>
        </w:rPr>
      </w:r>
      <w:r w:rsidR="00005CCB">
        <w:rPr>
          <w:lang w:eastAsia="cs-CZ"/>
        </w:rPr>
        <w:fldChar w:fldCharType="separate"/>
      </w:r>
      <w:r w:rsidR="003F08E5">
        <w:rPr>
          <w:lang w:eastAsia="cs-CZ"/>
        </w:rPr>
        <w:t>3.6.1</w:t>
      </w:r>
      <w:r w:rsidR="00005CCB">
        <w:rPr>
          <w:lang w:eastAsia="cs-CZ"/>
        </w:rPr>
        <w:fldChar w:fldCharType="end"/>
      </w:r>
      <w:r w:rsidR="00005CCB">
        <w:rPr>
          <w:lang w:eastAsia="cs-CZ"/>
        </w:rPr>
        <w:t xml:space="preserve"> a </w:t>
      </w:r>
      <w:r w:rsidR="00005CCB">
        <w:rPr>
          <w:lang w:eastAsia="cs-CZ"/>
        </w:rPr>
        <w:fldChar w:fldCharType="begin"/>
      </w:r>
      <w:r w:rsidR="00005CCB">
        <w:rPr>
          <w:lang w:eastAsia="cs-CZ"/>
        </w:rPr>
        <w:instrText xml:space="preserve"> REF _Ref449971994 \r \h </w:instrText>
      </w:r>
      <w:r w:rsidR="00005CCB">
        <w:rPr>
          <w:lang w:eastAsia="cs-CZ"/>
        </w:rPr>
      </w:r>
      <w:r w:rsidR="00005CCB">
        <w:rPr>
          <w:lang w:eastAsia="cs-CZ"/>
        </w:rPr>
        <w:fldChar w:fldCharType="separate"/>
      </w:r>
      <w:r w:rsidR="003F08E5">
        <w:rPr>
          <w:lang w:eastAsia="cs-CZ"/>
        </w:rPr>
        <w:t>0</w:t>
      </w:r>
      <w:r w:rsidR="00005CCB">
        <w:rPr>
          <w:lang w:eastAsia="cs-CZ"/>
        </w:rPr>
        <w:fldChar w:fldCharType="end"/>
      </w:r>
      <w:r w:rsidR="00005CCB">
        <w:rPr>
          <w:lang w:eastAsia="cs-CZ"/>
        </w:rPr>
        <w:t>)</w:t>
      </w:r>
      <w:r w:rsidR="00E91104">
        <w:rPr>
          <w:lang w:eastAsia="cs-CZ"/>
        </w:rPr>
        <w:t>.</w:t>
      </w:r>
      <w:r w:rsidR="002823D5">
        <w:rPr>
          <w:lang w:eastAsia="cs-CZ"/>
        </w:rPr>
        <w:t xml:space="preserve"> Oblast kybernetické bezpečnosti také patří mezi oblasti s vyšším počtem patentových přihlášek, a jsou zde tedy i předpoklady pro realizaci výsledků VaV v praxi.</w:t>
      </w:r>
    </w:p>
    <w:p w:rsidR="009513E8" w:rsidRDefault="002823D5" w:rsidP="00FB0584">
      <w:pPr>
        <w:rPr>
          <w:lang w:eastAsia="cs-CZ"/>
        </w:rPr>
      </w:pPr>
      <w:r>
        <w:rPr>
          <w:lang w:eastAsia="cs-CZ"/>
        </w:rPr>
        <w:t xml:space="preserve">K řešení bezpečnostních potřeb mohou přispět i další silné obory BV. Významnou roli by měly mít </w:t>
      </w:r>
      <w:r w:rsidR="00005CCB">
        <w:rPr>
          <w:lang w:eastAsia="cs-CZ"/>
        </w:rPr>
        <w:t xml:space="preserve">silné obory, jako jsou </w:t>
      </w:r>
      <w:r>
        <w:rPr>
          <w:lang w:eastAsia="cs-CZ"/>
        </w:rPr>
        <w:t>sociální vědy</w:t>
      </w:r>
      <w:r w:rsidR="00E14533">
        <w:rPr>
          <w:lang w:eastAsia="cs-CZ"/>
        </w:rPr>
        <w:t xml:space="preserve"> (a</w:t>
      </w:r>
      <w:r w:rsidR="00E14533" w:rsidRPr="00E14533">
        <w:rPr>
          <w:lang w:eastAsia="cs-CZ"/>
        </w:rPr>
        <w:t xml:space="preserve">nalýza </w:t>
      </w:r>
      <w:r w:rsidR="00E14533">
        <w:rPr>
          <w:lang w:eastAsia="cs-CZ"/>
        </w:rPr>
        <w:t>a</w:t>
      </w:r>
      <w:r w:rsidR="00E14533" w:rsidRPr="00E14533">
        <w:rPr>
          <w:lang w:eastAsia="cs-CZ"/>
        </w:rPr>
        <w:t xml:space="preserve"> predikce hrozeb a rizik</w:t>
      </w:r>
      <w:r w:rsidR="00E14533">
        <w:rPr>
          <w:lang w:eastAsia="cs-CZ"/>
        </w:rPr>
        <w:t>, krizová komunikace)</w:t>
      </w:r>
      <w:r>
        <w:rPr>
          <w:lang w:eastAsia="cs-CZ"/>
        </w:rPr>
        <w:t xml:space="preserve">, průmyslové </w:t>
      </w:r>
      <w:r w:rsidR="00E14533">
        <w:rPr>
          <w:lang w:eastAsia="cs-CZ"/>
        </w:rPr>
        <w:t>obory (například p</w:t>
      </w:r>
      <w:r w:rsidR="00E14533" w:rsidRPr="00E14533">
        <w:rPr>
          <w:lang w:eastAsia="cs-CZ"/>
        </w:rPr>
        <w:t>rostředky technických operací proti zájmovým budovám a sítím</w:t>
      </w:r>
      <w:r w:rsidR="00005CCB">
        <w:rPr>
          <w:lang w:eastAsia="cs-CZ"/>
        </w:rPr>
        <w:t>)</w:t>
      </w:r>
      <w:r w:rsidR="00E14533">
        <w:rPr>
          <w:lang w:eastAsia="cs-CZ"/>
        </w:rPr>
        <w:t>, chemie (m</w:t>
      </w:r>
      <w:r w:rsidR="00E14533" w:rsidRPr="00E14533">
        <w:rPr>
          <w:lang w:eastAsia="cs-CZ"/>
        </w:rPr>
        <w:t>onitoring kontrolovaných a nebezpečných látek</w:t>
      </w:r>
      <w:r w:rsidR="00E14533">
        <w:rPr>
          <w:lang w:eastAsia="cs-CZ"/>
        </w:rPr>
        <w:t>).</w:t>
      </w:r>
    </w:p>
    <w:p w:rsidR="007E56B2" w:rsidRDefault="007E56B2" w:rsidP="00FB0584">
      <w:pPr>
        <w:rPr>
          <w:lang w:eastAsia="cs-CZ"/>
        </w:rPr>
      </w:pPr>
      <w:r>
        <w:rPr>
          <w:lang w:eastAsia="cs-CZ"/>
        </w:rPr>
        <w:t xml:space="preserve">Jak vyplývá z odpovědí expertů účastnících se workshopu (viz kap. </w:t>
      </w:r>
      <w:r>
        <w:fldChar w:fldCharType="begin"/>
      </w:r>
      <w:r>
        <w:instrText xml:space="preserve"> REF _Ref454291434 \r \h </w:instrText>
      </w:r>
      <w:r>
        <w:fldChar w:fldCharType="separate"/>
      </w:r>
      <w:r w:rsidR="003F08E5">
        <w:t>3.6.3</w:t>
      </w:r>
      <w:r>
        <w:fldChar w:fldCharType="end"/>
      </w:r>
      <w:r>
        <w:t>)</w:t>
      </w:r>
      <w:r>
        <w:rPr>
          <w:lang w:eastAsia="cs-CZ"/>
        </w:rPr>
        <w:t>, některé potřeby je vhodné řešit v mezinárodní výzkumné spolupráci. Z očekávaných potřeb s vysokou důležitostí se jedná o v</w:t>
      </w:r>
      <w:r w:rsidRPr="007E56B2">
        <w:rPr>
          <w:lang w:eastAsia="cs-CZ"/>
        </w:rPr>
        <w:t>ytěžování elektronických zdrojů dat a analýz</w:t>
      </w:r>
      <w:r w:rsidR="00005CCB">
        <w:rPr>
          <w:lang w:eastAsia="cs-CZ"/>
        </w:rPr>
        <w:t>u</w:t>
      </w:r>
      <w:r w:rsidRPr="007E56B2">
        <w:rPr>
          <w:lang w:eastAsia="cs-CZ"/>
        </w:rPr>
        <w:t xml:space="preserve"> škodlivých kódů</w:t>
      </w:r>
      <w:r>
        <w:rPr>
          <w:lang w:eastAsia="cs-CZ"/>
        </w:rPr>
        <w:t>, a</w:t>
      </w:r>
      <w:r w:rsidRPr="007E56B2">
        <w:rPr>
          <w:lang w:eastAsia="cs-CZ"/>
        </w:rPr>
        <w:t>nalýz</w:t>
      </w:r>
      <w:r>
        <w:rPr>
          <w:lang w:eastAsia="cs-CZ"/>
        </w:rPr>
        <w:t>u</w:t>
      </w:r>
      <w:r w:rsidRPr="007E56B2">
        <w:rPr>
          <w:lang w:eastAsia="cs-CZ"/>
        </w:rPr>
        <w:t xml:space="preserve"> </w:t>
      </w:r>
      <w:r>
        <w:rPr>
          <w:lang w:eastAsia="cs-CZ"/>
        </w:rPr>
        <w:t>a</w:t>
      </w:r>
      <w:r w:rsidRPr="007E56B2">
        <w:rPr>
          <w:lang w:eastAsia="cs-CZ"/>
        </w:rPr>
        <w:t xml:space="preserve"> predikc</w:t>
      </w:r>
      <w:r>
        <w:rPr>
          <w:lang w:eastAsia="cs-CZ"/>
        </w:rPr>
        <w:t>i</w:t>
      </w:r>
      <w:r w:rsidRPr="007E56B2">
        <w:rPr>
          <w:lang w:eastAsia="cs-CZ"/>
        </w:rPr>
        <w:t xml:space="preserve"> hrozeb a rizik</w:t>
      </w:r>
      <w:r>
        <w:rPr>
          <w:lang w:eastAsia="cs-CZ"/>
        </w:rPr>
        <w:t>, n</w:t>
      </w:r>
      <w:r w:rsidRPr="007E56B2">
        <w:rPr>
          <w:lang w:eastAsia="cs-CZ"/>
        </w:rPr>
        <w:t>ové a pokročilé metody identifikace osob a věcí</w:t>
      </w:r>
      <w:r>
        <w:rPr>
          <w:lang w:eastAsia="cs-CZ"/>
        </w:rPr>
        <w:t xml:space="preserve"> a m</w:t>
      </w:r>
      <w:r w:rsidRPr="007E56B2">
        <w:rPr>
          <w:lang w:eastAsia="cs-CZ"/>
        </w:rPr>
        <w:t>onitoring kontrolovaných a nebezpečných látek</w:t>
      </w:r>
      <w:r>
        <w:rPr>
          <w:lang w:eastAsia="cs-CZ"/>
        </w:rPr>
        <w:t>.</w:t>
      </w:r>
    </w:p>
    <w:p w:rsidR="007E56B2" w:rsidRDefault="007E56B2" w:rsidP="00FB0584">
      <w:pPr>
        <w:rPr>
          <w:lang w:eastAsia="cs-CZ"/>
        </w:rPr>
      </w:pPr>
    </w:p>
    <w:p w:rsidR="009C295A" w:rsidRDefault="009C295A" w:rsidP="009C295A">
      <w:pPr>
        <w:pStyle w:val="Nadpis2"/>
      </w:pPr>
      <w:bookmarkStart w:id="192" w:name="_Toc459723315"/>
      <w:r w:rsidRPr="009C295A">
        <w:t>Tematické trendy bezpečnostního výzkumu v silných oborech české vědy</w:t>
      </w:r>
      <w:bookmarkEnd w:id="192"/>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9354"/>
      </w:tblGrid>
      <w:tr w:rsidR="00E45112" w:rsidTr="00C74660">
        <w:tc>
          <w:tcPr>
            <w:tcW w:w="9354" w:type="dxa"/>
            <w:shd w:val="clear" w:color="auto" w:fill="F2F2F2" w:themeFill="background1" w:themeFillShade="F2"/>
          </w:tcPr>
          <w:p w:rsidR="00D41734" w:rsidRDefault="00E45112" w:rsidP="00E45112">
            <w:pPr>
              <w:rPr>
                <w:lang w:eastAsia="cs-CZ"/>
              </w:rPr>
            </w:pPr>
            <w:r w:rsidRPr="009E4F75">
              <w:rPr>
                <w:lang w:eastAsia="cs-CZ"/>
              </w:rPr>
              <w:t>Mezi širší trendy, které podle mínění expertů zásadně ovlivní zaměření bezpečnostního výzkumu v ČR do roku 2025, patří</w:t>
            </w:r>
            <w:r w:rsidR="00D41734">
              <w:rPr>
                <w:lang w:eastAsia="cs-CZ"/>
              </w:rPr>
              <w:t>:</w:t>
            </w:r>
          </w:p>
          <w:p w:rsidR="00D41734" w:rsidRDefault="00E45112" w:rsidP="00D41734">
            <w:pPr>
              <w:pStyle w:val="Odstavecseseznamem"/>
              <w:numPr>
                <w:ilvl w:val="0"/>
                <w:numId w:val="3"/>
              </w:numPr>
              <w:spacing w:before="60" w:after="60"/>
              <w:ind w:left="714" w:hanging="357"/>
              <w:contextualSpacing w:val="0"/>
              <w:rPr>
                <w:lang w:eastAsia="cs-CZ"/>
              </w:rPr>
            </w:pPr>
            <w:r w:rsidRPr="00D41734">
              <w:rPr>
                <w:lang w:eastAsia="cs-CZ"/>
              </w:rPr>
              <w:t>Posilování kyberbezpečnosti</w:t>
            </w:r>
            <w:r w:rsidR="00D41734">
              <w:rPr>
                <w:lang w:eastAsia="cs-CZ"/>
              </w:rPr>
              <w:t>;</w:t>
            </w:r>
          </w:p>
          <w:p w:rsidR="00D41734" w:rsidRDefault="00E45112" w:rsidP="00D41734">
            <w:pPr>
              <w:pStyle w:val="Odstavecseseznamem"/>
              <w:numPr>
                <w:ilvl w:val="0"/>
                <w:numId w:val="3"/>
              </w:numPr>
              <w:spacing w:before="60" w:after="60"/>
              <w:ind w:left="714" w:hanging="357"/>
              <w:contextualSpacing w:val="0"/>
              <w:rPr>
                <w:lang w:eastAsia="cs-CZ"/>
              </w:rPr>
            </w:pPr>
            <w:r w:rsidRPr="00D41734">
              <w:rPr>
                <w:lang w:eastAsia="cs-CZ"/>
              </w:rPr>
              <w:t>Migrace, radikalizace, terorismus – reakce na růst hrozeb</w:t>
            </w:r>
            <w:r w:rsidR="00D41734">
              <w:rPr>
                <w:lang w:eastAsia="cs-CZ"/>
              </w:rPr>
              <w:t>;</w:t>
            </w:r>
          </w:p>
          <w:p w:rsidR="00D41734" w:rsidRDefault="00E45112" w:rsidP="00D41734">
            <w:pPr>
              <w:pStyle w:val="Odstavecseseznamem"/>
              <w:numPr>
                <w:ilvl w:val="0"/>
                <w:numId w:val="3"/>
              </w:numPr>
              <w:spacing w:before="60" w:after="60"/>
              <w:ind w:left="714" w:hanging="357"/>
              <w:contextualSpacing w:val="0"/>
              <w:rPr>
                <w:lang w:eastAsia="cs-CZ"/>
              </w:rPr>
            </w:pPr>
            <w:r w:rsidRPr="00D41734">
              <w:rPr>
                <w:lang w:eastAsia="cs-CZ"/>
              </w:rPr>
              <w:t>Posilování kooperace a součinnosti</w:t>
            </w:r>
            <w:r w:rsidR="00D41734">
              <w:rPr>
                <w:lang w:eastAsia="cs-CZ"/>
              </w:rPr>
              <w:t>;</w:t>
            </w:r>
          </w:p>
          <w:p w:rsidR="00E45112" w:rsidRDefault="00E45112" w:rsidP="00D41734">
            <w:pPr>
              <w:pStyle w:val="Odstavecseseznamem"/>
              <w:numPr>
                <w:ilvl w:val="0"/>
                <w:numId w:val="3"/>
              </w:numPr>
              <w:spacing w:before="60" w:after="60"/>
              <w:ind w:left="714" w:hanging="357"/>
              <w:contextualSpacing w:val="0"/>
              <w:rPr>
                <w:lang w:eastAsia="cs-CZ"/>
              </w:rPr>
            </w:pPr>
            <w:r w:rsidRPr="00D41734">
              <w:rPr>
                <w:lang w:eastAsia="cs-CZ"/>
              </w:rPr>
              <w:t>Osvěta a vzdělávání v branně bezpečnostní problematice.</w:t>
            </w:r>
          </w:p>
          <w:p w:rsidR="009C6CB7" w:rsidRPr="00D41734" w:rsidRDefault="009159A3" w:rsidP="00597B96">
            <w:pPr>
              <w:spacing w:before="60" w:after="60"/>
              <w:rPr>
                <w:lang w:eastAsia="cs-CZ"/>
              </w:rPr>
            </w:pPr>
            <w:r>
              <w:rPr>
                <w:lang w:eastAsia="cs-CZ"/>
              </w:rPr>
              <w:t xml:space="preserve">Jak vyplývá z porovnání silných témat BV a těchto trendů, ČR má předpoklady pro řešení </w:t>
            </w:r>
            <w:r w:rsidR="00005CCB">
              <w:rPr>
                <w:lang w:eastAsia="cs-CZ"/>
              </w:rPr>
              <w:t xml:space="preserve">očekávaných výzev </w:t>
            </w:r>
            <w:r>
              <w:rPr>
                <w:lang w:eastAsia="cs-CZ"/>
              </w:rPr>
              <w:t xml:space="preserve">zejména v oblasti kybernetické bezpečnosti i </w:t>
            </w:r>
            <w:r w:rsidR="00005CCB">
              <w:rPr>
                <w:lang w:eastAsia="cs-CZ"/>
              </w:rPr>
              <w:t xml:space="preserve">rizik </w:t>
            </w:r>
            <w:r w:rsidR="00647088">
              <w:rPr>
                <w:lang w:eastAsia="cs-CZ"/>
              </w:rPr>
              <w:t>souvis</w:t>
            </w:r>
            <w:r w:rsidR="00005CCB">
              <w:rPr>
                <w:lang w:eastAsia="cs-CZ"/>
              </w:rPr>
              <w:t>ejících</w:t>
            </w:r>
            <w:r w:rsidR="00647088">
              <w:rPr>
                <w:lang w:eastAsia="cs-CZ"/>
              </w:rPr>
              <w:t xml:space="preserve"> s m</w:t>
            </w:r>
            <w:r w:rsidR="00647088" w:rsidRPr="00647088">
              <w:rPr>
                <w:lang w:eastAsia="cs-CZ"/>
              </w:rPr>
              <w:t>igrac</w:t>
            </w:r>
            <w:r w:rsidR="00647088">
              <w:rPr>
                <w:lang w:eastAsia="cs-CZ"/>
              </w:rPr>
              <w:t>í</w:t>
            </w:r>
            <w:r w:rsidR="00647088" w:rsidRPr="00647088">
              <w:rPr>
                <w:lang w:eastAsia="cs-CZ"/>
              </w:rPr>
              <w:t>, radikalizac</w:t>
            </w:r>
            <w:r w:rsidR="00647088">
              <w:rPr>
                <w:lang w:eastAsia="cs-CZ"/>
              </w:rPr>
              <w:t>í a terorismem.</w:t>
            </w:r>
          </w:p>
        </w:tc>
      </w:tr>
    </w:tbl>
    <w:p w:rsidR="00FB0584" w:rsidRDefault="00C74660" w:rsidP="00FB0584">
      <w:pPr>
        <w:rPr>
          <w:lang w:eastAsia="cs-CZ"/>
        </w:rPr>
      </w:pPr>
      <w:r>
        <w:rPr>
          <w:lang w:eastAsia="cs-CZ"/>
        </w:rPr>
        <w:t xml:space="preserve">Experti byli v rámci workshopu také požádáni o </w:t>
      </w:r>
      <w:r w:rsidR="00B265D1">
        <w:rPr>
          <w:lang w:eastAsia="cs-CZ"/>
        </w:rPr>
        <w:t>s</w:t>
      </w:r>
      <w:r w:rsidR="005E41A5">
        <w:rPr>
          <w:lang w:eastAsia="cs-CZ"/>
        </w:rPr>
        <w:t>t</w:t>
      </w:r>
      <w:r w:rsidR="00B265D1">
        <w:rPr>
          <w:lang w:eastAsia="cs-CZ"/>
        </w:rPr>
        <w:t xml:space="preserve">anovení </w:t>
      </w:r>
      <w:r w:rsidR="005E41A5">
        <w:rPr>
          <w:lang w:eastAsia="cs-CZ"/>
        </w:rPr>
        <w:t>trendů, které budou zásadně ovlivňovat zaměření bezpečnostního výzkumu v ĆR v období do roku 2025</w:t>
      </w:r>
      <w:r w:rsidR="00B265D1">
        <w:rPr>
          <w:lang w:eastAsia="cs-CZ"/>
        </w:rPr>
        <w:t>.</w:t>
      </w:r>
      <w:r w:rsidR="00FB0584">
        <w:rPr>
          <w:lang w:eastAsia="cs-CZ"/>
        </w:rPr>
        <w:t xml:space="preserve"> Z </w:t>
      </w:r>
      <w:r w:rsidR="005E41A5">
        <w:rPr>
          <w:lang w:eastAsia="cs-CZ"/>
        </w:rPr>
        <w:t>jejich</w:t>
      </w:r>
      <w:r w:rsidR="00FB0584">
        <w:rPr>
          <w:lang w:eastAsia="cs-CZ"/>
        </w:rPr>
        <w:t xml:space="preserve"> návrhu vykrystalizovala řada dílčích trendů, </w:t>
      </w:r>
      <w:r w:rsidR="00F83B14">
        <w:rPr>
          <w:lang w:eastAsia="cs-CZ"/>
        </w:rPr>
        <w:t>jeji</w:t>
      </w:r>
      <w:r w:rsidR="00FB0584">
        <w:rPr>
          <w:lang w:eastAsia="cs-CZ"/>
        </w:rPr>
        <w:t>chž větší část bylo možné seskupit do čtyř širších trendů</w:t>
      </w:r>
      <w:r>
        <w:rPr>
          <w:lang w:eastAsia="cs-CZ"/>
        </w:rPr>
        <w:t>. Z</w:t>
      </w:r>
      <w:r w:rsidR="00FB0584">
        <w:rPr>
          <w:lang w:eastAsia="cs-CZ"/>
        </w:rPr>
        <w:t>b</w:t>
      </w:r>
      <w:r>
        <w:rPr>
          <w:lang w:eastAsia="cs-CZ"/>
        </w:rPr>
        <w:t>ývající část</w:t>
      </w:r>
      <w:r w:rsidR="00FB0584">
        <w:rPr>
          <w:lang w:eastAsia="cs-CZ"/>
        </w:rPr>
        <w:t xml:space="preserve"> naopak představuje tematicky poměrně úzce vymezené specializované dílčí trendy (viz </w:t>
      </w:r>
      <w:r w:rsidR="00FB0584">
        <w:rPr>
          <w:lang w:eastAsia="cs-CZ"/>
        </w:rPr>
        <w:fldChar w:fldCharType="begin"/>
      </w:r>
      <w:r w:rsidR="00FB0584">
        <w:rPr>
          <w:lang w:eastAsia="cs-CZ"/>
        </w:rPr>
        <w:instrText xml:space="preserve"> REF  _Ref454196068 \* Lower \h  \* MERGEFORMAT </w:instrText>
      </w:r>
      <w:r w:rsidR="00FB0584">
        <w:rPr>
          <w:lang w:eastAsia="cs-CZ"/>
        </w:rPr>
      </w:r>
      <w:r w:rsidR="00FB0584">
        <w:rPr>
          <w:lang w:eastAsia="cs-CZ"/>
        </w:rPr>
        <w:fldChar w:fldCharType="separate"/>
      </w:r>
      <w:r w:rsidR="003F08E5">
        <w:t xml:space="preserve">tab. </w:t>
      </w:r>
      <w:r w:rsidR="003F08E5">
        <w:rPr>
          <w:noProof/>
        </w:rPr>
        <w:t>50</w:t>
      </w:r>
      <w:r w:rsidR="00FB0584">
        <w:rPr>
          <w:lang w:eastAsia="cs-CZ"/>
        </w:rPr>
        <w:fldChar w:fldCharType="end"/>
      </w:r>
      <w:r>
        <w:rPr>
          <w:lang w:eastAsia="cs-CZ"/>
        </w:rPr>
        <w:t xml:space="preserve">). </w:t>
      </w:r>
    </w:p>
    <w:p w:rsidR="00C74660" w:rsidRDefault="00C74660" w:rsidP="00FB0584">
      <w:pPr>
        <w:rPr>
          <w:lang w:eastAsia="cs-CZ"/>
        </w:rPr>
      </w:pPr>
      <w:r>
        <w:rPr>
          <w:lang w:eastAsia="cs-CZ"/>
        </w:rPr>
        <w:t xml:space="preserve">Porovnáme-li silná témata (resp. obory), které vyplynuly z analýzy </w:t>
      </w:r>
      <w:r w:rsidR="00F83B14">
        <w:rPr>
          <w:lang w:eastAsia="cs-CZ"/>
        </w:rPr>
        <w:t xml:space="preserve">programů </w:t>
      </w:r>
      <w:r>
        <w:rPr>
          <w:lang w:eastAsia="cs-CZ"/>
        </w:rPr>
        <w:t xml:space="preserve">BV v gesci MV, bibliometrické analýzy bezpečnostně zaměřených publikací uvedených v databázi Thomson Reuters Web of Science a analýzy </w:t>
      </w:r>
      <w:r w:rsidR="00E84E93">
        <w:rPr>
          <w:lang w:eastAsia="cs-CZ"/>
        </w:rPr>
        <w:t>ú</w:t>
      </w:r>
      <w:r>
        <w:rPr>
          <w:lang w:eastAsia="cs-CZ"/>
        </w:rPr>
        <w:t>čast</w:t>
      </w:r>
      <w:r w:rsidR="00E84E93">
        <w:rPr>
          <w:lang w:eastAsia="cs-CZ"/>
        </w:rPr>
        <w:t>i</w:t>
      </w:r>
      <w:r>
        <w:rPr>
          <w:lang w:eastAsia="cs-CZ"/>
        </w:rPr>
        <w:t xml:space="preserve"> subjektů z ČR v mezinárodních programech VaV (viz </w:t>
      </w:r>
      <w:r w:rsidR="00E84E93">
        <w:rPr>
          <w:lang w:eastAsia="cs-CZ"/>
        </w:rPr>
        <w:t xml:space="preserve">kap. </w:t>
      </w:r>
      <w:r w:rsidR="00E84E93">
        <w:rPr>
          <w:lang w:eastAsia="cs-CZ"/>
        </w:rPr>
        <w:fldChar w:fldCharType="begin"/>
      </w:r>
      <w:r w:rsidR="00E84E93">
        <w:rPr>
          <w:lang w:eastAsia="cs-CZ"/>
        </w:rPr>
        <w:instrText xml:space="preserve"> REF _Ref454285163 \r \h </w:instrText>
      </w:r>
      <w:r w:rsidR="00E84E93">
        <w:rPr>
          <w:lang w:eastAsia="cs-CZ"/>
        </w:rPr>
      </w:r>
      <w:r w:rsidR="00E84E93">
        <w:rPr>
          <w:lang w:eastAsia="cs-CZ"/>
        </w:rPr>
        <w:fldChar w:fldCharType="separate"/>
      </w:r>
      <w:r w:rsidR="003F08E5">
        <w:rPr>
          <w:lang w:eastAsia="cs-CZ"/>
        </w:rPr>
        <w:t>3.6.1</w:t>
      </w:r>
      <w:r w:rsidR="00E84E93">
        <w:rPr>
          <w:lang w:eastAsia="cs-CZ"/>
        </w:rPr>
        <w:fldChar w:fldCharType="end"/>
      </w:r>
      <w:r w:rsidR="00E84E93">
        <w:rPr>
          <w:lang w:eastAsia="cs-CZ"/>
        </w:rPr>
        <w:t xml:space="preserve"> a </w:t>
      </w:r>
      <w:r w:rsidR="00E84E93">
        <w:rPr>
          <w:lang w:eastAsia="cs-CZ"/>
        </w:rPr>
        <w:fldChar w:fldCharType="begin"/>
      </w:r>
      <w:r w:rsidR="00E84E93">
        <w:rPr>
          <w:lang w:eastAsia="cs-CZ"/>
        </w:rPr>
        <w:instrText xml:space="preserve"> REF _Ref449971994 \r \h </w:instrText>
      </w:r>
      <w:r w:rsidR="00E84E93">
        <w:rPr>
          <w:lang w:eastAsia="cs-CZ"/>
        </w:rPr>
      </w:r>
      <w:r w:rsidR="00E84E93">
        <w:rPr>
          <w:lang w:eastAsia="cs-CZ"/>
        </w:rPr>
        <w:fldChar w:fldCharType="separate"/>
      </w:r>
      <w:r w:rsidR="003F08E5">
        <w:rPr>
          <w:lang w:eastAsia="cs-CZ"/>
        </w:rPr>
        <w:t>0</w:t>
      </w:r>
      <w:r w:rsidR="00E84E93">
        <w:rPr>
          <w:lang w:eastAsia="cs-CZ"/>
        </w:rPr>
        <w:fldChar w:fldCharType="end"/>
      </w:r>
      <w:r>
        <w:rPr>
          <w:lang w:eastAsia="cs-CZ"/>
        </w:rPr>
        <w:t>)</w:t>
      </w:r>
      <w:r w:rsidR="00F83B14">
        <w:rPr>
          <w:lang w:eastAsia="cs-CZ"/>
        </w:rPr>
        <w:t>,</w:t>
      </w:r>
      <w:r w:rsidR="00EA774F">
        <w:rPr>
          <w:lang w:eastAsia="cs-CZ"/>
        </w:rPr>
        <w:t xml:space="preserve"> s přehledem trendů v </w:t>
      </w:r>
      <w:r w:rsidR="00EA774F">
        <w:rPr>
          <w:lang w:eastAsia="cs-CZ"/>
        </w:rPr>
        <w:fldChar w:fldCharType="begin"/>
      </w:r>
      <w:r w:rsidR="00EA774F">
        <w:rPr>
          <w:lang w:eastAsia="cs-CZ"/>
        </w:rPr>
        <w:instrText xml:space="preserve"> REF  _Ref454196068 \* Lower \h  \* MERGEFORMAT </w:instrText>
      </w:r>
      <w:r w:rsidR="00EA774F">
        <w:rPr>
          <w:lang w:eastAsia="cs-CZ"/>
        </w:rPr>
      </w:r>
      <w:r w:rsidR="00EA774F">
        <w:rPr>
          <w:lang w:eastAsia="cs-CZ"/>
        </w:rPr>
        <w:fldChar w:fldCharType="separate"/>
      </w:r>
      <w:r w:rsidR="003F08E5">
        <w:t xml:space="preserve">tab. </w:t>
      </w:r>
      <w:r w:rsidR="003F08E5">
        <w:rPr>
          <w:noProof/>
        </w:rPr>
        <w:t>50</w:t>
      </w:r>
      <w:r w:rsidR="00EA774F">
        <w:rPr>
          <w:lang w:eastAsia="cs-CZ"/>
        </w:rPr>
        <w:fldChar w:fldCharType="end"/>
      </w:r>
      <w:r w:rsidR="00EA774F">
        <w:rPr>
          <w:lang w:eastAsia="cs-CZ"/>
        </w:rPr>
        <w:t>, je zřejmé že ČR má dobré předpoklady zejména v oblasti posilování kyber</w:t>
      </w:r>
      <w:r w:rsidR="00F83B14">
        <w:rPr>
          <w:lang w:eastAsia="cs-CZ"/>
        </w:rPr>
        <w:t xml:space="preserve">netické </w:t>
      </w:r>
      <w:r w:rsidR="00EA774F">
        <w:rPr>
          <w:lang w:eastAsia="cs-CZ"/>
        </w:rPr>
        <w:t xml:space="preserve">bezpečnosti. Informatika představuje silné téma BV </w:t>
      </w:r>
      <w:r w:rsidR="009B0419">
        <w:rPr>
          <w:lang w:eastAsia="cs-CZ"/>
        </w:rPr>
        <w:t>v</w:t>
      </w:r>
      <w:r w:rsidR="00EA774F">
        <w:rPr>
          <w:lang w:eastAsia="cs-CZ"/>
        </w:rPr>
        <w:t xml:space="preserve"> národní</w:t>
      </w:r>
      <w:r w:rsidR="009B0419">
        <w:rPr>
          <w:lang w:eastAsia="cs-CZ"/>
        </w:rPr>
        <w:t>ch</w:t>
      </w:r>
      <w:r w:rsidR="00EA774F">
        <w:rPr>
          <w:lang w:eastAsia="cs-CZ"/>
        </w:rPr>
        <w:t xml:space="preserve"> </w:t>
      </w:r>
      <w:r w:rsidR="009B0419">
        <w:rPr>
          <w:lang w:eastAsia="cs-CZ"/>
        </w:rPr>
        <w:t>programech i mezinárodních bezpečnostně zaměřených programech VaV. Subjekty z ČR jsou aktivní v rámcových programech EU například v oblasti bezpečnosti datových sítí a kritických infrastruktur. Kybernetická bezpečnost patří i mezi oblasti, kde subjekty z ČR (i podniky) mají vyšší počet patentových přihlášek, což znamená, že jsou zde vytvořeny i předpoklady pro realizaci výsledků takto zaměřeného V</w:t>
      </w:r>
      <w:r w:rsidR="00F83B14">
        <w:rPr>
          <w:lang w:eastAsia="cs-CZ"/>
        </w:rPr>
        <w:t>aV</w:t>
      </w:r>
      <w:r w:rsidR="009B0419">
        <w:rPr>
          <w:lang w:eastAsia="cs-CZ"/>
        </w:rPr>
        <w:t xml:space="preserve"> v konkrétních aplikacích.</w:t>
      </w:r>
    </w:p>
    <w:p w:rsidR="009B0419" w:rsidRDefault="009B0419" w:rsidP="00FB0584">
      <w:pPr>
        <w:rPr>
          <w:lang w:eastAsia="cs-CZ"/>
        </w:rPr>
      </w:pPr>
      <w:r>
        <w:rPr>
          <w:lang w:eastAsia="cs-CZ"/>
        </w:rPr>
        <w:t xml:space="preserve">Poměrně dobré předpoklady jsou i pro řešení trendů souvisejících s migrací radikalizací a terorismem. Zde se mohou uplatnit některé </w:t>
      </w:r>
      <w:r w:rsidR="00F83B14">
        <w:rPr>
          <w:lang w:eastAsia="cs-CZ"/>
        </w:rPr>
        <w:t>o</w:t>
      </w:r>
      <w:r>
        <w:rPr>
          <w:lang w:eastAsia="cs-CZ"/>
        </w:rPr>
        <w:t>bory, jako j</w:t>
      </w:r>
      <w:r w:rsidR="009159A3">
        <w:rPr>
          <w:lang w:eastAsia="cs-CZ"/>
        </w:rPr>
        <w:t>sou ICT,</w:t>
      </w:r>
      <w:r>
        <w:rPr>
          <w:lang w:eastAsia="cs-CZ"/>
        </w:rPr>
        <w:t xml:space="preserve"> </w:t>
      </w:r>
      <w:r w:rsidR="009159A3">
        <w:rPr>
          <w:lang w:eastAsia="cs-CZ"/>
        </w:rPr>
        <w:t xml:space="preserve">elektrotechnika a </w:t>
      </w:r>
      <w:r>
        <w:rPr>
          <w:lang w:eastAsia="cs-CZ"/>
        </w:rPr>
        <w:t>elektronika a optoelektronika (monitorování</w:t>
      </w:r>
      <w:r w:rsidR="009159A3">
        <w:rPr>
          <w:lang w:eastAsia="cs-CZ"/>
        </w:rPr>
        <w:t>, ochrana infrastruktur</w:t>
      </w:r>
      <w:r>
        <w:rPr>
          <w:lang w:eastAsia="cs-CZ"/>
        </w:rPr>
        <w:t>), sociální vědy (</w:t>
      </w:r>
      <w:r w:rsidR="009159A3">
        <w:rPr>
          <w:lang w:eastAsia="cs-CZ"/>
        </w:rPr>
        <w:t xml:space="preserve">integrace nehomogenních kultur, odolnost vůči manipulaci apod.). </w:t>
      </w:r>
    </w:p>
    <w:p w:rsidR="009159A3" w:rsidRDefault="009159A3" w:rsidP="00FB0584">
      <w:pPr>
        <w:rPr>
          <w:lang w:eastAsia="cs-CZ"/>
        </w:rPr>
      </w:pPr>
      <w:r>
        <w:rPr>
          <w:lang w:eastAsia="cs-CZ"/>
        </w:rPr>
        <w:t xml:space="preserve">Některé oblasti uvedené v </w:t>
      </w:r>
      <w:r>
        <w:rPr>
          <w:lang w:eastAsia="cs-CZ"/>
        </w:rPr>
        <w:fldChar w:fldCharType="begin"/>
      </w:r>
      <w:r>
        <w:rPr>
          <w:lang w:eastAsia="cs-CZ"/>
        </w:rPr>
        <w:instrText xml:space="preserve"> REF  _Ref454196068 \* Lower \h  \* MERGEFORMAT </w:instrText>
      </w:r>
      <w:r>
        <w:rPr>
          <w:lang w:eastAsia="cs-CZ"/>
        </w:rPr>
      </w:r>
      <w:r>
        <w:rPr>
          <w:lang w:eastAsia="cs-CZ"/>
        </w:rPr>
        <w:fldChar w:fldCharType="separate"/>
      </w:r>
      <w:r w:rsidR="003F08E5">
        <w:t xml:space="preserve">tab. </w:t>
      </w:r>
      <w:r w:rsidR="003F08E5">
        <w:rPr>
          <w:noProof/>
        </w:rPr>
        <w:t>50</w:t>
      </w:r>
      <w:r>
        <w:rPr>
          <w:lang w:eastAsia="cs-CZ"/>
        </w:rPr>
        <w:fldChar w:fldCharType="end"/>
      </w:r>
      <w:r>
        <w:rPr>
          <w:lang w:eastAsia="cs-CZ"/>
        </w:rPr>
        <w:t xml:space="preserve"> by bylo vhodné řešit v mezinárodní spolupráci. Jedná se například o modelování a využití velkých dat, analýzu a predikci rizik, identifikace osob a věcí apod.</w:t>
      </w:r>
    </w:p>
    <w:p w:rsidR="00FB0584" w:rsidRDefault="00FB0584" w:rsidP="00FB0584">
      <w:pPr>
        <w:pStyle w:val="Titulek"/>
        <w:keepNext/>
      </w:pPr>
      <w:bookmarkStart w:id="193" w:name="_Ref454196068"/>
      <w:r>
        <w:t xml:space="preserve">Tab. </w:t>
      </w:r>
      <w:r w:rsidR="00990E2D">
        <w:fldChar w:fldCharType="begin"/>
      </w:r>
      <w:r w:rsidR="00990E2D">
        <w:instrText xml:space="preserve"> SEQ Tab. \* ARABIC </w:instrText>
      </w:r>
      <w:r w:rsidR="00990E2D">
        <w:fldChar w:fldCharType="separate"/>
      </w:r>
      <w:r w:rsidR="003F08E5">
        <w:rPr>
          <w:noProof/>
        </w:rPr>
        <w:t>50</w:t>
      </w:r>
      <w:r w:rsidR="00990E2D">
        <w:rPr>
          <w:noProof/>
        </w:rPr>
        <w:fldChar w:fldCharType="end"/>
      </w:r>
      <w:bookmarkEnd w:id="193"/>
      <w:r>
        <w:tab/>
        <w:t>Trendy, které budou ovlivňovat zaměření bezpečnostního výzkumu v ČR v období do roku 2025</w:t>
      </w:r>
    </w:p>
    <w:tbl>
      <w:tblPr>
        <w:tblW w:w="9436" w:type="dxa"/>
        <w:tblInd w:w="55" w:type="dxa"/>
        <w:tblCellMar>
          <w:left w:w="70" w:type="dxa"/>
          <w:right w:w="70" w:type="dxa"/>
        </w:tblCellMar>
        <w:tblLook w:val="04A0" w:firstRow="1" w:lastRow="0" w:firstColumn="1" w:lastColumn="0" w:noHBand="0" w:noVBand="1"/>
      </w:tblPr>
      <w:tblGrid>
        <w:gridCol w:w="2236"/>
        <w:gridCol w:w="7200"/>
      </w:tblGrid>
      <w:tr w:rsidR="00FB0584" w:rsidRPr="00FB0584" w:rsidTr="009A180E">
        <w:trPr>
          <w:trHeight w:val="481"/>
        </w:trPr>
        <w:tc>
          <w:tcPr>
            <w:tcW w:w="2236"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rsidR="00FB0584" w:rsidRPr="00FB0584" w:rsidRDefault="00FB0584" w:rsidP="00FB0584">
            <w:pPr>
              <w:spacing w:before="20" w:after="20"/>
              <w:rPr>
                <w:rFonts w:eastAsia="Times New Roman" w:cs="Arial"/>
                <w:b/>
                <w:sz w:val="20"/>
                <w:szCs w:val="20"/>
                <w:lang w:eastAsia="cs-CZ"/>
              </w:rPr>
            </w:pPr>
            <w:r w:rsidRPr="00FB0584">
              <w:rPr>
                <w:rFonts w:eastAsia="Times New Roman" w:cs="Arial"/>
                <w:b/>
                <w:sz w:val="20"/>
                <w:szCs w:val="20"/>
                <w:lang w:eastAsia="cs-CZ"/>
              </w:rPr>
              <w:t>Širší trendy</w:t>
            </w:r>
          </w:p>
        </w:tc>
        <w:tc>
          <w:tcPr>
            <w:tcW w:w="7200"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FB0584" w:rsidRPr="00FB0584" w:rsidRDefault="00FB0584" w:rsidP="00FB0584">
            <w:pPr>
              <w:spacing w:before="20" w:after="20"/>
              <w:rPr>
                <w:rFonts w:eastAsia="Times New Roman" w:cs="Arial"/>
                <w:b/>
                <w:sz w:val="20"/>
                <w:szCs w:val="20"/>
                <w:lang w:eastAsia="cs-CZ"/>
              </w:rPr>
            </w:pPr>
            <w:r w:rsidRPr="00FB0584">
              <w:rPr>
                <w:rFonts w:eastAsia="Times New Roman" w:cs="Arial"/>
                <w:b/>
                <w:sz w:val="20"/>
                <w:szCs w:val="20"/>
                <w:lang w:eastAsia="cs-CZ"/>
              </w:rPr>
              <w:t>Dílčí trendy</w:t>
            </w:r>
          </w:p>
        </w:tc>
      </w:tr>
      <w:tr w:rsidR="00FB0584" w:rsidRPr="00FB0584" w:rsidTr="00FB0584">
        <w:trPr>
          <w:trHeight w:val="300"/>
        </w:trPr>
        <w:tc>
          <w:tcPr>
            <w:tcW w:w="2236" w:type="dxa"/>
            <w:vMerge w:val="restart"/>
            <w:tcBorders>
              <w:top w:val="nil"/>
              <w:left w:val="single" w:sz="4" w:space="0" w:color="auto"/>
              <w:bottom w:val="single" w:sz="4" w:space="0" w:color="auto"/>
              <w:right w:val="single" w:sz="4" w:space="0" w:color="auto"/>
            </w:tcBorders>
            <w:noWrap/>
            <w:vAlign w:val="center"/>
            <w:hideMark/>
          </w:tcPr>
          <w:p w:rsidR="00FB0584" w:rsidRPr="00FB0584" w:rsidRDefault="00FB0584" w:rsidP="00FB0584">
            <w:pPr>
              <w:spacing w:before="20" w:after="20"/>
              <w:jc w:val="center"/>
              <w:rPr>
                <w:rFonts w:eastAsia="Times New Roman" w:cs="Arial"/>
                <w:sz w:val="20"/>
                <w:szCs w:val="20"/>
                <w:lang w:eastAsia="cs-CZ"/>
              </w:rPr>
            </w:pPr>
            <w:r w:rsidRPr="00FB0584">
              <w:rPr>
                <w:rFonts w:eastAsia="Times New Roman" w:cs="Arial"/>
                <w:sz w:val="20"/>
                <w:szCs w:val="20"/>
                <w:lang w:eastAsia="cs-CZ"/>
              </w:rPr>
              <w:t>Posilování kyberbezpečnosti</w:t>
            </w:r>
          </w:p>
        </w:tc>
        <w:tc>
          <w:tcPr>
            <w:tcW w:w="7200" w:type="dxa"/>
            <w:tcBorders>
              <w:top w:val="nil"/>
              <w:left w:val="nil"/>
              <w:bottom w:val="single" w:sz="4" w:space="0" w:color="auto"/>
              <w:right w:val="single" w:sz="4" w:space="0" w:color="auto"/>
            </w:tcBorders>
            <w:noWrap/>
            <w:vAlign w:val="center"/>
            <w:hideMark/>
          </w:tcPr>
          <w:p w:rsidR="00FB0584" w:rsidRPr="00FB0584" w:rsidRDefault="00FB0584" w:rsidP="00FB0584">
            <w:pPr>
              <w:spacing w:before="20" w:after="20"/>
              <w:rPr>
                <w:rFonts w:eastAsia="Times New Roman" w:cs="Arial"/>
                <w:sz w:val="20"/>
                <w:szCs w:val="20"/>
                <w:lang w:eastAsia="cs-CZ"/>
              </w:rPr>
            </w:pPr>
            <w:r w:rsidRPr="00FB0584">
              <w:rPr>
                <w:rFonts w:eastAsia="Times New Roman" w:cs="Arial"/>
                <w:sz w:val="20"/>
                <w:szCs w:val="20"/>
                <w:lang w:eastAsia="cs-CZ"/>
              </w:rPr>
              <w:t>Posilování datové bezpečnosti</w:t>
            </w:r>
          </w:p>
        </w:tc>
      </w:tr>
      <w:tr w:rsidR="00FB0584" w:rsidRPr="00FB0584" w:rsidTr="00FB0584">
        <w:trPr>
          <w:trHeight w:val="300"/>
        </w:trPr>
        <w:tc>
          <w:tcPr>
            <w:tcW w:w="0" w:type="auto"/>
            <w:vMerge/>
            <w:tcBorders>
              <w:top w:val="nil"/>
              <w:left w:val="single" w:sz="4" w:space="0" w:color="auto"/>
              <w:bottom w:val="single" w:sz="4" w:space="0" w:color="auto"/>
              <w:right w:val="single" w:sz="4" w:space="0" w:color="auto"/>
            </w:tcBorders>
            <w:vAlign w:val="center"/>
            <w:hideMark/>
          </w:tcPr>
          <w:p w:rsidR="00FB0584" w:rsidRPr="00FB0584" w:rsidRDefault="00FB0584" w:rsidP="00FB0584">
            <w:pPr>
              <w:spacing w:before="20" w:after="20"/>
              <w:jc w:val="center"/>
              <w:rPr>
                <w:rFonts w:eastAsia="Times New Roman" w:cs="Arial"/>
                <w:sz w:val="20"/>
                <w:szCs w:val="20"/>
                <w:lang w:eastAsia="cs-CZ"/>
              </w:rPr>
            </w:pPr>
          </w:p>
        </w:tc>
        <w:tc>
          <w:tcPr>
            <w:tcW w:w="7200" w:type="dxa"/>
            <w:tcBorders>
              <w:top w:val="nil"/>
              <w:left w:val="nil"/>
              <w:bottom w:val="single" w:sz="4" w:space="0" w:color="auto"/>
              <w:right w:val="single" w:sz="4" w:space="0" w:color="auto"/>
            </w:tcBorders>
            <w:noWrap/>
            <w:vAlign w:val="center"/>
            <w:hideMark/>
          </w:tcPr>
          <w:p w:rsidR="00FB0584" w:rsidRPr="00FB0584" w:rsidRDefault="00FB0584" w:rsidP="00FB0584">
            <w:pPr>
              <w:spacing w:before="20" w:after="20"/>
              <w:rPr>
                <w:rFonts w:eastAsia="Times New Roman" w:cs="Arial"/>
                <w:sz w:val="20"/>
                <w:szCs w:val="20"/>
                <w:lang w:eastAsia="cs-CZ"/>
              </w:rPr>
            </w:pPr>
            <w:r w:rsidRPr="00FB0584">
              <w:rPr>
                <w:rFonts w:eastAsia="Times New Roman" w:cs="Arial"/>
                <w:sz w:val="20"/>
                <w:szCs w:val="20"/>
                <w:lang w:eastAsia="cs-CZ"/>
              </w:rPr>
              <w:t>Posilování bezpečnost průmyslových sítí (SCADA, Smart Grid, Smart Metering,…)</w:t>
            </w:r>
          </w:p>
        </w:tc>
      </w:tr>
      <w:tr w:rsidR="00FB0584" w:rsidRPr="00FB0584" w:rsidTr="00FB0584">
        <w:trPr>
          <w:trHeight w:val="300"/>
        </w:trPr>
        <w:tc>
          <w:tcPr>
            <w:tcW w:w="0" w:type="auto"/>
            <w:vMerge/>
            <w:tcBorders>
              <w:top w:val="nil"/>
              <w:left w:val="single" w:sz="4" w:space="0" w:color="auto"/>
              <w:bottom w:val="single" w:sz="4" w:space="0" w:color="auto"/>
              <w:right w:val="single" w:sz="4" w:space="0" w:color="auto"/>
            </w:tcBorders>
            <w:vAlign w:val="center"/>
            <w:hideMark/>
          </w:tcPr>
          <w:p w:rsidR="00FB0584" w:rsidRPr="00FB0584" w:rsidRDefault="00FB0584" w:rsidP="00FB0584">
            <w:pPr>
              <w:spacing w:before="20" w:after="20"/>
              <w:jc w:val="center"/>
              <w:rPr>
                <w:rFonts w:eastAsia="Times New Roman" w:cs="Arial"/>
                <w:sz w:val="20"/>
                <w:szCs w:val="20"/>
                <w:lang w:eastAsia="cs-CZ"/>
              </w:rPr>
            </w:pPr>
          </w:p>
        </w:tc>
        <w:tc>
          <w:tcPr>
            <w:tcW w:w="7200" w:type="dxa"/>
            <w:tcBorders>
              <w:top w:val="nil"/>
              <w:left w:val="nil"/>
              <w:bottom w:val="single" w:sz="4" w:space="0" w:color="auto"/>
              <w:right w:val="single" w:sz="4" w:space="0" w:color="auto"/>
            </w:tcBorders>
            <w:noWrap/>
            <w:vAlign w:val="center"/>
            <w:hideMark/>
          </w:tcPr>
          <w:p w:rsidR="00FB0584" w:rsidRPr="00FB0584" w:rsidRDefault="00FB0584" w:rsidP="00FB0584">
            <w:pPr>
              <w:spacing w:before="20" w:after="20"/>
              <w:rPr>
                <w:rFonts w:eastAsia="Times New Roman" w:cs="Arial"/>
                <w:sz w:val="20"/>
                <w:szCs w:val="20"/>
                <w:lang w:eastAsia="cs-CZ"/>
              </w:rPr>
            </w:pPr>
            <w:r w:rsidRPr="00FB0584">
              <w:rPr>
                <w:rFonts w:eastAsia="Times New Roman" w:cs="Arial"/>
                <w:sz w:val="20"/>
                <w:szCs w:val="20"/>
                <w:lang w:eastAsia="cs-CZ"/>
              </w:rPr>
              <w:t>Ochrana soukromí v kyberprostoru (sociální sítě)</w:t>
            </w:r>
          </w:p>
        </w:tc>
      </w:tr>
      <w:tr w:rsidR="00FB0584" w:rsidRPr="00FB0584" w:rsidTr="00FB0584">
        <w:trPr>
          <w:trHeight w:val="300"/>
        </w:trPr>
        <w:tc>
          <w:tcPr>
            <w:tcW w:w="0" w:type="auto"/>
            <w:vMerge/>
            <w:tcBorders>
              <w:top w:val="nil"/>
              <w:left w:val="single" w:sz="4" w:space="0" w:color="auto"/>
              <w:bottom w:val="single" w:sz="4" w:space="0" w:color="auto"/>
              <w:right w:val="single" w:sz="4" w:space="0" w:color="auto"/>
            </w:tcBorders>
            <w:vAlign w:val="center"/>
            <w:hideMark/>
          </w:tcPr>
          <w:p w:rsidR="00FB0584" w:rsidRPr="00FB0584" w:rsidRDefault="00FB0584" w:rsidP="00FB0584">
            <w:pPr>
              <w:spacing w:before="20" w:after="20"/>
              <w:jc w:val="center"/>
              <w:rPr>
                <w:rFonts w:eastAsia="Times New Roman" w:cs="Arial"/>
                <w:sz w:val="20"/>
                <w:szCs w:val="20"/>
                <w:lang w:eastAsia="cs-CZ"/>
              </w:rPr>
            </w:pPr>
          </w:p>
        </w:tc>
        <w:tc>
          <w:tcPr>
            <w:tcW w:w="7200" w:type="dxa"/>
            <w:tcBorders>
              <w:top w:val="nil"/>
              <w:left w:val="nil"/>
              <w:bottom w:val="single" w:sz="4" w:space="0" w:color="auto"/>
              <w:right w:val="single" w:sz="4" w:space="0" w:color="auto"/>
            </w:tcBorders>
            <w:noWrap/>
            <w:vAlign w:val="center"/>
            <w:hideMark/>
          </w:tcPr>
          <w:p w:rsidR="00FB0584" w:rsidRPr="00FB0584" w:rsidRDefault="00FB0584" w:rsidP="00FB0584">
            <w:pPr>
              <w:spacing w:before="20" w:after="20"/>
              <w:rPr>
                <w:rFonts w:eastAsia="Times New Roman" w:cs="Arial"/>
                <w:sz w:val="20"/>
                <w:szCs w:val="20"/>
                <w:lang w:eastAsia="cs-CZ"/>
              </w:rPr>
            </w:pPr>
            <w:r w:rsidRPr="00FB0584">
              <w:rPr>
                <w:rFonts w:eastAsia="Times New Roman" w:cs="Arial"/>
                <w:sz w:val="20"/>
                <w:szCs w:val="20"/>
                <w:lang w:eastAsia="cs-CZ"/>
              </w:rPr>
              <w:t>Testování a certifikace zařízení zajišťujících kybernetickou bezpečnost</w:t>
            </w:r>
          </w:p>
        </w:tc>
      </w:tr>
      <w:tr w:rsidR="00FB0584" w:rsidRPr="00FB0584" w:rsidTr="00FB0584">
        <w:trPr>
          <w:trHeight w:val="300"/>
        </w:trPr>
        <w:tc>
          <w:tcPr>
            <w:tcW w:w="0" w:type="auto"/>
            <w:vMerge/>
            <w:tcBorders>
              <w:top w:val="nil"/>
              <w:left w:val="single" w:sz="4" w:space="0" w:color="auto"/>
              <w:bottom w:val="single" w:sz="4" w:space="0" w:color="auto"/>
              <w:right w:val="single" w:sz="4" w:space="0" w:color="auto"/>
            </w:tcBorders>
            <w:vAlign w:val="center"/>
            <w:hideMark/>
          </w:tcPr>
          <w:p w:rsidR="00FB0584" w:rsidRPr="00FB0584" w:rsidRDefault="00FB0584" w:rsidP="00FB0584">
            <w:pPr>
              <w:spacing w:before="20" w:after="20"/>
              <w:jc w:val="center"/>
              <w:rPr>
                <w:rFonts w:eastAsia="Times New Roman" w:cs="Arial"/>
                <w:sz w:val="20"/>
                <w:szCs w:val="20"/>
                <w:lang w:eastAsia="cs-CZ"/>
              </w:rPr>
            </w:pPr>
          </w:p>
        </w:tc>
        <w:tc>
          <w:tcPr>
            <w:tcW w:w="7200" w:type="dxa"/>
            <w:tcBorders>
              <w:top w:val="nil"/>
              <w:left w:val="nil"/>
              <w:bottom w:val="single" w:sz="4" w:space="0" w:color="auto"/>
              <w:right w:val="single" w:sz="4" w:space="0" w:color="auto"/>
            </w:tcBorders>
            <w:noWrap/>
            <w:vAlign w:val="center"/>
            <w:hideMark/>
          </w:tcPr>
          <w:p w:rsidR="00FB0584" w:rsidRPr="00FB0584" w:rsidRDefault="00FB0584" w:rsidP="00FB0584">
            <w:pPr>
              <w:spacing w:before="20" w:after="20"/>
              <w:rPr>
                <w:rFonts w:eastAsia="Times New Roman" w:cs="Arial"/>
                <w:sz w:val="20"/>
                <w:szCs w:val="20"/>
                <w:lang w:eastAsia="cs-CZ"/>
              </w:rPr>
            </w:pPr>
            <w:r w:rsidRPr="00FB0584">
              <w:rPr>
                <w:rFonts w:eastAsia="Times New Roman" w:cs="Arial"/>
                <w:sz w:val="20"/>
                <w:szCs w:val="20"/>
                <w:lang w:eastAsia="cs-CZ"/>
              </w:rPr>
              <w:t>Simulace potenciálních hrozeb</w:t>
            </w:r>
          </w:p>
        </w:tc>
      </w:tr>
      <w:tr w:rsidR="00FB0584" w:rsidRPr="00FB0584" w:rsidTr="00FB0584">
        <w:trPr>
          <w:trHeight w:val="300"/>
        </w:trPr>
        <w:tc>
          <w:tcPr>
            <w:tcW w:w="0" w:type="auto"/>
            <w:vMerge/>
            <w:tcBorders>
              <w:top w:val="nil"/>
              <w:left w:val="single" w:sz="4" w:space="0" w:color="auto"/>
              <w:bottom w:val="single" w:sz="4" w:space="0" w:color="auto"/>
              <w:right w:val="single" w:sz="4" w:space="0" w:color="auto"/>
            </w:tcBorders>
            <w:vAlign w:val="center"/>
            <w:hideMark/>
          </w:tcPr>
          <w:p w:rsidR="00FB0584" w:rsidRPr="00FB0584" w:rsidRDefault="00FB0584" w:rsidP="00FB0584">
            <w:pPr>
              <w:spacing w:before="20" w:after="20"/>
              <w:jc w:val="center"/>
              <w:rPr>
                <w:rFonts w:eastAsia="Times New Roman" w:cs="Arial"/>
                <w:sz w:val="20"/>
                <w:szCs w:val="20"/>
                <w:lang w:eastAsia="cs-CZ"/>
              </w:rPr>
            </w:pPr>
          </w:p>
        </w:tc>
        <w:tc>
          <w:tcPr>
            <w:tcW w:w="7200" w:type="dxa"/>
            <w:tcBorders>
              <w:top w:val="nil"/>
              <w:left w:val="nil"/>
              <w:bottom w:val="single" w:sz="4" w:space="0" w:color="auto"/>
              <w:right w:val="single" w:sz="4" w:space="0" w:color="auto"/>
            </w:tcBorders>
            <w:noWrap/>
            <w:vAlign w:val="center"/>
            <w:hideMark/>
          </w:tcPr>
          <w:p w:rsidR="00FB0584" w:rsidRPr="00FB0584" w:rsidRDefault="00FB0584" w:rsidP="00FB0584">
            <w:pPr>
              <w:spacing w:before="20" w:after="20"/>
              <w:rPr>
                <w:rFonts w:eastAsia="Times New Roman" w:cs="Arial"/>
                <w:sz w:val="20"/>
                <w:szCs w:val="20"/>
                <w:lang w:eastAsia="cs-CZ"/>
              </w:rPr>
            </w:pPr>
            <w:r w:rsidRPr="00FB0584">
              <w:rPr>
                <w:rFonts w:eastAsia="Times New Roman" w:cs="Arial"/>
                <w:sz w:val="20"/>
                <w:szCs w:val="20"/>
                <w:lang w:eastAsia="cs-CZ"/>
              </w:rPr>
              <w:t>Standardizace v oblasti ICT</w:t>
            </w:r>
          </w:p>
        </w:tc>
      </w:tr>
      <w:tr w:rsidR="00FB0584" w:rsidRPr="00FB0584" w:rsidTr="00FB0584">
        <w:trPr>
          <w:trHeight w:val="300"/>
        </w:trPr>
        <w:tc>
          <w:tcPr>
            <w:tcW w:w="0" w:type="auto"/>
            <w:vMerge/>
            <w:tcBorders>
              <w:top w:val="nil"/>
              <w:left w:val="single" w:sz="4" w:space="0" w:color="auto"/>
              <w:bottom w:val="single" w:sz="4" w:space="0" w:color="auto"/>
              <w:right w:val="single" w:sz="4" w:space="0" w:color="auto"/>
            </w:tcBorders>
            <w:vAlign w:val="center"/>
            <w:hideMark/>
          </w:tcPr>
          <w:p w:rsidR="00FB0584" w:rsidRPr="00FB0584" w:rsidRDefault="00FB0584" w:rsidP="00FB0584">
            <w:pPr>
              <w:spacing w:before="20" w:after="20"/>
              <w:jc w:val="center"/>
              <w:rPr>
                <w:rFonts w:eastAsia="Times New Roman" w:cs="Arial"/>
                <w:sz w:val="20"/>
                <w:szCs w:val="20"/>
                <w:lang w:eastAsia="cs-CZ"/>
              </w:rPr>
            </w:pPr>
          </w:p>
        </w:tc>
        <w:tc>
          <w:tcPr>
            <w:tcW w:w="7200" w:type="dxa"/>
            <w:tcBorders>
              <w:top w:val="nil"/>
              <w:left w:val="nil"/>
              <w:bottom w:val="single" w:sz="4" w:space="0" w:color="auto"/>
              <w:right w:val="single" w:sz="4" w:space="0" w:color="auto"/>
            </w:tcBorders>
            <w:noWrap/>
            <w:vAlign w:val="center"/>
            <w:hideMark/>
          </w:tcPr>
          <w:p w:rsidR="00FB0584" w:rsidRPr="00FB0584" w:rsidRDefault="00FB0584" w:rsidP="00FB0584">
            <w:pPr>
              <w:spacing w:before="20" w:after="20"/>
              <w:rPr>
                <w:rFonts w:eastAsia="Times New Roman" w:cs="Arial"/>
                <w:sz w:val="20"/>
                <w:szCs w:val="20"/>
                <w:lang w:eastAsia="cs-CZ"/>
              </w:rPr>
            </w:pPr>
            <w:r w:rsidRPr="00FB0584">
              <w:rPr>
                <w:rFonts w:eastAsia="Times New Roman" w:cs="Arial"/>
                <w:sz w:val="20"/>
                <w:szCs w:val="20"/>
                <w:lang w:eastAsia="cs-CZ"/>
              </w:rPr>
              <w:t>Rozvoj forenzních metod v ICT</w:t>
            </w:r>
          </w:p>
        </w:tc>
      </w:tr>
      <w:tr w:rsidR="00FB0584" w:rsidRPr="00FB0584" w:rsidTr="00FB0584">
        <w:trPr>
          <w:trHeight w:val="300"/>
        </w:trPr>
        <w:tc>
          <w:tcPr>
            <w:tcW w:w="0" w:type="auto"/>
            <w:vMerge/>
            <w:tcBorders>
              <w:top w:val="nil"/>
              <w:left w:val="single" w:sz="4" w:space="0" w:color="auto"/>
              <w:bottom w:val="single" w:sz="4" w:space="0" w:color="auto"/>
              <w:right w:val="single" w:sz="4" w:space="0" w:color="auto"/>
            </w:tcBorders>
            <w:vAlign w:val="center"/>
            <w:hideMark/>
          </w:tcPr>
          <w:p w:rsidR="00FB0584" w:rsidRPr="00FB0584" w:rsidRDefault="00FB0584" w:rsidP="00FB0584">
            <w:pPr>
              <w:spacing w:before="20" w:after="20"/>
              <w:jc w:val="center"/>
              <w:rPr>
                <w:rFonts w:eastAsia="Times New Roman" w:cs="Arial"/>
                <w:sz w:val="20"/>
                <w:szCs w:val="20"/>
                <w:lang w:eastAsia="cs-CZ"/>
              </w:rPr>
            </w:pPr>
          </w:p>
        </w:tc>
        <w:tc>
          <w:tcPr>
            <w:tcW w:w="7200" w:type="dxa"/>
            <w:tcBorders>
              <w:top w:val="nil"/>
              <w:left w:val="nil"/>
              <w:bottom w:val="single" w:sz="4" w:space="0" w:color="auto"/>
              <w:right w:val="single" w:sz="4" w:space="0" w:color="auto"/>
            </w:tcBorders>
            <w:noWrap/>
            <w:vAlign w:val="center"/>
            <w:hideMark/>
          </w:tcPr>
          <w:p w:rsidR="00FB0584" w:rsidRPr="00FB0584" w:rsidRDefault="00FB0584" w:rsidP="00FB0584">
            <w:pPr>
              <w:spacing w:before="20" w:after="20"/>
              <w:rPr>
                <w:rFonts w:eastAsia="Times New Roman" w:cs="Arial"/>
                <w:sz w:val="20"/>
                <w:szCs w:val="20"/>
                <w:lang w:eastAsia="cs-CZ"/>
              </w:rPr>
            </w:pPr>
            <w:r w:rsidRPr="00FB0584">
              <w:rPr>
                <w:rFonts w:eastAsia="Times New Roman" w:cs="Arial"/>
                <w:sz w:val="20"/>
                <w:szCs w:val="20"/>
                <w:lang w:eastAsia="cs-CZ"/>
              </w:rPr>
              <w:t>Tvorba společného potenciálu kybernetické ochrany a obrany v komerční sféře</w:t>
            </w:r>
          </w:p>
        </w:tc>
      </w:tr>
      <w:tr w:rsidR="00FB0584" w:rsidRPr="00FB0584" w:rsidTr="00FB0584">
        <w:trPr>
          <w:trHeight w:val="300"/>
        </w:trPr>
        <w:tc>
          <w:tcPr>
            <w:tcW w:w="2236" w:type="dxa"/>
            <w:vMerge w:val="restart"/>
            <w:tcBorders>
              <w:top w:val="nil"/>
              <w:left w:val="single" w:sz="4" w:space="0" w:color="auto"/>
              <w:bottom w:val="single" w:sz="4" w:space="0" w:color="auto"/>
              <w:right w:val="single" w:sz="4" w:space="0" w:color="auto"/>
            </w:tcBorders>
            <w:noWrap/>
            <w:vAlign w:val="center"/>
            <w:hideMark/>
          </w:tcPr>
          <w:p w:rsidR="00FB0584" w:rsidRPr="00FB0584" w:rsidRDefault="00FB0584" w:rsidP="00FB0584">
            <w:pPr>
              <w:spacing w:before="20" w:after="20"/>
              <w:jc w:val="center"/>
              <w:rPr>
                <w:rFonts w:eastAsia="Times New Roman" w:cs="Arial"/>
                <w:sz w:val="20"/>
                <w:szCs w:val="20"/>
                <w:lang w:eastAsia="cs-CZ"/>
              </w:rPr>
            </w:pPr>
            <w:r w:rsidRPr="00FB0584">
              <w:rPr>
                <w:rFonts w:eastAsia="Times New Roman" w:cs="Arial"/>
                <w:sz w:val="20"/>
                <w:szCs w:val="20"/>
                <w:lang w:eastAsia="cs-CZ"/>
              </w:rPr>
              <w:t>Migrace, radikalizace, terorismus – reakce na růst hrozeb</w:t>
            </w:r>
          </w:p>
        </w:tc>
        <w:tc>
          <w:tcPr>
            <w:tcW w:w="7200" w:type="dxa"/>
            <w:tcBorders>
              <w:top w:val="nil"/>
              <w:left w:val="nil"/>
              <w:bottom w:val="single" w:sz="4" w:space="0" w:color="auto"/>
              <w:right w:val="single" w:sz="4" w:space="0" w:color="auto"/>
            </w:tcBorders>
            <w:noWrap/>
            <w:vAlign w:val="center"/>
            <w:hideMark/>
          </w:tcPr>
          <w:p w:rsidR="00FB0584" w:rsidRPr="00FB0584" w:rsidRDefault="00FB0584" w:rsidP="00FB0584">
            <w:pPr>
              <w:spacing w:before="20" w:after="20"/>
              <w:rPr>
                <w:rFonts w:eastAsia="Times New Roman" w:cs="Arial"/>
                <w:sz w:val="20"/>
                <w:szCs w:val="20"/>
                <w:lang w:eastAsia="cs-CZ"/>
              </w:rPr>
            </w:pPr>
            <w:r w:rsidRPr="00FB0584">
              <w:rPr>
                <w:rFonts w:eastAsia="Times New Roman" w:cs="Arial"/>
                <w:sz w:val="20"/>
                <w:szCs w:val="20"/>
                <w:lang w:eastAsia="cs-CZ"/>
              </w:rPr>
              <w:t>Zvyšování schopnosti a odolnosti kritické infrastruktury</w:t>
            </w:r>
          </w:p>
        </w:tc>
      </w:tr>
      <w:tr w:rsidR="00FB0584" w:rsidRPr="00FB0584" w:rsidTr="00FB0584">
        <w:trPr>
          <w:trHeight w:val="300"/>
        </w:trPr>
        <w:tc>
          <w:tcPr>
            <w:tcW w:w="0" w:type="auto"/>
            <w:vMerge/>
            <w:tcBorders>
              <w:top w:val="nil"/>
              <w:left w:val="single" w:sz="4" w:space="0" w:color="auto"/>
              <w:bottom w:val="single" w:sz="4" w:space="0" w:color="auto"/>
              <w:right w:val="single" w:sz="4" w:space="0" w:color="auto"/>
            </w:tcBorders>
            <w:vAlign w:val="center"/>
            <w:hideMark/>
          </w:tcPr>
          <w:p w:rsidR="00FB0584" w:rsidRPr="00FB0584" w:rsidRDefault="00FB0584" w:rsidP="00FB0584">
            <w:pPr>
              <w:spacing w:before="20" w:after="20"/>
              <w:jc w:val="center"/>
              <w:rPr>
                <w:rFonts w:eastAsia="Times New Roman" w:cs="Arial"/>
                <w:sz w:val="20"/>
                <w:szCs w:val="20"/>
                <w:lang w:eastAsia="cs-CZ"/>
              </w:rPr>
            </w:pPr>
          </w:p>
        </w:tc>
        <w:tc>
          <w:tcPr>
            <w:tcW w:w="7200" w:type="dxa"/>
            <w:tcBorders>
              <w:top w:val="nil"/>
              <w:left w:val="nil"/>
              <w:bottom w:val="single" w:sz="4" w:space="0" w:color="auto"/>
              <w:right w:val="single" w:sz="4" w:space="0" w:color="auto"/>
            </w:tcBorders>
            <w:noWrap/>
            <w:vAlign w:val="center"/>
            <w:hideMark/>
          </w:tcPr>
          <w:p w:rsidR="00FB0584" w:rsidRPr="00FB0584" w:rsidRDefault="00FB0584" w:rsidP="00FB0584">
            <w:pPr>
              <w:spacing w:before="20" w:after="20"/>
              <w:rPr>
                <w:rFonts w:eastAsia="Times New Roman" w:cs="Arial"/>
                <w:sz w:val="20"/>
                <w:szCs w:val="20"/>
                <w:lang w:eastAsia="cs-CZ"/>
              </w:rPr>
            </w:pPr>
            <w:r w:rsidRPr="00FB0584">
              <w:rPr>
                <w:rFonts w:eastAsia="Times New Roman" w:cs="Arial"/>
                <w:sz w:val="20"/>
                <w:szCs w:val="20"/>
                <w:lang w:eastAsia="cs-CZ"/>
              </w:rPr>
              <w:t>Rozvoj odolnosti vůči informační manipulaci</w:t>
            </w:r>
          </w:p>
        </w:tc>
      </w:tr>
      <w:tr w:rsidR="00FB0584" w:rsidRPr="00FB0584" w:rsidTr="00FB0584">
        <w:trPr>
          <w:trHeight w:val="300"/>
        </w:trPr>
        <w:tc>
          <w:tcPr>
            <w:tcW w:w="0" w:type="auto"/>
            <w:vMerge/>
            <w:tcBorders>
              <w:top w:val="nil"/>
              <w:left w:val="single" w:sz="4" w:space="0" w:color="auto"/>
              <w:bottom w:val="single" w:sz="4" w:space="0" w:color="auto"/>
              <w:right w:val="single" w:sz="4" w:space="0" w:color="auto"/>
            </w:tcBorders>
            <w:vAlign w:val="center"/>
            <w:hideMark/>
          </w:tcPr>
          <w:p w:rsidR="00FB0584" w:rsidRPr="00FB0584" w:rsidRDefault="00FB0584" w:rsidP="00FB0584">
            <w:pPr>
              <w:spacing w:before="20" w:after="20"/>
              <w:jc w:val="center"/>
              <w:rPr>
                <w:rFonts w:eastAsia="Times New Roman" w:cs="Arial"/>
                <w:sz w:val="20"/>
                <w:szCs w:val="20"/>
                <w:lang w:eastAsia="cs-CZ"/>
              </w:rPr>
            </w:pPr>
          </w:p>
        </w:tc>
        <w:tc>
          <w:tcPr>
            <w:tcW w:w="7200" w:type="dxa"/>
            <w:tcBorders>
              <w:top w:val="nil"/>
              <w:left w:val="nil"/>
              <w:bottom w:val="single" w:sz="4" w:space="0" w:color="auto"/>
              <w:right w:val="single" w:sz="4" w:space="0" w:color="auto"/>
            </w:tcBorders>
            <w:noWrap/>
            <w:vAlign w:val="center"/>
            <w:hideMark/>
          </w:tcPr>
          <w:p w:rsidR="00FB0584" w:rsidRPr="00FB0584" w:rsidRDefault="00FB0584" w:rsidP="00FB0584">
            <w:pPr>
              <w:spacing w:before="20" w:after="20"/>
              <w:rPr>
                <w:rFonts w:eastAsia="Times New Roman" w:cs="Arial"/>
                <w:sz w:val="20"/>
                <w:szCs w:val="20"/>
                <w:lang w:eastAsia="cs-CZ"/>
              </w:rPr>
            </w:pPr>
            <w:r w:rsidRPr="00FB0584">
              <w:rPr>
                <w:rFonts w:eastAsia="Times New Roman" w:cs="Arial"/>
                <w:sz w:val="20"/>
                <w:szCs w:val="20"/>
                <w:lang w:eastAsia="cs-CZ"/>
              </w:rPr>
              <w:t>Monitoring veřejných prostor</w:t>
            </w:r>
          </w:p>
        </w:tc>
      </w:tr>
      <w:tr w:rsidR="00FB0584" w:rsidRPr="00FB0584" w:rsidTr="00FB0584">
        <w:trPr>
          <w:trHeight w:val="300"/>
        </w:trPr>
        <w:tc>
          <w:tcPr>
            <w:tcW w:w="0" w:type="auto"/>
            <w:vMerge/>
            <w:tcBorders>
              <w:top w:val="nil"/>
              <w:left w:val="single" w:sz="4" w:space="0" w:color="auto"/>
              <w:bottom w:val="single" w:sz="4" w:space="0" w:color="auto"/>
              <w:right w:val="single" w:sz="4" w:space="0" w:color="auto"/>
            </w:tcBorders>
            <w:vAlign w:val="center"/>
            <w:hideMark/>
          </w:tcPr>
          <w:p w:rsidR="00FB0584" w:rsidRPr="00FB0584" w:rsidRDefault="00FB0584" w:rsidP="00FB0584">
            <w:pPr>
              <w:spacing w:before="20" w:after="20"/>
              <w:jc w:val="center"/>
              <w:rPr>
                <w:rFonts w:eastAsia="Times New Roman" w:cs="Arial"/>
                <w:sz w:val="20"/>
                <w:szCs w:val="20"/>
                <w:lang w:eastAsia="cs-CZ"/>
              </w:rPr>
            </w:pPr>
          </w:p>
        </w:tc>
        <w:tc>
          <w:tcPr>
            <w:tcW w:w="7200" w:type="dxa"/>
            <w:tcBorders>
              <w:top w:val="nil"/>
              <w:left w:val="nil"/>
              <w:bottom w:val="single" w:sz="4" w:space="0" w:color="auto"/>
              <w:right w:val="single" w:sz="4" w:space="0" w:color="auto"/>
            </w:tcBorders>
            <w:noWrap/>
            <w:vAlign w:val="center"/>
            <w:hideMark/>
          </w:tcPr>
          <w:p w:rsidR="00FB0584" w:rsidRPr="00FB0584" w:rsidRDefault="00FB0584" w:rsidP="00FB0584">
            <w:pPr>
              <w:spacing w:before="20" w:after="20"/>
              <w:rPr>
                <w:rFonts w:eastAsia="Times New Roman" w:cs="Arial"/>
                <w:sz w:val="20"/>
                <w:szCs w:val="20"/>
                <w:lang w:eastAsia="cs-CZ"/>
              </w:rPr>
            </w:pPr>
            <w:r w:rsidRPr="00FB0584">
              <w:rPr>
                <w:rFonts w:eastAsia="Times New Roman" w:cs="Arial"/>
                <w:sz w:val="20"/>
                <w:szCs w:val="20"/>
                <w:lang w:eastAsia="cs-CZ"/>
              </w:rPr>
              <w:t>Rozvoj zdravotnické infrastruktury</w:t>
            </w:r>
          </w:p>
        </w:tc>
      </w:tr>
      <w:tr w:rsidR="00FB0584" w:rsidRPr="00FB0584" w:rsidTr="00FB0584">
        <w:trPr>
          <w:trHeight w:val="300"/>
        </w:trPr>
        <w:tc>
          <w:tcPr>
            <w:tcW w:w="0" w:type="auto"/>
            <w:vMerge/>
            <w:tcBorders>
              <w:top w:val="nil"/>
              <w:left w:val="single" w:sz="4" w:space="0" w:color="auto"/>
              <w:bottom w:val="single" w:sz="4" w:space="0" w:color="auto"/>
              <w:right w:val="single" w:sz="4" w:space="0" w:color="auto"/>
            </w:tcBorders>
            <w:vAlign w:val="center"/>
            <w:hideMark/>
          </w:tcPr>
          <w:p w:rsidR="00FB0584" w:rsidRPr="00FB0584" w:rsidRDefault="00FB0584" w:rsidP="00FB0584">
            <w:pPr>
              <w:spacing w:before="20" w:after="20"/>
              <w:jc w:val="center"/>
              <w:rPr>
                <w:rFonts w:eastAsia="Times New Roman" w:cs="Arial"/>
                <w:sz w:val="20"/>
                <w:szCs w:val="20"/>
                <w:lang w:eastAsia="cs-CZ"/>
              </w:rPr>
            </w:pPr>
          </w:p>
        </w:tc>
        <w:tc>
          <w:tcPr>
            <w:tcW w:w="7200" w:type="dxa"/>
            <w:tcBorders>
              <w:top w:val="nil"/>
              <w:left w:val="nil"/>
              <w:bottom w:val="single" w:sz="4" w:space="0" w:color="auto"/>
              <w:right w:val="single" w:sz="4" w:space="0" w:color="auto"/>
            </w:tcBorders>
            <w:noWrap/>
            <w:vAlign w:val="center"/>
            <w:hideMark/>
          </w:tcPr>
          <w:p w:rsidR="00FB0584" w:rsidRPr="00FB0584" w:rsidRDefault="00FB0584" w:rsidP="00FB0584">
            <w:pPr>
              <w:spacing w:before="20" w:after="20"/>
              <w:rPr>
                <w:rFonts w:eastAsia="Times New Roman" w:cs="Arial"/>
                <w:sz w:val="20"/>
                <w:szCs w:val="20"/>
                <w:lang w:eastAsia="cs-CZ"/>
              </w:rPr>
            </w:pPr>
            <w:r w:rsidRPr="00FB0584">
              <w:rPr>
                <w:rFonts w:eastAsia="Times New Roman" w:cs="Arial"/>
                <w:sz w:val="20"/>
                <w:szCs w:val="20"/>
                <w:lang w:eastAsia="cs-CZ"/>
              </w:rPr>
              <w:t>Posilování připravenosti v oblasti bioterorismu</w:t>
            </w:r>
          </w:p>
        </w:tc>
      </w:tr>
      <w:tr w:rsidR="00FB0584" w:rsidRPr="00FB0584" w:rsidTr="00FB0584">
        <w:trPr>
          <w:trHeight w:val="300"/>
        </w:trPr>
        <w:tc>
          <w:tcPr>
            <w:tcW w:w="0" w:type="auto"/>
            <w:vMerge/>
            <w:tcBorders>
              <w:top w:val="nil"/>
              <w:left w:val="single" w:sz="4" w:space="0" w:color="auto"/>
              <w:bottom w:val="single" w:sz="4" w:space="0" w:color="auto"/>
              <w:right w:val="single" w:sz="4" w:space="0" w:color="auto"/>
            </w:tcBorders>
            <w:vAlign w:val="center"/>
            <w:hideMark/>
          </w:tcPr>
          <w:p w:rsidR="00FB0584" w:rsidRPr="00FB0584" w:rsidRDefault="00FB0584" w:rsidP="00FB0584">
            <w:pPr>
              <w:spacing w:before="20" w:after="20"/>
              <w:jc w:val="center"/>
              <w:rPr>
                <w:rFonts w:eastAsia="Times New Roman" w:cs="Arial"/>
                <w:sz w:val="20"/>
                <w:szCs w:val="20"/>
                <w:lang w:eastAsia="cs-CZ"/>
              </w:rPr>
            </w:pPr>
          </w:p>
        </w:tc>
        <w:tc>
          <w:tcPr>
            <w:tcW w:w="7200" w:type="dxa"/>
            <w:tcBorders>
              <w:top w:val="nil"/>
              <w:left w:val="nil"/>
              <w:bottom w:val="single" w:sz="4" w:space="0" w:color="auto"/>
              <w:right w:val="single" w:sz="4" w:space="0" w:color="auto"/>
            </w:tcBorders>
            <w:noWrap/>
            <w:vAlign w:val="center"/>
            <w:hideMark/>
          </w:tcPr>
          <w:p w:rsidR="00FB0584" w:rsidRPr="00FB0584" w:rsidRDefault="00FB0584" w:rsidP="00FB0584">
            <w:pPr>
              <w:spacing w:before="20" w:after="20"/>
              <w:rPr>
                <w:rFonts w:eastAsia="Times New Roman" w:cs="Arial"/>
                <w:sz w:val="20"/>
                <w:szCs w:val="20"/>
                <w:lang w:eastAsia="cs-CZ"/>
              </w:rPr>
            </w:pPr>
            <w:r w:rsidRPr="00FB0584">
              <w:rPr>
                <w:rFonts w:eastAsia="Times New Roman" w:cs="Arial"/>
                <w:sz w:val="20"/>
                <w:szCs w:val="20"/>
                <w:lang w:eastAsia="cs-CZ"/>
              </w:rPr>
              <w:t>Integrace nehomogenních kultur</w:t>
            </w:r>
          </w:p>
        </w:tc>
      </w:tr>
      <w:tr w:rsidR="00FB0584" w:rsidRPr="00FB0584" w:rsidTr="00FB0584">
        <w:trPr>
          <w:trHeight w:val="300"/>
        </w:trPr>
        <w:tc>
          <w:tcPr>
            <w:tcW w:w="0" w:type="auto"/>
            <w:vMerge/>
            <w:tcBorders>
              <w:top w:val="nil"/>
              <w:left w:val="single" w:sz="4" w:space="0" w:color="auto"/>
              <w:bottom w:val="single" w:sz="4" w:space="0" w:color="auto"/>
              <w:right w:val="single" w:sz="4" w:space="0" w:color="auto"/>
            </w:tcBorders>
            <w:vAlign w:val="center"/>
            <w:hideMark/>
          </w:tcPr>
          <w:p w:rsidR="00FB0584" w:rsidRPr="00FB0584" w:rsidRDefault="00FB0584" w:rsidP="00FB0584">
            <w:pPr>
              <w:spacing w:before="20" w:after="20"/>
              <w:jc w:val="center"/>
              <w:rPr>
                <w:rFonts w:eastAsia="Times New Roman" w:cs="Arial"/>
                <w:sz w:val="20"/>
                <w:szCs w:val="20"/>
                <w:lang w:eastAsia="cs-CZ"/>
              </w:rPr>
            </w:pPr>
          </w:p>
        </w:tc>
        <w:tc>
          <w:tcPr>
            <w:tcW w:w="7200" w:type="dxa"/>
            <w:tcBorders>
              <w:top w:val="nil"/>
              <w:left w:val="nil"/>
              <w:bottom w:val="single" w:sz="4" w:space="0" w:color="auto"/>
              <w:right w:val="single" w:sz="4" w:space="0" w:color="auto"/>
            </w:tcBorders>
            <w:noWrap/>
            <w:vAlign w:val="center"/>
            <w:hideMark/>
          </w:tcPr>
          <w:p w:rsidR="00FB0584" w:rsidRPr="00FB0584" w:rsidRDefault="00FB0584" w:rsidP="00FB0584">
            <w:pPr>
              <w:spacing w:before="20" w:after="20"/>
              <w:rPr>
                <w:rFonts w:eastAsia="Times New Roman" w:cs="Arial"/>
                <w:sz w:val="20"/>
                <w:szCs w:val="20"/>
                <w:lang w:eastAsia="cs-CZ"/>
              </w:rPr>
            </w:pPr>
            <w:r w:rsidRPr="00FB0584">
              <w:rPr>
                <w:rFonts w:eastAsia="Times New Roman" w:cs="Arial"/>
                <w:sz w:val="20"/>
                <w:szCs w:val="20"/>
                <w:lang w:eastAsia="cs-CZ"/>
              </w:rPr>
              <w:t>Zapojení samosprávy a „domobrany“ do monitorování a prevence rizik</w:t>
            </w:r>
          </w:p>
        </w:tc>
      </w:tr>
      <w:tr w:rsidR="00FB0584" w:rsidRPr="00FB0584" w:rsidTr="00FB0584">
        <w:trPr>
          <w:trHeight w:val="300"/>
        </w:trPr>
        <w:tc>
          <w:tcPr>
            <w:tcW w:w="2236" w:type="dxa"/>
            <w:vMerge w:val="restart"/>
            <w:tcBorders>
              <w:top w:val="nil"/>
              <w:left w:val="single" w:sz="4" w:space="0" w:color="auto"/>
              <w:bottom w:val="single" w:sz="4" w:space="0" w:color="auto"/>
              <w:right w:val="single" w:sz="4" w:space="0" w:color="auto"/>
            </w:tcBorders>
            <w:noWrap/>
            <w:vAlign w:val="center"/>
            <w:hideMark/>
          </w:tcPr>
          <w:p w:rsidR="00FB0584" w:rsidRPr="00FB0584" w:rsidRDefault="00FB0584" w:rsidP="00FB0584">
            <w:pPr>
              <w:spacing w:before="20" w:after="20"/>
              <w:jc w:val="center"/>
              <w:rPr>
                <w:rFonts w:eastAsia="Times New Roman" w:cs="Arial"/>
                <w:sz w:val="20"/>
                <w:szCs w:val="20"/>
                <w:lang w:eastAsia="cs-CZ"/>
              </w:rPr>
            </w:pPr>
            <w:r w:rsidRPr="00FB0584">
              <w:rPr>
                <w:rFonts w:eastAsia="Times New Roman" w:cs="Arial"/>
                <w:sz w:val="20"/>
                <w:szCs w:val="20"/>
                <w:lang w:eastAsia="cs-CZ"/>
              </w:rPr>
              <w:t>Posilování kooperace a součinnosti</w:t>
            </w:r>
          </w:p>
          <w:p w:rsidR="00FB0584" w:rsidRPr="00FB0584" w:rsidRDefault="00FB0584" w:rsidP="00FB0584">
            <w:pPr>
              <w:spacing w:before="20" w:after="20"/>
              <w:jc w:val="center"/>
              <w:rPr>
                <w:rFonts w:eastAsia="Times New Roman" w:cs="Arial"/>
                <w:sz w:val="20"/>
                <w:szCs w:val="20"/>
                <w:lang w:eastAsia="cs-CZ"/>
              </w:rPr>
            </w:pPr>
          </w:p>
          <w:p w:rsidR="00FB0584" w:rsidRPr="00FB0584" w:rsidRDefault="00FB0584" w:rsidP="00FB0584">
            <w:pPr>
              <w:spacing w:before="20" w:after="20"/>
              <w:jc w:val="center"/>
              <w:rPr>
                <w:rFonts w:eastAsia="Times New Roman" w:cs="Arial"/>
                <w:sz w:val="20"/>
                <w:szCs w:val="20"/>
                <w:lang w:eastAsia="cs-CZ"/>
              </w:rPr>
            </w:pPr>
          </w:p>
          <w:p w:rsidR="00FB0584" w:rsidRPr="00FB0584" w:rsidRDefault="00FB0584" w:rsidP="00FB0584">
            <w:pPr>
              <w:spacing w:before="20" w:after="20"/>
              <w:jc w:val="center"/>
              <w:rPr>
                <w:rFonts w:eastAsia="Times New Roman" w:cs="Arial"/>
                <w:sz w:val="20"/>
                <w:szCs w:val="20"/>
                <w:lang w:eastAsia="cs-CZ"/>
              </w:rPr>
            </w:pPr>
          </w:p>
          <w:p w:rsidR="00FB0584" w:rsidRPr="00FB0584" w:rsidRDefault="00FB0584" w:rsidP="00FB0584">
            <w:pPr>
              <w:spacing w:before="20" w:after="20"/>
              <w:jc w:val="center"/>
              <w:rPr>
                <w:rFonts w:eastAsia="Times New Roman" w:cs="Arial"/>
                <w:sz w:val="20"/>
                <w:szCs w:val="20"/>
                <w:lang w:eastAsia="cs-CZ"/>
              </w:rPr>
            </w:pPr>
          </w:p>
          <w:p w:rsidR="00FB0584" w:rsidRPr="00FB0584" w:rsidRDefault="00FB0584" w:rsidP="00FB0584">
            <w:pPr>
              <w:spacing w:before="20" w:after="20"/>
              <w:jc w:val="center"/>
              <w:rPr>
                <w:rFonts w:eastAsia="Times New Roman" w:cs="Arial"/>
                <w:sz w:val="20"/>
                <w:szCs w:val="20"/>
                <w:lang w:eastAsia="cs-CZ"/>
              </w:rPr>
            </w:pPr>
          </w:p>
          <w:p w:rsidR="00FB0584" w:rsidRPr="00FB0584" w:rsidRDefault="00FB0584" w:rsidP="00FB0584">
            <w:pPr>
              <w:spacing w:before="20" w:after="20"/>
              <w:jc w:val="center"/>
              <w:rPr>
                <w:rFonts w:eastAsia="Times New Roman" w:cs="Arial"/>
                <w:sz w:val="20"/>
                <w:szCs w:val="20"/>
                <w:lang w:eastAsia="cs-CZ"/>
              </w:rPr>
            </w:pPr>
          </w:p>
        </w:tc>
        <w:tc>
          <w:tcPr>
            <w:tcW w:w="7200" w:type="dxa"/>
            <w:tcBorders>
              <w:top w:val="nil"/>
              <w:left w:val="nil"/>
              <w:bottom w:val="single" w:sz="4" w:space="0" w:color="auto"/>
              <w:right w:val="single" w:sz="4" w:space="0" w:color="auto"/>
            </w:tcBorders>
            <w:noWrap/>
            <w:vAlign w:val="center"/>
            <w:hideMark/>
          </w:tcPr>
          <w:p w:rsidR="00FB0584" w:rsidRPr="00FB0584" w:rsidRDefault="00FB0584" w:rsidP="00FB0584">
            <w:pPr>
              <w:spacing w:before="20" w:after="20"/>
              <w:rPr>
                <w:rFonts w:eastAsia="Times New Roman" w:cs="Arial"/>
                <w:sz w:val="20"/>
                <w:szCs w:val="20"/>
                <w:lang w:eastAsia="cs-CZ"/>
              </w:rPr>
            </w:pPr>
            <w:r w:rsidRPr="00FB0584">
              <w:rPr>
                <w:rFonts w:eastAsia="Times New Roman" w:cs="Arial"/>
                <w:sz w:val="20"/>
                <w:szCs w:val="20"/>
                <w:lang w:eastAsia="cs-CZ"/>
              </w:rPr>
              <w:t>Výměna informací na všech úrovních aktivit BS</w:t>
            </w:r>
          </w:p>
        </w:tc>
      </w:tr>
      <w:tr w:rsidR="00FB0584" w:rsidRPr="00FB0584" w:rsidTr="00FB0584">
        <w:trPr>
          <w:trHeight w:val="300"/>
        </w:trPr>
        <w:tc>
          <w:tcPr>
            <w:tcW w:w="0" w:type="auto"/>
            <w:vMerge/>
            <w:tcBorders>
              <w:top w:val="nil"/>
              <w:left w:val="single" w:sz="4" w:space="0" w:color="auto"/>
              <w:bottom w:val="single" w:sz="4" w:space="0" w:color="auto"/>
              <w:right w:val="single" w:sz="4" w:space="0" w:color="auto"/>
            </w:tcBorders>
            <w:vAlign w:val="center"/>
            <w:hideMark/>
          </w:tcPr>
          <w:p w:rsidR="00FB0584" w:rsidRPr="00FB0584" w:rsidRDefault="00FB0584" w:rsidP="00FB0584">
            <w:pPr>
              <w:spacing w:before="20" w:after="20"/>
              <w:jc w:val="center"/>
              <w:rPr>
                <w:rFonts w:eastAsia="Times New Roman" w:cs="Arial"/>
                <w:sz w:val="20"/>
                <w:szCs w:val="20"/>
                <w:lang w:eastAsia="cs-CZ"/>
              </w:rPr>
            </w:pPr>
          </w:p>
        </w:tc>
        <w:tc>
          <w:tcPr>
            <w:tcW w:w="7200" w:type="dxa"/>
            <w:tcBorders>
              <w:top w:val="nil"/>
              <w:left w:val="nil"/>
              <w:bottom w:val="single" w:sz="4" w:space="0" w:color="auto"/>
              <w:right w:val="single" w:sz="4" w:space="0" w:color="auto"/>
            </w:tcBorders>
            <w:noWrap/>
            <w:vAlign w:val="center"/>
            <w:hideMark/>
          </w:tcPr>
          <w:p w:rsidR="00FB0584" w:rsidRPr="00FB0584" w:rsidRDefault="00FB0584" w:rsidP="00FB0584">
            <w:pPr>
              <w:spacing w:before="20" w:after="20"/>
              <w:rPr>
                <w:rFonts w:eastAsia="Times New Roman" w:cs="Arial"/>
                <w:sz w:val="20"/>
                <w:szCs w:val="20"/>
                <w:lang w:eastAsia="cs-CZ"/>
              </w:rPr>
            </w:pPr>
            <w:r w:rsidRPr="00FB0584">
              <w:rPr>
                <w:rFonts w:eastAsia="Times New Roman" w:cs="Arial"/>
                <w:sz w:val="20"/>
                <w:szCs w:val="20"/>
                <w:lang w:eastAsia="cs-CZ"/>
              </w:rPr>
              <w:t>Společná praktická cvičení různých složek BS</w:t>
            </w:r>
          </w:p>
        </w:tc>
      </w:tr>
      <w:tr w:rsidR="00FB0584" w:rsidRPr="00FB0584" w:rsidTr="00FB0584">
        <w:trPr>
          <w:trHeight w:val="300"/>
        </w:trPr>
        <w:tc>
          <w:tcPr>
            <w:tcW w:w="0" w:type="auto"/>
            <w:vMerge/>
            <w:tcBorders>
              <w:top w:val="nil"/>
              <w:left w:val="single" w:sz="4" w:space="0" w:color="auto"/>
              <w:bottom w:val="single" w:sz="4" w:space="0" w:color="auto"/>
              <w:right w:val="single" w:sz="4" w:space="0" w:color="auto"/>
            </w:tcBorders>
            <w:vAlign w:val="center"/>
            <w:hideMark/>
          </w:tcPr>
          <w:p w:rsidR="00FB0584" w:rsidRPr="00FB0584" w:rsidRDefault="00FB0584" w:rsidP="00FB0584">
            <w:pPr>
              <w:spacing w:before="20" w:after="20"/>
              <w:jc w:val="center"/>
              <w:rPr>
                <w:rFonts w:eastAsia="Times New Roman" w:cs="Arial"/>
                <w:sz w:val="20"/>
                <w:szCs w:val="20"/>
                <w:lang w:eastAsia="cs-CZ"/>
              </w:rPr>
            </w:pPr>
          </w:p>
        </w:tc>
        <w:tc>
          <w:tcPr>
            <w:tcW w:w="7200" w:type="dxa"/>
            <w:tcBorders>
              <w:top w:val="nil"/>
              <w:left w:val="nil"/>
              <w:bottom w:val="single" w:sz="4" w:space="0" w:color="auto"/>
              <w:right w:val="single" w:sz="4" w:space="0" w:color="auto"/>
            </w:tcBorders>
            <w:noWrap/>
            <w:vAlign w:val="center"/>
            <w:hideMark/>
          </w:tcPr>
          <w:p w:rsidR="00FB0584" w:rsidRPr="00FB0584" w:rsidRDefault="00FB0584" w:rsidP="00FB0584">
            <w:pPr>
              <w:spacing w:before="20" w:after="20"/>
              <w:rPr>
                <w:rFonts w:eastAsia="Times New Roman" w:cs="Arial"/>
                <w:sz w:val="20"/>
                <w:szCs w:val="20"/>
                <w:lang w:eastAsia="cs-CZ"/>
              </w:rPr>
            </w:pPr>
            <w:r w:rsidRPr="00FB0584">
              <w:rPr>
                <w:rFonts w:eastAsia="Times New Roman" w:cs="Arial"/>
                <w:sz w:val="20"/>
                <w:szCs w:val="20"/>
                <w:lang w:eastAsia="cs-CZ"/>
              </w:rPr>
              <w:t>Rozvoj a koordinace režimových opatření</w:t>
            </w:r>
          </w:p>
        </w:tc>
      </w:tr>
      <w:tr w:rsidR="00FB0584" w:rsidRPr="00FB0584" w:rsidTr="00FB0584">
        <w:trPr>
          <w:trHeight w:val="300"/>
        </w:trPr>
        <w:tc>
          <w:tcPr>
            <w:tcW w:w="0" w:type="auto"/>
            <w:vMerge/>
            <w:tcBorders>
              <w:top w:val="nil"/>
              <w:left w:val="single" w:sz="4" w:space="0" w:color="auto"/>
              <w:bottom w:val="single" w:sz="4" w:space="0" w:color="auto"/>
              <w:right w:val="single" w:sz="4" w:space="0" w:color="auto"/>
            </w:tcBorders>
            <w:vAlign w:val="center"/>
            <w:hideMark/>
          </w:tcPr>
          <w:p w:rsidR="00FB0584" w:rsidRPr="00FB0584" w:rsidRDefault="00FB0584" w:rsidP="00FB0584">
            <w:pPr>
              <w:spacing w:before="20" w:after="20"/>
              <w:jc w:val="center"/>
              <w:rPr>
                <w:rFonts w:eastAsia="Times New Roman" w:cs="Arial"/>
                <w:sz w:val="20"/>
                <w:szCs w:val="20"/>
                <w:lang w:eastAsia="cs-CZ"/>
              </w:rPr>
            </w:pPr>
          </w:p>
        </w:tc>
        <w:tc>
          <w:tcPr>
            <w:tcW w:w="7200" w:type="dxa"/>
            <w:tcBorders>
              <w:top w:val="nil"/>
              <w:left w:val="nil"/>
              <w:bottom w:val="single" w:sz="4" w:space="0" w:color="auto"/>
              <w:right w:val="single" w:sz="4" w:space="0" w:color="auto"/>
            </w:tcBorders>
            <w:noWrap/>
            <w:vAlign w:val="center"/>
            <w:hideMark/>
          </w:tcPr>
          <w:p w:rsidR="00FB0584" w:rsidRPr="00FB0584" w:rsidRDefault="00FB0584" w:rsidP="00FB0584">
            <w:pPr>
              <w:spacing w:before="20" w:after="20"/>
              <w:rPr>
                <w:rFonts w:eastAsia="Times New Roman" w:cs="Arial"/>
                <w:sz w:val="20"/>
                <w:szCs w:val="20"/>
                <w:lang w:eastAsia="cs-CZ"/>
              </w:rPr>
            </w:pPr>
            <w:r w:rsidRPr="00FB0584">
              <w:rPr>
                <w:rFonts w:eastAsia="Times New Roman" w:cs="Arial"/>
                <w:sz w:val="20"/>
                <w:szCs w:val="20"/>
                <w:lang w:eastAsia="cs-CZ"/>
              </w:rPr>
              <w:t>Vyloučení duplicit na všech úrovních BS</w:t>
            </w:r>
          </w:p>
        </w:tc>
      </w:tr>
      <w:tr w:rsidR="00FB0584" w:rsidRPr="00FB0584" w:rsidTr="00FB0584">
        <w:trPr>
          <w:trHeight w:val="300"/>
        </w:trPr>
        <w:tc>
          <w:tcPr>
            <w:tcW w:w="0" w:type="auto"/>
            <w:vMerge/>
            <w:tcBorders>
              <w:top w:val="nil"/>
              <w:left w:val="single" w:sz="4" w:space="0" w:color="auto"/>
              <w:bottom w:val="single" w:sz="4" w:space="0" w:color="auto"/>
              <w:right w:val="single" w:sz="4" w:space="0" w:color="auto"/>
            </w:tcBorders>
            <w:vAlign w:val="center"/>
            <w:hideMark/>
          </w:tcPr>
          <w:p w:rsidR="00FB0584" w:rsidRPr="00FB0584" w:rsidRDefault="00FB0584" w:rsidP="00FB0584">
            <w:pPr>
              <w:spacing w:before="20" w:after="20"/>
              <w:jc w:val="center"/>
              <w:rPr>
                <w:rFonts w:eastAsia="Times New Roman" w:cs="Arial"/>
                <w:sz w:val="20"/>
                <w:szCs w:val="20"/>
                <w:lang w:eastAsia="cs-CZ"/>
              </w:rPr>
            </w:pPr>
          </w:p>
        </w:tc>
        <w:tc>
          <w:tcPr>
            <w:tcW w:w="7200" w:type="dxa"/>
            <w:tcBorders>
              <w:top w:val="nil"/>
              <w:left w:val="nil"/>
              <w:bottom w:val="single" w:sz="4" w:space="0" w:color="auto"/>
              <w:right w:val="single" w:sz="4" w:space="0" w:color="auto"/>
            </w:tcBorders>
            <w:noWrap/>
            <w:vAlign w:val="center"/>
            <w:hideMark/>
          </w:tcPr>
          <w:p w:rsidR="00FB0584" w:rsidRPr="00FB0584" w:rsidRDefault="00FB0584" w:rsidP="00FB0584">
            <w:pPr>
              <w:spacing w:before="20" w:after="20"/>
              <w:rPr>
                <w:rFonts w:eastAsia="Times New Roman" w:cs="Arial"/>
                <w:sz w:val="20"/>
                <w:szCs w:val="20"/>
                <w:lang w:eastAsia="cs-CZ"/>
              </w:rPr>
            </w:pPr>
            <w:r w:rsidRPr="00FB0584">
              <w:rPr>
                <w:rFonts w:eastAsia="Times New Roman" w:cs="Arial"/>
                <w:sz w:val="20"/>
                <w:szCs w:val="20"/>
                <w:lang w:eastAsia="cs-CZ"/>
              </w:rPr>
              <w:t>Rozvoj spolupráce veřejného a soukromého sektoru</w:t>
            </w:r>
          </w:p>
        </w:tc>
      </w:tr>
      <w:tr w:rsidR="00FB0584" w:rsidRPr="00FB0584" w:rsidTr="00FB0584">
        <w:trPr>
          <w:trHeight w:val="300"/>
        </w:trPr>
        <w:tc>
          <w:tcPr>
            <w:tcW w:w="0" w:type="auto"/>
            <w:vMerge/>
            <w:tcBorders>
              <w:top w:val="nil"/>
              <w:left w:val="single" w:sz="4" w:space="0" w:color="auto"/>
              <w:bottom w:val="single" w:sz="4" w:space="0" w:color="auto"/>
              <w:right w:val="single" w:sz="4" w:space="0" w:color="auto"/>
            </w:tcBorders>
            <w:vAlign w:val="center"/>
            <w:hideMark/>
          </w:tcPr>
          <w:p w:rsidR="00FB0584" w:rsidRPr="00FB0584" w:rsidRDefault="00FB0584" w:rsidP="00FB0584">
            <w:pPr>
              <w:spacing w:before="20" w:after="20"/>
              <w:jc w:val="center"/>
              <w:rPr>
                <w:rFonts w:eastAsia="Times New Roman" w:cs="Arial"/>
                <w:sz w:val="20"/>
                <w:szCs w:val="20"/>
                <w:lang w:eastAsia="cs-CZ"/>
              </w:rPr>
            </w:pPr>
          </w:p>
        </w:tc>
        <w:tc>
          <w:tcPr>
            <w:tcW w:w="7200" w:type="dxa"/>
            <w:tcBorders>
              <w:top w:val="nil"/>
              <w:left w:val="nil"/>
              <w:bottom w:val="single" w:sz="4" w:space="0" w:color="auto"/>
              <w:right w:val="single" w:sz="4" w:space="0" w:color="auto"/>
            </w:tcBorders>
            <w:noWrap/>
            <w:vAlign w:val="center"/>
            <w:hideMark/>
          </w:tcPr>
          <w:p w:rsidR="00FB0584" w:rsidRPr="00FB0584" w:rsidRDefault="00FB0584" w:rsidP="00FB0584">
            <w:pPr>
              <w:spacing w:before="20" w:after="20"/>
              <w:rPr>
                <w:rFonts w:eastAsia="Times New Roman" w:cs="Arial"/>
                <w:sz w:val="20"/>
                <w:szCs w:val="20"/>
                <w:lang w:eastAsia="cs-CZ"/>
              </w:rPr>
            </w:pPr>
            <w:r w:rsidRPr="00FB0584">
              <w:rPr>
                <w:rFonts w:eastAsia="Times New Roman" w:cs="Arial"/>
                <w:sz w:val="20"/>
                <w:szCs w:val="20"/>
                <w:lang w:eastAsia="cs-CZ"/>
              </w:rPr>
              <w:t>Rozvoj mezinárodní spolupráce (včetně podpory projektů regionální spolupráce v rámci V4+)</w:t>
            </w:r>
          </w:p>
        </w:tc>
      </w:tr>
      <w:tr w:rsidR="00FB0584" w:rsidRPr="00FB0584" w:rsidTr="00FB0584">
        <w:trPr>
          <w:trHeight w:val="300"/>
        </w:trPr>
        <w:tc>
          <w:tcPr>
            <w:tcW w:w="0" w:type="auto"/>
            <w:vMerge/>
            <w:tcBorders>
              <w:top w:val="nil"/>
              <w:left w:val="single" w:sz="4" w:space="0" w:color="auto"/>
              <w:bottom w:val="single" w:sz="4" w:space="0" w:color="auto"/>
              <w:right w:val="single" w:sz="4" w:space="0" w:color="auto"/>
            </w:tcBorders>
            <w:vAlign w:val="center"/>
            <w:hideMark/>
          </w:tcPr>
          <w:p w:rsidR="00FB0584" w:rsidRPr="00FB0584" w:rsidRDefault="00FB0584" w:rsidP="00FB0584">
            <w:pPr>
              <w:spacing w:before="20" w:after="20"/>
              <w:jc w:val="center"/>
              <w:rPr>
                <w:rFonts w:eastAsia="Times New Roman" w:cs="Arial"/>
                <w:sz w:val="20"/>
                <w:szCs w:val="20"/>
                <w:lang w:eastAsia="cs-CZ"/>
              </w:rPr>
            </w:pPr>
          </w:p>
        </w:tc>
        <w:tc>
          <w:tcPr>
            <w:tcW w:w="7200" w:type="dxa"/>
            <w:tcBorders>
              <w:top w:val="nil"/>
              <w:left w:val="nil"/>
              <w:bottom w:val="single" w:sz="4" w:space="0" w:color="auto"/>
              <w:right w:val="single" w:sz="4" w:space="0" w:color="auto"/>
            </w:tcBorders>
            <w:noWrap/>
            <w:vAlign w:val="center"/>
            <w:hideMark/>
          </w:tcPr>
          <w:p w:rsidR="00FB0584" w:rsidRPr="00FB0584" w:rsidRDefault="00FB0584" w:rsidP="00FB0584">
            <w:pPr>
              <w:spacing w:before="20" w:after="20"/>
              <w:rPr>
                <w:rFonts w:eastAsia="Times New Roman" w:cs="Arial"/>
                <w:sz w:val="20"/>
                <w:szCs w:val="20"/>
                <w:lang w:eastAsia="cs-CZ"/>
              </w:rPr>
            </w:pPr>
            <w:r w:rsidRPr="00FB0584">
              <w:rPr>
                <w:rFonts w:eastAsia="Times New Roman" w:cs="Arial"/>
                <w:sz w:val="20"/>
                <w:szCs w:val="20"/>
                <w:lang w:eastAsia="cs-CZ"/>
              </w:rPr>
              <w:t>Potřeba skutečné multidisciplinární spolupráce v bezpečnostním výzkumu</w:t>
            </w:r>
          </w:p>
        </w:tc>
      </w:tr>
      <w:tr w:rsidR="00FB0584" w:rsidRPr="00FB0584" w:rsidTr="00FB0584">
        <w:trPr>
          <w:trHeight w:val="300"/>
        </w:trPr>
        <w:tc>
          <w:tcPr>
            <w:tcW w:w="2236" w:type="dxa"/>
            <w:vMerge w:val="restart"/>
            <w:tcBorders>
              <w:top w:val="nil"/>
              <w:left w:val="single" w:sz="4" w:space="0" w:color="auto"/>
              <w:bottom w:val="single" w:sz="4" w:space="0" w:color="auto"/>
              <w:right w:val="single" w:sz="4" w:space="0" w:color="auto"/>
            </w:tcBorders>
            <w:noWrap/>
            <w:vAlign w:val="center"/>
            <w:hideMark/>
          </w:tcPr>
          <w:p w:rsidR="00FB0584" w:rsidRPr="00FB0584" w:rsidRDefault="00FB0584" w:rsidP="00FB0584">
            <w:pPr>
              <w:spacing w:before="20" w:after="20"/>
              <w:jc w:val="center"/>
              <w:rPr>
                <w:rFonts w:eastAsia="Times New Roman" w:cs="Arial"/>
                <w:sz w:val="20"/>
                <w:szCs w:val="20"/>
                <w:lang w:eastAsia="cs-CZ"/>
              </w:rPr>
            </w:pPr>
            <w:r w:rsidRPr="00FB0584">
              <w:rPr>
                <w:rFonts w:eastAsia="Times New Roman" w:cs="Arial"/>
                <w:sz w:val="20"/>
                <w:szCs w:val="20"/>
                <w:lang w:eastAsia="cs-CZ"/>
              </w:rPr>
              <w:t>Osvěta a vzdělávání v branně bezpečnostní problematice</w:t>
            </w:r>
          </w:p>
          <w:p w:rsidR="00FB0584" w:rsidRPr="00FB0584" w:rsidRDefault="00FB0584" w:rsidP="00FB0584">
            <w:pPr>
              <w:spacing w:before="20" w:after="20"/>
              <w:jc w:val="center"/>
              <w:rPr>
                <w:rFonts w:eastAsia="Times New Roman" w:cs="Arial"/>
                <w:sz w:val="20"/>
                <w:szCs w:val="20"/>
                <w:lang w:eastAsia="cs-CZ"/>
              </w:rPr>
            </w:pPr>
          </w:p>
          <w:p w:rsidR="00FB0584" w:rsidRPr="00FB0584" w:rsidRDefault="00FB0584" w:rsidP="00FB0584">
            <w:pPr>
              <w:spacing w:before="20" w:after="20"/>
              <w:jc w:val="center"/>
              <w:rPr>
                <w:rFonts w:eastAsia="Times New Roman" w:cs="Arial"/>
                <w:sz w:val="20"/>
                <w:szCs w:val="20"/>
                <w:lang w:eastAsia="cs-CZ"/>
              </w:rPr>
            </w:pPr>
          </w:p>
        </w:tc>
        <w:tc>
          <w:tcPr>
            <w:tcW w:w="7200" w:type="dxa"/>
            <w:tcBorders>
              <w:top w:val="nil"/>
              <w:left w:val="nil"/>
              <w:bottom w:val="single" w:sz="4" w:space="0" w:color="auto"/>
              <w:right w:val="single" w:sz="4" w:space="0" w:color="auto"/>
            </w:tcBorders>
            <w:noWrap/>
            <w:vAlign w:val="center"/>
            <w:hideMark/>
          </w:tcPr>
          <w:p w:rsidR="00FB0584" w:rsidRPr="00FB0584" w:rsidRDefault="00FB0584" w:rsidP="00FB0584">
            <w:pPr>
              <w:spacing w:before="20" w:after="20"/>
              <w:rPr>
                <w:rFonts w:eastAsia="Times New Roman" w:cs="Arial"/>
                <w:sz w:val="20"/>
                <w:szCs w:val="20"/>
                <w:lang w:eastAsia="cs-CZ"/>
              </w:rPr>
            </w:pPr>
            <w:r w:rsidRPr="00FB0584">
              <w:rPr>
                <w:rFonts w:eastAsia="Times New Roman" w:cs="Arial"/>
                <w:sz w:val="20"/>
                <w:szCs w:val="20"/>
                <w:lang w:eastAsia="cs-CZ"/>
              </w:rPr>
              <w:t>Motivace a výchova široké veřejnosti (včetně šíření znalostí o integrovaném záchranném systému)</w:t>
            </w:r>
          </w:p>
        </w:tc>
      </w:tr>
      <w:tr w:rsidR="00FB0584" w:rsidRPr="00FB0584" w:rsidTr="00FB0584">
        <w:trPr>
          <w:trHeight w:val="300"/>
        </w:trPr>
        <w:tc>
          <w:tcPr>
            <w:tcW w:w="0" w:type="auto"/>
            <w:vMerge/>
            <w:tcBorders>
              <w:top w:val="nil"/>
              <w:left w:val="single" w:sz="4" w:space="0" w:color="auto"/>
              <w:bottom w:val="single" w:sz="4" w:space="0" w:color="auto"/>
              <w:right w:val="single" w:sz="4" w:space="0" w:color="auto"/>
            </w:tcBorders>
            <w:vAlign w:val="center"/>
            <w:hideMark/>
          </w:tcPr>
          <w:p w:rsidR="00FB0584" w:rsidRPr="00FB0584" w:rsidRDefault="00FB0584" w:rsidP="00FB0584">
            <w:pPr>
              <w:spacing w:before="20" w:after="20"/>
              <w:jc w:val="center"/>
              <w:rPr>
                <w:rFonts w:eastAsia="Times New Roman" w:cs="Arial"/>
                <w:sz w:val="20"/>
                <w:szCs w:val="20"/>
                <w:lang w:eastAsia="cs-CZ"/>
              </w:rPr>
            </w:pPr>
          </w:p>
        </w:tc>
        <w:tc>
          <w:tcPr>
            <w:tcW w:w="7200" w:type="dxa"/>
            <w:tcBorders>
              <w:top w:val="nil"/>
              <w:left w:val="nil"/>
              <w:bottom w:val="single" w:sz="4" w:space="0" w:color="auto"/>
              <w:right w:val="single" w:sz="4" w:space="0" w:color="auto"/>
            </w:tcBorders>
            <w:noWrap/>
            <w:vAlign w:val="center"/>
            <w:hideMark/>
          </w:tcPr>
          <w:p w:rsidR="00FB0584" w:rsidRPr="00FB0584" w:rsidRDefault="00FB0584" w:rsidP="00FB0584">
            <w:pPr>
              <w:spacing w:before="20" w:after="20"/>
              <w:rPr>
                <w:rFonts w:eastAsia="Times New Roman" w:cs="Arial"/>
                <w:sz w:val="20"/>
                <w:szCs w:val="20"/>
                <w:lang w:eastAsia="cs-CZ"/>
              </w:rPr>
            </w:pPr>
            <w:r w:rsidRPr="00FB0584">
              <w:rPr>
                <w:rFonts w:eastAsia="Times New Roman" w:cs="Arial"/>
                <w:sz w:val="20"/>
                <w:szCs w:val="20"/>
                <w:lang w:eastAsia="cs-CZ"/>
              </w:rPr>
              <w:t>Vzdělávání managementu firem v problematice bezpečnosti</w:t>
            </w:r>
          </w:p>
        </w:tc>
      </w:tr>
      <w:tr w:rsidR="00FB0584" w:rsidRPr="00FB0584" w:rsidTr="00FB0584">
        <w:trPr>
          <w:trHeight w:val="300"/>
        </w:trPr>
        <w:tc>
          <w:tcPr>
            <w:tcW w:w="0" w:type="auto"/>
            <w:vMerge/>
            <w:tcBorders>
              <w:top w:val="nil"/>
              <w:left w:val="single" w:sz="4" w:space="0" w:color="auto"/>
              <w:bottom w:val="single" w:sz="4" w:space="0" w:color="auto"/>
              <w:right w:val="single" w:sz="4" w:space="0" w:color="auto"/>
            </w:tcBorders>
            <w:vAlign w:val="center"/>
            <w:hideMark/>
          </w:tcPr>
          <w:p w:rsidR="00FB0584" w:rsidRPr="00FB0584" w:rsidRDefault="00FB0584" w:rsidP="00FB0584">
            <w:pPr>
              <w:spacing w:before="20" w:after="20"/>
              <w:jc w:val="center"/>
              <w:rPr>
                <w:rFonts w:eastAsia="Times New Roman" w:cs="Arial"/>
                <w:sz w:val="20"/>
                <w:szCs w:val="20"/>
                <w:lang w:eastAsia="cs-CZ"/>
              </w:rPr>
            </w:pPr>
          </w:p>
        </w:tc>
        <w:tc>
          <w:tcPr>
            <w:tcW w:w="7200" w:type="dxa"/>
            <w:tcBorders>
              <w:top w:val="nil"/>
              <w:left w:val="nil"/>
              <w:bottom w:val="single" w:sz="4" w:space="0" w:color="auto"/>
              <w:right w:val="single" w:sz="4" w:space="0" w:color="auto"/>
            </w:tcBorders>
            <w:noWrap/>
            <w:vAlign w:val="center"/>
            <w:hideMark/>
          </w:tcPr>
          <w:p w:rsidR="00FB0584" w:rsidRPr="00FB0584" w:rsidRDefault="00FB0584" w:rsidP="00FB0584">
            <w:pPr>
              <w:spacing w:before="20" w:after="20"/>
              <w:rPr>
                <w:rFonts w:eastAsia="Times New Roman" w:cs="Arial"/>
                <w:sz w:val="20"/>
                <w:szCs w:val="20"/>
                <w:lang w:eastAsia="cs-CZ"/>
              </w:rPr>
            </w:pPr>
            <w:r w:rsidRPr="00FB0584">
              <w:rPr>
                <w:rFonts w:eastAsia="Times New Roman" w:cs="Arial"/>
                <w:sz w:val="20"/>
                <w:szCs w:val="20"/>
                <w:lang w:eastAsia="cs-CZ"/>
              </w:rPr>
              <w:t>Laicizace bezpečnosti – zapojení veřejnosti, komunit a soukromých firem (využití dat z komunitního a soukromého sektoru, rozvoj komunitní bezpečnosti, podpora činnosti dobrovolníků)</w:t>
            </w:r>
          </w:p>
        </w:tc>
      </w:tr>
      <w:tr w:rsidR="00FB0584" w:rsidRPr="00FB0584" w:rsidTr="00FB0584">
        <w:trPr>
          <w:trHeight w:val="300"/>
        </w:trPr>
        <w:tc>
          <w:tcPr>
            <w:tcW w:w="2236" w:type="dxa"/>
            <w:vMerge w:val="restart"/>
            <w:tcBorders>
              <w:top w:val="nil"/>
              <w:left w:val="single" w:sz="4" w:space="0" w:color="auto"/>
              <w:bottom w:val="single" w:sz="4" w:space="0" w:color="auto"/>
              <w:right w:val="single" w:sz="4" w:space="0" w:color="auto"/>
            </w:tcBorders>
            <w:shd w:val="clear" w:color="auto" w:fill="F2F2F2"/>
            <w:noWrap/>
            <w:vAlign w:val="center"/>
            <w:hideMark/>
          </w:tcPr>
          <w:p w:rsidR="00FB0584" w:rsidRPr="00FB0584" w:rsidRDefault="00FB0584" w:rsidP="00FB0584">
            <w:pPr>
              <w:spacing w:before="20" w:after="20"/>
              <w:jc w:val="center"/>
              <w:rPr>
                <w:rFonts w:eastAsia="Times New Roman" w:cs="Arial"/>
                <w:sz w:val="20"/>
                <w:szCs w:val="20"/>
                <w:lang w:eastAsia="cs-CZ"/>
              </w:rPr>
            </w:pPr>
            <w:r w:rsidRPr="00FB0584">
              <w:rPr>
                <w:rFonts w:eastAsia="Times New Roman" w:cs="Arial"/>
                <w:sz w:val="20"/>
                <w:szCs w:val="20"/>
                <w:lang w:eastAsia="cs-CZ"/>
              </w:rPr>
              <w:t>Specializované dílčí trendy</w:t>
            </w:r>
          </w:p>
          <w:p w:rsidR="00FB0584" w:rsidRPr="00FB0584" w:rsidRDefault="00FB0584" w:rsidP="00FB0584">
            <w:pPr>
              <w:spacing w:before="20" w:after="20"/>
              <w:jc w:val="center"/>
              <w:rPr>
                <w:rFonts w:eastAsia="Times New Roman" w:cs="Arial"/>
                <w:sz w:val="20"/>
                <w:szCs w:val="20"/>
                <w:lang w:eastAsia="cs-CZ"/>
              </w:rPr>
            </w:pPr>
          </w:p>
          <w:p w:rsidR="00FB0584" w:rsidRPr="00FB0584" w:rsidRDefault="00FB0584" w:rsidP="00FB0584">
            <w:pPr>
              <w:spacing w:before="20" w:after="20"/>
              <w:jc w:val="center"/>
              <w:rPr>
                <w:rFonts w:eastAsia="Times New Roman" w:cs="Arial"/>
                <w:sz w:val="20"/>
                <w:szCs w:val="20"/>
                <w:lang w:eastAsia="cs-CZ"/>
              </w:rPr>
            </w:pPr>
          </w:p>
          <w:p w:rsidR="00FB0584" w:rsidRPr="00FB0584" w:rsidRDefault="00FB0584" w:rsidP="00FB0584">
            <w:pPr>
              <w:spacing w:before="20" w:after="20"/>
              <w:jc w:val="center"/>
              <w:rPr>
                <w:rFonts w:eastAsia="Times New Roman" w:cs="Arial"/>
                <w:sz w:val="20"/>
                <w:szCs w:val="20"/>
                <w:lang w:eastAsia="cs-CZ"/>
              </w:rPr>
            </w:pPr>
          </w:p>
          <w:p w:rsidR="00FB0584" w:rsidRPr="00FB0584" w:rsidRDefault="00FB0584" w:rsidP="00FB0584">
            <w:pPr>
              <w:spacing w:before="20" w:after="20"/>
              <w:jc w:val="center"/>
              <w:rPr>
                <w:rFonts w:eastAsia="Times New Roman" w:cs="Arial"/>
                <w:sz w:val="20"/>
                <w:szCs w:val="20"/>
                <w:lang w:eastAsia="cs-CZ"/>
              </w:rPr>
            </w:pPr>
          </w:p>
          <w:p w:rsidR="00FB0584" w:rsidRPr="00FB0584" w:rsidRDefault="00FB0584" w:rsidP="00FB0584">
            <w:pPr>
              <w:spacing w:before="20" w:after="20"/>
              <w:jc w:val="center"/>
              <w:rPr>
                <w:rFonts w:eastAsia="Times New Roman" w:cs="Arial"/>
                <w:sz w:val="20"/>
                <w:szCs w:val="20"/>
                <w:lang w:eastAsia="cs-CZ"/>
              </w:rPr>
            </w:pPr>
          </w:p>
        </w:tc>
        <w:tc>
          <w:tcPr>
            <w:tcW w:w="7200" w:type="dxa"/>
            <w:tcBorders>
              <w:top w:val="nil"/>
              <w:left w:val="nil"/>
              <w:bottom w:val="single" w:sz="4" w:space="0" w:color="auto"/>
              <w:right w:val="single" w:sz="4" w:space="0" w:color="auto"/>
            </w:tcBorders>
            <w:shd w:val="clear" w:color="auto" w:fill="F2F2F2"/>
            <w:noWrap/>
            <w:vAlign w:val="center"/>
            <w:hideMark/>
          </w:tcPr>
          <w:p w:rsidR="00FB0584" w:rsidRPr="00FB0584" w:rsidRDefault="00FB0584" w:rsidP="00FB0584">
            <w:pPr>
              <w:spacing w:before="20" w:after="20"/>
              <w:rPr>
                <w:rFonts w:eastAsia="Times New Roman" w:cs="Arial"/>
                <w:sz w:val="20"/>
                <w:szCs w:val="20"/>
                <w:lang w:eastAsia="cs-CZ"/>
              </w:rPr>
            </w:pPr>
            <w:r w:rsidRPr="00FB0584">
              <w:rPr>
                <w:rFonts w:eastAsia="Times New Roman" w:cs="Arial"/>
                <w:sz w:val="20"/>
                <w:szCs w:val="20"/>
                <w:lang w:eastAsia="cs-CZ"/>
              </w:rPr>
              <w:t>Ochrana měkkých cílů (s využitím zapojení veřejnosti, komunit a soukromých firem)</w:t>
            </w:r>
          </w:p>
        </w:tc>
      </w:tr>
      <w:tr w:rsidR="00FB0584" w:rsidRPr="00FB0584" w:rsidTr="00FB0584">
        <w:trPr>
          <w:trHeight w:val="300"/>
        </w:trPr>
        <w:tc>
          <w:tcPr>
            <w:tcW w:w="0" w:type="auto"/>
            <w:vMerge/>
            <w:tcBorders>
              <w:top w:val="nil"/>
              <w:left w:val="single" w:sz="4" w:space="0" w:color="auto"/>
              <w:bottom w:val="single" w:sz="4" w:space="0" w:color="auto"/>
              <w:right w:val="single" w:sz="4" w:space="0" w:color="auto"/>
            </w:tcBorders>
            <w:vAlign w:val="center"/>
            <w:hideMark/>
          </w:tcPr>
          <w:p w:rsidR="00FB0584" w:rsidRPr="00FB0584" w:rsidRDefault="00FB0584" w:rsidP="00FB0584">
            <w:pPr>
              <w:spacing w:before="20" w:after="20"/>
              <w:rPr>
                <w:rFonts w:eastAsia="Times New Roman" w:cs="Arial"/>
                <w:sz w:val="20"/>
                <w:szCs w:val="20"/>
                <w:lang w:eastAsia="cs-CZ"/>
              </w:rPr>
            </w:pPr>
          </w:p>
        </w:tc>
        <w:tc>
          <w:tcPr>
            <w:tcW w:w="7200" w:type="dxa"/>
            <w:tcBorders>
              <w:top w:val="nil"/>
              <w:left w:val="nil"/>
              <w:bottom w:val="single" w:sz="4" w:space="0" w:color="auto"/>
              <w:right w:val="single" w:sz="4" w:space="0" w:color="auto"/>
            </w:tcBorders>
            <w:shd w:val="clear" w:color="auto" w:fill="F2F2F2"/>
            <w:noWrap/>
            <w:vAlign w:val="center"/>
            <w:hideMark/>
          </w:tcPr>
          <w:p w:rsidR="00FB0584" w:rsidRPr="00FB0584" w:rsidRDefault="00FB0584" w:rsidP="00FB0584">
            <w:pPr>
              <w:spacing w:before="20" w:after="20"/>
              <w:rPr>
                <w:rFonts w:eastAsia="Times New Roman" w:cs="Arial"/>
                <w:sz w:val="20"/>
                <w:szCs w:val="20"/>
                <w:lang w:eastAsia="cs-CZ"/>
              </w:rPr>
            </w:pPr>
            <w:r w:rsidRPr="00FB0584">
              <w:rPr>
                <w:rFonts w:eastAsia="Times New Roman" w:cs="Arial"/>
                <w:sz w:val="20"/>
                <w:szCs w:val="20"/>
                <w:lang w:eastAsia="cs-CZ"/>
              </w:rPr>
              <w:t>Detekce a likvidace biologických látek</w:t>
            </w:r>
          </w:p>
        </w:tc>
      </w:tr>
      <w:tr w:rsidR="00FB0584" w:rsidRPr="00FB0584" w:rsidTr="00FB0584">
        <w:trPr>
          <w:trHeight w:val="300"/>
        </w:trPr>
        <w:tc>
          <w:tcPr>
            <w:tcW w:w="0" w:type="auto"/>
            <w:vMerge/>
            <w:tcBorders>
              <w:top w:val="nil"/>
              <w:left w:val="single" w:sz="4" w:space="0" w:color="auto"/>
              <w:bottom w:val="single" w:sz="4" w:space="0" w:color="auto"/>
              <w:right w:val="single" w:sz="4" w:space="0" w:color="auto"/>
            </w:tcBorders>
            <w:vAlign w:val="center"/>
            <w:hideMark/>
          </w:tcPr>
          <w:p w:rsidR="00FB0584" w:rsidRPr="00FB0584" w:rsidRDefault="00FB0584" w:rsidP="00FB0584">
            <w:pPr>
              <w:spacing w:before="20" w:after="20"/>
              <w:rPr>
                <w:rFonts w:eastAsia="Times New Roman" w:cs="Arial"/>
                <w:sz w:val="20"/>
                <w:szCs w:val="20"/>
                <w:lang w:eastAsia="cs-CZ"/>
              </w:rPr>
            </w:pPr>
          </w:p>
        </w:tc>
        <w:tc>
          <w:tcPr>
            <w:tcW w:w="7200" w:type="dxa"/>
            <w:tcBorders>
              <w:top w:val="nil"/>
              <w:left w:val="nil"/>
              <w:bottom w:val="single" w:sz="4" w:space="0" w:color="auto"/>
              <w:right w:val="single" w:sz="4" w:space="0" w:color="auto"/>
            </w:tcBorders>
            <w:shd w:val="clear" w:color="auto" w:fill="F2F2F2"/>
            <w:noWrap/>
            <w:vAlign w:val="center"/>
            <w:hideMark/>
          </w:tcPr>
          <w:p w:rsidR="00FB0584" w:rsidRPr="00FB0584" w:rsidRDefault="00FB0584" w:rsidP="00FB0584">
            <w:pPr>
              <w:spacing w:before="20" w:after="20"/>
              <w:rPr>
                <w:rFonts w:eastAsia="Times New Roman" w:cs="Arial"/>
                <w:sz w:val="20"/>
                <w:szCs w:val="20"/>
                <w:lang w:eastAsia="cs-CZ"/>
              </w:rPr>
            </w:pPr>
            <w:r w:rsidRPr="00FB0584">
              <w:rPr>
                <w:rFonts w:eastAsia="Times New Roman" w:cs="Arial"/>
                <w:sz w:val="20"/>
                <w:szCs w:val="20"/>
                <w:lang w:eastAsia="cs-CZ"/>
              </w:rPr>
              <w:t>Využití „big data“ pro analýzu hrozeb a rizik</w:t>
            </w:r>
          </w:p>
        </w:tc>
      </w:tr>
      <w:tr w:rsidR="00FB0584" w:rsidRPr="00FB0584" w:rsidTr="00FB0584">
        <w:trPr>
          <w:trHeight w:val="300"/>
        </w:trPr>
        <w:tc>
          <w:tcPr>
            <w:tcW w:w="0" w:type="auto"/>
            <w:vMerge/>
            <w:tcBorders>
              <w:top w:val="nil"/>
              <w:left w:val="single" w:sz="4" w:space="0" w:color="auto"/>
              <w:bottom w:val="single" w:sz="4" w:space="0" w:color="auto"/>
              <w:right w:val="single" w:sz="4" w:space="0" w:color="auto"/>
            </w:tcBorders>
            <w:vAlign w:val="center"/>
            <w:hideMark/>
          </w:tcPr>
          <w:p w:rsidR="00FB0584" w:rsidRPr="00FB0584" w:rsidRDefault="00FB0584" w:rsidP="00FB0584">
            <w:pPr>
              <w:spacing w:before="20" w:after="20"/>
              <w:rPr>
                <w:rFonts w:eastAsia="Times New Roman" w:cs="Arial"/>
                <w:sz w:val="20"/>
                <w:szCs w:val="20"/>
                <w:lang w:eastAsia="cs-CZ"/>
              </w:rPr>
            </w:pPr>
          </w:p>
        </w:tc>
        <w:tc>
          <w:tcPr>
            <w:tcW w:w="7200" w:type="dxa"/>
            <w:tcBorders>
              <w:top w:val="nil"/>
              <w:left w:val="nil"/>
              <w:bottom w:val="single" w:sz="4" w:space="0" w:color="auto"/>
              <w:right w:val="single" w:sz="4" w:space="0" w:color="auto"/>
            </w:tcBorders>
            <w:shd w:val="clear" w:color="auto" w:fill="F2F2F2"/>
            <w:noWrap/>
            <w:vAlign w:val="center"/>
            <w:hideMark/>
          </w:tcPr>
          <w:p w:rsidR="00FB0584" w:rsidRPr="00FB0584" w:rsidRDefault="00FB0584" w:rsidP="00FB0584">
            <w:pPr>
              <w:spacing w:before="20" w:after="20"/>
              <w:rPr>
                <w:rFonts w:eastAsia="Times New Roman" w:cs="Arial"/>
                <w:sz w:val="20"/>
                <w:szCs w:val="20"/>
                <w:lang w:eastAsia="cs-CZ"/>
              </w:rPr>
            </w:pPr>
            <w:r w:rsidRPr="00FB0584">
              <w:rPr>
                <w:rFonts w:eastAsia="Times New Roman" w:cs="Arial"/>
                <w:sz w:val="20"/>
                <w:szCs w:val="20"/>
                <w:lang w:eastAsia="cs-CZ"/>
              </w:rPr>
              <w:t>Kontrola dronů (možnost převzetí řízení v případě teroristického útoku nebo ohrožení)</w:t>
            </w:r>
          </w:p>
        </w:tc>
      </w:tr>
      <w:tr w:rsidR="00FB0584" w:rsidRPr="00FB0584" w:rsidTr="00FB0584">
        <w:trPr>
          <w:trHeight w:val="300"/>
        </w:trPr>
        <w:tc>
          <w:tcPr>
            <w:tcW w:w="0" w:type="auto"/>
            <w:vMerge/>
            <w:tcBorders>
              <w:top w:val="nil"/>
              <w:left w:val="single" w:sz="4" w:space="0" w:color="auto"/>
              <w:bottom w:val="single" w:sz="4" w:space="0" w:color="auto"/>
              <w:right w:val="single" w:sz="4" w:space="0" w:color="auto"/>
            </w:tcBorders>
            <w:vAlign w:val="center"/>
            <w:hideMark/>
          </w:tcPr>
          <w:p w:rsidR="00FB0584" w:rsidRPr="00FB0584" w:rsidRDefault="00FB0584" w:rsidP="00FB0584">
            <w:pPr>
              <w:spacing w:before="20" w:after="20"/>
              <w:rPr>
                <w:rFonts w:eastAsia="Times New Roman" w:cs="Arial"/>
                <w:sz w:val="20"/>
                <w:szCs w:val="20"/>
                <w:lang w:eastAsia="cs-CZ"/>
              </w:rPr>
            </w:pPr>
          </w:p>
        </w:tc>
        <w:tc>
          <w:tcPr>
            <w:tcW w:w="7200" w:type="dxa"/>
            <w:tcBorders>
              <w:top w:val="nil"/>
              <w:left w:val="nil"/>
              <w:bottom w:val="single" w:sz="4" w:space="0" w:color="auto"/>
              <w:right w:val="single" w:sz="4" w:space="0" w:color="auto"/>
            </w:tcBorders>
            <w:shd w:val="clear" w:color="auto" w:fill="F2F2F2"/>
            <w:noWrap/>
            <w:vAlign w:val="center"/>
            <w:hideMark/>
          </w:tcPr>
          <w:p w:rsidR="00FB0584" w:rsidRPr="00FB0584" w:rsidRDefault="00FB0584" w:rsidP="00FB0584">
            <w:pPr>
              <w:spacing w:before="20" w:after="20"/>
              <w:rPr>
                <w:rFonts w:eastAsia="Times New Roman" w:cs="Arial"/>
                <w:sz w:val="20"/>
                <w:szCs w:val="20"/>
                <w:lang w:eastAsia="cs-CZ"/>
              </w:rPr>
            </w:pPr>
            <w:r w:rsidRPr="00FB0584">
              <w:rPr>
                <w:rFonts w:eastAsia="Times New Roman" w:cs="Arial"/>
                <w:sz w:val="20"/>
                <w:szCs w:val="20"/>
                <w:lang w:eastAsia="cs-CZ"/>
              </w:rPr>
              <w:t>Biomedicína – ochrana citlivých dat na úrovni genů</w:t>
            </w:r>
          </w:p>
        </w:tc>
      </w:tr>
      <w:tr w:rsidR="00FB0584" w:rsidRPr="00FB0584" w:rsidTr="00FB0584">
        <w:trPr>
          <w:trHeight w:val="300"/>
        </w:trPr>
        <w:tc>
          <w:tcPr>
            <w:tcW w:w="0" w:type="auto"/>
            <w:vMerge/>
            <w:tcBorders>
              <w:top w:val="nil"/>
              <w:left w:val="single" w:sz="4" w:space="0" w:color="auto"/>
              <w:bottom w:val="single" w:sz="4" w:space="0" w:color="auto"/>
              <w:right w:val="single" w:sz="4" w:space="0" w:color="auto"/>
            </w:tcBorders>
            <w:vAlign w:val="center"/>
            <w:hideMark/>
          </w:tcPr>
          <w:p w:rsidR="00FB0584" w:rsidRPr="00FB0584" w:rsidRDefault="00FB0584" w:rsidP="00FB0584">
            <w:pPr>
              <w:spacing w:before="20" w:after="20"/>
              <w:rPr>
                <w:rFonts w:eastAsia="Times New Roman" w:cs="Arial"/>
                <w:sz w:val="20"/>
                <w:szCs w:val="20"/>
                <w:lang w:eastAsia="cs-CZ"/>
              </w:rPr>
            </w:pPr>
          </w:p>
        </w:tc>
        <w:tc>
          <w:tcPr>
            <w:tcW w:w="7200" w:type="dxa"/>
            <w:tcBorders>
              <w:top w:val="nil"/>
              <w:left w:val="nil"/>
              <w:bottom w:val="single" w:sz="4" w:space="0" w:color="auto"/>
              <w:right w:val="single" w:sz="4" w:space="0" w:color="auto"/>
            </w:tcBorders>
            <w:shd w:val="clear" w:color="auto" w:fill="F2F2F2"/>
            <w:noWrap/>
            <w:vAlign w:val="center"/>
            <w:hideMark/>
          </w:tcPr>
          <w:p w:rsidR="00FB0584" w:rsidRPr="00FB0584" w:rsidRDefault="00FB0584" w:rsidP="00FB0584">
            <w:pPr>
              <w:spacing w:before="20" w:after="20"/>
              <w:rPr>
                <w:rFonts w:eastAsia="Times New Roman" w:cs="Arial"/>
                <w:sz w:val="20"/>
                <w:szCs w:val="20"/>
                <w:lang w:eastAsia="cs-CZ"/>
              </w:rPr>
            </w:pPr>
            <w:r w:rsidRPr="00FB0584">
              <w:rPr>
                <w:rFonts w:eastAsia="Times New Roman" w:cs="Arial"/>
                <w:sz w:val="20"/>
                <w:szCs w:val="20"/>
                <w:lang w:eastAsia="cs-CZ"/>
              </w:rPr>
              <w:t>Vyhledávání a likvidace min</w:t>
            </w:r>
          </w:p>
        </w:tc>
      </w:tr>
    </w:tbl>
    <w:p w:rsidR="00236334" w:rsidRDefault="00236334" w:rsidP="00A42657">
      <w:pPr>
        <w:pStyle w:val="Nadpis1"/>
        <w:pageBreakBefore/>
        <w:rPr>
          <w:lang w:eastAsia="cs-CZ"/>
        </w:rPr>
      </w:pPr>
      <w:bookmarkStart w:id="194" w:name="_Ref450307031"/>
      <w:bookmarkStart w:id="195" w:name="_Toc459723316"/>
      <w:r>
        <w:rPr>
          <w:lang w:eastAsia="cs-CZ"/>
        </w:rPr>
        <w:t>Lidské zdroje</w:t>
      </w:r>
      <w:bookmarkEnd w:id="194"/>
      <w:bookmarkEnd w:id="195"/>
      <w:r>
        <w:rPr>
          <w:lang w:eastAsia="cs-CZ"/>
        </w:rPr>
        <w:t xml:space="preserve"> </w:t>
      </w:r>
    </w:p>
    <w:p w:rsidR="00C656AC" w:rsidRDefault="00236334" w:rsidP="00C656AC">
      <w:pPr>
        <w:pStyle w:val="Nadpis2"/>
      </w:pPr>
      <w:bookmarkStart w:id="196" w:name="_Toc459723317"/>
      <w:r>
        <w:t xml:space="preserve">Analýza </w:t>
      </w:r>
      <w:r w:rsidR="00C656AC">
        <w:t>lidských zdrojů pro bezpečnostní výzkum</w:t>
      </w:r>
      <w:bookmarkEnd w:id="196"/>
    </w:p>
    <w:tbl>
      <w:tblPr>
        <w:tblW w:w="0" w:type="auto"/>
        <w:tblLook w:val="04A0" w:firstRow="1" w:lastRow="0" w:firstColumn="1" w:lastColumn="0" w:noHBand="0" w:noVBand="1"/>
      </w:tblPr>
      <w:tblGrid>
        <w:gridCol w:w="9430"/>
      </w:tblGrid>
      <w:tr w:rsidR="003F60CD" w:rsidTr="001D5000">
        <w:tc>
          <w:tcPr>
            <w:tcW w:w="9430"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1119C6" w:rsidRDefault="003F60CD" w:rsidP="00096733">
            <w:r>
              <w:t xml:space="preserve">Do řešení projektů podpořených v programech BV v gesci MV se zapojují výzkumní pracovníci ze všech sektorů. Ročně se na řešení projektů průměrně podílelo </w:t>
            </w:r>
            <w:r w:rsidR="00931468">
              <w:t>více než 300</w:t>
            </w:r>
            <w:r>
              <w:t xml:space="preserve"> individuálních řešitelů (výzkumných pracovníků). Počet řešitelů projektů zapojených do řešení projektů narůstal a mezi roky 2010 a 2015 vzrostl přibližně na dvojnásobek.</w:t>
            </w:r>
          </w:p>
          <w:p w:rsidR="003F60CD" w:rsidRDefault="003F60CD" w:rsidP="00096733">
            <w:r>
              <w:t>Z</w:t>
            </w:r>
            <w:r w:rsidRPr="003F60CD">
              <w:t xml:space="preserve"> hlediska počtu řešitelů je nejvýznamnější podnikatelský a vysokoškolský sektor, v nichž se dohromady nachází přibližně 2/3 řešitelské kapacity. Zastoupení veřejných výzkumných institucí je přibližně poloviční.</w:t>
            </w:r>
            <w:r>
              <w:t xml:space="preserve"> </w:t>
            </w:r>
            <w:r w:rsidR="001119C6">
              <w:t>Dominantní výzkumnou institucí v resortu MV je Kriminalistický ústav (KÚ).</w:t>
            </w:r>
          </w:p>
          <w:p w:rsidR="001119C6" w:rsidRDefault="001119C6" w:rsidP="007E1771">
            <w:r w:rsidRPr="001119C6">
              <w:t xml:space="preserve">Počty autorů výstupů bezpečnostních programů jsou </w:t>
            </w:r>
            <w:r>
              <w:t xml:space="preserve">výrazně </w:t>
            </w:r>
            <w:r w:rsidRPr="001119C6">
              <w:t>vyšší a jejich počet roste strměji</w:t>
            </w:r>
            <w:r>
              <w:t xml:space="preserve">, což </w:t>
            </w:r>
            <w:r w:rsidRPr="001119C6">
              <w:t xml:space="preserve">znamená, že do řešení projektů BV (nebo alespoň do tvorby výsledků) </w:t>
            </w:r>
            <w:r w:rsidR="009E79F2">
              <w:t xml:space="preserve">se postupně </w:t>
            </w:r>
            <w:r w:rsidRPr="001119C6">
              <w:t>zapoj</w:t>
            </w:r>
            <w:r w:rsidR="009E79F2">
              <w:t>ují</w:t>
            </w:r>
            <w:r w:rsidRPr="001119C6">
              <w:t xml:space="preserve"> další výzkumní pracovníci</w:t>
            </w:r>
            <w:r>
              <w:t xml:space="preserve"> institucí účastnících se v projektech. Nejvyšší počet výzkumných pracovníků zapojených do tvorby publikací je ve VŠ, kde působí velké výzkumné týmy </w:t>
            </w:r>
            <w:r w:rsidR="007E1771">
              <w:t>v řadě</w:t>
            </w:r>
            <w:r>
              <w:t xml:space="preserve"> oborů. Největší kapacita je ve VŠ, které se nejvíce zapojují do programů BV – v ČVUT v Praze, VŠB – TO Ostrava, VUT v Brně a Masarykově univerzitě v Brně.</w:t>
            </w:r>
          </w:p>
        </w:tc>
      </w:tr>
    </w:tbl>
    <w:p w:rsidR="003F60CD" w:rsidRDefault="003F60CD" w:rsidP="00B74AF8"/>
    <w:p w:rsidR="009E79F2" w:rsidRDefault="009E79F2" w:rsidP="00B74AF8">
      <w:r w:rsidRPr="009E79F2">
        <w:t>Pro stanovení počtu řešitelů projektů MV byly využity údaje z databáze CEP IS VaVaI. Jako řešitel projektu je označen každý unikátní účastník konkrétního projektu v libovolné roli uvedený v doplňujícím „Výpisu financí účastníků projektů po letech“ ve výstupech z databáze CEP</w:t>
      </w:r>
      <w:r w:rsidRPr="009E79F2">
        <w:rPr>
          <w:vertAlign w:val="superscript"/>
        </w:rPr>
        <w:footnoteReference w:id="40"/>
      </w:r>
      <w:r w:rsidRPr="009E79F2">
        <w:t>.</w:t>
      </w:r>
    </w:p>
    <w:p w:rsidR="00B41238" w:rsidRDefault="00B74AF8" w:rsidP="00B74AF8">
      <w:r>
        <w:t xml:space="preserve">V období </w:t>
      </w:r>
      <w:r w:rsidR="00B41238">
        <w:t xml:space="preserve">mezi roky 2010 a 2015 </w:t>
      </w:r>
      <w:r>
        <w:t xml:space="preserve">počet řešitelů projektů </w:t>
      </w:r>
      <w:r w:rsidR="00B41238">
        <w:t>BV vzrostl</w:t>
      </w:r>
      <w:r>
        <w:t xml:space="preserve"> přibližně na dvojnásobek</w:t>
      </w:r>
      <w:r w:rsidR="00B41238">
        <w:t xml:space="preserve">. </w:t>
      </w:r>
      <w:r w:rsidR="00233A6F">
        <w:t xml:space="preserve">Maximálního počtu </w:t>
      </w:r>
      <w:r w:rsidR="00B41238">
        <w:t xml:space="preserve">řešitelů, kteří byli v řešení projektů ročně zapojeni, </w:t>
      </w:r>
      <w:r w:rsidR="00233A6F">
        <w:t>bylo dosaženo v roce 2013 (240 jedinečných řešitelů), poté počet řešitelů začal klesat</w:t>
      </w:r>
      <w:r w:rsidR="00B41238">
        <w:t xml:space="preserve"> (viz </w:t>
      </w:r>
      <w:r w:rsidR="00B41238">
        <w:fldChar w:fldCharType="begin"/>
      </w:r>
      <w:r w:rsidR="00B41238">
        <w:instrText xml:space="preserve"> REF  _Ref450053173 \* Lower \h  \* MERGEFORMAT </w:instrText>
      </w:r>
      <w:r w:rsidR="00B41238">
        <w:fldChar w:fldCharType="separate"/>
      </w:r>
      <w:r w:rsidR="003F08E5">
        <w:t xml:space="preserve">tab. </w:t>
      </w:r>
      <w:r w:rsidR="003F08E5">
        <w:rPr>
          <w:noProof/>
        </w:rPr>
        <w:t>51</w:t>
      </w:r>
      <w:r w:rsidR="00B41238">
        <w:fldChar w:fldCharType="end"/>
      </w:r>
      <w:r w:rsidR="00B41238">
        <w:t xml:space="preserve">). </w:t>
      </w:r>
      <w:r w:rsidR="00233A6F">
        <w:t>Vývoj počtu řešitelů v letech 2010 – 2015</w:t>
      </w:r>
      <w:r w:rsidR="00B41238">
        <w:t xml:space="preserve"> zřejmě souvisí </w:t>
      </w:r>
      <w:r w:rsidR="00233A6F">
        <w:t xml:space="preserve">s časovým vývojem </w:t>
      </w:r>
      <w:r w:rsidR="00B41238">
        <w:t>počt</w:t>
      </w:r>
      <w:r w:rsidR="00233A6F">
        <w:t>u</w:t>
      </w:r>
      <w:r w:rsidR="00B41238">
        <w:t xml:space="preserve"> projektů </w:t>
      </w:r>
      <w:r w:rsidR="00233A6F">
        <w:t xml:space="preserve">řešených v programech MV </w:t>
      </w:r>
      <w:r w:rsidR="00B41238">
        <w:t>i jejich finančním objemem</w:t>
      </w:r>
      <w:r w:rsidR="00233A6F">
        <w:t xml:space="preserve"> (viz </w:t>
      </w:r>
      <w:r w:rsidR="00233A6F">
        <w:fldChar w:fldCharType="begin"/>
      </w:r>
      <w:r w:rsidR="00233A6F">
        <w:instrText xml:space="preserve"> REF  _Ref450148530 \* Lower \h  \* MERGEFORMAT </w:instrText>
      </w:r>
      <w:r w:rsidR="00233A6F">
        <w:fldChar w:fldCharType="separate"/>
      </w:r>
      <w:r w:rsidR="003F08E5">
        <w:t xml:space="preserve">obr. </w:t>
      </w:r>
      <w:r w:rsidR="003F08E5">
        <w:rPr>
          <w:noProof/>
        </w:rPr>
        <w:t>2</w:t>
      </w:r>
      <w:r w:rsidR="00233A6F">
        <w:fldChar w:fldCharType="end"/>
      </w:r>
      <w:r w:rsidR="00233A6F">
        <w:t xml:space="preserve"> a </w:t>
      </w:r>
      <w:r w:rsidR="00233A6F">
        <w:fldChar w:fldCharType="begin"/>
      </w:r>
      <w:r w:rsidR="00233A6F">
        <w:instrText xml:space="preserve"> REF  _Ref450304952 \* Lower \h  \* MERGEFORMAT </w:instrText>
      </w:r>
      <w:r w:rsidR="00233A6F">
        <w:fldChar w:fldCharType="separate"/>
      </w:r>
      <w:r w:rsidR="003F08E5">
        <w:t xml:space="preserve">obr. </w:t>
      </w:r>
      <w:r w:rsidR="003F08E5">
        <w:rPr>
          <w:noProof/>
        </w:rPr>
        <w:t>3</w:t>
      </w:r>
      <w:r w:rsidR="00233A6F">
        <w:fldChar w:fldCharType="end"/>
      </w:r>
      <w:r w:rsidR="00233A6F">
        <w:t xml:space="preserve"> v kap. </w:t>
      </w:r>
      <w:r w:rsidR="00233A6F">
        <w:fldChar w:fldCharType="begin"/>
      </w:r>
      <w:r w:rsidR="00233A6F">
        <w:instrText xml:space="preserve"> REF _Ref450223528 \r \h </w:instrText>
      </w:r>
      <w:r w:rsidR="00233A6F">
        <w:fldChar w:fldCharType="separate"/>
      </w:r>
      <w:r w:rsidR="003F08E5">
        <w:t>2.2.1.2</w:t>
      </w:r>
      <w:r w:rsidR="00233A6F">
        <w:fldChar w:fldCharType="end"/>
      </w:r>
      <w:r w:rsidR="00233A6F">
        <w:t>).</w:t>
      </w:r>
    </w:p>
    <w:p w:rsidR="0033036C" w:rsidRDefault="0033036C" w:rsidP="0033036C">
      <w:pPr>
        <w:pStyle w:val="Titulek"/>
        <w:keepNext/>
      </w:pPr>
      <w:bookmarkStart w:id="197" w:name="_Ref450053173"/>
      <w:r>
        <w:t xml:space="preserve">Tab. </w:t>
      </w:r>
      <w:r w:rsidR="00990E2D">
        <w:fldChar w:fldCharType="begin"/>
      </w:r>
      <w:r w:rsidR="00990E2D">
        <w:instrText xml:space="preserve"> SEQ Tab. \* ARABIC </w:instrText>
      </w:r>
      <w:r w:rsidR="00990E2D">
        <w:fldChar w:fldCharType="separate"/>
      </w:r>
      <w:r w:rsidR="003F08E5">
        <w:rPr>
          <w:noProof/>
        </w:rPr>
        <w:t>51</w:t>
      </w:r>
      <w:r w:rsidR="00990E2D">
        <w:rPr>
          <w:noProof/>
        </w:rPr>
        <w:fldChar w:fldCharType="end"/>
      </w:r>
      <w:bookmarkEnd w:id="197"/>
      <w:r>
        <w:tab/>
      </w:r>
      <w:r w:rsidRPr="00D82F1C">
        <w:t>Celkový počet řešitelů projektů bezpečnostního výzkumu v letech 2010 až 2014 podle jejich právní formy</w:t>
      </w:r>
      <w:r>
        <w:t>. Zdroj: IS VaVaI</w:t>
      </w:r>
    </w:p>
    <w:tbl>
      <w:tblPr>
        <w:tblW w:w="8485" w:type="dxa"/>
        <w:tblInd w:w="55" w:type="dxa"/>
        <w:tblCellMar>
          <w:left w:w="70" w:type="dxa"/>
          <w:right w:w="70" w:type="dxa"/>
        </w:tblCellMar>
        <w:tblLook w:val="04A0" w:firstRow="1" w:lastRow="0" w:firstColumn="1" w:lastColumn="0" w:noHBand="0" w:noVBand="1"/>
      </w:tblPr>
      <w:tblGrid>
        <w:gridCol w:w="640"/>
        <w:gridCol w:w="615"/>
        <w:gridCol w:w="600"/>
        <w:gridCol w:w="600"/>
        <w:gridCol w:w="600"/>
        <w:gridCol w:w="600"/>
        <w:gridCol w:w="600"/>
        <w:gridCol w:w="615"/>
        <w:gridCol w:w="600"/>
        <w:gridCol w:w="600"/>
        <w:gridCol w:w="600"/>
        <w:gridCol w:w="615"/>
        <w:gridCol w:w="600"/>
        <w:gridCol w:w="600"/>
      </w:tblGrid>
      <w:tr w:rsidR="0033036C" w:rsidRPr="006306C1" w:rsidTr="000F3591">
        <w:trPr>
          <w:trHeight w:val="495"/>
        </w:trPr>
        <w:tc>
          <w:tcPr>
            <w:tcW w:w="640" w:type="dxa"/>
            <w:tcBorders>
              <w:top w:val="single" w:sz="4" w:space="0" w:color="auto"/>
              <w:left w:val="nil"/>
              <w:bottom w:val="single" w:sz="4" w:space="0" w:color="auto"/>
              <w:right w:val="nil"/>
            </w:tcBorders>
            <w:shd w:val="clear" w:color="auto" w:fill="auto"/>
            <w:vAlign w:val="center"/>
            <w:hideMark/>
          </w:tcPr>
          <w:p w:rsidR="0033036C" w:rsidRPr="006306C1" w:rsidRDefault="0033036C" w:rsidP="000F3591">
            <w:pPr>
              <w:spacing w:before="0" w:after="0"/>
              <w:jc w:val="center"/>
              <w:rPr>
                <w:rFonts w:ascii="Calibri" w:eastAsia="Times New Roman" w:hAnsi="Calibri" w:cs="Times New Roman"/>
                <w:b/>
                <w:bCs/>
                <w:color w:val="000000"/>
                <w:sz w:val="16"/>
                <w:szCs w:val="16"/>
                <w:lang w:eastAsia="cs-CZ"/>
              </w:rPr>
            </w:pPr>
            <w:bookmarkStart w:id="198" w:name="RANGE!B6:O12"/>
            <w:r w:rsidRPr="006306C1">
              <w:rPr>
                <w:rFonts w:ascii="Calibri" w:eastAsia="Times New Roman" w:hAnsi="Calibri" w:cs="Times New Roman"/>
                <w:b/>
                <w:bCs/>
                <w:color w:val="000000"/>
                <w:sz w:val="16"/>
                <w:szCs w:val="16"/>
                <w:lang w:eastAsia="cs-CZ"/>
              </w:rPr>
              <w:t>rok</w:t>
            </w:r>
            <w:bookmarkEnd w:id="198"/>
          </w:p>
        </w:tc>
        <w:tc>
          <w:tcPr>
            <w:tcW w:w="615" w:type="dxa"/>
            <w:tcBorders>
              <w:top w:val="single" w:sz="4" w:space="0" w:color="auto"/>
              <w:left w:val="nil"/>
              <w:bottom w:val="single" w:sz="4" w:space="0" w:color="auto"/>
              <w:right w:val="nil"/>
            </w:tcBorders>
            <w:shd w:val="clear" w:color="auto" w:fill="auto"/>
            <w:vAlign w:val="center"/>
            <w:hideMark/>
          </w:tcPr>
          <w:p w:rsidR="0033036C" w:rsidRPr="006306C1" w:rsidRDefault="0033036C" w:rsidP="000F3591">
            <w:pPr>
              <w:spacing w:before="0" w:after="0"/>
              <w:jc w:val="center"/>
              <w:rPr>
                <w:rFonts w:ascii="Calibri" w:eastAsia="Times New Roman" w:hAnsi="Calibri" w:cs="Times New Roman"/>
                <w:b/>
                <w:bCs/>
                <w:color w:val="000000"/>
                <w:sz w:val="16"/>
                <w:szCs w:val="16"/>
                <w:lang w:eastAsia="cs-CZ"/>
              </w:rPr>
            </w:pPr>
            <w:r w:rsidRPr="006306C1">
              <w:rPr>
                <w:rFonts w:ascii="Calibri" w:eastAsia="Times New Roman" w:hAnsi="Calibri" w:cs="Times New Roman"/>
                <w:b/>
                <w:bCs/>
                <w:color w:val="000000"/>
                <w:sz w:val="16"/>
                <w:szCs w:val="16"/>
                <w:lang w:eastAsia="cs-CZ"/>
              </w:rPr>
              <w:t>celkem</w:t>
            </w:r>
          </w:p>
        </w:tc>
        <w:tc>
          <w:tcPr>
            <w:tcW w:w="600" w:type="dxa"/>
            <w:tcBorders>
              <w:top w:val="single" w:sz="4" w:space="0" w:color="auto"/>
              <w:left w:val="nil"/>
              <w:bottom w:val="single" w:sz="4" w:space="0" w:color="auto"/>
              <w:right w:val="nil"/>
            </w:tcBorders>
            <w:shd w:val="clear" w:color="auto" w:fill="auto"/>
            <w:vAlign w:val="center"/>
            <w:hideMark/>
          </w:tcPr>
          <w:p w:rsidR="0033036C" w:rsidRPr="006306C1" w:rsidRDefault="0033036C" w:rsidP="000F3591">
            <w:pPr>
              <w:spacing w:before="0" w:after="0"/>
              <w:jc w:val="center"/>
              <w:rPr>
                <w:rFonts w:ascii="Calibri" w:eastAsia="Times New Roman" w:hAnsi="Calibri" w:cs="Times New Roman"/>
                <w:b/>
                <w:bCs/>
                <w:color w:val="000000"/>
                <w:sz w:val="16"/>
                <w:szCs w:val="16"/>
                <w:lang w:eastAsia="cs-CZ"/>
              </w:rPr>
            </w:pPr>
            <w:r w:rsidRPr="006306C1">
              <w:rPr>
                <w:rFonts w:ascii="Calibri" w:eastAsia="Times New Roman" w:hAnsi="Calibri" w:cs="Times New Roman"/>
                <w:b/>
                <w:bCs/>
                <w:color w:val="000000"/>
                <w:sz w:val="16"/>
                <w:szCs w:val="16"/>
                <w:lang w:eastAsia="cs-CZ"/>
              </w:rPr>
              <w:t>PFO</w:t>
            </w:r>
          </w:p>
        </w:tc>
        <w:tc>
          <w:tcPr>
            <w:tcW w:w="600" w:type="dxa"/>
            <w:tcBorders>
              <w:top w:val="single" w:sz="4" w:space="0" w:color="auto"/>
              <w:left w:val="nil"/>
              <w:bottom w:val="single" w:sz="4" w:space="0" w:color="auto"/>
              <w:right w:val="nil"/>
            </w:tcBorders>
            <w:shd w:val="clear" w:color="auto" w:fill="auto"/>
            <w:vAlign w:val="center"/>
            <w:hideMark/>
          </w:tcPr>
          <w:p w:rsidR="0033036C" w:rsidRPr="006306C1" w:rsidRDefault="0033036C" w:rsidP="000F3591">
            <w:pPr>
              <w:spacing w:before="0" w:after="0"/>
              <w:jc w:val="center"/>
              <w:rPr>
                <w:rFonts w:ascii="Calibri" w:eastAsia="Times New Roman" w:hAnsi="Calibri" w:cs="Times New Roman"/>
                <w:b/>
                <w:bCs/>
                <w:color w:val="000000"/>
                <w:sz w:val="16"/>
                <w:szCs w:val="16"/>
                <w:lang w:eastAsia="cs-CZ"/>
              </w:rPr>
            </w:pPr>
            <w:r w:rsidRPr="006306C1">
              <w:rPr>
                <w:rFonts w:ascii="Calibri" w:eastAsia="Times New Roman" w:hAnsi="Calibri" w:cs="Times New Roman"/>
                <w:b/>
                <w:bCs/>
                <w:color w:val="000000"/>
                <w:sz w:val="16"/>
                <w:szCs w:val="16"/>
                <w:lang w:eastAsia="cs-CZ"/>
              </w:rPr>
              <w:t>OSS</w:t>
            </w:r>
          </w:p>
        </w:tc>
        <w:tc>
          <w:tcPr>
            <w:tcW w:w="600" w:type="dxa"/>
            <w:tcBorders>
              <w:top w:val="single" w:sz="4" w:space="0" w:color="auto"/>
              <w:left w:val="nil"/>
              <w:bottom w:val="single" w:sz="4" w:space="0" w:color="auto"/>
              <w:right w:val="nil"/>
            </w:tcBorders>
            <w:shd w:val="clear" w:color="auto" w:fill="auto"/>
            <w:vAlign w:val="center"/>
            <w:hideMark/>
          </w:tcPr>
          <w:p w:rsidR="0033036C" w:rsidRPr="006306C1" w:rsidRDefault="0033036C" w:rsidP="000F3591">
            <w:pPr>
              <w:spacing w:before="0" w:after="0"/>
              <w:jc w:val="center"/>
              <w:rPr>
                <w:rFonts w:ascii="Calibri" w:eastAsia="Times New Roman" w:hAnsi="Calibri" w:cs="Times New Roman"/>
                <w:b/>
                <w:bCs/>
                <w:color w:val="000000"/>
                <w:sz w:val="16"/>
                <w:szCs w:val="16"/>
                <w:lang w:eastAsia="cs-CZ"/>
              </w:rPr>
            </w:pPr>
            <w:r w:rsidRPr="006306C1">
              <w:rPr>
                <w:rFonts w:ascii="Calibri" w:eastAsia="Times New Roman" w:hAnsi="Calibri" w:cs="Times New Roman"/>
                <w:b/>
                <w:bCs/>
                <w:color w:val="000000"/>
                <w:sz w:val="16"/>
                <w:szCs w:val="16"/>
                <w:lang w:eastAsia="cs-CZ"/>
              </w:rPr>
              <w:t>SPO</w:t>
            </w:r>
          </w:p>
        </w:tc>
        <w:tc>
          <w:tcPr>
            <w:tcW w:w="600" w:type="dxa"/>
            <w:tcBorders>
              <w:top w:val="single" w:sz="4" w:space="0" w:color="auto"/>
              <w:left w:val="nil"/>
              <w:bottom w:val="single" w:sz="4" w:space="0" w:color="auto"/>
              <w:right w:val="nil"/>
            </w:tcBorders>
            <w:shd w:val="clear" w:color="auto" w:fill="auto"/>
            <w:vAlign w:val="center"/>
            <w:hideMark/>
          </w:tcPr>
          <w:p w:rsidR="0033036C" w:rsidRPr="006306C1" w:rsidRDefault="0033036C" w:rsidP="000F3591">
            <w:pPr>
              <w:spacing w:before="0" w:after="0"/>
              <w:jc w:val="center"/>
              <w:rPr>
                <w:rFonts w:ascii="Calibri" w:eastAsia="Times New Roman" w:hAnsi="Calibri" w:cs="Times New Roman"/>
                <w:b/>
                <w:bCs/>
                <w:color w:val="000000"/>
                <w:sz w:val="16"/>
                <w:szCs w:val="16"/>
                <w:lang w:eastAsia="cs-CZ"/>
              </w:rPr>
            </w:pPr>
            <w:r w:rsidRPr="006306C1">
              <w:rPr>
                <w:rFonts w:ascii="Calibri" w:eastAsia="Times New Roman" w:hAnsi="Calibri" w:cs="Times New Roman"/>
                <w:b/>
                <w:bCs/>
                <w:color w:val="000000"/>
                <w:sz w:val="16"/>
                <w:szCs w:val="16"/>
                <w:lang w:eastAsia="cs-CZ"/>
              </w:rPr>
              <w:t>VVI</w:t>
            </w:r>
          </w:p>
        </w:tc>
        <w:tc>
          <w:tcPr>
            <w:tcW w:w="600" w:type="dxa"/>
            <w:tcBorders>
              <w:top w:val="single" w:sz="4" w:space="0" w:color="auto"/>
              <w:left w:val="nil"/>
              <w:bottom w:val="single" w:sz="4" w:space="0" w:color="auto"/>
              <w:right w:val="nil"/>
            </w:tcBorders>
            <w:shd w:val="clear" w:color="auto" w:fill="auto"/>
            <w:vAlign w:val="center"/>
            <w:hideMark/>
          </w:tcPr>
          <w:p w:rsidR="0033036C" w:rsidRPr="006306C1" w:rsidRDefault="0033036C" w:rsidP="000F3591">
            <w:pPr>
              <w:spacing w:before="0" w:after="0"/>
              <w:jc w:val="center"/>
              <w:rPr>
                <w:rFonts w:ascii="Calibri" w:eastAsia="Times New Roman" w:hAnsi="Calibri" w:cs="Times New Roman"/>
                <w:b/>
                <w:bCs/>
                <w:color w:val="000000"/>
                <w:sz w:val="16"/>
                <w:szCs w:val="16"/>
                <w:lang w:eastAsia="cs-CZ"/>
              </w:rPr>
            </w:pPr>
            <w:r w:rsidRPr="006306C1">
              <w:rPr>
                <w:rFonts w:ascii="Calibri" w:eastAsia="Times New Roman" w:hAnsi="Calibri" w:cs="Times New Roman"/>
                <w:b/>
                <w:bCs/>
                <w:color w:val="000000"/>
                <w:sz w:val="16"/>
                <w:szCs w:val="16"/>
                <w:lang w:eastAsia="cs-CZ"/>
              </w:rPr>
              <w:t>VSV</w:t>
            </w:r>
          </w:p>
        </w:tc>
        <w:tc>
          <w:tcPr>
            <w:tcW w:w="615" w:type="dxa"/>
            <w:tcBorders>
              <w:top w:val="single" w:sz="4" w:space="0" w:color="auto"/>
              <w:left w:val="nil"/>
              <w:bottom w:val="single" w:sz="4" w:space="0" w:color="auto"/>
              <w:right w:val="nil"/>
            </w:tcBorders>
            <w:shd w:val="clear" w:color="auto" w:fill="auto"/>
            <w:vAlign w:val="center"/>
            <w:hideMark/>
          </w:tcPr>
          <w:p w:rsidR="0033036C" w:rsidRPr="006306C1" w:rsidRDefault="0033036C" w:rsidP="000F3591">
            <w:pPr>
              <w:spacing w:before="0" w:after="0"/>
              <w:jc w:val="center"/>
              <w:rPr>
                <w:rFonts w:ascii="Calibri" w:eastAsia="Times New Roman" w:hAnsi="Calibri" w:cs="Times New Roman"/>
                <w:b/>
                <w:bCs/>
                <w:color w:val="000000"/>
                <w:sz w:val="16"/>
                <w:szCs w:val="16"/>
                <w:lang w:eastAsia="cs-CZ"/>
              </w:rPr>
            </w:pPr>
            <w:r w:rsidRPr="006306C1">
              <w:rPr>
                <w:rFonts w:ascii="Calibri" w:eastAsia="Times New Roman" w:hAnsi="Calibri" w:cs="Times New Roman"/>
                <w:b/>
                <w:bCs/>
                <w:color w:val="000000"/>
                <w:sz w:val="16"/>
                <w:szCs w:val="16"/>
                <w:lang w:eastAsia="cs-CZ"/>
              </w:rPr>
              <w:t>MV celkem</w:t>
            </w:r>
          </w:p>
        </w:tc>
        <w:tc>
          <w:tcPr>
            <w:tcW w:w="600" w:type="dxa"/>
            <w:tcBorders>
              <w:top w:val="single" w:sz="4" w:space="0" w:color="auto"/>
              <w:left w:val="nil"/>
              <w:bottom w:val="single" w:sz="4" w:space="0" w:color="auto"/>
              <w:right w:val="nil"/>
            </w:tcBorders>
            <w:shd w:val="clear" w:color="auto" w:fill="auto"/>
            <w:vAlign w:val="center"/>
            <w:hideMark/>
          </w:tcPr>
          <w:p w:rsidR="0033036C" w:rsidRPr="006306C1" w:rsidRDefault="0033036C" w:rsidP="000F3591">
            <w:pPr>
              <w:spacing w:before="0" w:after="0"/>
              <w:jc w:val="center"/>
              <w:rPr>
                <w:rFonts w:ascii="Calibri" w:eastAsia="Times New Roman" w:hAnsi="Calibri" w:cs="Times New Roman"/>
                <w:b/>
                <w:bCs/>
                <w:color w:val="000000"/>
                <w:sz w:val="16"/>
                <w:szCs w:val="16"/>
                <w:lang w:eastAsia="cs-CZ"/>
              </w:rPr>
            </w:pPr>
            <w:r w:rsidRPr="006306C1">
              <w:rPr>
                <w:rFonts w:ascii="Calibri" w:eastAsia="Times New Roman" w:hAnsi="Calibri" w:cs="Times New Roman"/>
                <w:b/>
                <w:bCs/>
                <w:color w:val="000000"/>
                <w:sz w:val="16"/>
                <w:szCs w:val="16"/>
                <w:lang w:eastAsia="cs-CZ"/>
              </w:rPr>
              <w:t>MV HZS</w:t>
            </w:r>
          </w:p>
        </w:tc>
        <w:tc>
          <w:tcPr>
            <w:tcW w:w="600" w:type="dxa"/>
            <w:tcBorders>
              <w:top w:val="single" w:sz="4" w:space="0" w:color="auto"/>
              <w:left w:val="nil"/>
              <w:bottom w:val="single" w:sz="4" w:space="0" w:color="auto"/>
              <w:right w:val="nil"/>
            </w:tcBorders>
            <w:shd w:val="clear" w:color="auto" w:fill="auto"/>
            <w:vAlign w:val="center"/>
            <w:hideMark/>
          </w:tcPr>
          <w:p w:rsidR="0033036C" w:rsidRPr="006306C1" w:rsidRDefault="0033036C" w:rsidP="000F3591">
            <w:pPr>
              <w:spacing w:before="0" w:after="0"/>
              <w:jc w:val="center"/>
              <w:rPr>
                <w:rFonts w:ascii="Calibri" w:eastAsia="Times New Roman" w:hAnsi="Calibri" w:cs="Times New Roman"/>
                <w:b/>
                <w:bCs/>
                <w:color w:val="000000"/>
                <w:sz w:val="16"/>
                <w:szCs w:val="16"/>
                <w:lang w:eastAsia="cs-CZ"/>
              </w:rPr>
            </w:pPr>
            <w:r w:rsidRPr="006306C1">
              <w:rPr>
                <w:rFonts w:ascii="Calibri" w:eastAsia="Times New Roman" w:hAnsi="Calibri" w:cs="Times New Roman"/>
                <w:b/>
                <w:bCs/>
                <w:color w:val="000000"/>
                <w:sz w:val="16"/>
                <w:szCs w:val="16"/>
                <w:lang w:eastAsia="cs-CZ"/>
              </w:rPr>
              <w:t>MV PČR ÚZČ</w:t>
            </w:r>
          </w:p>
        </w:tc>
        <w:tc>
          <w:tcPr>
            <w:tcW w:w="600" w:type="dxa"/>
            <w:tcBorders>
              <w:top w:val="single" w:sz="4" w:space="0" w:color="auto"/>
              <w:left w:val="nil"/>
              <w:bottom w:val="single" w:sz="4" w:space="0" w:color="auto"/>
              <w:right w:val="nil"/>
            </w:tcBorders>
            <w:shd w:val="clear" w:color="auto" w:fill="auto"/>
            <w:vAlign w:val="center"/>
            <w:hideMark/>
          </w:tcPr>
          <w:p w:rsidR="0033036C" w:rsidRPr="006306C1" w:rsidRDefault="0033036C" w:rsidP="000F3591">
            <w:pPr>
              <w:spacing w:before="0" w:after="0"/>
              <w:jc w:val="center"/>
              <w:rPr>
                <w:rFonts w:ascii="Calibri" w:eastAsia="Times New Roman" w:hAnsi="Calibri" w:cs="Times New Roman"/>
                <w:b/>
                <w:bCs/>
                <w:color w:val="000000"/>
                <w:sz w:val="16"/>
                <w:szCs w:val="16"/>
                <w:lang w:eastAsia="cs-CZ"/>
              </w:rPr>
            </w:pPr>
            <w:r w:rsidRPr="006306C1">
              <w:rPr>
                <w:rFonts w:ascii="Calibri" w:eastAsia="Times New Roman" w:hAnsi="Calibri" w:cs="Times New Roman"/>
                <w:b/>
                <w:bCs/>
                <w:color w:val="000000"/>
                <w:sz w:val="16"/>
                <w:szCs w:val="16"/>
                <w:lang w:eastAsia="cs-CZ"/>
              </w:rPr>
              <w:t>MV PČR KÚ</w:t>
            </w:r>
          </w:p>
        </w:tc>
        <w:tc>
          <w:tcPr>
            <w:tcW w:w="615" w:type="dxa"/>
            <w:tcBorders>
              <w:top w:val="single" w:sz="4" w:space="0" w:color="auto"/>
              <w:left w:val="nil"/>
              <w:bottom w:val="single" w:sz="4" w:space="0" w:color="auto"/>
              <w:right w:val="nil"/>
            </w:tcBorders>
            <w:shd w:val="clear" w:color="auto" w:fill="auto"/>
            <w:vAlign w:val="center"/>
            <w:hideMark/>
          </w:tcPr>
          <w:p w:rsidR="0033036C" w:rsidRPr="006306C1" w:rsidRDefault="0033036C" w:rsidP="000F3591">
            <w:pPr>
              <w:spacing w:before="0" w:after="0"/>
              <w:jc w:val="center"/>
              <w:rPr>
                <w:rFonts w:ascii="Calibri" w:eastAsia="Times New Roman" w:hAnsi="Calibri" w:cs="Times New Roman"/>
                <w:b/>
                <w:bCs/>
                <w:color w:val="000000"/>
                <w:sz w:val="16"/>
                <w:szCs w:val="16"/>
                <w:lang w:eastAsia="cs-CZ"/>
              </w:rPr>
            </w:pPr>
            <w:r w:rsidRPr="006306C1">
              <w:rPr>
                <w:rFonts w:ascii="Calibri" w:eastAsia="Times New Roman" w:hAnsi="Calibri" w:cs="Times New Roman"/>
                <w:b/>
                <w:bCs/>
                <w:color w:val="000000"/>
                <w:sz w:val="16"/>
                <w:szCs w:val="16"/>
                <w:lang w:eastAsia="cs-CZ"/>
              </w:rPr>
              <w:t>MO celkem</w:t>
            </w:r>
          </w:p>
        </w:tc>
        <w:tc>
          <w:tcPr>
            <w:tcW w:w="600" w:type="dxa"/>
            <w:tcBorders>
              <w:top w:val="single" w:sz="4" w:space="0" w:color="auto"/>
              <w:left w:val="nil"/>
              <w:bottom w:val="single" w:sz="4" w:space="0" w:color="auto"/>
              <w:right w:val="nil"/>
            </w:tcBorders>
            <w:shd w:val="clear" w:color="auto" w:fill="auto"/>
            <w:vAlign w:val="center"/>
            <w:hideMark/>
          </w:tcPr>
          <w:p w:rsidR="0033036C" w:rsidRPr="006306C1" w:rsidRDefault="0033036C" w:rsidP="000F3591">
            <w:pPr>
              <w:spacing w:before="0" w:after="0"/>
              <w:jc w:val="center"/>
              <w:rPr>
                <w:rFonts w:ascii="Calibri" w:eastAsia="Times New Roman" w:hAnsi="Calibri" w:cs="Times New Roman"/>
                <w:b/>
                <w:bCs/>
                <w:color w:val="000000"/>
                <w:sz w:val="16"/>
                <w:szCs w:val="16"/>
                <w:lang w:eastAsia="cs-CZ"/>
              </w:rPr>
            </w:pPr>
            <w:r w:rsidRPr="006306C1">
              <w:rPr>
                <w:rFonts w:ascii="Calibri" w:eastAsia="Times New Roman" w:hAnsi="Calibri" w:cs="Times New Roman"/>
                <w:b/>
                <w:bCs/>
                <w:color w:val="000000"/>
                <w:sz w:val="16"/>
                <w:szCs w:val="16"/>
                <w:lang w:eastAsia="cs-CZ"/>
              </w:rPr>
              <w:t>MO    UO</w:t>
            </w:r>
          </w:p>
        </w:tc>
        <w:tc>
          <w:tcPr>
            <w:tcW w:w="600" w:type="dxa"/>
            <w:tcBorders>
              <w:top w:val="single" w:sz="4" w:space="0" w:color="auto"/>
              <w:left w:val="nil"/>
              <w:bottom w:val="single" w:sz="4" w:space="0" w:color="auto"/>
              <w:right w:val="nil"/>
            </w:tcBorders>
            <w:shd w:val="clear" w:color="auto" w:fill="auto"/>
            <w:vAlign w:val="center"/>
            <w:hideMark/>
          </w:tcPr>
          <w:p w:rsidR="0033036C" w:rsidRPr="006306C1" w:rsidRDefault="0033036C" w:rsidP="000F3591">
            <w:pPr>
              <w:spacing w:before="0" w:after="0"/>
              <w:jc w:val="center"/>
              <w:rPr>
                <w:rFonts w:ascii="Calibri" w:eastAsia="Times New Roman" w:hAnsi="Calibri" w:cs="Times New Roman"/>
                <w:b/>
                <w:bCs/>
                <w:color w:val="000000"/>
                <w:sz w:val="16"/>
                <w:szCs w:val="16"/>
                <w:lang w:eastAsia="cs-CZ"/>
              </w:rPr>
            </w:pPr>
            <w:r w:rsidRPr="006306C1">
              <w:rPr>
                <w:rFonts w:ascii="Calibri" w:eastAsia="Times New Roman" w:hAnsi="Calibri" w:cs="Times New Roman"/>
                <w:b/>
                <w:bCs/>
                <w:color w:val="000000"/>
                <w:sz w:val="16"/>
                <w:szCs w:val="16"/>
                <w:lang w:eastAsia="cs-CZ"/>
              </w:rPr>
              <w:t>MO VZÚ</w:t>
            </w:r>
          </w:p>
        </w:tc>
      </w:tr>
      <w:tr w:rsidR="0033036C" w:rsidRPr="006306C1" w:rsidTr="000F3591">
        <w:trPr>
          <w:trHeight w:val="225"/>
        </w:trPr>
        <w:tc>
          <w:tcPr>
            <w:tcW w:w="640" w:type="dxa"/>
            <w:tcBorders>
              <w:top w:val="nil"/>
              <w:left w:val="nil"/>
              <w:bottom w:val="nil"/>
              <w:right w:val="nil"/>
            </w:tcBorders>
            <w:shd w:val="clear" w:color="auto" w:fill="auto"/>
            <w:noWrap/>
            <w:vAlign w:val="bottom"/>
            <w:hideMark/>
          </w:tcPr>
          <w:p w:rsidR="0033036C" w:rsidRPr="006306C1" w:rsidRDefault="0033036C" w:rsidP="000F3591">
            <w:pPr>
              <w:spacing w:before="0" w:after="0"/>
              <w:jc w:val="center"/>
              <w:rPr>
                <w:rFonts w:ascii="Calibri" w:eastAsia="Times New Roman" w:hAnsi="Calibri" w:cs="Times New Roman"/>
                <w:color w:val="000000"/>
                <w:sz w:val="16"/>
                <w:szCs w:val="16"/>
                <w:lang w:eastAsia="cs-CZ"/>
              </w:rPr>
            </w:pPr>
            <w:r w:rsidRPr="006306C1">
              <w:rPr>
                <w:rFonts w:ascii="Calibri" w:eastAsia="Times New Roman" w:hAnsi="Calibri" w:cs="Times New Roman"/>
                <w:color w:val="000000"/>
                <w:sz w:val="16"/>
                <w:szCs w:val="16"/>
                <w:lang w:eastAsia="cs-CZ"/>
              </w:rPr>
              <w:t>2010</w:t>
            </w:r>
          </w:p>
        </w:tc>
        <w:tc>
          <w:tcPr>
            <w:tcW w:w="615" w:type="dxa"/>
            <w:tcBorders>
              <w:top w:val="nil"/>
              <w:left w:val="nil"/>
              <w:bottom w:val="nil"/>
              <w:right w:val="nil"/>
            </w:tcBorders>
            <w:shd w:val="clear" w:color="auto" w:fill="auto"/>
            <w:noWrap/>
            <w:vAlign w:val="bottom"/>
            <w:hideMark/>
          </w:tcPr>
          <w:p w:rsidR="0033036C" w:rsidRPr="006306C1" w:rsidRDefault="0033036C" w:rsidP="000F3591">
            <w:pPr>
              <w:spacing w:before="0" w:after="0"/>
              <w:jc w:val="center"/>
              <w:rPr>
                <w:rFonts w:ascii="Calibri" w:eastAsia="Times New Roman" w:hAnsi="Calibri" w:cs="Times New Roman"/>
                <w:b/>
                <w:bCs/>
                <w:color w:val="000000"/>
                <w:sz w:val="16"/>
                <w:szCs w:val="16"/>
                <w:lang w:eastAsia="cs-CZ"/>
              </w:rPr>
            </w:pPr>
            <w:r w:rsidRPr="006306C1">
              <w:rPr>
                <w:rFonts w:ascii="Calibri" w:eastAsia="Times New Roman" w:hAnsi="Calibri" w:cs="Times New Roman"/>
                <w:b/>
                <w:bCs/>
                <w:color w:val="000000"/>
                <w:sz w:val="16"/>
                <w:szCs w:val="16"/>
                <w:lang w:eastAsia="cs-CZ"/>
              </w:rPr>
              <w:t>114</w:t>
            </w:r>
          </w:p>
        </w:tc>
        <w:tc>
          <w:tcPr>
            <w:tcW w:w="600" w:type="dxa"/>
            <w:tcBorders>
              <w:top w:val="nil"/>
              <w:left w:val="nil"/>
              <w:bottom w:val="nil"/>
              <w:right w:val="nil"/>
            </w:tcBorders>
            <w:shd w:val="clear" w:color="auto" w:fill="auto"/>
            <w:noWrap/>
            <w:vAlign w:val="bottom"/>
            <w:hideMark/>
          </w:tcPr>
          <w:p w:rsidR="0033036C" w:rsidRPr="006306C1" w:rsidRDefault="0033036C" w:rsidP="000F3591">
            <w:pPr>
              <w:spacing w:before="0" w:after="0"/>
              <w:jc w:val="center"/>
              <w:rPr>
                <w:rFonts w:ascii="Calibri" w:eastAsia="Times New Roman" w:hAnsi="Calibri" w:cs="Times New Roman"/>
                <w:color w:val="000000"/>
                <w:sz w:val="16"/>
                <w:szCs w:val="16"/>
                <w:lang w:eastAsia="cs-CZ"/>
              </w:rPr>
            </w:pPr>
            <w:r w:rsidRPr="006306C1">
              <w:rPr>
                <w:rFonts w:ascii="Calibri" w:eastAsia="Times New Roman" w:hAnsi="Calibri" w:cs="Times New Roman"/>
                <w:color w:val="000000"/>
                <w:sz w:val="16"/>
                <w:szCs w:val="16"/>
                <w:lang w:eastAsia="cs-CZ"/>
              </w:rPr>
              <w:t>38</w:t>
            </w:r>
          </w:p>
        </w:tc>
        <w:tc>
          <w:tcPr>
            <w:tcW w:w="600" w:type="dxa"/>
            <w:tcBorders>
              <w:top w:val="nil"/>
              <w:left w:val="nil"/>
              <w:bottom w:val="nil"/>
              <w:right w:val="nil"/>
            </w:tcBorders>
            <w:shd w:val="clear" w:color="auto" w:fill="auto"/>
            <w:noWrap/>
            <w:vAlign w:val="bottom"/>
            <w:hideMark/>
          </w:tcPr>
          <w:p w:rsidR="0033036C" w:rsidRPr="006306C1" w:rsidRDefault="0033036C" w:rsidP="000F3591">
            <w:pPr>
              <w:spacing w:before="0" w:after="0"/>
              <w:jc w:val="center"/>
              <w:rPr>
                <w:rFonts w:ascii="Calibri" w:eastAsia="Times New Roman" w:hAnsi="Calibri" w:cs="Times New Roman"/>
                <w:color w:val="000000"/>
                <w:sz w:val="16"/>
                <w:szCs w:val="16"/>
                <w:lang w:eastAsia="cs-CZ"/>
              </w:rPr>
            </w:pPr>
            <w:r w:rsidRPr="006306C1">
              <w:rPr>
                <w:rFonts w:ascii="Calibri" w:eastAsia="Times New Roman" w:hAnsi="Calibri" w:cs="Times New Roman"/>
                <w:color w:val="000000"/>
                <w:sz w:val="16"/>
                <w:szCs w:val="16"/>
                <w:lang w:eastAsia="cs-CZ"/>
              </w:rPr>
              <w:t>15</w:t>
            </w:r>
          </w:p>
        </w:tc>
        <w:tc>
          <w:tcPr>
            <w:tcW w:w="600" w:type="dxa"/>
            <w:tcBorders>
              <w:top w:val="nil"/>
              <w:left w:val="nil"/>
              <w:bottom w:val="nil"/>
              <w:right w:val="nil"/>
            </w:tcBorders>
            <w:shd w:val="clear" w:color="auto" w:fill="auto"/>
            <w:noWrap/>
            <w:vAlign w:val="bottom"/>
            <w:hideMark/>
          </w:tcPr>
          <w:p w:rsidR="0033036C" w:rsidRPr="006306C1" w:rsidRDefault="0033036C" w:rsidP="000F3591">
            <w:pPr>
              <w:spacing w:before="0" w:after="0"/>
              <w:jc w:val="center"/>
              <w:rPr>
                <w:rFonts w:ascii="Calibri" w:eastAsia="Times New Roman" w:hAnsi="Calibri" w:cs="Times New Roman"/>
                <w:color w:val="000000"/>
                <w:sz w:val="16"/>
                <w:szCs w:val="16"/>
                <w:lang w:eastAsia="cs-CZ"/>
              </w:rPr>
            </w:pPr>
            <w:r w:rsidRPr="006306C1">
              <w:rPr>
                <w:rFonts w:ascii="Calibri" w:eastAsia="Times New Roman" w:hAnsi="Calibri" w:cs="Times New Roman"/>
                <w:color w:val="000000"/>
                <w:sz w:val="16"/>
                <w:szCs w:val="16"/>
                <w:lang w:eastAsia="cs-CZ"/>
              </w:rPr>
              <w:t>3</w:t>
            </w:r>
          </w:p>
        </w:tc>
        <w:tc>
          <w:tcPr>
            <w:tcW w:w="600" w:type="dxa"/>
            <w:tcBorders>
              <w:top w:val="nil"/>
              <w:left w:val="nil"/>
              <w:bottom w:val="nil"/>
              <w:right w:val="nil"/>
            </w:tcBorders>
            <w:shd w:val="clear" w:color="auto" w:fill="auto"/>
            <w:noWrap/>
            <w:vAlign w:val="bottom"/>
            <w:hideMark/>
          </w:tcPr>
          <w:p w:rsidR="0033036C" w:rsidRPr="006306C1" w:rsidRDefault="0033036C" w:rsidP="000F3591">
            <w:pPr>
              <w:spacing w:before="0" w:after="0"/>
              <w:jc w:val="center"/>
              <w:rPr>
                <w:rFonts w:ascii="Calibri" w:eastAsia="Times New Roman" w:hAnsi="Calibri" w:cs="Times New Roman"/>
                <w:color w:val="000000"/>
                <w:sz w:val="16"/>
                <w:szCs w:val="16"/>
                <w:lang w:eastAsia="cs-CZ"/>
              </w:rPr>
            </w:pPr>
            <w:r w:rsidRPr="006306C1">
              <w:rPr>
                <w:rFonts w:ascii="Calibri" w:eastAsia="Times New Roman" w:hAnsi="Calibri" w:cs="Times New Roman"/>
                <w:color w:val="000000"/>
                <w:sz w:val="16"/>
                <w:szCs w:val="16"/>
                <w:lang w:eastAsia="cs-CZ"/>
              </w:rPr>
              <w:t>20</w:t>
            </w:r>
          </w:p>
        </w:tc>
        <w:tc>
          <w:tcPr>
            <w:tcW w:w="600" w:type="dxa"/>
            <w:tcBorders>
              <w:top w:val="nil"/>
              <w:left w:val="nil"/>
              <w:bottom w:val="nil"/>
              <w:right w:val="nil"/>
            </w:tcBorders>
            <w:shd w:val="clear" w:color="auto" w:fill="auto"/>
            <w:noWrap/>
            <w:vAlign w:val="bottom"/>
            <w:hideMark/>
          </w:tcPr>
          <w:p w:rsidR="0033036C" w:rsidRPr="006306C1" w:rsidRDefault="0033036C" w:rsidP="000F3591">
            <w:pPr>
              <w:spacing w:before="0" w:after="0"/>
              <w:jc w:val="center"/>
              <w:rPr>
                <w:rFonts w:ascii="Calibri" w:eastAsia="Times New Roman" w:hAnsi="Calibri" w:cs="Times New Roman"/>
                <w:color w:val="000000"/>
                <w:sz w:val="16"/>
                <w:szCs w:val="16"/>
                <w:lang w:eastAsia="cs-CZ"/>
              </w:rPr>
            </w:pPr>
            <w:r w:rsidRPr="006306C1">
              <w:rPr>
                <w:rFonts w:ascii="Calibri" w:eastAsia="Times New Roman" w:hAnsi="Calibri" w:cs="Times New Roman"/>
                <w:color w:val="000000"/>
                <w:sz w:val="16"/>
                <w:szCs w:val="16"/>
                <w:lang w:eastAsia="cs-CZ"/>
              </w:rPr>
              <w:t>38</w:t>
            </w:r>
          </w:p>
        </w:tc>
        <w:tc>
          <w:tcPr>
            <w:tcW w:w="615" w:type="dxa"/>
            <w:tcBorders>
              <w:top w:val="nil"/>
              <w:left w:val="nil"/>
              <w:bottom w:val="nil"/>
              <w:right w:val="nil"/>
            </w:tcBorders>
            <w:shd w:val="clear" w:color="auto" w:fill="auto"/>
            <w:noWrap/>
            <w:vAlign w:val="bottom"/>
            <w:hideMark/>
          </w:tcPr>
          <w:p w:rsidR="0033036C" w:rsidRPr="006306C1" w:rsidRDefault="0033036C" w:rsidP="000F3591">
            <w:pPr>
              <w:spacing w:before="0" w:after="0"/>
              <w:jc w:val="center"/>
              <w:rPr>
                <w:rFonts w:ascii="Calibri" w:eastAsia="Times New Roman" w:hAnsi="Calibri" w:cs="Times New Roman"/>
                <w:b/>
                <w:bCs/>
                <w:color w:val="000000"/>
                <w:sz w:val="16"/>
                <w:szCs w:val="16"/>
                <w:lang w:eastAsia="cs-CZ"/>
              </w:rPr>
            </w:pPr>
            <w:r w:rsidRPr="006306C1">
              <w:rPr>
                <w:rFonts w:ascii="Calibri" w:eastAsia="Times New Roman" w:hAnsi="Calibri" w:cs="Times New Roman"/>
                <w:b/>
                <w:bCs/>
                <w:color w:val="000000"/>
                <w:sz w:val="16"/>
                <w:szCs w:val="16"/>
                <w:lang w:eastAsia="cs-CZ"/>
              </w:rPr>
              <w:t>9</w:t>
            </w:r>
          </w:p>
        </w:tc>
        <w:tc>
          <w:tcPr>
            <w:tcW w:w="600" w:type="dxa"/>
            <w:tcBorders>
              <w:top w:val="nil"/>
              <w:left w:val="nil"/>
              <w:bottom w:val="nil"/>
              <w:right w:val="nil"/>
            </w:tcBorders>
            <w:shd w:val="clear" w:color="auto" w:fill="auto"/>
            <w:noWrap/>
            <w:vAlign w:val="bottom"/>
            <w:hideMark/>
          </w:tcPr>
          <w:p w:rsidR="0033036C" w:rsidRPr="006306C1" w:rsidRDefault="0033036C" w:rsidP="000F3591">
            <w:pPr>
              <w:spacing w:before="0" w:after="0"/>
              <w:jc w:val="center"/>
              <w:rPr>
                <w:rFonts w:ascii="Calibri" w:eastAsia="Times New Roman" w:hAnsi="Calibri" w:cs="Times New Roman"/>
                <w:color w:val="000000"/>
                <w:sz w:val="16"/>
                <w:szCs w:val="16"/>
                <w:lang w:eastAsia="cs-CZ"/>
              </w:rPr>
            </w:pPr>
            <w:r w:rsidRPr="006306C1">
              <w:rPr>
                <w:rFonts w:ascii="Calibri" w:eastAsia="Times New Roman" w:hAnsi="Calibri" w:cs="Times New Roman"/>
                <w:color w:val="000000"/>
                <w:sz w:val="16"/>
                <w:szCs w:val="16"/>
                <w:lang w:eastAsia="cs-CZ"/>
              </w:rPr>
              <w:t>2</w:t>
            </w:r>
          </w:p>
        </w:tc>
        <w:tc>
          <w:tcPr>
            <w:tcW w:w="600" w:type="dxa"/>
            <w:tcBorders>
              <w:top w:val="nil"/>
              <w:left w:val="nil"/>
              <w:bottom w:val="nil"/>
              <w:right w:val="nil"/>
            </w:tcBorders>
            <w:shd w:val="clear" w:color="auto" w:fill="auto"/>
            <w:noWrap/>
            <w:vAlign w:val="bottom"/>
            <w:hideMark/>
          </w:tcPr>
          <w:p w:rsidR="0033036C" w:rsidRPr="006306C1" w:rsidRDefault="0033036C" w:rsidP="000F3591">
            <w:pPr>
              <w:spacing w:before="0" w:after="0"/>
              <w:jc w:val="center"/>
              <w:rPr>
                <w:rFonts w:ascii="Calibri" w:eastAsia="Times New Roman" w:hAnsi="Calibri" w:cs="Times New Roman"/>
                <w:color w:val="000000"/>
                <w:sz w:val="16"/>
                <w:szCs w:val="16"/>
                <w:lang w:eastAsia="cs-CZ"/>
              </w:rPr>
            </w:pPr>
          </w:p>
        </w:tc>
        <w:tc>
          <w:tcPr>
            <w:tcW w:w="600" w:type="dxa"/>
            <w:tcBorders>
              <w:top w:val="nil"/>
              <w:left w:val="nil"/>
              <w:bottom w:val="nil"/>
              <w:right w:val="nil"/>
            </w:tcBorders>
            <w:shd w:val="clear" w:color="auto" w:fill="auto"/>
            <w:noWrap/>
            <w:vAlign w:val="bottom"/>
            <w:hideMark/>
          </w:tcPr>
          <w:p w:rsidR="0033036C" w:rsidRPr="006306C1" w:rsidRDefault="0033036C" w:rsidP="000F3591">
            <w:pPr>
              <w:spacing w:before="0" w:after="0"/>
              <w:jc w:val="center"/>
              <w:rPr>
                <w:rFonts w:ascii="Calibri" w:eastAsia="Times New Roman" w:hAnsi="Calibri" w:cs="Times New Roman"/>
                <w:color w:val="000000"/>
                <w:sz w:val="16"/>
                <w:szCs w:val="16"/>
                <w:lang w:eastAsia="cs-CZ"/>
              </w:rPr>
            </w:pPr>
            <w:r w:rsidRPr="006306C1">
              <w:rPr>
                <w:rFonts w:ascii="Calibri" w:eastAsia="Times New Roman" w:hAnsi="Calibri" w:cs="Times New Roman"/>
                <w:color w:val="000000"/>
                <w:sz w:val="16"/>
                <w:szCs w:val="16"/>
                <w:lang w:eastAsia="cs-CZ"/>
              </w:rPr>
              <w:t>7</w:t>
            </w:r>
          </w:p>
        </w:tc>
        <w:tc>
          <w:tcPr>
            <w:tcW w:w="615" w:type="dxa"/>
            <w:tcBorders>
              <w:top w:val="nil"/>
              <w:left w:val="nil"/>
              <w:bottom w:val="nil"/>
              <w:right w:val="nil"/>
            </w:tcBorders>
            <w:shd w:val="clear" w:color="auto" w:fill="auto"/>
            <w:noWrap/>
            <w:vAlign w:val="bottom"/>
            <w:hideMark/>
          </w:tcPr>
          <w:p w:rsidR="0033036C" w:rsidRPr="006306C1" w:rsidRDefault="0033036C" w:rsidP="000F3591">
            <w:pPr>
              <w:spacing w:before="0" w:after="0"/>
              <w:jc w:val="center"/>
              <w:rPr>
                <w:rFonts w:ascii="Calibri" w:eastAsia="Times New Roman" w:hAnsi="Calibri" w:cs="Times New Roman"/>
                <w:b/>
                <w:bCs/>
                <w:color w:val="000000"/>
                <w:sz w:val="16"/>
                <w:szCs w:val="16"/>
                <w:lang w:eastAsia="cs-CZ"/>
              </w:rPr>
            </w:pPr>
            <w:r w:rsidRPr="006306C1">
              <w:rPr>
                <w:rFonts w:ascii="Calibri" w:eastAsia="Times New Roman" w:hAnsi="Calibri" w:cs="Times New Roman"/>
                <w:b/>
                <w:bCs/>
                <w:color w:val="000000"/>
                <w:sz w:val="16"/>
                <w:szCs w:val="16"/>
                <w:lang w:eastAsia="cs-CZ"/>
              </w:rPr>
              <w:t>2</w:t>
            </w:r>
          </w:p>
        </w:tc>
        <w:tc>
          <w:tcPr>
            <w:tcW w:w="600" w:type="dxa"/>
            <w:tcBorders>
              <w:top w:val="nil"/>
              <w:left w:val="nil"/>
              <w:bottom w:val="nil"/>
              <w:right w:val="nil"/>
            </w:tcBorders>
            <w:shd w:val="clear" w:color="auto" w:fill="auto"/>
            <w:noWrap/>
            <w:vAlign w:val="bottom"/>
            <w:hideMark/>
          </w:tcPr>
          <w:p w:rsidR="0033036C" w:rsidRPr="006306C1" w:rsidRDefault="0033036C" w:rsidP="000F3591">
            <w:pPr>
              <w:spacing w:before="0" w:after="0"/>
              <w:jc w:val="center"/>
              <w:rPr>
                <w:rFonts w:ascii="Calibri" w:eastAsia="Times New Roman" w:hAnsi="Calibri" w:cs="Times New Roman"/>
                <w:color w:val="000000"/>
                <w:sz w:val="16"/>
                <w:szCs w:val="16"/>
                <w:lang w:eastAsia="cs-CZ"/>
              </w:rPr>
            </w:pPr>
            <w:r w:rsidRPr="006306C1">
              <w:rPr>
                <w:rFonts w:ascii="Calibri" w:eastAsia="Times New Roman" w:hAnsi="Calibri" w:cs="Times New Roman"/>
                <w:color w:val="000000"/>
                <w:sz w:val="16"/>
                <w:szCs w:val="16"/>
                <w:lang w:eastAsia="cs-CZ"/>
              </w:rPr>
              <w:t>1</w:t>
            </w:r>
          </w:p>
        </w:tc>
        <w:tc>
          <w:tcPr>
            <w:tcW w:w="600" w:type="dxa"/>
            <w:tcBorders>
              <w:top w:val="nil"/>
              <w:left w:val="nil"/>
              <w:bottom w:val="nil"/>
              <w:right w:val="nil"/>
            </w:tcBorders>
            <w:shd w:val="clear" w:color="auto" w:fill="auto"/>
            <w:noWrap/>
            <w:vAlign w:val="bottom"/>
            <w:hideMark/>
          </w:tcPr>
          <w:p w:rsidR="0033036C" w:rsidRPr="006306C1" w:rsidRDefault="0033036C" w:rsidP="000F3591">
            <w:pPr>
              <w:spacing w:before="0" w:after="0"/>
              <w:jc w:val="center"/>
              <w:rPr>
                <w:rFonts w:ascii="Calibri" w:eastAsia="Times New Roman" w:hAnsi="Calibri" w:cs="Times New Roman"/>
                <w:color w:val="000000"/>
                <w:sz w:val="16"/>
                <w:szCs w:val="16"/>
                <w:lang w:eastAsia="cs-CZ"/>
              </w:rPr>
            </w:pPr>
            <w:r w:rsidRPr="006306C1">
              <w:rPr>
                <w:rFonts w:ascii="Calibri" w:eastAsia="Times New Roman" w:hAnsi="Calibri" w:cs="Times New Roman"/>
                <w:color w:val="000000"/>
                <w:sz w:val="16"/>
                <w:szCs w:val="16"/>
                <w:lang w:eastAsia="cs-CZ"/>
              </w:rPr>
              <w:t>1</w:t>
            </w:r>
          </w:p>
        </w:tc>
      </w:tr>
      <w:tr w:rsidR="0033036C" w:rsidRPr="006306C1" w:rsidTr="000F3591">
        <w:trPr>
          <w:trHeight w:val="225"/>
        </w:trPr>
        <w:tc>
          <w:tcPr>
            <w:tcW w:w="640" w:type="dxa"/>
            <w:tcBorders>
              <w:top w:val="nil"/>
              <w:left w:val="nil"/>
              <w:bottom w:val="nil"/>
              <w:right w:val="nil"/>
            </w:tcBorders>
            <w:shd w:val="clear" w:color="auto" w:fill="auto"/>
            <w:noWrap/>
            <w:vAlign w:val="bottom"/>
            <w:hideMark/>
          </w:tcPr>
          <w:p w:rsidR="0033036C" w:rsidRPr="006306C1" w:rsidRDefault="0033036C" w:rsidP="000F3591">
            <w:pPr>
              <w:spacing w:before="0" w:after="0"/>
              <w:jc w:val="center"/>
              <w:rPr>
                <w:rFonts w:ascii="Calibri" w:eastAsia="Times New Roman" w:hAnsi="Calibri" w:cs="Times New Roman"/>
                <w:color w:val="000000"/>
                <w:sz w:val="16"/>
                <w:szCs w:val="16"/>
                <w:lang w:eastAsia="cs-CZ"/>
              </w:rPr>
            </w:pPr>
            <w:r w:rsidRPr="006306C1">
              <w:rPr>
                <w:rFonts w:ascii="Calibri" w:eastAsia="Times New Roman" w:hAnsi="Calibri" w:cs="Times New Roman"/>
                <w:color w:val="000000"/>
                <w:sz w:val="16"/>
                <w:szCs w:val="16"/>
                <w:lang w:eastAsia="cs-CZ"/>
              </w:rPr>
              <w:t>2011</w:t>
            </w:r>
          </w:p>
        </w:tc>
        <w:tc>
          <w:tcPr>
            <w:tcW w:w="615" w:type="dxa"/>
            <w:tcBorders>
              <w:top w:val="nil"/>
              <w:left w:val="nil"/>
              <w:bottom w:val="nil"/>
              <w:right w:val="nil"/>
            </w:tcBorders>
            <w:shd w:val="clear" w:color="auto" w:fill="auto"/>
            <w:noWrap/>
            <w:vAlign w:val="bottom"/>
            <w:hideMark/>
          </w:tcPr>
          <w:p w:rsidR="0033036C" w:rsidRPr="006306C1" w:rsidRDefault="0033036C" w:rsidP="000F3591">
            <w:pPr>
              <w:spacing w:before="0" w:after="0"/>
              <w:jc w:val="center"/>
              <w:rPr>
                <w:rFonts w:ascii="Calibri" w:eastAsia="Times New Roman" w:hAnsi="Calibri" w:cs="Times New Roman"/>
                <w:b/>
                <w:bCs/>
                <w:color w:val="000000"/>
                <w:sz w:val="16"/>
                <w:szCs w:val="16"/>
                <w:lang w:eastAsia="cs-CZ"/>
              </w:rPr>
            </w:pPr>
            <w:r w:rsidRPr="006306C1">
              <w:rPr>
                <w:rFonts w:ascii="Calibri" w:eastAsia="Times New Roman" w:hAnsi="Calibri" w:cs="Times New Roman"/>
                <w:b/>
                <w:bCs/>
                <w:color w:val="000000"/>
                <w:sz w:val="16"/>
                <w:szCs w:val="16"/>
                <w:lang w:eastAsia="cs-CZ"/>
              </w:rPr>
              <w:t>127</w:t>
            </w:r>
          </w:p>
        </w:tc>
        <w:tc>
          <w:tcPr>
            <w:tcW w:w="600" w:type="dxa"/>
            <w:tcBorders>
              <w:top w:val="nil"/>
              <w:left w:val="nil"/>
              <w:bottom w:val="nil"/>
              <w:right w:val="nil"/>
            </w:tcBorders>
            <w:shd w:val="clear" w:color="auto" w:fill="auto"/>
            <w:noWrap/>
            <w:vAlign w:val="bottom"/>
            <w:hideMark/>
          </w:tcPr>
          <w:p w:rsidR="0033036C" w:rsidRPr="006306C1" w:rsidRDefault="0033036C" w:rsidP="000F3591">
            <w:pPr>
              <w:spacing w:before="0" w:after="0"/>
              <w:jc w:val="center"/>
              <w:rPr>
                <w:rFonts w:ascii="Calibri" w:eastAsia="Times New Roman" w:hAnsi="Calibri" w:cs="Times New Roman"/>
                <w:color w:val="000000"/>
                <w:sz w:val="16"/>
                <w:szCs w:val="16"/>
                <w:lang w:eastAsia="cs-CZ"/>
              </w:rPr>
            </w:pPr>
            <w:r w:rsidRPr="006306C1">
              <w:rPr>
                <w:rFonts w:ascii="Calibri" w:eastAsia="Times New Roman" w:hAnsi="Calibri" w:cs="Times New Roman"/>
                <w:color w:val="000000"/>
                <w:sz w:val="16"/>
                <w:szCs w:val="16"/>
                <w:lang w:eastAsia="cs-CZ"/>
              </w:rPr>
              <w:t>41</w:t>
            </w:r>
          </w:p>
        </w:tc>
        <w:tc>
          <w:tcPr>
            <w:tcW w:w="600" w:type="dxa"/>
            <w:tcBorders>
              <w:top w:val="nil"/>
              <w:left w:val="nil"/>
              <w:bottom w:val="nil"/>
              <w:right w:val="nil"/>
            </w:tcBorders>
            <w:shd w:val="clear" w:color="auto" w:fill="auto"/>
            <w:noWrap/>
            <w:vAlign w:val="bottom"/>
            <w:hideMark/>
          </w:tcPr>
          <w:p w:rsidR="0033036C" w:rsidRPr="006306C1" w:rsidRDefault="0033036C" w:rsidP="000F3591">
            <w:pPr>
              <w:spacing w:before="0" w:after="0"/>
              <w:jc w:val="center"/>
              <w:rPr>
                <w:rFonts w:ascii="Calibri" w:eastAsia="Times New Roman" w:hAnsi="Calibri" w:cs="Times New Roman"/>
                <w:color w:val="000000"/>
                <w:sz w:val="16"/>
                <w:szCs w:val="16"/>
                <w:lang w:eastAsia="cs-CZ"/>
              </w:rPr>
            </w:pPr>
            <w:r w:rsidRPr="006306C1">
              <w:rPr>
                <w:rFonts w:ascii="Calibri" w:eastAsia="Times New Roman" w:hAnsi="Calibri" w:cs="Times New Roman"/>
                <w:color w:val="000000"/>
                <w:sz w:val="16"/>
                <w:szCs w:val="16"/>
                <w:lang w:eastAsia="cs-CZ"/>
              </w:rPr>
              <w:t>14</w:t>
            </w:r>
          </w:p>
        </w:tc>
        <w:tc>
          <w:tcPr>
            <w:tcW w:w="600" w:type="dxa"/>
            <w:tcBorders>
              <w:top w:val="nil"/>
              <w:left w:val="nil"/>
              <w:bottom w:val="nil"/>
              <w:right w:val="nil"/>
            </w:tcBorders>
            <w:shd w:val="clear" w:color="auto" w:fill="auto"/>
            <w:noWrap/>
            <w:vAlign w:val="bottom"/>
            <w:hideMark/>
          </w:tcPr>
          <w:p w:rsidR="0033036C" w:rsidRPr="006306C1" w:rsidRDefault="0033036C" w:rsidP="000F3591">
            <w:pPr>
              <w:spacing w:before="0" w:after="0"/>
              <w:jc w:val="center"/>
              <w:rPr>
                <w:rFonts w:ascii="Calibri" w:eastAsia="Times New Roman" w:hAnsi="Calibri" w:cs="Times New Roman"/>
                <w:color w:val="000000"/>
                <w:sz w:val="16"/>
                <w:szCs w:val="16"/>
                <w:lang w:eastAsia="cs-CZ"/>
              </w:rPr>
            </w:pPr>
            <w:r w:rsidRPr="006306C1">
              <w:rPr>
                <w:rFonts w:ascii="Calibri" w:eastAsia="Times New Roman" w:hAnsi="Calibri" w:cs="Times New Roman"/>
                <w:color w:val="000000"/>
                <w:sz w:val="16"/>
                <w:szCs w:val="16"/>
                <w:lang w:eastAsia="cs-CZ"/>
              </w:rPr>
              <w:t>3</w:t>
            </w:r>
          </w:p>
        </w:tc>
        <w:tc>
          <w:tcPr>
            <w:tcW w:w="600" w:type="dxa"/>
            <w:tcBorders>
              <w:top w:val="nil"/>
              <w:left w:val="nil"/>
              <w:bottom w:val="nil"/>
              <w:right w:val="nil"/>
            </w:tcBorders>
            <w:shd w:val="clear" w:color="auto" w:fill="auto"/>
            <w:noWrap/>
            <w:vAlign w:val="bottom"/>
            <w:hideMark/>
          </w:tcPr>
          <w:p w:rsidR="0033036C" w:rsidRPr="006306C1" w:rsidRDefault="0033036C" w:rsidP="000F3591">
            <w:pPr>
              <w:spacing w:before="0" w:after="0"/>
              <w:jc w:val="center"/>
              <w:rPr>
                <w:rFonts w:ascii="Calibri" w:eastAsia="Times New Roman" w:hAnsi="Calibri" w:cs="Times New Roman"/>
                <w:color w:val="000000"/>
                <w:sz w:val="16"/>
                <w:szCs w:val="16"/>
                <w:lang w:eastAsia="cs-CZ"/>
              </w:rPr>
            </w:pPr>
            <w:r w:rsidRPr="006306C1">
              <w:rPr>
                <w:rFonts w:ascii="Calibri" w:eastAsia="Times New Roman" w:hAnsi="Calibri" w:cs="Times New Roman"/>
                <w:color w:val="000000"/>
                <w:sz w:val="16"/>
                <w:szCs w:val="16"/>
                <w:lang w:eastAsia="cs-CZ"/>
              </w:rPr>
              <w:t>27</w:t>
            </w:r>
          </w:p>
        </w:tc>
        <w:tc>
          <w:tcPr>
            <w:tcW w:w="600" w:type="dxa"/>
            <w:tcBorders>
              <w:top w:val="nil"/>
              <w:left w:val="nil"/>
              <w:bottom w:val="nil"/>
              <w:right w:val="nil"/>
            </w:tcBorders>
            <w:shd w:val="clear" w:color="auto" w:fill="auto"/>
            <w:noWrap/>
            <w:vAlign w:val="bottom"/>
            <w:hideMark/>
          </w:tcPr>
          <w:p w:rsidR="0033036C" w:rsidRPr="006306C1" w:rsidRDefault="0033036C" w:rsidP="000F3591">
            <w:pPr>
              <w:spacing w:before="0" w:after="0"/>
              <w:jc w:val="center"/>
              <w:rPr>
                <w:rFonts w:ascii="Calibri" w:eastAsia="Times New Roman" w:hAnsi="Calibri" w:cs="Times New Roman"/>
                <w:color w:val="000000"/>
                <w:sz w:val="16"/>
                <w:szCs w:val="16"/>
                <w:lang w:eastAsia="cs-CZ"/>
              </w:rPr>
            </w:pPr>
            <w:r w:rsidRPr="006306C1">
              <w:rPr>
                <w:rFonts w:ascii="Calibri" w:eastAsia="Times New Roman" w:hAnsi="Calibri" w:cs="Times New Roman"/>
                <w:color w:val="000000"/>
                <w:sz w:val="16"/>
                <w:szCs w:val="16"/>
                <w:lang w:eastAsia="cs-CZ"/>
              </w:rPr>
              <w:t>42</w:t>
            </w:r>
          </w:p>
        </w:tc>
        <w:tc>
          <w:tcPr>
            <w:tcW w:w="615" w:type="dxa"/>
            <w:tcBorders>
              <w:top w:val="nil"/>
              <w:left w:val="nil"/>
              <w:bottom w:val="nil"/>
              <w:right w:val="nil"/>
            </w:tcBorders>
            <w:shd w:val="clear" w:color="auto" w:fill="auto"/>
            <w:noWrap/>
            <w:vAlign w:val="bottom"/>
            <w:hideMark/>
          </w:tcPr>
          <w:p w:rsidR="0033036C" w:rsidRPr="006306C1" w:rsidRDefault="0033036C" w:rsidP="000F3591">
            <w:pPr>
              <w:spacing w:before="0" w:after="0"/>
              <w:jc w:val="center"/>
              <w:rPr>
                <w:rFonts w:ascii="Calibri" w:eastAsia="Times New Roman" w:hAnsi="Calibri" w:cs="Times New Roman"/>
                <w:b/>
                <w:bCs/>
                <w:color w:val="000000"/>
                <w:sz w:val="16"/>
                <w:szCs w:val="16"/>
                <w:lang w:eastAsia="cs-CZ"/>
              </w:rPr>
            </w:pPr>
            <w:r w:rsidRPr="006306C1">
              <w:rPr>
                <w:rFonts w:ascii="Calibri" w:eastAsia="Times New Roman" w:hAnsi="Calibri" w:cs="Times New Roman"/>
                <w:b/>
                <w:bCs/>
                <w:color w:val="000000"/>
                <w:sz w:val="16"/>
                <w:szCs w:val="16"/>
                <w:lang w:eastAsia="cs-CZ"/>
              </w:rPr>
              <w:t>8</w:t>
            </w:r>
          </w:p>
        </w:tc>
        <w:tc>
          <w:tcPr>
            <w:tcW w:w="600" w:type="dxa"/>
            <w:tcBorders>
              <w:top w:val="nil"/>
              <w:left w:val="nil"/>
              <w:bottom w:val="nil"/>
              <w:right w:val="nil"/>
            </w:tcBorders>
            <w:shd w:val="clear" w:color="auto" w:fill="auto"/>
            <w:noWrap/>
            <w:vAlign w:val="bottom"/>
            <w:hideMark/>
          </w:tcPr>
          <w:p w:rsidR="0033036C" w:rsidRPr="006306C1" w:rsidRDefault="0033036C" w:rsidP="000F3591">
            <w:pPr>
              <w:spacing w:before="0" w:after="0"/>
              <w:jc w:val="center"/>
              <w:rPr>
                <w:rFonts w:ascii="Calibri" w:eastAsia="Times New Roman" w:hAnsi="Calibri" w:cs="Times New Roman"/>
                <w:color w:val="000000"/>
                <w:sz w:val="16"/>
                <w:szCs w:val="16"/>
                <w:lang w:eastAsia="cs-CZ"/>
              </w:rPr>
            </w:pPr>
            <w:r w:rsidRPr="006306C1">
              <w:rPr>
                <w:rFonts w:ascii="Calibri" w:eastAsia="Times New Roman" w:hAnsi="Calibri" w:cs="Times New Roman"/>
                <w:color w:val="000000"/>
                <w:sz w:val="16"/>
                <w:szCs w:val="16"/>
                <w:lang w:eastAsia="cs-CZ"/>
              </w:rPr>
              <w:t>2</w:t>
            </w:r>
          </w:p>
        </w:tc>
        <w:tc>
          <w:tcPr>
            <w:tcW w:w="600" w:type="dxa"/>
            <w:tcBorders>
              <w:top w:val="nil"/>
              <w:left w:val="nil"/>
              <w:bottom w:val="nil"/>
              <w:right w:val="nil"/>
            </w:tcBorders>
            <w:shd w:val="clear" w:color="auto" w:fill="auto"/>
            <w:noWrap/>
            <w:vAlign w:val="bottom"/>
            <w:hideMark/>
          </w:tcPr>
          <w:p w:rsidR="0033036C" w:rsidRPr="006306C1" w:rsidRDefault="0033036C" w:rsidP="000F3591">
            <w:pPr>
              <w:spacing w:before="0" w:after="0"/>
              <w:jc w:val="center"/>
              <w:rPr>
                <w:rFonts w:ascii="Calibri" w:eastAsia="Times New Roman" w:hAnsi="Calibri" w:cs="Times New Roman"/>
                <w:color w:val="000000"/>
                <w:sz w:val="16"/>
                <w:szCs w:val="16"/>
                <w:lang w:eastAsia="cs-CZ"/>
              </w:rPr>
            </w:pPr>
          </w:p>
        </w:tc>
        <w:tc>
          <w:tcPr>
            <w:tcW w:w="600" w:type="dxa"/>
            <w:tcBorders>
              <w:top w:val="nil"/>
              <w:left w:val="nil"/>
              <w:bottom w:val="nil"/>
              <w:right w:val="nil"/>
            </w:tcBorders>
            <w:shd w:val="clear" w:color="auto" w:fill="auto"/>
            <w:noWrap/>
            <w:vAlign w:val="bottom"/>
            <w:hideMark/>
          </w:tcPr>
          <w:p w:rsidR="0033036C" w:rsidRPr="006306C1" w:rsidRDefault="0033036C" w:rsidP="000F3591">
            <w:pPr>
              <w:spacing w:before="0" w:after="0"/>
              <w:jc w:val="center"/>
              <w:rPr>
                <w:rFonts w:ascii="Calibri" w:eastAsia="Times New Roman" w:hAnsi="Calibri" w:cs="Times New Roman"/>
                <w:color w:val="000000"/>
                <w:sz w:val="16"/>
                <w:szCs w:val="16"/>
                <w:lang w:eastAsia="cs-CZ"/>
              </w:rPr>
            </w:pPr>
            <w:r w:rsidRPr="006306C1">
              <w:rPr>
                <w:rFonts w:ascii="Calibri" w:eastAsia="Times New Roman" w:hAnsi="Calibri" w:cs="Times New Roman"/>
                <w:color w:val="000000"/>
                <w:sz w:val="16"/>
                <w:szCs w:val="16"/>
                <w:lang w:eastAsia="cs-CZ"/>
              </w:rPr>
              <w:t>6</w:t>
            </w:r>
          </w:p>
        </w:tc>
        <w:tc>
          <w:tcPr>
            <w:tcW w:w="615" w:type="dxa"/>
            <w:tcBorders>
              <w:top w:val="nil"/>
              <w:left w:val="nil"/>
              <w:bottom w:val="nil"/>
              <w:right w:val="nil"/>
            </w:tcBorders>
            <w:shd w:val="clear" w:color="auto" w:fill="auto"/>
            <w:noWrap/>
            <w:vAlign w:val="bottom"/>
            <w:hideMark/>
          </w:tcPr>
          <w:p w:rsidR="0033036C" w:rsidRPr="006306C1" w:rsidRDefault="0033036C" w:rsidP="000F3591">
            <w:pPr>
              <w:spacing w:before="0" w:after="0"/>
              <w:jc w:val="center"/>
              <w:rPr>
                <w:rFonts w:ascii="Calibri" w:eastAsia="Times New Roman" w:hAnsi="Calibri" w:cs="Times New Roman"/>
                <w:b/>
                <w:bCs/>
                <w:color w:val="000000"/>
                <w:sz w:val="16"/>
                <w:szCs w:val="16"/>
                <w:lang w:eastAsia="cs-CZ"/>
              </w:rPr>
            </w:pPr>
            <w:r w:rsidRPr="006306C1">
              <w:rPr>
                <w:rFonts w:ascii="Calibri" w:eastAsia="Times New Roman" w:hAnsi="Calibri" w:cs="Times New Roman"/>
                <w:b/>
                <w:bCs/>
                <w:color w:val="000000"/>
                <w:sz w:val="16"/>
                <w:szCs w:val="16"/>
                <w:lang w:eastAsia="cs-CZ"/>
              </w:rPr>
              <w:t>4</w:t>
            </w:r>
          </w:p>
        </w:tc>
        <w:tc>
          <w:tcPr>
            <w:tcW w:w="600" w:type="dxa"/>
            <w:tcBorders>
              <w:top w:val="nil"/>
              <w:left w:val="nil"/>
              <w:bottom w:val="nil"/>
              <w:right w:val="nil"/>
            </w:tcBorders>
            <w:shd w:val="clear" w:color="auto" w:fill="auto"/>
            <w:noWrap/>
            <w:vAlign w:val="bottom"/>
            <w:hideMark/>
          </w:tcPr>
          <w:p w:rsidR="0033036C" w:rsidRPr="006306C1" w:rsidRDefault="0033036C" w:rsidP="000F3591">
            <w:pPr>
              <w:spacing w:before="0" w:after="0"/>
              <w:jc w:val="center"/>
              <w:rPr>
                <w:rFonts w:ascii="Calibri" w:eastAsia="Times New Roman" w:hAnsi="Calibri" w:cs="Times New Roman"/>
                <w:color w:val="000000"/>
                <w:sz w:val="16"/>
                <w:szCs w:val="16"/>
                <w:lang w:eastAsia="cs-CZ"/>
              </w:rPr>
            </w:pPr>
            <w:r w:rsidRPr="006306C1">
              <w:rPr>
                <w:rFonts w:ascii="Calibri" w:eastAsia="Times New Roman" w:hAnsi="Calibri" w:cs="Times New Roman"/>
                <w:color w:val="000000"/>
                <w:sz w:val="16"/>
                <w:szCs w:val="16"/>
                <w:lang w:eastAsia="cs-CZ"/>
              </w:rPr>
              <w:t>3</w:t>
            </w:r>
          </w:p>
        </w:tc>
        <w:tc>
          <w:tcPr>
            <w:tcW w:w="600" w:type="dxa"/>
            <w:tcBorders>
              <w:top w:val="nil"/>
              <w:left w:val="nil"/>
              <w:bottom w:val="nil"/>
              <w:right w:val="nil"/>
            </w:tcBorders>
            <w:shd w:val="clear" w:color="auto" w:fill="auto"/>
            <w:noWrap/>
            <w:vAlign w:val="bottom"/>
            <w:hideMark/>
          </w:tcPr>
          <w:p w:rsidR="0033036C" w:rsidRPr="006306C1" w:rsidRDefault="0033036C" w:rsidP="000F3591">
            <w:pPr>
              <w:spacing w:before="0" w:after="0"/>
              <w:jc w:val="center"/>
              <w:rPr>
                <w:rFonts w:ascii="Calibri" w:eastAsia="Times New Roman" w:hAnsi="Calibri" w:cs="Times New Roman"/>
                <w:color w:val="000000"/>
                <w:sz w:val="16"/>
                <w:szCs w:val="16"/>
                <w:lang w:eastAsia="cs-CZ"/>
              </w:rPr>
            </w:pPr>
            <w:r w:rsidRPr="006306C1">
              <w:rPr>
                <w:rFonts w:ascii="Calibri" w:eastAsia="Times New Roman" w:hAnsi="Calibri" w:cs="Times New Roman"/>
                <w:color w:val="000000"/>
                <w:sz w:val="16"/>
                <w:szCs w:val="16"/>
                <w:lang w:eastAsia="cs-CZ"/>
              </w:rPr>
              <w:t>1</w:t>
            </w:r>
          </w:p>
        </w:tc>
      </w:tr>
      <w:tr w:rsidR="0033036C" w:rsidRPr="006306C1" w:rsidTr="000F3591">
        <w:trPr>
          <w:trHeight w:val="225"/>
        </w:trPr>
        <w:tc>
          <w:tcPr>
            <w:tcW w:w="640" w:type="dxa"/>
            <w:tcBorders>
              <w:top w:val="nil"/>
              <w:left w:val="nil"/>
              <w:bottom w:val="nil"/>
              <w:right w:val="nil"/>
            </w:tcBorders>
            <w:shd w:val="clear" w:color="auto" w:fill="auto"/>
            <w:noWrap/>
            <w:vAlign w:val="bottom"/>
            <w:hideMark/>
          </w:tcPr>
          <w:p w:rsidR="0033036C" w:rsidRPr="006306C1" w:rsidRDefault="0033036C" w:rsidP="000F3591">
            <w:pPr>
              <w:spacing w:before="0" w:after="0"/>
              <w:jc w:val="center"/>
              <w:rPr>
                <w:rFonts w:ascii="Calibri" w:eastAsia="Times New Roman" w:hAnsi="Calibri" w:cs="Times New Roman"/>
                <w:color w:val="000000"/>
                <w:sz w:val="16"/>
                <w:szCs w:val="16"/>
                <w:lang w:eastAsia="cs-CZ"/>
              </w:rPr>
            </w:pPr>
            <w:r w:rsidRPr="006306C1">
              <w:rPr>
                <w:rFonts w:ascii="Calibri" w:eastAsia="Times New Roman" w:hAnsi="Calibri" w:cs="Times New Roman"/>
                <w:color w:val="000000"/>
                <w:sz w:val="16"/>
                <w:szCs w:val="16"/>
                <w:lang w:eastAsia="cs-CZ"/>
              </w:rPr>
              <w:t>2012</w:t>
            </w:r>
          </w:p>
        </w:tc>
        <w:tc>
          <w:tcPr>
            <w:tcW w:w="615" w:type="dxa"/>
            <w:tcBorders>
              <w:top w:val="nil"/>
              <w:left w:val="nil"/>
              <w:bottom w:val="nil"/>
              <w:right w:val="nil"/>
            </w:tcBorders>
            <w:shd w:val="clear" w:color="auto" w:fill="auto"/>
            <w:noWrap/>
            <w:vAlign w:val="bottom"/>
            <w:hideMark/>
          </w:tcPr>
          <w:p w:rsidR="0033036C" w:rsidRPr="006306C1" w:rsidRDefault="0033036C" w:rsidP="000F3591">
            <w:pPr>
              <w:spacing w:before="0" w:after="0"/>
              <w:jc w:val="center"/>
              <w:rPr>
                <w:rFonts w:ascii="Calibri" w:eastAsia="Times New Roman" w:hAnsi="Calibri" w:cs="Times New Roman"/>
                <w:b/>
                <w:bCs/>
                <w:color w:val="000000"/>
                <w:sz w:val="16"/>
                <w:szCs w:val="16"/>
                <w:lang w:eastAsia="cs-CZ"/>
              </w:rPr>
            </w:pPr>
            <w:r w:rsidRPr="006306C1">
              <w:rPr>
                <w:rFonts w:ascii="Calibri" w:eastAsia="Times New Roman" w:hAnsi="Calibri" w:cs="Times New Roman"/>
                <w:b/>
                <w:bCs/>
                <w:color w:val="000000"/>
                <w:sz w:val="16"/>
                <w:szCs w:val="16"/>
                <w:lang w:eastAsia="cs-CZ"/>
              </w:rPr>
              <w:t>189</w:t>
            </w:r>
          </w:p>
        </w:tc>
        <w:tc>
          <w:tcPr>
            <w:tcW w:w="600" w:type="dxa"/>
            <w:tcBorders>
              <w:top w:val="nil"/>
              <w:left w:val="nil"/>
              <w:bottom w:val="nil"/>
              <w:right w:val="nil"/>
            </w:tcBorders>
            <w:shd w:val="clear" w:color="auto" w:fill="auto"/>
            <w:noWrap/>
            <w:vAlign w:val="bottom"/>
            <w:hideMark/>
          </w:tcPr>
          <w:p w:rsidR="0033036C" w:rsidRPr="006306C1" w:rsidRDefault="0033036C" w:rsidP="000F3591">
            <w:pPr>
              <w:spacing w:before="0" w:after="0"/>
              <w:jc w:val="center"/>
              <w:rPr>
                <w:rFonts w:ascii="Calibri" w:eastAsia="Times New Roman" w:hAnsi="Calibri" w:cs="Times New Roman"/>
                <w:color w:val="000000"/>
                <w:sz w:val="16"/>
                <w:szCs w:val="16"/>
                <w:lang w:eastAsia="cs-CZ"/>
              </w:rPr>
            </w:pPr>
            <w:r w:rsidRPr="006306C1">
              <w:rPr>
                <w:rFonts w:ascii="Calibri" w:eastAsia="Times New Roman" w:hAnsi="Calibri" w:cs="Times New Roman"/>
                <w:color w:val="000000"/>
                <w:sz w:val="16"/>
                <w:szCs w:val="16"/>
                <w:lang w:eastAsia="cs-CZ"/>
              </w:rPr>
              <w:t>68</w:t>
            </w:r>
          </w:p>
        </w:tc>
        <w:tc>
          <w:tcPr>
            <w:tcW w:w="600" w:type="dxa"/>
            <w:tcBorders>
              <w:top w:val="nil"/>
              <w:left w:val="nil"/>
              <w:bottom w:val="nil"/>
              <w:right w:val="nil"/>
            </w:tcBorders>
            <w:shd w:val="clear" w:color="auto" w:fill="auto"/>
            <w:noWrap/>
            <w:vAlign w:val="bottom"/>
            <w:hideMark/>
          </w:tcPr>
          <w:p w:rsidR="0033036C" w:rsidRPr="006306C1" w:rsidRDefault="0033036C" w:rsidP="000F3591">
            <w:pPr>
              <w:spacing w:before="0" w:after="0"/>
              <w:jc w:val="center"/>
              <w:rPr>
                <w:rFonts w:ascii="Calibri" w:eastAsia="Times New Roman" w:hAnsi="Calibri" w:cs="Times New Roman"/>
                <w:color w:val="000000"/>
                <w:sz w:val="16"/>
                <w:szCs w:val="16"/>
                <w:lang w:eastAsia="cs-CZ"/>
              </w:rPr>
            </w:pPr>
            <w:r w:rsidRPr="006306C1">
              <w:rPr>
                <w:rFonts w:ascii="Calibri" w:eastAsia="Times New Roman" w:hAnsi="Calibri" w:cs="Times New Roman"/>
                <w:color w:val="000000"/>
                <w:sz w:val="16"/>
                <w:szCs w:val="16"/>
                <w:lang w:eastAsia="cs-CZ"/>
              </w:rPr>
              <w:t>22</w:t>
            </w:r>
          </w:p>
        </w:tc>
        <w:tc>
          <w:tcPr>
            <w:tcW w:w="600" w:type="dxa"/>
            <w:tcBorders>
              <w:top w:val="nil"/>
              <w:left w:val="nil"/>
              <w:bottom w:val="nil"/>
              <w:right w:val="nil"/>
            </w:tcBorders>
            <w:shd w:val="clear" w:color="auto" w:fill="auto"/>
            <w:noWrap/>
            <w:vAlign w:val="bottom"/>
            <w:hideMark/>
          </w:tcPr>
          <w:p w:rsidR="0033036C" w:rsidRPr="006306C1" w:rsidRDefault="0033036C" w:rsidP="000F3591">
            <w:pPr>
              <w:spacing w:before="0" w:after="0"/>
              <w:jc w:val="center"/>
              <w:rPr>
                <w:rFonts w:ascii="Calibri" w:eastAsia="Times New Roman" w:hAnsi="Calibri" w:cs="Times New Roman"/>
                <w:color w:val="000000"/>
                <w:sz w:val="16"/>
                <w:szCs w:val="16"/>
                <w:lang w:eastAsia="cs-CZ"/>
              </w:rPr>
            </w:pPr>
            <w:r w:rsidRPr="006306C1">
              <w:rPr>
                <w:rFonts w:ascii="Calibri" w:eastAsia="Times New Roman" w:hAnsi="Calibri" w:cs="Times New Roman"/>
                <w:color w:val="000000"/>
                <w:sz w:val="16"/>
                <w:szCs w:val="16"/>
                <w:lang w:eastAsia="cs-CZ"/>
              </w:rPr>
              <w:t>5</w:t>
            </w:r>
          </w:p>
        </w:tc>
        <w:tc>
          <w:tcPr>
            <w:tcW w:w="600" w:type="dxa"/>
            <w:tcBorders>
              <w:top w:val="nil"/>
              <w:left w:val="nil"/>
              <w:bottom w:val="nil"/>
              <w:right w:val="nil"/>
            </w:tcBorders>
            <w:shd w:val="clear" w:color="auto" w:fill="auto"/>
            <w:noWrap/>
            <w:vAlign w:val="bottom"/>
            <w:hideMark/>
          </w:tcPr>
          <w:p w:rsidR="0033036C" w:rsidRPr="006306C1" w:rsidRDefault="0033036C" w:rsidP="000F3591">
            <w:pPr>
              <w:spacing w:before="0" w:after="0"/>
              <w:jc w:val="center"/>
              <w:rPr>
                <w:rFonts w:ascii="Calibri" w:eastAsia="Times New Roman" w:hAnsi="Calibri" w:cs="Times New Roman"/>
                <w:color w:val="000000"/>
                <w:sz w:val="16"/>
                <w:szCs w:val="16"/>
                <w:lang w:eastAsia="cs-CZ"/>
              </w:rPr>
            </w:pPr>
            <w:r w:rsidRPr="006306C1">
              <w:rPr>
                <w:rFonts w:ascii="Calibri" w:eastAsia="Times New Roman" w:hAnsi="Calibri" w:cs="Times New Roman"/>
                <w:color w:val="000000"/>
                <w:sz w:val="16"/>
                <w:szCs w:val="16"/>
                <w:lang w:eastAsia="cs-CZ"/>
              </w:rPr>
              <w:t>36</w:t>
            </w:r>
          </w:p>
        </w:tc>
        <w:tc>
          <w:tcPr>
            <w:tcW w:w="600" w:type="dxa"/>
            <w:tcBorders>
              <w:top w:val="nil"/>
              <w:left w:val="nil"/>
              <w:bottom w:val="nil"/>
              <w:right w:val="nil"/>
            </w:tcBorders>
            <w:shd w:val="clear" w:color="auto" w:fill="auto"/>
            <w:noWrap/>
            <w:vAlign w:val="bottom"/>
            <w:hideMark/>
          </w:tcPr>
          <w:p w:rsidR="0033036C" w:rsidRPr="006306C1" w:rsidRDefault="0033036C" w:rsidP="000F3591">
            <w:pPr>
              <w:spacing w:before="0" w:after="0"/>
              <w:jc w:val="center"/>
              <w:rPr>
                <w:rFonts w:ascii="Calibri" w:eastAsia="Times New Roman" w:hAnsi="Calibri" w:cs="Times New Roman"/>
                <w:color w:val="000000"/>
                <w:sz w:val="16"/>
                <w:szCs w:val="16"/>
                <w:lang w:eastAsia="cs-CZ"/>
              </w:rPr>
            </w:pPr>
            <w:r w:rsidRPr="006306C1">
              <w:rPr>
                <w:rFonts w:ascii="Calibri" w:eastAsia="Times New Roman" w:hAnsi="Calibri" w:cs="Times New Roman"/>
                <w:color w:val="000000"/>
                <w:sz w:val="16"/>
                <w:szCs w:val="16"/>
                <w:lang w:eastAsia="cs-CZ"/>
              </w:rPr>
              <w:t>58</w:t>
            </w:r>
          </w:p>
        </w:tc>
        <w:tc>
          <w:tcPr>
            <w:tcW w:w="615" w:type="dxa"/>
            <w:tcBorders>
              <w:top w:val="nil"/>
              <w:left w:val="nil"/>
              <w:bottom w:val="nil"/>
              <w:right w:val="nil"/>
            </w:tcBorders>
            <w:shd w:val="clear" w:color="auto" w:fill="auto"/>
            <w:noWrap/>
            <w:vAlign w:val="bottom"/>
            <w:hideMark/>
          </w:tcPr>
          <w:p w:rsidR="0033036C" w:rsidRPr="006306C1" w:rsidRDefault="0033036C" w:rsidP="000F3591">
            <w:pPr>
              <w:spacing w:before="0" w:after="0"/>
              <w:jc w:val="center"/>
              <w:rPr>
                <w:rFonts w:ascii="Calibri" w:eastAsia="Times New Roman" w:hAnsi="Calibri" w:cs="Times New Roman"/>
                <w:b/>
                <w:bCs/>
                <w:color w:val="000000"/>
                <w:sz w:val="16"/>
                <w:szCs w:val="16"/>
                <w:lang w:eastAsia="cs-CZ"/>
              </w:rPr>
            </w:pPr>
            <w:r w:rsidRPr="006306C1">
              <w:rPr>
                <w:rFonts w:ascii="Calibri" w:eastAsia="Times New Roman" w:hAnsi="Calibri" w:cs="Times New Roman"/>
                <w:b/>
                <w:bCs/>
                <w:color w:val="000000"/>
                <w:sz w:val="16"/>
                <w:szCs w:val="16"/>
                <w:lang w:eastAsia="cs-CZ"/>
              </w:rPr>
              <w:t>12</w:t>
            </w:r>
          </w:p>
        </w:tc>
        <w:tc>
          <w:tcPr>
            <w:tcW w:w="600" w:type="dxa"/>
            <w:tcBorders>
              <w:top w:val="nil"/>
              <w:left w:val="nil"/>
              <w:bottom w:val="nil"/>
              <w:right w:val="nil"/>
            </w:tcBorders>
            <w:shd w:val="clear" w:color="auto" w:fill="auto"/>
            <w:noWrap/>
            <w:vAlign w:val="bottom"/>
            <w:hideMark/>
          </w:tcPr>
          <w:p w:rsidR="0033036C" w:rsidRPr="006306C1" w:rsidRDefault="0033036C" w:rsidP="000F3591">
            <w:pPr>
              <w:spacing w:before="0" w:after="0"/>
              <w:jc w:val="center"/>
              <w:rPr>
                <w:rFonts w:ascii="Calibri" w:eastAsia="Times New Roman" w:hAnsi="Calibri" w:cs="Times New Roman"/>
                <w:color w:val="000000"/>
                <w:sz w:val="16"/>
                <w:szCs w:val="16"/>
                <w:lang w:eastAsia="cs-CZ"/>
              </w:rPr>
            </w:pPr>
            <w:r w:rsidRPr="006306C1">
              <w:rPr>
                <w:rFonts w:ascii="Calibri" w:eastAsia="Times New Roman" w:hAnsi="Calibri" w:cs="Times New Roman"/>
                <w:color w:val="000000"/>
                <w:sz w:val="16"/>
                <w:szCs w:val="16"/>
                <w:lang w:eastAsia="cs-CZ"/>
              </w:rPr>
              <w:t>2</w:t>
            </w:r>
          </w:p>
        </w:tc>
        <w:tc>
          <w:tcPr>
            <w:tcW w:w="600" w:type="dxa"/>
            <w:tcBorders>
              <w:top w:val="nil"/>
              <w:left w:val="nil"/>
              <w:bottom w:val="nil"/>
              <w:right w:val="nil"/>
            </w:tcBorders>
            <w:shd w:val="clear" w:color="auto" w:fill="auto"/>
            <w:noWrap/>
            <w:vAlign w:val="bottom"/>
            <w:hideMark/>
          </w:tcPr>
          <w:p w:rsidR="0033036C" w:rsidRPr="006306C1" w:rsidRDefault="0033036C" w:rsidP="000F3591">
            <w:pPr>
              <w:spacing w:before="0" w:after="0"/>
              <w:jc w:val="center"/>
              <w:rPr>
                <w:rFonts w:ascii="Calibri" w:eastAsia="Times New Roman" w:hAnsi="Calibri" w:cs="Times New Roman"/>
                <w:color w:val="000000"/>
                <w:sz w:val="16"/>
                <w:szCs w:val="16"/>
                <w:lang w:eastAsia="cs-CZ"/>
              </w:rPr>
            </w:pPr>
          </w:p>
        </w:tc>
        <w:tc>
          <w:tcPr>
            <w:tcW w:w="600" w:type="dxa"/>
            <w:tcBorders>
              <w:top w:val="nil"/>
              <w:left w:val="nil"/>
              <w:bottom w:val="nil"/>
              <w:right w:val="nil"/>
            </w:tcBorders>
            <w:shd w:val="clear" w:color="auto" w:fill="auto"/>
            <w:noWrap/>
            <w:vAlign w:val="bottom"/>
            <w:hideMark/>
          </w:tcPr>
          <w:p w:rsidR="0033036C" w:rsidRPr="006306C1" w:rsidRDefault="0033036C" w:rsidP="000F3591">
            <w:pPr>
              <w:spacing w:before="0" w:after="0"/>
              <w:jc w:val="center"/>
              <w:rPr>
                <w:rFonts w:ascii="Calibri" w:eastAsia="Times New Roman" w:hAnsi="Calibri" w:cs="Times New Roman"/>
                <w:color w:val="000000"/>
                <w:sz w:val="16"/>
                <w:szCs w:val="16"/>
                <w:lang w:eastAsia="cs-CZ"/>
              </w:rPr>
            </w:pPr>
            <w:r w:rsidRPr="006306C1">
              <w:rPr>
                <w:rFonts w:ascii="Calibri" w:eastAsia="Times New Roman" w:hAnsi="Calibri" w:cs="Times New Roman"/>
                <w:color w:val="000000"/>
                <w:sz w:val="16"/>
                <w:szCs w:val="16"/>
                <w:lang w:eastAsia="cs-CZ"/>
              </w:rPr>
              <w:t>10</w:t>
            </w:r>
          </w:p>
        </w:tc>
        <w:tc>
          <w:tcPr>
            <w:tcW w:w="615" w:type="dxa"/>
            <w:tcBorders>
              <w:top w:val="nil"/>
              <w:left w:val="nil"/>
              <w:bottom w:val="nil"/>
              <w:right w:val="nil"/>
            </w:tcBorders>
            <w:shd w:val="clear" w:color="auto" w:fill="auto"/>
            <w:noWrap/>
            <w:vAlign w:val="bottom"/>
            <w:hideMark/>
          </w:tcPr>
          <w:p w:rsidR="0033036C" w:rsidRPr="006306C1" w:rsidRDefault="0033036C" w:rsidP="000F3591">
            <w:pPr>
              <w:spacing w:before="0" w:after="0"/>
              <w:jc w:val="center"/>
              <w:rPr>
                <w:rFonts w:ascii="Calibri" w:eastAsia="Times New Roman" w:hAnsi="Calibri" w:cs="Times New Roman"/>
                <w:b/>
                <w:bCs/>
                <w:color w:val="000000"/>
                <w:sz w:val="16"/>
                <w:szCs w:val="16"/>
                <w:lang w:eastAsia="cs-CZ"/>
              </w:rPr>
            </w:pPr>
            <w:r w:rsidRPr="006306C1">
              <w:rPr>
                <w:rFonts w:ascii="Calibri" w:eastAsia="Times New Roman" w:hAnsi="Calibri" w:cs="Times New Roman"/>
                <w:b/>
                <w:bCs/>
                <w:color w:val="000000"/>
                <w:sz w:val="16"/>
                <w:szCs w:val="16"/>
                <w:lang w:eastAsia="cs-CZ"/>
              </w:rPr>
              <w:t>6</w:t>
            </w:r>
          </w:p>
        </w:tc>
        <w:tc>
          <w:tcPr>
            <w:tcW w:w="600" w:type="dxa"/>
            <w:tcBorders>
              <w:top w:val="nil"/>
              <w:left w:val="nil"/>
              <w:bottom w:val="nil"/>
              <w:right w:val="nil"/>
            </w:tcBorders>
            <w:shd w:val="clear" w:color="auto" w:fill="auto"/>
            <w:noWrap/>
            <w:vAlign w:val="bottom"/>
            <w:hideMark/>
          </w:tcPr>
          <w:p w:rsidR="0033036C" w:rsidRPr="006306C1" w:rsidRDefault="0033036C" w:rsidP="000F3591">
            <w:pPr>
              <w:spacing w:before="0" w:after="0"/>
              <w:jc w:val="center"/>
              <w:rPr>
                <w:rFonts w:ascii="Calibri" w:eastAsia="Times New Roman" w:hAnsi="Calibri" w:cs="Times New Roman"/>
                <w:color w:val="000000"/>
                <w:sz w:val="16"/>
                <w:szCs w:val="16"/>
                <w:lang w:eastAsia="cs-CZ"/>
              </w:rPr>
            </w:pPr>
            <w:r w:rsidRPr="006306C1">
              <w:rPr>
                <w:rFonts w:ascii="Calibri" w:eastAsia="Times New Roman" w:hAnsi="Calibri" w:cs="Times New Roman"/>
                <w:color w:val="000000"/>
                <w:sz w:val="16"/>
                <w:szCs w:val="16"/>
                <w:lang w:eastAsia="cs-CZ"/>
              </w:rPr>
              <w:t>5</w:t>
            </w:r>
          </w:p>
        </w:tc>
        <w:tc>
          <w:tcPr>
            <w:tcW w:w="600" w:type="dxa"/>
            <w:tcBorders>
              <w:top w:val="nil"/>
              <w:left w:val="nil"/>
              <w:bottom w:val="nil"/>
              <w:right w:val="nil"/>
            </w:tcBorders>
            <w:shd w:val="clear" w:color="auto" w:fill="auto"/>
            <w:noWrap/>
            <w:vAlign w:val="bottom"/>
            <w:hideMark/>
          </w:tcPr>
          <w:p w:rsidR="0033036C" w:rsidRPr="006306C1" w:rsidRDefault="0033036C" w:rsidP="000F3591">
            <w:pPr>
              <w:spacing w:before="0" w:after="0"/>
              <w:jc w:val="center"/>
              <w:rPr>
                <w:rFonts w:ascii="Calibri" w:eastAsia="Times New Roman" w:hAnsi="Calibri" w:cs="Times New Roman"/>
                <w:color w:val="000000"/>
                <w:sz w:val="16"/>
                <w:szCs w:val="16"/>
                <w:lang w:eastAsia="cs-CZ"/>
              </w:rPr>
            </w:pPr>
            <w:r w:rsidRPr="006306C1">
              <w:rPr>
                <w:rFonts w:ascii="Calibri" w:eastAsia="Times New Roman" w:hAnsi="Calibri" w:cs="Times New Roman"/>
                <w:color w:val="000000"/>
                <w:sz w:val="16"/>
                <w:szCs w:val="16"/>
                <w:lang w:eastAsia="cs-CZ"/>
              </w:rPr>
              <w:t>1</w:t>
            </w:r>
          </w:p>
        </w:tc>
      </w:tr>
      <w:tr w:rsidR="0033036C" w:rsidRPr="006306C1" w:rsidTr="000F3591">
        <w:trPr>
          <w:trHeight w:val="225"/>
        </w:trPr>
        <w:tc>
          <w:tcPr>
            <w:tcW w:w="640" w:type="dxa"/>
            <w:tcBorders>
              <w:top w:val="nil"/>
              <w:left w:val="nil"/>
              <w:bottom w:val="nil"/>
              <w:right w:val="nil"/>
            </w:tcBorders>
            <w:shd w:val="clear" w:color="auto" w:fill="auto"/>
            <w:noWrap/>
            <w:vAlign w:val="bottom"/>
            <w:hideMark/>
          </w:tcPr>
          <w:p w:rsidR="0033036C" w:rsidRPr="006306C1" w:rsidRDefault="0033036C" w:rsidP="000F3591">
            <w:pPr>
              <w:spacing w:before="0" w:after="0"/>
              <w:jc w:val="center"/>
              <w:rPr>
                <w:rFonts w:ascii="Calibri" w:eastAsia="Times New Roman" w:hAnsi="Calibri" w:cs="Times New Roman"/>
                <w:color w:val="000000"/>
                <w:sz w:val="16"/>
                <w:szCs w:val="16"/>
                <w:lang w:eastAsia="cs-CZ"/>
              </w:rPr>
            </w:pPr>
            <w:r w:rsidRPr="006306C1">
              <w:rPr>
                <w:rFonts w:ascii="Calibri" w:eastAsia="Times New Roman" w:hAnsi="Calibri" w:cs="Times New Roman"/>
                <w:color w:val="000000"/>
                <w:sz w:val="16"/>
                <w:szCs w:val="16"/>
                <w:lang w:eastAsia="cs-CZ"/>
              </w:rPr>
              <w:t>2013</w:t>
            </w:r>
          </w:p>
        </w:tc>
        <w:tc>
          <w:tcPr>
            <w:tcW w:w="615" w:type="dxa"/>
            <w:tcBorders>
              <w:top w:val="nil"/>
              <w:left w:val="nil"/>
              <w:bottom w:val="nil"/>
              <w:right w:val="nil"/>
            </w:tcBorders>
            <w:shd w:val="clear" w:color="auto" w:fill="auto"/>
            <w:noWrap/>
            <w:vAlign w:val="bottom"/>
            <w:hideMark/>
          </w:tcPr>
          <w:p w:rsidR="0033036C" w:rsidRPr="006306C1" w:rsidRDefault="0033036C" w:rsidP="000F3591">
            <w:pPr>
              <w:spacing w:before="0" w:after="0"/>
              <w:jc w:val="center"/>
              <w:rPr>
                <w:rFonts w:ascii="Calibri" w:eastAsia="Times New Roman" w:hAnsi="Calibri" w:cs="Times New Roman"/>
                <w:b/>
                <w:bCs/>
                <w:color w:val="000000"/>
                <w:sz w:val="16"/>
                <w:szCs w:val="16"/>
                <w:lang w:eastAsia="cs-CZ"/>
              </w:rPr>
            </w:pPr>
            <w:r w:rsidRPr="006306C1">
              <w:rPr>
                <w:rFonts w:ascii="Calibri" w:eastAsia="Times New Roman" w:hAnsi="Calibri" w:cs="Times New Roman"/>
                <w:b/>
                <w:bCs/>
                <w:color w:val="000000"/>
                <w:sz w:val="16"/>
                <w:szCs w:val="16"/>
                <w:lang w:eastAsia="cs-CZ"/>
              </w:rPr>
              <w:t>240</w:t>
            </w:r>
          </w:p>
        </w:tc>
        <w:tc>
          <w:tcPr>
            <w:tcW w:w="600" w:type="dxa"/>
            <w:tcBorders>
              <w:top w:val="nil"/>
              <w:left w:val="nil"/>
              <w:bottom w:val="nil"/>
              <w:right w:val="nil"/>
            </w:tcBorders>
            <w:shd w:val="clear" w:color="auto" w:fill="auto"/>
            <w:noWrap/>
            <w:vAlign w:val="bottom"/>
            <w:hideMark/>
          </w:tcPr>
          <w:p w:rsidR="0033036C" w:rsidRPr="006306C1" w:rsidRDefault="0033036C" w:rsidP="000F3591">
            <w:pPr>
              <w:spacing w:before="0" w:after="0"/>
              <w:jc w:val="center"/>
              <w:rPr>
                <w:rFonts w:ascii="Calibri" w:eastAsia="Times New Roman" w:hAnsi="Calibri" w:cs="Times New Roman"/>
                <w:color w:val="000000"/>
                <w:sz w:val="16"/>
                <w:szCs w:val="16"/>
                <w:lang w:eastAsia="cs-CZ"/>
              </w:rPr>
            </w:pPr>
            <w:r w:rsidRPr="006306C1">
              <w:rPr>
                <w:rFonts w:ascii="Calibri" w:eastAsia="Times New Roman" w:hAnsi="Calibri" w:cs="Times New Roman"/>
                <w:color w:val="000000"/>
                <w:sz w:val="16"/>
                <w:szCs w:val="16"/>
                <w:lang w:eastAsia="cs-CZ"/>
              </w:rPr>
              <w:t>89</w:t>
            </w:r>
          </w:p>
        </w:tc>
        <w:tc>
          <w:tcPr>
            <w:tcW w:w="600" w:type="dxa"/>
            <w:tcBorders>
              <w:top w:val="nil"/>
              <w:left w:val="nil"/>
              <w:bottom w:val="nil"/>
              <w:right w:val="nil"/>
            </w:tcBorders>
            <w:shd w:val="clear" w:color="auto" w:fill="auto"/>
            <w:noWrap/>
            <w:vAlign w:val="bottom"/>
            <w:hideMark/>
          </w:tcPr>
          <w:p w:rsidR="0033036C" w:rsidRPr="006306C1" w:rsidRDefault="0033036C" w:rsidP="000F3591">
            <w:pPr>
              <w:spacing w:before="0" w:after="0"/>
              <w:jc w:val="center"/>
              <w:rPr>
                <w:rFonts w:ascii="Calibri" w:eastAsia="Times New Roman" w:hAnsi="Calibri" w:cs="Times New Roman"/>
                <w:color w:val="000000"/>
                <w:sz w:val="16"/>
                <w:szCs w:val="16"/>
                <w:lang w:eastAsia="cs-CZ"/>
              </w:rPr>
            </w:pPr>
            <w:r w:rsidRPr="006306C1">
              <w:rPr>
                <w:rFonts w:ascii="Calibri" w:eastAsia="Times New Roman" w:hAnsi="Calibri" w:cs="Times New Roman"/>
                <w:color w:val="000000"/>
                <w:sz w:val="16"/>
                <w:szCs w:val="16"/>
                <w:lang w:eastAsia="cs-CZ"/>
              </w:rPr>
              <w:t>23</w:t>
            </w:r>
          </w:p>
        </w:tc>
        <w:tc>
          <w:tcPr>
            <w:tcW w:w="600" w:type="dxa"/>
            <w:tcBorders>
              <w:top w:val="nil"/>
              <w:left w:val="nil"/>
              <w:bottom w:val="nil"/>
              <w:right w:val="nil"/>
            </w:tcBorders>
            <w:shd w:val="clear" w:color="auto" w:fill="auto"/>
            <w:noWrap/>
            <w:vAlign w:val="bottom"/>
            <w:hideMark/>
          </w:tcPr>
          <w:p w:rsidR="0033036C" w:rsidRPr="006306C1" w:rsidRDefault="0033036C" w:rsidP="000F3591">
            <w:pPr>
              <w:spacing w:before="0" w:after="0"/>
              <w:jc w:val="center"/>
              <w:rPr>
                <w:rFonts w:ascii="Calibri" w:eastAsia="Times New Roman" w:hAnsi="Calibri" w:cs="Times New Roman"/>
                <w:color w:val="000000"/>
                <w:sz w:val="16"/>
                <w:szCs w:val="16"/>
                <w:lang w:eastAsia="cs-CZ"/>
              </w:rPr>
            </w:pPr>
            <w:r w:rsidRPr="006306C1">
              <w:rPr>
                <w:rFonts w:ascii="Calibri" w:eastAsia="Times New Roman" w:hAnsi="Calibri" w:cs="Times New Roman"/>
                <w:color w:val="000000"/>
                <w:sz w:val="16"/>
                <w:szCs w:val="16"/>
                <w:lang w:eastAsia="cs-CZ"/>
              </w:rPr>
              <w:t>6</w:t>
            </w:r>
          </w:p>
        </w:tc>
        <w:tc>
          <w:tcPr>
            <w:tcW w:w="600" w:type="dxa"/>
            <w:tcBorders>
              <w:top w:val="nil"/>
              <w:left w:val="nil"/>
              <w:bottom w:val="nil"/>
              <w:right w:val="nil"/>
            </w:tcBorders>
            <w:shd w:val="clear" w:color="auto" w:fill="auto"/>
            <w:noWrap/>
            <w:vAlign w:val="bottom"/>
            <w:hideMark/>
          </w:tcPr>
          <w:p w:rsidR="0033036C" w:rsidRPr="006306C1" w:rsidRDefault="0033036C" w:rsidP="000F3591">
            <w:pPr>
              <w:spacing w:before="0" w:after="0"/>
              <w:jc w:val="center"/>
              <w:rPr>
                <w:rFonts w:ascii="Calibri" w:eastAsia="Times New Roman" w:hAnsi="Calibri" w:cs="Times New Roman"/>
                <w:color w:val="000000"/>
                <w:sz w:val="16"/>
                <w:szCs w:val="16"/>
                <w:lang w:eastAsia="cs-CZ"/>
              </w:rPr>
            </w:pPr>
            <w:r w:rsidRPr="006306C1">
              <w:rPr>
                <w:rFonts w:ascii="Calibri" w:eastAsia="Times New Roman" w:hAnsi="Calibri" w:cs="Times New Roman"/>
                <w:color w:val="000000"/>
                <w:sz w:val="16"/>
                <w:szCs w:val="16"/>
                <w:lang w:eastAsia="cs-CZ"/>
              </w:rPr>
              <w:t>44</w:t>
            </w:r>
          </w:p>
        </w:tc>
        <w:tc>
          <w:tcPr>
            <w:tcW w:w="600" w:type="dxa"/>
            <w:tcBorders>
              <w:top w:val="nil"/>
              <w:left w:val="nil"/>
              <w:bottom w:val="nil"/>
              <w:right w:val="nil"/>
            </w:tcBorders>
            <w:shd w:val="clear" w:color="auto" w:fill="auto"/>
            <w:noWrap/>
            <w:vAlign w:val="bottom"/>
            <w:hideMark/>
          </w:tcPr>
          <w:p w:rsidR="0033036C" w:rsidRPr="006306C1" w:rsidRDefault="0033036C" w:rsidP="000F3591">
            <w:pPr>
              <w:spacing w:before="0" w:after="0"/>
              <w:jc w:val="center"/>
              <w:rPr>
                <w:rFonts w:ascii="Calibri" w:eastAsia="Times New Roman" w:hAnsi="Calibri" w:cs="Times New Roman"/>
                <w:color w:val="000000"/>
                <w:sz w:val="16"/>
                <w:szCs w:val="16"/>
                <w:lang w:eastAsia="cs-CZ"/>
              </w:rPr>
            </w:pPr>
            <w:r w:rsidRPr="006306C1">
              <w:rPr>
                <w:rFonts w:ascii="Calibri" w:eastAsia="Times New Roman" w:hAnsi="Calibri" w:cs="Times New Roman"/>
                <w:color w:val="000000"/>
                <w:sz w:val="16"/>
                <w:szCs w:val="16"/>
                <w:lang w:eastAsia="cs-CZ"/>
              </w:rPr>
              <w:t>78</w:t>
            </w:r>
          </w:p>
        </w:tc>
        <w:tc>
          <w:tcPr>
            <w:tcW w:w="615" w:type="dxa"/>
            <w:tcBorders>
              <w:top w:val="nil"/>
              <w:left w:val="nil"/>
              <w:bottom w:val="nil"/>
              <w:right w:val="nil"/>
            </w:tcBorders>
            <w:shd w:val="clear" w:color="auto" w:fill="auto"/>
            <w:noWrap/>
            <w:vAlign w:val="bottom"/>
            <w:hideMark/>
          </w:tcPr>
          <w:p w:rsidR="0033036C" w:rsidRPr="006306C1" w:rsidRDefault="0033036C" w:rsidP="000F3591">
            <w:pPr>
              <w:spacing w:before="0" w:after="0"/>
              <w:jc w:val="center"/>
              <w:rPr>
                <w:rFonts w:ascii="Calibri" w:eastAsia="Times New Roman" w:hAnsi="Calibri" w:cs="Times New Roman"/>
                <w:b/>
                <w:bCs/>
                <w:color w:val="000000"/>
                <w:sz w:val="16"/>
                <w:szCs w:val="16"/>
                <w:lang w:eastAsia="cs-CZ"/>
              </w:rPr>
            </w:pPr>
            <w:r w:rsidRPr="006306C1">
              <w:rPr>
                <w:rFonts w:ascii="Calibri" w:eastAsia="Times New Roman" w:hAnsi="Calibri" w:cs="Times New Roman"/>
                <w:b/>
                <w:bCs/>
                <w:color w:val="000000"/>
                <w:sz w:val="16"/>
                <w:szCs w:val="16"/>
                <w:lang w:eastAsia="cs-CZ"/>
              </w:rPr>
              <w:t>13</w:t>
            </w:r>
          </w:p>
        </w:tc>
        <w:tc>
          <w:tcPr>
            <w:tcW w:w="600" w:type="dxa"/>
            <w:tcBorders>
              <w:top w:val="nil"/>
              <w:left w:val="nil"/>
              <w:bottom w:val="nil"/>
              <w:right w:val="nil"/>
            </w:tcBorders>
            <w:shd w:val="clear" w:color="auto" w:fill="auto"/>
            <w:noWrap/>
            <w:vAlign w:val="bottom"/>
            <w:hideMark/>
          </w:tcPr>
          <w:p w:rsidR="0033036C" w:rsidRPr="006306C1" w:rsidRDefault="0033036C" w:rsidP="000F3591">
            <w:pPr>
              <w:spacing w:before="0" w:after="0"/>
              <w:jc w:val="center"/>
              <w:rPr>
                <w:rFonts w:ascii="Calibri" w:eastAsia="Times New Roman" w:hAnsi="Calibri" w:cs="Times New Roman"/>
                <w:color w:val="000000"/>
                <w:sz w:val="16"/>
                <w:szCs w:val="16"/>
                <w:lang w:eastAsia="cs-CZ"/>
              </w:rPr>
            </w:pPr>
            <w:r w:rsidRPr="006306C1">
              <w:rPr>
                <w:rFonts w:ascii="Calibri" w:eastAsia="Times New Roman" w:hAnsi="Calibri" w:cs="Times New Roman"/>
                <w:color w:val="000000"/>
                <w:sz w:val="16"/>
                <w:szCs w:val="16"/>
                <w:lang w:eastAsia="cs-CZ"/>
              </w:rPr>
              <w:t>2</w:t>
            </w:r>
          </w:p>
        </w:tc>
        <w:tc>
          <w:tcPr>
            <w:tcW w:w="600" w:type="dxa"/>
            <w:tcBorders>
              <w:top w:val="nil"/>
              <w:left w:val="nil"/>
              <w:bottom w:val="nil"/>
              <w:right w:val="nil"/>
            </w:tcBorders>
            <w:shd w:val="clear" w:color="auto" w:fill="auto"/>
            <w:noWrap/>
            <w:vAlign w:val="bottom"/>
            <w:hideMark/>
          </w:tcPr>
          <w:p w:rsidR="0033036C" w:rsidRPr="006306C1" w:rsidRDefault="0033036C" w:rsidP="000F3591">
            <w:pPr>
              <w:spacing w:before="0" w:after="0"/>
              <w:jc w:val="center"/>
              <w:rPr>
                <w:rFonts w:ascii="Calibri" w:eastAsia="Times New Roman" w:hAnsi="Calibri" w:cs="Times New Roman"/>
                <w:color w:val="000000"/>
                <w:sz w:val="16"/>
                <w:szCs w:val="16"/>
                <w:lang w:eastAsia="cs-CZ"/>
              </w:rPr>
            </w:pPr>
            <w:r w:rsidRPr="006306C1">
              <w:rPr>
                <w:rFonts w:ascii="Calibri" w:eastAsia="Times New Roman" w:hAnsi="Calibri" w:cs="Times New Roman"/>
                <w:color w:val="000000"/>
                <w:sz w:val="16"/>
                <w:szCs w:val="16"/>
                <w:lang w:eastAsia="cs-CZ"/>
              </w:rPr>
              <w:t>1</w:t>
            </w:r>
          </w:p>
        </w:tc>
        <w:tc>
          <w:tcPr>
            <w:tcW w:w="600" w:type="dxa"/>
            <w:tcBorders>
              <w:top w:val="nil"/>
              <w:left w:val="nil"/>
              <w:bottom w:val="nil"/>
              <w:right w:val="nil"/>
            </w:tcBorders>
            <w:shd w:val="clear" w:color="auto" w:fill="auto"/>
            <w:noWrap/>
            <w:vAlign w:val="bottom"/>
            <w:hideMark/>
          </w:tcPr>
          <w:p w:rsidR="0033036C" w:rsidRPr="006306C1" w:rsidRDefault="0033036C" w:rsidP="000F3591">
            <w:pPr>
              <w:spacing w:before="0" w:after="0"/>
              <w:jc w:val="center"/>
              <w:rPr>
                <w:rFonts w:ascii="Calibri" w:eastAsia="Times New Roman" w:hAnsi="Calibri" w:cs="Times New Roman"/>
                <w:color w:val="000000"/>
                <w:sz w:val="16"/>
                <w:szCs w:val="16"/>
                <w:lang w:eastAsia="cs-CZ"/>
              </w:rPr>
            </w:pPr>
            <w:r w:rsidRPr="006306C1">
              <w:rPr>
                <w:rFonts w:ascii="Calibri" w:eastAsia="Times New Roman" w:hAnsi="Calibri" w:cs="Times New Roman"/>
                <w:color w:val="000000"/>
                <w:sz w:val="16"/>
                <w:szCs w:val="16"/>
                <w:lang w:eastAsia="cs-CZ"/>
              </w:rPr>
              <w:t>10</w:t>
            </w:r>
          </w:p>
        </w:tc>
        <w:tc>
          <w:tcPr>
            <w:tcW w:w="615" w:type="dxa"/>
            <w:tcBorders>
              <w:top w:val="nil"/>
              <w:left w:val="nil"/>
              <w:bottom w:val="nil"/>
              <w:right w:val="nil"/>
            </w:tcBorders>
            <w:shd w:val="clear" w:color="auto" w:fill="auto"/>
            <w:noWrap/>
            <w:vAlign w:val="bottom"/>
            <w:hideMark/>
          </w:tcPr>
          <w:p w:rsidR="0033036C" w:rsidRPr="006306C1" w:rsidRDefault="0033036C" w:rsidP="000F3591">
            <w:pPr>
              <w:spacing w:before="0" w:after="0"/>
              <w:jc w:val="center"/>
              <w:rPr>
                <w:rFonts w:ascii="Calibri" w:eastAsia="Times New Roman" w:hAnsi="Calibri" w:cs="Times New Roman"/>
                <w:b/>
                <w:bCs/>
                <w:color w:val="000000"/>
                <w:sz w:val="16"/>
                <w:szCs w:val="16"/>
                <w:lang w:eastAsia="cs-CZ"/>
              </w:rPr>
            </w:pPr>
            <w:r w:rsidRPr="006306C1">
              <w:rPr>
                <w:rFonts w:ascii="Calibri" w:eastAsia="Times New Roman" w:hAnsi="Calibri" w:cs="Times New Roman"/>
                <w:b/>
                <w:bCs/>
                <w:color w:val="000000"/>
                <w:sz w:val="16"/>
                <w:szCs w:val="16"/>
                <w:lang w:eastAsia="cs-CZ"/>
              </w:rPr>
              <w:t>6</w:t>
            </w:r>
          </w:p>
        </w:tc>
        <w:tc>
          <w:tcPr>
            <w:tcW w:w="600" w:type="dxa"/>
            <w:tcBorders>
              <w:top w:val="nil"/>
              <w:left w:val="nil"/>
              <w:bottom w:val="nil"/>
              <w:right w:val="nil"/>
            </w:tcBorders>
            <w:shd w:val="clear" w:color="auto" w:fill="auto"/>
            <w:noWrap/>
            <w:vAlign w:val="bottom"/>
            <w:hideMark/>
          </w:tcPr>
          <w:p w:rsidR="0033036C" w:rsidRPr="006306C1" w:rsidRDefault="0033036C" w:rsidP="000F3591">
            <w:pPr>
              <w:spacing w:before="0" w:after="0"/>
              <w:jc w:val="center"/>
              <w:rPr>
                <w:rFonts w:ascii="Calibri" w:eastAsia="Times New Roman" w:hAnsi="Calibri" w:cs="Times New Roman"/>
                <w:color w:val="000000"/>
                <w:sz w:val="16"/>
                <w:szCs w:val="16"/>
                <w:lang w:eastAsia="cs-CZ"/>
              </w:rPr>
            </w:pPr>
            <w:r w:rsidRPr="006306C1">
              <w:rPr>
                <w:rFonts w:ascii="Calibri" w:eastAsia="Times New Roman" w:hAnsi="Calibri" w:cs="Times New Roman"/>
                <w:color w:val="000000"/>
                <w:sz w:val="16"/>
                <w:szCs w:val="16"/>
                <w:lang w:eastAsia="cs-CZ"/>
              </w:rPr>
              <w:t>5</w:t>
            </w:r>
          </w:p>
        </w:tc>
        <w:tc>
          <w:tcPr>
            <w:tcW w:w="600" w:type="dxa"/>
            <w:tcBorders>
              <w:top w:val="nil"/>
              <w:left w:val="nil"/>
              <w:bottom w:val="nil"/>
              <w:right w:val="nil"/>
            </w:tcBorders>
            <w:shd w:val="clear" w:color="auto" w:fill="auto"/>
            <w:noWrap/>
            <w:vAlign w:val="bottom"/>
            <w:hideMark/>
          </w:tcPr>
          <w:p w:rsidR="0033036C" w:rsidRPr="006306C1" w:rsidRDefault="0033036C" w:rsidP="000F3591">
            <w:pPr>
              <w:spacing w:before="0" w:after="0"/>
              <w:jc w:val="center"/>
              <w:rPr>
                <w:rFonts w:ascii="Calibri" w:eastAsia="Times New Roman" w:hAnsi="Calibri" w:cs="Times New Roman"/>
                <w:color w:val="000000"/>
                <w:sz w:val="16"/>
                <w:szCs w:val="16"/>
                <w:lang w:eastAsia="cs-CZ"/>
              </w:rPr>
            </w:pPr>
            <w:r w:rsidRPr="006306C1">
              <w:rPr>
                <w:rFonts w:ascii="Calibri" w:eastAsia="Times New Roman" w:hAnsi="Calibri" w:cs="Times New Roman"/>
                <w:color w:val="000000"/>
                <w:sz w:val="16"/>
                <w:szCs w:val="16"/>
                <w:lang w:eastAsia="cs-CZ"/>
              </w:rPr>
              <w:t>1</w:t>
            </w:r>
          </w:p>
        </w:tc>
      </w:tr>
      <w:tr w:rsidR="0033036C" w:rsidRPr="006306C1" w:rsidTr="000F3591">
        <w:trPr>
          <w:trHeight w:val="225"/>
        </w:trPr>
        <w:tc>
          <w:tcPr>
            <w:tcW w:w="640" w:type="dxa"/>
            <w:tcBorders>
              <w:top w:val="nil"/>
              <w:left w:val="nil"/>
              <w:bottom w:val="nil"/>
              <w:right w:val="nil"/>
            </w:tcBorders>
            <w:shd w:val="clear" w:color="auto" w:fill="auto"/>
            <w:noWrap/>
            <w:vAlign w:val="bottom"/>
            <w:hideMark/>
          </w:tcPr>
          <w:p w:rsidR="0033036C" w:rsidRPr="006306C1" w:rsidRDefault="0033036C" w:rsidP="000F3591">
            <w:pPr>
              <w:spacing w:before="0" w:after="0"/>
              <w:jc w:val="center"/>
              <w:rPr>
                <w:rFonts w:ascii="Calibri" w:eastAsia="Times New Roman" w:hAnsi="Calibri" w:cs="Times New Roman"/>
                <w:color w:val="000000"/>
                <w:sz w:val="16"/>
                <w:szCs w:val="16"/>
                <w:lang w:eastAsia="cs-CZ"/>
              </w:rPr>
            </w:pPr>
            <w:r w:rsidRPr="006306C1">
              <w:rPr>
                <w:rFonts w:ascii="Calibri" w:eastAsia="Times New Roman" w:hAnsi="Calibri" w:cs="Times New Roman"/>
                <w:color w:val="000000"/>
                <w:sz w:val="16"/>
                <w:szCs w:val="16"/>
                <w:lang w:eastAsia="cs-CZ"/>
              </w:rPr>
              <w:t>2014</w:t>
            </w:r>
          </w:p>
        </w:tc>
        <w:tc>
          <w:tcPr>
            <w:tcW w:w="615" w:type="dxa"/>
            <w:tcBorders>
              <w:top w:val="nil"/>
              <w:left w:val="nil"/>
              <w:bottom w:val="nil"/>
              <w:right w:val="nil"/>
            </w:tcBorders>
            <w:shd w:val="clear" w:color="auto" w:fill="auto"/>
            <w:noWrap/>
            <w:vAlign w:val="bottom"/>
            <w:hideMark/>
          </w:tcPr>
          <w:p w:rsidR="0033036C" w:rsidRPr="006306C1" w:rsidRDefault="0033036C" w:rsidP="000F3591">
            <w:pPr>
              <w:spacing w:before="0" w:after="0"/>
              <w:jc w:val="center"/>
              <w:rPr>
                <w:rFonts w:ascii="Calibri" w:eastAsia="Times New Roman" w:hAnsi="Calibri" w:cs="Times New Roman"/>
                <w:b/>
                <w:bCs/>
                <w:color w:val="000000"/>
                <w:sz w:val="16"/>
                <w:szCs w:val="16"/>
                <w:lang w:eastAsia="cs-CZ"/>
              </w:rPr>
            </w:pPr>
            <w:r w:rsidRPr="006306C1">
              <w:rPr>
                <w:rFonts w:ascii="Calibri" w:eastAsia="Times New Roman" w:hAnsi="Calibri" w:cs="Times New Roman"/>
                <w:b/>
                <w:bCs/>
                <w:color w:val="000000"/>
                <w:sz w:val="16"/>
                <w:szCs w:val="16"/>
                <w:lang w:eastAsia="cs-CZ"/>
              </w:rPr>
              <w:t>227</w:t>
            </w:r>
          </w:p>
        </w:tc>
        <w:tc>
          <w:tcPr>
            <w:tcW w:w="600" w:type="dxa"/>
            <w:tcBorders>
              <w:top w:val="nil"/>
              <w:left w:val="nil"/>
              <w:bottom w:val="nil"/>
              <w:right w:val="nil"/>
            </w:tcBorders>
            <w:shd w:val="clear" w:color="auto" w:fill="auto"/>
            <w:noWrap/>
            <w:vAlign w:val="bottom"/>
            <w:hideMark/>
          </w:tcPr>
          <w:p w:rsidR="0033036C" w:rsidRPr="006306C1" w:rsidRDefault="0033036C" w:rsidP="000F3591">
            <w:pPr>
              <w:spacing w:before="0" w:after="0"/>
              <w:jc w:val="center"/>
              <w:rPr>
                <w:rFonts w:ascii="Calibri" w:eastAsia="Times New Roman" w:hAnsi="Calibri" w:cs="Times New Roman"/>
                <w:color w:val="000000"/>
                <w:sz w:val="16"/>
                <w:szCs w:val="16"/>
                <w:lang w:eastAsia="cs-CZ"/>
              </w:rPr>
            </w:pPr>
            <w:r w:rsidRPr="006306C1">
              <w:rPr>
                <w:rFonts w:ascii="Calibri" w:eastAsia="Times New Roman" w:hAnsi="Calibri" w:cs="Times New Roman"/>
                <w:color w:val="000000"/>
                <w:sz w:val="16"/>
                <w:szCs w:val="16"/>
                <w:lang w:eastAsia="cs-CZ"/>
              </w:rPr>
              <w:t>87</w:t>
            </w:r>
          </w:p>
        </w:tc>
        <w:tc>
          <w:tcPr>
            <w:tcW w:w="600" w:type="dxa"/>
            <w:tcBorders>
              <w:top w:val="nil"/>
              <w:left w:val="nil"/>
              <w:bottom w:val="nil"/>
              <w:right w:val="nil"/>
            </w:tcBorders>
            <w:shd w:val="clear" w:color="auto" w:fill="auto"/>
            <w:noWrap/>
            <w:vAlign w:val="bottom"/>
            <w:hideMark/>
          </w:tcPr>
          <w:p w:rsidR="0033036C" w:rsidRPr="006306C1" w:rsidRDefault="0033036C" w:rsidP="000F3591">
            <w:pPr>
              <w:spacing w:before="0" w:after="0"/>
              <w:jc w:val="center"/>
              <w:rPr>
                <w:rFonts w:ascii="Calibri" w:eastAsia="Times New Roman" w:hAnsi="Calibri" w:cs="Times New Roman"/>
                <w:color w:val="000000"/>
                <w:sz w:val="16"/>
                <w:szCs w:val="16"/>
                <w:lang w:eastAsia="cs-CZ"/>
              </w:rPr>
            </w:pPr>
            <w:r w:rsidRPr="006306C1">
              <w:rPr>
                <w:rFonts w:ascii="Calibri" w:eastAsia="Times New Roman" w:hAnsi="Calibri" w:cs="Times New Roman"/>
                <w:color w:val="000000"/>
                <w:sz w:val="16"/>
                <w:szCs w:val="16"/>
                <w:lang w:eastAsia="cs-CZ"/>
              </w:rPr>
              <w:t>21</w:t>
            </w:r>
          </w:p>
        </w:tc>
        <w:tc>
          <w:tcPr>
            <w:tcW w:w="600" w:type="dxa"/>
            <w:tcBorders>
              <w:top w:val="nil"/>
              <w:left w:val="nil"/>
              <w:bottom w:val="nil"/>
              <w:right w:val="nil"/>
            </w:tcBorders>
            <w:shd w:val="clear" w:color="auto" w:fill="auto"/>
            <w:noWrap/>
            <w:vAlign w:val="bottom"/>
            <w:hideMark/>
          </w:tcPr>
          <w:p w:rsidR="0033036C" w:rsidRPr="006306C1" w:rsidRDefault="0033036C" w:rsidP="000F3591">
            <w:pPr>
              <w:spacing w:before="0" w:after="0"/>
              <w:jc w:val="center"/>
              <w:rPr>
                <w:rFonts w:ascii="Calibri" w:eastAsia="Times New Roman" w:hAnsi="Calibri" w:cs="Times New Roman"/>
                <w:color w:val="000000"/>
                <w:sz w:val="16"/>
                <w:szCs w:val="16"/>
                <w:lang w:eastAsia="cs-CZ"/>
              </w:rPr>
            </w:pPr>
            <w:r w:rsidRPr="006306C1">
              <w:rPr>
                <w:rFonts w:ascii="Calibri" w:eastAsia="Times New Roman" w:hAnsi="Calibri" w:cs="Times New Roman"/>
                <w:color w:val="000000"/>
                <w:sz w:val="16"/>
                <w:szCs w:val="16"/>
                <w:lang w:eastAsia="cs-CZ"/>
              </w:rPr>
              <w:t>4</w:t>
            </w:r>
          </w:p>
        </w:tc>
        <w:tc>
          <w:tcPr>
            <w:tcW w:w="600" w:type="dxa"/>
            <w:tcBorders>
              <w:top w:val="nil"/>
              <w:left w:val="nil"/>
              <w:bottom w:val="nil"/>
              <w:right w:val="nil"/>
            </w:tcBorders>
            <w:shd w:val="clear" w:color="auto" w:fill="auto"/>
            <w:noWrap/>
            <w:vAlign w:val="bottom"/>
            <w:hideMark/>
          </w:tcPr>
          <w:p w:rsidR="0033036C" w:rsidRPr="006306C1" w:rsidRDefault="0033036C" w:rsidP="000F3591">
            <w:pPr>
              <w:spacing w:before="0" w:after="0"/>
              <w:jc w:val="center"/>
              <w:rPr>
                <w:rFonts w:ascii="Calibri" w:eastAsia="Times New Roman" w:hAnsi="Calibri" w:cs="Times New Roman"/>
                <w:color w:val="000000"/>
                <w:sz w:val="16"/>
                <w:szCs w:val="16"/>
                <w:lang w:eastAsia="cs-CZ"/>
              </w:rPr>
            </w:pPr>
            <w:r w:rsidRPr="006306C1">
              <w:rPr>
                <w:rFonts w:ascii="Calibri" w:eastAsia="Times New Roman" w:hAnsi="Calibri" w:cs="Times New Roman"/>
                <w:color w:val="000000"/>
                <w:sz w:val="16"/>
                <w:szCs w:val="16"/>
                <w:lang w:eastAsia="cs-CZ"/>
              </w:rPr>
              <w:t>39</w:t>
            </w:r>
          </w:p>
        </w:tc>
        <w:tc>
          <w:tcPr>
            <w:tcW w:w="600" w:type="dxa"/>
            <w:tcBorders>
              <w:top w:val="nil"/>
              <w:left w:val="nil"/>
              <w:bottom w:val="nil"/>
              <w:right w:val="nil"/>
            </w:tcBorders>
            <w:shd w:val="clear" w:color="auto" w:fill="auto"/>
            <w:noWrap/>
            <w:vAlign w:val="bottom"/>
            <w:hideMark/>
          </w:tcPr>
          <w:p w:rsidR="0033036C" w:rsidRPr="006306C1" w:rsidRDefault="0033036C" w:rsidP="000F3591">
            <w:pPr>
              <w:spacing w:before="0" w:after="0"/>
              <w:jc w:val="center"/>
              <w:rPr>
                <w:rFonts w:ascii="Calibri" w:eastAsia="Times New Roman" w:hAnsi="Calibri" w:cs="Times New Roman"/>
                <w:color w:val="000000"/>
                <w:sz w:val="16"/>
                <w:szCs w:val="16"/>
                <w:lang w:eastAsia="cs-CZ"/>
              </w:rPr>
            </w:pPr>
            <w:r w:rsidRPr="006306C1">
              <w:rPr>
                <w:rFonts w:ascii="Calibri" w:eastAsia="Times New Roman" w:hAnsi="Calibri" w:cs="Times New Roman"/>
                <w:color w:val="000000"/>
                <w:sz w:val="16"/>
                <w:szCs w:val="16"/>
                <w:lang w:eastAsia="cs-CZ"/>
              </w:rPr>
              <w:t>76</w:t>
            </w:r>
          </w:p>
        </w:tc>
        <w:tc>
          <w:tcPr>
            <w:tcW w:w="615" w:type="dxa"/>
            <w:tcBorders>
              <w:top w:val="nil"/>
              <w:left w:val="nil"/>
              <w:bottom w:val="nil"/>
              <w:right w:val="nil"/>
            </w:tcBorders>
            <w:shd w:val="clear" w:color="auto" w:fill="auto"/>
            <w:noWrap/>
            <w:vAlign w:val="bottom"/>
            <w:hideMark/>
          </w:tcPr>
          <w:p w:rsidR="0033036C" w:rsidRPr="006306C1" w:rsidRDefault="0033036C" w:rsidP="000F3591">
            <w:pPr>
              <w:spacing w:before="0" w:after="0"/>
              <w:jc w:val="center"/>
              <w:rPr>
                <w:rFonts w:ascii="Calibri" w:eastAsia="Times New Roman" w:hAnsi="Calibri" w:cs="Times New Roman"/>
                <w:b/>
                <w:bCs/>
                <w:color w:val="000000"/>
                <w:sz w:val="16"/>
                <w:szCs w:val="16"/>
                <w:lang w:eastAsia="cs-CZ"/>
              </w:rPr>
            </w:pPr>
            <w:r w:rsidRPr="006306C1">
              <w:rPr>
                <w:rFonts w:ascii="Calibri" w:eastAsia="Times New Roman" w:hAnsi="Calibri" w:cs="Times New Roman"/>
                <w:b/>
                <w:bCs/>
                <w:color w:val="000000"/>
                <w:sz w:val="16"/>
                <w:szCs w:val="16"/>
                <w:lang w:eastAsia="cs-CZ"/>
              </w:rPr>
              <w:t>12</w:t>
            </w:r>
          </w:p>
        </w:tc>
        <w:tc>
          <w:tcPr>
            <w:tcW w:w="600" w:type="dxa"/>
            <w:tcBorders>
              <w:top w:val="nil"/>
              <w:left w:val="nil"/>
              <w:bottom w:val="nil"/>
              <w:right w:val="nil"/>
            </w:tcBorders>
            <w:shd w:val="clear" w:color="auto" w:fill="auto"/>
            <w:noWrap/>
            <w:vAlign w:val="bottom"/>
            <w:hideMark/>
          </w:tcPr>
          <w:p w:rsidR="0033036C" w:rsidRPr="006306C1" w:rsidRDefault="0033036C" w:rsidP="000F3591">
            <w:pPr>
              <w:spacing w:before="0" w:after="0"/>
              <w:jc w:val="center"/>
              <w:rPr>
                <w:rFonts w:ascii="Calibri" w:eastAsia="Times New Roman" w:hAnsi="Calibri" w:cs="Times New Roman"/>
                <w:color w:val="000000"/>
                <w:sz w:val="16"/>
                <w:szCs w:val="16"/>
                <w:lang w:eastAsia="cs-CZ"/>
              </w:rPr>
            </w:pPr>
            <w:r w:rsidRPr="006306C1">
              <w:rPr>
                <w:rFonts w:ascii="Calibri" w:eastAsia="Times New Roman" w:hAnsi="Calibri" w:cs="Times New Roman"/>
                <w:color w:val="000000"/>
                <w:sz w:val="16"/>
                <w:szCs w:val="16"/>
                <w:lang w:eastAsia="cs-CZ"/>
              </w:rPr>
              <w:t>2</w:t>
            </w:r>
          </w:p>
        </w:tc>
        <w:tc>
          <w:tcPr>
            <w:tcW w:w="600" w:type="dxa"/>
            <w:tcBorders>
              <w:top w:val="nil"/>
              <w:left w:val="nil"/>
              <w:bottom w:val="nil"/>
              <w:right w:val="nil"/>
            </w:tcBorders>
            <w:shd w:val="clear" w:color="auto" w:fill="auto"/>
            <w:noWrap/>
            <w:vAlign w:val="bottom"/>
            <w:hideMark/>
          </w:tcPr>
          <w:p w:rsidR="0033036C" w:rsidRPr="006306C1" w:rsidRDefault="0033036C" w:rsidP="000F3591">
            <w:pPr>
              <w:spacing w:before="0" w:after="0"/>
              <w:jc w:val="center"/>
              <w:rPr>
                <w:rFonts w:ascii="Calibri" w:eastAsia="Times New Roman" w:hAnsi="Calibri" w:cs="Times New Roman"/>
                <w:color w:val="000000"/>
                <w:sz w:val="16"/>
                <w:szCs w:val="16"/>
                <w:lang w:eastAsia="cs-CZ"/>
              </w:rPr>
            </w:pPr>
            <w:r w:rsidRPr="006306C1">
              <w:rPr>
                <w:rFonts w:ascii="Calibri" w:eastAsia="Times New Roman" w:hAnsi="Calibri" w:cs="Times New Roman"/>
                <w:color w:val="000000"/>
                <w:sz w:val="16"/>
                <w:szCs w:val="16"/>
                <w:lang w:eastAsia="cs-CZ"/>
              </w:rPr>
              <w:t>1</w:t>
            </w:r>
          </w:p>
        </w:tc>
        <w:tc>
          <w:tcPr>
            <w:tcW w:w="600" w:type="dxa"/>
            <w:tcBorders>
              <w:top w:val="nil"/>
              <w:left w:val="nil"/>
              <w:bottom w:val="nil"/>
              <w:right w:val="nil"/>
            </w:tcBorders>
            <w:shd w:val="clear" w:color="auto" w:fill="auto"/>
            <w:noWrap/>
            <w:vAlign w:val="bottom"/>
            <w:hideMark/>
          </w:tcPr>
          <w:p w:rsidR="0033036C" w:rsidRPr="006306C1" w:rsidRDefault="0033036C" w:rsidP="000F3591">
            <w:pPr>
              <w:spacing w:before="0" w:after="0"/>
              <w:jc w:val="center"/>
              <w:rPr>
                <w:rFonts w:ascii="Calibri" w:eastAsia="Times New Roman" w:hAnsi="Calibri" w:cs="Times New Roman"/>
                <w:color w:val="000000"/>
                <w:sz w:val="16"/>
                <w:szCs w:val="16"/>
                <w:lang w:eastAsia="cs-CZ"/>
              </w:rPr>
            </w:pPr>
            <w:r w:rsidRPr="006306C1">
              <w:rPr>
                <w:rFonts w:ascii="Calibri" w:eastAsia="Times New Roman" w:hAnsi="Calibri" w:cs="Times New Roman"/>
                <w:color w:val="000000"/>
                <w:sz w:val="16"/>
                <w:szCs w:val="16"/>
                <w:lang w:eastAsia="cs-CZ"/>
              </w:rPr>
              <w:t>9</w:t>
            </w:r>
          </w:p>
        </w:tc>
        <w:tc>
          <w:tcPr>
            <w:tcW w:w="615" w:type="dxa"/>
            <w:tcBorders>
              <w:top w:val="nil"/>
              <w:left w:val="nil"/>
              <w:bottom w:val="nil"/>
              <w:right w:val="nil"/>
            </w:tcBorders>
            <w:shd w:val="clear" w:color="auto" w:fill="auto"/>
            <w:noWrap/>
            <w:vAlign w:val="bottom"/>
            <w:hideMark/>
          </w:tcPr>
          <w:p w:rsidR="0033036C" w:rsidRPr="006306C1" w:rsidRDefault="0033036C" w:rsidP="000F3591">
            <w:pPr>
              <w:spacing w:before="0" w:after="0"/>
              <w:jc w:val="center"/>
              <w:rPr>
                <w:rFonts w:ascii="Calibri" w:eastAsia="Times New Roman" w:hAnsi="Calibri" w:cs="Times New Roman"/>
                <w:b/>
                <w:bCs/>
                <w:color w:val="000000"/>
                <w:sz w:val="16"/>
                <w:szCs w:val="16"/>
                <w:lang w:eastAsia="cs-CZ"/>
              </w:rPr>
            </w:pPr>
            <w:r w:rsidRPr="006306C1">
              <w:rPr>
                <w:rFonts w:ascii="Calibri" w:eastAsia="Times New Roman" w:hAnsi="Calibri" w:cs="Times New Roman"/>
                <w:b/>
                <w:bCs/>
                <w:color w:val="000000"/>
                <w:sz w:val="16"/>
                <w:szCs w:val="16"/>
                <w:lang w:eastAsia="cs-CZ"/>
              </w:rPr>
              <w:t>6</w:t>
            </w:r>
          </w:p>
        </w:tc>
        <w:tc>
          <w:tcPr>
            <w:tcW w:w="600" w:type="dxa"/>
            <w:tcBorders>
              <w:top w:val="nil"/>
              <w:left w:val="nil"/>
              <w:bottom w:val="nil"/>
              <w:right w:val="nil"/>
            </w:tcBorders>
            <w:shd w:val="clear" w:color="auto" w:fill="auto"/>
            <w:noWrap/>
            <w:vAlign w:val="bottom"/>
            <w:hideMark/>
          </w:tcPr>
          <w:p w:rsidR="0033036C" w:rsidRPr="006306C1" w:rsidRDefault="0033036C" w:rsidP="000F3591">
            <w:pPr>
              <w:spacing w:before="0" w:after="0"/>
              <w:jc w:val="center"/>
              <w:rPr>
                <w:rFonts w:ascii="Calibri" w:eastAsia="Times New Roman" w:hAnsi="Calibri" w:cs="Times New Roman"/>
                <w:color w:val="000000"/>
                <w:sz w:val="16"/>
                <w:szCs w:val="16"/>
                <w:lang w:eastAsia="cs-CZ"/>
              </w:rPr>
            </w:pPr>
            <w:r w:rsidRPr="006306C1">
              <w:rPr>
                <w:rFonts w:ascii="Calibri" w:eastAsia="Times New Roman" w:hAnsi="Calibri" w:cs="Times New Roman"/>
                <w:color w:val="000000"/>
                <w:sz w:val="16"/>
                <w:szCs w:val="16"/>
                <w:lang w:eastAsia="cs-CZ"/>
              </w:rPr>
              <w:t>5</w:t>
            </w:r>
          </w:p>
        </w:tc>
        <w:tc>
          <w:tcPr>
            <w:tcW w:w="600" w:type="dxa"/>
            <w:tcBorders>
              <w:top w:val="nil"/>
              <w:left w:val="nil"/>
              <w:bottom w:val="nil"/>
              <w:right w:val="nil"/>
            </w:tcBorders>
            <w:shd w:val="clear" w:color="auto" w:fill="auto"/>
            <w:noWrap/>
            <w:vAlign w:val="bottom"/>
            <w:hideMark/>
          </w:tcPr>
          <w:p w:rsidR="0033036C" w:rsidRPr="006306C1" w:rsidRDefault="0033036C" w:rsidP="000F3591">
            <w:pPr>
              <w:spacing w:before="0" w:after="0"/>
              <w:jc w:val="center"/>
              <w:rPr>
                <w:rFonts w:ascii="Calibri" w:eastAsia="Times New Roman" w:hAnsi="Calibri" w:cs="Times New Roman"/>
                <w:color w:val="000000"/>
                <w:sz w:val="16"/>
                <w:szCs w:val="16"/>
                <w:lang w:eastAsia="cs-CZ"/>
              </w:rPr>
            </w:pPr>
            <w:r w:rsidRPr="006306C1">
              <w:rPr>
                <w:rFonts w:ascii="Calibri" w:eastAsia="Times New Roman" w:hAnsi="Calibri" w:cs="Times New Roman"/>
                <w:color w:val="000000"/>
                <w:sz w:val="16"/>
                <w:szCs w:val="16"/>
                <w:lang w:eastAsia="cs-CZ"/>
              </w:rPr>
              <w:t>1</w:t>
            </w:r>
          </w:p>
        </w:tc>
      </w:tr>
      <w:tr w:rsidR="0033036C" w:rsidRPr="006306C1" w:rsidTr="000F3591">
        <w:trPr>
          <w:trHeight w:val="225"/>
        </w:trPr>
        <w:tc>
          <w:tcPr>
            <w:tcW w:w="640" w:type="dxa"/>
            <w:tcBorders>
              <w:top w:val="nil"/>
              <w:left w:val="nil"/>
              <w:bottom w:val="single" w:sz="4" w:space="0" w:color="auto"/>
              <w:right w:val="nil"/>
            </w:tcBorders>
            <w:shd w:val="clear" w:color="auto" w:fill="auto"/>
            <w:noWrap/>
            <w:vAlign w:val="bottom"/>
            <w:hideMark/>
          </w:tcPr>
          <w:p w:rsidR="0033036C" w:rsidRPr="006306C1" w:rsidRDefault="0033036C" w:rsidP="000F3591">
            <w:pPr>
              <w:spacing w:before="0" w:after="0"/>
              <w:jc w:val="center"/>
              <w:rPr>
                <w:rFonts w:ascii="Calibri" w:eastAsia="Times New Roman" w:hAnsi="Calibri" w:cs="Times New Roman"/>
                <w:color w:val="000000"/>
                <w:sz w:val="16"/>
                <w:szCs w:val="16"/>
                <w:lang w:eastAsia="cs-CZ"/>
              </w:rPr>
            </w:pPr>
            <w:r w:rsidRPr="006306C1">
              <w:rPr>
                <w:rFonts w:ascii="Calibri" w:eastAsia="Times New Roman" w:hAnsi="Calibri" w:cs="Times New Roman"/>
                <w:color w:val="000000"/>
                <w:sz w:val="16"/>
                <w:szCs w:val="16"/>
                <w:lang w:eastAsia="cs-CZ"/>
              </w:rPr>
              <w:t>2015</w:t>
            </w:r>
          </w:p>
        </w:tc>
        <w:tc>
          <w:tcPr>
            <w:tcW w:w="615" w:type="dxa"/>
            <w:tcBorders>
              <w:top w:val="nil"/>
              <w:left w:val="nil"/>
              <w:bottom w:val="single" w:sz="4" w:space="0" w:color="auto"/>
              <w:right w:val="nil"/>
            </w:tcBorders>
            <w:shd w:val="clear" w:color="auto" w:fill="auto"/>
            <w:noWrap/>
            <w:vAlign w:val="bottom"/>
            <w:hideMark/>
          </w:tcPr>
          <w:p w:rsidR="0033036C" w:rsidRPr="006306C1" w:rsidRDefault="0033036C" w:rsidP="000F3591">
            <w:pPr>
              <w:spacing w:before="0" w:after="0"/>
              <w:jc w:val="center"/>
              <w:rPr>
                <w:rFonts w:ascii="Calibri" w:eastAsia="Times New Roman" w:hAnsi="Calibri" w:cs="Times New Roman"/>
                <w:b/>
                <w:bCs/>
                <w:color w:val="000000"/>
                <w:sz w:val="16"/>
                <w:szCs w:val="16"/>
                <w:lang w:eastAsia="cs-CZ"/>
              </w:rPr>
            </w:pPr>
            <w:r w:rsidRPr="006306C1">
              <w:rPr>
                <w:rFonts w:ascii="Calibri" w:eastAsia="Times New Roman" w:hAnsi="Calibri" w:cs="Times New Roman"/>
                <w:b/>
                <w:bCs/>
                <w:color w:val="000000"/>
                <w:sz w:val="16"/>
                <w:szCs w:val="16"/>
                <w:lang w:eastAsia="cs-CZ"/>
              </w:rPr>
              <w:t>219</w:t>
            </w:r>
          </w:p>
        </w:tc>
        <w:tc>
          <w:tcPr>
            <w:tcW w:w="600" w:type="dxa"/>
            <w:tcBorders>
              <w:top w:val="nil"/>
              <w:left w:val="nil"/>
              <w:bottom w:val="single" w:sz="4" w:space="0" w:color="auto"/>
              <w:right w:val="nil"/>
            </w:tcBorders>
            <w:shd w:val="clear" w:color="auto" w:fill="auto"/>
            <w:noWrap/>
            <w:vAlign w:val="bottom"/>
            <w:hideMark/>
          </w:tcPr>
          <w:p w:rsidR="0033036C" w:rsidRPr="006306C1" w:rsidRDefault="0033036C" w:rsidP="000F3591">
            <w:pPr>
              <w:spacing w:before="0" w:after="0"/>
              <w:jc w:val="center"/>
              <w:rPr>
                <w:rFonts w:ascii="Calibri" w:eastAsia="Times New Roman" w:hAnsi="Calibri" w:cs="Times New Roman"/>
                <w:color w:val="000000"/>
                <w:sz w:val="16"/>
                <w:szCs w:val="16"/>
                <w:lang w:eastAsia="cs-CZ"/>
              </w:rPr>
            </w:pPr>
            <w:r w:rsidRPr="006306C1">
              <w:rPr>
                <w:rFonts w:ascii="Calibri" w:eastAsia="Times New Roman" w:hAnsi="Calibri" w:cs="Times New Roman"/>
                <w:color w:val="000000"/>
                <w:sz w:val="16"/>
                <w:szCs w:val="16"/>
                <w:lang w:eastAsia="cs-CZ"/>
              </w:rPr>
              <w:t>82</w:t>
            </w:r>
          </w:p>
        </w:tc>
        <w:tc>
          <w:tcPr>
            <w:tcW w:w="600" w:type="dxa"/>
            <w:tcBorders>
              <w:top w:val="nil"/>
              <w:left w:val="nil"/>
              <w:bottom w:val="single" w:sz="4" w:space="0" w:color="auto"/>
              <w:right w:val="nil"/>
            </w:tcBorders>
            <w:shd w:val="clear" w:color="auto" w:fill="auto"/>
            <w:noWrap/>
            <w:vAlign w:val="bottom"/>
            <w:hideMark/>
          </w:tcPr>
          <w:p w:rsidR="0033036C" w:rsidRPr="006306C1" w:rsidRDefault="0033036C" w:rsidP="000F3591">
            <w:pPr>
              <w:spacing w:before="0" w:after="0"/>
              <w:jc w:val="center"/>
              <w:rPr>
                <w:rFonts w:ascii="Calibri" w:eastAsia="Times New Roman" w:hAnsi="Calibri" w:cs="Times New Roman"/>
                <w:color w:val="000000"/>
                <w:sz w:val="16"/>
                <w:szCs w:val="16"/>
                <w:lang w:eastAsia="cs-CZ"/>
              </w:rPr>
            </w:pPr>
            <w:r w:rsidRPr="006306C1">
              <w:rPr>
                <w:rFonts w:ascii="Calibri" w:eastAsia="Times New Roman" w:hAnsi="Calibri" w:cs="Times New Roman"/>
                <w:color w:val="000000"/>
                <w:sz w:val="16"/>
                <w:szCs w:val="16"/>
                <w:lang w:eastAsia="cs-CZ"/>
              </w:rPr>
              <w:t>22</w:t>
            </w:r>
          </w:p>
        </w:tc>
        <w:tc>
          <w:tcPr>
            <w:tcW w:w="600" w:type="dxa"/>
            <w:tcBorders>
              <w:top w:val="nil"/>
              <w:left w:val="nil"/>
              <w:bottom w:val="single" w:sz="4" w:space="0" w:color="auto"/>
              <w:right w:val="nil"/>
            </w:tcBorders>
            <w:shd w:val="clear" w:color="auto" w:fill="auto"/>
            <w:noWrap/>
            <w:vAlign w:val="bottom"/>
            <w:hideMark/>
          </w:tcPr>
          <w:p w:rsidR="0033036C" w:rsidRPr="006306C1" w:rsidRDefault="0033036C" w:rsidP="000F3591">
            <w:pPr>
              <w:spacing w:before="0" w:after="0"/>
              <w:jc w:val="center"/>
              <w:rPr>
                <w:rFonts w:ascii="Calibri" w:eastAsia="Times New Roman" w:hAnsi="Calibri" w:cs="Times New Roman"/>
                <w:color w:val="000000"/>
                <w:sz w:val="16"/>
                <w:szCs w:val="16"/>
                <w:lang w:eastAsia="cs-CZ"/>
              </w:rPr>
            </w:pPr>
            <w:r w:rsidRPr="006306C1">
              <w:rPr>
                <w:rFonts w:ascii="Calibri" w:eastAsia="Times New Roman" w:hAnsi="Calibri" w:cs="Times New Roman"/>
                <w:color w:val="000000"/>
                <w:sz w:val="16"/>
                <w:szCs w:val="16"/>
                <w:lang w:eastAsia="cs-CZ"/>
              </w:rPr>
              <w:t>4</w:t>
            </w:r>
          </w:p>
        </w:tc>
        <w:tc>
          <w:tcPr>
            <w:tcW w:w="600" w:type="dxa"/>
            <w:tcBorders>
              <w:top w:val="nil"/>
              <w:left w:val="nil"/>
              <w:bottom w:val="single" w:sz="4" w:space="0" w:color="auto"/>
              <w:right w:val="nil"/>
            </w:tcBorders>
            <w:shd w:val="clear" w:color="auto" w:fill="auto"/>
            <w:noWrap/>
            <w:vAlign w:val="bottom"/>
            <w:hideMark/>
          </w:tcPr>
          <w:p w:rsidR="0033036C" w:rsidRPr="006306C1" w:rsidRDefault="0033036C" w:rsidP="000F3591">
            <w:pPr>
              <w:spacing w:before="0" w:after="0"/>
              <w:jc w:val="center"/>
              <w:rPr>
                <w:rFonts w:ascii="Calibri" w:eastAsia="Times New Roman" w:hAnsi="Calibri" w:cs="Times New Roman"/>
                <w:color w:val="000000"/>
                <w:sz w:val="16"/>
                <w:szCs w:val="16"/>
                <w:lang w:eastAsia="cs-CZ"/>
              </w:rPr>
            </w:pPr>
            <w:r w:rsidRPr="006306C1">
              <w:rPr>
                <w:rFonts w:ascii="Calibri" w:eastAsia="Times New Roman" w:hAnsi="Calibri" w:cs="Times New Roman"/>
                <w:color w:val="000000"/>
                <w:sz w:val="16"/>
                <w:szCs w:val="16"/>
                <w:lang w:eastAsia="cs-CZ"/>
              </w:rPr>
              <w:t>35</w:t>
            </w:r>
          </w:p>
        </w:tc>
        <w:tc>
          <w:tcPr>
            <w:tcW w:w="600" w:type="dxa"/>
            <w:tcBorders>
              <w:top w:val="nil"/>
              <w:left w:val="nil"/>
              <w:bottom w:val="single" w:sz="4" w:space="0" w:color="auto"/>
              <w:right w:val="nil"/>
            </w:tcBorders>
            <w:shd w:val="clear" w:color="auto" w:fill="auto"/>
            <w:noWrap/>
            <w:vAlign w:val="bottom"/>
            <w:hideMark/>
          </w:tcPr>
          <w:p w:rsidR="0033036C" w:rsidRPr="006306C1" w:rsidRDefault="0033036C" w:rsidP="000F3591">
            <w:pPr>
              <w:spacing w:before="0" w:after="0"/>
              <w:jc w:val="center"/>
              <w:rPr>
                <w:rFonts w:ascii="Calibri" w:eastAsia="Times New Roman" w:hAnsi="Calibri" w:cs="Times New Roman"/>
                <w:color w:val="000000"/>
                <w:sz w:val="16"/>
                <w:szCs w:val="16"/>
                <w:lang w:eastAsia="cs-CZ"/>
              </w:rPr>
            </w:pPr>
            <w:r w:rsidRPr="006306C1">
              <w:rPr>
                <w:rFonts w:ascii="Calibri" w:eastAsia="Times New Roman" w:hAnsi="Calibri" w:cs="Times New Roman"/>
                <w:color w:val="000000"/>
                <w:sz w:val="16"/>
                <w:szCs w:val="16"/>
                <w:lang w:eastAsia="cs-CZ"/>
              </w:rPr>
              <w:t>76</w:t>
            </w:r>
          </w:p>
        </w:tc>
        <w:tc>
          <w:tcPr>
            <w:tcW w:w="615" w:type="dxa"/>
            <w:tcBorders>
              <w:top w:val="nil"/>
              <w:left w:val="nil"/>
              <w:bottom w:val="single" w:sz="4" w:space="0" w:color="auto"/>
              <w:right w:val="nil"/>
            </w:tcBorders>
            <w:shd w:val="clear" w:color="auto" w:fill="auto"/>
            <w:noWrap/>
            <w:vAlign w:val="bottom"/>
            <w:hideMark/>
          </w:tcPr>
          <w:p w:rsidR="0033036C" w:rsidRPr="006306C1" w:rsidRDefault="0033036C" w:rsidP="000F3591">
            <w:pPr>
              <w:spacing w:before="0" w:after="0"/>
              <w:jc w:val="center"/>
              <w:rPr>
                <w:rFonts w:ascii="Calibri" w:eastAsia="Times New Roman" w:hAnsi="Calibri" w:cs="Times New Roman"/>
                <w:b/>
                <w:bCs/>
                <w:color w:val="000000"/>
                <w:sz w:val="16"/>
                <w:szCs w:val="16"/>
                <w:lang w:eastAsia="cs-CZ"/>
              </w:rPr>
            </w:pPr>
            <w:r w:rsidRPr="006306C1">
              <w:rPr>
                <w:rFonts w:ascii="Calibri" w:eastAsia="Times New Roman" w:hAnsi="Calibri" w:cs="Times New Roman"/>
                <w:b/>
                <w:bCs/>
                <w:color w:val="000000"/>
                <w:sz w:val="16"/>
                <w:szCs w:val="16"/>
                <w:lang w:eastAsia="cs-CZ"/>
              </w:rPr>
              <w:t>12</w:t>
            </w:r>
          </w:p>
        </w:tc>
        <w:tc>
          <w:tcPr>
            <w:tcW w:w="600" w:type="dxa"/>
            <w:tcBorders>
              <w:top w:val="nil"/>
              <w:left w:val="nil"/>
              <w:bottom w:val="single" w:sz="4" w:space="0" w:color="auto"/>
              <w:right w:val="nil"/>
            </w:tcBorders>
            <w:shd w:val="clear" w:color="auto" w:fill="auto"/>
            <w:noWrap/>
            <w:vAlign w:val="bottom"/>
            <w:hideMark/>
          </w:tcPr>
          <w:p w:rsidR="0033036C" w:rsidRPr="006306C1" w:rsidRDefault="0033036C" w:rsidP="000F3591">
            <w:pPr>
              <w:spacing w:before="0" w:after="0"/>
              <w:jc w:val="center"/>
              <w:rPr>
                <w:rFonts w:ascii="Calibri" w:eastAsia="Times New Roman" w:hAnsi="Calibri" w:cs="Times New Roman"/>
                <w:color w:val="000000"/>
                <w:sz w:val="16"/>
                <w:szCs w:val="16"/>
                <w:lang w:eastAsia="cs-CZ"/>
              </w:rPr>
            </w:pPr>
            <w:r w:rsidRPr="006306C1">
              <w:rPr>
                <w:rFonts w:ascii="Calibri" w:eastAsia="Times New Roman" w:hAnsi="Calibri" w:cs="Times New Roman"/>
                <w:color w:val="000000"/>
                <w:sz w:val="16"/>
                <w:szCs w:val="16"/>
                <w:lang w:eastAsia="cs-CZ"/>
              </w:rPr>
              <w:t>2</w:t>
            </w:r>
          </w:p>
        </w:tc>
        <w:tc>
          <w:tcPr>
            <w:tcW w:w="600" w:type="dxa"/>
            <w:tcBorders>
              <w:top w:val="nil"/>
              <w:left w:val="nil"/>
              <w:bottom w:val="single" w:sz="4" w:space="0" w:color="auto"/>
              <w:right w:val="nil"/>
            </w:tcBorders>
            <w:shd w:val="clear" w:color="auto" w:fill="auto"/>
            <w:noWrap/>
            <w:vAlign w:val="bottom"/>
            <w:hideMark/>
          </w:tcPr>
          <w:p w:rsidR="0033036C" w:rsidRPr="006306C1" w:rsidRDefault="0033036C" w:rsidP="000F3591">
            <w:pPr>
              <w:spacing w:before="0" w:after="0"/>
              <w:jc w:val="center"/>
              <w:rPr>
                <w:rFonts w:ascii="Calibri" w:eastAsia="Times New Roman" w:hAnsi="Calibri" w:cs="Times New Roman"/>
                <w:color w:val="000000"/>
                <w:sz w:val="16"/>
                <w:szCs w:val="16"/>
                <w:lang w:eastAsia="cs-CZ"/>
              </w:rPr>
            </w:pPr>
            <w:r w:rsidRPr="006306C1">
              <w:rPr>
                <w:rFonts w:ascii="Calibri" w:eastAsia="Times New Roman" w:hAnsi="Calibri" w:cs="Times New Roman"/>
                <w:color w:val="000000"/>
                <w:sz w:val="16"/>
                <w:szCs w:val="16"/>
                <w:lang w:eastAsia="cs-CZ"/>
              </w:rPr>
              <w:t>1</w:t>
            </w:r>
          </w:p>
        </w:tc>
        <w:tc>
          <w:tcPr>
            <w:tcW w:w="600" w:type="dxa"/>
            <w:tcBorders>
              <w:top w:val="nil"/>
              <w:left w:val="nil"/>
              <w:bottom w:val="single" w:sz="4" w:space="0" w:color="auto"/>
              <w:right w:val="nil"/>
            </w:tcBorders>
            <w:shd w:val="clear" w:color="auto" w:fill="auto"/>
            <w:noWrap/>
            <w:vAlign w:val="bottom"/>
            <w:hideMark/>
          </w:tcPr>
          <w:p w:rsidR="0033036C" w:rsidRPr="006306C1" w:rsidRDefault="0033036C" w:rsidP="000F3591">
            <w:pPr>
              <w:spacing w:before="0" w:after="0"/>
              <w:jc w:val="center"/>
              <w:rPr>
                <w:rFonts w:ascii="Calibri" w:eastAsia="Times New Roman" w:hAnsi="Calibri" w:cs="Times New Roman"/>
                <w:color w:val="000000"/>
                <w:sz w:val="16"/>
                <w:szCs w:val="16"/>
                <w:lang w:eastAsia="cs-CZ"/>
              </w:rPr>
            </w:pPr>
            <w:r w:rsidRPr="006306C1">
              <w:rPr>
                <w:rFonts w:ascii="Calibri" w:eastAsia="Times New Roman" w:hAnsi="Calibri" w:cs="Times New Roman"/>
                <w:color w:val="000000"/>
                <w:sz w:val="16"/>
                <w:szCs w:val="16"/>
                <w:lang w:eastAsia="cs-CZ"/>
              </w:rPr>
              <w:t>9</w:t>
            </w:r>
          </w:p>
        </w:tc>
        <w:tc>
          <w:tcPr>
            <w:tcW w:w="615" w:type="dxa"/>
            <w:tcBorders>
              <w:top w:val="nil"/>
              <w:left w:val="nil"/>
              <w:bottom w:val="single" w:sz="4" w:space="0" w:color="auto"/>
              <w:right w:val="nil"/>
            </w:tcBorders>
            <w:shd w:val="clear" w:color="auto" w:fill="auto"/>
            <w:noWrap/>
            <w:vAlign w:val="bottom"/>
            <w:hideMark/>
          </w:tcPr>
          <w:p w:rsidR="0033036C" w:rsidRPr="006306C1" w:rsidRDefault="0033036C" w:rsidP="000F3591">
            <w:pPr>
              <w:spacing w:before="0" w:after="0"/>
              <w:jc w:val="center"/>
              <w:rPr>
                <w:rFonts w:ascii="Calibri" w:eastAsia="Times New Roman" w:hAnsi="Calibri" w:cs="Times New Roman"/>
                <w:b/>
                <w:bCs/>
                <w:color w:val="000000"/>
                <w:sz w:val="16"/>
                <w:szCs w:val="16"/>
                <w:lang w:eastAsia="cs-CZ"/>
              </w:rPr>
            </w:pPr>
            <w:r w:rsidRPr="006306C1">
              <w:rPr>
                <w:rFonts w:ascii="Calibri" w:eastAsia="Times New Roman" w:hAnsi="Calibri" w:cs="Times New Roman"/>
                <w:b/>
                <w:bCs/>
                <w:color w:val="000000"/>
                <w:sz w:val="16"/>
                <w:szCs w:val="16"/>
                <w:lang w:eastAsia="cs-CZ"/>
              </w:rPr>
              <w:t>8</w:t>
            </w:r>
          </w:p>
        </w:tc>
        <w:tc>
          <w:tcPr>
            <w:tcW w:w="600" w:type="dxa"/>
            <w:tcBorders>
              <w:top w:val="nil"/>
              <w:left w:val="nil"/>
              <w:bottom w:val="single" w:sz="4" w:space="0" w:color="auto"/>
              <w:right w:val="nil"/>
            </w:tcBorders>
            <w:shd w:val="clear" w:color="auto" w:fill="auto"/>
            <w:noWrap/>
            <w:vAlign w:val="bottom"/>
            <w:hideMark/>
          </w:tcPr>
          <w:p w:rsidR="0033036C" w:rsidRPr="006306C1" w:rsidRDefault="0033036C" w:rsidP="000F3591">
            <w:pPr>
              <w:spacing w:before="0" w:after="0"/>
              <w:jc w:val="center"/>
              <w:rPr>
                <w:rFonts w:ascii="Calibri" w:eastAsia="Times New Roman" w:hAnsi="Calibri" w:cs="Times New Roman"/>
                <w:color w:val="000000"/>
                <w:sz w:val="16"/>
                <w:szCs w:val="16"/>
                <w:lang w:eastAsia="cs-CZ"/>
              </w:rPr>
            </w:pPr>
            <w:r w:rsidRPr="006306C1">
              <w:rPr>
                <w:rFonts w:ascii="Calibri" w:eastAsia="Times New Roman" w:hAnsi="Calibri" w:cs="Times New Roman"/>
                <w:color w:val="000000"/>
                <w:sz w:val="16"/>
                <w:szCs w:val="16"/>
                <w:lang w:eastAsia="cs-CZ"/>
              </w:rPr>
              <w:t>5</w:t>
            </w:r>
          </w:p>
        </w:tc>
        <w:tc>
          <w:tcPr>
            <w:tcW w:w="600" w:type="dxa"/>
            <w:tcBorders>
              <w:top w:val="nil"/>
              <w:left w:val="nil"/>
              <w:bottom w:val="single" w:sz="4" w:space="0" w:color="auto"/>
              <w:right w:val="nil"/>
            </w:tcBorders>
            <w:shd w:val="clear" w:color="auto" w:fill="auto"/>
            <w:noWrap/>
            <w:vAlign w:val="bottom"/>
            <w:hideMark/>
          </w:tcPr>
          <w:p w:rsidR="0033036C" w:rsidRPr="006306C1" w:rsidRDefault="0033036C" w:rsidP="000F3591">
            <w:pPr>
              <w:spacing w:before="0" w:after="0"/>
              <w:jc w:val="center"/>
              <w:rPr>
                <w:rFonts w:ascii="Calibri" w:eastAsia="Times New Roman" w:hAnsi="Calibri" w:cs="Times New Roman"/>
                <w:color w:val="000000"/>
                <w:sz w:val="16"/>
                <w:szCs w:val="16"/>
                <w:lang w:eastAsia="cs-CZ"/>
              </w:rPr>
            </w:pPr>
            <w:r w:rsidRPr="006306C1">
              <w:rPr>
                <w:rFonts w:ascii="Calibri" w:eastAsia="Times New Roman" w:hAnsi="Calibri" w:cs="Times New Roman"/>
                <w:color w:val="000000"/>
                <w:sz w:val="16"/>
                <w:szCs w:val="16"/>
                <w:lang w:eastAsia="cs-CZ"/>
              </w:rPr>
              <w:t>3</w:t>
            </w:r>
          </w:p>
        </w:tc>
      </w:tr>
    </w:tbl>
    <w:p w:rsidR="0033036C" w:rsidRDefault="0033036C" w:rsidP="0033036C">
      <w:pPr>
        <w:spacing w:before="0" w:after="0"/>
        <w:rPr>
          <w:rFonts w:ascii="Calibri" w:eastAsia="Times New Roman" w:hAnsi="Calibri" w:cs="Times New Roman"/>
          <w:i/>
          <w:iCs/>
          <w:color w:val="000000"/>
          <w:sz w:val="16"/>
          <w:szCs w:val="16"/>
          <w:lang w:eastAsia="cs-CZ"/>
        </w:rPr>
      </w:pPr>
    </w:p>
    <w:p w:rsidR="0033036C" w:rsidRDefault="0033036C" w:rsidP="0033036C">
      <w:pPr>
        <w:spacing w:before="0" w:after="0"/>
        <w:rPr>
          <w:rFonts w:ascii="Calibri" w:eastAsia="Times New Roman" w:hAnsi="Calibri" w:cs="Times New Roman"/>
          <w:i/>
          <w:iCs/>
          <w:color w:val="000000"/>
          <w:sz w:val="16"/>
          <w:szCs w:val="16"/>
          <w:lang w:eastAsia="cs-CZ"/>
        </w:rPr>
      </w:pPr>
      <w:r w:rsidRPr="00DC5709">
        <w:rPr>
          <w:rFonts w:ascii="Calibri" w:eastAsia="Times New Roman" w:hAnsi="Calibri" w:cs="Times New Roman"/>
          <w:i/>
          <w:iCs/>
          <w:color w:val="000000"/>
          <w:sz w:val="16"/>
          <w:szCs w:val="16"/>
          <w:lang w:eastAsia="cs-CZ"/>
        </w:rPr>
        <w:t>Pozn.: Počet řešitelů je stanoven frakční metodou. Řešitelé, kteří se v daném roce účastnili n projektů</w:t>
      </w:r>
      <w:r>
        <w:rPr>
          <w:rFonts w:ascii="Calibri" w:eastAsia="Times New Roman" w:hAnsi="Calibri" w:cs="Times New Roman"/>
          <w:i/>
          <w:iCs/>
          <w:color w:val="000000"/>
          <w:sz w:val="16"/>
          <w:szCs w:val="16"/>
          <w:lang w:eastAsia="cs-CZ"/>
        </w:rPr>
        <w:t>,</w:t>
      </w:r>
      <w:r w:rsidRPr="00DC5709">
        <w:rPr>
          <w:rFonts w:ascii="Calibri" w:eastAsia="Times New Roman" w:hAnsi="Calibri" w:cs="Times New Roman"/>
          <w:i/>
          <w:iCs/>
          <w:color w:val="000000"/>
          <w:sz w:val="16"/>
          <w:szCs w:val="16"/>
          <w:lang w:eastAsia="cs-CZ"/>
        </w:rPr>
        <w:t xml:space="preserve"> jsou v každém projektu započteni 1/n-tinou</w:t>
      </w:r>
      <w:r>
        <w:rPr>
          <w:rFonts w:ascii="Calibri" w:eastAsia="Times New Roman" w:hAnsi="Calibri" w:cs="Times New Roman"/>
          <w:i/>
          <w:iCs/>
          <w:color w:val="000000"/>
          <w:sz w:val="16"/>
          <w:szCs w:val="16"/>
          <w:lang w:eastAsia="cs-CZ"/>
        </w:rPr>
        <w:t>. PFO - souhrn FOI (fyzická osoba s IČO), OPS (o</w:t>
      </w:r>
      <w:r w:rsidRPr="00DC5709">
        <w:rPr>
          <w:rFonts w:ascii="Calibri" w:eastAsia="Times New Roman" w:hAnsi="Calibri" w:cs="Times New Roman"/>
          <w:i/>
          <w:iCs/>
          <w:color w:val="000000"/>
          <w:sz w:val="16"/>
          <w:szCs w:val="16"/>
          <w:lang w:eastAsia="cs-CZ"/>
        </w:rPr>
        <w:t>becně prospěšná společnos</w:t>
      </w:r>
      <w:r>
        <w:rPr>
          <w:rFonts w:ascii="Calibri" w:eastAsia="Times New Roman" w:hAnsi="Calibri" w:cs="Times New Roman"/>
          <w:i/>
          <w:iCs/>
          <w:color w:val="000000"/>
          <w:sz w:val="16"/>
          <w:szCs w:val="16"/>
          <w:lang w:eastAsia="cs-CZ"/>
        </w:rPr>
        <w:t>t), PON (j</w:t>
      </w:r>
      <w:r w:rsidRPr="00DC5709">
        <w:rPr>
          <w:rFonts w:ascii="Calibri" w:eastAsia="Times New Roman" w:hAnsi="Calibri" w:cs="Times New Roman"/>
          <w:i/>
          <w:iCs/>
          <w:color w:val="000000"/>
          <w:sz w:val="16"/>
          <w:szCs w:val="16"/>
          <w:lang w:eastAsia="cs-CZ"/>
        </w:rPr>
        <w:t>iná právnická osoba</w:t>
      </w:r>
      <w:r>
        <w:rPr>
          <w:rFonts w:ascii="Calibri" w:eastAsia="Times New Roman" w:hAnsi="Calibri" w:cs="Times New Roman"/>
          <w:i/>
          <w:iCs/>
          <w:color w:val="000000"/>
          <w:sz w:val="16"/>
          <w:szCs w:val="16"/>
          <w:lang w:eastAsia="cs-CZ"/>
        </w:rPr>
        <w:t>), POO (p</w:t>
      </w:r>
      <w:r w:rsidRPr="00DC5709">
        <w:rPr>
          <w:rFonts w:ascii="Calibri" w:eastAsia="Times New Roman" w:hAnsi="Calibri" w:cs="Times New Roman"/>
          <w:i/>
          <w:iCs/>
          <w:color w:val="000000"/>
          <w:sz w:val="16"/>
          <w:szCs w:val="16"/>
          <w:lang w:eastAsia="cs-CZ"/>
        </w:rPr>
        <w:t>rávnická osob</w:t>
      </w:r>
      <w:r>
        <w:rPr>
          <w:rFonts w:ascii="Calibri" w:eastAsia="Times New Roman" w:hAnsi="Calibri" w:cs="Times New Roman"/>
          <w:i/>
          <w:iCs/>
          <w:color w:val="000000"/>
          <w:sz w:val="16"/>
          <w:szCs w:val="16"/>
          <w:lang w:eastAsia="cs-CZ"/>
        </w:rPr>
        <w:t>a zapsaná v obchodním rejstříku), ZSP (z</w:t>
      </w:r>
      <w:r w:rsidRPr="00DC5709">
        <w:rPr>
          <w:rFonts w:ascii="Calibri" w:eastAsia="Times New Roman" w:hAnsi="Calibri" w:cs="Times New Roman"/>
          <w:i/>
          <w:iCs/>
          <w:color w:val="000000"/>
          <w:sz w:val="16"/>
          <w:szCs w:val="16"/>
          <w:lang w:eastAsia="cs-CZ"/>
        </w:rPr>
        <w:t>ájmové sdružení právnických osob, občanské sdružení, spolek</w:t>
      </w:r>
      <w:r>
        <w:rPr>
          <w:rFonts w:ascii="Calibri" w:eastAsia="Times New Roman" w:hAnsi="Calibri" w:cs="Times New Roman"/>
          <w:i/>
          <w:iCs/>
          <w:color w:val="000000"/>
          <w:sz w:val="16"/>
          <w:szCs w:val="16"/>
          <w:lang w:eastAsia="cs-CZ"/>
        </w:rPr>
        <w:t xml:space="preserve">), OSS – organizační složka státu, SPO – státní příspěvková organizace, VVI – veřejné výzkumné instituce, VSV – státní, veřejné a soukromé vysoké školy, MV – Ministerstvo vnitra, </w:t>
      </w:r>
      <w:r w:rsidRPr="00674528">
        <w:rPr>
          <w:rFonts w:ascii="Calibri" w:eastAsia="Times New Roman" w:hAnsi="Calibri" w:cs="Times New Roman"/>
          <w:i/>
          <w:iCs/>
          <w:color w:val="000000"/>
          <w:sz w:val="16"/>
          <w:szCs w:val="16"/>
          <w:lang w:eastAsia="cs-CZ"/>
        </w:rPr>
        <w:t>MV HZS</w:t>
      </w:r>
      <w:r>
        <w:rPr>
          <w:rFonts w:ascii="Calibri" w:eastAsia="Times New Roman" w:hAnsi="Calibri" w:cs="Times New Roman"/>
          <w:i/>
          <w:iCs/>
          <w:color w:val="000000"/>
          <w:sz w:val="16"/>
          <w:szCs w:val="16"/>
          <w:lang w:eastAsia="cs-CZ"/>
        </w:rPr>
        <w:t xml:space="preserve"> - generální ředitelství hasičského záchranného sboru, </w:t>
      </w:r>
      <w:r w:rsidRPr="00CF69D0">
        <w:rPr>
          <w:rFonts w:ascii="Calibri" w:eastAsia="Times New Roman" w:hAnsi="Calibri" w:cs="Times New Roman"/>
          <w:i/>
          <w:iCs/>
          <w:color w:val="000000"/>
          <w:sz w:val="16"/>
          <w:szCs w:val="16"/>
          <w:lang w:eastAsia="cs-CZ"/>
        </w:rPr>
        <w:t>MV PČR ÚZČ</w:t>
      </w:r>
      <w:r>
        <w:rPr>
          <w:rFonts w:ascii="Calibri" w:eastAsia="Times New Roman" w:hAnsi="Calibri" w:cs="Times New Roman"/>
          <w:i/>
          <w:iCs/>
          <w:color w:val="000000"/>
          <w:sz w:val="16"/>
          <w:szCs w:val="16"/>
          <w:lang w:eastAsia="cs-CZ"/>
        </w:rPr>
        <w:t xml:space="preserve"> – Policie České republiky, Úřad zvláštních činností, </w:t>
      </w:r>
      <w:r w:rsidRPr="00CF69D0">
        <w:rPr>
          <w:rFonts w:ascii="Calibri" w:eastAsia="Times New Roman" w:hAnsi="Calibri" w:cs="Times New Roman"/>
          <w:i/>
          <w:iCs/>
          <w:color w:val="000000"/>
          <w:sz w:val="16"/>
          <w:szCs w:val="16"/>
          <w:lang w:eastAsia="cs-CZ"/>
        </w:rPr>
        <w:t>MV PČR KÚ</w:t>
      </w:r>
      <w:r>
        <w:rPr>
          <w:rFonts w:ascii="Calibri" w:eastAsia="Times New Roman" w:hAnsi="Calibri" w:cs="Times New Roman"/>
          <w:i/>
          <w:iCs/>
          <w:color w:val="000000"/>
          <w:sz w:val="16"/>
          <w:szCs w:val="16"/>
          <w:lang w:eastAsia="cs-CZ"/>
        </w:rPr>
        <w:t xml:space="preserve"> – Policie České republiky, Kriminalistický ústav, MO – Ministerstvo obrany, MO </w:t>
      </w:r>
      <w:r w:rsidRPr="004727D0">
        <w:rPr>
          <w:rFonts w:ascii="Calibri" w:eastAsia="Times New Roman" w:hAnsi="Calibri" w:cs="Times New Roman"/>
          <w:i/>
          <w:iCs/>
          <w:color w:val="000000"/>
          <w:sz w:val="16"/>
          <w:szCs w:val="16"/>
          <w:lang w:eastAsia="cs-CZ"/>
        </w:rPr>
        <w:t>UO</w:t>
      </w:r>
      <w:r>
        <w:rPr>
          <w:rFonts w:ascii="Calibri" w:eastAsia="Times New Roman" w:hAnsi="Calibri" w:cs="Times New Roman"/>
          <w:i/>
          <w:iCs/>
          <w:color w:val="000000"/>
          <w:sz w:val="16"/>
          <w:szCs w:val="16"/>
          <w:lang w:eastAsia="cs-CZ"/>
        </w:rPr>
        <w:t xml:space="preserve"> – Univerzita obrany, </w:t>
      </w:r>
      <w:r w:rsidRPr="002A67C2">
        <w:rPr>
          <w:rFonts w:ascii="Calibri" w:eastAsia="Times New Roman" w:hAnsi="Calibri" w:cs="Times New Roman"/>
          <w:i/>
          <w:iCs/>
          <w:color w:val="000000"/>
          <w:sz w:val="16"/>
          <w:szCs w:val="16"/>
          <w:lang w:eastAsia="cs-CZ"/>
        </w:rPr>
        <w:t>MO VZÚ</w:t>
      </w:r>
      <w:r>
        <w:rPr>
          <w:rFonts w:ascii="Calibri" w:eastAsia="Times New Roman" w:hAnsi="Calibri" w:cs="Times New Roman"/>
          <w:i/>
          <w:iCs/>
          <w:color w:val="000000"/>
          <w:sz w:val="16"/>
          <w:szCs w:val="16"/>
          <w:lang w:eastAsia="cs-CZ"/>
        </w:rPr>
        <w:t xml:space="preserve"> – Vojenský zdravotní ústav.</w:t>
      </w:r>
    </w:p>
    <w:p w:rsidR="0033036C" w:rsidRDefault="0033036C" w:rsidP="00B74AF8"/>
    <w:p w:rsidR="00B74AF8" w:rsidRDefault="00233A6F" w:rsidP="00B74AF8">
      <w:r>
        <w:t xml:space="preserve">Jak je patrné z </w:t>
      </w:r>
      <w:r>
        <w:fldChar w:fldCharType="begin"/>
      </w:r>
      <w:r>
        <w:instrText xml:space="preserve"> REF  _Ref450053173 \* Lower \h  \* MERGEFORMAT </w:instrText>
      </w:r>
      <w:r>
        <w:fldChar w:fldCharType="separate"/>
      </w:r>
      <w:r w:rsidR="003F08E5">
        <w:t xml:space="preserve">tab. </w:t>
      </w:r>
      <w:r w:rsidR="003F08E5">
        <w:rPr>
          <w:noProof/>
        </w:rPr>
        <w:t>51</w:t>
      </w:r>
      <w:r>
        <w:fldChar w:fldCharType="end"/>
      </w:r>
      <w:r>
        <w:t>, n</w:t>
      </w:r>
      <w:r w:rsidR="00B74AF8">
        <w:t xml:space="preserve">ejvýznamnější z hlediska počtu řešitelů je podnikatelský a vysokoškolský sektor, v nichž se dohromady nachází přibližně 2/3 řešitelské kapacity. Zastoupení veřejných výzkumných institucí je přibližně poloviční. Poměr rezortní struktury řešitelů sleduje relativní velikosti (měřeno </w:t>
      </w:r>
      <w:r>
        <w:t xml:space="preserve">počtem výzkumných pracovníků v přepočtu na plný pracovní úvazek - </w:t>
      </w:r>
      <w:r w:rsidR="00B74AF8">
        <w:t>FTE</w:t>
      </w:r>
      <w:r>
        <w:rPr>
          <w:rStyle w:val="Znakapoznpodarou"/>
        </w:rPr>
        <w:footnoteReference w:id="41"/>
      </w:r>
      <w:r w:rsidR="00B74AF8">
        <w:t>) sektorů v ČR</w:t>
      </w:r>
      <w:r w:rsidR="00B74AF8">
        <w:rPr>
          <w:rStyle w:val="Znakapoznpodarou"/>
        </w:rPr>
        <w:footnoteReference w:id="42"/>
      </w:r>
      <w:r>
        <w:t xml:space="preserve"> -</w:t>
      </w:r>
      <w:r w:rsidR="00B74AF8">
        <w:t xml:space="preserve"> </w:t>
      </w:r>
      <w:r>
        <w:t>s</w:t>
      </w:r>
      <w:r w:rsidR="00B74AF8">
        <w:t>ouhrnn</w:t>
      </w:r>
      <w:r>
        <w:t>ý počet</w:t>
      </w:r>
      <w:r w:rsidR="00B74AF8">
        <w:t xml:space="preserve"> výzkumných pracovníků </w:t>
      </w:r>
      <w:r>
        <w:t xml:space="preserve">(ve FTE) </w:t>
      </w:r>
      <w:r w:rsidR="00B74AF8">
        <w:t xml:space="preserve">ve veřejných a soukromých </w:t>
      </w:r>
      <w:r w:rsidR="00703623">
        <w:t xml:space="preserve">domácích </w:t>
      </w:r>
      <w:r w:rsidR="00B74AF8">
        <w:t>podnicích je srovnateln</w:t>
      </w:r>
      <w:r>
        <w:t>ý</w:t>
      </w:r>
      <w:r w:rsidR="00B74AF8">
        <w:t xml:space="preserve"> a výzkumné kapacity AV ČR a resortních výzkumných institucí jsou přibližně na úrovni 60 % </w:t>
      </w:r>
      <w:r>
        <w:t xml:space="preserve">počtu výzkumných pracovníků </w:t>
      </w:r>
      <w:r w:rsidR="00703623">
        <w:t>vysokoškolského</w:t>
      </w:r>
      <w:r w:rsidR="00832FD6">
        <w:t xml:space="preserve"> </w:t>
      </w:r>
      <w:r w:rsidR="00B74AF8">
        <w:t xml:space="preserve">sektoru </w:t>
      </w:r>
      <w:r>
        <w:t>ve FTE</w:t>
      </w:r>
      <w:r w:rsidR="00B74AF8">
        <w:t xml:space="preserve">. </w:t>
      </w:r>
    </w:p>
    <w:p w:rsidR="00233A6F" w:rsidRDefault="003102CE" w:rsidP="00233A6F">
      <w:r>
        <w:t xml:space="preserve">Dominantní výzkumnou institucí v resortu MV je </w:t>
      </w:r>
      <w:r w:rsidR="00233A6F">
        <w:t>Kriminalistick</w:t>
      </w:r>
      <w:r>
        <w:t>ý</w:t>
      </w:r>
      <w:r w:rsidR="00233A6F">
        <w:t xml:space="preserve"> ústav</w:t>
      </w:r>
      <w:r>
        <w:t xml:space="preserve"> (KÚ), kde působily přibližně tři čtvrtiny řešitelů v tomto </w:t>
      </w:r>
      <w:r w:rsidR="00703623">
        <w:t>resortu</w:t>
      </w:r>
      <w:r w:rsidR="00693E56">
        <w:t xml:space="preserve"> (viz </w:t>
      </w:r>
      <w:r w:rsidR="00693E56">
        <w:fldChar w:fldCharType="begin"/>
      </w:r>
      <w:r w:rsidR="00693E56">
        <w:instrText xml:space="preserve"> REF  _Ref450053173 \* Lower \h  \* MERGEFORMAT </w:instrText>
      </w:r>
      <w:r w:rsidR="00693E56">
        <w:fldChar w:fldCharType="separate"/>
      </w:r>
      <w:r w:rsidR="003F08E5">
        <w:t xml:space="preserve">tab. </w:t>
      </w:r>
      <w:r w:rsidR="003F08E5">
        <w:rPr>
          <w:noProof/>
        </w:rPr>
        <w:t>51</w:t>
      </w:r>
      <w:r w:rsidR="00693E56">
        <w:fldChar w:fldCharType="end"/>
      </w:r>
      <w:r w:rsidR="00693E56">
        <w:t>)</w:t>
      </w:r>
      <w:r>
        <w:t>.</w:t>
      </w:r>
      <w:r w:rsidR="00693E56">
        <w:t xml:space="preserve"> </w:t>
      </w:r>
      <w:r>
        <w:t xml:space="preserve">Počet řešitelů v Hasičském záchranném sboru (HZS) je sice poměrně nízký (dva řešitelé ročně), ale objem veřejné </w:t>
      </w:r>
      <w:r w:rsidR="00233A6F">
        <w:t xml:space="preserve">podpory </w:t>
      </w:r>
      <w:r>
        <w:t xml:space="preserve">v programech BV je téměř srovnatelný (rozdíl oproti KÚ je </w:t>
      </w:r>
      <w:r w:rsidR="00233A6F">
        <w:t>pouhých 10 %</w:t>
      </w:r>
      <w:r>
        <w:t xml:space="preserve"> - </w:t>
      </w:r>
      <w:r w:rsidR="00233A6F" w:rsidRPr="002B0120">
        <w:t xml:space="preserve">Přehled všech řešitelů bezpečnostních projektů do roku 2014 </w:t>
      </w:r>
      <w:r w:rsidR="00305986" w:rsidRPr="002B0120">
        <w:t>j</w:t>
      </w:r>
      <w:r w:rsidR="00305986">
        <w:t>e</w:t>
      </w:r>
      <w:r w:rsidR="00305986" w:rsidRPr="002B0120">
        <w:t xml:space="preserve"> </w:t>
      </w:r>
      <w:r w:rsidR="00233A6F" w:rsidRPr="002B0120">
        <w:t xml:space="preserve">uveden v příloze </w:t>
      </w:r>
      <w:r w:rsidR="00233A6F" w:rsidRPr="002B0120">
        <w:rPr>
          <w:i/>
        </w:rPr>
        <w:t xml:space="preserve">P </w:t>
      </w:r>
      <w:r w:rsidR="000C345D">
        <w:rPr>
          <w:i/>
        </w:rPr>
        <w:t>44</w:t>
      </w:r>
      <w:r w:rsidR="000C345D" w:rsidRPr="002B0120">
        <w:t xml:space="preserve"> </w:t>
      </w:r>
      <w:r w:rsidR="00233A6F" w:rsidRPr="002B0120">
        <w:t xml:space="preserve">a pro vybrané instituce </w:t>
      </w:r>
      <w:r w:rsidRPr="002B0120">
        <w:t>BV</w:t>
      </w:r>
      <w:r w:rsidR="00233A6F" w:rsidRPr="002B0120">
        <w:t xml:space="preserve"> v příloze </w:t>
      </w:r>
      <w:r w:rsidR="00233A6F" w:rsidRPr="002B0120">
        <w:rPr>
          <w:i/>
        </w:rPr>
        <w:t>P</w:t>
      </w:r>
      <w:r w:rsidRPr="002B0120">
        <w:rPr>
          <w:i/>
        </w:rPr>
        <w:t> </w:t>
      </w:r>
      <w:r w:rsidR="000C345D">
        <w:rPr>
          <w:i/>
        </w:rPr>
        <w:t>45</w:t>
      </w:r>
      <w:r w:rsidR="00233A6F" w:rsidRPr="002B0120">
        <w:t>.</w:t>
      </w:r>
    </w:p>
    <w:p w:rsidR="00BC366B" w:rsidRDefault="00233A6F" w:rsidP="00233A6F">
      <w:pPr>
        <w:rPr>
          <w:lang w:eastAsia="cs-CZ"/>
        </w:rPr>
      </w:pPr>
      <w:r>
        <w:rPr>
          <w:lang w:eastAsia="cs-CZ"/>
        </w:rPr>
        <w:t xml:space="preserve">Počty autorů výstupů bezpečnostních programů </w:t>
      </w:r>
      <w:r w:rsidR="00693E56">
        <w:rPr>
          <w:lang w:eastAsia="cs-CZ"/>
        </w:rPr>
        <w:t xml:space="preserve">jsou vyšší a jejich počet </w:t>
      </w:r>
      <w:r>
        <w:rPr>
          <w:lang w:eastAsia="cs-CZ"/>
        </w:rPr>
        <w:t>rost</w:t>
      </w:r>
      <w:r w:rsidR="00693E56">
        <w:rPr>
          <w:lang w:eastAsia="cs-CZ"/>
        </w:rPr>
        <w:t>e</w:t>
      </w:r>
      <w:r>
        <w:rPr>
          <w:lang w:eastAsia="cs-CZ"/>
        </w:rPr>
        <w:t xml:space="preserve"> výrazně strměji (viz </w:t>
      </w:r>
      <w:r w:rsidR="00693E56">
        <w:fldChar w:fldCharType="begin"/>
      </w:r>
      <w:r w:rsidR="00693E56">
        <w:instrText xml:space="preserve"> REF  _Ref450052907 \* Lower \h  \* MERGEFORMAT </w:instrText>
      </w:r>
      <w:r w:rsidR="00693E56">
        <w:fldChar w:fldCharType="separate"/>
      </w:r>
      <w:r w:rsidR="003F08E5">
        <w:t xml:space="preserve">tab. </w:t>
      </w:r>
      <w:r w:rsidR="003F08E5">
        <w:rPr>
          <w:noProof/>
        </w:rPr>
        <w:t>52</w:t>
      </w:r>
      <w:r w:rsidR="00693E56">
        <w:fldChar w:fldCharType="end"/>
      </w:r>
      <w:r>
        <w:rPr>
          <w:lang w:eastAsia="cs-CZ"/>
        </w:rPr>
        <w:t xml:space="preserve">). </w:t>
      </w:r>
      <w:r w:rsidR="00693E56">
        <w:rPr>
          <w:lang w:eastAsia="cs-CZ"/>
        </w:rPr>
        <w:t xml:space="preserve">To znamená, že do řešení projektů BV (nebo alespoň do tvorby výsledků) jsou zapojeni další výzkumní pracovníci. </w:t>
      </w:r>
      <w:r>
        <w:rPr>
          <w:lang w:eastAsia="cs-CZ"/>
        </w:rPr>
        <w:t xml:space="preserve">Nejrychleji rostl počet tvůrců ve skupině podnikatelských subjektů (PFO) </w:t>
      </w:r>
      <w:r w:rsidR="00693E56">
        <w:rPr>
          <w:lang w:eastAsia="cs-CZ"/>
        </w:rPr>
        <w:t xml:space="preserve">a </w:t>
      </w:r>
      <w:r>
        <w:rPr>
          <w:lang w:eastAsia="cs-CZ"/>
        </w:rPr>
        <w:t>v sek</w:t>
      </w:r>
      <w:r w:rsidR="00693E56">
        <w:rPr>
          <w:lang w:eastAsia="cs-CZ"/>
        </w:rPr>
        <w:t>toru</w:t>
      </w:r>
      <w:r>
        <w:rPr>
          <w:lang w:eastAsia="cs-CZ"/>
        </w:rPr>
        <w:t xml:space="preserve"> vysokých škol a veřejných výzkumných institucí.</w:t>
      </w:r>
      <w:r w:rsidR="00693E56">
        <w:rPr>
          <w:lang w:eastAsia="cs-CZ"/>
        </w:rPr>
        <w:t xml:space="preserve"> </w:t>
      </w:r>
    </w:p>
    <w:p w:rsidR="00693E56" w:rsidRDefault="00693E56" w:rsidP="00233A6F">
      <w:pPr>
        <w:rPr>
          <w:lang w:eastAsia="cs-CZ"/>
        </w:rPr>
      </w:pPr>
      <w:r>
        <w:rPr>
          <w:lang w:eastAsia="cs-CZ"/>
        </w:rPr>
        <w:t>V r</w:t>
      </w:r>
      <w:r w:rsidR="00233A6F">
        <w:rPr>
          <w:lang w:eastAsia="cs-CZ"/>
        </w:rPr>
        <w:t>esort</w:t>
      </w:r>
      <w:r>
        <w:rPr>
          <w:lang w:eastAsia="cs-CZ"/>
        </w:rPr>
        <w:t>u</w:t>
      </w:r>
      <w:r w:rsidR="00233A6F">
        <w:rPr>
          <w:lang w:eastAsia="cs-CZ"/>
        </w:rPr>
        <w:t xml:space="preserve"> MV </w:t>
      </w:r>
      <w:r>
        <w:rPr>
          <w:lang w:eastAsia="cs-CZ"/>
        </w:rPr>
        <w:t xml:space="preserve">počet autorů </w:t>
      </w:r>
      <w:r w:rsidR="00233A6F">
        <w:rPr>
          <w:lang w:eastAsia="cs-CZ"/>
        </w:rPr>
        <w:t>stagn</w:t>
      </w:r>
      <w:r>
        <w:rPr>
          <w:lang w:eastAsia="cs-CZ"/>
        </w:rPr>
        <w:t>oval</w:t>
      </w:r>
      <w:r w:rsidR="00233A6F">
        <w:rPr>
          <w:lang w:eastAsia="cs-CZ"/>
        </w:rPr>
        <w:t>.</w:t>
      </w:r>
      <w:r w:rsidR="00BC366B">
        <w:rPr>
          <w:lang w:eastAsia="cs-CZ"/>
        </w:rPr>
        <w:t xml:space="preserve"> Zatímco počet autorů výstupů v KÚ je poněkud </w:t>
      </w:r>
      <w:r w:rsidR="00944241">
        <w:rPr>
          <w:lang w:eastAsia="cs-CZ"/>
        </w:rPr>
        <w:t xml:space="preserve">nižší </w:t>
      </w:r>
      <w:r w:rsidR="00BC366B">
        <w:rPr>
          <w:lang w:eastAsia="cs-CZ"/>
        </w:rPr>
        <w:t>než počet řešitelů, v HZS je situace zcela opačná – počet autorů výstupů je řádově vyšší. To může znamenat, že v KÚ se na výstupech podílejí řešitelé projektů a v HZS se na výsledcích (a tedy i na výzkumu) podílí značný</w:t>
      </w:r>
      <w:r w:rsidR="0033036C">
        <w:rPr>
          <w:lang w:eastAsia="cs-CZ"/>
        </w:rPr>
        <w:t xml:space="preserve"> počet dalších pracovníků. Toto je patrné i z </w:t>
      </w:r>
      <w:r w:rsidR="0033036C">
        <w:rPr>
          <w:lang w:eastAsia="cs-CZ"/>
        </w:rPr>
        <w:fldChar w:fldCharType="begin"/>
      </w:r>
      <w:r w:rsidR="0033036C">
        <w:rPr>
          <w:lang w:eastAsia="cs-CZ"/>
        </w:rPr>
        <w:instrText xml:space="preserve"> REF  _Ref450052990 \* Lower \h  \* MERGEFORMAT </w:instrText>
      </w:r>
      <w:r w:rsidR="0033036C">
        <w:rPr>
          <w:lang w:eastAsia="cs-CZ"/>
        </w:rPr>
      </w:r>
      <w:r w:rsidR="0033036C">
        <w:rPr>
          <w:lang w:eastAsia="cs-CZ"/>
        </w:rPr>
        <w:fldChar w:fldCharType="separate"/>
      </w:r>
      <w:r w:rsidR="003F08E5">
        <w:t xml:space="preserve">tab. </w:t>
      </w:r>
      <w:r w:rsidR="003F08E5">
        <w:rPr>
          <w:noProof/>
        </w:rPr>
        <w:t>53</w:t>
      </w:r>
      <w:r w:rsidR="0033036C">
        <w:rPr>
          <w:lang w:eastAsia="cs-CZ"/>
        </w:rPr>
        <w:fldChar w:fldCharType="end"/>
      </w:r>
      <w:r w:rsidR="0033036C">
        <w:rPr>
          <w:lang w:eastAsia="cs-CZ"/>
        </w:rPr>
        <w:t xml:space="preserve">, kde jsou uvedeny celkové počty autorů výstupů ve vybraných institucích v rozpočtové kapitole MV. </w:t>
      </w:r>
      <w:r>
        <w:rPr>
          <w:lang w:eastAsia="cs-CZ"/>
        </w:rPr>
        <w:t xml:space="preserve">Počty tvůrců výstupů ve všech institucích, </w:t>
      </w:r>
      <w:r w:rsidRPr="002B0120">
        <w:rPr>
          <w:lang w:eastAsia="cs-CZ"/>
        </w:rPr>
        <w:t>které v letech 2010 až 2014 registrovaly alespoň jeden výsledek v RIV, j</w:t>
      </w:r>
      <w:r w:rsidR="00703623" w:rsidRPr="002B0120">
        <w:rPr>
          <w:lang w:eastAsia="cs-CZ"/>
        </w:rPr>
        <w:t>sou</w:t>
      </w:r>
      <w:r w:rsidRPr="002B0120">
        <w:rPr>
          <w:lang w:eastAsia="cs-CZ"/>
        </w:rPr>
        <w:t xml:space="preserve"> uveden</w:t>
      </w:r>
      <w:r w:rsidR="00703623" w:rsidRPr="002B0120">
        <w:rPr>
          <w:lang w:eastAsia="cs-CZ"/>
        </w:rPr>
        <w:t>y</w:t>
      </w:r>
      <w:r w:rsidRPr="002B0120">
        <w:rPr>
          <w:lang w:eastAsia="cs-CZ"/>
        </w:rPr>
        <w:t xml:space="preserve"> v p</w:t>
      </w:r>
      <w:r w:rsidR="00233A6F" w:rsidRPr="002B0120">
        <w:rPr>
          <w:lang w:eastAsia="cs-CZ"/>
        </w:rPr>
        <w:t>řílo</w:t>
      </w:r>
      <w:r w:rsidRPr="002B0120">
        <w:rPr>
          <w:lang w:eastAsia="cs-CZ"/>
        </w:rPr>
        <w:t>ze</w:t>
      </w:r>
      <w:r w:rsidR="00233A6F" w:rsidRPr="002B0120">
        <w:rPr>
          <w:lang w:eastAsia="cs-CZ"/>
        </w:rPr>
        <w:t xml:space="preserve"> </w:t>
      </w:r>
      <w:r w:rsidR="00233A6F" w:rsidRPr="002B0120">
        <w:rPr>
          <w:i/>
          <w:lang w:eastAsia="cs-CZ"/>
        </w:rPr>
        <w:t xml:space="preserve">P </w:t>
      </w:r>
      <w:r w:rsidR="00A34F09">
        <w:rPr>
          <w:i/>
          <w:lang w:eastAsia="cs-CZ"/>
        </w:rPr>
        <w:t>46</w:t>
      </w:r>
      <w:r w:rsidR="00233A6F" w:rsidRPr="002B0120">
        <w:rPr>
          <w:lang w:eastAsia="cs-CZ"/>
        </w:rPr>
        <w:t>.</w:t>
      </w:r>
    </w:p>
    <w:p w:rsidR="00D82F1C" w:rsidRDefault="00D82F1C" w:rsidP="00D82F1C">
      <w:pPr>
        <w:pStyle w:val="Titulek"/>
        <w:keepNext/>
      </w:pPr>
      <w:bookmarkStart w:id="199" w:name="_Ref450052907"/>
      <w:r>
        <w:t xml:space="preserve">Tab. </w:t>
      </w:r>
      <w:r w:rsidR="00990E2D">
        <w:fldChar w:fldCharType="begin"/>
      </w:r>
      <w:r w:rsidR="00990E2D">
        <w:instrText xml:space="preserve"> SEQ Tab. \* ARABIC </w:instrText>
      </w:r>
      <w:r w:rsidR="00990E2D">
        <w:fldChar w:fldCharType="separate"/>
      </w:r>
      <w:r w:rsidR="003F08E5">
        <w:rPr>
          <w:noProof/>
        </w:rPr>
        <w:t>52</w:t>
      </w:r>
      <w:r w:rsidR="00990E2D">
        <w:rPr>
          <w:noProof/>
        </w:rPr>
        <w:fldChar w:fldCharType="end"/>
      </w:r>
      <w:bookmarkEnd w:id="199"/>
      <w:r>
        <w:tab/>
      </w:r>
      <w:r w:rsidRPr="00D82F1C">
        <w:t>Celkový počet autorů výstupů bezpečnostního výzkumu v letech 2010 až 2014 podle jejich právní formy</w:t>
      </w:r>
      <w:r>
        <w:t>. Zdroj: IS VaVaI</w:t>
      </w:r>
    </w:p>
    <w:tbl>
      <w:tblPr>
        <w:tblW w:w="8684" w:type="dxa"/>
        <w:tblInd w:w="55" w:type="dxa"/>
        <w:tblCellMar>
          <w:left w:w="70" w:type="dxa"/>
          <w:right w:w="70" w:type="dxa"/>
        </w:tblCellMar>
        <w:tblLook w:val="04A0" w:firstRow="1" w:lastRow="0" w:firstColumn="1" w:lastColumn="0" w:noHBand="0" w:noVBand="1"/>
      </w:tblPr>
      <w:tblGrid>
        <w:gridCol w:w="580"/>
        <w:gridCol w:w="756"/>
        <w:gridCol w:w="620"/>
        <w:gridCol w:w="580"/>
        <w:gridCol w:w="660"/>
        <w:gridCol w:w="520"/>
        <w:gridCol w:w="620"/>
        <w:gridCol w:w="620"/>
        <w:gridCol w:w="724"/>
        <w:gridCol w:w="960"/>
        <w:gridCol w:w="700"/>
        <w:gridCol w:w="740"/>
        <w:gridCol w:w="740"/>
      </w:tblGrid>
      <w:tr w:rsidR="00B74AF8" w:rsidRPr="0033036C" w:rsidTr="0033036C">
        <w:trPr>
          <w:trHeight w:val="285"/>
        </w:trPr>
        <w:tc>
          <w:tcPr>
            <w:tcW w:w="580" w:type="dxa"/>
            <w:tcBorders>
              <w:top w:val="single" w:sz="4" w:space="0" w:color="auto"/>
              <w:left w:val="nil"/>
              <w:bottom w:val="single" w:sz="4" w:space="0" w:color="auto"/>
              <w:right w:val="nil"/>
            </w:tcBorders>
            <w:shd w:val="clear" w:color="auto" w:fill="D9D9D9" w:themeFill="background1" w:themeFillShade="D9"/>
            <w:vAlign w:val="center"/>
            <w:hideMark/>
          </w:tcPr>
          <w:p w:rsidR="00B74AF8" w:rsidRPr="0033036C" w:rsidRDefault="0033036C" w:rsidP="0033036C">
            <w:pPr>
              <w:spacing w:before="40" w:after="40"/>
              <w:jc w:val="center"/>
              <w:rPr>
                <w:rFonts w:eastAsia="Times New Roman" w:cs="Times New Roman"/>
                <w:b/>
                <w:bCs/>
                <w:color w:val="000000"/>
                <w:sz w:val="20"/>
                <w:szCs w:val="20"/>
                <w:lang w:eastAsia="cs-CZ"/>
              </w:rPr>
            </w:pPr>
            <w:bookmarkStart w:id="200" w:name="RANGE!B4:N9"/>
            <w:r>
              <w:rPr>
                <w:rFonts w:eastAsia="Times New Roman" w:cs="Times New Roman"/>
                <w:b/>
                <w:bCs/>
                <w:color w:val="000000"/>
                <w:sz w:val="20"/>
                <w:szCs w:val="20"/>
                <w:lang w:eastAsia="cs-CZ"/>
              </w:rPr>
              <w:t>R</w:t>
            </w:r>
            <w:r w:rsidR="00B74AF8" w:rsidRPr="0033036C">
              <w:rPr>
                <w:rFonts w:eastAsia="Times New Roman" w:cs="Times New Roman"/>
                <w:b/>
                <w:bCs/>
                <w:color w:val="000000"/>
                <w:sz w:val="20"/>
                <w:szCs w:val="20"/>
                <w:lang w:eastAsia="cs-CZ"/>
              </w:rPr>
              <w:t>ok</w:t>
            </w:r>
            <w:bookmarkEnd w:id="200"/>
          </w:p>
        </w:tc>
        <w:tc>
          <w:tcPr>
            <w:tcW w:w="620" w:type="dxa"/>
            <w:tcBorders>
              <w:top w:val="single" w:sz="4" w:space="0" w:color="auto"/>
              <w:left w:val="nil"/>
              <w:bottom w:val="single" w:sz="4" w:space="0" w:color="auto"/>
              <w:right w:val="nil"/>
            </w:tcBorders>
            <w:shd w:val="clear" w:color="auto" w:fill="D9D9D9" w:themeFill="background1" w:themeFillShade="D9"/>
            <w:vAlign w:val="center"/>
            <w:hideMark/>
          </w:tcPr>
          <w:p w:rsidR="00B74AF8" w:rsidRPr="0033036C" w:rsidRDefault="0033036C" w:rsidP="0033036C">
            <w:pPr>
              <w:spacing w:before="40" w:after="40"/>
              <w:jc w:val="center"/>
              <w:rPr>
                <w:rFonts w:eastAsia="Times New Roman" w:cs="Times New Roman"/>
                <w:b/>
                <w:bCs/>
                <w:color w:val="000000"/>
                <w:sz w:val="20"/>
                <w:szCs w:val="20"/>
                <w:lang w:eastAsia="cs-CZ"/>
              </w:rPr>
            </w:pPr>
            <w:r>
              <w:rPr>
                <w:rFonts w:eastAsia="Times New Roman" w:cs="Times New Roman"/>
                <w:b/>
                <w:bCs/>
                <w:color w:val="000000"/>
                <w:sz w:val="20"/>
                <w:szCs w:val="20"/>
                <w:lang w:eastAsia="cs-CZ"/>
              </w:rPr>
              <w:t>C</w:t>
            </w:r>
            <w:r w:rsidR="00B74AF8" w:rsidRPr="0033036C">
              <w:rPr>
                <w:rFonts w:eastAsia="Times New Roman" w:cs="Times New Roman"/>
                <w:b/>
                <w:bCs/>
                <w:color w:val="000000"/>
                <w:sz w:val="20"/>
                <w:szCs w:val="20"/>
                <w:lang w:eastAsia="cs-CZ"/>
              </w:rPr>
              <w:t>elkem</w:t>
            </w:r>
          </w:p>
        </w:tc>
        <w:tc>
          <w:tcPr>
            <w:tcW w:w="620" w:type="dxa"/>
            <w:tcBorders>
              <w:top w:val="single" w:sz="4" w:space="0" w:color="auto"/>
              <w:left w:val="nil"/>
              <w:bottom w:val="single" w:sz="4" w:space="0" w:color="auto"/>
              <w:right w:val="nil"/>
            </w:tcBorders>
            <w:shd w:val="clear" w:color="auto" w:fill="D9D9D9" w:themeFill="background1" w:themeFillShade="D9"/>
            <w:vAlign w:val="center"/>
            <w:hideMark/>
          </w:tcPr>
          <w:p w:rsidR="00B74AF8" w:rsidRPr="0033036C" w:rsidRDefault="00B74AF8" w:rsidP="0033036C">
            <w:pPr>
              <w:spacing w:before="40" w:after="40"/>
              <w:jc w:val="center"/>
              <w:rPr>
                <w:rFonts w:eastAsia="Times New Roman" w:cs="Times New Roman"/>
                <w:b/>
                <w:bCs/>
                <w:color w:val="000000"/>
                <w:sz w:val="20"/>
                <w:szCs w:val="20"/>
                <w:lang w:eastAsia="cs-CZ"/>
              </w:rPr>
            </w:pPr>
            <w:r w:rsidRPr="0033036C">
              <w:rPr>
                <w:rFonts w:eastAsia="Times New Roman" w:cs="Times New Roman"/>
                <w:b/>
                <w:bCs/>
                <w:color w:val="000000"/>
                <w:sz w:val="20"/>
                <w:szCs w:val="20"/>
                <w:lang w:eastAsia="cs-CZ"/>
              </w:rPr>
              <w:t>PFO</w:t>
            </w:r>
          </w:p>
        </w:tc>
        <w:tc>
          <w:tcPr>
            <w:tcW w:w="580" w:type="dxa"/>
            <w:tcBorders>
              <w:top w:val="single" w:sz="4" w:space="0" w:color="auto"/>
              <w:left w:val="nil"/>
              <w:bottom w:val="single" w:sz="4" w:space="0" w:color="auto"/>
              <w:right w:val="nil"/>
            </w:tcBorders>
            <w:shd w:val="clear" w:color="auto" w:fill="D9D9D9" w:themeFill="background1" w:themeFillShade="D9"/>
            <w:vAlign w:val="center"/>
            <w:hideMark/>
          </w:tcPr>
          <w:p w:rsidR="00B74AF8" w:rsidRPr="0033036C" w:rsidRDefault="00B74AF8" w:rsidP="0033036C">
            <w:pPr>
              <w:spacing w:before="40" w:after="40"/>
              <w:jc w:val="center"/>
              <w:rPr>
                <w:rFonts w:eastAsia="Times New Roman" w:cs="Times New Roman"/>
                <w:b/>
                <w:bCs/>
                <w:color w:val="000000"/>
                <w:sz w:val="20"/>
                <w:szCs w:val="20"/>
                <w:lang w:eastAsia="cs-CZ"/>
              </w:rPr>
            </w:pPr>
            <w:r w:rsidRPr="0033036C">
              <w:rPr>
                <w:rFonts w:eastAsia="Times New Roman" w:cs="Times New Roman"/>
                <w:b/>
                <w:bCs/>
                <w:color w:val="000000"/>
                <w:sz w:val="20"/>
                <w:szCs w:val="20"/>
                <w:lang w:eastAsia="cs-CZ"/>
              </w:rPr>
              <w:t>OSS</w:t>
            </w:r>
          </w:p>
        </w:tc>
        <w:tc>
          <w:tcPr>
            <w:tcW w:w="660" w:type="dxa"/>
            <w:tcBorders>
              <w:top w:val="single" w:sz="4" w:space="0" w:color="auto"/>
              <w:left w:val="nil"/>
              <w:bottom w:val="single" w:sz="4" w:space="0" w:color="auto"/>
              <w:right w:val="nil"/>
            </w:tcBorders>
            <w:shd w:val="clear" w:color="auto" w:fill="D9D9D9" w:themeFill="background1" w:themeFillShade="D9"/>
            <w:vAlign w:val="center"/>
            <w:hideMark/>
          </w:tcPr>
          <w:p w:rsidR="00B74AF8" w:rsidRPr="0033036C" w:rsidRDefault="00B74AF8" w:rsidP="0033036C">
            <w:pPr>
              <w:spacing w:before="40" w:after="40"/>
              <w:jc w:val="center"/>
              <w:rPr>
                <w:rFonts w:eastAsia="Times New Roman" w:cs="Times New Roman"/>
                <w:b/>
                <w:bCs/>
                <w:color w:val="000000"/>
                <w:sz w:val="20"/>
                <w:szCs w:val="20"/>
                <w:lang w:eastAsia="cs-CZ"/>
              </w:rPr>
            </w:pPr>
            <w:r w:rsidRPr="0033036C">
              <w:rPr>
                <w:rFonts w:eastAsia="Times New Roman" w:cs="Times New Roman"/>
                <w:b/>
                <w:bCs/>
                <w:color w:val="000000"/>
                <w:sz w:val="20"/>
                <w:szCs w:val="20"/>
                <w:lang w:eastAsia="cs-CZ"/>
              </w:rPr>
              <w:t>SPO</w:t>
            </w:r>
          </w:p>
        </w:tc>
        <w:tc>
          <w:tcPr>
            <w:tcW w:w="520" w:type="dxa"/>
            <w:tcBorders>
              <w:top w:val="single" w:sz="4" w:space="0" w:color="auto"/>
              <w:left w:val="nil"/>
              <w:bottom w:val="single" w:sz="4" w:space="0" w:color="auto"/>
              <w:right w:val="nil"/>
            </w:tcBorders>
            <w:shd w:val="clear" w:color="auto" w:fill="D9D9D9" w:themeFill="background1" w:themeFillShade="D9"/>
            <w:vAlign w:val="center"/>
            <w:hideMark/>
          </w:tcPr>
          <w:p w:rsidR="00B74AF8" w:rsidRPr="0033036C" w:rsidRDefault="00B74AF8" w:rsidP="0033036C">
            <w:pPr>
              <w:spacing w:before="40" w:after="40"/>
              <w:jc w:val="center"/>
              <w:rPr>
                <w:rFonts w:eastAsia="Times New Roman" w:cs="Times New Roman"/>
                <w:b/>
                <w:bCs/>
                <w:color w:val="000000"/>
                <w:sz w:val="20"/>
                <w:szCs w:val="20"/>
                <w:lang w:eastAsia="cs-CZ"/>
              </w:rPr>
            </w:pPr>
            <w:r w:rsidRPr="0033036C">
              <w:rPr>
                <w:rFonts w:eastAsia="Times New Roman" w:cs="Times New Roman"/>
                <w:b/>
                <w:bCs/>
                <w:color w:val="000000"/>
                <w:sz w:val="20"/>
                <w:szCs w:val="20"/>
                <w:lang w:eastAsia="cs-CZ"/>
              </w:rPr>
              <w:t>VVI</w:t>
            </w:r>
          </w:p>
        </w:tc>
        <w:tc>
          <w:tcPr>
            <w:tcW w:w="620"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B74AF8" w:rsidRPr="0033036C" w:rsidRDefault="00B74AF8" w:rsidP="0033036C">
            <w:pPr>
              <w:spacing w:before="40" w:after="40"/>
              <w:jc w:val="center"/>
              <w:rPr>
                <w:rFonts w:eastAsia="Times New Roman" w:cs="Times New Roman"/>
                <w:b/>
                <w:bCs/>
                <w:color w:val="000000"/>
                <w:sz w:val="20"/>
                <w:szCs w:val="20"/>
                <w:lang w:eastAsia="cs-CZ"/>
              </w:rPr>
            </w:pPr>
            <w:r w:rsidRPr="0033036C">
              <w:rPr>
                <w:rFonts w:eastAsia="Times New Roman" w:cs="Times New Roman"/>
                <w:b/>
                <w:bCs/>
                <w:color w:val="000000"/>
                <w:sz w:val="20"/>
                <w:szCs w:val="20"/>
                <w:lang w:eastAsia="cs-CZ"/>
              </w:rPr>
              <w:t>VSV</w:t>
            </w:r>
          </w:p>
        </w:tc>
        <w:tc>
          <w:tcPr>
            <w:tcW w:w="620" w:type="dxa"/>
            <w:tcBorders>
              <w:top w:val="single" w:sz="4" w:space="0" w:color="auto"/>
              <w:left w:val="nil"/>
              <w:bottom w:val="single" w:sz="4" w:space="0" w:color="auto"/>
              <w:right w:val="nil"/>
            </w:tcBorders>
            <w:shd w:val="clear" w:color="auto" w:fill="D9D9D9" w:themeFill="background1" w:themeFillShade="D9"/>
            <w:vAlign w:val="center"/>
            <w:hideMark/>
          </w:tcPr>
          <w:p w:rsidR="00B74AF8" w:rsidRPr="0033036C" w:rsidRDefault="00B74AF8" w:rsidP="0033036C">
            <w:pPr>
              <w:spacing w:before="40" w:after="40"/>
              <w:jc w:val="center"/>
              <w:rPr>
                <w:rFonts w:eastAsia="Times New Roman" w:cs="Times New Roman"/>
                <w:b/>
                <w:bCs/>
                <w:color w:val="000000"/>
                <w:sz w:val="20"/>
                <w:szCs w:val="20"/>
                <w:lang w:eastAsia="cs-CZ"/>
              </w:rPr>
            </w:pPr>
            <w:r w:rsidRPr="0033036C">
              <w:rPr>
                <w:rFonts w:eastAsia="Times New Roman" w:cs="Times New Roman"/>
                <w:b/>
                <w:bCs/>
                <w:color w:val="000000"/>
                <w:sz w:val="20"/>
                <w:szCs w:val="20"/>
                <w:lang w:eastAsia="cs-CZ"/>
              </w:rPr>
              <w:t>MV</w:t>
            </w:r>
          </w:p>
        </w:tc>
        <w:tc>
          <w:tcPr>
            <w:tcW w:w="724" w:type="dxa"/>
            <w:tcBorders>
              <w:top w:val="single" w:sz="4" w:space="0" w:color="auto"/>
              <w:left w:val="nil"/>
              <w:bottom w:val="single" w:sz="4" w:space="0" w:color="auto"/>
              <w:right w:val="nil"/>
            </w:tcBorders>
            <w:shd w:val="clear" w:color="auto" w:fill="D9D9D9" w:themeFill="background1" w:themeFillShade="D9"/>
            <w:vAlign w:val="center"/>
            <w:hideMark/>
          </w:tcPr>
          <w:p w:rsidR="00B74AF8" w:rsidRPr="0033036C" w:rsidRDefault="00B74AF8" w:rsidP="0033036C">
            <w:pPr>
              <w:spacing w:before="40" w:after="40"/>
              <w:jc w:val="center"/>
              <w:rPr>
                <w:rFonts w:eastAsia="Times New Roman" w:cs="Times New Roman"/>
                <w:b/>
                <w:bCs/>
                <w:color w:val="000000"/>
                <w:sz w:val="20"/>
                <w:szCs w:val="20"/>
                <w:lang w:eastAsia="cs-CZ"/>
              </w:rPr>
            </w:pPr>
            <w:r w:rsidRPr="0033036C">
              <w:rPr>
                <w:rFonts w:eastAsia="Times New Roman" w:cs="Times New Roman"/>
                <w:b/>
                <w:bCs/>
                <w:color w:val="000000"/>
                <w:sz w:val="20"/>
                <w:szCs w:val="20"/>
                <w:lang w:eastAsia="cs-CZ"/>
              </w:rPr>
              <w:t>MV HZS</w:t>
            </w:r>
          </w:p>
        </w:tc>
        <w:tc>
          <w:tcPr>
            <w:tcW w:w="960" w:type="dxa"/>
            <w:tcBorders>
              <w:top w:val="single" w:sz="4" w:space="0" w:color="auto"/>
              <w:left w:val="nil"/>
              <w:bottom w:val="single" w:sz="4" w:space="0" w:color="auto"/>
              <w:right w:val="nil"/>
            </w:tcBorders>
            <w:shd w:val="clear" w:color="auto" w:fill="D9D9D9" w:themeFill="background1" w:themeFillShade="D9"/>
            <w:vAlign w:val="center"/>
            <w:hideMark/>
          </w:tcPr>
          <w:p w:rsidR="00B74AF8" w:rsidRPr="0033036C" w:rsidRDefault="00B74AF8" w:rsidP="0033036C">
            <w:pPr>
              <w:spacing w:before="40" w:after="40"/>
              <w:jc w:val="center"/>
              <w:rPr>
                <w:rFonts w:eastAsia="Times New Roman" w:cs="Times New Roman"/>
                <w:b/>
                <w:bCs/>
                <w:color w:val="000000"/>
                <w:sz w:val="20"/>
                <w:szCs w:val="20"/>
                <w:lang w:eastAsia="cs-CZ"/>
              </w:rPr>
            </w:pPr>
            <w:r w:rsidRPr="0033036C">
              <w:rPr>
                <w:rFonts w:eastAsia="Times New Roman" w:cs="Times New Roman"/>
                <w:b/>
                <w:bCs/>
                <w:color w:val="000000"/>
                <w:sz w:val="20"/>
                <w:szCs w:val="20"/>
                <w:lang w:eastAsia="cs-CZ"/>
              </w:rPr>
              <w:t>MV PČR KÚ</w:t>
            </w:r>
          </w:p>
        </w:tc>
        <w:tc>
          <w:tcPr>
            <w:tcW w:w="700" w:type="dxa"/>
            <w:tcBorders>
              <w:top w:val="single" w:sz="4" w:space="0" w:color="auto"/>
              <w:left w:val="single" w:sz="4" w:space="0" w:color="auto"/>
              <w:bottom w:val="single" w:sz="4" w:space="0" w:color="auto"/>
              <w:right w:val="nil"/>
            </w:tcBorders>
            <w:shd w:val="clear" w:color="auto" w:fill="D9D9D9" w:themeFill="background1" w:themeFillShade="D9"/>
            <w:vAlign w:val="center"/>
            <w:hideMark/>
          </w:tcPr>
          <w:p w:rsidR="00B74AF8" w:rsidRPr="0033036C" w:rsidRDefault="00B74AF8" w:rsidP="0033036C">
            <w:pPr>
              <w:spacing w:before="40" w:after="40"/>
              <w:jc w:val="center"/>
              <w:rPr>
                <w:rFonts w:eastAsia="Times New Roman" w:cs="Times New Roman"/>
                <w:b/>
                <w:bCs/>
                <w:color w:val="000000"/>
                <w:sz w:val="20"/>
                <w:szCs w:val="20"/>
                <w:lang w:eastAsia="cs-CZ"/>
              </w:rPr>
            </w:pPr>
            <w:r w:rsidRPr="0033036C">
              <w:rPr>
                <w:rFonts w:eastAsia="Times New Roman" w:cs="Times New Roman"/>
                <w:b/>
                <w:bCs/>
                <w:color w:val="000000"/>
                <w:sz w:val="20"/>
                <w:szCs w:val="20"/>
                <w:lang w:eastAsia="cs-CZ"/>
              </w:rPr>
              <w:t>MO</w:t>
            </w:r>
          </w:p>
        </w:tc>
        <w:tc>
          <w:tcPr>
            <w:tcW w:w="740" w:type="dxa"/>
            <w:tcBorders>
              <w:top w:val="single" w:sz="4" w:space="0" w:color="auto"/>
              <w:left w:val="nil"/>
              <w:bottom w:val="single" w:sz="4" w:space="0" w:color="auto"/>
              <w:right w:val="nil"/>
            </w:tcBorders>
            <w:shd w:val="clear" w:color="auto" w:fill="D9D9D9" w:themeFill="background1" w:themeFillShade="D9"/>
            <w:vAlign w:val="center"/>
            <w:hideMark/>
          </w:tcPr>
          <w:p w:rsidR="00B74AF8" w:rsidRPr="0033036C" w:rsidRDefault="00B74AF8" w:rsidP="0033036C">
            <w:pPr>
              <w:spacing w:before="40" w:after="40"/>
              <w:jc w:val="center"/>
              <w:rPr>
                <w:rFonts w:eastAsia="Times New Roman" w:cs="Times New Roman"/>
                <w:b/>
                <w:bCs/>
                <w:color w:val="000000"/>
                <w:sz w:val="20"/>
                <w:szCs w:val="20"/>
                <w:lang w:eastAsia="cs-CZ"/>
              </w:rPr>
            </w:pPr>
            <w:r w:rsidRPr="0033036C">
              <w:rPr>
                <w:rFonts w:eastAsia="Times New Roman" w:cs="Times New Roman"/>
                <w:b/>
                <w:bCs/>
                <w:color w:val="000000"/>
                <w:sz w:val="20"/>
                <w:szCs w:val="20"/>
                <w:lang w:eastAsia="cs-CZ"/>
              </w:rPr>
              <w:t>MO UO</w:t>
            </w:r>
          </w:p>
        </w:tc>
        <w:tc>
          <w:tcPr>
            <w:tcW w:w="740" w:type="dxa"/>
            <w:tcBorders>
              <w:top w:val="single" w:sz="4" w:space="0" w:color="auto"/>
              <w:left w:val="nil"/>
              <w:bottom w:val="single" w:sz="4" w:space="0" w:color="auto"/>
              <w:right w:val="nil"/>
            </w:tcBorders>
            <w:shd w:val="clear" w:color="auto" w:fill="D9D9D9" w:themeFill="background1" w:themeFillShade="D9"/>
            <w:vAlign w:val="center"/>
            <w:hideMark/>
          </w:tcPr>
          <w:p w:rsidR="00B74AF8" w:rsidRPr="0033036C" w:rsidRDefault="00B74AF8" w:rsidP="0033036C">
            <w:pPr>
              <w:spacing w:before="40" w:after="40"/>
              <w:jc w:val="center"/>
              <w:rPr>
                <w:rFonts w:eastAsia="Times New Roman" w:cs="Times New Roman"/>
                <w:b/>
                <w:bCs/>
                <w:color w:val="000000"/>
                <w:sz w:val="20"/>
                <w:szCs w:val="20"/>
                <w:lang w:eastAsia="cs-CZ"/>
              </w:rPr>
            </w:pPr>
            <w:r w:rsidRPr="0033036C">
              <w:rPr>
                <w:rFonts w:eastAsia="Times New Roman" w:cs="Times New Roman"/>
                <w:b/>
                <w:bCs/>
                <w:color w:val="000000"/>
                <w:sz w:val="20"/>
                <w:szCs w:val="20"/>
                <w:lang w:eastAsia="cs-CZ"/>
              </w:rPr>
              <w:t>MO VZÚ</w:t>
            </w:r>
          </w:p>
        </w:tc>
      </w:tr>
      <w:tr w:rsidR="00B74AF8" w:rsidRPr="0033036C" w:rsidTr="00C92786">
        <w:trPr>
          <w:trHeight w:val="225"/>
        </w:trPr>
        <w:tc>
          <w:tcPr>
            <w:tcW w:w="580" w:type="dxa"/>
            <w:tcBorders>
              <w:top w:val="nil"/>
              <w:left w:val="nil"/>
              <w:bottom w:val="nil"/>
              <w:right w:val="nil"/>
            </w:tcBorders>
            <w:shd w:val="clear" w:color="auto" w:fill="auto"/>
            <w:noWrap/>
            <w:vAlign w:val="bottom"/>
            <w:hideMark/>
          </w:tcPr>
          <w:p w:rsidR="00B74AF8" w:rsidRPr="0033036C" w:rsidRDefault="00B74AF8" w:rsidP="0033036C">
            <w:pPr>
              <w:spacing w:before="40" w:after="40"/>
              <w:jc w:val="center"/>
              <w:rPr>
                <w:rFonts w:eastAsia="Times New Roman" w:cs="Times New Roman"/>
                <w:color w:val="000000"/>
                <w:sz w:val="20"/>
                <w:szCs w:val="20"/>
                <w:lang w:eastAsia="cs-CZ"/>
              </w:rPr>
            </w:pPr>
            <w:r w:rsidRPr="0033036C">
              <w:rPr>
                <w:rFonts w:eastAsia="Times New Roman" w:cs="Times New Roman"/>
                <w:color w:val="000000"/>
                <w:sz w:val="20"/>
                <w:szCs w:val="20"/>
                <w:lang w:eastAsia="cs-CZ"/>
              </w:rPr>
              <w:t>2010</w:t>
            </w:r>
          </w:p>
        </w:tc>
        <w:tc>
          <w:tcPr>
            <w:tcW w:w="620" w:type="dxa"/>
            <w:tcBorders>
              <w:top w:val="nil"/>
              <w:left w:val="nil"/>
              <w:bottom w:val="nil"/>
              <w:right w:val="nil"/>
            </w:tcBorders>
            <w:shd w:val="clear" w:color="auto" w:fill="auto"/>
            <w:noWrap/>
            <w:vAlign w:val="bottom"/>
            <w:hideMark/>
          </w:tcPr>
          <w:p w:rsidR="00B74AF8" w:rsidRPr="0033036C" w:rsidRDefault="00B74AF8" w:rsidP="0033036C">
            <w:pPr>
              <w:spacing w:before="40" w:after="40"/>
              <w:ind w:left="-493" w:right="122"/>
              <w:jc w:val="right"/>
              <w:rPr>
                <w:rFonts w:eastAsia="Times New Roman" w:cs="Times New Roman"/>
                <w:b/>
                <w:bCs/>
                <w:color w:val="000000"/>
                <w:sz w:val="20"/>
                <w:szCs w:val="20"/>
                <w:lang w:eastAsia="cs-CZ"/>
              </w:rPr>
            </w:pPr>
            <w:r w:rsidRPr="0033036C">
              <w:rPr>
                <w:rFonts w:eastAsia="Times New Roman" w:cs="Times New Roman"/>
                <w:b/>
                <w:bCs/>
                <w:color w:val="000000"/>
                <w:sz w:val="20"/>
                <w:szCs w:val="20"/>
                <w:lang w:eastAsia="cs-CZ"/>
              </w:rPr>
              <w:t>101</w:t>
            </w:r>
          </w:p>
        </w:tc>
        <w:tc>
          <w:tcPr>
            <w:tcW w:w="620" w:type="dxa"/>
            <w:tcBorders>
              <w:top w:val="nil"/>
              <w:left w:val="nil"/>
              <w:bottom w:val="nil"/>
              <w:right w:val="nil"/>
            </w:tcBorders>
            <w:shd w:val="clear" w:color="auto" w:fill="auto"/>
            <w:noWrap/>
            <w:vAlign w:val="bottom"/>
            <w:hideMark/>
          </w:tcPr>
          <w:p w:rsidR="00B74AF8" w:rsidRPr="0033036C" w:rsidRDefault="00B74AF8" w:rsidP="0033036C">
            <w:pPr>
              <w:spacing w:before="40" w:after="40"/>
              <w:ind w:left="-688" w:right="175"/>
              <w:jc w:val="right"/>
              <w:rPr>
                <w:rFonts w:eastAsia="Times New Roman" w:cs="Times New Roman"/>
                <w:color w:val="000000"/>
                <w:sz w:val="20"/>
                <w:szCs w:val="20"/>
                <w:lang w:eastAsia="cs-CZ"/>
              </w:rPr>
            </w:pPr>
            <w:r w:rsidRPr="0033036C">
              <w:rPr>
                <w:rFonts w:eastAsia="Times New Roman" w:cs="Times New Roman"/>
                <w:color w:val="000000"/>
                <w:sz w:val="20"/>
                <w:szCs w:val="20"/>
                <w:lang w:eastAsia="cs-CZ"/>
              </w:rPr>
              <w:t>6</w:t>
            </w:r>
          </w:p>
        </w:tc>
        <w:tc>
          <w:tcPr>
            <w:tcW w:w="580" w:type="dxa"/>
            <w:tcBorders>
              <w:top w:val="nil"/>
              <w:left w:val="nil"/>
              <w:bottom w:val="nil"/>
              <w:right w:val="nil"/>
            </w:tcBorders>
            <w:shd w:val="clear" w:color="auto" w:fill="auto"/>
            <w:noWrap/>
            <w:vAlign w:val="bottom"/>
            <w:hideMark/>
          </w:tcPr>
          <w:p w:rsidR="00B74AF8" w:rsidRPr="0033036C" w:rsidRDefault="00B74AF8" w:rsidP="0033036C">
            <w:pPr>
              <w:spacing w:before="40" w:after="40"/>
              <w:ind w:left="-1024" w:right="188"/>
              <w:jc w:val="right"/>
              <w:rPr>
                <w:rFonts w:eastAsia="Times New Roman" w:cs="Times New Roman"/>
                <w:color w:val="000000"/>
                <w:sz w:val="20"/>
                <w:szCs w:val="20"/>
                <w:lang w:eastAsia="cs-CZ"/>
              </w:rPr>
            </w:pPr>
            <w:r w:rsidRPr="0033036C">
              <w:rPr>
                <w:rFonts w:eastAsia="Times New Roman" w:cs="Times New Roman"/>
                <w:color w:val="000000"/>
                <w:sz w:val="20"/>
                <w:szCs w:val="20"/>
                <w:lang w:eastAsia="cs-CZ"/>
              </w:rPr>
              <w:t>38</w:t>
            </w:r>
          </w:p>
        </w:tc>
        <w:tc>
          <w:tcPr>
            <w:tcW w:w="660" w:type="dxa"/>
            <w:tcBorders>
              <w:top w:val="nil"/>
              <w:left w:val="nil"/>
              <w:bottom w:val="nil"/>
              <w:right w:val="nil"/>
            </w:tcBorders>
            <w:shd w:val="clear" w:color="auto" w:fill="auto"/>
            <w:noWrap/>
            <w:vAlign w:val="bottom"/>
            <w:hideMark/>
          </w:tcPr>
          <w:p w:rsidR="00B74AF8" w:rsidRPr="0033036C" w:rsidRDefault="00B74AF8" w:rsidP="0033036C">
            <w:pPr>
              <w:spacing w:before="40" w:after="40"/>
              <w:jc w:val="left"/>
              <w:rPr>
                <w:rFonts w:eastAsia="Times New Roman" w:cs="Times New Roman"/>
                <w:color w:val="000000"/>
                <w:sz w:val="20"/>
                <w:szCs w:val="20"/>
                <w:lang w:eastAsia="cs-CZ"/>
              </w:rPr>
            </w:pPr>
            <w:r w:rsidRPr="0033036C">
              <w:rPr>
                <w:rFonts w:eastAsia="Times New Roman" w:cs="Times New Roman"/>
                <w:color w:val="000000"/>
                <w:sz w:val="20"/>
                <w:szCs w:val="20"/>
                <w:lang w:eastAsia="cs-CZ"/>
              </w:rPr>
              <w:t> </w:t>
            </w:r>
          </w:p>
        </w:tc>
        <w:tc>
          <w:tcPr>
            <w:tcW w:w="520" w:type="dxa"/>
            <w:tcBorders>
              <w:top w:val="nil"/>
              <w:left w:val="nil"/>
              <w:bottom w:val="nil"/>
              <w:right w:val="nil"/>
            </w:tcBorders>
            <w:shd w:val="clear" w:color="auto" w:fill="auto"/>
            <w:noWrap/>
            <w:vAlign w:val="bottom"/>
            <w:hideMark/>
          </w:tcPr>
          <w:p w:rsidR="00B74AF8" w:rsidRPr="0033036C" w:rsidRDefault="00B74AF8" w:rsidP="0033036C">
            <w:pPr>
              <w:spacing w:before="40" w:after="40"/>
              <w:ind w:left="-705" w:right="93"/>
              <w:jc w:val="right"/>
              <w:rPr>
                <w:rFonts w:eastAsia="Times New Roman" w:cs="Times New Roman"/>
                <w:color w:val="000000"/>
                <w:sz w:val="20"/>
                <w:szCs w:val="20"/>
                <w:lang w:eastAsia="cs-CZ"/>
              </w:rPr>
            </w:pPr>
            <w:r w:rsidRPr="0033036C">
              <w:rPr>
                <w:rFonts w:eastAsia="Times New Roman" w:cs="Times New Roman"/>
                <w:color w:val="000000"/>
                <w:sz w:val="20"/>
                <w:szCs w:val="20"/>
                <w:lang w:eastAsia="cs-CZ"/>
              </w:rPr>
              <w:t>1</w:t>
            </w:r>
          </w:p>
        </w:tc>
        <w:tc>
          <w:tcPr>
            <w:tcW w:w="620" w:type="dxa"/>
            <w:tcBorders>
              <w:top w:val="nil"/>
              <w:left w:val="nil"/>
              <w:bottom w:val="nil"/>
              <w:right w:val="single" w:sz="4" w:space="0" w:color="auto"/>
            </w:tcBorders>
            <w:shd w:val="clear" w:color="auto" w:fill="auto"/>
            <w:noWrap/>
            <w:vAlign w:val="bottom"/>
            <w:hideMark/>
          </w:tcPr>
          <w:p w:rsidR="00B74AF8" w:rsidRPr="0033036C" w:rsidRDefault="00B74AF8" w:rsidP="0033036C">
            <w:pPr>
              <w:spacing w:before="40" w:after="40"/>
              <w:ind w:left="-658" w:right="146"/>
              <w:jc w:val="right"/>
              <w:rPr>
                <w:rFonts w:eastAsia="Times New Roman" w:cs="Times New Roman"/>
                <w:color w:val="000000"/>
                <w:sz w:val="20"/>
                <w:szCs w:val="20"/>
                <w:lang w:eastAsia="cs-CZ"/>
              </w:rPr>
            </w:pPr>
            <w:r w:rsidRPr="0033036C">
              <w:rPr>
                <w:rFonts w:eastAsia="Times New Roman" w:cs="Times New Roman"/>
                <w:color w:val="000000"/>
                <w:sz w:val="20"/>
                <w:szCs w:val="20"/>
                <w:lang w:eastAsia="cs-CZ"/>
              </w:rPr>
              <w:t>57</w:t>
            </w:r>
          </w:p>
        </w:tc>
        <w:tc>
          <w:tcPr>
            <w:tcW w:w="620" w:type="dxa"/>
            <w:tcBorders>
              <w:top w:val="nil"/>
              <w:left w:val="nil"/>
              <w:bottom w:val="nil"/>
              <w:right w:val="nil"/>
            </w:tcBorders>
            <w:shd w:val="clear" w:color="auto" w:fill="auto"/>
            <w:noWrap/>
            <w:vAlign w:val="bottom"/>
            <w:hideMark/>
          </w:tcPr>
          <w:p w:rsidR="00B74AF8" w:rsidRPr="0033036C" w:rsidRDefault="00B74AF8" w:rsidP="0033036C">
            <w:pPr>
              <w:spacing w:before="40" w:after="40"/>
              <w:ind w:left="-853" w:right="199"/>
              <w:jc w:val="right"/>
              <w:rPr>
                <w:rFonts w:eastAsia="Times New Roman" w:cs="Times New Roman"/>
                <w:color w:val="000000"/>
                <w:sz w:val="20"/>
                <w:szCs w:val="20"/>
                <w:lang w:eastAsia="cs-CZ"/>
              </w:rPr>
            </w:pPr>
            <w:r w:rsidRPr="0033036C">
              <w:rPr>
                <w:rFonts w:eastAsia="Times New Roman" w:cs="Times New Roman"/>
                <w:color w:val="000000"/>
                <w:sz w:val="20"/>
                <w:szCs w:val="20"/>
                <w:lang w:eastAsia="cs-CZ"/>
              </w:rPr>
              <w:t>35</w:t>
            </w:r>
          </w:p>
        </w:tc>
        <w:tc>
          <w:tcPr>
            <w:tcW w:w="724" w:type="dxa"/>
            <w:tcBorders>
              <w:top w:val="nil"/>
              <w:left w:val="nil"/>
              <w:bottom w:val="nil"/>
              <w:right w:val="nil"/>
            </w:tcBorders>
            <w:shd w:val="clear" w:color="auto" w:fill="auto"/>
            <w:noWrap/>
            <w:vAlign w:val="bottom"/>
            <w:hideMark/>
          </w:tcPr>
          <w:p w:rsidR="00B74AF8" w:rsidRPr="0033036C" w:rsidRDefault="00B74AF8" w:rsidP="0033036C">
            <w:pPr>
              <w:tabs>
                <w:tab w:val="left" w:pos="654"/>
              </w:tabs>
              <w:spacing w:before="40" w:after="40"/>
              <w:ind w:left="-1331" w:right="214"/>
              <w:jc w:val="right"/>
              <w:rPr>
                <w:rFonts w:eastAsia="Times New Roman" w:cs="Times New Roman"/>
                <w:color w:val="000000"/>
                <w:sz w:val="20"/>
                <w:szCs w:val="20"/>
                <w:lang w:eastAsia="cs-CZ"/>
              </w:rPr>
            </w:pPr>
            <w:r w:rsidRPr="0033036C">
              <w:rPr>
                <w:rFonts w:eastAsia="Times New Roman" w:cs="Times New Roman"/>
                <w:color w:val="000000"/>
                <w:sz w:val="20"/>
                <w:szCs w:val="20"/>
                <w:lang w:eastAsia="cs-CZ"/>
              </w:rPr>
              <w:t>26</w:t>
            </w:r>
          </w:p>
        </w:tc>
        <w:tc>
          <w:tcPr>
            <w:tcW w:w="960" w:type="dxa"/>
            <w:tcBorders>
              <w:top w:val="nil"/>
              <w:left w:val="nil"/>
              <w:bottom w:val="nil"/>
              <w:right w:val="nil"/>
            </w:tcBorders>
            <w:shd w:val="clear" w:color="auto" w:fill="auto"/>
            <w:noWrap/>
            <w:vAlign w:val="bottom"/>
            <w:hideMark/>
          </w:tcPr>
          <w:p w:rsidR="00B74AF8" w:rsidRPr="0033036C" w:rsidRDefault="00B74AF8" w:rsidP="0033036C">
            <w:pPr>
              <w:tabs>
                <w:tab w:val="left" w:pos="459"/>
                <w:tab w:val="left" w:pos="820"/>
                <w:tab w:val="left" w:pos="1026"/>
              </w:tabs>
              <w:spacing w:before="40" w:after="40"/>
              <w:ind w:left="-1100" w:right="361"/>
              <w:jc w:val="right"/>
              <w:rPr>
                <w:rFonts w:eastAsia="Times New Roman" w:cs="Times New Roman"/>
                <w:color w:val="000000"/>
                <w:sz w:val="20"/>
                <w:szCs w:val="20"/>
                <w:lang w:eastAsia="cs-CZ"/>
              </w:rPr>
            </w:pPr>
            <w:r w:rsidRPr="0033036C">
              <w:rPr>
                <w:rFonts w:eastAsia="Times New Roman" w:cs="Times New Roman"/>
                <w:color w:val="000000"/>
                <w:sz w:val="20"/>
                <w:szCs w:val="20"/>
                <w:lang w:eastAsia="cs-CZ"/>
              </w:rPr>
              <w:t>9</w:t>
            </w:r>
          </w:p>
        </w:tc>
        <w:tc>
          <w:tcPr>
            <w:tcW w:w="700" w:type="dxa"/>
            <w:tcBorders>
              <w:top w:val="nil"/>
              <w:left w:val="single" w:sz="4" w:space="0" w:color="auto"/>
              <w:bottom w:val="nil"/>
              <w:right w:val="nil"/>
            </w:tcBorders>
            <w:shd w:val="clear" w:color="auto" w:fill="auto"/>
            <w:noWrap/>
            <w:vAlign w:val="bottom"/>
            <w:hideMark/>
          </w:tcPr>
          <w:p w:rsidR="00B74AF8" w:rsidRPr="0033036C" w:rsidRDefault="00B74AF8" w:rsidP="0033036C">
            <w:pPr>
              <w:spacing w:before="40" w:after="40"/>
              <w:jc w:val="left"/>
              <w:rPr>
                <w:rFonts w:eastAsia="Times New Roman" w:cs="Times New Roman"/>
                <w:color w:val="000000"/>
                <w:sz w:val="20"/>
                <w:szCs w:val="20"/>
                <w:lang w:eastAsia="cs-CZ"/>
              </w:rPr>
            </w:pPr>
            <w:r w:rsidRPr="0033036C">
              <w:rPr>
                <w:rFonts w:eastAsia="Times New Roman" w:cs="Times New Roman"/>
                <w:color w:val="000000"/>
                <w:sz w:val="20"/>
                <w:szCs w:val="20"/>
                <w:lang w:eastAsia="cs-CZ"/>
              </w:rPr>
              <w:t> </w:t>
            </w:r>
          </w:p>
        </w:tc>
        <w:tc>
          <w:tcPr>
            <w:tcW w:w="740" w:type="dxa"/>
            <w:tcBorders>
              <w:top w:val="nil"/>
              <w:left w:val="nil"/>
              <w:bottom w:val="nil"/>
              <w:right w:val="nil"/>
            </w:tcBorders>
            <w:shd w:val="clear" w:color="auto" w:fill="auto"/>
            <w:noWrap/>
            <w:vAlign w:val="bottom"/>
            <w:hideMark/>
          </w:tcPr>
          <w:p w:rsidR="00B74AF8" w:rsidRPr="0033036C" w:rsidRDefault="00B74AF8" w:rsidP="0033036C">
            <w:pPr>
              <w:spacing w:before="40" w:after="40"/>
              <w:jc w:val="left"/>
              <w:rPr>
                <w:rFonts w:eastAsia="Times New Roman" w:cs="Times New Roman"/>
                <w:color w:val="000000"/>
                <w:sz w:val="20"/>
                <w:szCs w:val="20"/>
                <w:lang w:eastAsia="cs-CZ"/>
              </w:rPr>
            </w:pPr>
            <w:r w:rsidRPr="0033036C">
              <w:rPr>
                <w:rFonts w:eastAsia="Times New Roman" w:cs="Times New Roman"/>
                <w:color w:val="000000"/>
                <w:sz w:val="20"/>
                <w:szCs w:val="20"/>
                <w:lang w:eastAsia="cs-CZ"/>
              </w:rPr>
              <w:t> </w:t>
            </w:r>
          </w:p>
        </w:tc>
        <w:tc>
          <w:tcPr>
            <w:tcW w:w="740" w:type="dxa"/>
            <w:tcBorders>
              <w:top w:val="nil"/>
              <w:left w:val="nil"/>
              <w:bottom w:val="nil"/>
              <w:right w:val="nil"/>
            </w:tcBorders>
            <w:shd w:val="clear" w:color="auto" w:fill="auto"/>
            <w:noWrap/>
            <w:vAlign w:val="bottom"/>
            <w:hideMark/>
          </w:tcPr>
          <w:p w:rsidR="00B74AF8" w:rsidRPr="0033036C" w:rsidRDefault="00B74AF8" w:rsidP="0033036C">
            <w:pPr>
              <w:spacing w:before="40" w:after="40"/>
              <w:ind w:left="-486" w:right="235"/>
              <w:jc w:val="left"/>
              <w:rPr>
                <w:rFonts w:eastAsia="Times New Roman" w:cs="Times New Roman"/>
                <w:color w:val="000000"/>
                <w:sz w:val="20"/>
                <w:szCs w:val="20"/>
                <w:lang w:eastAsia="cs-CZ"/>
              </w:rPr>
            </w:pPr>
            <w:r w:rsidRPr="0033036C">
              <w:rPr>
                <w:rFonts w:eastAsia="Times New Roman" w:cs="Times New Roman"/>
                <w:color w:val="000000"/>
                <w:sz w:val="20"/>
                <w:szCs w:val="20"/>
                <w:lang w:eastAsia="cs-CZ"/>
              </w:rPr>
              <w:t> </w:t>
            </w:r>
          </w:p>
        </w:tc>
      </w:tr>
      <w:tr w:rsidR="00B74AF8" w:rsidRPr="0033036C" w:rsidTr="00C92786">
        <w:trPr>
          <w:trHeight w:val="225"/>
        </w:trPr>
        <w:tc>
          <w:tcPr>
            <w:tcW w:w="580" w:type="dxa"/>
            <w:tcBorders>
              <w:top w:val="nil"/>
              <w:left w:val="nil"/>
              <w:bottom w:val="nil"/>
              <w:right w:val="nil"/>
            </w:tcBorders>
            <w:shd w:val="clear" w:color="auto" w:fill="auto"/>
            <w:noWrap/>
            <w:vAlign w:val="bottom"/>
            <w:hideMark/>
          </w:tcPr>
          <w:p w:rsidR="00B74AF8" w:rsidRPr="0033036C" w:rsidRDefault="00B74AF8" w:rsidP="0033036C">
            <w:pPr>
              <w:spacing w:before="40" w:after="40"/>
              <w:jc w:val="center"/>
              <w:rPr>
                <w:rFonts w:eastAsia="Times New Roman" w:cs="Times New Roman"/>
                <w:color w:val="000000"/>
                <w:sz w:val="20"/>
                <w:szCs w:val="20"/>
                <w:lang w:eastAsia="cs-CZ"/>
              </w:rPr>
            </w:pPr>
            <w:r w:rsidRPr="0033036C">
              <w:rPr>
                <w:rFonts w:eastAsia="Times New Roman" w:cs="Times New Roman"/>
                <w:color w:val="000000"/>
                <w:sz w:val="20"/>
                <w:szCs w:val="20"/>
                <w:lang w:eastAsia="cs-CZ"/>
              </w:rPr>
              <w:t>2011</w:t>
            </w:r>
          </w:p>
        </w:tc>
        <w:tc>
          <w:tcPr>
            <w:tcW w:w="620" w:type="dxa"/>
            <w:tcBorders>
              <w:top w:val="nil"/>
              <w:left w:val="nil"/>
              <w:bottom w:val="nil"/>
              <w:right w:val="nil"/>
            </w:tcBorders>
            <w:shd w:val="clear" w:color="auto" w:fill="auto"/>
            <w:noWrap/>
            <w:vAlign w:val="bottom"/>
            <w:hideMark/>
          </w:tcPr>
          <w:p w:rsidR="00B74AF8" w:rsidRPr="0033036C" w:rsidRDefault="00B74AF8" w:rsidP="0033036C">
            <w:pPr>
              <w:spacing w:before="40" w:after="40"/>
              <w:ind w:left="-493" w:right="122"/>
              <w:jc w:val="right"/>
              <w:rPr>
                <w:rFonts w:eastAsia="Times New Roman" w:cs="Times New Roman"/>
                <w:b/>
                <w:bCs/>
                <w:color w:val="000000"/>
                <w:sz w:val="20"/>
                <w:szCs w:val="20"/>
                <w:lang w:eastAsia="cs-CZ"/>
              </w:rPr>
            </w:pPr>
            <w:r w:rsidRPr="0033036C">
              <w:rPr>
                <w:rFonts w:eastAsia="Times New Roman" w:cs="Times New Roman"/>
                <w:b/>
                <w:bCs/>
                <w:color w:val="000000"/>
                <w:sz w:val="20"/>
                <w:szCs w:val="20"/>
                <w:lang w:eastAsia="cs-CZ"/>
              </w:rPr>
              <w:t>368</w:t>
            </w:r>
          </w:p>
        </w:tc>
        <w:tc>
          <w:tcPr>
            <w:tcW w:w="620" w:type="dxa"/>
            <w:tcBorders>
              <w:top w:val="nil"/>
              <w:left w:val="nil"/>
              <w:bottom w:val="nil"/>
              <w:right w:val="nil"/>
            </w:tcBorders>
            <w:shd w:val="clear" w:color="auto" w:fill="auto"/>
            <w:noWrap/>
            <w:vAlign w:val="bottom"/>
            <w:hideMark/>
          </w:tcPr>
          <w:p w:rsidR="00B74AF8" w:rsidRPr="0033036C" w:rsidRDefault="00B74AF8" w:rsidP="0033036C">
            <w:pPr>
              <w:spacing w:before="40" w:after="40"/>
              <w:ind w:left="-688" w:right="175"/>
              <w:jc w:val="right"/>
              <w:rPr>
                <w:rFonts w:eastAsia="Times New Roman" w:cs="Times New Roman"/>
                <w:color w:val="000000"/>
                <w:sz w:val="20"/>
                <w:szCs w:val="20"/>
                <w:lang w:eastAsia="cs-CZ"/>
              </w:rPr>
            </w:pPr>
            <w:r w:rsidRPr="0033036C">
              <w:rPr>
                <w:rFonts w:eastAsia="Times New Roman" w:cs="Times New Roman"/>
                <w:color w:val="000000"/>
                <w:sz w:val="20"/>
                <w:szCs w:val="20"/>
                <w:lang w:eastAsia="cs-CZ"/>
              </w:rPr>
              <w:t>32</w:t>
            </w:r>
          </w:p>
        </w:tc>
        <w:tc>
          <w:tcPr>
            <w:tcW w:w="580" w:type="dxa"/>
            <w:tcBorders>
              <w:top w:val="nil"/>
              <w:left w:val="nil"/>
              <w:bottom w:val="nil"/>
              <w:right w:val="nil"/>
            </w:tcBorders>
            <w:shd w:val="clear" w:color="auto" w:fill="auto"/>
            <w:noWrap/>
            <w:vAlign w:val="bottom"/>
            <w:hideMark/>
          </w:tcPr>
          <w:p w:rsidR="00B74AF8" w:rsidRPr="0033036C" w:rsidRDefault="00B74AF8" w:rsidP="0033036C">
            <w:pPr>
              <w:spacing w:before="40" w:after="40"/>
              <w:ind w:left="-1024" w:right="188"/>
              <w:jc w:val="right"/>
              <w:rPr>
                <w:rFonts w:eastAsia="Times New Roman" w:cs="Times New Roman"/>
                <w:color w:val="000000"/>
                <w:sz w:val="20"/>
                <w:szCs w:val="20"/>
                <w:lang w:eastAsia="cs-CZ"/>
              </w:rPr>
            </w:pPr>
            <w:r w:rsidRPr="0033036C">
              <w:rPr>
                <w:rFonts w:eastAsia="Times New Roman" w:cs="Times New Roman"/>
                <w:color w:val="000000"/>
                <w:sz w:val="20"/>
                <w:szCs w:val="20"/>
                <w:lang w:eastAsia="cs-CZ"/>
              </w:rPr>
              <w:t>46</w:t>
            </w:r>
          </w:p>
        </w:tc>
        <w:tc>
          <w:tcPr>
            <w:tcW w:w="660" w:type="dxa"/>
            <w:tcBorders>
              <w:top w:val="nil"/>
              <w:left w:val="nil"/>
              <w:bottom w:val="nil"/>
              <w:right w:val="nil"/>
            </w:tcBorders>
            <w:shd w:val="clear" w:color="auto" w:fill="auto"/>
            <w:noWrap/>
            <w:vAlign w:val="bottom"/>
            <w:hideMark/>
          </w:tcPr>
          <w:p w:rsidR="00B74AF8" w:rsidRPr="0033036C" w:rsidRDefault="00B74AF8" w:rsidP="0033036C">
            <w:pPr>
              <w:spacing w:before="40" w:after="40"/>
              <w:ind w:left="-612" w:right="140"/>
              <w:jc w:val="right"/>
              <w:rPr>
                <w:rFonts w:eastAsia="Times New Roman" w:cs="Times New Roman"/>
                <w:color w:val="000000"/>
                <w:sz w:val="20"/>
                <w:szCs w:val="20"/>
                <w:lang w:eastAsia="cs-CZ"/>
              </w:rPr>
            </w:pPr>
            <w:r w:rsidRPr="0033036C">
              <w:rPr>
                <w:rFonts w:eastAsia="Times New Roman" w:cs="Times New Roman"/>
                <w:color w:val="000000"/>
                <w:sz w:val="20"/>
                <w:szCs w:val="20"/>
                <w:lang w:eastAsia="cs-CZ"/>
              </w:rPr>
              <w:t>10</w:t>
            </w:r>
          </w:p>
        </w:tc>
        <w:tc>
          <w:tcPr>
            <w:tcW w:w="520" w:type="dxa"/>
            <w:tcBorders>
              <w:top w:val="nil"/>
              <w:left w:val="nil"/>
              <w:bottom w:val="nil"/>
              <w:right w:val="nil"/>
            </w:tcBorders>
            <w:shd w:val="clear" w:color="auto" w:fill="auto"/>
            <w:noWrap/>
            <w:vAlign w:val="bottom"/>
            <w:hideMark/>
          </w:tcPr>
          <w:p w:rsidR="00B74AF8" w:rsidRPr="0033036C" w:rsidRDefault="00B74AF8" w:rsidP="0033036C">
            <w:pPr>
              <w:spacing w:before="40" w:after="40"/>
              <w:ind w:left="-705" w:right="93"/>
              <w:jc w:val="right"/>
              <w:rPr>
                <w:rFonts w:eastAsia="Times New Roman" w:cs="Times New Roman"/>
                <w:color w:val="000000"/>
                <w:sz w:val="20"/>
                <w:szCs w:val="20"/>
                <w:lang w:eastAsia="cs-CZ"/>
              </w:rPr>
            </w:pPr>
            <w:r w:rsidRPr="0033036C">
              <w:rPr>
                <w:rFonts w:eastAsia="Times New Roman" w:cs="Times New Roman"/>
                <w:color w:val="000000"/>
                <w:sz w:val="20"/>
                <w:szCs w:val="20"/>
                <w:lang w:eastAsia="cs-CZ"/>
              </w:rPr>
              <w:t>75</w:t>
            </w:r>
          </w:p>
        </w:tc>
        <w:tc>
          <w:tcPr>
            <w:tcW w:w="620" w:type="dxa"/>
            <w:tcBorders>
              <w:top w:val="nil"/>
              <w:left w:val="nil"/>
              <w:bottom w:val="nil"/>
              <w:right w:val="single" w:sz="4" w:space="0" w:color="auto"/>
            </w:tcBorders>
            <w:shd w:val="clear" w:color="auto" w:fill="auto"/>
            <w:noWrap/>
            <w:vAlign w:val="bottom"/>
            <w:hideMark/>
          </w:tcPr>
          <w:p w:rsidR="00B74AF8" w:rsidRPr="0033036C" w:rsidRDefault="00B74AF8" w:rsidP="0033036C">
            <w:pPr>
              <w:spacing w:before="40" w:after="40"/>
              <w:ind w:left="-658" w:right="146"/>
              <w:jc w:val="right"/>
              <w:rPr>
                <w:rFonts w:eastAsia="Times New Roman" w:cs="Times New Roman"/>
                <w:color w:val="000000"/>
                <w:sz w:val="20"/>
                <w:szCs w:val="20"/>
                <w:lang w:eastAsia="cs-CZ"/>
              </w:rPr>
            </w:pPr>
            <w:r w:rsidRPr="0033036C">
              <w:rPr>
                <w:rFonts w:eastAsia="Times New Roman" w:cs="Times New Roman"/>
                <w:color w:val="000000"/>
                <w:sz w:val="20"/>
                <w:szCs w:val="20"/>
                <w:lang w:eastAsia="cs-CZ"/>
              </w:rPr>
              <w:t>207</w:t>
            </w:r>
          </w:p>
        </w:tc>
        <w:tc>
          <w:tcPr>
            <w:tcW w:w="620" w:type="dxa"/>
            <w:tcBorders>
              <w:top w:val="nil"/>
              <w:left w:val="nil"/>
              <w:bottom w:val="nil"/>
              <w:right w:val="nil"/>
            </w:tcBorders>
            <w:shd w:val="clear" w:color="auto" w:fill="auto"/>
            <w:noWrap/>
            <w:vAlign w:val="bottom"/>
            <w:hideMark/>
          </w:tcPr>
          <w:p w:rsidR="00B74AF8" w:rsidRPr="0033036C" w:rsidRDefault="00B74AF8" w:rsidP="0033036C">
            <w:pPr>
              <w:spacing w:before="40" w:after="40"/>
              <w:ind w:left="-853" w:right="199"/>
              <w:jc w:val="right"/>
              <w:rPr>
                <w:rFonts w:eastAsia="Times New Roman" w:cs="Times New Roman"/>
                <w:color w:val="000000"/>
                <w:sz w:val="20"/>
                <w:szCs w:val="20"/>
                <w:lang w:eastAsia="cs-CZ"/>
              </w:rPr>
            </w:pPr>
            <w:r w:rsidRPr="0033036C">
              <w:rPr>
                <w:rFonts w:eastAsia="Times New Roman" w:cs="Times New Roman"/>
                <w:color w:val="000000"/>
                <w:sz w:val="20"/>
                <w:szCs w:val="20"/>
                <w:lang w:eastAsia="cs-CZ"/>
              </w:rPr>
              <w:t>26</w:t>
            </w:r>
          </w:p>
        </w:tc>
        <w:tc>
          <w:tcPr>
            <w:tcW w:w="724" w:type="dxa"/>
            <w:tcBorders>
              <w:top w:val="nil"/>
              <w:left w:val="nil"/>
              <w:bottom w:val="nil"/>
              <w:right w:val="nil"/>
            </w:tcBorders>
            <w:shd w:val="clear" w:color="auto" w:fill="auto"/>
            <w:noWrap/>
            <w:vAlign w:val="bottom"/>
            <w:hideMark/>
          </w:tcPr>
          <w:p w:rsidR="00B74AF8" w:rsidRPr="0033036C" w:rsidRDefault="00B74AF8" w:rsidP="0033036C">
            <w:pPr>
              <w:tabs>
                <w:tab w:val="left" w:pos="654"/>
              </w:tabs>
              <w:spacing w:before="40" w:after="40"/>
              <w:ind w:left="-1331" w:right="214"/>
              <w:jc w:val="right"/>
              <w:rPr>
                <w:rFonts w:eastAsia="Times New Roman" w:cs="Times New Roman"/>
                <w:color w:val="000000"/>
                <w:sz w:val="20"/>
                <w:szCs w:val="20"/>
                <w:lang w:eastAsia="cs-CZ"/>
              </w:rPr>
            </w:pPr>
            <w:r w:rsidRPr="0033036C">
              <w:rPr>
                <w:rFonts w:eastAsia="Times New Roman" w:cs="Times New Roman"/>
                <w:color w:val="000000"/>
                <w:sz w:val="20"/>
                <w:szCs w:val="20"/>
                <w:lang w:eastAsia="cs-CZ"/>
              </w:rPr>
              <w:t>23</w:t>
            </w:r>
          </w:p>
        </w:tc>
        <w:tc>
          <w:tcPr>
            <w:tcW w:w="960" w:type="dxa"/>
            <w:tcBorders>
              <w:top w:val="nil"/>
              <w:left w:val="nil"/>
              <w:bottom w:val="nil"/>
              <w:right w:val="nil"/>
            </w:tcBorders>
            <w:shd w:val="clear" w:color="auto" w:fill="auto"/>
            <w:noWrap/>
            <w:vAlign w:val="bottom"/>
            <w:hideMark/>
          </w:tcPr>
          <w:p w:rsidR="00B74AF8" w:rsidRPr="0033036C" w:rsidRDefault="00B74AF8" w:rsidP="0033036C">
            <w:pPr>
              <w:tabs>
                <w:tab w:val="left" w:pos="459"/>
                <w:tab w:val="left" w:pos="820"/>
                <w:tab w:val="left" w:pos="1026"/>
              </w:tabs>
              <w:spacing w:before="40" w:after="40"/>
              <w:ind w:left="-1100" w:right="361"/>
              <w:jc w:val="right"/>
              <w:rPr>
                <w:rFonts w:eastAsia="Times New Roman" w:cs="Times New Roman"/>
                <w:color w:val="000000"/>
                <w:sz w:val="20"/>
                <w:szCs w:val="20"/>
                <w:lang w:eastAsia="cs-CZ"/>
              </w:rPr>
            </w:pPr>
            <w:r w:rsidRPr="0033036C">
              <w:rPr>
                <w:rFonts w:eastAsia="Times New Roman" w:cs="Times New Roman"/>
                <w:color w:val="000000"/>
                <w:sz w:val="20"/>
                <w:szCs w:val="20"/>
                <w:lang w:eastAsia="cs-CZ"/>
              </w:rPr>
              <w:t>3</w:t>
            </w:r>
          </w:p>
        </w:tc>
        <w:tc>
          <w:tcPr>
            <w:tcW w:w="700" w:type="dxa"/>
            <w:tcBorders>
              <w:top w:val="nil"/>
              <w:left w:val="single" w:sz="4" w:space="0" w:color="auto"/>
              <w:bottom w:val="nil"/>
              <w:right w:val="nil"/>
            </w:tcBorders>
            <w:shd w:val="clear" w:color="auto" w:fill="auto"/>
            <w:noWrap/>
            <w:vAlign w:val="bottom"/>
            <w:hideMark/>
          </w:tcPr>
          <w:p w:rsidR="00B74AF8" w:rsidRPr="0033036C" w:rsidRDefault="00B74AF8" w:rsidP="0033036C">
            <w:pPr>
              <w:spacing w:before="40" w:after="40"/>
              <w:ind w:left="-889" w:right="173"/>
              <w:jc w:val="right"/>
              <w:rPr>
                <w:rFonts w:eastAsia="Times New Roman" w:cs="Times New Roman"/>
                <w:color w:val="000000"/>
                <w:sz w:val="20"/>
                <w:szCs w:val="20"/>
                <w:lang w:eastAsia="cs-CZ"/>
              </w:rPr>
            </w:pPr>
            <w:r w:rsidRPr="0033036C">
              <w:rPr>
                <w:rFonts w:eastAsia="Times New Roman" w:cs="Times New Roman"/>
                <w:color w:val="000000"/>
                <w:sz w:val="20"/>
                <w:szCs w:val="20"/>
                <w:lang w:eastAsia="cs-CZ"/>
              </w:rPr>
              <w:t>17</w:t>
            </w:r>
          </w:p>
        </w:tc>
        <w:tc>
          <w:tcPr>
            <w:tcW w:w="740" w:type="dxa"/>
            <w:tcBorders>
              <w:top w:val="nil"/>
              <w:left w:val="nil"/>
              <w:bottom w:val="nil"/>
              <w:right w:val="nil"/>
            </w:tcBorders>
            <w:shd w:val="clear" w:color="auto" w:fill="auto"/>
            <w:noWrap/>
            <w:vAlign w:val="bottom"/>
            <w:hideMark/>
          </w:tcPr>
          <w:p w:rsidR="00B74AF8" w:rsidRPr="0033036C" w:rsidRDefault="00B74AF8" w:rsidP="0033036C">
            <w:pPr>
              <w:spacing w:before="40" w:after="40"/>
              <w:ind w:left="-880" w:right="204"/>
              <w:jc w:val="right"/>
              <w:rPr>
                <w:rFonts w:eastAsia="Times New Roman" w:cs="Times New Roman"/>
                <w:color w:val="000000"/>
                <w:sz w:val="20"/>
                <w:szCs w:val="20"/>
                <w:lang w:eastAsia="cs-CZ"/>
              </w:rPr>
            </w:pPr>
            <w:r w:rsidRPr="0033036C">
              <w:rPr>
                <w:rFonts w:eastAsia="Times New Roman" w:cs="Times New Roman"/>
                <w:color w:val="000000"/>
                <w:sz w:val="20"/>
                <w:szCs w:val="20"/>
                <w:lang w:eastAsia="cs-CZ"/>
              </w:rPr>
              <w:t>17</w:t>
            </w:r>
          </w:p>
        </w:tc>
        <w:tc>
          <w:tcPr>
            <w:tcW w:w="740" w:type="dxa"/>
            <w:tcBorders>
              <w:top w:val="nil"/>
              <w:left w:val="nil"/>
              <w:bottom w:val="nil"/>
              <w:right w:val="nil"/>
            </w:tcBorders>
            <w:shd w:val="clear" w:color="auto" w:fill="auto"/>
            <w:noWrap/>
            <w:vAlign w:val="bottom"/>
            <w:hideMark/>
          </w:tcPr>
          <w:p w:rsidR="00B74AF8" w:rsidRPr="0033036C" w:rsidRDefault="00B74AF8" w:rsidP="0033036C">
            <w:pPr>
              <w:spacing w:before="40" w:after="40"/>
              <w:ind w:left="-486" w:right="235"/>
              <w:jc w:val="left"/>
              <w:rPr>
                <w:rFonts w:eastAsia="Times New Roman" w:cs="Times New Roman"/>
                <w:color w:val="000000"/>
                <w:sz w:val="20"/>
                <w:szCs w:val="20"/>
                <w:lang w:eastAsia="cs-CZ"/>
              </w:rPr>
            </w:pPr>
          </w:p>
        </w:tc>
      </w:tr>
      <w:tr w:rsidR="00B74AF8" w:rsidRPr="0033036C" w:rsidTr="00C92786">
        <w:trPr>
          <w:trHeight w:val="225"/>
        </w:trPr>
        <w:tc>
          <w:tcPr>
            <w:tcW w:w="580" w:type="dxa"/>
            <w:tcBorders>
              <w:top w:val="nil"/>
              <w:left w:val="nil"/>
              <w:bottom w:val="nil"/>
              <w:right w:val="nil"/>
            </w:tcBorders>
            <w:shd w:val="clear" w:color="auto" w:fill="auto"/>
            <w:noWrap/>
            <w:vAlign w:val="bottom"/>
            <w:hideMark/>
          </w:tcPr>
          <w:p w:rsidR="00B74AF8" w:rsidRPr="0033036C" w:rsidRDefault="00B74AF8" w:rsidP="0033036C">
            <w:pPr>
              <w:spacing w:before="40" w:after="40"/>
              <w:jc w:val="center"/>
              <w:rPr>
                <w:rFonts w:eastAsia="Times New Roman" w:cs="Times New Roman"/>
                <w:color w:val="000000"/>
                <w:sz w:val="20"/>
                <w:szCs w:val="20"/>
                <w:lang w:eastAsia="cs-CZ"/>
              </w:rPr>
            </w:pPr>
            <w:r w:rsidRPr="0033036C">
              <w:rPr>
                <w:rFonts w:eastAsia="Times New Roman" w:cs="Times New Roman"/>
                <w:color w:val="000000"/>
                <w:sz w:val="20"/>
                <w:szCs w:val="20"/>
                <w:lang w:eastAsia="cs-CZ"/>
              </w:rPr>
              <w:t>2012</w:t>
            </w:r>
          </w:p>
        </w:tc>
        <w:tc>
          <w:tcPr>
            <w:tcW w:w="620" w:type="dxa"/>
            <w:tcBorders>
              <w:top w:val="nil"/>
              <w:left w:val="nil"/>
              <w:bottom w:val="nil"/>
              <w:right w:val="nil"/>
            </w:tcBorders>
            <w:shd w:val="clear" w:color="auto" w:fill="auto"/>
            <w:noWrap/>
            <w:vAlign w:val="bottom"/>
            <w:hideMark/>
          </w:tcPr>
          <w:p w:rsidR="00B74AF8" w:rsidRPr="0033036C" w:rsidRDefault="00B74AF8" w:rsidP="0033036C">
            <w:pPr>
              <w:spacing w:before="40" w:after="40"/>
              <w:ind w:left="-493" w:right="122"/>
              <w:jc w:val="right"/>
              <w:rPr>
                <w:rFonts w:eastAsia="Times New Roman" w:cs="Times New Roman"/>
                <w:b/>
                <w:bCs/>
                <w:color w:val="000000"/>
                <w:sz w:val="20"/>
                <w:szCs w:val="20"/>
                <w:lang w:eastAsia="cs-CZ"/>
              </w:rPr>
            </w:pPr>
            <w:r w:rsidRPr="0033036C">
              <w:rPr>
                <w:rFonts w:eastAsia="Times New Roman" w:cs="Times New Roman"/>
                <w:b/>
                <w:bCs/>
                <w:color w:val="000000"/>
                <w:sz w:val="20"/>
                <w:szCs w:val="20"/>
                <w:lang w:eastAsia="cs-CZ"/>
              </w:rPr>
              <w:t>665</w:t>
            </w:r>
          </w:p>
        </w:tc>
        <w:tc>
          <w:tcPr>
            <w:tcW w:w="620" w:type="dxa"/>
            <w:tcBorders>
              <w:top w:val="nil"/>
              <w:left w:val="nil"/>
              <w:bottom w:val="nil"/>
              <w:right w:val="nil"/>
            </w:tcBorders>
            <w:shd w:val="clear" w:color="auto" w:fill="auto"/>
            <w:noWrap/>
            <w:vAlign w:val="bottom"/>
            <w:hideMark/>
          </w:tcPr>
          <w:p w:rsidR="00B74AF8" w:rsidRPr="0033036C" w:rsidRDefault="00B74AF8" w:rsidP="0033036C">
            <w:pPr>
              <w:spacing w:before="40" w:after="40"/>
              <w:ind w:left="-688" w:right="175"/>
              <w:jc w:val="right"/>
              <w:rPr>
                <w:rFonts w:eastAsia="Times New Roman" w:cs="Times New Roman"/>
                <w:color w:val="000000"/>
                <w:sz w:val="20"/>
                <w:szCs w:val="20"/>
                <w:lang w:eastAsia="cs-CZ"/>
              </w:rPr>
            </w:pPr>
            <w:r w:rsidRPr="0033036C">
              <w:rPr>
                <w:rFonts w:eastAsia="Times New Roman" w:cs="Times New Roman"/>
                <w:color w:val="000000"/>
                <w:sz w:val="20"/>
                <w:szCs w:val="20"/>
                <w:lang w:eastAsia="cs-CZ"/>
              </w:rPr>
              <w:t>60</w:t>
            </w:r>
          </w:p>
        </w:tc>
        <w:tc>
          <w:tcPr>
            <w:tcW w:w="580" w:type="dxa"/>
            <w:tcBorders>
              <w:top w:val="nil"/>
              <w:left w:val="nil"/>
              <w:bottom w:val="nil"/>
              <w:right w:val="nil"/>
            </w:tcBorders>
            <w:shd w:val="clear" w:color="auto" w:fill="auto"/>
            <w:noWrap/>
            <w:vAlign w:val="bottom"/>
            <w:hideMark/>
          </w:tcPr>
          <w:p w:rsidR="00B74AF8" w:rsidRPr="0033036C" w:rsidRDefault="00B74AF8" w:rsidP="0033036C">
            <w:pPr>
              <w:spacing w:before="40" w:after="40"/>
              <w:ind w:left="-1024" w:right="188"/>
              <w:jc w:val="right"/>
              <w:rPr>
                <w:rFonts w:eastAsia="Times New Roman" w:cs="Times New Roman"/>
                <w:color w:val="000000"/>
                <w:sz w:val="20"/>
                <w:szCs w:val="20"/>
                <w:lang w:eastAsia="cs-CZ"/>
              </w:rPr>
            </w:pPr>
            <w:r w:rsidRPr="0033036C">
              <w:rPr>
                <w:rFonts w:eastAsia="Times New Roman" w:cs="Times New Roman"/>
                <w:color w:val="000000"/>
                <w:sz w:val="20"/>
                <w:szCs w:val="20"/>
                <w:lang w:eastAsia="cs-CZ"/>
              </w:rPr>
              <w:t>76</w:t>
            </w:r>
          </w:p>
        </w:tc>
        <w:tc>
          <w:tcPr>
            <w:tcW w:w="660" w:type="dxa"/>
            <w:tcBorders>
              <w:top w:val="nil"/>
              <w:left w:val="nil"/>
              <w:bottom w:val="nil"/>
              <w:right w:val="nil"/>
            </w:tcBorders>
            <w:shd w:val="clear" w:color="auto" w:fill="auto"/>
            <w:noWrap/>
            <w:vAlign w:val="bottom"/>
            <w:hideMark/>
          </w:tcPr>
          <w:p w:rsidR="00B74AF8" w:rsidRPr="0033036C" w:rsidRDefault="00B74AF8" w:rsidP="0033036C">
            <w:pPr>
              <w:spacing w:before="40" w:after="40"/>
              <w:ind w:left="-612" w:right="140"/>
              <w:jc w:val="right"/>
              <w:rPr>
                <w:rFonts w:eastAsia="Times New Roman" w:cs="Times New Roman"/>
                <w:color w:val="000000"/>
                <w:sz w:val="20"/>
                <w:szCs w:val="20"/>
                <w:lang w:eastAsia="cs-CZ"/>
              </w:rPr>
            </w:pPr>
            <w:r w:rsidRPr="0033036C">
              <w:rPr>
                <w:rFonts w:eastAsia="Times New Roman" w:cs="Times New Roman"/>
                <w:color w:val="000000"/>
                <w:sz w:val="20"/>
                <w:szCs w:val="20"/>
                <w:lang w:eastAsia="cs-CZ"/>
              </w:rPr>
              <w:t>18</w:t>
            </w:r>
          </w:p>
        </w:tc>
        <w:tc>
          <w:tcPr>
            <w:tcW w:w="520" w:type="dxa"/>
            <w:tcBorders>
              <w:top w:val="nil"/>
              <w:left w:val="nil"/>
              <w:bottom w:val="nil"/>
              <w:right w:val="nil"/>
            </w:tcBorders>
            <w:shd w:val="clear" w:color="auto" w:fill="auto"/>
            <w:noWrap/>
            <w:vAlign w:val="bottom"/>
            <w:hideMark/>
          </w:tcPr>
          <w:p w:rsidR="00B74AF8" w:rsidRPr="0033036C" w:rsidRDefault="00B74AF8" w:rsidP="0033036C">
            <w:pPr>
              <w:spacing w:before="40" w:after="40"/>
              <w:ind w:left="-705" w:right="93"/>
              <w:jc w:val="right"/>
              <w:rPr>
                <w:rFonts w:eastAsia="Times New Roman" w:cs="Times New Roman"/>
                <w:color w:val="000000"/>
                <w:sz w:val="20"/>
                <w:szCs w:val="20"/>
                <w:lang w:eastAsia="cs-CZ"/>
              </w:rPr>
            </w:pPr>
            <w:r w:rsidRPr="0033036C">
              <w:rPr>
                <w:rFonts w:eastAsia="Times New Roman" w:cs="Times New Roman"/>
                <w:color w:val="000000"/>
                <w:sz w:val="20"/>
                <w:szCs w:val="20"/>
                <w:lang w:eastAsia="cs-CZ"/>
              </w:rPr>
              <w:t>150</w:t>
            </w:r>
          </w:p>
        </w:tc>
        <w:tc>
          <w:tcPr>
            <w:tcW w:w="620" w:type="dxa"/>
            <w:tcBorders>
              <w:top w:val="nil"/>
              <w:left w:val="nil"/>
              <w:bottom w:val="nil"/>
              <w:right w:val="single" w:sz="4" w:space="0" w:color="auto"/>
            </w:tcBorders>
            <w:shd w:val="clear" w:color="auto" w:fill="auto"/>
            <w:noWrap/>
            <w:vAlign w:val="bottom"/>
            <w:hideMark/>
          </w:tcPr>
          <w:p w:rsidR="00B74AF8" w:rsidRPr="0033036C" w:rsidRDefault="00B74AF8" w:rsidP="0033036C">
            <w:pPr>
              <w:spacing w:before="40" w:after="40"/>
              <w:ind w:left="-658" w:right="146"/>
              <w:jc w:val="right"/>
              <w:rPr>
                <w:rFonts w:eastAsia="Times New Roman" w:cs="Times New Roman"/>
                <w:color w:val="000000"/>
                <w:sz w:val="20"/>
                <w:szCs w:val="20"/>
                <w:lang w:eastAsia="cs-CZ"/>
              </w:rPr>
            </w:pPr>
            <w:r w:rsidRPr="0033036C">
              <w:rPr>
                <w:rFonts w:eastAsia="Times New Roman" w:cs="Times New Roman"/>
                <w:color w:val="000000"/>
                <w:sz w:val="20"/>
                <w:szCs w:val="20"/>
                <w:lang w:eastAsia="cs-CZ"/>
              </w:rPr>
              <w:t>361</w:t>
            </w:r>
          </w:p>
        </w:tc>
        <w:tc>
          <w:tcPr>
            <w:tcW w:w="620" w:type="dxa"/>
            <w:tcBorders>
              <w:top w:val="nil"/>
              <w:left w:val="nil"/>
              <w:bottom w:val="nil"/>
              <w:right w:val="nil"/>
            </w:tcBorders>
            <w:shd w:val="clear" w:color="auto" w:fill="auto"/>
            <w:noWrap/>
            <w:vAlign w:val="bottom"/>
            <w:hideMark/>
          </w:tcPr>
          <w:p w:rsidR="00B74AF8" w:rsidRPr="0033036C" w:rsidRDefault="00B74AF8" w:rsidP="0033036C">
            <w:pPr>
              <w:spacing w:before="40" w:after="40"/>
              <w:ind w:left="-853" w:right="199"/>
              <w:jc w:val="right"/>
              <w:rPr>
                <w:rFonts w:eastAsia="Times New Roman" w:cs="Times New Roman"/>
                <w:color w:val="000000"/>
                <w:sz w:val="20"/>
                <w:szCs w:val="20"/>
                <w:lang w:eastAsia="cs-CZ"/>
              </w:rPr>
            </w:pPr>
            <w:r w:rsidRPr="0033036C">
              <w:rPr>
                <w:rFonts w:eastAsia="Times New Roman" w:cs="Times New Roman"/>
                <w:color w:val="000000"/>
                <w:sz w:val="20"/>
                <w:szCs w:val="20"/>
                <w:lang w:eastAsia="cs-CZ"/>
              </w:rPr>
              <w:t>47</w:t>
            </w:r>
          </w:p>
        </w:tc>
        <w:tc>
          <w:tcPr>
            <w:tcW w:w="724" w:type="dxa"/>
            <w:tcBorders>
              <w:top w:val="nil"/>
              <w:left w:val="nil"/>
              <w:bottom w:val="nil"/>
              <w:right w:val="nil"/>
            </w:tcBorders>
            <w:shd w:val="clear" w:color="auto" w:fill="auto"/>
            <w:noWrap/>
            <w:vAlign w:val="bottom"/>
            <w:hideMark/>
          </w:tcPr>
          <w:p w:rsidR="00B74AF8" w:rsidRPr="0033036C" w:rsidRDefault="00B74AF8" w:rsidP="0033036C">
            <w:pPr>
              <w:tabs>
                <w:tab w:val="left" w:pos="654"/>
              </w:tabs>
              <w:spacing w:before="40" w:after="40"/>
              <w:ind w:left="-1331" w:right="214"/>
              <w:jc w:val="right"/>
              <w:rPr>
                <w:rFonts w:eastAsia="Times New Roman" w:cs="Times New Roman"/>
                <w:color w:val="000000"/>
                <w:sz w:val="20"/>
                <w:szCs w:val="20"/>
                <w:lang w:eastAsia="cs-CZ"/>
              </w:rPr>
            </w:pPr>
            <w:r w:rsidRPr="0033036C">
              <w:rPr>
                <w:rFonts w:eastAsia="Times New Roman" w:cs="Times New Roman"/>
                <w:color w:val="000000"/>
                <w:sz w:val="20"/>
                <w:szCs w:val="20"/>
                <w:lang w:eastAsia="cs-CZ"/>
              </w:rPr>
              <w:t>37</w:t>
            </w:r>
          </w:p>
        </w:tc>
        <w:tc>
          <w:tcPr>
            <w:tcW w:w="960" w:type="dxa"/>
            <w:tcBorders>
              <w:top w:val="nil"/>
              <w:left w:val="nil"/>
              <w:bottom w:val="nil"/>
              <w:right w:val="nil"/>
            </w:tcBorders>
            <w:shd w:val="clear" w:color="auto" w:fill="auto"/>
            <w:noWrap/>
            <w:vAlign w:val="bottom"/>
            <w:hideMark/>
          </w:tcPr>
          <w:p w:rsidR="00B74AF8" w:rsidRPr="0033036C" w:rsidRDefault="00B74AF8" w:rsidP="0033036C">
            <w:pPr>
              <w:tabs>
                <w:tab w:val="left" w:pos="459"/>
                <w:tab w:val="left" w:pos="820"/>
                <w:tab w:val="left" w:pos="1026"/>
              </w:tabs>
              <w:spacing w:before="40" w:after="40"/>
              <w:ind w:left="-1100" w:right="361"/>
              <w:jc w:val="right"/>
              <w:rPr>
                <w:rFonts w:eastAsia="Times New Roman" w:cs="Times New Roman"/>
                <w:color w:val="000000"/>
                <w:sz w:val="20"/>
                <w:szCs w:val="20"/>
                <w:lang w:eastAsia="cs-CZ"/>
              </w:rPr>
            </w:pPr>
            <w:r w:rsidRPr="0033036C">
              <w:rPr>
                <w:rFonts w:eastAsia="Times New Roman" w:cs="Times New Roman"/>
                <w:color w:val="000000"/>
                <w:sz w:val="20"/>
                <w:szCs w:val="20"/>
                <w:lang w:eastAsia="cs-CZ"/>
              </w:rPr>
              <w:t>10</w:t>
            </w:r>
          </w:p>
        </w:tc>
        <w:tc>
          <w:tcPr>
            <w:tcW w:w="700" w:type="dxa"/>
            <w:tcBorders>
              <w:top w:val="nil"/>
              <w:left w:val="single" w:sz="4" w:space="0" w:color="auto"/>
              <w:bottom w:val="nil"/>
              <w:right w:val="nil"/>
            </w:tcBorders>
            <w:shd w:val="clear" w:color="auto" w:fill="auto"/>
            <w:noWrap/>
            <w:vAlign w:val="bottom"/>
            <w:hideMark/>
          </w:tcPr>
          <w:p w:rsidR="00B74AF8" w:rsidRPr="0033036C" w:rsidRDefault="00B74AF8" w:rsidP="0033036C">
            <w:pPr>
              <w:spacing w:before="40" w:after="40"/>
              <w:ind w:left="-889" w:right="173"/>
              <w:jc w:val="right"/>
              <w:rPr>
                <w:rFonts w:eastAsia="Times New Roman" w:cs="Times New Roman"/>
                <w:color w:val="000000"/>
                <w:sz w:val="20"/>
                <w:szCs w:val="20"/>
                <w:lang w:eastAsia="cs-CZ"/>
              </w:rPr>
            </w:pPr>
            <w:r w:rsidRPr="0033036C">
              <w:rPr>
                <w:rFonts w:eastAsia="Times New Roman" w:cs="Times New Roman"/>
                <w:color w:val="000000"/>
                <w:sz w:val="20"/>
                <w:szCs w:val="20"/>
                <w:lang w:eastAsia="cs-CZ"/>
              </w:rPr>
              <w:t>26</w:t>
            </w:r>
          </w:p>
        </w:tc>
        <w:tc>
          <w:tcPr>
            <w:tcW w:w="740" w:type="dxa"/>
            <w:tcBorders>
              <w:top w:val="nil"/>
              <w:left w:val="nil"/>
              <w:bottom w:val="nil"/>
              <w:right w:val="nil"/>
            </w:tcBorders>
            <w:shd w:val="clear" w:color="auto" w:fill="auto"/>
            <w:noWrap/>
            <w:vAlign w:val="bottom"/>
            <w:hideMark/>
          </w:tcPr>
          <w:p w:rsidR="00B74AF8" w:rsidRPr="0033036C" w:rsidRDefault="00B74AF8" w:rsidP="0033036C">
            <w:pPr>
              <w:spacing w:before="40" w:after="40"/>
              <w:ind w:left="-880" w:right="204"/>
              <w:jc w:val="right"/>
              <w:rPr>
                <w:rFonts w:eastAsia="Times New Roman" w:cs="Times New Roman"/>
                <w:color w:val="000000"/>
                <w:sz w:val="20"/>
                <w:szCs w:val="20"/>
                <w:lang w:eastAsia="cs-CZ"/>
              </w:rPr>
            </w:pPr>
            <w:r w:rsidRPr="0033036C">
              <w:rPr>
                <w:rFonts w:eastAsia="Times New Roman" w:cs="Times New Roman"/>
                <w:color w:val="000000"/>
                <w:sz w:val="20"/>
                <w:szCs w:val="20"/>
                <w:lang w:eastAsia="cs-CZ"/>
              </w:rPr>
              <w:t>24</w:t>
            </w:r>
          </w:p>
        </w:tc>
        <w:tc>
          <w:tcPr>
            <w:tcW w:w="740" w:type="dxa"/>
            <w:tcBorders>
              <w:top w:val="nil"/>
              <w:left w:val="nil"/>
              <w:bottom w:val="nil"/>
              <w:right w:val="nil"/>
            </w:tcBorders>
            <w:shd w:val="clear" w:color="auto" w:fill="auto"/>
            <w:noWrap/>
            <w:vAlign w:val="bottom"/>
            <w:hideMark/>
          </w:tcPr>
          <w:p w:rsidR="00B74AF8" w:rsidRPr="0033036C" w:rsidRDefault="00B74AF8" w:rsidP="0033036C">
            <w:pPr>
              <w:spacing w:before="40" w:after="40"/>
              <w:ind w:left="-486" w:right="235"/>
              <w:jc w:val="right"/>
              <w:rPr>
                <w:rFonts w:eastAsia="Times New Roman" w:cs="Times New Roman"/>
                <w:color w:val="000000"/>
                <w:sz w:val="20"/>
                <w:szCs w:val="20"/>
                <w:lang w:eastAsia="cs-CZ"/>
              </w:rPr>
            </w:pPr>
            <w:r w:rsidRPr="0033036C">
              <w:rPr>
                <w:rFonts w:eastAsia="Times New Roman" w:cs="Times New Roman"/>
                <w:color w:val="000000"/>
                <w:sz w:val="20"/>
                <w:szCs w:val="20"/>
                <w:lang w:eastAsia="cs-CZ"/>
              </w:rPr>
              <w:t>2</w:t>
            </w:r>
          </w:p>
        </w:tc>
      </w:tr>
      <w:tr w:rsidR="00B74AF8" w:rsidRPr="0033036C" w:rsidTr="00C92786">
        <w:trPr>
          <w:trHeight w:val="225"/>
        </w:trPr>
        <w:tc>
          <w:tcPr>
            <w:tcW w:w="580" w:type="dxa"/>
            <w:tcBorders>
              <w:top w:val="nil"/>
              <w:left w:val="nil"/>
              <w:bottom w:val="nil"/>
              <w:right w:val="nil"/>
            </w:tcBorders>
            <w:shd w:val="clear" w:color="auto" w:fill="auto"/>
            <w:noWrap/>
            <w:vAlign w:val="bottom"/>
            <w:hideMark/>
          </w:tcPr>
          <w:p w:rsidR="00B74AF8" w:rsidRPr="0033036C" w:rsidRDefault="00B74AF8" w:rsidP="0033036C">
            <w:pPr>
              <w:spacing w:before="40" w:after="40"/>
              <w:jc w:val="center"/>
              <w:rPr>
                <w:rFonts w:eastAsia="Times New Roman" w:cs="Times New Roman"/>
                <w:color w:val="000000"/>
                <w:sz w:val="20"/>
                <w:szCs w:val="20"/>
                <w:lang w:eastAsia="cs-CZ"/>
              </w:rPr>
            </w:pPr>
            <w:r w:rsidRPr="0033036C">
              <w:rPr>
                <w:rFonts w:eastAsia="Times New Roman" w:cs="Times New Roman"/>
                <w:color w:val="000000"/>
                <w:sz w:val="20"/>
                <w:szCs w:val="20"/>
                <w:lang w:eastAsia="cs-CZ"/>
              </w:rPr>
              <w:t>2013</w:t>
            </w:r>
          </w:p>
        </w:tc>
        <w:tc>
          <w:tcPr>
            <w:tcW w:w="620" w:type="dxa"/>
            <w:tcBorders>
              <w:top w:val="nil"/>
              <w:left w:val="nil"/>
              <w:bottom w:val="nil"/>
              <w:right w:val="nil"/>
            </w:tcBorders>
            <w:shd w:val="clear" w:color="auto" w:fill="auto"/>
            <w:noWrap/>
            <w:vAlign w:val="bottom"/>
            <w:hideMark/>
          </w:tcPr>
          <w:p w:rsidR="00B74AF8" w:rsidRPr="0033036C" w:rsidRDefault="00B74AF8" w:rsidP="0033036C">
            <w:pPr>
              <w:spacing w:before="40" w:after="40"/>
              <w:ind w:left="-493" w:right="122"/>
              <w:jc w:val="right"/>
              <w:rPr>
                <w:rFonts w:eastAsia="Times New Roman" w:cs="Times New Roman"/>
                <w:b/>
                <w:bCs/>
                <w:color w:val="000000"/>
                <w:sz w:val="20"/>
                <w:szCs w:val="20"/>
                <w:lang w:eastAsia="cs-CZ"/>
              </w:rPr>
            </w:pPr>
            <w:r w:rsidRPr="0033036C">
              <w:rPr>
                <w:rFonts w:eastAsia="Times New Roman" w:cs="Times New Roman"/>
                <w:b/>
                <w:bCs/>
                <w:color w:val="000000"/>
                <w:sz w:val="20"/>
                <w:szCs w:val="20"/>
                <w:lang w:eastAsia="cs-CZ"/>
              </w:rPr>
              <w:t>859</w:t>
            </w:r>
          </w:p>
        </w:tc>
        <w:tc>
          <w:tcPr>
            <w:tcW w:w="620" w:type="dxa"/>
            <w:tcBorders>
              <w:top w:val="nil"/>
              <w:left w:val="nil"/>
              <w:bottom w:val="nil"/>
              <w:right w:val="nil"/>
            </w:tcBorders>
            <w:shd w:val="clear" w:color="auto" w:fill="auto"/>
            <w:noWrap/>
            <w:vAlign w:val="bottom"/>
            <w:hideMark/>
          </w:tcPr>
          <w:p w:rsidR="00B74AF8" w:rsidRPr="0033036C" w:rsidRDefault="00B74AF8" w:rsidP="0033036C">
            <w:pPr>
              <w:spacing w:before="40" w:after="40"/>
              <w:ind w:left="-688" w:right="175"/>
              <w:jc w:val="right"/>
              <w:rPr>
                <w:rFonts w:eastAsia="Times New Roman" w:cs="Times New Roman"/>
                <w:color w:val="000000"/>
                <w:sz w:val="20"/>
                <w:szCs w:val="20"/>
                <w:lang w:eastAsia="cs-CZ"/>
              </w:rPr>
            </w:pPr>
            <w:r w:rsidRPr="0033036C">
              <w:rPr>
                <w:rFonts w:eastAsia="Times New Roman" w:cs="Times New Roman"/>
                <w:color w:val="000000"/>
                <w:sz w:val="20"/>
                <w:szCs w:val="20"/>
                <w:lang w:eastAsia="cs-CZ"/>
              </w:rPr>
              <w:t>177</w:t>
            </w:r>
          </w:p>
        </w:tc>
        <w:tc>
          <w:tcPr>
            <w:tcW w:w="580" w:type="dxa"/>
            <w:tcBorders>
              <w:top w:val="nil"/>
              <w:left w:val="nil"/>
              <w:bottom w:val="nil"/>
              <w:right w:val="nil"/>
            </w:tcBorders>
            <w:shd w:val="clear" w:color="auto" w:fill="auto"/>
            <w:noWrap/>
            <w:vAlign w:val="bottom"/>
            <w:hideMark/>
          </w:tcPr>
          <w:p w:rsidR="00B74AF8" w:rsidRPr="0033036C" w:rsidRDefault="00B74AF8" w:rsidP="0033036C">
            <w:pPr>
              <w:spacing w:before="40" w:after="40"/>
              <w:ind w:left="-1024" w:right="188"/>
              <w:jc w:val="right"/>
              <w:rPr>
                <w:rFonts w:eastAsia="Times New Roman" w:cs="Times New Roman"/>
                <w:color w:val="000000"/>
                <w:sz w:val="20"/>
                <w:szCs w:val="20"/>
                <w:lang w:eastAsia="cs-CZ"/>
              </w:rPr>
            </w:pPr>
            <w:r w:rsidRPr="0033036C">
              <w:rPr>
                <w:rFonts w:eastAsia="Times New Roman" w:cs="Times New Roman"/>
                <w:color w:val="000000"/>
                <w:sz w:val="20"/>
                <w:szCs w:val="20"/>
                <w:lang w:eastAsia="cs-CZ"/>
              </w:rPr>
              <w:t>82</w:t>
            </w:r>
          </w:p>
        </w:tc>
        <w:tc>
          <w:tcPr>
            <w:tcW w:w="660" w:type="dxa"/>
            <w:tcBorders>
              <w:top w:val="nil"/>
              <w:left w:val="nil"/>
              <w:bottom w:val="nil"/>
              <w:right w:val="nil"/>
            </w:tcBorders>
            <w:shd w:val="clear" w:color="auto" w:fill="auto"/>
            <w:noWrap/>
            <w:vAlign w:val="bottom"/>
            <w:hideMark/>
          </w:tcPr>
          <w:p w:rsidR="00B74AF8" w:rsidRPr="0033036C" w:rsidRDefault="00B74AF8" w:rsidP="0033036C">
            <w:pPr>
              <w:spacing w:before="40" w:after="40"/>
              <w:ind w:left="-612" w:right="140"/>
              <w:jc w:val="right"/>
              <w:rPr>
                <w:rFonts w:eastAsia="Times New Roman" w:cs="Times New Roman"/>
                <w:color w:val="000000"/>
                <w:sz w:val="20"/>
                <w:szCs w:val="20"/>
                <w:lang w:eastAsia="cs-CZ"/>
              </w:rPr>
            </w:pPr>
            <w:r w:rsidRPr="0033036C">
              <w:rPr>
                <w:rFonts w:eastAsia="Times New Roman" w:cs="Times New Roman"/>
                <w:color w:val="000000"/>
                <w:sz w:val="20"/>
                <w:szCs w:val="20"/>
                <w:lang w:eastAsia="cs-CZ"/>
              </w:rPr>
              <w:t>21</w:t>
            </w:r>
          </w:p>
        </w:tc>
        <w:tc>
          <w:tcPr>
            <w:tcW w:w="520" w:type="dxa"/>
            <w:tcBorders>
              <w:top w:val="nil"/>
              <w:left w:val="nil"/>
              <w:bottom w:val="nil"/>
              <w:right w:val="nil"/>
            </w:tcBorders>
            <w:shd w:val="clear" w:color="auto" w:fill="auto"/>
            <w:noWrap/>
            <w:vAlign w:val="bottom"/>
            <w:hideMark/>
          </w:tcPr>
          <w:p w:rsidR="00B74AF8" w:rsidRPr="0033036C" w:rsidRDefault="00B74AF8" w:rsidP="0033036C">
            <w:pPr>
              <w:spacing w:before="40" w:after="40"/>
              <w:ind w:left="-705" w:right="93"/>
              <w:jc w:val="right"/>
              <w:rPr>
                <w:rFonts w:eastAsia="Times New Roman" w:cs="Times New Roman"/>
                <w:color w:val="000000"/>
                <w:sz w:val="20"/>
                <w:szCs w:val="20"/>
                <w:lang w:eastAsia="cs-CZ"/>
              </w:rPr>
            </w:pPr>
            <w:r w:rsidRPr="0033036C">
              <w:rPr>
                <w:rFonts w:eastAsia="Times New Roman" w:cs="Times New Roman"/>
                <w:color w:val="000000"/>
                <w:sz w:val="20"/>
                <w:szCs w:val="20"/>
                <w:lang w:eastAsia="cs-CZ"/>
              </w:rPr>
              <w:t>160</w:t>
            </w:r>
          </w:p>
        </w:tc>
        <w:tc>
          <w:tcPr>
            <w:tcW w:w="620" w:type="dxa"/>
            <w:tcBorders>
              <w:top w:val="nil"/>
              <w:left w:val="nil"/>
              <w:bottom w:val="nil"/>
              <w:right w:val="single" w:sz="4" w:space="0" w:color="auto"/>
            </w:tcBorders>
            <w:shd w:val="clear" w:color="auto" w:fill="auto"/>
            <w:noWrap/>
            <w:vAlign w:val="bottom"/>
            <w:hideMark/>
          </w:tcPr>
          <w:p w:rsidR="00B74AF8" w:rsidRPr="0033036C" w:rsidRDefault="00B74AF8" w:rsidP="0033036C">
            <w:pPr>
              <w:spacing w:before="40" w:after="40"/>
              <w:ind w:left="-658" w:right="146"/>
              <w:jc w:val="right"/>
              <w:rPr>
                <w:rFonts w:eastAsia="Times New Roman" w:cs="Times New Roman"/>
                <w:color w:val="000000"/>
                <w:sz w:val="20"/>
                <w:szCs w:val="20"/>
                <w:lang w:eastAsia="cs-CZ"/>
              </w:rPr>
            </w:pPr>
            <w:r w:rsidRPr="0033036C">
              <w:rPr>
                <w:rFonts w:eastAsia="Times New Roman" w:cs="Times New Roman"/>
                <w:color w:val="000000"/>
                <w:sz w:val="20"/>
                <w:szCs w:val="20"/>
                <w:lang w:eastAsia="cs-CZ"/>
              </w:rPr>
              <w:t>420</w:t>
            </w:r>
          </w:p>
        </w:tc>
        <w:tc>
          <w:tcPr>
            <w:tcW w:w="620" w:type="dxa"/>
            <w:tcBorders>
              <w:top w:val="nil"/>
              <w:left w:val="nil"/>
              <w:bottom w:val="nil"/>
              <w:right w:val="nil"/>
            </w:tcBorders>
            <w:shd w:val="clear" w:color="auto" w:fill="auto"/>
            <w:noWrap/>
            <w:vAlign w:val="bottom"/>
            <w:hideMark/>
          </w:tcPr>
          <w:p w:rsidR="00B74AF8" w:rsidRPr="0033036C" w:rsidRDefault="00B74AF8" w:rsidP="0033036C">
            <w:pPr>
              <w:spacing w:before="40" w:after="40"/>
              <w:ind w:left="-853" w:right="199"/>
              <w:jc w:val="right"/>
              <w:rPr>
                <w:rFonts w:eastAsia="Times New Roman" w:cs="Times New Roman"/>
                <w:color w:val="000000"/>
                <w:sz w:val="20"/>
                <w:szCs w:val="20"/>
                <w:lang w:eastAsia="cs-CZ"/>
              </w:rPr>
            </w:pPr>
            <w:r w:rsidRPr="0033036C">
              <w:rPr>
                <w:rFonts w:eastAsia="Times New Roman" w:cs="Times New Roman"/>
                <w:color w:val="000000"/>
                <w:sz w:val="20"/>
                <w:szCs w:val="20"/>
                <w:lang w:eastAsia="cs-CZ"/>
              </w:rPr>
              <w:t>46</w:t>
            </w:r>
          </w:p>
        </w:tc>
        <w:tc>
          <w:tcPr>
            <w:tcW w:w="724" w:type="dxa"/>
            <w:tcBorders>
              <w:top w:val="nil"/>
              <w:left w:val="nil"/>
              <w:bottom w:val="nil"/>
              <w:right w:val="nil"/>
            </w:tcBorders>
            <w:shd w:val="clear" w:color="auto" w:fill="auto"/>
            <w:noWrap/>
            <w:vAlign w:val="bottom"/>
            <w:hideMark/>
          </w:tcPr>
          <w:p w:rsidR="00B74AF8" w:rsidRPr="0033036C" w:rsidRDefault="00B74AF8" w:rsidP="0033036C">
            <w:pPr>
              <w:tabs>
                <w:tab w:val="left" w:pos="654"/>
              </w:tabs>
              <w:spacing w:before="40" w:after="40"/>
              <w:ind w:left="-1331" w:right="214"/>
              <w:jc w:val="right"/>
              <w:rPr>
                <w:rFonts w:eastAsia="Times New Roman" w:cs="Times New Roman"/>
                <w:color w:val="000000"/>
                <w:sz w:val="20"/>
                <w:szCs w:val="20"/>
                <w:lang w:eastAsia="cs-CZ"/>
              </w:rPr>
            </w:pPr>
            <w:r w:rsidRPr="0033036C">
              <w:rPr>
                <w:rFonts w:eastAsia="Times New Roman" w:cs="Times New Roman"/>
                <w:color w:val="000000"/>
                <w:sz w:val="20"/>
                <w:szCs w:val="20"/>
                <w:lang w:eastAsia="cs-CZ"/>
              </w:rPr>
              <w:t>40</w:t>
            </w:r>
          </w:p>
        </w:tc>
        <w:tc>
          <w:tcPr>
            <w:tcW w:w="960" w:type="dxa"/>
            <w:tcBorders>
              <w:top w:val="nil"/>
              <w:left w:val="nil"/>
              <w:bottom w:val="nil"/>
              <w:right w:val="nil"/>
            </w:tcBorders>
            <w:shd w:val="clear" w:color="auto" w:fill="auto"/>
            <w:noWrap/>
            <w:vAlign w:val="bottom"/>
            <w:hideMark/>
          </w:tcPr>
          <w:p w:rsidR="00B74AF8" w:rsidRPr="0033036C" w:rsidRDefault="00B74AF8" w:rsidP="0033036C">
            <w:pPr>
              <w:tabs>
                <w:tab w:val="left" w:pos="459"/>
                <w:tab w:val="left" w:pos="820"/>
                <w:tab w:val="left" w:pos="1026"/>
              </w:tabs>
              <w:spacing w:before="40" w:after="40"/>
              <w:ind w:left="-1100" w:right="361"/>
              <w:jc w:val="right"/>
              <w:rPr>
                <w:rFonts w:eastAsia="Times New Roman" w:cs="Times New Roman"/>
                <w:color w:val="000000"/>
                <w:sz w:val="20"/>
                <w:szCs w:val="20"/>
                <w:lang w:eastAsia="cs-CZ"/>
              </w:rPr>
            </w:pPr>
            <w:r w:rsidRPr="0033036C">
              <w:rPr>
                <w:rFonts w:eastAsia="Times New Roman" w:cs="Times New Roman"/>
                <w:color w:val="000000"/>
                <w:sz w:val="20"/>
                <w:szCs w:val="20"/>
                <w:lang w:eastAsia="cs-CZ"/>
              </w:rPr>
              <w:t>6</w:t>
            </w:r>
          </w:p>
        </w:tc>
        <w:tc>
          <w:tcPr>
            <w:tcW w:w="700" w:type="dxa"/>
            <w:tcBorders>
              <w:top w:val="nil"/>
              <w:left w:val="single" w:sz="4" w:space="0" w:color="auto"/>
              <w:bottom w:val="nil"/>
              <w:right w:val="nil"/>
            </w:tcBorders>
            <w:shd w:val="clear" w:color="auto" w:fill="auto"/>
            <w:noWrap/>
            <w:vAlign w:val="bottom"/>
            <w:hideMark/>
          </w:tcPr>
          <w:p w:rsidR="00B74AF8" w:rsidRPr="0033036C" w:rsidRDefault="00B74AF8" w:rsidP="0033036C">
            <w:pPr>
              <w:spacing w:before="40" w:after="40"/>
              <w:ind w:left="-889" w:right="173"/>
              <w:jc w:val="right"/>
              <w:rPr>
                <w:rFonts w:eastAsia="Times New Roman" w:cs="Times New Roman"/>
                <w:color w:val="000000"/>
                <w:sz w:val="20"/>
                <w:szCs w:val="20"/>
                <w:lang w:eastAsia="cs-CZ"/>
              </w:rPr>
            </w:pPr>
            <w:r w:rsidRPr="0033036C">
              <w:rPr>
                <w:rFonts w:eastAsia="Times New Roman" w:cs="Times New Roman"/>
                <w:color w:val="000000"/>
                <w:sz w:val="20"/>
                <w:szCs w:val="20"/>
                <w:lang w:eastAsia="cs-CZ"/>
              </w:rPr>
              <w:t>32</w:t>
            </w:r>
          </w:p>
        </w:tc>
        <w:tc>
          <w:tcPr>
            <w:tcW w:w="740" w:type="dxa"/>
            <w:tcBorders>
              <w:top w:val="nil"/>
              <w:left w:val="nil"/>
              <w:bottom w:val="nil"/>
              <w:right w:val="nil"/>
            </w:tcBorders>
            <w:shd w:val="clear" w:color="auto" w:fill="auto"/>
            <w:noWrap/>
            <w:vAlign w:val="bottom"/>
            <w:hideMark/>
          </w:tcPr>
          <w:p w:rsidR="00B74AF8" w:rsidRPr="0033036C" w:rsidRDefault="00B74AF8" w:rsidP="0033036C">
            <w:pPr>
              <w:spacing w:before="40" w:after="40"/>
              <w:ind w:left="-880" w:right="204"/>
              <w:jc w:val="right"/>
              <w:rPr>
                <w:rFonts w:eastAsia="Times New Roman" w:cs="Times New Roman"/>
                <w:color w:val="000000"/>
                <w:sz w:val="20"/>
                <w:szCs w:val="20"/>
                <w:lang w:eastAsia="cs-CZ"/>
              </w:rPr>
            </w:pPr>
            <w:r w:rsidRPr="0033036C">
              <w:rPr>
                <w:rFonts w:eastAsia="Times New Roman" w:cs="Times New Roman"/>
                <w:color w:val="000000"/>
                <w:sz w:val="20"/>
                <w:szCs w:val="20"/>
                <w:lang w:eastAsia="cs-CZ"/>
              </w:rPr>
              <w:t>32</w:t>
            </w:r>
          </w:p>
        </w:tc>
        <w:tc>
          <w:tcPr>
            <w:tcW w:w="740" w:type="dxa"/>
            <w:tcBorders>
              <w:top w:val="nil"/>
              <w:left w:val="nil"/>
              <w:bottom w:val="nil"/>
              <w:right w:val="nil"/>
            </w:tcBorders>
            <w:shd w:val="clear" w:color="auto" w:fill="auto"/>
            <w:noWrap/>
            <w:vAlign w:val="bottom"/>
            <w:hideMark/>
          </w:tcPr>
          <w:p w:rsidR="00B74AF8" w:rsidRPr="0033036C" w:rsidRDefault="00B74AF8" w:rsidP="0033036C">
            <w:pPr>
              <w:spacing w:before="40" w:after="40"/>
              <w:ind w:left="-486" w:right="235"/>
              <w:jc w:val="left"/>
              <w:rPr>
                <w:rFonts w:eastAsia="Times New Roman" w:cs="Times New Roman"/>
                <w:color w:val="000000"/>
                <w:sz w:val="20"/>
                <w:szCs w:val="20"/>
                <w:lang w:eastAsia="cs-CZ"/>
              </w:rPr>
            </w:pPr>
          </w:p>
        </w:tc>
      </w:tr>
      <w:tr w:rsidR="00B74AF8" w:rsidRPr="0033036C" w:rsidTr="00C92786">
        <w:trPr>
          <w:trHeight w:val="225"/>
        </w:trPr>
        <w:tc>
          <w:tcPr>
            <w:tcW w:w="580" w:type="dxa"/>
            <w:tcBorders>
              <w:top w:val="nil"/>
              <w:left w:val="nil"/>
              <w:bottom w:val="single" w:sz="4" w:space="0" w:color="auto"/>
              <w:right w:val="nil"/>
            </w:tcBorders>
            <w:shd w:val="clear" w:color="auto" w:fill="auto"/>
            <w:noWrap/>
            <w:vAlign w:val="bottom"/>
            <w:hideMark/>
          </w:tcPr>
          <w:p w:rsidR="00B74AF8" w:rsidRPr="0033036C" w:rsidRDefault="00B74AF8" w:rsidP="0033036C">
            <w:pPr>
              <w:spacing w:before="40" w:after="40"/>
              <w:jc w:val="center"/>
              <w:rPr>
                <w:rFonts w:eastAsia="Times New Roman" w:cs="Times New Roman"/>
                <w:color w:val="000000"/>
                <w:sz w:val="20"/>
                <w:szCs w:val="20"/>
                <w:lang w:eastAsia="cs-CZ"/>
              </w:rPr>
            </w:pPr>
            <w:r w:rsidRPr="0033036C">
              <w:rPr>
                <w:rFonts w:eastAsia="Times New Roman" w:cs="Times New Roman"/>
                <w:color w:val="000000"/>
                <w:sz w:val="20"/>
                <w:szCs w:val="20"/>
                <w:lang w:eastAsia="cs-CZ"/>
              </w:rPr>
              <w:t>2014</w:t>
            </w:r>
          </w:p>
        </w:tc>
        <w:tc>
          <w:tcPr>
            <w:tcW w:w="620" w:type="dxa"/>
            <w:tcBorders>
              <w:top w:val="nil"/>
              <w:left w:val="nil"/>
              <w:bottom w:val="single" w:sz="4" w:space="0" w:color="auto"/>
              <w:right w:val="nil"/>
            </w:tcBorders>
            <w:shd w:val="clear" w:color="auto" w:fill="auto"/>
            <w:noWrap/>
            <w:vAlign w:val="bottom"/>
            <w:hideMark/>
          </w:tcPr>
          <w:p w:rsidR="00B74AF8" w:rsidRPr="0033036C" w:rsidRDefault="00B74AF8" w:rsidP="0033036C">
            <w:pPr>
              <w:spacing w:before="40" w:after="40"/>
              <w:ind w:left="-493" w:right="122"/>
              <w:jc w:val="right"/>
              <w:rPr>
                <w:rFonts w:eastAsia="Times New Roman" w:cs="Times New Roman"/>
                <w:b/>
                <w:bCs/>
                <w:color w:val="000000"/>
                <w:sz w:val="20"/>
                <w:szCs w:val="20"/>
                <w:lang w:eastAsia="cs-CZ"/>
              </w:rPr>
            </w:pPr>
            <w:r w:rsidRPr="0033036C">
              <w:rPr>
                <w:rFonts w:eastAsia="Times New Roman" w:cs="Times New Roman"/>
                <w:b/>
                <w:bCs/>
                <w:color w:val="000000"/>
                <w:sz w:val="20"/>
                <w:szCs w:val="20"/>
                <w:lang w:eastAsia="cs-CZ"/>
              </w:rPr>
              <w:t>931</w:t>
            </w:r>
          </w:p>
        </w:tc>
        <w:tc>
          <w:tcPr>
            <w:tcW w:w="620" w:type="dxa"/>
            <w:tcBorders>
              <w:top w:val="nil"/>
              <w:left w:val="nil"/>
              <w:bottom w:val="single" w:sz="4" w:space="0" w:color="auto"/>
              <w:right w:val="nil"/>
            </w:tcBorders>
            <w:shd w:val="clear" w:color="auto" w:fill="auto"/>
            <w:noWrap/>
            <w:vAlign w:val="bottom"/>
            <w:hideMark/>
          </w:tcPr>
          <w:p w:rsidR="00B74AF8" w:rsidRPr="0033036C" w:rsidRDefault="00B74AF8" w:rsidP="0033036C">
            <w:pPr>
              <w:spacing w:before="40" w:after="40"/>
              <w:ind w:left="-688" w:right="175"/>
              <w:jc w:val="right"/>
              <w:rPr>
                <w:rFonts w:eastAsia="Times New Roman" w:cs="Times New Roman"/>
                <w:color w:val="000000"/>
                <w:sz w:val="20"/>
                <w:szCs w:val="20"/>
                <w:lang w:eastAsia="cs-CZ"/>
              </w:rPr>
            </w:pPr>
            <w:r w:rsidRPr="0033036C">
              <w:rPr>
                <w:rFonts w:eastAsia="Times New Roman" w:cs="Times New Roman"/>
                <w:color w:val="000000"/>
                <w:sz w:val="20"/>
                <w:szCs w:val="20"/>
                <w:lang w:eastAsia="cs-CZ"/>
              </w:rPr>
              <w:t>145</w:t>
            </w:r>
          </w:p>
        </w:tc>
        <w:tc>
          <w:tcPr>
            <w:tcW w:w="580" w:type="dxa"/>
            <w:tcBorders>
              <w:top w:val="nil"/>
              <w:left w:val="nil"/>
              <w:bottom w:val="single" w:sz="4" w:space="0" w:color="auto"/>
              <w:right w:val="nil"/>
            </w:tcBorders>
            <w:shd w:val="clear" w:color="auto" w:fill="auto"/>
            <w:noWrap/>
            <w:vAlign w:val="bottom"/>
            <w:hideMark/>
          </w:tcPr>
          <w:p w:rsidR="00B74AF8" w:rsidRPr="0033036C" w:rsidRDefault="00B74AF8" w:rsidP="0033036C">
            <w:pPr>
              <w:spacing w:before="40" w:after="40"/>
              <w:ind w:left="-1024" w:right="188"/>
              <w:jc w:val="right"/>
              <w:rPr>
                <w:rFonts w:eastAsia="Times New Roman" w:cs="Times New Roman"/>
                <w:color w:val="000000"/>
                <w:sz w:val="20"/>
                <w:szCs w:val="20"/>
                <w:lang w:eastAsia="cs-CZ"/>
              </w:rPr>
            </w:pPr>
            <w:r w:rsidRPr="0033036C">
              <w:rPr>
                <w:rFonts w:eastAsia="Times New Roman" w:cs="Times New Roman"/>
                <w:color w:val="000000"/>
                <w:sz w:val="20"/>
                <w:szCs w:val="20"/>
                <w:lang w:eastAsia="cs-CZ"/>
              </w:rPr>
              <w:t>53</w:t>
            </w:r>
          </w:p>
        </w:tc>
        <w:tc>
          <w:tcPr>
            <w:tcW w:w="660" w:type="dxa"/>
            <w:tcBorders>
              <w:top w:val="nil"/>
              <w:left w:val="nil"/>
              <w:bottom w:val="single" w:sz="4" w:space="0" w:color="auto"/>
              <w:right w:val="nil"/>
            </w:tcBorders>
            <w:shd w:val="clear" w:color="auto" w:fill="auto"/>
            <w:noWrap/>
            <w:vAlign w:val="bottom"/>
            <w:hideMark/>
          </w:tcPr>
          <w:p w:rsidR="00B74AF8" w:rsidRPr="0033036C" w:rsidRDefault="00B74AF8" w:rsidP="0033036C">
            <w:pPr>
              <w:spacing w:before="40" w:after="40"/>
              <w:ind w:left="-612" w:right="140"/>
              <w:jc w:val="right"/>
              <w:rPr>
                <w:rFonts w:eastAsia="Times New Roman" w:cs="Times New Roman"/>
                <w:color w:val="000000"/>
                <w:sz w:val="20"/>
                <w:szCs w:val="20"/>
                <w:lang w:eastAsia="cs-CZ"/>
              </w:rPr>
            </w:pPr>
            <w:r w:rsidRPr="0033036C">
              <w:rPr>
                <w:rFonts w:eastAsia="Times New Roman" w:cs="Times New Roman"/>
                <w:color w:val="000000"/>
                <w:sz w:val="20"/>
                <w:szCs w:val="20"/>
                <w:lang w:eastAsia="cs-CZ"/>
              </w:rPr>
              <w:t>22</w:t>
            </w:r>
          </w:p>
        </w:tc>
        <w:tc>
          <w:tcPr>
            <w:tcW w:w="520" w:type="dxa"/>
            <w:tcBorders>
              <w:top w:val="nil"/>
              <w:left w:val="nil"/>
              <w:bottom w:val="single" w:sz="4" w:space="0" w:color="auto"/>
              <w:right w:val="nil"/>
            </w:tcBorders>
            <w:shd w:val="clear" w:color="auto" w:fill="auto"/>
            <w:noWrap/>
            <w:vAlign w:val="bottom"/>
            <w:hideMark/>
          </w:tcPr>
          <w:p w:rsidR="00B74AF8" w:rsidRPr="0033036C" w:rsidRDefault="00B74AF8" w:rsidP="0033036C">
            <w:pPr>
              <w:spacing w:before="40" w:after="40"/>
              <w:ind w:left="-705" w:right="93"/>
              <w:jc w:val="right"/>
              <w:rPr>
                <w:rFonts w:eastAsia="Times New Roman" w:cs="Times New Roman"/>
                <w:color w:val="000000"/>
                <w:sz w:val="20"/>
                <w:szCs w:val="20"/>
                <w:lang w:eastAsia="cs-CZ"/>
              </w:rPr>
            </w:pPr>
            <w:r w:rsidRPr="0033036C">
              <w:rPr>
                <w:rFonts w:eastAsia="Times New Roman" w:cs="Times New Roman"/>
                <w:color w:val="000000"/>
                <w:sz w:val="20"/>
                <w:szCs w:val="20"/>
                <w:lang w:eastAsia="cs-CZ"/>
              </w:rPr>
              <w:t>217</w:t>
            </w:r>
          </w:p>
        </w:tc>
        <w:tc>
          <w:tcPr>
            <w:tcW w:w="620" w:type="dxa"/>
            <w:tcBorders>
              <w:top w:val="nil"/>
              <w:left w:val="nil"/>
              <w:bottom w:val="single" w:sz="4" w:space="0" w:color="auto"/>
              <w:right w:val="single" w:sz="4" w:space="0" w:color="auto"/>
            </w:tcBorders>
            <w:shd w:val="clear" w:color="auto" w:fill="auto"/>
            <w:noWrap/>
            <w:vAlign w:val="bottom"/>
            <w:hideMark/>
          </w:tcPr>
          <w:p w:rsidR="00B74AF8" w:rsidRPr="0033036C" w:rsidRDefault="00B74AF8" w:rsidP="0033036C">
            <w:pPr>
              <w:spacing w:before="40" w:after="40"/>
              <w:ind w:left="-658" w:right="146"/>
              <w:jc w:val="right"/>
              <w:rPr>
                <w:rFonts w:eastAsia="Times New Roman" w:cs="Times New Roman"/>
                <w:color w:val="000000"/>
                <w:sz w:val="20"/>
                <w:szCs w:val="20"/>
                <w:lang w:eastAsia="cs-CZ"/>
              </w:rPr>
            </w:pPr>
            <w:r w:rsidRPr="0033036C">
              <w:rPr>
                <w:rFonts w:eastAsia="Times New Roman" w:cs="Times New Roman"/>
                <w:color w:val="000000"/>
                <w:sz w:val="20"/>
                <w:szCs w:val="20"/>
                <w:lang w:eastAsia="cs-CZ"/>
              </w:rPr>
              <w:t>495</w:t>
            </w:r>
          </w:p>
        </w:tc>
        <w:tc>
          <w:tcPr>
            <w:tcW w:w="620" w:type="dxa"/>
            <w:tcBorders>
              <w:top w:val="nil"/>
              <w:left w:val="nil"/>
              <w:bottom w:val="single" w:sz="4" w:space="0" w:color="auto"/>
              <w:right w:val="nil"/>
            </w:tcBorders>
            <w:shd w:val="clear" w:color="auto" w:fill="auto"/>
            <w:noWrap/>
            <w:vAlign w:val="bottom"/>
            <w:hideMark/>
          </w:tcPr>
          <w:p w:rsidR="00B74AF8" w:rsidRPr="0033036C" w:rsidRDefault="00B74AF8" w:rsidP="0033036C">
            <w:pPr>
              <w:spacing w:before="40" w:after="40"/>
              <w:ind w:left="-853" w:right="199"/>
              <w:jc w:val="right"/>
              <w:rPr>
                <w:rFonts w:eastAsia="Times New Roman" w:cs="Times New Roman"/>
                <w:color w:val="000000"/>
                <w:sz w:val="20"/>
                <w:szCs w:val="20"/>
                <w:lang w:eastAsia="cs-CZ"/>
              </w:rPr>
            </w:pPr>
            <w:r w:rsidRPr="0033036C">
              <w:rPr>
                <w:rFonts w:eastAsia="Times New Roman" w:cs="Times New Roman"/>
                <w:color w:val="000000"/>
                <w:sz w:val="20"/>
                <w:szCs w:val="20"/>
                <w:lang w:eastAsia="cs-CZ"/>
              </w:rPr>
              <w:t>38</w:t>
            </w:r>
          </w:p>
        </w:tc>
        <w:tc>
          <w:tcPr>
            <w:tcW w:w="724" w:type="dxa"/>
            <w:tcBorders>
              <w:top w:val="nil"/>
              <w:left w:val="nil"/>
              <w:bottom w:val="single" w:sz="4" w:space="0" w:color="auto"/>
              <w:right w:val="nil"/>
            </w:tcBorders>
            <w:shd w:val="clear" w:color="auto" w:fill="auto"/>
            <w:noWrap/>
            <w:vAlign w:val="bottom"/>
            <w:hideMark/>
          </w:tcPr>
          <w:p w:rsidR="00B74AF8" w:rsidRPr="0033036C" w:rsidRDefault="00B74AF8" w:rsidP="0033036C">
            <w:pPr>
              <w:tabs>
                <w:tab w:val="left" w:pos="654"/>
              </w:tabs>
              <w:spacing w:before="40" w:after="40"/>
              <w:ind w:left="-1331" w:right="214"/>
              <w:jc w:val="right"/>
              <w:rPr>
                <w:rFonts w:eastAsia="Times New Roman" w:cs="Times New Roman"/>
                <w:color w:val="000000"/>
                <w:sz w:val="20"/>
                <w:szCs w:val="20"/>
                <w:lang w:eastAsia="cs-CZ"/>
              </w:rPr>
            </w:pPr>
            <w:r w:rsidRPr="0033036C">
              <w:rPr>
                <w:rFonts w:eastAsia="Times New Roman" w:cs="Times New Roman"/>
                <w:color w:val="000000"/>
                <w:sz w:val="20"/>
                <w:szCs w:val="20"/>
                <w:lang w:eastAsia="cs-CZ"/>
              </w:rPr>
              <w:t>31</w:t>
            </w:r>
          </w:p>
        </w:tc>
        <w:tc>
          <w:tcPr>
            <w:tcW w:w="960" w:type="dxa"/>
            <w:tcBorders>
              <w:top w:val="nil"/>
              <w:left w:val="nil"/>
              <w:bottom w:val="single" w:sz="4" w:space="0" w:color="auto"/>
              <w:right w:val="nil"/>
            </w:tcBorders>
            <w:shd w:val="clear" w:color="auto" w:fill="auto"/>
            <w:noWrap/>
            <w:vAlign w:val="bottom"/>
            <w:hideMark/>
          </w:tcPr>
          <w:p w:rsidR="00B74AF8" w:rsidRPr="0033036C" w:rsidRDefault="00B74AF8" w:rsidP="0033036C">
            <w:pPr>
              <w:tabs>
                <w:tab w:val="left" w:pos="459"/>
                <w:tab w:val="left" w:pos="820"/>
                <w:tab w:val="left" w:pos="1026"/>
              </w:tabs>
              <w:spacing w:before="40" w:after="40"/>
              <w:ind w:left="-1100" w:right="361"/>
              <w:jc w:val="right"/>
              <w:rPr>
                <w:rFonts w:eastAsia="Times New Roman" w:cs="Times New Roman"/>
                <w:color w:val="000000"/>
                <w:sz w:val="20"/>
                <w:szCs w:val="20"/>
                <w:lang w:eastAsia="cs-CZ"/>
              </w:rPr>
            </w:pPr>
            <w:r w:rsidRPr="0033036C">
              <w:rPr>
                <w:rFonts w:eastAsia="Times New Roman" w:cs="Times New Roman"/>
                <w:color w:val="000000"/>
                <w:sz w:val="20"/>
                <w:szCs w:val="20"/>
                <w:lang w:eastAsia="cs-CZ"/>
              </w:rPr>
              <w:t>7</w:t>
            </w:r>
          </w:p>
        </w:tc>
        <w:tc>
          <w:tcPr>
            <w:tcW w:w="700" w:type="dxa"/>
            <w:tcBorders>
              <w:top w:val="nil"/>
              <w:left w:val="single" w:sz="4" w:space="0" w:color="auto"/>
              <w:bottom w:val="single" w:sz="4" w:space="0" w:color="auto"/>
              <w:right w:val="nil"/>
            </w:tcBorders>
            <w:shd w:val="clear" w:color="auto" w:fill="auto"/>
            <w:noWrap/>
            <w:vAlign w:val="bottom"/>
            <w:hideMark/>
          </w:tcPr>
          <w:p w:rsidR="00B74AF8" w:rsidRPr="0033036C" w:rsidRDefault="00B74AF8" w:rsidP="0033036C">
            <w:pPr>
              <w:spacing w:before="40" w:after="40"/>
              <w:ind w:left="-889" w:right="173"/>
              <w:jc w:val="right"/>
              <w:rPr>
                <w:rFonts w:eastAsia="Times New Roman" w:cs="Times New Roman"/>
                <w:color w:val="000000"/>
                <w:sz w:val="20"/>
                <w:szCs w:val="20"/>
                <w:lang w:eastAsia="cs-CZ"/>
              </w:rPr>
            </w:pPr>
            <w:r w:rsidRPr="0033036C">
              <w:rPr>
                <w:rFonts w:eastAsia="Times New Roman" w:cs="Times New Roman"/>
                <w:color w:val="000000"/>
                <w:sz w:val="20"/>
                <w:szCs w:val="20"/>
                <w:lang w:eastAsia="cs-CZ"/>
              </w:rPr>
              <w:t>6</w:t>
            </w:r>
          </w:p>
        </w:tc>
        <w:tc>
          <w:tcPr>
            <w:tcW w:w="740" w:type="dxa"/>
            <w:tcBorders>
              <w:top w:val="nil"/>
              <w:left w:val="nil"/>
              <w:bottom w:val="single" w:sz="4" w:space="0" w:color="auto"/>
              <w:right w:val="nil"/>
            </w:tcBorders>
            <w:shd w:val="clear" w:color="auto" w:fill="auto"/>
            <w:noWrap/>
            <w:vAlign w:val="bottom"/>
            <w:hideMark/>
          </w:tcPr>
          <w:p w:rsidR="00B74AF8" w:rsidRPr="0033036C" w:rsidRDefault="00B74AF8" w:rsidP="0033036C">
            <w:pPr>
              <w:spacing w:before="40" w:after="40"/>
              <w:ind w:left="-880" w:right="204"/>
              <w:jc w:val="right"/>
              <w:rPr>
                <w:rFonts w:eastAsia="Times New Roman" w:cs="Times New Roman"/>
                <w:color w:val="000000"/>
                <w:sz w:val="20"/>
                <w:szCs w:val="20"/>
                <w:lang w:eastAsia="cs-CZ"/>
              </w:rPr>
            </w:pPr>
            <w:r w:rsidRPr="0033036C">
              <w:rPr>
                <w:rFonts w:eastAsia="Times New Roman" w:cs="Times New Roman"/>
                <w:color w:val="000000"/>
                <w:sz w:val="20"/>
                <w:szCs w:val="20"/>
                <w:lang w:eastAsia="cs-CZ"/>
              </w:rPr>
              <w:t>6</w:t>
            </w:r>
          </w:p>
        </w:tc>
        <w:tc>
          <w:tcPr>
            <w:tcW w:w="740" w:type="dxa"/>
            <w:tcBorders>
              <w:top w:val="nil"/>
              <w:left w:val="nil"/>
              <w:bottom w:val="single" w:sz="4" w:space="0" w:color="auto"/>
              <w:right w:val="nil"/>
            </w:tcBorders>
            <w:shd w:val="clear" w:color="auto" w:fill="auto"/>
            <w:noWrap/>
            <w:vAlign w:val="bottom"/>
            <w:hideMark/>
          </w:tcPr>
          <w:p w:rsidR="00B74AF8" w:rsidRPr="0033036C" w:rsidRDefault="00B74AF8" w:rsidP="0033036C">
            <w:pPr>
              <w:spacing w:before="40" w:after="40"/>
              <w:ind w:left="-486" w:right="235"/>
              <w:jc w:val="left"/>
              <w:rPr>
                <w:rFonts w:eastAsia="Times New Roman" w:cs="Times New Roman"/>
                <w:color w:val="000000"/>
                <w:sz w:val="20"/>
                <w:szCs w:val="20"/>
                <w:lang w:eastAsia="cs-CZ"/>
              </w:rPr>
            </w:pPr>
            <w:r w:rsidRPr="0033036C">
              <w:rPr>
                <w:rFonts w:eastAsia="Times New Roman" w:cs="Times New Roman"/>
                <w:color w:val="000000"/>
                <w:sz w:val="20"/>
                <w:szCs w:val="20"/>
                <w:lang w:eastAsia="cs-CZ"/>
              </w:rPr>
              <w:t> </w:t>
            </w:r>
          </w:p>
        </w:tc>
      </w:tr>
    </w:tbl>
    <w:p w:rsidR="00D82F1C" w:rsidRDefault="00D82F1C" w:rsidP="00B74AF8">
      <w:pPr>
        <w:spacing w:before="0" w:after="0"/>
        <w:rPr>
          <w:rFonts w:ascii="Calibri" w:eastAsia="Times New Roman" w:hAnsi="Calibri" w:cs="Times New Roman"/>
          <w:i/>
          <w:iCs/>
          <w:color w:val="000000"/>
          <w:sz w:val="16"/>
          <w:szCs w:val="16"/>
          <w:lang w:eastAsia="cs-CZ"/>
        </w:rPr>
      </w:pPr>
    </w:p>
    <w:p w:rsidR="00B74AF8" w:rsidRDefault="00B74AF8" w:rsidP="00B74AF8">
      <w:pPr>
        <w:spacing w:before="0" w:after="0"/>
        <w:rPr>
          <w:rFonts w:ascii="Calibri" w:eastAsia="Times New Roman" w:hAnsi="Calibri" w:cs="Times New Roman"/>
          <w:i/>
          <w:iCs/>
          <w:color w:val="000000"/>
          <w:sz w:val="16"/>
          <w:szCs w:val="16"/>
          <w:lang w:eastAsia="cs-CZ"/>
        </w:rPr>
      </w:pPr>
      <w:r w:rsidRPr="00B65664">
        <w:rPr>
          <w:rFonts w:ascii="Calibri" w:eastAsia="Times New Roman" w:hAnsi="Calibri" w:cs="Times New Roman"/>
          <w:i/>
          <w:iCs/>
          <w:color w:val="000000"/>
          <w:sz w:val="16"/>
          <w:szCs w:val="16"/>
          <w:lang w:eastAsia="cs-CZ"/>
        </w:rPr>
        <w:t xml:space="preserve">Pozn: </w:t>
      </w:r>
      <w:r>
        <w:rPr>
          <w:rFonts w:ascii="Calibri" w:eastAsia="Times New Roman" w:hAnsi="Calibri" w:cs="Times New Roman"/>
          <w:i/>
          <w:iCs/>
          <w:color w:val="000000"/>
          <w:sz w:val="16"/>
          <w:szCs w:val="16"/>
          <w:lang w:eastAsia="cs-CZ"/>
        </w:rPr>
        <w:t xml:space="preserve">Použita frakční metoda: </w:t>
      </w:r>
      <w:r w:rsidRPr="00B65664">
        <w:rPr>
          <w:rFonts w:ascii="Calibri" w:eastAsia="Times New Roman" w:hAnsi="Calibri" w:cs="Times New Roman"/>
          <w:i/>
          <w:iCs/>
          <w:color w:val="000000"/>
          <w:sz w:val="16"/>
          <w:szCs w:val="16"/>
          <w:lang w:eastAsia="cs-CZ"/>
        </w:rPr>
        <w:t xml:space="preserve">Pokud se autor v daném roce vyskytuje v n skupinách institucí </w:t>
      </w:r>
      <w:r>
        <w:rPr>
          <w:rFonts w:ascii="Calibri" w:eastAsia="Times New Roman" w:hAnsi="Calibri" w:cs="Times New Roman"/>
          <w:i/>
          <w:iCs/>
          <w:color w:val="000000"/>
          <w:sz w:val="16"/>
          <w:szCs w:val="16"/>
          <w:lang w:eastAsia="cs-CZ"/>
        </w:rPr>
        <w:t xml:space="preserve">je v každé skupině započten 1/n. </w:t>
      </w:r>
      <w:r w:rsidRPr="00B65664">
        <w:rPr>
          <w:rFonts w:ascii="Calibri" w:eastAsia="Times New Roman" w:hAnsi="Calibri" w:cs="Times New Roman"/>
          <w:i/>
          <w:iCs/>
          <w:color w:val="000000"/>
          <w:sz w:val="16"/>
          <w:szCs w:val="16"/>
          <w:lang w:eastAsia="cs-CZ"/>
        </w:rPr>
        <w:t>Spol</w:t>
      </w:r>
      <w:r w:rsidR="009E0781">
        <w:rPr>
          <w:rFonts w:ascii="Calibri" w:eastAsia="Times New Roman" w:hAnsi="Calibri" w:cs="Times New Roman"/>
          <w:i/>
          <w:iCs/>
          <w:color w:val="000000"/>
          <w:sz w:val="16"/>
          <w:szCs w:val="16"/>
          <w:lang w:eastAsia="cs-CZ"/>
        </w:rPr>
        <w:t>u</w:t>
      </w:r>
      <w:r w:rsidRPr="00B65664">
        <w:rPr>
          <w:rFonts w:ascii="Calibri" w:eastAsia="Times New Roman" w:hAnsi="Calibri" w:cs="Times New Roman"/>
          <w:i/>
          <w:iCs/>
          <w:color w:val="000000"/>
          <w:sz w:val="16"/>
          <w:szCs w:val="16"/>
          <w:lang w:eastAsia="cs-CZ"/>
        </w:rPr>
        <w:t xml:space="preserve">autoři z jiných zemí </w:t>
      </w:r>
      <w:r>
        <w:rPr>
          <w:rFonts w:ascii="Calibri" w:eastAsia="Times New Roman" w:hAnsi="Calibri" w:cs="Times New Roman"/>
          <w:i/>
          <w:iCs/>
          <w:color w:val="000000"/>
          <w:sz w:val="16"/>
          <w:szCs w:val="16"/>
          <w:lang w:eastAsia="cs-CZ"/>
        </w:rPr>
        <w:t xml:space="preserve">nejsou v RIV explicitně uvedeni. Popis sloupců viz poznámka </w:t>
      </w:r>
      <w:r w:rsidRPr="009E0781">
        <w:rPr>
          <w:rFonts w:ascii="Calibri" w:eastAsia="Times New Roman" w:hAnsi="Calibri" w:cs="Times New Roman"/>
          <w:i/>
          <w:iCs/>
          <w:color w:val="000000"/>
          <w:sz w:val="16"/>
          <w:szCs w:val="16"/>
          <w:lang w:eastAsia="cs-CZ"/>
        </w:rPr>
        <w:t>k</w:t>
      </w:r>
      <w:r w:rsidR="00693E56">
        <w:rPr>
          <w:rFonts w:ascii="Calibri" w:eastAsia="Times New Roman" w:hAnsi="Calibri" w:cs="Times New Roman"/>
          <w:i/>
          <w:iCs/>
          <w:color w:val="000000"/>
          <w:sz w:val="16"/>
          <w:szCs w:val="16"/>
          <w:lang w:eastAsia="cs-CZ"/>
        </w:rPr>
        <w:t xml:space="preserve"> </w:t>
      </w:r>
      <w:r w:rsidR="00693E56" w:rsidRPr="00693E56">
        <w:rPr>
          <w:rFonts w:ascii="Calibri" w:eastAsia="Times New Roman" w:hAnsi="Calibri" w:cs="Times New Roman"/>
          <w:i/>
          <w:iCs/>
          <w:color w:val="000000"/>
          <w:sz w:val="16"/>
          <w:szCs w:val="16"/>
          <w:lang w:eastAsia="cs-CZ"/>
        </w:rPr>
        <w:fldChar w:fldCharType="begin"/>
      </w:r>
      <w:r w:rsidR="00693E56" w:rsidRPr="00693E56">
        <w:rPr>
          <w:rFonts w:ascii="Calibri" w:eastAsia="Times New Roman" w:hAnsi="Calibri" w:cs="Times New Roman"/>
          <w:i/>
          <w:iCs/>
          <w:color w:val="000000"/>
          <w:sz w:val="16"/>
          <w:szCs w:val="16"/>
          <w:lang w:eastAsia="cs-CZ"/>
        </w:rPr>
        <w:instrText xml:space="preserve"> REF  _Ref450053173 \* Lower \h  \* MERGEFORMAT </w:instrText>
      </w:r>
      <w:r w:rsidR="00693E56" w:rsidRPr="00693E56">
        <w:rPr>
          <w:rFonts w:ascii="Calibri" w:eastAsia="Times New Roman" w:hAnsi="Calibri" w:cs="Times New Roman"/>
          <w:i/>
          <w:iCs/>
          <w:color w:val="000000"/>
          <w:sz w:val="16"/>
          <w:szCs w:val="16"/>
          <w:lang w:eastAsia="cs-CZ"/>
        </w:rPr>
      </w:r>
      <w:r w:rsidR="00693E56" w:rsidRPr="00693E56">
        <w:rPr>
          <w:rFonts w:ascii="Calibri" w:eastAsia="Times New Roman" w:hAnsi="Calibri" w:cs="Times New Roman"/>
          <w:i/>
          <w:iCs/>
          <w:color w:val="000000"/>
          <w:sz w:val="16"/>
          <w:szCs w:val="16"/>
          <w:lang w:eastAsia="cs-CZ"/>
        </w:rPr>
        <w:fldChar w:fldCharType="separate"/>
      </w:r>
      <w:r w:rsidR="003F08E5" w:rsidRPr="003F08E5">
        <w:rPr>
          <w:i/>
          <w:sz w:val="16"/>
          <w:szCs w:val="16"/>
        </w:rPr>
        <w:t xml:space="preserve">tab. </w:t>
      </w:r>
      <w:r w:rsidR="003F08E5" w:rsidRPr="003F08E5">
        <w:rPr>
          <w:i/>
          <w:noProof/>
          <w:sz w:val="16"/>
          <w:szCs w:val="16"/>
        </w:rPr>
        <w:t>51</w:t>
      </w:r>
      <w:r w:rsidR="00693E56" w:rsidRPr="00693E56">
        <w:rPr>
          <w:rFonts w:ascii="Calibri" w:eastAsia="Times New Roman" w:hAnsi="Calibri" w:cs="Times New Roman"/>
          <w:i/>
          <w:iCs/>
          <w:color w:val="000000"/>
          <w:sz w:val="16"/>
          <w:szCs w:val="16"/>
          <w:lang w:eastAsia="cs-CZ"/>
        </w:rPr>
        <w:fldChar w:fldCharType="end"/>
      </w:r>
      <w:r w:rsidRPr="009E0781">
        <w:rPr>
          <w:rFonts w:ascii="Calibri" w:eastAsia="Times New Roman" w:hAnsi="Calibri" w:cs="Times New Roman"/>
          <w:i/>
          <w:iCs/>
          <w:color w:val="000000"/>
          <w:sz w:val="16"/>
          <w:szCs w:val="16"/>
          <w:lang w:eastAsia="cs-CZ"/>
        </w:rPr>
        <w:t>.</w:t>
      </w:r>
    </w:p>
    <w:p w:rsidR="0033036C" w:rsidRDefault="0033036C" w:rsidP="0033036C">
      <w:pPr>
        <w:rPr>
          <w:lang w:eastAsia="cs-CZ"/>
        </w:rPr>
      </w:pPr>
    </w:p>
    <w:p w:rsidR="0033036C" w:rsidRDefault="0033036C" w:rsidP="0033036C">
      <w:pPr>
        <w:rPr>
          <w:lang w:eastAsia="cs-CZ"/>
        </w:rPr>
      </w:pPr>
      <w:r>
        <w:rPr>
          <w:lang w:eastAsia="cs-CZ"/>
        </w:rPr>
        <w:t xml:space="preserve">Přehled institucí, které se podílely alespoň dvěma procenty na celkovém počtu spoluautorů registrovaných v RIV, je uveden na </w:t>
      </w:r>
      <w:r>
        <w:rPr>
          <w:lang w:eastAsia="cs-CZ"/>
        </w:rPr>
        <w:fldChar w:fldCharType="begin"/>
      </w:r>
      <w:r>
        <w:rPr>
          <w:lang w:eastAsia="cs-CZ"/>
        </w:rPr>
        <w:instrText xml:space="preserve"> REF  _Ref450053061 \* Lower \h  \* MERGEFORMAT </w:instrText>
      </w:r>
      <w:r>
        <w:rPr>
          <w:lang w:eastAsia="cs-CZ"/>
        </w:rPr>
      </w:r>
      <w:r>
        <w:rPr>
          <w:lang w:eastAsia="cs-CZ"/>
        </w:rPr>
        <w:fldChar w:fldCharType="separate"/>
      </w:r>
      <w:r w:rsidR="003F08E5">
        <w:t xml:space="preserve">obr. </w:t>
      </w:r>
      <w:r w:rsidR="003F08E5">
        <w:rPr>
          <w:noProof/>
        </w:rPr>
        <w:t>28</w:t>
      </w:r>
      <w:r>
        <w:rPr>
          <w:lang w:eastAsia="cs-CZ"/>
        </w:rPr>
        <w:fldChar w:fldCharType="end"/>
      </w:r>
      <w:r>
        <w:rPr>
          <w:lang w:eastAsia="cs-CZ"/>
        </w:rPr>
        <w:t xml:space="preserve">. Nejvíce pracovníků participujících na výstupech bezpečnostního výzkumu v letech 2010 až 2014 bylo z ČVUT (13 %). Mezi další VŠ s vyšším počtem autorů patří VUT v Brně (8 %), VŠB - TU Ostrava (8 %) a Masarykova univerzita v Brně (6 %). </w:t>
      </w:r>
    </w:p>
    <w:p w:rsidR="0033036C" w:rsidRDefault="0033036C" w:rsidP="0033036C">
      <w:pPr>
        <w:pStyle w:val="Titulek"/>
        <w:keepNext/>
      </w:pPr>
      <w:bookmarkStart w:id="201" w:name="_Ref450052990"/>
      <w:r>
        <w:t xml:space="preserve">Tab. </w:t>
      </w:r>
      <w:r w:rsidR="00990E2D">
        <w:fldChar w:fldCharType="begin"/>
      </w:r>
      <w:r w:rsidR="00990E2D">
        <w:instrText xml:space="preserve"> SEQ Tab. \* ARABIC </w:instrText>
      </w:r>
      <w:r w:rsidR="00990E2D">
        <w:fldChar w:fldCharType="separate"/>
      </w:r>
      <w:r w:rsidR="003F08E5">
        <w:rPr>
          <w:noProof/>
        </w:rPr>
        <w:t>53</w:t>
      </w:r>
      <w:r w:rsidR="00990E2D">
        <w:rPr>
          <w:noProof/>
        </w:rPr>
        <w:fldChar w:fldCharType="end"/>
      </w:r>
      <w:bookmarkEnd w:id="201"/>
      <w:r>
        <w:tab/>
      </w:r>
      <w:r w:rsidRPr="00D82F1C">
        <w:t xml:space="preserve">Počty autorů výstupů ve vybraných institucích provádějící bezpečnostní výzkum v letech 2010 </w:t>
      </w:r>
      <w:r>
        <w:t>–</w:t>
      </w:r>
      <w:r w:rsidRPr="00D82F1C">
        <w:t xml:space="preserve"> 2014</w:t>
      </w:r>
      <w:r>
        <w:t>. Zdroj: IS VaVaI</w:t>
      </w:r>
    </w:p>
    <w:tbl>
      <w:tblPr>
        <w:tblW w:w="8645" w:type="dxa"/>
        <w:tblInd w:w="55" w:type="dxa"/>
        <w:tblCellMar>
          <w:left w:w="70" w:type="dxa"/>
          <w:right w:w="70" w:type="dxa"/>
        </w:tblCellMar>
        <w:tblLook w:val="04A0" w:firstRow="1" w:lastRow="0" w:firstColumn="1" w:lastColumn="0" w:noHBand="0" w:noVBand="1"/>
      </w:tblPr>
      <w:tblGrid>
        <w:gridCol w:w="3984"/>
        <w:gridCol w:w="713"/>
        <w:gridCol w:w="2548"/>
        <w:gridCol w:w="1400"/>
      </w:tblGrid>
      <w:tr w:rsidR="0033036C" w:rsidRPr="007A61AD" w:rsidTr="0033036C">
        <w:trPr>
          <w:trHeight w:val="525"/>
        </w:trPr>
        <w:tc>
          <w:tcPr>
            <w:tcW w:w="398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33036C" w:rsidRPr="007A61AD" w:rsidRDefault="0033036C" w:rsidP="0033036C">
            <w:pPr>
              <w:keepNext/>
              <w:spacing w:before="40" w:after="40"/>
              <w:jc w:val="center"/>
              <w:rPr>
                <w:rFonts w:ascii="Calibri" w:eastAsia="Times New Roman" w:hAnsi="Calibri" w:cs="Times New Roman"/>
                <w:b/>
                <w:bCs/>
                <w:color w:val="000000"/>
                <w:sz w:val="16"/>
                <w:szCs w:val="16"/>
                <w:lang w:eastAsia="cs-CZ"/>
              </w:rPr>
            </w:pPr>
            <w:r w:rsidRPr="007A61AD">
              <w:rPr>
                <w:rFonts w:ascii="Calibri" w:eastAsia="Times New Roman" w:hAnsi="Calibri" w:cs="Times New Roman"/>
                <w:b/>
                <w:bCs/>
                <w:color w:val="000000"/>
                <w:sz w:val="16"/>
                <w:szCs w:val="16"/>
                <w:lang w:eastAsia="cs-CZ"/>
              </w:rPr>
              <w:t>Instituce</w:t>
            </w:r>
          </w:p>
        </w:tc>
        <w:tc>
          <w:tcPr>
            <w:tcW w:w="713"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33036C" w:rsidRPr="007A61AD" w:rsidRDefault="0033036C" w:rsidP="0033036C">
            <w:pPr>
              <w:keepNext/>
              <w:spacing w:before="40" w:after="40"/>
              <w:jc w:val="center"/>
              <w:rPr>
                <w:rFonts w:ascii="Calibri" w:eastAsia="Times New Roman" w:hAnsi="Calibri" w:cs="Times New Roman"/>
                <w:b/>
                <w:bCs/>
                <w:color w:val="000000"/>
                <w:sz w:val="16"/>
                <w:szCs w:val="16"/>
                <w:lang w:eastAsia="cs-CZ"/>
              </w:rPr>
            </w:pPr>
            <w:r>
              <w:rPr>
                <w:rFonts w:ascii="Calibri" w:eastAsia="Times New Roman" w:hAnsi="Calibri" w:cs="Times New Roman"/>
                <w:b/>
                <w:bCs/>
                <w:color w:val="000000"/>
                <w:sz w:val="16"/>
                <w:szCs w:val="16"/>
                <w:lang w:eastAsia="cs-CZ"/>
              </w:rPr>
              <w:t>A</w:t>
            </w:r>
            <w:r w:rsidRPr="007A61AD">
              <w:rPr>
                <w:rFonts w:ascii="Calibri" w:eastAsia="Times New Roman" w:hAnsi="Calibri" w:cs="Times New Roman"/>
                <w:b/>
                <w:bCs/>
                <w:color w:val="000000"/>
                <w:sz w:val="16"/>
                <w:szCs w:val="16"/>
                <w:lang w:eastAsia="cs-CZ"/>
              </w:rPr>
              <w:t>utoři/ instituce</w:t>
            </w:r>
          </w:p>
        </w:tc>
        <w:tc>
          <w:tcPr>
            <w:tcW w:w="2548"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33036C" w:rsidRPr="007A61AD" w:rsidRDefault="0033036C" w:rsidP="0033036C">
            <w:pPr>
              <w:keepNext/>
              <w:spacing w:before="40" w:after="40"/>
              <w:jc w:val="center"/>
              <w:rPr>
                <w:rFonts w:ascii="Calibri" w:eastAsia="Times New Roman" w:hAnsi="Calibri" w:cs="Times New Roman"/>
                <w:b/>
                <w:bCs/>
                <w:color w:val="000000"/>
                <w:sz w:val="16"/>
                <w:szCs w:val="16"/>
                <w:lang w:eastAsia="cs-CZ"/>
              </w:rPr>
            </w:pPr>
            <w:r>
              <w:rPr>
                <w:rFonts w:ascii="Calibri" w:eastAsia="Times New Roman" w:hAnsi="Calibri" w:cs="Times New Roman"/>
                <w:b/>
                <w:bCs/>
                <w:color w:val="000000"/>
                <w:sz w:val="16"/>
                <w:szCs w:val="16"/>
                <w:lang w:eastAsia="cs-CZ"/>
              </w:rPr>
              <w:t>O</w:t>
            </w:r>
            <w:r w:rsidRPr="007A61AD">
              <w:rPr>
                <w:rFonts w:ascii="Calibri" w:eastAsia="Times New Roman" w:hAnsi="Calibri" w:cs="Times New Roman"/>
                <w:b/>
                <w:bCs/>
                <w:color w:val="000000"/>
                <w:sz w:val="16"/>
                <w:szCs w:val="16"/>
                <w:lang w:eastAsia="cs-CZ"/>
              </w:rPr>
              <w:t>rganizační jednotka</w:t>
            </w:r>
          </w:p>
        </w:tc>
        <w:tc>
          <w:tcPr>
            <w:tcW w:w="1400"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33036C" w:rsidRPr="007A61AD" w:rsidRDefault="0033036C" w:rsidP="0033036C">
            <w:pPr>
              <w:keepNext/>
              <w:spacing w:before="40" w:after="40"/>
              <w:jc w:val="center"/>
              <w:rPr>
                <w:rFonts w:ascii="Calibri" w:eastAsia="Times New Roman" w:hAnsi="Calibri" w:cs="Times New Roman"/>
                <w:b/>
                <w:bCs/>
                <w:color w:val="000000"/>
                <w:sz w:val="16"/>
                <w:szCs w:val="16"/>
                <w:lang w:eastAsia="cs-CZ"/>
              </w:rPr>
            </w:pPr>
            <w:r>
              <w:rPr>
                <w:rFonts w:ascii="Calibri" w:eastAsia="Times New Roman" w:hAnsi="Calibri" w:cs="Times New Roman"/>
                <w:b/>
                <w:bCs/>
                <w:color w:val="000000"/>
                <w:sz w:val="16"/>
                <w:szCs w:val="16"/>
                <w:lang w:eastAsia="cs-CZ"/>
              </w:rPr>
              <w:t>A</w:t>
            </w:r>
            <w:r w:rsidRPr="007A61AD">
              <w:rPr>
                <w:rFonts w:ascii="Calibri" w:eastAsia="Times New Roman" w:hAnsi="Calibri" w:cs="Times New Roman"/>
                <w:b/>
                <w:bCs/>
                <w:color w:val="000000"/>
                <w:sz w:val="16"/>
                <w:szCs w:val="16"/>
                <w:lang w:eastAsia="cs-CZ"/>
              </w:rPr>
              <w:t>utoři/organizační jednotka</w:t>
            </w:r>
          </w:p>
        </w:tc>
      </w:tr>
      <w:tr w:rsidR="0033036C" w:rsidRPr="007A61AD" w:rsidTr="000F3591">
        <w:trPr>
          <w:trHeight w:val="450"/>
        </w:trPr>
        <w:tc>
          <w:tcPr>
            <w:tcW w:w="3984"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33036C" w:rsidRPr="007A61AD" w:rsidRDefault="0033036C" w:rsidP="0033036C">
            <w:pPr>
              <w:keepNext/>
              <w:spacing w:before="40" w:after="40"/>
              <w:jc w:val="left"/>
              <w:rPr>
                <w:rFonts w:ascii="Calibri" w:eastAsia="Times New Roman" w:hAnsi="Calibri" w:cs="Times New Roman"/>
                <w:color w:val="000000"/>
                <w:sz w:val="16"/>
                <w:szCs w:val="16"/>
                <w:lang w:eastAsia="cs-CZ"/>
              </w:rPr>
            </w:pPr>
            <w:r w:rsidRPr="007A61AD">
              <w:rPr>
                <w:rFonts w:ascii="Calibri" w:eastAsia="Times New Roman" w:hAnsi="Calibri" w:cs="Times New Roman"/>
                <w:color w:val="000000"/>
                <w:sz w:val="16"/>
                <w:szCs w:val="16"/>
                <w:lang w:eastAsia="cs-CZ"/>
              </w:rPr>
              <w:t>Ministerstvo vnitra</w:t>
            </w:r>
          </w:p>
        </w:tc>
        <w:tc>
          <w:tcPr>
            <w:tcW w:w="713"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33036C" w:rsidRPr="007A61AD" w:rsidRDefault="0033036C" w:rsidP="0033036C">
            <w:pPr>
              <w:keepNext/>
              <w:spacing w:before="40" w:after="40"/>
              <w:jc w:val="right"/>
              <w:rPr>
                <w:rFonts w:ascii="Calibri" w:eastAsia="Times New Roman" w:hAnsi="Calibri" w:cs="Times New Roman"/>
                <w:color w:val="000000"/>
                <w:sz w:val="16"/>
                <w:szCs w:val="16"/>
                <w:lang w:eastAsia="cs-CZ"/>
              </w:rPr>
            </w:pPr>
            <w:r w:rsidRPr="007A61AD">
              <w:rPr>
                <w:rFonts w:ascii="Calibri" w:eastAsia="Times New Roman" w:hAnsi="Calibri" w:cs="Times New Roman"/>
                <w:color w:val="000000"/>
                <w:sz w:val="16"/>
                <w:szCs w:val="16"/>
                <w:lang w:eastAsia="cs-CZ"/>
              </w:rPr>
              <w:t>71</w:t>
            </w:r>
            <w:r>
              <w:rPr>
                <w:rFonts w:ascii="Calibri" w:eastAsia="Times New Roman" w:hAnsi="Calibri" w:cs="Times New Roman"/>
                <w:color w:val="000000"/>
                <w:sz w:val="16"/>
                <w:szCs w:val="16"/>
                <w:lang w:eastAsia="cs-CZ"/>
              </w:rPr>
              <w:t>,</w:t>
            </w:r>
            <w:r w:rsidRPr="007A61AD">
              <w:rPr>
                <w:rFonts w:ascii="Calibri" w:eastAsia="Times New Roman" w:hAnsi="Calibri" w:cs="Times New Roman"/>
                <w:color w:val="000000"/>
                <w:sz w:val="16"/>
                <w:szCs w:val="16"/>
                <w:lang w:eastAsia="cs-CZ"/>
              </w:rPr>
              <w:t>5</w:t>
            </w:r>
          </w:p>
        </w:tc>
        <w:tc>
          <w:tcPr>
            <w:tcW w:w="2548" w:type="dxa"/>
            <w:tcBorders>
              <w:top w:val="nil"/>
              <w:left w:val="nil"/>
              <w:bottom w:val="single" w:sz="4" w:space="0" w:color="auto"/>
              <w:right w:val="single" w:sz="4" w:space="0" w:color="auto"/>
            </w:tcBorders>
            <w:shd w:val="clear" w:color="auto" w:fill="auto"/>
            <w:vAlign w:val="center"/>
            <w:hideMark/>
          </w:tcPr>
          <w:p w:rsidR="0033036C" w:rsidRPr="007A61AD" w:rsidRDefault="0033036C" w:rsidP="0033036C">
            <w:pPr>
              <w:keepNext/>
              <w:spacing w:before="40" w:after="40"/>
              <w:jc w:val="left"/>
              <w:rPr>
                <w:rFonts w:ascii="Calibri" w:eastAsia="Times New Roman" w:hAnsi="Calibri" w:cs="Times New Roman"/>
                <w:color w:val="000000"/>
                <w:sz w:val="16"/>
                <w:szCs w:val="16"/>
                <w:lang w:eastAsia="cs-CZ"/>
              </w:rPr>
            </w:pPr>
            <w:r w:rsidRPr="007A61AD">
              <w:rPr>
                <w:rFonts w:ascii="Calibri" w:eastAsia="Times New Roman" w:hAnsi="Calibri" w:cs="Times New Roman"/>
                <w:color w:val="000000"/>
                <w:sz w:val="16"/>
                <w:szCs w:val="16"/>
                <w:lang w:eastAsia="cs-CZ"/>
              </w:rPr>
              <w:t>Generální ředitelství HZS - Institut ochrany obyvatelstva</w:t>
            </w:r>
          </w:p>
        </w:tc>
        <w:tc>
          <w:tcPr>
            <w:tcW w:w="1400" w:type="dxa"/>
            <w:tcBorders>
              <w:top w:val="nil"/>
              <w:left w:val="nil"/>
              <w:bottom w:val="single" w:sz="4" w:space="0" w:color="auto"/>
              <w:right w:val="single" w:sz="4" w:space="0" w:color="auto"/>
            </w:tcBorders>
            <w:shd w:val="clear" w:color="auto" w:fill="auto"/>
            <w:noWrap/>
            <w:vAlign w:val="center"/>
            <w:hideMark/>
          </w:tcPr>
          <w:p w:rsidR="0033036C" w:rsidRPr="007A61AD" w:rsidRDefault="0033036C" w:rsidP="0033036C">
            <w:pPr>
              <w:keepNext/>
              <w:spacing w:before="40" w:after="40"/>
              <w:jc w:val="right"/>
              <w:rPr>
                <w:rFonts w:ascii="Calibri" w:eastAsia="Times New Roman" w:hAnsi="Calibri" w:cs="Times New Roman"/>
                <w:color w:val="000000"/>
                <w:sz w:val="16"/>
                <w:szCs w:val="16"/>
                <w:lang w:eastAsia="cs-CZ"/>
              </w:rPr>
            </w:pPr>
            <w:r w:rsidRPr="007A61AD">
              <w:rPr>
                <w:rFonts w:ascii="Calibri" w:eastAsia="Times New Roman" w:hAnsi="Calibri" w:cs="Times New Roman"/>
                <w:color w:val="000000"/>
                <w:sz w:val="16"/>
                <w:szCs w:val="16"/>
                <w:lang w:eastAsia="cs-CZ"/>
              </w:rPr>
              <w:t>36</w:t>
            </w:r>
            <w:r>
              <w:rPr>
                <w:rFonts w:ascii="Calibri" w:eastAsia="Times New Roman" w:hAnsi="Calibri" w:cs="Times New Roman"/>
                <w:color w:val="000000"/>
                <w:sz w:val="16"/>
                <w:szCs w:val="16"/>
                <w:lang w:eastAsia="cs-CZ"/>
              </w:rPr>
              <w:t>,</w:t>
            </w:r>
            <w:r w:rsidRPr="007A61AD">
              <w:rPr>
                <w:rFonts w:ascii="Calibri" w:eastAsia="Times New Roman" w:hAnsi="Calibri" w:cs="Times New Roman"/>
                <w:color w:val="000000"/>
                <w:sz w:val="16"/>
                <w:szCs w:val="16"/>
                <w:lang w:eastAsia="cs-CZ"/>
              </w:rPr>
              <w:t>5</w:t>
            </w:r>
          </w:p>
        </w:tc>
      </w:tr>
      <w:tr w:rsidR="0033036C" w:rsidRPr="007A61AD" w:rsidTr="000F3591">
        <w:trPr>
          <w:trHeight w:val="450"/>
        </w:trPr>
        <w:tc>
          <w:tcPr>
            <w:tcW w:w="3984" w:type="dxa"/>
            <w:vMerge/>
            <w:tcBorders>
              <w:top w:val="nil"/>
              <w:left w:val="single" w:sz="4" w:space="0" w:color="auto"/>
              <w:bottom w:val="single" w:sz="4" w:space="0" w:color="000000"/>
              <w:right w:val="single" w:sz="4" w:space="0" w:color="auto"/>
            </w:tcBorders>
            <w:vAlign w:val="center"/>
            <w:hideMark/>
          </w:tcPr>
          <w:p w:rsidR="0033036C" w:rsidRPr="007A61AD" w:rsidRDefault="0033036C" w:rsidP="0033036C">
            <w:pPr>
              <w:keepNext/>
              <w:spacing w:before="40" w:after="40"/>
              <w:jc w:val="left"/>
              <w:rPr>
                <w:rFonts w:ascii="Calibri" w:eastAsia="Times New Roman" w:hAnsi="Calibri" w:cs="Times New Roman"/>
                <w:color w:val="000000"/>
                <w:sz w:val="16"/>
                <w:szCs w:val="16"/>
                <w:lang w:eastAsia="cs-CZ"/>
              </w:rPr>
            </w:pPr>
          </w:p>
        </w:tc>
        <w:tc>
          <w:tcPr>
            <w:tcW w:w="713" w:type="dxa"/>
            <w:vMerge/>
            <w:tcBorders>
              <w:top w:val="nil"/>
              <w:left w:val="single" w:sz="4" w:space="0" w:color="auto"/>
              <w:bottom w:val="single" w:sz="4" w:space="0" w:color="000000"/>
              <w:right w:val="single" w:sz="4" w:space="0" w:color="auto"/>
            </w:tcBorders>
            <w:vAlign w:val="center"/>
            <w:hideMark/>
          </w:tcPr>
          <w:p w:rsidR="0033036C" w:rsidRPr="007A61AD" w:rsidRDefault="0033036C" w:rsidP="0033036C">
            <w:pPr>
              <w:keepNext/>
              <w:spacing w:before="40" w:after="40"/>
              <w:jc w:val="left"/>
              <w:rPr>
                <w:rFonts w:ascii="Calibri" w:eastAsia="Times New Roman" w:hAnsi="Calibri" w:cs="Times New Roman"/>
                <w:color w:val="000000"/>
                <w:sz w:val="16"/>
                <w:szCs w:val="16"/>
                <w:lang w:eastAsia="cs-CZ"/>
              </w:rPr>
            </w:pPr>
          </w:p>
        </w:tc>
        <w:tc>
          <w:tcPr>
            <w:tcW w:w="2548" w:type="dxa"/>
            <w:tcBorders>
              <w:top w:val="nil"/>
              <w:left w:val="nil"/>
              <w:bottom w:val="single" w:sz="4" w:space="0" w:color="auto"/>
              <w:right w:val="single" w:sz="4" w:space="0" w:color="auto"/>
            </w:tcBorders>
            <w:shd w:val="clear" w:color="auto" w:fill="auto"/>
            <w:vAlign w:val="center"/>
            <w:hideMark/>
          </w:tcPr>
          <w:p w:rsidR="0033036C" w:rsidRPr="007A61AD" w:rsidRDefault="0033036C" w:rsidP="0033036C">
            <w:pPr>
              <w:keepNext/>
              <w:spacing w:before="40" w:after="40"/>
              <w:jc w:val="left"/>
              <w:rPr>
                <w:rFonts w:ascii="Calibri" w:eastAsia="Times New Roman" w:hAnsi="Calibri" w:cs="Times New Roman"/>
                <w:color w:val="000000"/>
                <w:sz w:val="16"/>
                <w:szCs w:val="16"/>
                <w:lang w:eastAsia="cs-CZ"/>
              </w:rPr>
            </w:pPr>
            <w:r w:rsidRPr="007A61AD">
              <w:rPr>
                <w:rFonts w:ascii="Calibri" w:eastAsia="Times New Roman" w:hAnsi="Calibri" w:cs="Times New Roman"/>
                <w:color w:val="000000"/>
                <w:sz w:val="16"/>
                <w:szCs w:val="16"/>
                <w:lang w:eastAsia="cs-CZ"/>
              </w:rPr>
              <w:t>Generální ředitelství HZS - Technický ústav požární ochrany</w:t>
            </w:r>
          </w:p>
        </w:tc>
        <w:tc>
          <w:tcPr>
            <w:tcW w:w="1400" w:type="dxa"/>
            <w:tcBorders>
              <w:top w:val="nil"/>
              <w:left w:val="nil"/>
              <w:bottom w:val="single" w:sz="4" w:space="0" w:color="auto"/>
              <w:right w:val="single" w:sz="4" w:space="0" w:color="auto"/>
            </w:tcBorders>
            <w:shd w:val="clear" w:color="auto" w:fill="auto"/>
            <w:noWrap/>
            <w:vAlign w:val="center"/>
            <w:hideMark/>
          </w:tcPr>
          <w:p w:rsidR="0033036C" w:rsidRPr="007A61AD" w:rsidRDefault="0033036C" w:rsidP="0033036C">
            <w:pPr>
              <w:keepNext/>
              <w:spacing w:before="40" w:after="40"/>
              <w:jc w:val="right"/>
              <w:rPr>
                <w:rFonts w:ascii="Calibri" w:eastAsia="Times New Roman" w:hAnsi="Calibri" w:cs="Times New Roman"/>
                <w:color w:val="000000"/>
                <w:sz w:val="16"/>
                <w:szCs w:val="16"/>
                <w:lang w:eastAsia="cs-CZ"/>
              </w:rPr>
            </w:pPr>
            <w:r w:rsidRPr="007A61AD">
              <w:rPr>
                <w:rFonts w:ascii="Calibri" w:eastAsia="Times New Roman" w:hAnsi="Calibri" w:cs="Times New Roman"/>
                <w:color w:val="000000"/>
                <w:sz w:val="16"/>
                <w:szCs w:val="16"/>
                <w:lang w:eastAsia="cs-CZ"/>
              </w:rPr>
              <w:t>18</w:t>
            </w:r>
            <w:r>
              <w:rPr>
                <w:rFonts w:ascii="Calibri" w:eastAsia="Times New Roman" w:hAnsi="Calibri" w:cs="Times New Roman"/>
                <w:color w:val="000000"/>
                <w:sz w:val="16"/>
                <w:szCs w:val="16"/>
                <w:lang w:eastAsia="cs-CZ"/>
              </w:rPr>
              <w:t>,</w:t>
            </w:r>
            <w:r w:rsidRPr="007A61AD">
              <w:rPr>
                <w:rFonts w:ascii="Calibri" w:eastAsia="Times New Roman" w:hAnsi="Calibri" w:cs="Times New Roman"/>
                <w:color w:val="000000"/>
                <w:sz w:val="16"/>
                <w:szCs w:val="16"/>
                <w:lang w:eastAsia="cs-CZ"/>
              </w:rPr>
              <w:t>0</w:t>
            </w:r>
          </w:p>
        </w:tc>
      </w:tr>
      <w:tr w:rsidR="0033036C" w:rsidRPr="007A61AD" w:rsidTr="000F3591">
        <w:trPr>
          <w:trHeight w:val="450"/>
        </w:trPr>
        <w:tc>
          <w:tcPr>
            <w:tcW w:w="3984" w:type="dxa"/>
            <w:vMerge/>
            <w:tcBorders>
              <w:top w:val="nil"/>
              <w:left w:val="single" w:sz="4" w:space="0" w:color="auto"/>
              <w:bottom w:val="single" w:sz="4" w:space="0" w:color="000000"/>
              <w:right w:val="single" w:sz="4" w:space="0" w:color="auto"/>
            </w:tcBorders>
            <w:vAlign w:val="center"/>
            <w:hideMark/>
          </w:tcPr>
          <w:p w:rsidR="0033036C" w:rsidRPr="007A61AD" w:rsidRDefault="0033036C" w:rsidP="0033036C">
            <w:pPr>
              <w:keepNext/>
              <w:spacing w:before="40" w:after="40"/>
              <w:jc w:val="left"/>
              <w:rPr>
                <w:rFonts w:ascii="Calibri" w:eastAsia="Times New Roman" w:hAnsi="Calibri" w:cs="Times New Roman"/>
                <w:color w:val="000000"/>
                <w:sz w:val="16"/>
                <w:szCs w:val="16"/>
                <w:lang w:eastAsia="cs-CZ"/>
              </w:rPr>
            </w:pPr>
          </w:p>
        </w:tc>
        <w:tc>
          <w:tcPr>
            <w:tcW w:w="713" w:type="dxa"/>
            <w:vMerge/>
            <w:tcBorders>
              <w:top w:val="nil"/>
              <w:left w:val="single" w:sz="4" w:space="0" w:color="auto"/>
              <w:bottom w:val="single" w:sz="4" w:space="0" w:color="000000"/>
              <w:right w:val="single" w:sz="4" w:space="0" w:color="auto"/>
            </w:tcBorders>
            <w:vAlign w:val="center"/>
            <w:hideMark/>
          </w:tcPr>
          <w:p w:rsidR="0033036C" w:rsidRPr="007A61AD" w:rsidRDefault="0033036C" w:rsidP="0033036C">
            <w:pPr>
              <w:keepNext/>
              <w:spacing w:before="40" w:after="40"/>
              <w:jc w:val="left"/>
              <w:rPr>
                <w:rFonts w:ascii="Calibri" w:eastAsia="Times New Roman" w:hAnsi="Calibri" w:cs="Times New Roman"/>
                <w:color w:val="000000"/>
                <w:sz w:val="16"/>
                <w:szCs w:val="16"/>
                <w:lang w:eastAsia="cs-CZ"/>
              </w:rPr>
            </w:pPr>
          </w:p>
        </w:tc>
        <w:tc>
          <w:tcPr>
            <w:tcW w:w="2548" w:type="dxa"/>
            <w:tcBorders>
              <w:top w:val="nil"/>
              <w:left w:val="nil"/>
              <w:bottom w:val="single" w:sz="4" w:space="0" w:color="auto"/>
              <w:right w:val="single" w:sz="4" w:space="0" w:color="auto"/>
            </w:tcBorders>
            <w:shd w:val="clear" w:color="auto" w:fill="auto"/>
            <w:vAlign w:val="center"/>
            <w:hideMark/>
          </w:tcPr>
          <w:p w:rsidR="0033036C" w:rsidRPr="007A61AD" w:rsidRDefault="0033036C" w:rsidP="0033036C">
            <w:pPr>
              <w:keepNext/>
              <w:spacing w:before="40" w:after="40"/>
              <w:jc w:val="left"/>
              <w:rPr>
                <w:rFonts w:ascii="Calibri" w:eastAsia="Times New Roman" w:hAnsi="Calibri" w:cs="Times New Roman"/>
                <w:color w:val="000000"/>
                <w:sz w:val="16"/>
                <w:szCs w:val="16"/>
                <w:lang w:eastAsia="cs-CZ"/>
              </w:rPr>
            </w:pPr>
            <w:r w:rsidRPr="007A61AD">
              <w:rPr>
                <w:rFonts w:ascii="Calibri" w:eastAsia="Times New Roman" w:hAnsi="Calibri" w:cs="Times New Roman"/>
                <w:color w:val="000000"/>
                <w:sz w:val="16"/>
                <w:szCs w:val="16"/>
                <w:lang w:eastAsia="cs-CZ"/>
              </w:rPr>
              <w:t>Policie ČR Kriminalistický ústav Praha</w:t>
            </w:r>
          </w:p>
        </w:tc>
        <w:tc>
          <w:tcPr>
            <w:tcW w:w="1400" w:type="dxa"/>
            <w:tcBorders>
              <w:top w:val="nil"/>
              <w:left w:val="nil"/>
              <w:bottom w:val="single" w:sz="4" w:space="0" w:color="auto"/>
              <w:right w:val="single" w:sz="4" w:space="0" w:color="auto"/>
            </w:tcBorders>
            <w:shd w:val="clear" w:color="auto" w:fill="auto"/>
            <w:noWrap/>
            <w:vAlign w:val="center"/>
            <w:hideMark/>
          </w:tcPr>
          <w:p w:rsidR="0033036C" w:rsidRPr="007A61AD" w:rsidRDefault="0033036C" w:rsidP="0033036C">
            <w:pPr>
              <w:keepNext/>
              <w:spacing w:before="40" w:after="40"/>
              <w:jc w:val="right"/>
              <w:rPr>
                <w:rFonts w:ascii="Calibri" w:eastAsia="Times New Roman" w:hAnsi="Calibri" w:cs="Times New Roman"/>
                <w:color w:val="000000"/>
                <w:sz w:val="16"/>
                <w:szCs w:val="16"/>
                <w:lang w:eastAsia="cs-CZ"/>
              </w:rPr>
            </w:pPr>
            <w:r w:rsidRPr="007A61AD">
              <w:rPr>
                <w:rFonts w:ascii="Calibri" w:eastAsia="Times New Roman" w:hAnsi="Calibri" w:cs="Times New Roman"/>
                <w:color w:val="000000"/>
                <w:sz w:val="16"/>
                <w:szCs w:val="16"/>
                <w:lang w:eastAsia="cs-CZ"/>
              </w:rPr>
              <w:t>17</w:t>
            </w:r>
            <w:r>
              <w:rPr>
                <w:rFonts w:ascii="Calibri" w:eastAsia="Times New Roman" w:hAnsi="Calibri" w:cs="Times New Roman"/>
                <w:color w:val="000000"/>
                <w:sz w:val="16"/>
                <w:szCs w:val="16"/>
                <w:lang w:eastAsia="cs-CZ"/>
              </w:rPr>
              <w:t>,</w:t>
            </w:r>
            <w:r w:rsidRPr="007A61AD">
              <w:rPr>
                <w:rFonts w:ascii="Calibri" w:eastAsia="Times New Roman" w:hAnsi="Calibri" w:cs="Times New Roman"/>
                <w:color w:val="000000"/>
                <w:sz w:val="16"/>
                <w:szCs w:val="16"/>
                <w:lang w:eastAsia="cs-CZ"/>
              </w:rPr>
              <w:t>0</w:t>
            </w:r>
          </w:p>
        </w:tc>
      </w:tr>
      <w:tr w:rsidR="0033036C" w:rsidRPr="007A61AD" w:rsidTr="000F3591">
        <w:trPr>
          <w:trHeight w:val="225"/>
        </w:trPr>
        <w:tc>
          <w:tcPr>
            <w:tcW w:w="3984" w:type="dxa"/>
            <w:tcBorders>
              <w:top w:val="nil"/>
              <w:left w:val="single" w:sz="4" w:space="0" w:color="auto"/>
              <w:bottom w:val="single" w:sz="4" w:space="0" w:color="auto"/>
              <w:right w:val="single" w:sz="4" w:space="0" w:color="auto"/>
            </w:tcBorders>
            <w:shd w:val="clear" w:color="auto" w:fill="auto"/>
            <w:noWrap/>
            <w:vAlign w:val="center"/>
            <w:hideMark/>
          </w:tcPr>
          <w:p w:rsidR="0033036C" w:rsidRPr="007A61AD" w:rsidRDefault="0033036C" w:rsidP="0033036C">
            <w:pPr>
              <w:keepNext/>
              <w:spacing w:before="40" w:after="40"/>
              <w:jc w:val="left"/>
              <w:rPr>
                <w:rFonts w:ascii="Calibri" w:eastAsia="Times New Roman" w:hAnsi="Calibri" w:cs="Times New Roman"/>
                <w:color w:val="000000"/>
                <w:sz w:val="16"/>
                <w:szCs w:val="16"/>
                <w:lang w:eastAsia="cs-CZ"/>
              </w:rPr>
            </w:pPr>
            <w:r w:rsidRPr="007A61AD">
              <w:rPr>
                <w:rFonts w:ascii="Calibri" w:eastAsia="Times New Roman" w:hAnsi="Calibri" w:cs="Times New Roman"/>
                <w:color w:val="000000"/>
                <w:sz w:val="16"/>
                <w:szCs w:val="16"/>
                <w:lang w:eastAsia="cs-CZ"/>
              </w:rPr>
              <w:t>Státní ústav radiační ochrany, v.v.i.</w:t>
            </w:r>
          </w:p>
        </w:tc>
        <w:tc>
          <w:tcPr>
            <w:tcW w:w="713" w:type="dxa"/>
            <w:tcBorders>
              <w:top w:val="nil"/>
              <w:left w:val="nil"/>
              <w:bottom w:val="single" w:sz="4" w:space="0" w:color="auto"/>
              <w:right w:val="single" w:sz="4" w:space="0" w:color="auto"/>
            </w:tcBorders>
            <w:shd w:val="clear" w:color="auto" w:fill="auto"/>
            <w:noWrap/>
            <w:vAlign w:val="bottom"/>
            <w:hideMark/>
          </w:tcPr>
          <w:p w:rsidR="0033036C" w:rsidRPr="007A61AD" w:rsidRDefault="0033036C" w:rsidP="0033036C">
            <w:pPr>
              <w:keepNext/>
              <w:spacing w:before="40" w:after="40"/>
              <w:jc w:val="right"/>
              <w:rPr>
                <w:rFonts w:ascii="Calibri" w:eastAsia="Times New Roman" w:hAnsi="Calibri" w:cs="Times New Roman"/>
                <w:color w:val="000000"/>
                <w:sz w:val="16"/>
                <w:szCs w:val="16"/>
                <w:lang w:eastAsia="cs-CZ"/>
              </w:rPr>
            </w:pPr>
            <w:r w:rsidRPr="007A61AD">
              <w:rPr>
                <w:rFonts w:ascii="Calibri" w:eastAsia="Times New Roman" w:hAnsi="Calibri" w:cs="Times New Roman"/>
                <w:color w:val="000000"/>
                <w:sz w:val="16"/>
                <w:szCs w:val="16"/>
                <w:lang w:eastAsia="cs-CZ"/>
              </w:rPr>
              <w:t>42</w:t>
            </w:r>
            <w:r>
              <w:rPr>
                <w:rFonts w:ascii="Calibri" w:eastAsia="Times New Roman" w:hAnsi="Calibri" w:cs="Times New Roman"/>
                <w:color w:val="000000"/>
                <w:sz w:val="16"/>
                <w:szCs w:val="16"/>
                <w:lang w:eastAsia="cs-CZ"/>
              </w:rPr>
              <w:t>,</w:t>
            </w:r>
            <w:r w:rsidRPr="007A61AD">
              <w:rPr>
                <w:rFonts w:ascii="Calibri" w:eastAsia="Times New Roman" w:hAnsi="Calibri" w:cs="Times New Roman"/>
                <w:color w:val="000000"/>
                <w:sz w:val="16"/>
                <w:szCs w:val="16"/>
                <w:lang w:eastAsia="cs-CZ"/>
              </w:rPr>
              <w:t>0</w:t>
            </w:r>
          </w:p>
        </w:tc>
        <w:tc>
          <w:tcPr>
            <w:tcW w:w="2548" w:type="dxa"/>
            <w:tcBorders>
              <w:top w:val="nil"/>
              <w:left w:val="nil"/>
              <w:bottom w:val="single" w:sz="4" w:space="0" w:color="auto"/>
              <w:right w:val="single" w:sz="4" w:space="0" w:color="auto"/>
            </w:tcBorders>
            <w:shd w:val="clear" w:color="auto" w:fill="auto"/>
            <w:vAlign w:val="center"/>
            <w:hideMark/>
          </w:tcPr>
          <w:p w:rsidR="0033036C" w:rsidRPr="007A61AD" w:rsidRDefault="0033036C" w:rsidP="0033036C">
            <w:pPr>
              <w:keepNext/>
              <w:spacing w:before="40" w:after="40"/>
              <w:jc w:val="left"/>
              <w:rPr>
                <w:rFonts w:ascii="Calibri" w:eastAsia="Times New Roman" w:hAnsi="Calibri" w:cs="Times New Roman"/>
                <w:color w:val="000000"/>
                <w:sz w:val="16"/>
                <w:szCs w:val="16"/>
                <w:lang w:eastAsia="cs-CZ"/>
              </w:rPr>
            </w:pPr>
            <w:r w:rsidRPr="007A61AD">
              <w:rPr>
                <w:rFonts w:ascii="Calibri" w:eastAsia="Times New Roman" w:hAnsi="Calibri" w:cs="Times New Roman"/>
                <w:color w:val="000000"/>
                <w:sz w:val="16"/>
                <w:szCs w:val="16"/>
                <w:lang w:eastAsia="cs-CZ"/>
              </w:rPr>
              <w:t> </w:t>
            </w:r>
          </w:p>
        </w:tc>
        <w:tc>
          <w:tcPr>
            <w:tcW w:w="1400" w:type="dxa"/>
            <w:tcBorders>
              <w:top w:val="nil"/>
              <w:left w:val="nil"/>
              <w:bottom w:val="single" w:sz="4" w:space="0" w:color="auto"/>
              <w:right w:val="single" w:sz="4" w:space="0" w:color="auto"/>
            </w:tcBorders>
            <w:shd w:val="clear" w:color="auto" w:fill="auto"/>
            <w:noWrap/>
            <w:vAlign w:val="center"/>
            <w:hideMark/>
          </w:tcPr>
          <w:p w:rsidR="0033036C" w:rsidRPr="007A61AD" w:rsidRDefault="0033036C" w:rsidP="0033036C">
            <w:pPr>
              <w:keepNext/>
              <w:spacing w:before="40" w:after="40"/>
              <w:jc w:val="right"/>
              <w:rPr>
                <w:rFonts w:ascii="Calibri" w:eastAsia="Times New Roman" w:hAnsi="Calibri" w:cs="Times New Roman"/>
                <w:color w:val="000000"/>
                <w:sz w:val="16"/>
                <w:szCs w:val="16"/>
                <w:lang w:eastAsia="cs-CZ"/>
              </w:rPr>
            </w:pPr>
            <w:r w:rsidRPr="007A61AD">
              <w:rPr>
                <w:rFonts w:ascii="Calibri" w:eastAsia="Times New Roman" w:hAnsi="Calibri" w:cs="Times New Roman"/>
                <w:color w:val="000000"/>
                <w:sz w:val="16"/>
                <w:szCs w:val="16"/>
                <w:lang w:eastAsia="cs-CZ"/>
              </w:rPr>
              <w:t>42</w:t>
            </w:r>
            <w:r>
              <w:rPr>
                <w:rFonts w:ascii="Calibri" w:eastAsia="Times New Roman" w:hAnsi="Calibri" w:cs="Times New Roman"/>
                <w:color w:val="000000"/>
                <w:sz w:val="16"/>
                <w:szCs w:val="16"/>
                <w:lang w:eastAsia="cs-CZ"/>
              </w:rPr>
              <w:t>,</w:t>
            </w:r>
            <w:r w:rsidRPr="007A61AD">
              <w:rPr>
                <w:rFonts w:ascii="Calibri" w:eastAsia="Times New Roman" w:hAnsi="Calibri" w:cs="Times New Roman"/>
                <w:color w:val="000000"/>
                <w:sz w:val="16"/>
                <w:szCs w:val="16"/>
                <w:lang w:eastAsia="cs-CZ"/>
              </w:rPr>
              <w:t>0</w:t>
            </w:r>
          </w:p>
        </w:tc>
      </w:tr>
      <w:tr w:rsidR="0033036C" w:rsidRPr="007A61AD" w:rsidTr="000F3591">
        <w:trPr>
          <w:trHeight w:val="225"/>
        </w:trPr>
        <w:tc>
          <w:tcPr>
            <w:tcW w:w="3984" w:type="dxa"/>
            <w:tcBorders>
              <w:top w:val="nil"/>
              <w:left w:val="single" w:sz="4" w:space="0" w:color="auto"/>
              <w:bottom w:val="single" w:sz="4" w:space="0" w:color="auto"/>
              <w:right w:val="single" w:sz="4" w:space="0" w:color="auto"/>
            </w:tcBorders>
            <w:shd w:val="clear" w:color="auto" w:fill="auto"/>
            <w:noWrap/>
            <w:vAlign w:val="center"/>
            <w:hideMark/>
          </w:tcPr>
          <w:p w:rsidR="0033036C" w:rsidRPr="007A61AD" w:rsidRDefault="0033036C" w:rsidP="0033036C">
            <w:pPr>
              <w:keepNext/>
              <w:spacing w:before="40" w:after="40"/>
              <w:jc w:val="left"/>
              <w:rPr>
                <w:rFonts w:ascii="Calibri" w:eastAsia="Times New Roman" w:hAnsi="Calibri" w:cs="Times New Roman"/>
                <w:color w:val="000000"/>
                <w:sz w:val="16"/>
                <w:szCs w:val="16"/>
                <w:lang w:eastAsia="cs-CZ"/>
              </w:rPr>
            </w:pPr>
            <w:r w:rsidRPr="007A61AD">
              <w:rPr>
                <w:rFonts w:ascii="Calibri" w:eastAsia="Times New Roman" w:hAnsi="Calibri" w:cs="Times New Roman"/>
                <w:color w:val="000000"/>
                <w:sz w:val="16"/>
                <w:szCs w:val="16"/>
                <w:lang w:eastAsia="cs-CZ"/>
              </w:rPr>
              <w:t>Státní ústav jaderné, chemické a biologické ochrany, v.v.i.</w:t>
            </w:r>
          </w:p>
        </w:tc>
        <w:tc>
          <w:tcPr>
            <w:tcW w:w="713" w:type="dxa"/>
            <w:tcBorders>
              <w:top w:val="nil"/>
              <w:left w:val="nil"/>
              <w:bottom w:val="single" w:sz="4" w:space="0" w:color="auto"/>
              <w:right w:val="single" w:sz="4" w:space="0" w:color="auto"/>
            </w:tcBorders>
            <w:shd w:val="clear" w:color="auto" w:fill="auto"/>
            <w:noWrap/>
            <w:vAlign w:val="bottom"/>
            <w:hideMark/>
          </w:tcPr>
          <w:p w:rsidR="0033036C" w:rsidRPr="007A61AD" w:rsidRDefault="0033036C" w:rsidP="0033036C">
            <w:pPr>
              <w:keepNext/>
              <w:spacing w:before="40" w:after="40"/>
              <w:jc w:val="right"/>
              <w:rPr>
                <w:rFonts w:ascii="Calibri" w:eastAsia="Times New Roman" w:hAnsi="Calibri" w:cs="Times New Roman"/>
                <w:color w:val="000000"/>
                <w:sz w:val="16"/>
                <w:szCs w:val="16"/>
                <w:lang w:eastAsia="cs-CZ"/>
              </w:rPr>
            </w:pPr>
            <w:r w:rsidRPr="007A61AD">
              <w:rPr>
                <w:rFonts w:ascii="Calibri" w:eastAsia="Times New Roman" w:hAnsi="Calibri" w:cs="Times New Roman"/>
                <w:color w:val="000000"/>
                <w:sz w:val="16"/>
                <w:szCs w:val="16"/>
                <w:lang w:eastAsia="cs-CZ"/>
              </w:rPr>
              <w:t>36</w:t>
            </w:r>
            <w:r>
              <w:rPr>
                <w:rFonts w:ascii="Calibri" w:eastAsia="Times New Roman" w:hAnsi="Calibri" w:cs="Times New Roman"/>
                <w:color w:val="000000"/>
                <w:sz w:val="16"/>
                <w:szCs w:val="16"/>
                <w:lang w:eastAsia="cs-CZ"/>
              </w:rPr>
              <w:t>,</w:t>
            </w:r>
            <w:r w:rsidRPr="007A61AD">
              <w:rPr>
                <w:rFonts w:ascii="Calibri" w:eastAsia="Times New Roman" w:hAnsi="Calibri" w:cs="Times New Roman"/>
                <w:color w:val="000000"/>
                <w:sz w:val="16"/>
                <w:szCs w:val="16"/>
                <w:lang w:eastAsia="cs-CZ"/>
              </w:rPr>
              <w:t>0</w:t>
            </w:r>
          </w:p>
        </w:tc>
        <w:tc>
          <w:tcPr>
            <w:tcW w:w="2548" w:type="dxa"/>
            <w:tcBorders>
              <w:top w:val="nil"/>
              <w:left w:val="nil"/>
              <w:bottom w:val="single" w:sz="4" w:space="0" w:color="auto"/>
              <w:right w:val="single" w:sz="4" w:space="0" w:color="auto"/>
            </w:tcBorders>
            <w:shd w:val="clear" w:color="auto" w:fill="auto"/>
            <w:vAlign w:val="center"/>
            <w:hideMark/>
          </w:tcPr>
          <w:p w:rsidR="0033036C" w:rsidRPr="007A61AD" w:rsidRDefault="0033036C" w:rsidP="0033036C">
            <w:pPr>
              <w:keepNext/>
              <w:spacing w:before="40" w:after="40"/>
              <w:jc w:val="left"/>
              <w:rPr>
                <w:rFonts w:ascii="Calibri" w:eastAsia="Times New Roman" w:hAnsi="Calibri" w:cs="Times New Roman"/>
                <w:color w:val="000000"/>
                <w:sz w:val="16"/>
                <w:szCs w:val="16"/>
                <w:lang w:eastAsia="cs-CZ"/>
              </w:rPr>
            </w:pPr>
            <w:r w:rsidRPr="007A61AD">
              <w:rPr>
                <w:rFonts w:ascii="Calibri" w:eastAsia="Times New Roman" w:hAnsi="Calibri" w:cs="Times New Roman"/>
                <w:color w:val="000000"/>
                <w:sz w:val="16"/>
                <w:szCs w:val="16"/>
                <w:lang w:eastAsia="cs-CZ"/>
              </w:rPr>
              <w:t> </w:t>
            </w:r>
          </w:p>
        </w:tc>
        <w:tc>
          <w:tcPr>
            <w:tcW w:w="1400" w:type="dxa"/>
            <w:tcBorders>
              <w:top w:val="nil"/>
              <w:left w:val="nil"/>
              <w:bottom w:val="single" w:sz="4" w:space="0" w:color="auto"/>
              <w:right w:val="single" w:sz="4" w:space="0" w:color="auto"/>
            </w:tcBorders>
            <w:shd w:val="clear" w:color="auto" w:fill="auto"/>
            <w:noWrap/>
            <w:vAlign w:val="center"/>
            <w:hideMark/>
          </w:tcPr>
          <w:p w:rsidR="0033036C" w:rsidRPr="007A61AD" w:rsidRDefault="0033036C" w:rsidP="0033036C">
            <w:pPr>
              <w:keepNext/>
              <w:spacing w:before="40" w:after="40"/>
              <w:jc w:val="right"/>
              <w:rPr>
                <w:rFonts w:ascii="Calibri" w:eastAsia="Times New Roman" w:hAnsi="Calibri" w:cs="Times New Roman"/>
                <w:color w:val="000000"/>
                <w:sz w:val="16"/>
                <w:szCs w:val="16"/>
                <w:lang w:eastAsia="cs-CZ"/>
              </w:rPr>
            </w:pPr>
            <w:r w:rsidRPr="007A61AD">
              <w:rPr>
                <w:rFonts w:ascii="Calibri" w:eastAsia="Times New Roman" w:hAnsi="Calibri" w:cs="Times New Roman"/>
                <w:color w:val="000000"/>
                <w:sz w:val="16"/>
                <w:szCs w:val="16"/>
                <w:lang w:eastAsia="cs-CZ"/>
              </w:rPr>
              <w:t>36</w:t>
            </w:r>
            <w:r>
              <w:rPr>
                <w:rFonts w:ascii="Calibri" w:eastAsia="Times New Roman" w:hAnsi="Calibri" w:cs="Times New Roman"/>
                <w:color w:val="000000"/>
                <w:sz w:val="16"/>
                <w:szCs w:val="16"/>
                <w:lang w:eastAsia="cs-CZ"/>
              </w:rPr>
              <w:t>,</w:t>
            </w:r>
            <w:r w:rsidRPr="007A61AD">
              <w:rPr>
                <w:rFonts w:ascii="Calibri" w:eastAsia="Times New Roman" w:hAnsi="Calibri" w:cs="Times New Roman"/>
                <w:color w:val="000000"/>
                <w:sz w:val="16"/>
                <w:szCs w:val="16"/>
                <w:lang w:eastAsia="cs-CZ"/>
              </w:rPr>
              <w:t>0</w:t>
            </w:r>
          </w:p>
        </w:tc>
      </w:tr>
      <w:tr w:rsidR="0033036C" w:rsidRPr="007A61AD" w:rsidTr="000F3591">
        <w:trPr>
          <w:trHeight w:val="225"/>
        </w:trPr>
        <w:tc>
          <w:tcPr>
            <w:tcW w:w="3984" w:type="dxa"/>
            <w:tcBorders>
              <w:top w:val="nil"/>
              <w:left w:val="single" w:sz="4" w:space="0" w:color="auto"/>
              <w:bottom w:val="single" w:sz="4" w:space="0" w:color="auto"/>
              <w:right w:val="single" w:sz="4" w:space="0" w:color="auto"/>
            </w:tcBorders>
            <w:shd w:val="clear" w:color="auto" w:fill="auto"/>
            <w:noWrap/>
            <w:vAlign w:val="center"/>
            <w:hideMark/>
          </w:tcPr>
          <w:p w:rsidR="0033036C" w:rsidRPr="007A61AD" w:rsidRDefault="0033036C" w:rsidP="0033036C">
            <w:pPr>
              <w:keepNext/>
              <w:spacing w:before="40" w:after="40"/>
              <w:jc w:val="left"/>
              <w:rPr>
                <w:rFonts w:ascii="Calibri" w:eastAsia="Times New Roman" w:hAnsi="Calibri" w:cs="Times New Roman"/>
                <w:color w:val="000000"/>
                <w:sz w:val="16"/>
                <w:szCs w:val="16"/>
                <w:lang w:eastAsia="cs-CZ"/>
              </w:rPr>
            </w:pPr>
            <w:r w:rsidRPr="007A61AD">
              <w:rPr>
                <w:rFonts w:ascii="Calibri" w:eastAsia="Times New Roman" w:hAnsi="Calibri" w:cs="Times New Roman"/>
                <w:color w:val="000000"/>
                <w:sz w:val="16"/>
                <w:szCs w:val="16"/>
                <w:lang w:eastAsia="cs-CZ"/>
              </w:rPr>
              <w:t>Institut pro kriminologii a sociální prevenci</w:t>
            </w:r>
          </w:p>
        </w:tc>
        <w:tc>
          <w:tcPr>
            <w:tcW w:w="713" w:type="dxa"/>
            <w:tcBorders>
              <w:top w:val="nil"/>
              <w:left w:val="nil"/>
              <w:bottom w:val="single" w:sz="4" w:space="0" w:color="auto"/>
              <w:right w:val="single" w:sz="4" w:space="0" w:color="auto"/>
            </w:tcBorders>
            <w:shd w:val="clear" w:color="auto" w:fill="auto"/>
            <w:noWrap/>
            <w:vAlign w:val="center"/>
            <w:hideMark/>
          </w:tcPr>
          <w:p w:rsidR="0033036C" w:rsidRPr="007A61AD" w:rsidRDefault="0033036C" w:rsidP="0033036C">
            <w:pPr>
              <w:keepNext/>
              <w:spacing w:before="40" w:after="40"/>
              <w:jc w:val="right"/>
              <w:rPr>
                <w:rFonts w:ascii="Calibri" w:eastAsia="Times New Roman" w:hAnsi="Calibri" w:cs="Times New Roman"/>
                <w:color w:val="000000"/>
                <w:sz w:val="16"/>
                <w:szCs w:val="16"/>
                <w:lang w:eastAsia="cs-CZ"/>
              </w:rPr>
            </w:pPr>
            <w:r w:rsidRPr="007A61AD">
              <w:rPr>
                <w:rFonts w:ascii="Calibri" w:eastAsia="Times New Roman" w:hAnsi="Calibri" w:cs="Times New Roman"/>
                <w:color w:val="000000"/>
                <w:sz w:val="16"/>
                <w:szCs w:val="16"/>
                <w:lang w:eastAsia="cs-CZ"/>
              </w:rPr>
              <w:t>7</w:t>
            </w:r>
            <w:r>
              <w:rPr>
                <w:rFonts w:ascii="Calibri" w:eastAsia="Times New Roman" w:hAnsi="Calibri" w:cs="Times New Roman"/>
                <w:color w:val="000000"/>
                <w:sz w:val="16"/>
                <w:szCs w:val="16"/>
                <w:lang w:eastAsia="cs-CZ"/>
              </w:rPr>
              <w:t>,</w:t>
            </w:r>
            <w:r w:rsidRPr="007A61AD">
              <w:rPr>
                <w:rFonts w:ascii="Calibri" w:eastAsia="Times New Roman" w:hAnsi="Calibri" w:cs="Times New Roman"/>
                <w:color w:val="000000"/>
                <w:sz w:val="16"/>
                <w:szCs w:val="16"/>
                <w:lang w:eastAsia="cs-CZ"/>
              </w:rPr>
              <w:t>0</w:t>
            </w:r>
          </w:p>
        </w:tc>
        <w:tc>
          <w:tcPr>
            <w:tcW w:w="2548" w:type="dxa"/>
            <w:tcBorders>
              <w:top w:val="nil"/>
              <w:left w:val="nil"/>
              <w:bottom w:val="single" w:sz="4" w:space="0" w:color="auto"/>
              <w:right w:val="single" w:sz="4" w:space="0" w:color="auto"/>
            </w:tcBorders>
            <w:shd w:val="clear" w:color="auto" w:fill="auto"/>
            <w:vAlign w:val="center"/>
            <w:hideMark/>
          </w:tcPr>
          <w:p w:rsidR="0033036C" w:rsidRPr="007A61AD" w:rsidRDefault="0033036C" w:rsidP="0033036C">
            <w:pPr>
              <w:keepNext/>
              <w:spacing w:before="40" w:after="40"/>
              <w:jc w:val="left"/>
              <w:rPr>
                <w:rFonts w:ascii="Calibri" w:eastAsia="Times New Roman" w:hAnsi="Calibri" w:cs="Times New Roman"/>
                <w:color w:val="000000"/>
                <w:sz w:val="16"/>
                <w:szCs w:val="16"/>
                <w:lang w:eastAsia="cs-CZ"/>
              </w:rPr>
            </w:pPr>
            <w:r w:rsidRPr="007A61AD">
              <w:rPr>
                <w:rFonts w:ascii="Calibri" w:eastAsia="Times New Roman" w:hAnsi="Calibri" w:cs="Times New Roman"/>
                <w:color w:val="000000"/>
                <w:sz w:val="16"/>
                <w:szCs w:val="16"/>
                <w:lang w:eastAsia="cs-CZ"/>
              </w:rPr>
              <w:t> </w:t>
            </w:r>
          </w:p>
        </w:tc>
        <w:tc>
          <w:tcPr>
            <w:tcW w:w="1400" w:type="dxa"/>
            <w:tcBorders>
              <w:top w:val="nil"/>
              <w:left w:val="nil"/>
              <w:bottom w:val="single" w:sz="4" w:space="0" w:color="auto"/>
              <w:right w:val="single" w:sz="4" w:space="0" w:color="auto"/>
            </w:tcBorders>
            <w:shd w:val="clear" w:color="auto" w:fill="auto"/>
            <w:noWrap/>
            <w:vAlign w:val="center"/>
            <w:hideMark/>
          </w:tcPr>
          <w:p w:rsidR="0033036C" w:rsidRPr="007A61AD" w:rsidRDefault="0033036C" w:rsidP="0033036C">
            <w:pPr>
              <w:keepNext/>
              <w:spacing w:before="40" w:after="40"/>
              <w:jc w:val="right"/>
              <w:rPr>
                <w:rFonts w:ascii="Calibri" w:eastAsia="Times New Roman" w:hAnsi="Calibri" w:cs="Times New Roman"/>
                <w:color w:val="000000"/>
                <w:sz w:val="16"/>
                <w:szCs w:val="16"/>
                <w:lang w:eastAsia="cs-CZ"/>
              </w:rPr>
            </w:pPr>
            <w:r w:rsidRPr="007A61AD">
              <w:rPr>
                <w:rFonts w:ascii="Calibri" w:eastAsia="Times New Roman" w:hAnsi="Calibri" w:cs="Times New Roman"/>
                <w:color w:val="000000"/>
                <w:sz w:val="16"/>
                <w:szCs w:val="16"/>
                <w:lang w:eastAsia="cs-CZ"/>
              </w:rPr>
              <w:t>7</w:t>
            </w:r>
            <w:r>
              <w:rPr>
                <w:rFonts w:ascii="Calibri" w:eastAsia="Times New Roman" w:hAnsi="Calibri" w:cs="Times New Roman"/>
                <w:color w:val="000000"/>
                <w:sz w:val="16"/>
                <w:szCs w:val="16"/>
                <w:lang w:eastAsia="cs-CZ"/>
              </w:rPr>
              <w:t>,</w:t>
            </w:r>
            <w:r w:rsidRPr="007A61AD">
              <w:rPr>
                <w:rFonts w:ascii="Calibri" w:eastAsia="Times New Roman" w:hAnsi="Calibri" w:cs="Times New Roman"/>
                <w:color w:val="000000"/>
                <w:sz w:val="16"/>
                <w:szCs w:val="16"/>
                <w:lang w:eastAsia="cs-CZ"/>
              </w:rPr>
              <w:t>0</w:t>
            </w:r>
          </w:p>
        </w:tc>
      </w:tr>
      <w:tr w:rsidR="0033036C" w:rsidRPr="007A61AD" w:rsidTr="000F3591">
        <w:trPr>
          <w:trHeight w:val="225"/>
        </w:trPr>
        <w:tc>
          <w:tcPr>
            <w:tcW w:w="3984" w:type="dxa"/>
            <w:tcBorders>
              <w:top w:val="nil"/>
              <w:left w:val="single" w:sz="4" w:space="0" w:color="auto"/>
              <w:bottom w:val="single" w:sz="4" w:space="0" w:color="auto"/>
              <w:right w:val="single" w:sz="4" w:space="0" w:color="auto"/>
            </w:tcBorders>
            <w:shd w:val="clear" w:color="auto" w:fill="auto"/>
            <w:noWrap/>
            <w:vAlign w:val="center"/>
            <w:hideMark/>
          </w:tcPr>
          <w:p w:rsidR="0033036C" w:rsidRPr="007A61AD" w:rsidRDefault="0033036C" w:rsidP="0033036C">
            <w:pPr>
              <w:keepNext/>
              <w:spacing w:before="40" w:after="40"/>
              <w:jc w:val="left"/>
              <w:rPr>
                <w:rFonts w:ascii="Calibri" w:eastAsia="Times New Roman" w:hAnsi="Calibri" w:cs="Times New Roman"/>
                <w:color w:val="000000"/>
                <w:sz w:val="16"/>
                <w:szCs w:val="16"/>
                <w:lang w:eastAsia="cs-CZ"/>
              </w:rPr>
            </w:pPr>
            <w:r w:rsidRPr="007A61AD">
              <w:rPr>
                <w:rFonts w:ascii="Calibri" w:eastAsia="Times New Roman" w:hAnsi="Calibri" w:cs="Times New Roman"/>
                <w:color w:val="000000"/>
                <w:sz w:val="16"/>
                <w:szCs w:val="16"/>
                <w:lang w:eastAsia="cs-CZ"/>
              </w:rPr>
              <w:t>Policejní akademie České republiky v Praze</w:t>
            </w:r>
          </w:p>
        </w:tc>
        <w:tc>
          <w:tcPr>
            <w:tcW w:w="713" w:type="dxa"/>
            <w:tcBorders>
              <w:top w:val="nil"/>
              <w:left w:val="nil"/>
              <w:bottom w:val="single" w:sz="4" w:space="0" w:color="auto"/>
              <w:right w:val="single" w:sz="4" w:space="0" w:color="auto"/>
            </w:tcBorders>
            <w:shd w:val="clear" w:color="auto" w:fill="auto"/>
            <w:noWrap/>
            <w:vAlign w:val="center"/>
            <w:hideMark/>
          </w:tcPr>
          <w:p w:rsidR="0033036C" w:rsidRPr="007A61AD" w:rsidRDefault="0033036C" w:rsidP="0033036C">
            <w:pPr>
              <w:keepNext/>
              <w:spacing w:before="40" w:after="40"/>
              <w:jc w:val="right"/>
              <w:rPr>
                <w:rFonts w:ascii="Calibri" w:eastAsia="Times New Roman" w:hAnsi="Calibri" w:cs="Times New Roman"/>
                <w:color w:val="000000"/>
                <w:sz w:val="16"/>
                <w:szCs w:val="16"/>
                <w:lang w:eastAsia="cs-CZ"/>
              </w:rPr>
            </w:pPr>
            <w:r w:rsidRPr="007A61AD">
              <w:rPr>
                <w:rFonts w:ascii="Calibri" w:eastAsia="Times New Roman" w:hAnsi="Calibri" w:cs="Times New Roman"/>
                <w:color w:val="000000"/>
                <w:sz w:val="16"/>
                <w:szCs w:val="16"/>
                <w:lang w:eastAsia="cs-CZ"/>
              </w:rPr>
              <w:t>5</w:t>
            </w:r>
            <w:r>
              <w:rPr>
                <w:rFonts w:ascii="Calibri" w:eastAsia="Times New Roman" w:hAnsi="Calibri" w:cs="Times New Roman"/>
                <w:color w:val="000000"/>
                <w:sz w:val="16"/>
                <w:szCs w:val="16"/>
                <w:lang w:eastAsia="cs-CZ"/>
              </w:rPr>
              <w:t>,</w:t>
            </w:r>
            <w:r w:rsidRPr="007A61AD">
              <w:rPr>
                <w:rFonts w:ascii="Calibri" w:eastAsia="Times New Roman" w:hAnsi="Calibri" w:cs="Times New Roman"/>
                <w:color w:val="000000"/>
                <w:sz w:val="16"/>
                <w:szCs w:val="16"/>
                <w:lang w:eastAsia="cs-CZ"/>
              </w:rPr>
              <w:t>5</w:t>
            </w:r>
          </w:p>
        </w:tc>
        <w:tc>
          <w:tcPr>
            <w:tcW w:w="2548" w:type="dxa"/>
            <w:tcBorders>
              <w:top w:val="nil"/>
              <w:left w:val="nil"/>
              <w:bottom w:val="single" w:sz="4" w:space="0" w:color="auto"/>
              <w:right w:val="single" w:sz="4" w:space="0" w:color="auto"/>
            </w:tcBorders>
            <w:shd w:val="clear" w:color="auto" w:fill="auto"/>
            <w:vAlign w:val="center"/>
            <w:hideMark/>
          </w:tcPr>
          <w:p w:rsidR="0033036C" w:rsidRPr="007A61AD" w:rsidRDefault="0033036C" w:rsidP="0033036C">
            <w:pPr>
              <w:keepNext/>
              <w:spacing w:before="40" w:after="40"/>
              <w:jc w:val="left"/>
              <w:rPr>
                <w:rFonts w:ascii="Calibri" w:eastAsia="Times New Roman" w:hAnsi="Calibri" w:cs="Times New Roman"/>
                <w:color w:val="000000"/>
                <w:sz w:val="16"/>
                <w:szCs w:val="16"/>
                <w:lang w:eastAsia="cs-CZ"/>
              </w:rPr>
            </w:pPr>
            <w:r w:rsidRPr="007A61AD">
              <w:rPr>
                <w:rFonts w:ascii="Calibri" w:eastAsia="Times New Roman" w:hAnsi="Calibri" w:cs="Times New Roman"/>
                <w:color w:val="000000"/>
                <w:sz w:val="16"/>
                <w:szCs w:val="16"/>
                <w:lang w:eastAsia="cs-CZ"/>
              </w:rPr>
              <w:t> </w:t>
            </w:r>
          </w:p>
        </w:tc>
        <w:tc>
          <w:tcPr>
            <w:tcW w:w="1400" w:type="dxa"/>
            <w:tcBorders>
              <w:top w:val="nil"/>
              <w:left w:val="nil"/>
              <w:bottom w:val="single" w:sz="4" w:space="0" w:color="auto"/>
              <w:right w:val="single" w:sz="4" w:space="0" w:color="auto"/>
            </w:tcBorders>
            <w:shd w:val="clear" w:color="auto" w:fill="auto"/>
            <w:noWrap/>
            <w:vAlign w:val="center"/>
            <w:hideMark/>
          </w:tcPr>
          <w:p w:rsidR="0033036C" w:rsidRPr="007A61AD" w:rsidRDefault="0033036C" w:rsidP="0033036C">
            <w:pPr>
              <w:keepNext/>
              <w:spacing w:before="40" w:after="40"/>
              <w:jc w:val="right"/>
              <w:rPr>
                <w:rFonts w:ascii="Calibri" w:eastAsia="Times New Roman" w:hAnsi="Calibri" w:cs="Times New Roman"/>
                <w:color w:val="000000"/>
                <w:sz w:val="16"/>
                <w:szCs w:val="16"/>
                <w:lang w:eastAsia="cs-CZ"/>
              </w:rPr>
            </w:pPr>
            <w:r w:rsidRPr="007A61AD">
              <w:rPr>
                <w:rFonts w:ascii="Calibri" w:eastAsia="Times New Roman" w:hAnsi="Calibri" w:cs="Times New Roman"/>
                <w:color w:val="000000"/>
                <w:sz w:val="16"/>
                <w:szCs w:val="16"/>
                <w:lang w:eastAsia="cs-CZ"/>
              </w:rPr>
              <w:t>5</w:t>
            </w:r>
            <w:r>
              <w:rPr>
                <w:rFonts w:ascii="Calibri" w:eastAsia="Times New Roman" w:hAnsi="Calibri" w:cs="Times New Roman"/>
                <w:color w:val="000000"/>
                <w:sz w:val="16"/>
                <w:szCs w:val="16"/>
                <w:lang w:eastAsia="cs-CZ"/>
              </w:rPr>
              <w:t>,</w:t>
            </w:r>
            <w:r w:rsidRPr="007A61AD">
              <w:rPr>
                <w:rFonts w:ascii="Calibri" w:eastAsia="Times New Roman" w:hAnsi="Calibri" w:cs="Times New Roman"/>
                <w:color w:val="000000"/>
                <w:sz w:val="16"/>
                <w:szCs w:val="16"/>
                <w:lang w:eastAsia="cs-CZ"/>
              </w:rPr>
              <w:t>5</w:t>
            </w:r>
          </w:p>
        </w:tc>
      </w:tr>
      <w:tr w:rsidR="0033036C" w:rsidRPr="007A61AD" w:rsidTr="000F3591">
        <w:trPr>
          <w:trHeight w:val="225"/>
        </w:trPr>
        <w:tc>
          <w:tcPr>
            <w:tcW w:w="3984" w:type="dxa"/>
            <w:tcBorders>
              <w:top w:val="nil"/>
              <w:left w:val="single" w:sz="4" w:space="0" w:color="auto"/>
              <w:bottom w:val="single" w:sz="4" w:space="0" w:color="auto"/>
              <w:right w:val="single" w:sz="4" w:space="0" w:color="auto"/>
            </w:tcBorders>
            <w:shd w:val="clear" w:color="auto" w:fill="auto"/>
            <w:noWrap/>
            <w:vAlign w:val="center"/>
            <w:hideMark/>
          </w:tcPr>
          <w:p w:rsidR="0033036C" w:rsidRPr="007A61AD" w:rsidRDefault="0033036C" w:rsidP="0033036C">
            <w:pPr>
              <w:keepNext/>
              <w:spacing w:before="40" w:after="40"/>
              <w:jc w:val="left"/>
              <w:rPr>
                <w:rFonts w:ascii="Calibri" w:eastAsia="Times New Roman" w:hAnsi="Calibri" w:cs="Times New Roman"/>
                <w:color w:val="000000"/>
                <w:sz w:val="16"/>
                <w:szCs w:val="16"/>
                <w:lang w:eastAsia="cs-CZ"/>
              </w:rPr>
            </w:pPr>
            <w:r w:rsidRPr="007A61AD">
              <w:rPr>
                <w:rFonts w:ascii="Calibri" w:eastAsia="Times New Roman" w:hAnsi="Calibri" w:cs="Times New Roman"/>
                <w:color w:val="000000"/>
                <w:sz w:val="16"/>
                <w:szCs w:val="16"/>
                <w:lang w:eastAsia="cs-CZ"/>
              </w:rPr>
              <w:t>Národní archiv</w:t>
            </w:r>
          </w:p>
        </w:tc>
        <w:tc>
          <w:tcPr>
            <w:tcW w:w="713" w:type="dxa"/>
            <w:tcBorders>
              <w:top w:val="nil"/>
              <w:left w:val="nil"/>
              <w:bottom w:val="single" w:sz="4" w:space="0" w:color="auto"/>
              <w:right w:val="single" w:sz="4" w:space="0" w:color="auto"/>
            </w:tcBorders>
            <w:shd w:val="clear" w:color="auto" w:fill="auto"/>
            <w:noWrap/>
            <w:vAlign w:val="center"/>
            <w:hideMark/>
          </w:tcPr>
          <w:p w:rsidR="0033036C" w:rsidRPr="007A61AD" w:rsidRDefault="0033036C" w:rsidP="0033036C">
            <w:pPr>
              <w:keepNext/>
              <w:spacing w:before="40" w:after="40"/>
              <w:jc w:val="right"/>
              <w:rPr>
                <w:rFonts w:ascii="Calibri" w:eastAsia="Times New Roman" w:hAnsi="Calibri" w:cs="Times New Roman"/>
                <w:color w:val="000000"/>
                <w:sz w:val="16"/>
                <w:szCs w:val="16"/>
                <w:lang w:eastAsia="cs-CZ"/>
              </w:rPr>
            </w:pPr>
            <w:r w:rsidRPr="007A61AD">
              <w:rPr>
                <w:rFonts w:ascii="Calibri" w:eastAsia="Times New Roman" w:hAnsi="Calibri" w:cs="Times New Roman"/>
                <w:color w:val="000000"/>
                <w:sz w:val="16"/>
                <w:szCs w:val="16"/>
                <w:lang w:eastAsia="cs-CZ"/>
              </w:rPr>
              <w:t>2</w:t>
            </w:r>
            <w:r>
              <w:rPr>
                <w:rFonts w:ascii="Calibri" w:eastAsia="Times New Roman" w:hAnsi="Calibri" w:cs="Times New Roman"/>
                <w:color w:val="000000"/>
                <w:sz w:val="16"/>
                <w:szCs w:val="16"/>
                <w:lang w:eastAsia="cs-CZ"/>
              </w:rPr>
              <w:t>,</w:t>
            </w:r>
            <w:r w:rsidRPr="007A61AD">
              <w:rPr>
                <w:rFonts w:ascii="Calibri" w:eastAsia="Times New Roman" w:hAnsi="Calibri" w:cs="Times New Roman"/>
                <w:color w:val="000000"/>
                <w:sz w:val="16"/>
                <w:szCs w:val="16"/>
                <w:lang w:eastAsia="cs-CZ"/>
              </w:rPr>
              <w:t>0</w:t>
            </w:r>
          </w:p>
        </w:tc>
        <w:tc>
          <w:tcPr>
            <w:tcW w:w="2548" w:type="dxa"/>
            <w:tcBorders>
              <w:top w:val="nil"/>
              <w:left w:val="nil"/>
              <w:bottom w:val="single" w:sz="4" w:space="0" w:color="auto"/>
              <w:right w:val="single" w:sz="4" w:space="0" w:color="auto"/>
            </w:tcBorders>
            <w:shd w:val="clear" w:color="auto" w:fill="auto"/>
            <w:vAlign w:val="center"/>
            <w:hideMark/>
          </w:tcPr>
          <w:p w:rsidR="0033036C" w:rsidRPr="007A61AD" w:rsidRDefault="0033036C" w:rsidP="0033036C">
            <w:pPr>
              <w:keepNext/>
              <w:spacing w:before="40" w:after="40"/>
              <w:jc w:val="left"/>
              <w:rPr>
                <w:rFonts w:ascii="Calibri" w:eastAsia="Times New Roman" w:hAnsi="Calibri" w:cs="Times New Roman"/>
                <w:color w:val="000000"/>
                <w:sz w:val="16"/>
                <w:szCs w:val="16"/>
                <w:lang w:eastAsia="cs-CZ"/>
              </w:rPr>
            </w:pPr>
            <w:r w:rsidRPr="007A61AD">
              <w:rPr>
                <w:rFonts w:ascii="Calibri" w:eastAsia="Times New Roman" w:hAnsi="Calibri" w:cs="Times New Roman"/>
                <w:color w:val="000000"/>
                <w:sz w:val="16"/>
                <w:szCs w:val="16"/>
                <w:lang w:eastAsia="cs-CZ"/>
              </w:rPr>
              <w:t> </w:t>
            </w:r>
          </w:p>
        </w:tc>
        <w:tc>
          <w:tcPr>
            <w:tcW w:w="1400" w:type="dxa"/>
            <w:tcBorders>
              <w:top w:val="nil"/>
              <w:left w:val="nil"/>
              <w:bottom w:val="single" w:sz="4" w:space="0" w:color="auto"/>
              <w:right w:val="single" w:sz="4" w:space="0" w:color="auto"/>
            </w:tcBorders>
            <w:shd w:val="clear" w:color="auto" w:fill="auto"/>
            <w:noWrap/>
            <w:vAlign w:val="center"/>
            <w:hideMark/>
          </w:tcPr>
          <w:p w:rsidR="0033036C" w:rsidRPr="007A61AD" w:rsidRDefault="0033036C" w:rsidP="0033036C">
            <w:pPr>
              <w:keepNext/>
              <w:spacing w:before="40" w:after="40"/>
              <w:jc w:val="right"/>
              <w:rPr>
                <w:rFonts w:ascii="Calibri" w:eastAsia="Times New Roman" w:hAnsi="Calibri" w:cs="Times New Roman"/>
                <w:color w:val="000000"/>
                <w:sz w:val="16"/>
                <w:szCs w:val="16"/>
                <w:lang w:eastAsia="cs-CZ"/>
              </w:rPr>
            </w:pPr>
            <w:r w:rsidRPr="007A61AD">
              <w:rPr>
                <w:rFonts w:ascii="Calibri" w:eastAsia="Times New Roman" w:hAnsi="Calibri" w:cs="Times New Roman"/>
                <w:color w:val="000000"/>
                <w:sz w:val="16"/>
                <w:szCs w:val="16"/>
                <w:lang w:eastAsia="cs-CZ"/>
              </w:rPr>
              <w:t>2</w:t>
            </w:r>
            <w:r>
              <w:rPr>
                <w:rFonts w:ascii="Calibri" w:eastAsia="Times New Roman" w:hAnsi="Calibri" w:cs="Times New Roman"/>
                <w:color w:val="000000"/>
                <w:sz w:val="16"/>
                <w:szCs w:val="16"/>
                <w:lang w:eastAsia="cs-CZ"/>
              </w:rPr>
              <w:t>,</w:t>
            </w:r>
            <w:r w:rsidRPr="007A61AD">
              <w:rPr>
                <w:rFonts w:ascii="Calibri" w:eastAsia="Times New Roman" w:hAnsi="Calibri" w:cs="Times New Roman"/>
                <w:color w:val="000000"/>
                <w:sz w:val="16"/>
                <w:szCs w:val="16"/>
                <w:lang w:eastAsia="cs-CZ"/>
              </w:rPr>
              <w:t>0</w:t>
            </w:r>
          </w:p>
        </w:tc>
      </w:tr>
    </w:tbl>
    <w:p w:rsidR="0033036C" w:rsidRDefault="0033036C" w:rsidP="0033036C">
      <w:pPr>
        <w:rPr>
          <w:lang w:eastAsia="cs-CZ"/>
        </w:rPr>
      </w:pPr>
    </w:p>
    <w:p w:rsidR="00D82F1C" w:rsidRDefault="00B74AF8" w:rsidP="00D82F1C">
      <w:pPr>
        <w:keepNext/>
        <w:jc w:val="center"/>
      </w:pPr>
      <w:r>
        <w:rPr>
          <w:noProof/>
          <w:lang w:eastAsia="cs-CZ"/>
        </w:rPr>
        <w:drawing>
          <wp:inline distT="0" distB="0" distL="0" distR="0" wp14:anchorId="01AFA547" wp14:editId="4A64413A">
            <wp:extent cx="4328160" cy="3381375"/>
            <wp:effectExtent l="0" t="0" r="0" b="9525"/>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4328160" cy="3381375"/>
                    </a:xfrm>
                    <a:prstGeom prst="rect">
                      <a:avLst/>
                    </a:prstGeom>
                    <a:noFill/>
                  </pic:spPr>
                </pic:pic>
              </a:graphicData>
            </a:graphic>
          </wp:inline>
        </w:drawing>
      </w:r>
    </w:p>
    <w:p w:rsidR="00B74AF8" w:rsidRDefault="00D82F1C" w:rsidP="0042776E">
      <w:pPr>
        <w:pStyle w:val="Titulek"/>
        <w:keepNext/>
      </w:pPr>
      <w:bookmarkStart w:id="202" w:name="_Ref450053061"/>
      <w:r>
        <w:t xml:space="preserve">Obr. </w:t>
      </w:r>
      <w:r w:rsidR="00990E2D">
        <w:fldChar w:fldCharType="begin"/>
      </w:r>
      <w:r w:rsidR="00990E2D">
        <w:instrText xml:space="preserve"> SEQ Obr. \* ARABIC </w:instrText>
      </w:r>
      <w:r w:rsidR="00990E2D">
        <w:fldChar w:fldCharType="separate"/>
      </w:r>
      <w:r w:rsidR="003F08E5">
        <w:rPr>
          <w:noProof/>
        </w:rPr>
        <w:t>28</w:t>
      </w:r>
      <w:r w:rsidR="00990E2D">
        <w:rPr>
          <w:noProof/>
        </w:rPr>
        <w:fldChar w:fldCharType="end"/>
      </w:r>
      <w:bookmarkEnd w:id="202"/>
      <w:r>
        <w:tab/>
      </w:r>
      <w:r w:rsidRPr="00D82F1C">
        <w:t xml:space="preserve">Počty unikátních spoluautorů výstupů bezpečnostního výzkumu v letech 2010 </w:t>
      </w:r>
      <w:r>
        <w:t>–</w:t>
      </w:r>
      <w:r w:rsidRPr="00D82F1C">
        <w:t xml:space="preserve"> 2014</w:t>
      </w:r>
      <w:r>
        <w:t>. Zdroj: IS VaVaI</w:t>
      </w:r>
    </w:p>
    <w:p w:rsidR="0042776E" w:rsidRPr="0042776E" w:rsidRDefault="0042776E" w:rsidP="0042776E"/>
    <w:p w:rsidR="00C656AC" w:rsidRDefault="00C656AC" w:rsidP="00C656AC">
      <w:pPr>
        <w:pStyle w:val="Nadpis2"/>
      </w:pPr>
      <w:bookmarkStart w:id="203" w:name="_Toc459723318"/>
      <w:r>
        <w:t>Potřeby lidských zdrojů pro bezpečnostní výzkum</w:t>
      </w:r>
      <w:bookmarkEnd w:id="203"/>
    </w:p>
    <w:tbl>
      <w:tblPr>
        <w:tblW w:w="0" w:type="auto"/>
        <w:tblLook w:val="04A0" w:firstRow="1" w:lastRow="0" w:firstColumn="1" w:lastColumn="0" w:noHBand="0" w:noVBand="1"/>
      </w:tblPr>
      <w:tblGrid>
        <w:gridCol w:w="9354"/>
      </w:tblGrid>
      <w:tr w:rsidR="00573503" w:rsidTr="001D5000">
        <w:tc>
          <w:tcPr>
            <w:tcW w:w="9354"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573503" w:rsidRDefault="001D5000" w:rsidP="007D3306">
            <w:pPr>
              <w:rPr>
                <w:lang w:eastAsia="cs-CZ"/>
              </w:rPr>
            </w:pPr>
            <w:r>
              <w:rPr>
                <w:lang w:eastAsia="cs-CZ"/>
              </w:rPr>
              <w:t xml:space="preserve">Podle výsledků šetření </w:t>
            </w:r>
            <w:r w:rsidRPr="00573503">
              <w:rPr>
                <w:lang w:eastAsia="cs-CZ"/>
              </w:rPr>
              <w:t>mezi výzkumníky</w:t>
            </w:r>
            <w:r>
              <w:rPr>
                <w:lang w:eastAsia="cs-CZ"/>
              </w:rPr>
              <w:t xml:space="preserve"> se téměř polovina respondentů </w:t>
            </w:r>
            <w:r w:rsidR="007D3306">
              <w:rPr>
                <w:lang w:eastAsia="cs-CZ"/>
              </w:rPr>
              <w:t xml:space="preserve">z celkem 82 organizací </w:t>
            </w:r>
            <w:r>
              <w:rPr>
                <w:lang w:eastAsia="cs-CZ"/>
              </w:rPr>
              <w:t xml:space="preserve">domnívá, že jejich </w:t>
            </w:r>
            <w:r w:rsidR="00573503" w:rsidRPr="00573503">
              <w:rPr>
                <w:lang w:eastAsia="cs-CZ"/>
              </w:rPr>
              <w:t>organizac</w:t>
            </w:r>
            <w:r>
              <w:rPr>
                <w:lang w:eastAsia="cs-CZ"/>
              </w:rPr>
              <w:t xml:space="preserve">e </w:t>
            </w:r>
            <w:r w:rsidR="00573503" w:rsidRPr="00573503">
              <w:rPr>
                <w:lang w:eastAsia="cs-CZ"/>
              </w:rPr>
              <w:t>disponuje dostatečnou kapacitou v oblasti bezpečnostního výzkumu</w:t>
            </w:r>
            <w:r>
              <w:rPr>
                <w:lang w:eastAsia="cs-CZ"/>
              </w:rPr>
              <w:t xml:space="preserve"> (44</w:t>
            </w:r>
            <w:r w:rsidR="007D3306">
              <w:rPr>
                <w:lang w:eastAsia="cs-CZ"/>
              </w:rPr>
              <w:t> </w:t>
            </w:r>
            <w:r>
              <w:rPr>
                <w:lang w:eastAsia="cs-CZ"/>
              </w:rPr>
              <w:t>%</w:t>
            </w:r>
            <w:r w:rsidR="00573503" w:rsidRPr="00573503">
              <w:rPr>
                <w:lang w:eastAsia="cs-CZ"/>
              </w:rPr>
              <w:t xml:space="preserve"> respondentů</w:t>
            </w:r>
            <w:r>
              <w:rPr>
                <w:lang w:eastAsia="cs-CZ"/>
              </w:rPr>
              <w:t>)</w:t>
            </w:r>
            <w:r w:rsidR="00573503" w:rsidRPr="00573503">
              <w:rPr>
                <w:lang w:eastAsia="cs-CZ"/>
              </w:rPr>
              <w:t xml:space="preserve">, o opaku je přesvědčeno 26 % respondentů. Z oborového hlediska respondenti již pociťují nebo očekávají nedostatek pracovníků zejména v oblasti informatiky a ICT, </w:t>
            </w:r>
            <w:r w:rsidR="007D3306">
              <w:rPr>
                <w:lang w:eastAsia="cs-CZ"/>
              </w:rPr>
              <w:t xml:space="preserve">v </w:t>
            </w:r>
            <w:r w:rsidR="00573503" w:rsidRPr="00573503">
              <w:rPr>
                <w:lang w:eastAsia="cs-CZ"/>
              </w:rPr>
              <w:t>ostatních technických vědách</w:t>
            </w:r>
            <w:r w:rsidR="00651525">
              <w:rPr>
                <w:lang w:eastAsia="cs-CZ"/>
              </w:rPr>
              <w:t>,</w:t>
            </w:r>
            <w:r w:rsidR="00573503" w:rsidRPr="00573503">
              <w:rPr>
                <w:lang w:eastAsia="cs-CZ"/>
              </w:rPr>
              <w:t xml:space="preserve"> biologii a </w:t>
            </w:r>
            <w:r w:rsidR="00651525">
              <w:rPr>
                <w:lang w:eastAsia="cs-CZ"/>
              </w:rPr>
              <w:t xml:space="preserve">v </w:t>
            </w:r>
            <w:r w:rsidR="00573503" w:rsidRPr="00573503">
              <w:rPr>
                <w:lang w:eastAsia="cs-CZ"/>
              </w:rPr>
              <w:t>chemii.</w:t>
            </w:r>
            <w:r w:rsidR="007D3306">
              <w:rPr>
                <w:lang w:eastAsia="cs-CZ"/>
              </w:rPr>
              <w:t xml:space="preserve"> </w:t>
            </w:r>
            <w:r w:rsidR="007D3306" w:rsidRPr="007D3306">
              <w:rPr>
                <w:lang w:eastAsia="cs-CZ"/>
              </w:rPr>
              <w:t xml:space="preserve">Nedostatek </w:t>
            </w:r>
            <w:r w:rsidR="007D3306">
              <w:rPr>
                <w:lang w:eastAsia="cs-CZ"/>
              </w:rPr>
              <w:t xml:space="preserve">výzkumníků </w:t>
            </w:r>
            <w:r w:rsidR="007D3306" w:rsidRPr="007D3306">
              <w:rPr>
                <w:lang w:eastAsia="cs-CZ"/>
              </w:rPr>
              <w:t xml:space="preserve">řeší organizace spoluprací s externisty </w:t>
            </w:r>
            <w:r w:rsidR="007D3306">
              <w:rPr>
                <w:lang w:eastAsia="cs-CZ"/>
              </w:rPr>
              <w:t xml:space="preserve">nebo </w:t>
            </w:r>
            <w:r w:rsidR="007D3306" w:rsidRPr="007D3306">
              <w:rPr>
                <w:lang w:eastAsia="cs-CZ"/>
              </w:rPr>
              <w:t xml:space="preserve">s jinou </w:t>
            </w:r>
            <w:r w:rsidR="007D3306">
              <w:rPr>
                <w:lang w:eastAsia="cs-CZ"/>
              </w:rPr>
              <w:t xml:space="preserve">VO, případně </w:t>
            </w:r>
            <w:r w:rsidR="007D3306" w:rsidRPr="007D3306">
              <w:rPr>
                <w:lang w:eastAsia="cs-CZ"/>
              </w:rPr>
              <w:t>zapojením studentů</w:t>
            </w:r>
            <w:r w:rsidR="007D3306">
              <w:rPr>
                <w:lang w:eastAsia="cs-CZ"/>
              </w:rPr>
              <w:t>, výměnnými stážemi či výchovou vlastních studentů.</w:t>
            </w:r>
          </w:p>
        </w:tc>
      </w:tr>
    </w:tbl>
    <w:p w:rsidR="00573503" w:rsidRDefault="00573503" w:rsidP="00573503">
      <w:pPr>
        <w:rPr>
          <w:lang w:eastAsia="cs-CZ"/>
        </w:rPr>
      </w:pPr>
      <w:r>
        <w:rPr>
          <w:lang w:eastAsia="cs-CZ"/>
        </w:rPr>
        <w:t xml:space="preserve">Dotazníkové šetření mezi výzkumníky naznačuje, že v celkem 82 organizacích respondentů se v roce 2015 podílelo na projektech bezpečnostního výzkumu v přepočtu na plné úvazky ( FTE) dohromady cca 849 výzkumníků (na základě kvalifikovaného odhadu respondentů). </w:t>
      </w:r>
      <w:r w:rsidR="007D3306">
        <w:rPr>
          <w:lang w:eastAsia="cs-CZ"/>
        </w:rPr>
        <w:t>Přibližně</w:t>
      </w:r>
      <w:r>
        <w:rPr>
          <w:lang w:eastAsia="cs-CZ"/>
        </w:rPr>
        <w:t xml:space="preserve"> </w:t>
      </w:r>
      <w:r w:rsidR="007D3306">
        <w:rPr>
          <w:lang w:eastAsia="cs-CZ"/>
        </w:rPr>
        <w:t>44 % respondentů se domnívá, ž</w:t>
      </w:r>
      <w:r>
        <w:rPr>
          <w:lang w:eastAsia="cs-CZ"/>
        </w:rPr>
        <w:t xml:space="preserve">e jejich organizace disponuje dostatečnou kapacitou v oblasti bezpečnostního výzkumu, o opaku je přesvědčeno 26 % respondentů. </w:t>
      </w:r>
    </w:p>
    <w:p w:rsidR="00573503" w:rsidRDefault="007D3306" w:rsidP="00573503">
      <w:pPr>
        <w:rPr>
          <w:lang w:eastAsia="cs-CZ"/>
        </w:rPr>
      </w:pPr>
      <w:r>
        <w:rPr>
          <w:lang w:eastAsia="cs-CZ"/>
        </w:rPr>
        <w:t xml:space="preserve">Někteří </w:t>
      </w:r>
      <w:r w:rsidR="00573503">
        <w:rPr>
          <w:lang w:eastAsia="cs-CZ"/>
        </w:rPr>
        <w:t>respondenti již pociťují nebo očekávají nedostatek pracovníků s potřebnou úrovní znalostí pro potřeby bezpečnostního výzkumu</w:t>
      </w:r>
      <w:r>
        <w:rPr>
          <w:lang w:eastAsia="cs-CZ"/>
        </w:rPr>
        <w:t>.</w:t>
      </w:r>
      <w:r w:rsidRPr="007D3306">
        <w:rPr>
          <w:lang w:eastAsia="cs-CZ"/>
        </w:rPr>
        <w:t xml:space="preserve"> </w:t>
      </w:r>
      <w:r>
        <w:rPr>
          <w:lang w:eastAsia="cs-CZ"/>
        </w:rPr>
        <w:t xml:space="preserve">Z oborového hlediska se jedná </w:t>
      </w:r>
      <w:r w:rsidR="00573503">
        <w:rPr>
          <w:lang w:eastAsia="cs-CZ"/>
        </w:rPr>
        <w:t xml:space="preserve">zejména </w:t>
      </w:r>
      <w:r>
        <w:rPr>
          <w:lang w:eastAsia="cs-CZ"/>
        </w:rPr>
        <w:t>o</w:t>
      </w:r>
      <w:r w:rsidR="00573503">
        <w:rPr>
          <w:lang w:eastAsia="cs-CZ"/>
        </w:rPr>
        <w:t xml:space="preserve"> informatik</w:t>
      </w:r>
      <w:r>
        <w:rPr>
          <w:lang w:eastAsia="cs-CZ"/>
        </w:rPr>
        <w:t>u</w:t>
      </w:r>
      <w:r w:rsidR="00573503">
        <w:rPr>
          <w:lang w:eastAsia="cs-CZ"/>
        </w:rPr>
        <w:t xml:space="preserve"> a ICT (20 respondentů), ostatní technick</w:t>
      </w:r>
      <w:r>
        <w:rPr>
          <w:lang w:eastAsia="cs-CZ"/>
        </w:rPr>
        <w:t>é</w:t>
      </w:r>
      <w:r w:rsidR="00573503">
        <w:rPr>
          <w:lang w:eastAsia="cs-CZ"/>
        </w:rPr>
        <w:t xml:space="preserve"> věd</w:t>
      </w:r>
      <w:r>
        <w:rPr>
          <w:lang w:eastAsia="cs-CZ"/>
        </w:rPr>
        <w:t>y</w:t>
      </w:r>
      <w:r w:rsidR="00573503">
        <w:rPr>
          <w:lang w:eastAsia="cs-CZ"/>
        </w:rPr>
        <w:t xml:space="preserve"> (12</w:t>
      </w:r>
      <w:r>
        <w:rPr>
          <w:lang w:eastAsia="cs-CZ"/>
        </w:rPr>
        <w:t> </w:t>
      </w:r>
      <w:r w:rsidR="00573503">
        <w:rPr>
          <w:lang w:eastAsia="cs-CZ"/>
        </w:rPr>
        <w:t>respondentů)</w:t>
      </w:r>
      <w:r>
        <w:rPr>
          <w:lang w:eastAsia="cs-CZ"/>
        </w:rPr>
        <w:t>,</w:t>
      </w:r>
      <w:r w:rsidR="00573503">
        <w:rPr>
          <w:lang w:eastAsia="cs-CZ"/>
        </w:rPr>
        <w:t xml:space="preserve"> biologii (9 respondentů) a chemii (9 respondentů). Podrobnější vymezení oborů s aktuálním nebo potenciálním nedostatkem pracovníků ukazuje </w:t>
      </w:r>
      <w:r w:rsidR="00573503">
        <w:rPr>
          <w:lang w:eastAsia="cs-CZ"/>
        </w:rPr>
        <w:fldChar w:fldCharType="begin"/>
      </w:r>
      <w:r w:rsidR="00573503">
        <w:rPr>
          <w:lang w:eastAsia="cs-CZ"/>
        </w:rPr>
        <w:instrText xml:space="preserve"> REF  _Ref454196322 \* Lower \h  \* MERGEFORMAT </w:instrText>
      </w:r>
      <w:r w:rsidR="00573503">
        <w:rPr>
          <w:lang w:eastAsia="cs-CZ"/>
        </w:rPr>
      </w:r>
      <w:r w:rsidR="00573503">
        <w:rPr>
          <w:lang w:eastAsia="cs-CZ"/>
        </w:rPr>
        <w:fldChar w:fldCharType="separate"/>
      </w:r>
      <w:r w:rsidR="003F08E5">
        <w:t xml:space="preserve">tab. </w:t>
      </w:r>
      <w:r w:rsidR="003F08E5">
        <w:rPr>
          <w:noProof/>
        </w:rPr>
        <w:t>54</w:t>
      </w:r>
      <w:r w:rsidR="00573503">
        <w:rPr>
          <w:lang w:eastAsia="cs-CZ"/>
        </w:rPr>
        <w:fldChar w:fldCharType="end"/>
      </w:r>
      <w:r w:rsidR="00573503">
        <w:rPr>
          <w:lang w:eastAsia="cs-CZ"/>
        </w:rPr>
        <w:t>.</w:t>
      </w:r>
    </w:p>
    <w:p w:rsidR="0042776E" w:rsidRDefault="0042776E" w:rsidP="0042776E">
      <w:pPr>
        <w:rPr>
          <w:lang w:eastAsia="cs-CZ"/>
        </w:rPr>
      </w:pPr>
      <w:r w:rsidRPr="00573503">
        <w:rPr>
          <w:lang w:eastAsia="cs-CZ"/>
        </w:rPr>
        <w:t>Nedostatek v počtu nebo odbornosti výzkumníků ře</w:t>
      </w:r>
      <w:r w:rsidR="007D3306">
        <w:rPr>
          <w:lang w:eastAsia="cs-CZ"/>
        </w:rPr>
        <w:t>š</w:t>
      </w:r>
      <w:r w:rsidRPr="00573503">
        <w:rPr>
          <w:lang w:eastAsia="cs-CZ"/>
        </w:rPr>
        <w:t>í organizac</w:t>
      </w:r>
      <w:r w:rsidR="007D3306">
        <w:rPr>
          <w:lang w:eastAsia="cs-CZ"/>
        </w:rPr>
        <w:t>e</w:t>
      </w:r>
      <w:r w:rsidRPr="00573503">
        <w:rPr>
          <w:lang w:eastAsia="cs-CZ"/>
        </w:rPr>
        <w:t xml:space="preserve"> nejčastěji spoluprací s externisty (60 respondentů), spoluprací s jinou českou výzkumnou organizací (46 respondentů) nebo zapojením studentů (42 respondentů, viz graf </w:t>
      </w:r>
      <w:r>
        <w:rPr>
          <w:lang w:eastAsia="cs-CZ"/>
        </w:rPr>
        <w:t xml:space="preserve">na </w:t>
      </w:r>
      <w:r>
        <w:rPr>
          <w:lang w:eastAsia="cs-CZ"/>
        </w:rPr>
        <w:fldChar w:fldCharType="begin"/>
      </w:r>
      <w:r>
        <w:rPr>
          <w:lang w:eastAsia="cs-CZ"/>
        </w:rPr>
        <w:instrText xml:space="preserve"> REF  _Ref454196464 \* Lower \h  \* MERGEFORMAT </w:instrText>
      </w:r>
      <w:r>
        <w:rPr>
          <w:lang w:eastAsia="cs-CZ"/>
        </w:rPr>
      </w:r>
      <w:r>
        <w:rPr>
          <w:lang w:eastAsia="cs-CZ"/>
        </w:rPr>
        <w:fldChar w:fldCharType="separate"/>
      </w:r>
      <w:r w:rsidR="003F08E5">
        <w:t xml:space="preserve">obr. </w:t>
      </w:r>
      <w:r w:rsidR="003F08E5">
        <w:rPr>
          <w:noProof/>
        </w:rPr>
        <w:t>29</w:t>
      </w:r>
      <w:r>
        <w:rPr>
          <w:lang w:eastAsia="cs-CZ"/>
        </w:rPr>
        <w:fldChar w:fldCharType="end"/>
      </w:r>
      <w:r w:rsidRPr="00573503">
        <w:rPr>
          <w:lang w:eastAsia="cs-CZ"/>
        </w:rPr>
        <w:t>).</w:t>
      </w:r>
      <w:r>
        <w:rPr>
          <w:lang w:eastAsia="cs-CZ"/>
        </w:rPr>
        <w:t xml:space="preserve"> </w:t>
      </w:r>
      <w:r w:rsidRPr="000628D8">
        <w:rPr>
          <w:lang w:eastAsia="cs-CZ"/>
        </w:rPr>
        <w:t>Mezi dalšími způsoby řešení nedostatku v počtu nebo odbornosti výzkumníků respondenti uvádějí stáže a výměnné pobyty nebo výchovu vlastních studentů.</w:t>
      </w:r>
    </w:p>
    <w:p w:rsidR="0042776E" w:rsidRDefault="0042776E" w:rsidP="00573503">
      <w:pPr>
        <w:rPr>
          <w:lang w:eastAsia="cs-CZ"/>
        </w:rPr>
      </w:pPr>
    </w:p>
    <w:p w:rsidR="00573503" w:rsidRDefault="00573503" w:rsidP="00573503">
      <w:pPr>
        <w:pStyle w:val="Titulek"/>
        <w:keepNext/>
      </w:pPr>
      <w:bookmarkStart w:id="204" w:name="_Ref454196322"/>
      <w:r>
        <w:t xml:space="preserve">Tab. </w:t>
      </w:r>
      <w:r w:rsidR="00990E2D">
        <w:fldChar w:fldCharType="begin"/>
      </w:r>
      <w:r w:rsidR="00990E2D">
        <w:instrText xml:space="preserve"> SEQ Tab. \* ARABIC </w:instrText>
      </w:r>
      <w:r w:rsidR="00990E2D">
        <w:fldChar w:fldCharType="separate"/>
      </w:r>
      <w:r w:rsidR="003F08E5">
        <w:rPr>
          <w:noProof/>
        </w:rPr>
        <w:t>54</w:t>
      </w:r>
      <w:r w:rsidR="00990E2D">
        <w:rPr>
          <w:noProof/>
        </w:rPr>
        <w:fldChar w:fldCharType="end"/>
      </w:r>
      <w:bookmarkEnd w:id="204"/>
      <w:r>
        <w:tab/>
      </w:r>
      <w:r w:rsidRPr="00573503">
        <w:t>Obory s pociťovaným nebo očekávaným nedostatkem pracovníků s potřebnou kvalifikací</w:t>
      </w:r>
    </w:p>
    <w:tbl>
      <w:tblPr>
        <w:tblW w:w="9229" w:type="dxa"/>
        <w:tblInd w:w="55" w:type="dxa"/>
        <w:tblCellMar>
          <w:left w:w="70" w:type="dxa"/>
          <w:right w:w="70" w:type="dxa"/>
        </w:tblCellMar>
        <w:tblLook w:val="04A0" w:firstRow="1" w:lastRow="0" w:firstColumn="1" w:lastColumn="0" w:noHBand="0" w:noVBand="1"/>
      </w:tblPr>
      <w:tblGrid>
        <w:gridCol w:w="2620"/>
        <w:gridCol w:w="1206"/>
        <w:gridCol w:w="5403"/>
      </w:tblGrid>
      <w:tr w:rsidR="00573503" w:rsidRPr="00573503" w:rsidTr="00A42657">
        <w:trPr>
          <w:trHeight w:val="661"/>
        </w:trPr>
        <w:tc>
          <w:tcPr>
            <w:tcW w:w="2620"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rsidR="00573503" w:rsidRPr="00573503" w:rsidRDefault="00573503" w:rsidP="00573503">
            <w:pPr>
              <w:spacing w:before="20" w:after="20"/>
              <w:rPr>
                <w:rFonts w:eastAsia="Times New Roman" w:cs="Arial"/>
                <w:b/>
                <w:sz w:val="20"/>
                <w:szCs w:val="20"/>
                <w:lang w:eastAsia="cs-CZ"/>
              </w:rPr>
            </w:pPr>
            <w:r w:rsidRPr="00573503">
              <w:rPr>
                <w:rFonts w:eastAsia="Times New Roman" w:cs="Arial"/>
                <w:b/>
                <w:sz w:val="20"/>
                <w:szCs w:val="20"/>
                <w:lang w:eastAsia="cs-CZ"/>
              </w:rPr>
              <w:t>Obor</w:t>
            </w:r>
          </w:p>
        </w:tc>
        <w:tc>
          <w:tcPr>
            <w:tcW w:w="1206"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573503" w:rsidRPr="00573503" w:rsidRDefault="00573503" w:rsidP="00573503">
            <w:pPr>
              <w:spacing w:before="20" w:after="20"/>
              <w:jc w:val="center"/>
              <w:rPr>
                <w:rFonts w:eastAsia="Times New Roman" w:cs="Arial"/>
                <w:b/>
                <w:sz w:val="20"/>
                <w:szCs w:val="20"/>
                <w:lang w:eastAsia="cs-CZ"/>
              </w:rPr>
            </w:pPr>
            <w:r w:rsidRPr="00573503">
              <w:rPr>
                <w:rFonts w:eastAsia="Times New Roman" w:cs="Arial"/>
                <w:b/>
                <w:sz w:val="20"/>
                <w:szCs w:val="20"/>
                <w:lang w:eastAsia="cs-CZ"/>
              </w:rPr>
              <w:t>Počet respondentů</w:t>
            </w:r>
          </w:p>
        </w:tc>
        <w:tc>
          <w:tcPr>
            <w:tcW w:w="5403"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573503" w:rsidRPr="00573503" w:rsidRDefault="00573503" w:rsidP="00573503">
            <w:pPr>
              <w:spacing w:before="20" w:after="20"/>
              <w:rPr>
                <w:rFonts w:eastAsia="Times New Roman" w:cs="Arial"/>
                <w:b/>
                <w:sz w:val="20"/>
                <w:szCs w:val="20"/>
                <w:lang w:eastAsia="cs-CZ"/>
              </w:rPr>
            </w:pPr>
            <w:r w:rsidRPr="00573503">
              <w:rPr>
                <w:rFonts w:eastAsia="Times New Roman" w:cs="Arial"/>
                <w:b/>
                <w:sz w:val="20"/>
                <w:szCs w:val="20"/>
                <w:lang w:eastAsia="cs-CZ"/>
              </w:rPr>
              <w:t>Upřesnění oboru</w:t>
            </w:r>
          </w:p>
        </w:tc>
      </w:tr>
      <w:tr w:rsidR="00573503" w:rsidRPr="00573503" w:rsidTr="00573503">
        <w:trPr>
          <w:trHeight w:val="1275"/>
        </w:trPr>
        <w:tc>
          <w:tcPr>
            <w:tcW w:w="2620" w:type="dxa"/>
            <w:tcBorders>
              <w:top w:val="nil"/>
              <w:left w:val="single" w:sz="4" w:space="0" w:color="auto"/>
              <w:bottom w:val="single" w:sz="4" w:space="0" w:color="auto"/>
              <w:right w:val="single" w:sz="4" w:space="0" w:color="auto"/>
            </w:tcBorders>
            <w:vAlign w:val="center"/>
            <w:hideMark/>
          </w:tcPr>
          <w:p w:rsidR="00573503" w:rsidRPr="00573503" w:rsidRDefault="00573503" w:rsidP="00573503">
            <w:pPr>
              <w:spacing w:before="20" w:after="20"/>
              <w:rPr>
                <w:rFonts w:eastAsia="Times New Roman" w:cs="Arial"/>
                <w:b/>
                <w:sz w:val="20"/>
                <w:szCs w:val="20"/>
                <w:lang w:eastAsia="cs-CZ"/>
              </w:rPr>
            </w:pPr>
            <w:r w:rsidRPr="00573503">
              <w:rPr>
                <w:rFonts w:eastAsia="Times New Roman" w:cs="Arial"/>
                <w:b/>
                <w:sz w:val="20"/>
                <w:szCs w:val="20"/>
                <w:lang w:eastAsia="cs-CZ"/>
              </w:rPr>
              <w:t>Informatika a ICT</w:t>
            </w:r>
          </w:p>
        </w:tc>
        <w:tc>
          <w:tcPr>
            <w:tcW w:w="1206" w:type="dxa"/>
            <w:tcBorders>
              <w:top w:val="nil"/>
              <w:left w:val="nil"/>
              <w:bottom w:val="single" w:sz="4" w:space="0" w:color="auto"/>
              <w:right w:val="single" w:sz="4" w:space="0" w:color="auto"/>
            </w:tcBorders>
            <w:vAlign w:val="center"/>
            <w:hideMark/>
          </w:tcPr>
          <w:p w:rsidR="00573503" w:rsidRPr="00573503" w:rsidRDefault="00573503" w:rsidP="00573503">
            <w:pPr>
              <w:spacing w:before="20" w:after="20"/>
              <w:jc w:val="center"/>
              <w:rPr>
                <w:rFonts w:eastAsia="Times New Roman" w:cs="Arial"/>
                <w:sz w:val="20"/>
                <w:szCs w:val="20"/>
                <w:lang w:eastAsia="cs-CZ"/>
              </w:rPr>
            </w:pPr>
            <w:r w:rsidRPr="00573503">
              <w:rPr>
                <w:rFonts w:eastAsia="Times New Roman" w:cs="Arial"/>
                <w:sz w:val="20"/>
                <w:szCs w:val="20"/>
                <w:lang w:eastAsia="cs-CZ"/>
              </w:rPr>
              <w:t>22</w:t>
            </w:r>
          </w:p>
        </w:tc>
        <w:tc>
          <w:tcPr>
            <w:tcW w:w="5403" w:type="dxa"/>
            <w:tcBorders>
              <w:top w:val="nil"/>
              <w:left w:val="nil"/>
              <w:bottom w:val="single" w:sz="4" w:space="0" w:color="auto"/>
              <w:right w:val="single" w:sz="4" w:space="0" w:color="auto"/>
            </w:tcBorders>
            <w:vAlign w:val="center"/>
            <w:hideMark/>
          </w:tcPr>
          <w:p w:rsidR="00573503" w:rsidRPr="00573503" w:rsidRDefault="00573503" w:rsidP="00573503">
            <w:pPr>
              <w:spacing w:before="20" w:after="20"/>
              <w:rPr>
                <w:rFonts w:eastAsia="Times New Roman" w:cs="Arial"/>
                <w:sz w:val="20"/>
                <w:szCs w:val="20"/>
                <w:lang w:eastAsia="cs-CZ"/>
              </w:rPr>
            </w:pPr>
            <w:r w:rsidRPr="00573503">
              <w:rPr>
                <w:rFonts w:eastAsia="Times New Roman" w:cs="Arial"/>
                <w:sz w:val="20"/>
                <w:szCs w:val="20"/>
                <w:lang w:eastAsia="cs-CZ"/>
              </w:rPr>
              <w:t>programování a návrh algoritmů (uvedeno 8x), kybernetická bezpečnost (uvedeno 6x), analýza a interpretace dat (uvedeno 5x), internetová bezpečnost {uvedeno 2x), modelování situací (uvedeno 2x), krizové řízení, statistika, analýza datových sítí, analýza paměťových modulů, kryptografie, bioinformatika, zpracování přirozeného jazyka, kybernetika, telekomunikační sítě, chybí odbo</w:t>
            </w:r>
            <w:r>
              <w:rPr>
                <w:rFonts w:eastAsia="Times New Roman" w:cs="Arial"/>
                <w:sz w:val="20"/>
                <w:szCs w:val="20"/>
                <w:lang w:eastAsia="cs-CZ"/>
              </w:rPr>
              <w:t>r</w:t>
            </w:r>
            <w:r w:rsidRPr="00573503">
              <w:rPr>
                <w:rFonts w:eastAsia="Times New Roman" w:cs="Arial"/>
                <w:sz w:val="20"/>
                <w:szCs w:val="20"/>
                <w:lang w:eastAsia="cs-CZ"/>
              </w:rPr>
              <w:t>níci s praxí</w:t>
            </w:r>
          </w:p>
        </w:tc>
      </w:tr>
      <w:tr w:rsidR="00573503" w:rsidRPr="00573503" w:rsidTr="00573503">
        <w:trPr>
          <w:trHeight w:val="1530"/>
        </w:trPr>
        <w:tc>
          <w:tcPr>
            <w:tcW w:w="2620" w:type="dxa"/>
            <w:tcBorders>
              <w:top w:val="nil"/>
              <w:left w:val="single" w:sz="4" w:space="0" w:color="auto"/>
              <w:bottom w:val="single" w:sz="4" w:space="0" w:color="auto"/>
              <w:right w:val="single" w:sz="4" w:space="0" w:color="auto"/>
            </w:tcBorders>
            <w:vAlign w:val="center"/>
            <w:hideMark/>
          </w:tcPr>
          <w:p w:rsidR="00573503" w:rsidRPr="00573503" w:rsidRDefault="00573503" w:rsidP="00573503">
            <w:pPr>
              <w:spacing w:before="20" w:after="20"/>
              <w:rPr>
                <w:rFonts w:eastAsia="Times New Roman" w:cs="Arial"/>
                <w:b/>
                <w:sz w:val="20"/>
                <w:szCs w:val="20"/>
                <w:lang w:eastAsia="cs-CZ"/>
              </w:rPr>
            </w:pPr>
            <w:r w:rsidRPr="00573503">
              <w:rPr>
                <w:rFonts w:eastAsia="Times New Roman" w:cs="Arial"/>
                <w:b/>
                <w:sz w:val="20"/>
                <w:szCs w:val="20"/>
                <w:lang w:eastAsia="cs-CZ"/>
              </w:rPr>
              <w:t>Technické vědy (kromě ICT)</w:t>
            </w:r>
          </w:p>
        </w:tc>
        <w:tc>
          <w:tcPr>
            <w:tcW w:w="1206" w:type="dxa"/>
            <w:tcBorders>
              <w:top w:val="nil"/>
              <w:left w:val="nil"/>
              <w:bottom w:val="single" w:sz="4" w:space="0" w:color="auto"/>
              <w:right w:val="single" w:sz="4" w:space="0" w:color="auto"/>
            </w:tcBorders>
            <w:vAlign w:val="center"/>
            <w:hideMark/>
          </w:tcPr>
          <w:p w:rsidR="00573503" w:rsidRPr="00573503" w:rsidRDefault="00573503" w:rsidP="00573503">
            <w:pPr>
              <w:spacing w:before="20" w:after="20"/>
              <w:jc w:val="center"/>
              <w:rPr>
                <w:rFonts w:eastAsia="Times New Roman" w:cs="Arial"/>
                <w:sz w:val="20"/>
                <w:szCs w:val="20"/>
                <w:lang w:eastAsia="cs-CZ"/>
              </w:rPr>
            </w:pPr>
            <w:r w:rsidRPr="00573503">
              <w:rPr>
                <w:rFonts w:eastAsia="Times New Roman" w:cs="Arial"/>
                <w:sz w:val="20"/>
                <w:szCs w:val="20"/>
                <w:lang w:eastAsia="cs-CZ"/>
              </w:rPr>
              <w:t>12</w:t>
            </w:r>
          </w:p>
        </w:tc>
        <w:tc>
          <w:tcPr>
            <w:tcW w:w="5403" w:type="dxa"/>
            <w:tcBorders>
              <w:top w:val="nil"/>
              <w:left w:val="nil"/>
              <w:bottom w:val="single" w:sz="4" w:space="0" w:color="auto"/>
              <w:right w:val="single" w:sz="4" w:space="0" w:color="auto"/>
            </w:tcBorders>
            <w:vAlign w:val="center"/>
            <w:hideMark/>
          </w:tcPr>
          <w:p w:rsidR="00573503" w:rsidRPr="00573503" w:rsidRDefault="00573503" w:rsidP="00573503">
            <w:pPr>
              <w:spacing w:before="20" w:after="20"/>
              <w:rPr>
                <w:rFonts w:eastAsia="Times New Roman" w:cs="Arial"/>
                <w:sz w:val="20"/>
                <w:szCs w:val="20"/>
                <w:lang w:eastAsia="cs-CZ"/>
              </w:rPr>
            </w:pPr>
            <w:r w:rsidRPr="00573503">
              <w:rPr>
                <w:rFonts w:eastAsia="Times New Roman" w:cs="Arial"/>
                <w:sz w:val="20"/>
                <w:szCs w:val="20"/>
                <w:lang w:eastAsia="cs-CZ"/>
              </w:rPr>
              <w:t>jaderné inženýrství a bezpečnost (uvedeno 2x), fotonika a optické senzory, spolehlivost technologických systémů, aerodynamika, mechanika, bezpečnostní technologie, poplachové systémy, matematika, forenzní metalografie, defektoskopie, technická diagnostika, mechanoskopie, balistika, dynamika konti</w:t>
            </w:r>
            <w:r>
              <w:rPr>
                <w:rFonts w:eastAsia="Times New Roman" w:cs="Arial"/>
                <w:sz w:val="20"/>
                <w:szCs w:val="20"/>
                <w:lang w:eastAsia="cs-CZ"/>
              </w:rPr>
              <w:t>n</w:t>
            </w:r>
            <w:r w:rsidRPr="00573503">
              <w:rPr>
                <w:rFonts w:eastAsia="Times New Roman" w:cs="Arial"/>
                <w:sz w:val="20"/>
                <w:szCs w:val="20"/>
                <w:lang w:eastAsia="cs-CZ"/>
              </w:rPr>
              <w:t>ua, energetické strojírenství, geoinformatika, materiálové inženýrství, numerické modelování</w:t>
            </w:r>
          </w:p>
        </w:tc>
      </w:tr>
      <w:tr w:rsidR="00573503" w:rsidRPr="00573503" w:rsidTr="00573503">
        <w:trPr>
          <w:trHeight w:val="510"/>
        </w:trPr>
        <w:tc>
          <w:tcPr>
            <w:tcW w:w="2620" w:type="dxa"/>
            <w:tcBorders>
              <w:top w:val="nil"/>
              <w:left w:val="single" w:sz="4" w:space="0" w:color="auto"/>
              <w:bottom w:val="single" w:sz="4" w:space="0" w:color="auto"/>
              <w:right w:val="single" w:sz="4" w:space="0" w:color="auto"/>
            </w:tcBorders>
            <w:vAlign w:val="center"/>
            <w:hideMark/>
          </w:tcPr>
          <w:p w:rsidR="00573503" w:rsidRPr="00573503" w:rsidRDefault="00573503" w:rsidP="00573503">
            <w:pPr>
              <w:spacing w:before="20" w:after="20"/>
              <w:rPr>
                <w:rFonts w:eastAsia="Times New Roman" w:cs="Arial"/>
                <w:b/>
                <w:sz w:val="20"/>
                <w:szCs w:val="20"/>
                <w:lang w:eastAsia="cs-CZ"/>
              </w:rPr>
            </w:pPr>
            <w:r w:rsidRPr="00573503">
              <w:rPr>
                <w:rFonts w:eastAsia="Times New Roman" w:cs="Arial"/>
                <w:b/>
                <w:sz w:val="20"/>
                <w:szCs w:val="20"/>
                <w:lang w:eastAsia="cs-CZ"/>
              </w:rPr>
              <w:t xml:space="preserve">Biologie </w:t>
            </w:r>
          </w:p>
        </w:tc>
        <w:tc>
          <w:tcPr>
            <w:tcW w:w="1206" w:type="dxa"/>
            <w:tcBorders>
              <w:top w:val="nil"/>
              <w:left w:val="nil"/>
              <w:bottom w:val="single" w:sz="4" w:space="0" w:color="auto"/>
              <w:right w:val="single" w:sz="4" w:space="0" w:color="auto"/>
            </w:tcBorders>
            <w:vAlign w:val="center"/>
            <w:hideMark/>
          </w:tcPr>
          <w:p w:rsidR="00573503" w:rsidRPr="00573503" w:rsidRDefault="00573503" w:rsidP="00573503">
            <w:pPr>
              <w:spacing w:before="20" w:after="20"/>
              <w:jc w:val="center"/>
              <w:rPr>
                <w:rFonts w:eastAsia="Times New Roman" w:cs="Arial"/>
                <w:sz w:val="20"/>
                <w:szCs w:val="20"/>
                <w:lang w:eastAsia="cs-CZ"/>
              </w:rPr>
            </w:pPr>
            <w:r w:rsidRPr="00573503">
              <w:rPr>
                <w:rFonts w:eastAsia="Times New Roman" w:cs="Arial"/>
                <w:sz w:val="20"/>
                <w:szCs w:val="20"/>
                <w:lang w:eastAsia="cs-CZ"/>
              </w:rPr>
              <w:t>9</w:t>
            </w:r>
          </w:p>
        </w:tc>
        <w:tc>
          <w:tcPr>
            <w:tcW w:w="5403" w:type="dxa"/>
            <w:tcBorders>
              <w:top w:val="nil"/>
              <w:left w:val="nil"/>
              <w:bottom w:val="single" w:sz="4" w:space="0" w:color="auto"/>
              <w:right w:val="single" w:sz="4" w:space="0" w:color="auto"/>
            </w:tcBorders>
            <w:vAlign w:val="center"/>
            <w:hideMark/>
          </w:tcPr>
          <w:p w:rsidR="00573503" w:rsidRPr="00573503" w:rsidRDefault="00573503" w:rsidP="00573503">
            <w:pPr>
              <w:spacing w:before="20" w:after="20"/>
              <w:rPr>
                <w:rFonts w:eastAsia="Times New Roman" w:cs="Arial"/>
                <w:sz w:val="20"/>
                <w:szCs w:val="20"/>
                <w:lang w:eastAsia="cs-CZ"/>
              </w:rPr>
            </w:pPr>
            <w:r w:rsidRPr="00573503">
              <w:rPr>
                <w:rFonts w:eastAsia="Times New Roman" w:cs="Arial"/>
                <w:sz w:val="20"/>
                <w:szCs w:val="20"/>
                <w:lang w:eastAsia="cs-CZ"/>
              </w:rPr>
              <w:t>molekulární biologie (uve</w:t>
            </w:r>
            <w:r>
              <w:rPr>
                <w:rFonts w:eastAsia="Times New Roman" w:cs="Arial"/>
                <w:sz w:val="20"/>
                <w:szCs w:val="20"/>
                <w:lang w:eastAsia="cs-CZ"/>
              </w:rPr>
              <w:t>de</w:t>
            </w:r>
            <w:r w:rsidRPr="00573503">
              <w:rPr>
                <w:rFonts w:eastAsia="Times New Roman" w:cs="Arial"/>
                <w:sz w:val="20"/>
                <w:szCs w:val="20"/>
                <w:lang w:eastAsia="cs-CZ"/>
              </w:rPr>
              <w:t>no 5x), biofyzika, biologické zbraně, forenzní antropologie, biologické agens</w:t>
            </w:r>
          </w:p>
        </w:tc>
      </w:tr>
      <w:tr w:rsidR="00573503" w:rsidRPr="00573503" w:rsidTr="00573503">
        <w:trPr>
          <w:trHeight w:val="510"/>
        </w:trPr>
        <w:tc>
          <w:tcPr>
            <w:tcW w:w="2620" w:type="dxa"/>
            <w:tcBorders>
              <w:top w:val="nil"/>
              <w:left w:val="single" w:sz="4" w:space="0" w:color="auto"/>
              <w:bottom w:val="single" w:sz="4" w:space="0" w:color="auto"/>
              <w:right w:val="single" w:sz="4" w:space="0" w:color="auto"/>
            </w:tcBorders>
            <w:vAlign w:val="center"/>
            <w:hideMark/>
          </w:tcPr>
          <w:p w:rsidR="00573503" w:rsidRPr="00573503" w:rsidRDefault="00573503" w:rsidP="00573503">
            <w:pPr>
              <w:spacing w:before="20" w:after="20"/>
              <w:rPr>
                <w:rFonts w:eastAsia="Times New Roman" w:cs="Arial"/>
                <w:b/>
                <w:sz w:val="20"/>
                <w:szCs w:val="20"/>
                <w:lang w:eastAsia="cs-CZ"/>
              </w:rPr>
            </w:pPr>
            <w:r w:rsidRPr="00573503">
              <w:rPr>
                <w:rFonts w:eastAsia="Times New Roman" w:cs="Arial"/>
                <w:b/>
                <w:sz w:val="20"/>
                <w:szCs w:val="20"/>
                <w:lang w:eastAsia="cs-CZ"/>
              </w:rPr>
              <w:t>Chemie</w:t>
            </w:r>
          </w:p>
        </w:tc>
        <w:tc>
          <w:tcPr>
            <w:tcW w:w="1206" w:type="dxa"/>
            <w:tcBorders>
              <w:top w:val="nil"/>
              <w:left w:val="nil"/>
              <w:bottom w:val="single" w:sz="4" w:space="0" w:color="auto"/>
              <w:right w:val="single" w:sz="4" w:space="0" w:color="auto"/>
            </w:tcBorders>
            <w:vAlign w:val="center"/>
            <w:hideMark/>
          </w:tcPr>
          <w:p w:rsidR="00573503" w:rsidRPr="00573503" w:rsidRDefault="00573503" w:rsidP="00573503">
            <w:pPr>
              <w:spacing w:before="20" w:after="20"/>
              <w:jc w:val="center"/>
              <w:rPr>
                <w:rFonts w:eastAsia="Times New Roman" w:cs="Arial"/>
                <w:sz w:val="20"/>
                <w:szCs w:val="20"/>
                <w:lang w:eastAsia="cs-CZ"/>
              </w:rPr>
            </w:pPr>
            <w:r w:rsidRPr="00573503">
              <w:rPr>
                <w:rFonts w:eastAsia="Times New Roman" w:cs="Arial"/>
                <w:sz w:val="20"/>
                <w:szCs w:val="20"/>
                <w:lang w:eastAsia="cs-CZ"/>
              </w:rPr>
              <w:t>9</w:t>
            </w:r>
          </w:p>
        </w:tc>
        <w:tc>
          <w:tcPr>
            <w:tcW w:w="5403" w:type="dxa"/>
            <w:tcBorders>
              <w:top w:val="nil"/>
              <w:left w:val="nil"/>
              <w:bottom w:val="single" w:sz="4" w:space="0" w:color="auto"/>
              <w:right w:val="single" w:sz="4" w:space="0" w:color="auto"/>
            </w:tcBorders>
            <w:vAlign w:val="center"/>
            <w:hideMark/>
          </w:tcPr>
          <w:p w:rsidR="00573503" w:rsidRPr="00573503" w:rsidRDefault="00573503" w:rsidP="00573503">
            <w:pPr>
              <w:spacing w:before="20" w:after="20"/>
              <w:rPr>
                <w:rFonts w:eastAsia="Times New Roman" w:cs="Arial"/>
                <w:sz w:val="20"/>
                <w:szCs w:val="20"/>
                <w:lang w:eastAsia="cs-CZ"/>
              </w:rPr>
            </w:pPr>
            <w:r w:rsidRPr="00573503">
              <w:rPr>
                <w:rFonts w:eastAsia="Times New Roman" w:cs="Arial"/>
                <w:sz w:val="20"/>
                <w:szCs w:val="20"/>
                <w:lang w:eastAsia="cs-CZ"/>
              </w:rPr>
              <w:t>analytická chemie (uvedeno 5x), organická chemie (uvedeno 3x), biochemie, medicinální chemie, pyro a hašení, bezpečnostní inženýrství, anorganická chemie</w:t>
            </w:r>
          </w:p>
        </w:tc>
      </w:tr>
      <w:tr w:rsidR="00573503" w:rsidRPr="00573503" w:rsidTr="00573503">
        <w:trPr>
          <w:trHeight w:val="765"/>
        </w:trPr>
        <w:tc>
          <w:tcPr>
            <w:tcW w:w="2620" w:type="dxa"/>
            <w:tcBorders>
              <w:top w:val="nil"/>
              <w:left w:val="single" w:sz="4" w:space="0" w:color="auto"/>
              <w:bottom w:val="single" w:sz="4" w:space="0" w:color="auto"/>
              <w:right w:val="single" w:sz="4" w:space="0" w:color="auto"/>
            </w:tcBorders>
            <w:vAlign w:val="center"/>
            <w:hideMark/>
          </w:tcPr>
          <w:p w:rsidR="00573503" w:rsidRPr="00573503" w:rsidRDefault="00573503" w:rsidP="00573503">
            <w:pPr>
              <w:spacing w:before="20" w:after="20"/>
              <w:rPr>
                <w:rFonts w:eastAsia="Times New Roman" w:cs="Arial"/>
                <w:b/>
                <w:sz w:val="20"/>
                <w:szCs w:val="20"/>
                <w:lang w:eastAsia="cs-CZ"/>
              </w:rPr>
            </w:pPr>
            <w:r w:rsidRPr="00573503">
              <w:rPr>
                <w:rFonts w:eastAsia="Times New Roman" w:cs="Arial"/>
                <w:b/>
                <w:sz w:val="20"/>
                <w:szCs w:val="20"/>
                <w:lang w:eastAsia="cs-CZ"/>
              </w:rPr>
              <w:t>Společenské vědy</w:t>
            </w:r>
          </w:p>
        </w:tc>
        <w:tc>
          <w:tcPr>
            <w:tcW w:w="1206" w:type="dxa"/>
            <w:tcBorders>
              <w:top w:val="nil"/>
              <w:left w:val="nil"/>
              <w:bottom w:val="single" w:sz="4" w:space="0" w:color="auto"/>
              <w:right w:val="single" w:sz="4" w:space="0" w:color="auto"/>
            </w:tcBorders>
            <w:vAlign w:val="center"/>
            <w:hideMark/>
          </w:tcPr>
          <w:p w:rsidR="00573503" w:rsidRPr="00573503" w:rsidRDefault="00573503" w:rsidP="00573503">
            <w:pPr>
              <w:spacing w:before="20" w:after="20"/>
              <w:jc w:val="center"/>
              <w:rPr>
                <w:rFonts w:eastAsia="Times New Roman" w:cs="Arial"/>
                <w:sz w:val="20"/>
                <w:szCs w:val="20"/>
                <w:lang w:eastAsia="cs-CZ"/>
              </w:rPr>
            </w:pPr>
            <w:r w:rsidRPr="00573503">
              <w:rPr>
                <w:rFonts w:eastAsia="Times New Roman" w:cs="Arial"/>
                <w:sz w:val="20"/>
                <w:szCs w:val="20"/>
                <w:lang w:eastAsia="cs-CZ"/>
              </w:rPr>
              <w:t>4</w:t>
            </w:r>
          </w:p>
        </w:tc>
        <w:tc>
          <w:tcPr>
            <w:tcW w:w="5403" w:type="dxa"/>
            <w:tcBorders>
              <w:top w:val="nil"/>
              <w:left w:val="nil"/>
              <w:bottom w:val="single" w:sz="4" w:space="0" w:color="auto"/>
              <w:right w:val="single" w:sz="4" w:space="0" w:color="auto"/>
            </w:tcBorders>
            <w:vAlign w:val="center"/>
            <w:hideMark/>
          </w:tcPr>
          <w:p w:rsidR="00573503" w:rsidRPr="00573503" w:rsidRDefault="00573503" w:rsidP="00573503">
            <w:pPr>
              <w:spacing w:before="20" w:after="20"/>
              <w:rPr>
                <w:rFonts w:eastAsia="Times New Roman" w:cs="Arial"/>
                <w:sz w:val="20"/>
                <w:szCs w:val="20"/>
                <w:lang w:eastAsia="cs-CZ"/>
              </w:rPr>
            </w:pPr>
            <w:r w:rsidRPr="00573503">
              <w:rPr>
                <w:rFonts w:eastAsia="Times New Roman" w:cs="Arial"/>
                <w:sz w:val="20"/>
                <w:szCs w:val="20"/>
                <w:lang w:eastAsia="cs-CZ"/>
              </w:rPr>
              <w:t>politologie, bezpečnostní a strategická studia, ekonomie, filosofie, sociologie, památkář se specializací na krizové řízení, zajištění proti vandalům a protipožární opatření</w:t>
            </w:r>
          </w:p>
        </w:tc>
      </w:tr>
      <w:tr w:rsidR="00573503" w:rsidRPr="00573503" w:rsidTr="00573503">
        <w:trPr>
          <w:trHeight w:val="255"/>
        </w:trPr>
        <w:tc>
          <w:tcPr>
            <w:tcW w:w="2620" w:type="dxa"/>
            <w:tcBorders>
              <w:top w:val="nil"/>
              <w:left w:val="single" w:sz="4" w:space="0" w:color="auto"/>
              <w:bottom w:val="single" w:sz="4" w:space="0" w:color="auto"/>
              <w:right w:val="single" w:sz="4" w:space="0" w:color="auto"/>
            </w:tcBorders>
            <w:vAlign w:val="center"/>
            <w:hideMark/>
          </w:tcPr>
          <w:p w:rsidR="00573503" w:rsidRPr="00573503" w:rsidRDefault="00573503" w:rsidP="00573503">
            <w:pPr>
              <w:spacing w:before="20" w:after="20"/>
              <w:rPr>
                <w:rFonts w:eastAsia="Times New Roman" w:cs="Arial"/>
                <w:b/>
                <w:sz w:val="20"/>
                <w:szCs w:val="20"/>
                <w:lang w:eastAsia="cs-CZ"/>
              </w:rPr>
            </w:pPr>
            <w:r w:rsidRPr="00573503">
              <w:rPr>
                <w:rFonts w:eastAsia="Times New Roman" w:cs="Arial"/>
                <w:b/>
                <w:sz w:val="20"/>
                <w:szCs w:val="20"/>
                <w:lang w:eastAsia="cs-CZ"/>
              </w:rPr>
              <w:t>Medicína</w:t>
            </w:r>
          </w:p>
        </w:tc>
        <w:tc>
          <w:tcPr>
            <w:tcW w:w="1206" w:type="dxa"/>
            <w:tcBorders>
              <w:top w:val="nil"/>
              <w:left w:val="nil"/>
              <w:bottom w:val="single" w:sz="4" w:space="0" w:color="auto"/>
              <w:right w:val="single" w:sz="4" w:space="0" w:color="auto"/>
            </w:tcBorders>
            <w:vAlign w:val="center"/>
            <w:hideMark/>
          </w:tcPr>
          <w:p w:rsidR="00573503" w:rsidRPr="00573503" w:rsidRDefault="00573503" w:rsidP="00573503">
            <w:pPr>
              <w:spacing w:before="20" w:after="20"/>
              <w:jc w:val="center"/>
              <w:rPr>
                <w:rFonts w:eastAsia="Times New Roman" w:cs="Arial"/>
                <w:sz w:val="20"/>
                <w:szCs w:val="20"/>
                <w:lang w:eastAsia="cs-CZ"/>
              </w:rPr>
            </w:pPr>
            <w:r w:rsidRPr="00573503">
              <w:rPr>
                <w:rFonts w:eastAsia="Times New Roman" w:cs="Arial"/>
                <w:sz w:val="20"/>
                <w:szCs w:val="20"/>
                <w:lang w:eastAsia="cs-CZ"/>
              </w:rPr>
              <w:t>3</w:t>
            </w:r>
          </w:p>
        </w:tc>
        <w:tc>
          <w:tcPr>
            <w:tcW w:w="5403" w:type="dxa"/>
            <w:tcBorders>
              <w:top w:val="nil"/>
              <w:left w:val="nil"/>
              <w:bottom w:val="single" w:sz="4" w:space="0" w:color="auto"/>
              <w:right w:val="single" w:sz="4" w:space="0" w:color="auto"/>
            </w:tcBorders>
            <w:vAlign w:val="center"/>
            <w:hideMark/>
          </w:tcPr>
          <w:p w:rsidR="00573503" w:rsidRPr="00573503" w:rsidRDefault="00573503" w:rsidP="00573503">
            <w:pPr>
              <w:spacing w:before="20" w:after="20"/>
              <w:rPr>
                <w:rFonts w:eastAsia="Times New Roman" w:cs="Arial"/>
                <w:sz w:val="20"/>
                <w:szCs w:val="20"/>
                <w:lang w:eastAsia="cs-CZ"/>
              </w:rPr>
            </w:pPr>
            <w:r w:rsidRPr="00573503">
              <w:rPr>
                <w:rFonts w:eastAsia="Times New Roman" w:cs="Arial"/>
                <w:sz w:val="20"/>
                <w:szCs w:val="20"/>
                <w:lang w:eastAsia="cs-CZ"/>
              </w:rPr>
              <w:t>mikrobiologie, infekční biologie, vliv IZ na člověka</w:t>
            </w:r>
          </w:p>
        </w:tc>
      </w:tr>
      <w:tr w:rsidR="00573503" w:rsidRPr="00573503" w:rsidTr="00573503">
        <w:trPr>
          <w:trHeight w:val="255"/>
        </w:trPr>
        <w:tc>
          <w:tcPr>
            <w:tcW w:w="2620" w:type="dxa"/>
            <w:tcBorders>
              <w:top w:val="nil"/>
              <w:left w:val="single" w:sz="4" w:space="0" w:color="auto"/>
              <w:bottom w:val="single" w:sz="4" w:space="0" w:color="auto"/>
              <w:right w:val="single" w:sz="4" w:space="0" w:color="auto"/>
            </w:tcBorders>
            <w:vAlign w:val="center"/>
            <w:hideMark/>
          </w:tcPr>
          <w:p w:rsidR="00573503" w:rsidRPr="00573503" w:rsidRDefault="00573503" w:rsidP="00573503">
            <w:pPr>
              <w:spacing w:before="20" w:after="20"/>
              <w:rPr>
                <w:rFonts w:eastAsia="Times New Roman" w:cs="Arial"/>
                <w:b/>
                <w:sz w:val="20"/>
                <w:szCs w:val="20"/>
                <w:lang w:eastAsia="cs-CZ"/>
              </w:rPr>
            </w:pPr>
            <w:r w:rsidRPr="00573503">
              <w:rPr>
                <w:rFonts w:eastAsia="Times New Roman" w:cs="Arial"/>
                <w:b/>
                <w:sz w:val="20"/>
                <w:szCs w:val="20"/>
                <w:lang w:eastAsia="cs-CZ"/>
              </w:rPr>
              <w:t>Fyzika</w:t>
            </w:r>
          </w:p>
        </w:tc>
        <w:tc>
          <w:tcPr>
            <w:tcW w:w="1206" w:type="dxa"/>
            <w:tcBorders>
              <w:top w:val="nil"/>
              <w:left w:val="nil"/>
              <w:bottom w:val="single" w:sz="4" w:space="0" w:color="auto"/>
              <w:right w:val="single" w:sz="4" w:space="0" w:color="auto"/>
            </w:tcBorders>
            <w:vAlign w:val="center"/>
            <w:hideMark/>
          </w:tcPr>
          <w:p w:rsidR="00573503" w:rsidRPr="00573503" w:rsidRDefault="00573503" w:rsidP="00573503">
            <w:pPr>
              <w:spacing w:before="20" w:after="20"/>
              <w:jc w:val="center"/>
              <w:rPr>
                <w:rFonts w:eastAsia="Times New Roman" w:cs="Arial"/>
                <w:sz w:val="20"/>
                <w:szCs w:val="20"/>
                <w:lang w:eastAsia="cs-CZ"/>
              </w:rPr>
            </w:pPr>
            <w:r w:rsidRPr="00573503">
              <w:rPr>
                <w:rFonts w:eastAsia="Times New Roman" w:cs="Arial"/>
                <w:sz w:val="20"/>
                <w:szCs w:val="20"/>
                <w:lang w:eastAsia="cs-CZ"/>
              </w:rPr>
              <w:t>2</w:t>
            </w:r>
          </w:p>
        </w:tc>
        <w:tc>
          <w:tcPr>
            <w:tcW w:w="5403" w:type="dxa"/>
            <w:tcBorders>
              <w:top w:val="nil"/>
              <w:left w:val="nil"/>
              <w:bottom w:val="single" w:sz="4" w:space="0" w:color="auto"/>
              <w:right w:val="single" w:sz="4" w:space="0" w:color="auto"/>
            </w:tcBorders>
            <w:vAlign w:val="center"/>
            <w:hideMark/>
          </w:tcPr>
          <w:p w:rsidR="00573503" w:rsidRPr="00573503" w:rsidRDefault="00573503" w:rsidP="00573503">
            <w:pPr>
              <w:spacing w:before="20" w:after="20"/>
              <w:rPr>
                <w:rFonts w:eastAsia="Times New Roman" w:cs="Arial"/>
                <w:sz w:val="20"/>
                <w:szCs w:val="20"/>
                <w:lang w:eastAsia="cs-CZ"/>
              </w:rPr>
            </w:pPr>
            <w:r w:rsidRPr="00573503">
              <w:rPr>
                <w:rFonts w:eastAsia="Times New Roman" w:cs="Arial"/>
                <w:sz w:val="20"/>
                <w:szCs w:val="20"/>
                <w:lang w:eastAsia="cs-CZ"/>
              </w:rPr>
              <w:t>jaderná fyzika a bezpečnost, elektronová mikroskopie, optická mikroskopie</w:t>
            </w:r>
          </w:p>
        </w:tc>
      </w:tr>
      <w:tr w:rsidR="00573503" w:rsidRPr="00573503" w:rsidTr="00573503">
        <w:trPr>
          <w:trHeight w:val="255"/>
        </w:trPr>
        <w:tc>
          <w:tcPr>
            <w:tcW w:w="2620" w:type="dxa"/>
            <w:tcBorders>
              <w:top w:val="nil"/>
              <w:left w:val="single" w:sz="4" w:space="0" w:color="auto"/>
              <w:bottom w:val="single" w:sz="4" w:space="0" w:color="auto"/>
              <w:right w:val="single" w:sz="4" w:space="0" w:color="auto"/>
            </w:tcBorders>
            <w:vAlign w:val="center"/>
            <w:hideMark/>
          </w:tcPr>
          <w:p w:rsidR="00573503" w:rsidRPr="00573503" w:rsidRDefault="00573503" w:rsidP="00573503">
            <w:pPr>
              <w:spacing w:before="20" w:after="20"/>
              <w:rPr>
                <w:rFonts w:eastAsia="Times New Roman" w:cs="Arial"/>
                <w:b/>
                <w:sz w:val="20"/>
                <w:szCs w:val="20"/>
                <w:lang w:eastAsia="cs-CZ"/>
              </w:rPr>
            </w:pPr>
            <w:r w:rsidRPr="00573503">
              <w:rPr>
                <w:rFonts w:eastAsia="Times New Roman" w:cs="Arial"/>
                <w:b/>
                <w:sz w:val="20"/>
                <w:szCs w:val="20"/>
                <w:lang w:eastAsia="cs-CZ"/>
              </w:rPr>
              <w:t>Zemědělství</w:t>
            </w:r>
          </w:p>
        </w:tc>
        <w:tc>
          <w:tcPr>
            <w:tcW w:w="1206" w:type="dxa"/>
            <w:tcBorders>
              <w:top w:val="nil"/>
              <w:left w:val="nil"/>
              <w:bottom w:val="single" w:sz="4" w:space="0" w:color="auto"/>
              <w:right w:val="single" w:sz="4" w:space="0" w:color="auto"/>
            </w:tcBorders>
            <w:vAlign w:val="center"/>
            <w:hideMark/>
          </w:tcPr>
          <w:p w:rsidR="00573503" w:rsidRPr="00573503" w:rsidRDefault="00573503" w:rsidP="00573503">
            <w:pPr>
              <w:spacing w:before="20" w:after="20"/>
              <w:jc w:val="center"/>
              <w:rPr>
                <w:rFonts w:eastAsia="Times New Roman" w:cs="Arial"/>
                <w:sz w:val="20"/>
                <w:szCs w:val="20"/>
                <w:lang w:eastAsia="cs-CZ"/>
              </w:rPr>
            </w:pPr>
            <w:r w:rsidRPr="00573503">
              <w:rPr>
                <w:rFonts w:eastAsia="Times New Roman" w:cs="Arial"/>
                <w:sz w:val="20"/>
                <w:szCs w:val="20"/>
                <w:lang w:eastAsia="cs-CZ"/>
              </w:rPr>
              <w:t>2</w:t>
            </w:r>
          </w:p>
        </w:tc>
        <w:tc>
          <w:tcPr>
            <w:tcW w:w="5403" w:type="dxa"/>
            <w:tcBorders>
              <w:top w:val="nil"/>
              <w:left w:val="nil"/>
              <w:bottom w:val="single" w:sz="4" w:space="0" w:color="auto"/>
              <w:right w:val="single" w:sz="4" w:space="0" w:color="auto"/>
            </w:tcBorders>
            <w:vAlign w:val="center"/>
            <w:hideMark/>
          </w:tcPr>
          <w:p w:rsidR="00573503" w:rsidRPr="00573503" w:rsidRDefault="00573503" w:rsidP="00573503">
            <w:pPr>
              <w:spacing w:before="20" w:after="20"/>
              <w:rPr>
                <w:rFonts w:eastAsia="Times New Roman" w:cs="Arial"/>
                <w:sz w:val="20"/>
                <w:szCs w:val="20"/>
                <w:lang w:eastAsia="cs-CZ"/>
              </w:rPr>
            </w:pPr>
            <w:r w:rsidRPr="00573503">
              <w:rPr>
                <w:rFonts w:eastAsia="Times New Roman" w:cs="Arial"/>
                <w:sz w:val="20"/>
                <w:szCs w:val="20"/>
                <w:lang w:eastAsia="cs-CZ"/>
              </w:rPr>
              <w:t>potravinářství a bezpečnost potravin</w:t>
            </w:r>
          </w:p>
        </w:tc>
      </w:tr>
      <w:tr w:rsidR="00573503" w:rsidRPr="00573503" w:rsidTr="00573503">
        <w:trPr>
          <w:trHeight w:val="765"/>
        </w:trPr>
        <w:tc>
          <w:tcPr>
            <w:tcW w:w="2620" w:type="dxa"/>
            <w:tcBorders>
              <w:top w:val="nil"/>
              <w:left w:val="single" w:sz="4" w:space="0" w:color="auto"/>
              <w:bottom w:val="single" w:sz="4" w:space="0" w:color="auto"/>
              <w:right w:val="single" w:sz="4" w:space="0" w:color="auto"/>
            </w:tcBorders>
            <w:vAlign w:val="center"/>
            <w:hideMark/>
          </w:tcPr>
          <w:p w:rsidR="00573503" w:rsidRPr="00573503" w:rsidRDefault="00573503" w:rsidP="00573503">
            <w:pPr>
              <w:spacing w:before="20" w:after="20"/>
              <w:rPr>
                <w:rFonts w:eastAsia="Times New Roman" w:cs="Arial"/>
                <w:b/>
                <w:sz w:val="20"/>
                <w:szCs w:val="20"/>
                <w:lang w:eastAsia="cs-CZ"/>
              </w:rPr>
            </w:pPr>
            <w:r w:rsidRPr="00573503">
              <w:rPr>
                <w:rFonts w:eastAsia="Times New Roman" w:cs="Arial"/>
                <w:b/>
                <w:sz w:val="20"/>
                <w:szCs w:val="20"/>
                <w:lang w:eastAsia="cs-CZ"/>
              </w:rPr>
              <w:t>Jiný obor</w:t>
            </w:r>
          </w:p>
        </w:tc>
        <w:tc>
          <w:tcPr>
            <w:tcW w:w="1206" w:type="dxa"/>
            <w:tcBorders>
              <w:top w:val="nil"/>
              <w:left w:val="nil"/>
              <w:bottom w:val="single" w:sz="4" w:space="0" w:color="auto"/>
              <w:right w:val="single" w:sz="4" w:space="0" w:color="auto"/>
            </w:tcBorders>
            <w:vAlign w:val="center"/>
            <w:hideMark/>
          </w:tcPr>
          <w:p w:rsidR="00573503" w:rsidRPr="00573503" w:rsidRDefault="00573503" w:rsidP="00573503">
            <w:pPr>
              <w:spacing w:before="20" w:after="20"/>
              <w:jc w:val="center"/>
              <w:rPr>
                <w:rFonts w:eastAsia="Times New Roman" w:cs="Arial"/>
                <w:sz w:val="20"/>
                <w:szCs w:val="20"/>
                <w:lang w:eastAsia="cs-CZ"/>
              </w:rPr>
            </w:pPr>
            <w:r w:rsidRPr="00573503">
              <w:rPr>
                <w:rFonts w:eastAsia="Times New Roman" w:cs="Arial"/>
                <w:sz w:val="20"/>
                <w:szCs w:val="20"/>
                <w:lang w:eastAsia="cs-CZ"/>
              </w:rPr>
              <w:t>7</w:t>
            </w:r>
          </w:p>
        </w:tc>
        <w:tc>
          <w:tcPr>
            <w:tcW w:w="5403" w:type="dxa"/>
            <w:tcBorders>
              <w:top w:val="nil"/>
              <w:left w:val="nil"/>
              <w:bottom w:val="single" w:sz="4" w:space="0" w:color="auto"/>
              <w:right w:val="single" w:sz="4" w:space="0" w:color="auto"/>
            </w:tcBorders>
            <w:vAlign w:val="center"/>
            <w:hideMark/>
          </w:tcPr>
          <w:p w:rsidR="00573503" w:rsidRPr="00573503" w:rsidRDefault="00573503" w:rsidP="00573503">
            <w:pPr>
              <w:spacing w:before="20" w:after="20"/>
              <w:rPr>
                <w:rFonts w:eastAsia="Times New Roman" w:cs="Arial"/>
                <w:sz w:val="20"/>
                <w:szCs w:val="20"/>
                <w:lang w:eastAsia="cs-CZ"/>
              </w:rPr>
            </w:pPr>
            <w:r w:rsidRPr="00573503">
              <w:rPr>
                <w:rFonts w:eastAsia="Times New Roman" w:cs="Arial"/>
                <w:sz w:val="20"/>
                <w:szCs w:val="20"/>
                <w:lang w:eastAsia="cs-CZ"/>
              </w:rPr>
              <w:t>analýza ručního písma, daktyloskopie, technické zkoumání psacích prostředků a písemností, forenzní fonetika, etika, bezpečnost vůči porušování ochrany soukromí, zbraně a munice, dopravní obory ve vazbě na moderní technologie, biostatistika</w:t>
            </w:r>
          </w:p>
        </w:tc>
      </w:tr>
    </w:tbl>
    <w:p w:rsidR="00573503" w:rsidRDefault="00573503" w:rsidP="00573503">
      <w:pPr>
        <w:rPr>
          <w:lang w:eastAsia="cs-CZ"/>
        </w:rPr>
      </w:pPr>
    </w:p>
    <w:p w:rsidR="000628D8" w:rsidRDefault="000628D8" w:rsidP="000628D8">
      <w:pPr>
        <w:keepNext/>
        <w:jc w:val="center"/>
      </w:pPr>
      <w:r>
        <w:rPr>
          <w:noProof/>
          <w:lang w:eastAsia="cs-CZ"/>
        </w:rPr>
        <w:drawing>
          <wp:inline distT="0" distB="0" distL="0" distR="0" wp14:anchorId="03271CE7" wp14:editId="0E8C7155">
            <wp:extent cx="5276850" cy="2447925"/>
            <wp:effectExtent l="0" t="0" r="0" b="9525"/>
            <wp:docPr id="91" name="Obrázek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5276850" cy="2447925"/>
                    </a:xfrm>
                    <a:prstGeom prst="rect">
                      <a:avLst/>
                    </a:prstGeom>
                    <a:noFill/>
                  </pic:spPr>
                </pic:pic>
              </a:graphicData>
            </a:graphic>
          </wp:inline>
        </w:drawing>
      </w:r>
    </w:p>
    <w:p w:rsidR="00573503" w:rsidRDefault="000628D8" w:rsidP="000628D8">
      <w:pPr>
        <w:pStyle w:val="Titulek"/>
        <w:jc w:val="both"/>
      </w:pPr>
      <w:bookmarkStart w:id="205" w:name="_Ref454196464"/>
      <w:r>
        <w:t xml:space="preserve">Obr. </w:t>
      </w:r>
      <w:r w:rsidR="00990E2D">
        <w:fldChar w:fldCharType="begin"/>
      </w:r>
      <w:r w:rsidR="00990E2D">
        <w:instrText xml:space="preserve"> SEQ Obr. \* ARABIC </w:instrText>
      </w:r>
      <w:r w:rsidR="00990E2D">
        <w:fldChar w:fldCharType="separate"/>
      </w:r>
      <w:r w:rsidR="003F08E5">
        <w:rPr>
          <w:noProof/>
        </w:rPr>
        <w:t>29</w:t>
      </w:r>
      <w:r w:rsidR="00990E2D">
        <w:rPr>
          <w:noProof/>
        </w:rPr>
        <w:fldChar w:fldCharType="end"/>
      </w:r>
      <w:bookmarkEnd w:id="205"/>
      <w:r>
        <w:tab/>
      </w:r>
      <w:r w:rsidRPr="000628D8">
        <w:t>Jak organizace řeší nedostatek v počtu nebo odbornosti výzkumníků</w:t>
      </w:r>
    </w:p>
    <w:p w:rsidR="00236334" w:rsidRDefault="00236334" w:rsidP="003602AC">
      <w:pPr>
        <w:pStyle w:val="Nadpis1"/>
        <w:pageBreakBefore/>
        <w:rPr>
          <w:lang w:eastAsia="cs-CZ"/>
        </w:rPr>
      </w:pPr>
      <w:bookmarkStart w:id="206" w:name="_Toc459723319"/>
      <w:bookmarkStart w:id="207" w:name="_Ref450306992"/>
      <w:r>
        <w:rPr>
          <w:lang w:eastAsia="cs-CZ"/>
        </w:rPr>
        <w:t>Potenciál</w:t>
      </w:r>
      <w:r w:rsidR="003602AC" w:rsidRPr="003602AC">
        <w:t xml:space="preserve"> </w:t>
      </w:r>
      <w:r w:rsidR="003602AC" w:rsidRPr="003602AC">
        <w:rPr>
          <w:lang w:eastAsia="cs-CZ"/>
        </w:rPr>
        <w:t>specializovaných výzkumných a zkušebních kapacit pro zapojení do bezpečnostního výzkumu</w:t>
      </w:r>
      <w:bookmarkEnd w:id="206"/>
      <w:r>
        <w:rPr>
          <w:lang w:eastAsia="cs-CZ"/>
        </w:rPr>
        <w:t xml:space="preserve"> </w:t>
      </w:r>
      <w:bookmarkEnd w:id="207"/>
    </w:p>
    <w:p w:rsidR="00147876" w:rsidRDefault="004A1052" w:rsidP="004A1052">
      <w:r>
        <w:t xml:space="preserve">Cílem této kapitoly je </w:t>
      </w:r>
      <w:r w:rsidRPr="004A1052">
        <w:t xml:space="preserve">zhodnotit potenciál </w:t>
      </w:r>
      <w:r>
        <w:t xml:space="preserve">pracovišť působících v ČR pro zapojení </w:t>
      </w:r>
      <w:r w:rsidRPr="004A1052">
        <w:t xml:space="preserve">do </w:t>
      </w:r>
      <w:r>
        <w:t xml:space="preserve">BV nebo do činností, </w:t>
      </w:r>
      <w:r w:rsidRPr="003D2511">
        <w:t>které na bezpečnostní VaV navazují nebo s ním souvisejí (</w:t>
      </w:r>
      <w:r>
        <w:t xml:space="preserve">realizace výsledků VaV, </w:t>
      </w:r>
      <w:r w:rsidRPr="003D2511">
        <w:t xml:space="preserve">ověřování </w:t>
      </w:r>
      <w:r>
        <w:t xml:space="preserve">výsledků </w:t>
      </w:r>
      <w:r w:rsidRPr="003D2511">
        <w:t xml:space="preserve">a certifikace, </w:t>
      </w:r>
      <w:r>
        <w:t xml:space="preserve">provádění </w:t>
      </w:r>
      <w:r w:rsidRPr="003D2511">
        <w:t>servisní</w:t>
      </w:r>
      <w:r>
        <w:t>ch a laboratorních služeb apod.).</w:t>
      </w:r>
      <w:r w:rsidR="00147876">
        <w:t xml:space="preserve"> Vyhodnocení potenciálu je provedeno na čtyřech úrovních.</w:t>
      </w:r>
    </w:p>
    <w:p w:rsidR="00BC4FE9" w:rsidRDefault="00147876" w:rsidP="004A1052">
      <w:r>
        <w:t>Nejprve je vyhodnocen</w:t>
      </w:r>
      <w:r w:rsidR="00BC4FE9">
        <w:t xml:space="preserve"> </w:t>
      </w:r>
      <w:r w:rsidR="00BC4FE9" w:rsidRPr="00BC4FE9">
        <w:rPr>
          <w:b/>
        </w:rPr>
        <w:t>p</w:t>
      </w:r>
      <w:r w:rsidRPr="00BC4FE9">
        <w:rPr>
          <w:b/>
        </w:rPr>
        <w:t xml:space="preserve">otenciál </w:t>
      </w:r>
      <w:r w:rsidR="00BC4FE9" w:rsidRPr="00BC4FE9">
        <w:rPr>
          <w:b/>
        </w:rPr>
        <w:t>subjektů, které jsou již zapojeny do programů BV</w:t>
      </w:r>
      <w:r w:rsidR="00BC4FE9">
        <w:t>, přičemž za tyto subjekty jsou považovány:</w:t>
      </w:r>
    </w:p>
    <w:p w:rsidR="00147876" w:rsidRDefault="00BC4FE9" w:rsidP="004F74B7">
      <w:pPr>
        <w:pStyle w:val="Odstavecseseznamem"/>
        <w:numPr>
          <w:ilvl w:val="0"/>
          <w:numId w:val="3"/>
        </w:numPr>
        <w:ind w:left="714" w:hanging="357"/>
        <w:contextualSpacing w:val="0"/>
      </w:pPr>
      <w:r>
        <w:t>Subjekty, které byly v letech 2010 – 2015 zapojeny do programů BV v gesci MV, tj. do programů s </w:t>
      </w:r>
      <w:r w:rsidR="009361D0" w:rsidRPr="003D2511">
        <w:t>kódem VF, VI, VG, VD a VE</w:t>
      </w:r>
      <w:r w:rsidR="00EE3078">
        <w:t>;</w:t>
      </w:r>
    </w:p>
    <w:p w:rsidR="009361D0" w:rsidRDefault="009361D0" w:rsidP="004F74B7">
      <w:pPr>
        <w:pStyle w:val="Odstavecseseznamem"/>
        <w:numPr>
          <w:ilvl w:val="0"/>
          <w:numId w:val="3"/>
        </w:numPr>
        <w:ind w:left="714" w:hanging="357"/>
        <w:contextualSpacing w:val="0"/>
      </w:pPr>
      <w:r>
        <w:t>Subjekty zapojené do bezpečnostně zaměřených výzkumných projekt</w:t>
      </w:r>
      <w:r w:rsidR="00EE3078">
        <w:t>ů</w:t>
      </w:r>
      <w:r>
        <w:t xml:space="preserve"> 7. RP</w:t>
      </w:r>
      <w:r w:rsidR="00EE3078">
        <w:t xml:space="preserve"> a</w:t>
      </w:r>
      <w:r>
        <w:t xml:space="preserve"> programu H2020</w:t>
      </w:r>
      <w:r w:rsidR="00250C5C">
        <w:t>.</w:t>
      </w:r>
    </w:p>
    <w:p w:rsidR="00147876" w:rsidRDefault="00673802" w:rsidP="004A1052">
      <w:r>
        <w:t xml:space="preserve">Cílem </w:t>
      </w:r>
      <w:r w:rsidR="00BC4FE9">
        <w:t xml:space="preserve">bylo posoudit, v jakých </w:t>
      </w:r>
      <w:r>
        <w:t xml:space="preserve">sektorech a oborech </w:t>
      </w:r>
      <w:r w:rsidR="00BC4FE9">
        <w:t>VaV je největší potenciál pro zapojení do programů BV</w:t>
      </w:r>
      <w:r w:rsidR="00685DED">
        <w:t xml:space="preserve"> a</w:t>
      </w:r>
      <w:r>
        <w:t xml:space="preserve"> identifikovat subjekty z veřejného výzkumu i podnikatelského</w:t>
      </w:r>
      <w:r w:rsidR="00685DED">
        <w:t xml:space="preserve"> sektoru</w:t>
      </w:r>
      <w:r>
        <w:t xml:space="preserve">, které mají největší potenciál pro zapojení do programů BV </w:t>
      </w:r>
      <w:r w:rsidR="009361D0">
        <w:t>(„jádro“ institucí bezpečnostního výzkumu). Pro posouzení potenciálu těchto subjektů byly využity výsledky získané v předcházejících analýzách</w:t>
      </w:r>
      <w:r w:rsidR="00685DED">
        <w:t xml:space="preserve"> (</w:t>
      </w:r>
      <w:r w:rsidR="009361D0">
        <w:t>kap</w:t>
      </w:r>
      <w:r w:rsidR="00685DED">
        <w:t xml:space="preserve">itola </w:t>
      </w:r>
      <w:r w:rsidR="003A5568">
        <w:fldChar w:fldCharType="begin"/>
      </w:r>
      <w:r w:rsidR="003A5568">
        <w:instrText xml:space="preserve"> REF _Ref454359893 \r \h </w:instrText>
      </w:r>
      <w:r w:rsidR="003A5568">
        <w:fldChar w:fldCharType="separate"/>
      </w:r>
      <w:r w:rsidR="003F08E5">
        <w:t>2</w:t>
      </w:r>
      <w:r w:rsidR="003A5568">
        <w:fldChar w:fldCharType="end"/>
      </w:r>
      <w:r w:rsidR="009361D0">
        <w:t xml:space="preserve"> a </w:t>
      </w:r>
      <w:r w:rsidR="009361D0">
        <w:fldChar w:fldCharType="begin"/>
      </w:r>
      <w:r w:rsidR="009361D0">
        <w:instrText xml:space="preserve"> REF _Ref450307081 \r \h </w:instrText>
      </w:r>
      <w:r w:rsidR="009361D0">
        <w:fldChar w:fldCharType="separate"/>
      </w:r>
      <w:r w:rsidR="003F08E5">
        <w:t>3</w:t>
      </w:r>
      <w:r w:rsidR="009361D0">
        <w:fldChar w:fldCharType="end"/>
      </w:r>
      <w:r w:rsidR="00685DED">
        <w:t>)</w:t>
      </w:r>
      <w:r w:rsidR="009361D0">
        <w:t>. Vyhodnocení</w:t>
      </w:r>
      <w:r w:rsidR="00BC4FE9">
        <w:t xml:space="preserve"> potenciálu subjektů zapojených do programů BV je uvedeno v kap. </w:t>
      </w:r>
      <w:r w:rsidR="00BC4FE9">
        <w:fldChar w:fldCharType="begin"/>
      </w:r>
      <w:r w:rsidR="00BC4FE9">
        <w:instrText xml:space="preserve"> REF _Ref452120945 \r \h </w:instrText>
      </w:r>
      <w:r w:rsidR="00BC4FE9">
        <w:fldChar w:fldCharType="separate"/>
      </w:r>
      <w:r w:rsidR="003F08E5">
        <w:t>5.1</w:t>
      </w:r>
      <w:r w:rsidR="00BC4FE9">
        <w:fldChar w:fldCharType="end"/>
      </w:r>
      <w:r w:rsidR="00657DAF">
        <w:t>.</w:t>
      </w:r>
    </w:p>
    <w:p w:rsidR="009361D0" w:rsidRDefault="008B4B89" w:rsidP="004A1052">
      <w:r>
        <w:t>Dále</w:t>
      </w:r>
      <w:r w:rsidR="00BC4FE9">
        <w:t xml:space="preserve"> byl vyhodnocen </w:t>
      </w:r>
      <w:r w:rsidR="00BC4FE9" w:rsidRPr="009361D0">
        <w:rPr>
          <w:b/>
        </w:rPr>
        <w:t xml:space="preserve">potenciál subjektů, které </w:t>
      </w:r>
      <w:r>
        <w:rPr>
          <w:b/>
        </w:rPr>
        <w:t xml:space="preserve">v </w:t>
      </w:r>
      <w:r w:rsidRPr="009361D0">
        <w:rPr>
          <w:b/>
        </w:rPr>
        <w:t>program</w:t>
      </w:r>
      <w:r>
        <w:rPr>
          <w:b/>
        </w:rPr>
        <w:t>ech BV</w:t>
      </w:r>
      <w:r w:rsidRPr="009361D0">
        <w:rPr>
          <w:b/>
        </w:rPr>
        <w:t xml:space="preserve"> zapojeny </w:t>
      </w:r>
      <w:r w:rsidR="00BC4FE9" w:rsidRPr="009361D0">
        <w:rPr>
          <w:b/>
        </w:rPr>
        <w:t xml:space="preserve">nebyly, ale </w:t>
      </w:r>
      <w:r>
        <w:rPr>
          <w:b/>
        </w:rPr>
        <w:t xml:space="preserve">se </w:t>
      </w:r>
      <w:r w:rsidR="00BC4FE9" w:rsidRPr="009361D0">
        <w:rPr>
          <w:b/>
        </w:rPr>
        <w:t>do bezpečnostně zaměřeného VaV mohou zapojit</w:t>
      </w:r>
      <w:r w:rsidR="00BC4FE9">
        <w:t xml:space="preserve">. </w:t>
      </w:r>
      <w:r w:rsidR="009361D0">
        <w:t>Cílem byl</w:t>
      </w:r>
      <w:r>
        <w:t>o</w:t>
      </w:r>
      <w:r w:rsidR="009361D0">
        <w:t xml:space="preserve"> nalézt </w:t>
      </w:r>
      <w:r>
        <w:t xml:space="preserve">nejvýznamnější subjekty, které </w:t>
      </w:r>
      <w:r w:rsidR="005534B4">
        <w:t xml:space="preserve">mají odpovídající výzkumné kapacity, disponují vhodnou výzkumnou infrastrukturou a vybavením a mají dostatečnou kvalifikaci pro </w:t>
      </w:r>
      <w:r w:rsidR="00673802">
        <w:t xml:space="preserve">realizaci bezpečnostně </w:t>
      </w:r>
      <w:r w:rsidR="005534B4">
        <w:t>zaměřen</w:t>
      </w:r>
      <w:r w:rsidR="00673802">
        <w:t>ého</w:t>
      </w:r>
      <w:r w:rsidR="005534B4">
        <w:t xml:space="preserve"> VaV</w:t>
      </w:r>
      <w:r w:rsidR="00673802">
        <w:t xml:space="preserve">, </w:t>
      </w:r>
      <w:r w:rsidR="009361D0">
        <w:t xml:space="preserve">a </w:t>
      </w:r>
      <w:r>
        <w:t>posoudit</w:t>
      </w:r>
      <w:r w:rsidR="009361D0">
        <w:t xml:space="preserve">, jakým způsobem </w:t>
      </w:r>
      <w:r w:rsidR="00673802">
        <w:t xml:space="preserve">se </w:t>
      </w:r>
      <w:r w:rsidR="009361D0">
        <w:t xml:space="preserve">do </w:t>
      </w:r>
      <w:r>
        <w:t>BV</w:t>
      </w:r>
      <w:r w:rsidR="009361D0">
        <w:t xml:space="preserve"> mohou v budoucnosti zapojit. Do analýzy byly zahrnuty následující subjekty:</w:t>
      </w:r>
    </w:p>
    <w:p w:rsidR="009361D0" w:rsidRDefault="003211FE" w:rsidP="004F74B7">
      <w:pPr>
        <w:pStyle w:val="Odstavecseseznamem"/>
        <w:numPr>
          <w:ilvl w:val="0"/>
          <w:numId w:val="3"/>
        </w:numPr>
        <w:ind w:left="714" w:hanging="357"/>
        <w:contextualSpacing w:val="0"/>
      </w:pPr>
      <w:r>
        <w:t>VO</w:t>
      </w:r>
      <w:r w:rsidR="003B178E">
        <w:t>,</w:t>
      </w:r>
      <w:r w:rsidR="009361D0">
        <w:t xml:space="preserve"> které mají publika</w:t>
      </w:r>
      <w:r w:rsidR="003B178E">
        <w:t xml:space="preserve">ční výstupy </w:t>
      </w:r>
      <w:r w:rsidR="00250C5C">
        <w:t xml:space="preserve">související s některými aspekty problematiky bezpečnosti. U těchto subjektů lze předpokládat, že realizují bezpečnostně zaměřený VaV nebo VaV, jehož primárním cílem </w:t>
      </w:r>
      <w:r w:rsidR="0076588F">
        <w:t xml:space="preserve">sice </w:t>
      </w:r>
      <w:r w:rsidR="00250C5C">
        <w:t>není řešení konkrétních aspektů bezpečnosti, ale jehož výsledky se mohou uplatnit</w:t>
      </w:r>
      <w:r w:rsidR="0076588F">
        <w:t xml:space="preserve"> v bezpečnostní problematice nebo</w:t>
      </w:r>
      <w:r w:rsidR="00250C5C">
        <w:t xml:space="preserve"> přispět ke zvýšení bezpečnosti. </w:t>
      </w:r>
      <w:r w:rsidR="003B178E">
        <w:t>Převážnou část těchto subjektů tvoří VO</w:t>
      </w:r>
      <w:r w:rsidR="0076588F">
        <w:t xml:space="preserve"> a lze předpokládat, že se v budoucnosti mohou do bezpečnostně zaměřených programů zapojit</w:t>
      </w:r>
      <w:r w:rsidR="003B178E">
        <w:t xml:space="preserve">. </w:t>
      </w:r>
      <w:r w:rsidR="00250C5C">
        <w:t xml:space="preserve">Pro identifikaci těchto subjektů a vyhodnocení jejich potenciálu pro BV byly využity zejména výsledky bibliometrické analýzy zpracované v kap. </w:t>
      </w:r>
      <w:r w:rsidR="00250C5C">
        <w:fldChar w:fldCharType="begin"/>
      </w:r>
      <w:r w:rsidR="00250C5C">
        <w:instrText xml:space="preserve"> REF _Ref452118979 \r \h </w:instrText>
      </w:r>
      <w:r w:rsidR="00250C5C">
        <w:fldChar w:fldCharType="separate"/>
      </w:r>
      <w:r w:rsidR="003F08E5">
        <w:t>2.3.2</w:t>
      </w:r>
      <w:r w:rsidR="00250C5C">
        <w:fldChar w:fldCharType="end"/>
      </w:r>
      <w:r w:rsidR="00250C5C">
        <w:t>.</w:t>
      </w:r>
    </w:p>
    <w:p w:rsidR="003B178E" w:rsidRDefault="003B178E" w:rsidP="004F74B7">
      <w:pPr>
        <w:pStyle w:val="Odstavecseseznamem"/>
        <w:numPr>
          <w:ilvl w:val="0"/>
          <w:numId w:val="3"/>
        </w:numPr>
        <w:ind w:left="714" w:hanging="357"/>
        <w:contextualSpacing w:val="0"/>
      </w:pPr>
      <w:r w:rsidRPr="003B178E">
        <w:t xml:space="preserve">Subjekty, které mají </w:t>
      </w:r>
      <w:r>
        <w:t xml:space="preserve">aplikačně zaměřené </w:t>
      </w:r>
      <w:r w:rsidRPr="003B178E">
        <w:t>výstupy</w:t>
      </w:r>
      <w:r>
        <w:t xml:space="preserve"> (patenty, užitné a průmyslové vzory), které se mohou uplatnit v bezpečnosti. Pro identifikaci těchto subjektů a posouzení jejich potenciálu pro BV byl</w:t>
      </w:r>
      <w:r w:rsidR="0076588F">
        <w:t>a</w:t>
      </w:r>
      <w:r>
        <w:t xml:space="preserve"> využit</w:t>
      </w:r>
      <w:r w:rsidR="0076588F">
        <w:t>a</w:t>
      </w:r>
      <w:r>
        <w:t xml:space="preserve"> patentov</w:t>
      </w:r>
      <w:r w:rsidR="0076588F">
        <w:t>á</w:t>
      </w:r>
      <w:r>
        <w:t xml:space="preserve"> databáze</w:t>
      </w:r>
      <w:r w:rsidR="00096513" w:rsidRPr="003D2511">
        <w:t xml:space="preserve"> Evropského patentového úřadu</w:t>
      </w:r>
      <w:r w:rsidR="00096513" w:rsidRPr="003D2511">
        <w:rPr>
          <w:vertAlign w:val="superscript"/>
        </w:rPr>
        <w:footnoteReference w:id="43"/>
      </w:r>
      <w:r w:rsidR="00096513" w:rsidRPr="003D2511">
        <w:t xml:space="preserve"> PATSTAT</w:t>
      </w:r>
      <w:r w:rsidR="00657DAF">
        <w:t xml:space="preserve">. K identifikaci těchto subjektů byl využit stejný soubor </w:t>
      </w:r>
      <w:r>
        <w:t>klíčových slov jako v případě bibliometrické analýzy</w:t>
      </w:r>
      <w:r w:rsidR="00657DAF">
        <w:t xml:space="preserve"> (viz kap. </w:t>
      </w:r>
      <w:r w:rsidR="00657DAF">
        <w:fldChar w:fldCharType="begin"/>
      </w:r>
      <w:r w:rsidR="00657DAF">
        <w:instrText xml:space="preserve"> REF _Ref454729567 \r \h </w:instrText>
      </w:r>
      <w:r w:rsidR="00657DAF">
        <w:fldChar w:fldCharType="separate"/>
      </w:r>
      <w:r w:rsidR="003F08E5">
        <w:t>3.3.3</w:t>
      </w:r>
      <w:r w:rsidR="00657DAF">
        <w:fldChar w:fldCharType="end"/>
      </w:r>
      <w:r w:rsidR="00657DAF">
        <w:t>)</w:t>
      </w:r>
      <w:r>
        <w:t>.</w:t>
      </w:r>
    </w:p>
    <w:p w:rsidR="00657DAF" w:rsidRDefault="00657DAF" w:rsidP="004F74B7">
      <w:pPr>
        <w:pStyle w:val="Odstavecseseznamem"/>
        <w:numPr>
          <w:ilvl w:val="0"/>
          <w:numId w:val="3"/>
        </w:numPr>
        <w:ind w:left="714" w:hanging="357"/>
        <w:contextualSpacing w:val="0"/>
      </w:pPr>
      <w:r>
        <w:t xml:space="preserve">Subjekty, které byly zapojeny do projektů řešících problematiku bezpečnosti v programech jiných poskytovatelů. Pro identifikaci těchto subjektů a posouzení jejich potenciálu pro BV byly využity výsledky analýzy zpracované v kap. </w:t>
      </w:r>
      <w:r>
        <w:fldChar w:fldCharType="begin"/>
      </w:r>
      <w:r>
        <w:instrText xml:space="preserve"> REF _Ref454281999 \r \h </w:instrText>
      </w:r>
      <w:r>
        <w:fldChar w:fldCharType="separate"/>
      </w:r>
      <w:r w:rsidR="003F08E5">
        <w:t>2.3.1</w:t>
      </w:r>
      <w:r>
        <w:fldChar w:fldCharType="end"/>
      </w:r>
      <w:r>
        <w:t>.</w:t>
      </w:r>
    </w:p>
    <w:p w:rsidR="003B178E" w:rsidRPr="003D2511" w:rsidRDefault="003B178E" w:rsidP="004F74B7">
      <w:pPr>
        <w:numPr>
          <w:ilvl w:val="0"/>
          <w:numId w:val="3"/>
        </w:numPr>
      </w:pPr>
      <w:r w:rsidRPr="003D2511">
        <w:t>Výzkumná centra podpořená z OP VaVpI (Evropská centra excelence a Regionální VaV centra)</w:t>
      </w:r>
      <w:r>
        <w:t xml:space="preserve"> </w:t>
      </w:r>
      <w:r>
        <w:fldChar w:fldCharType="begin"/>
      </w:r>
      <w:r>
        <w:instrText xml:space="preserve"> REF _Ref450557521 \r \h </w:instrText>
      </w:r>
      <w:r>
        <w:fldChar w:fldCharType="separate"/>
      </w:r>
      <w:r w:rsidR="003F08E5">
        <w:t>[23]</w:t>
      </w:r>
      <w:r>
        <w:fldChar w:fldCharType="end"/>
      </w:r>
      <w:r w:rsidRPr="003D2511">
        <w:t>. Do výběru byly zařazeny všechny projekty podpořené v prioritních osách 1 a 2 OP VaVpI.</w:t>
      </w:r>
      <w:r w:rsidR="0076588F">
        <w:t xml:space="preserve"> Pro posouzení jejich pro bezpečnostně zaměřený VaV byly nejčastěji využity informace a zaměření center uvedené na internetových stránkách těchto subjektů.</w:t>
      </w:r>
    </w:p>
    <w:p w:rsidR="003B178E" w:rsidRPr="003D2511" w:rsidRDefault="003B178E" w:rsidP="004F74B7">
      <w:pPr>
        <w:numPr>
          <w:ilvl w:val="0"/>
          <w:numId w:val="3"/>
        </w:numPr>
      </w:pPr>
      <w:r w:rsidRPr="003D2511">
        <w:t>Velké infrastruktury VaVaI v ČR. Do přehledu jsou zařazeny všechny infrastruktury uvedené v Cestovní mapě České republiky velkých infrastruktur pro výzkum, experimentální vývoj a inovace</w:t>
      </w:r>
      <w:r w:rsidR="0076588F">
        <w:t xml:space="preserve"> (Cestovní mapa)</w:t>
      </w:r>
      <w:r w:rsidRPr="003D2511">
        <w:t xml:space="preserve"> </w:t>
      </w:r>
      <w:r>
        <w:fldChar w:fldCharType="begin"/>
      </w:r>
      <w:r>
        <w:instrText xml:space="preserve"> REF _Ref450557573 \r \h </w:instrText>
      </w:r>
      <w:r>
        <w:fldChar w:fldCharType="separate"/>
      </w:r>
      <w:r w:rsidR="003F08E5">
        <w:t>[24]</w:t>
      </w:r>
      <w:r>
        <w:fldChar w:fldCharType="end"/>
      </w:r>
      <w:r w:rsidRPr="003D2511">
        <w:t xml:space="preserve"> a některé relevantní projekty infrastruktur VaV, které byly podpořeny v programu MŠMT Projekty velkých infrastruktur pro VaVaI 2010-2017 (LM)</w:t>
      </w:r>
      <w:r>
        <w:t xml:space="preserve"> </w:t>
      </w:r>
      <w:r>
        <w:fldChar w:fldCharType="begin"/>
      </w:r>
      <w:r>
        <w:instrText xml:space="preserve"> REF _Ref450557607 \r \h </w:instrText>
      </w:r>
      <w:r>
        <w:fldChar w:fldCharType="separate"/>
      </w:r>
      <w:r w:rsidR="003F08E5">
        <w:t>[26]</w:t>
      </w:r>
      <w:r>
        <w:fldChar w:fldCharType="end"/>
      </w:r>
      <w:r w:rsidRPr="003D2511">
        <w:t>.</w:t>
      </w:r>
      <w:r w:rsidR="0076588F">
        <w:t xml:space="preserve"> Pro posouzení zaměření a jejich možnému zapojení pro programů BV těchto infrastruktur byly využity zejména informace z Cestovní mapy.</w:t>
      </w:r>
    </w:p>
    <w:p w:rsidR="00457707" w:rsidRDefault="003B178E" w:rsidP="004F74B7">
      <w:pPr>
        <w:pStyle w:val="Odstavecseseznamem"/>
        <w:numPr>
          <w:ilvl w:val="0"/>
          <w:numId w:val="3"/>
        </w:numPr>
        <w:ind w:left="714" w:hanging="357"/>
        <w:contextualSpacing w:val="0"/>
      </w:pPr>
      <w:r w:rsidRPr="003D2511">
        <w:t>Podniky, které jsou aktivní v oblasti bezpečnosti</w:t>
      </w:r>
      <w:r w:rsidR="00096513">
        <w:t xml:space="preserve"> </w:t>
      </w:r>
      <w:r w:rsidRPr="003D2511">
        <w:t xml:space="preserve">a </w:t>
      </w:r>
      <w:r w:rsidR="00096513">
        <w:t>které mají vlastní VaV, tj. disponují vlastními</w:t>
      </w:r>
      <w:r w:rsidRPr="003D2511">
        <w:t xml:space="preserve"> VaV kapacitami</w:t>
      </w:r>
      <w:r w:rsidR="00096513">
        <w:t xml:space="preserve"> (mají výzkumné pracovníky, výdaje na VaV v relevantních ekonomických odvětvích) nebo ve svém zaměření (například na internetových stránkách, svých charakteristikách v databázích apod.) </w:t>
      </w:r>
      <w:r w:rsidR="00096513" w:rsidRPr="003D2511">
        <w:t>explicitně uvádě</w:t>
      </w:r>
      <w:r w:rsidR="00096513">
        <w:t>jí</w:t>
      </w:r>
      <w:r w:rsidR="00096513" w:rsidRPr="003D2511">
        <w:t xml:space="preserve"> výzkum nebo vývoj</w:t>
      </w:r>
      <w:r w:rsidRPr="003D2511">
        <w:t>.</w:t>
      </w:r>
      <w:r w:rsidR="00096513">
        <w:t xml:space="preserve"> </w:t>
      </w:r>
      <w:r w:rsidRPr="003D2511">
        <w:t xml:space="preserve">Pro identifikaci </w:t>
      </w:r>
      <w:r w:rsidR="00105FFE">
        <w:t xml:space="preserve">těchto </w:t>
      </w:r>
      <w:r w:rsidRPr="003D2511">
        <w:t>podniků byly využity veřejně dostupně databáze, seznamy členů asociací a dalších uskupení sdružujících subjekty s aktivitami v oblasti bezpečnosti</w:t>
      </w:r>
      <w:r w:rsidR="00457707">
        <w:t>, a to zejména:</w:t>
      </w:r>
    </w:p>
    <w:p w:rsidR="00457707" w:rsidRPr="003D2511" w:rsidRDefault="00457707" w:rsidP="004F74B7">
      <w:pPr>
        <w:numPr>
          <w:ilvl w:val="1"/>
          <w:numId w:val="3"/>
        </w:numPr>
        <w:tabs>
          <w:tab w:val="left" w:pos="5954"/>
        </w:tabs>
      </w:pPr>
      <w:r w:rsidRPr="003D2511">
        <w:t>Databáze členů Asociace obranného a bezpečnostního průmyslu (AOBP)</w:t>
      </w:r>
      <w:r>
        <w:t xml:space="preserve"> </w:t>
      </w:r>
      <w:r>
        <w:fldChar w:fldCharType="begin"/>
      </w:r>
      <w:r>
        <w:instrText xml:space="preserve"> REF _Ref450558140 \r \h </w:instrText>
      </w:r>
      <w:r>
        <w:fldChar w:fldCharType="separate"/>
      </w:r>
      <w:r w:rsidR="003F08E5">
        <w:t>[34]</w:t>
      </w:r>
      <w:r>
        <w:fldChar w:fldCharType="end"/>
      </w:r>
      <w:r w:rsidRPr="003D2511">
        <w:t xml:space="preserve">. Tato databáze sdružuje </w:t>
      </w:r>
      <w:r w:rsidR="00105FFE">
        <w:t>subjekt</w:t>
      </w:r>
      <w:r w:rsidRPr="003D2511">
        <w:t>y zabývající se VaV, výrobou, obchodem a marketingem s obrannou a bezpečnostní technikou, materiálem a službami.</w:t>
      </w:r>
    </w:p>
    <w:p w:rsidR="00457707" w:rsidRPr="003D2511" w:rsidRDefault="00457707" w:rsidP="004F74B7">
      <w:pPr>
        <w:numPr>
          <w:ilvl w:val="1"/>
          <w:numId w:val="3"/>
        </w:numPr>
        <w:tabs>
          <w:tab w:val="left" w:pos="5954"/>
        </w:tabs>
      </w:pPr>
      <w:r w:rsidRPr="003D2511">
        <w:t>Asociace leteckých výrobců ČR (ALV ČR)</w:t>
      </w:r>
      <w:r>
        <w:t xml:space="preserve"> </w:t>
      </w:r>
      <w:r>
        <w:fldChar w:fldCharType="begin"/>
      </w:r>
      <w:r>
        <w:instrText xml:space="preserve"> REF _Ref450558156 \r \h </w:instrText>
      </w:r>
      <w:r>
        <w:fldChar w:fldCharType="separate"/>
      </w:r>
      <w:r w:rsidR="003F08E5">
        <w:t>[35]</w:t>
      </w:r>
      <w:r>
        <w:fldChar w:fldCharType="end"/>
      </w:r>
      <w:r w:rsidRPr="003D2511">
        <w:t xml:space="preserve">, která sdružuje dodavatele letadel a komplexních systémů, výrobce agregátů a zařízení a podniky realizující konstrukci, VaV leteckých systémů </w:t>
      </w:r>
      <w:r w:rsidR="00105FFE">
        <w:t>nebo</w:t>
      </w:r>
      <w:r w:rsidRPr="003D2511">
        <w:t xml:space="preserve"> zařízení a jejich výrobu</w:t>
      </w:r>
      <w:r w:rsidR="00105FFE">
        <w:t>.</w:t>
      </w:r>
    </w:p>
    <w:p w:rsidR="00457707" w:rsidRPr="003D2511" w:rsidRDefault="00457707" w:rsidP="004F74B7">
      <w:pPr>
        <w:numPr>
          <w:ilvl w:val="1"/>
          <w:numId w:val="3"/>
        </w:numPr>
        <w:tabs>
          <w:tab w:val="left" w:pos="5954"/>
        </w:tabs>
      </w:pPr>
      <w:r w:rsidRPr="003D2511">
        <w:t>Databáze Svazu českého leteckého průmyslu (SČLP)</w:t>
      </w:r>
      <w:r>
        <w:t xml:space="preserve"> </w:t>
      </w:r>
      <w:r>
        <w:fldChar w:fldCharType="begin"/>
      </w:r>
      <w:r>
        <w:instrText xml:space="preserve"> REF _Ref450558166 \r \h </w:instrText>
      </w:r>
      <w:r>
        <w:fldChar w:fldCharType="separate"/>
      </w:r>
      <w:r w:rsidR="003F08E5">
        <w:t>[36]</w:t>
      </w:r>
      <w:r>
        <w:fldChar w:fldCharType="end"/>
      </w:r>
      <w:r w:rsidRPr="003D2511">
        <w:t>, kde jsou sdruženy podobné subjekty jako v ALV ČR.</w:t>
      </w:r>
    </w:p>
    <w:p w:rsidR="00457707" w:rsidRDefault="00457707" w:rsidP="00105FFE">
      <w:r w:rsidRPr="003D2511">
        <w:t xml:space="preserve">Pro </w:t>
      </w:r>
      <w:r w:rsidR="00105FFE">
        <w:t xml:space="preserve">posouzení </w:t>
      </w:r>
      <w:r w:rsidRPr="003D2511">
        <w:t xml:space="preserve">výzkumných kapacit </w:t>
      </w:r>
      <w:r w:rsidR="0076588F">
        <w:t xml:space="preserve">podniků </w:t>
      </w:r>
      <w:r w:rsidRPr="003D2511">
        <w:t>byl</w:t>
      </w:r>
      <w:r w:rsidR="003E00A9">
        <w:t>y</w:t>
      </w:r>
      <w:r w:rsidRPr="003D2511">
        <w:t xml:space="preserve"> využit</w:t>
      </w:r>
      <w:r w:rsidR="00105FFE">
        <w:t>y</w:t>
      </w:r>
      <w:r w:rsidRPr="003D2511">
        <w:t xml:space="preserve"> zejména </w:t>
      </w:r>
      <w:r w:rsidR="00105FFE">
        <w:t>informace</w:t>
      </w:r>
      <w:r w:rsidRPr="003D2511">
        <w:t xml:space="preserve"> z </w:t>
      </w:r>
      <w:r w:rsidR="00105FFE">
        <w:t>d</w:t>
      </w:r>
      <w:r w:rsidRPr="003D2511">
        <w:t>atabáze Asociace výzkumných organizací (AVO)</w:t>
      </w:r>
      <w:r>
        <w:t xml:space="preserve"> </w:t>
      </w:r>
      <w:r>
        <w:fldChar w:fldCharType="begin"/>
      </w:r>
      <w:r>
        <w:instrText xml:space="preserve"> REF _Ref450557687 \r \h </w:instrText>
      </w:r>
      <w:r>
        <w:fldChar w:fldCharType="separate"/>
      </w:r>
      <w:r w:rsidR="003F08E5">
        <w:t>[27]</w:t>
      </w:r>
      <w:r>
        <w:fldChar w:fldCharType="end"/>
      </w:r>
      <w:r w:rsidRPr="003D2511">
        <w:t>, která obsahuje údaje o organizacích zabývají</w:t>
      </w:r>
      <w:r w:rsidR="00105FFE">
        <w:t>cích se</w:t>
      </w:r>
      <w:r w:rsidRPr="003D2511">
        <w:t xml:space="preserve"> aplikovaným výzkumem a vývojem.</w:t>
      </w:r>
    </w:p>
    <w:p w:rsidR="005534B4" w:rsidRDefault="005534B4" w:rsidP="00457707">
      <w:r>
        <w:t xml:space="preserve">Ve třetí části </w:t>
      </w:r>
      <w:r w:rsidR="00096513">
        <w:t xml:space="preserve">byl vyhodnocen </w:t>
      </w:r>
      <w:r w:rsidR="00096513" w:rsidRPr="00457707">
        <w:rPr>
          <w:b/>
        </w:rPr>
        <w:t>potenciál subjektů</w:t>
      </w:r>
      <w:r w:rsidR="003D2511" w:rsidRPr="00457707">
        <w:rPr>
          <w:b/>
        </w:rPr>
        <w:t>, které působí v oblasti zkušebnictví, analýz, testování, certifikací apod</w:t>
      </w:r>
      <w:r w:rsidR="003D2511" w:rsidRPr="003D2511">
        <w:t>. Tyto subjekty většinou nedisponují dostatečnými zkušenostmi pro přímé zapojení se do výzkumných aktivit v oblasti bezpečnosti, avšak mohou těmto aktivitám napomoci, například uváděním nových poznatků do praktického využívání, jejich testování</w:t>
      </w:r>
      <w:r w:rsidR="0076588F">
        <w:t>m</w:t>
      </w:r>
      <w:r w:rsidR="003D2511" w:rsidRPr="003D2511">
        <w:t>, kalibrace</w:t>
      </w:r>
      <w:r w:rsidR="0076588F">
        <w:t>mi</w:t>
      </w:r>
      <w:r w:rsidR="003D2511" w:rsidRPr="003D2511">
        <w:t xml:space="preserve"> apod. Do této skupiny jsou zařazeny </w:t>
      </w:r>
      <w:r>
        <w:t xml:space="preserve">zejména </w:t>
      </w:r>
      <w:r w:rsidR="0076588F">
        <w:t xml:space="preserve">tyto </w:t>
      </w:r>
      <w:r>
        <w:t>subjekty:</w:t>
      </w:r>
    </w:p>
    <w:p w:rsidR="005534B4" w:rsidRDefault="003D2511" w:rsidP="004F74B7">
      <w:pPr>
        <w:pStyle w:val="Odstavecseseznamem"/>
        <w:numPr>
          <w:ilvl w:val="0"/>
          <w:numId w:val="3"/>
        </w:numPr>
        <w:ind w:left="714" w:hanging="357"/>
        <w:contextualSpacing w:val="0"/>
      </w:pPr>
      <w:r w:rsidRPr="003D2511">
        <w:t>forenzní laboratoře a pracoviště</w:t>
      </w:r>
      <w:r w:rsidR="005534B4">
        <w:t>;</w:t>
      </w:r>
    </w:p>
    <w:p w:rsidR="005534B4" w:rsidRDefault="003D2511" w:rsidP="004F74B7">
      <w:pPr>
        <w:pStyle w:val="Odstavecseseznamem"/>
        <w:numPr>
          <w:ilvl w:val="0"/>
          <w:numId w:val="3"/>
        </w:numPr>
        <w:ind w:left="714" w:hanging="357"/>
        <w:contextualSpacing w:val="0"/>
      </w:pPr>
      <w:r w:rsidRPr="003D2511">
        <w:t>soudní ústavy</w:t>
      </w:r>
      <w:r w:rsidR="005534B4">
        <w:t>;</w:t>
      </w:r>
    </w:p>
    <w:p w:rsidR="005534B4" w:rsidRDefault="003D2511" w:rsidP="004F74B7">
      <w:pPr>
        <w:pStyle w:val="Odstavecseseznamem"/>
        <w:numPr>
          <w:ilvl w:val="0"/>
          <w:numId w:val="3"/>
        </w:numPr>
        <w:ind w:left="714" w:hanging="357"/>
        <w:contextualSpacing w:val="0"/>
      </w:pPr>
      <w:r w:rsidRPr="003D2511">
        <w:t>zkušební ústavy</w:t>
      </w:r>
      <w:r w:rsidR="005534B4">
        <w:t xml:space="preserve"> a</w:t>
      </w:r>
      <w:r w:rsidRPr="003D2511">
        <w:t xml:space="preserve"> zkušební polygony</w:t>
      </w:r>
      <w:r w:rsidR="005534B4">
        <w:t>;</w:t>
      </w:r>
    </w:p>
    <w:p w:rsidR="003E00A9" w:rsidRDefault="003E00A9" w:rsidP="004F74B7">
      <w:pPr>
        <w:pStyle w:val="Odstavecseseznamem"/>
        <w:numPr>
          <w:ilvl w:val="0"/>
          <w:numId w:val="3"/>
        </w:numPr>
        <w:ind w:left="714" w:hanging="357"/>
        <w:contextualSpacing w:val="0"/>
      </w:pPr>
      <w:r>
        <w:t>výzkumné organizace a podniky, které disponují laboratořemi a vybavením, které jsou pro tyto účely využitelné;</w:t>
      </w:r>
    </w:p>
    <w:p w:rsidR="005534B4" w:rsidRDefault="005534B4" w:rsidP="004F74B7">
      <w:pPr>
        <w:pStyle w:val="Odstavecseseznamem"/>
        <w:numPr>
          <w:ilvl w:val="0"/>
          <w:numId w:val="3"/>
        </w:numPr>
        <w:ind w:left="714" w:hanging="357"/>
        <w:contextualSpacing w:val="0"/>
      </w:pPr>
      <w:r>
        <w:t xml:space="preserve">bezpečnostně zaměřené </w:t>
      </w:r>
      <w:r w:rsidR="003D2511" w:rsidRPr="003D2511">
        <w:t>instituty</w:t>
      </w:r>
      <w:r>
        <w:t>, působící v různých oblastech bezpečnosti;</w:t>
      </w:r>
    </w:p>
    <w:p w:rsidR="005534B4" w:rsidRDefault="003D2511" w:rsidP="004F74B7">
      <w:pPr>
        <w:pStyle w:val="Odstavecseseznamem"/>
        <w:numPr>
          <w:ilvl w:val="0"/>
          <w:numId w:val="3"/>
        </w:numPr>
        <w:ind w:left="714" w:hanging="357"/>
        <w:contextualSpacing w:val="0"/>
      </w:pPr>
      <w:r w:rsidRPr="003D2511">
        <w:t xml:space="preserve">asociace a další uskupení zabývající se přímo nebo nepřímo problematikou bezpečnosti. </w:t>
      </w:r>
    </w:p>
    <w:p w:rsidR="003D2511" w:rsidRDefault="005534B4" w:rsidP="003B178E">
      <w:r>
        <w:t xml:space="preserve">Cílem bylo </w:t>
      </w:r>
      <w:r w:rsidR="00096B0E">
        <w:t xml:space="preserve">v maximální míře </w:t>
      </w:r>
      <w:r>
        <w:t xml:space="preserve">identifikovat </w:t>
      </w:r>
      <w:r w:rsidR="003E00A9">
        <w:t xml:space="preserve">tyto </w:t>
      </w:r>
      <w:r>
        <w:t>subjekty a posoudit jejich potenciál pro</w:t>
      </w:r>
      <w:r w:rsidR="003E00A9">
        <w:t xml:space="preserve"> zkušebnictví</w:t>
      </w:r>
      <w:r>
        <w:t xml:space="preserve">. </w:t>
      </w:r>
      <w:r w:rsidR="003D2511" w:rsidRPr="003D2511">
        <w:t>Pro identifikaci těchto pracovišť byly využity informace dostupné na internetu (přehledy, databáze, internetové stránky konkrétních pracovišť apod.), informace z dotazníkového šetření</w:t>
      </w:r>
      <w:r w:rsidR="00096B0E">
        <w:t xml:space="preserve"> a</w:t>
      </w:r>
      <w:r w:rsidR="003D2511" w:rsidRPr="003D2511">
        <w:t xml:space="preserve"> informace z rozhovorů s experty na problematiku bezpečnosti </w:t>
      </w:r>
      <w:r w:rsidR="00096B0E">
        <w:t>během workshopu</w:t>
      </w:r>
      <w:r w:rsidR="003D2511" w:rsidRPr="003D2511">
        <w:t>.</w:t>
      </w:r>
      <w:r>
        <w:t xml:space="preserve"> </w:t>
      </w:r>
    </w:p>
    <w:p w:rsidR="00CE0223" w:rsidRDefault="00CE0223" w:rsidP="0053303E">
      <w:pPr>
        <w:pStyle w:val="Nadpis2"/>
      </w:pPr>
      <w:bookmarkStart w:id="208" w:name="_Ref452120945"/>
      <w:bookmarkStart w:id="209" w:name="_Toc459723320"/>
      <w:r>
        <w:t xml:space="preserve">Potenciál </w:t>
      </w:r>
      <w:r w:rsidR="00862715">
        <w:t xml:space="preserve">subjektů </w:t>
      </w:r>
      <w:r>
        <w:t>již zapojených do bezpečnostního výzkumu</w:t>
      </w:r>
      <w:bookmarkEnd w:id="208"/>
      <w:bookmarkEnd w:id="209"/>
    </w:p>
    <w:tbl>
      <w:tblPr>
        <w:tblW w:w="0" w:type="auto"/>
        <w:tblLook w:val="04A0" w:firstRow="1" w:lastRow="0" w:firstColumn="1" w:lastColumn="0" w:noHBand="0" w:noVBand="1"/>
      </w:tblPr>
      <w:tblGrid>
        <w:gridCol w:w="9286"/>
      </w:tblGrid>
      <w:tr w:rsidR="003D2511" w:rsidTr="001D5000">
        <w:tc>
          <w:tcPr>
            <w:tcW w:w="9286"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5456BE" w:rsidRDefault="005456BE" w:rsidP="005456BE">
            <w:r>
              <w:t>Ze subjektů zapojených do BV mají největší potenciál VO (</w:t>
            </w:r>
            <w:r w:rsidR="00931468">
              <w:t>VŠ</w:t>
            </w:r>
            <w:r w:rsidR="00E06A38">
              <w:t>,</w:t>
            </w:r>
            <w:r w:rsidR="00931468">
              <w:t xml:space="preserve"> veřejn</w:t>
            </w:r>
            <w:r>
              <w:t>é</w:t>
            </w:r>
            <w:r w:rsidR="00931468">
              <w:t xml:space="preserve"> výzkumn</w:t>
            </w:r>
            <w:r>
              <w:t>é</w:t>
            </w:r>
            <w:r w:rsidR="00931468">
              <w:t xml:space="preserve"> instituce</w:t>
            </w:r>
            <w:r w:rsidR="00E06A38">
              <w:t xml:space="preserve"> a </w:t>
            </w:r>
            <w:r>
              <w:t xml:space="preserve">další výzkumné ústavy a subjekty zabývající se VaV). Značný počet VO může </w:t>
            </w:r>
            <w:r w:rsidR="00E06A38">
              <w:t>realiz</w:t>
            </w:r>
            <w:r>
              <w:t>ovat</w:t>
            </w:r>
            <w:r w:rsidR="00E06A38">
              <w:t xml:space="preserve"> </w:t>
            </w:r>
            <w:r>
              <w:t xml:space="preserve">BV </w:t>
            </w:r>
            <w:r w:rsidR="00E06A38">
              <w:t>v</w:t>
            </w:r>
            <w:r>
              <w:t xml:space="preserve"> řadě </w:t>
            </w:r>
            <w:r w:rsidR="00E06A38">
              <w:t xml:space="preserve">oborů, což umožňuje </w:t>
            </w:r>
            <w:r>
              <w:t xml:space="preserve">jejich rozsáhlé experimentální vybavení </w:t>
            </w:r>
            <w:r w:rsidR="005D4B92">
              <w:t xml:space="preserve">a </w:t>
            </w:r>
            <w:r>
              <w:t xml:space="preserve">velké výzkumné týmy, kde působí </w:t>
            </w:r>
            <w:r w:rsidR="005D4B92">
              <w:t>výzkumní pracovníci s odbornostmi a zkušenostm</w:t>
            </w:r>
            <w:r>
              <w:t>i</w:t>
            </w:r>
            <w:r w:rsidR="005D4B92">
              <w:t xml:space="preserve"> </w:t>
            </w:r>
            <w:r>
              <w:t>z</w:t>
            </w:r>
            <w:r w:rsidR="005D4B92">
              <w:t xml:space="preserve"> více vědních disciplín. </w:t>
            </w:r>
            <w:r>
              <w:t xml:space="preserve">Nejvyšší potenciál pro BV mají </w:t>
            </w:r>
            <w:r w:rsidR="00482195">
              <w:t>VŠ</w:t>
            </w:r>
            <w:r w:rsidR="0082119C">
              <w:t xml:space="preserve">, které </w:t>
            </w:r>
            <w:r>
              <w:t xml:space="preserve">se díky svému širokému odbornému zaměření </w:t>
            </w:r>
            <w:r w:rsidR="0082119C">
              <w:t>mohou zapojit do náročných multidisciplinárních projektů zahrnující</w:t>
            </w:r>
            <w:r w:rsidR="00B66253">
              <w:t>ch</w:t>
            </w:r>
            <w:r w:rsidR="0082119C">
              <w:t xml:space="preserve"> jak základní, tak i aplikovaný výzkum a vývoj.</w:t>
            </w:r>
            <w:r w:rsidR="00482195">
              <w:t xml:space="preserve"> </w:t>
            </w:r>
            <w:r>
              <w:t>Značný potenciál pro zapojení do BV mají i instituce v rozpočtové kapitole MV.</w:t>
            </w:r>
          </w:p>
          <w:p w:rsidR="00E06A38" w:rsidRDefault="00A23B27" w:rsidP="000F3591">
            <w:r>
              <w:t xml:space="preserve">I když většinu účastníků programů bezpečnostního výzkumu MV tvoří podniky, jejich potenciál pro BV je poněkud omezen. Většina podniků je zapojila do řešení pouze jednoho projektu. Podniky také často </w:t>
            </w:r>
            <w:r w:rsidR="00482195">
              <w:t>disponují poměrně malými výzkumnými týmy</w:t>
            </w:r>
            <w:r>
              <w:t xml:space="preserve"> a </w:t>
            </w:r>
            <w:r w:rsidR="00482195">
              <w:t>zpravidla pokrývají pouze jednu specifickou technologickou oblast (průmyslové obory, informatika, obranný průmysl)</w:t>
            </w:r>
            <w:r w:rsidR="0082119C">
              <w:t>. Jejich potenciál je zejména pro realizaci projektů aplikovaného VaV, které jsou zaměřeny na konkrétní obor nebo technologii</w:t>
            </w:r>
            <w:r w:rsidR="00017358">
              <w:t>,</w:t>
            </w:r>
            <w:r w:rsidR="0082119C">
              <w:t xml:space="preserve"> a jako partnerů VO v náročnějších </w:t>
            </w:r>
            <w:r>
              <w:t>VaV projektech.</w:t>
            </w:r>
          </w:p>
          <w:p w:rsidR="003D2511" w:rsidRDefault="003D2511" w:rsidP="00017358">
            <w:r>
              <w:t xml:space="preserve">Potenciál subjektů, které se zapojují nebo mohou zapojit do programů bezpečnostního výzkumu, zatím není zřejmě zcela využit. Pokud by se zvýšil rozpočet programů bezpečnostního výzkumu, lze očekávat, že by se zapojovaly intenzivněji subjekty již </w:t>
            </w:r>
            <w:r w:rsidR="00017358">
              <w:t xml:space="preserve">účastnící se </w:t>
            </w:r>
            <w:r>
              <w:t>těchto program</w:t>
            </w:r>
            <w:r w:rsidR="00017358">
              <w:t>ů</w:t>
            </w:r>
            <w:r>
              <w:t xml:space="preserve"> nebo i další subjekty, které se těchto programů </w:t>
            </w:r>
            <w:r w:rsidR="00017358">
              <w:t>dosud nezapojily.</w:t>
            </w:r>
          </w:p>
        </w:tc>
      </w:tr>
    </w:tbl>
    <w:p w:rsidR="003D2511" w:rsidRPr="00460747" w:rsidRDefault="002F739F" w:rsidP="003D2511">
      <w:r w:rsidRPr="009E79F2">
        <w:t>V</w:t>
      </w:r>
      <w:r w:rsidR="003D2511" w:rsidRPr="009E79F2">
        <w:t xml:space="preserve"> letech 2010 – 2015 bylo </w:t>
      </w:r>
      <w:r w:rsidRPr="009E79F2">
        <w:t>uděle</w:t>
      </w:r>
      <w:r w:rsidR="003D2511" w:rsidRPr="009E79F2">
        <w:t xml:space="preserve">no </w:t>
      </w:r>
      <w:r w:rsidRPr="009E79F2">
        <w:t>v programech BV v gesci MV celkem 218</w:t>
      </w:r>
      <w:r w:rsidR="003D2511" w:rsidRPr="009E79F2">
        <w:t xml:space="preserve"> projektů</w:t>
      </w:r>
      <w:r w:rsidR="00EA5E46" w:rsidRPr="009E79F2">
        <w:t xml:space="preserve"> (počty projektů udělených v jednotlivých letech jsou uvedeny v </w:t>
      </w:r>
      <w:r w:rsidR="00EA5E46" w:rsidRPr="009E79F2">
        <w:fldChar w:fldCharType="begin"/>
      </w:r>
      <w:r w:rsidR="00EA5E46" w:rsidRPr="009E79F2">
        <w:instrText xml:space="preserve"> REF  _Ref450230945 \* Lower \h  \* MERGEFORMAT </w:instrText>
      </w:r>
      <w:r w:rsidR="00EA5E46" w:rsidRPr="009E79F2">
        <w:fldChar w:fldCharType="separate"/>
      </w:r>
      <w:r w:rsidR="003F08E5">
        <w:t xml:space="preserve">tab. </w:t>
      </w:r>
      <w:r w:rsidR="003F08E5">
        <w:rPr>
          <w:noProof/>
        </w:rPr>
        <w:t>6</w:t>
      </w:r>
      <w:r w:rsidR="00EA5E46" w:rsidRPr="009E79F2">
        <w:fldChar w:fldCharType="end"/>
      </w:r>
      <w:r w:rsidR="00EA5E46" w:rsidRPr="009E79F2">
        <w:t>)</w:t>
      </w:r>
      <w:r w:rsidR="00646FF3" w:rsidRPr="009E79F2">
        <w:t>.</w:t>
      </w:r>
      <w:r w:rsidR="0038719C" w:rsidRPr="009E79F2">
        <w:t xml:space="preserve"> </w:t>
      </w:r>
      <w:r w:rsidR="009E79F2" w:rsidRPr="009E79F2">
        <w:t>Těchto projektů se zúčastnilo celkem 147 řešitelských institucí (podle IČ)</w:t>
      </w:r>
      <w:r w:rsidR="009E79F2" w:rsidRPr="009E79F2">
        <w:rPr>
          <w:vertAlign w:val="superscript"/>
        </w:rPr>
        <w:footnoteReference w:id="44"/>
      </w:r>
      <w:r w:rsidR="009E79F2" w:rsidRPr="009E79F2">
        <w:t xml:space="preserve">. </w:t>
      </w:r>
      <w:r w:rsidR="00646FF3" w:rsidRPr="009E79F2">
        <w:t>Nejvíce proj</w:t>
      </w:r>
      <w:r w:rsidR="00C82A4E" w:rsidRPr="009E79F2">
        <w:t>ek</w:t>
      </w:r>
      <w:r w:rsidR="00646FF3" w:rsidRPr="009E79F2">
        <w:t xml:space="preserve">tů bylo zatím podpořeno v programech </w:t>
      </w:r>
      <w:r w:rsidR="00EA7D32" w:rsidRPr="009E79F2">
        <w:t>VF (</w:t>
      </w:r>
      <w:r w:rsidR="009E79F2" w:rsidRPr="009E79F2">
        <w:t>47</w:t>
      </w:r>
      <w:r w:rsidR="00646FF3" w:rsidRPr="009E79F2">
        <w:t xml:space="preserve"> projektů) a VG (134 projektů).</w:t>
      </w:r>
      <w:r w:rsidR="00646FF3" w:rsidRPr="00127280">
        <w:t xml:space="preserve"> </w:t>
      </w:r>
      <w:r w:rsidR="003D2511" w:rsidRPr="00127280">
        <w:t>Největší účast měly právnické osoby (více než 90 podniků), které společně s obecně prospěšnými společnostmi, sdruženími a fyzickými osobami</w:t>
      </w:r>
      <w:r w:rsidR="00017358">
        <w:t xml:space="preserve"> </w:t>
      </w:r>
      <w:r w:rsidR="003D2511" w:rsidRPr="00127280">
        <w:t>tvořily více než dvě třetiny účastníků (viz</w:t>
      </w:r>
      <w:r w:rsidR="00E562BA">
        <w:t xml:space="preserve"> </w:t>
      </w:r>
      <w:r w:rsidR="00E562BA">
        <w:fldChar w:fldCharType="begin"/>
      </w:r>
      <w:r w:rsidR="00E562BA">
        <w:instrText xml:space="preserve"> REF  _Ref453507876 \* Lower \h  \* MERGEFORMAT </w:instrText>
      </w:r>
      <w:r w:rsidR="00E562BA">
        <w:fldChar w:fldCharType="separate"/>
      </w:r>
      <w:r w:rsidR="003F08E5">
        <w:t xml:space="preserve">obr. </w:t>
      </w:r>
      <w:r w:rsidR="003F08E5">
        <w:rPr>
          <w:noProof/>
        </w:rPr>
        <w:t>30</w:t>
      </w:r>
      <w:r w:rsidR="00E562BA">
        <w:fldChar w:fldCharType="end"/>
      </w:r>
      <w:r w:rsidR="00E562BA">
        <w:t xml:space="preserve">). </w:t>
      </w:r>
      <w:r w:rsidR="003D2511" w:rsidRPr="00127280">
        <w:t xml:space="preserve">Přibližně čtvrtina zapojených subjektů byla z výzkumného sektoru (VŠ a veřejné výzkumné instituce). Několik institucí bylo organizačními složkami státu (spadajícími pod MV a MO, podrobněji </w:t>
      </w:r>
      <w:r w:rsidR="00E562BA">
        <w:t xml:space="preserve">jsou tyto instituce </w:t>
      </w:r>
      <w:r w:rsidR="00E562BA" w:rsidRPr="00460747">
        <w:t>specifikovány dále</w:t>
      </w:r>
      <w:r w:rsidR="003D2511" w:rsidRPr="00460747">
        <w:t>).</w:t>
      </w:r>
    </w:p>
    <w:p w:rsidR="003D2511" w:rsidRPr="00127280" w:rsidRDefault="003D2511" w:rsidP="003D2511">
      <w:r w:rsidRPr="00460747">
        <w:t>V letech 2010 – 2015 bylo v projektech bezpečnostního výzkumu identifikováno celkem 313 jedinečných řešitelů</w:t>
      </w:r>
      <w:r w:rsidR="009E79F2" w:rsidRPr="00460747">
        <w:rPr>
          <w:rStyle w:val="Znakapoznpodarou"/>
        </w:rPr>
        <w:footnoteReference w:id="45"/>
      </w:r>
      <w:r w:rsidRPr="00460747">
        <w:t xml:space="preserve">. </w:t>
      </w:r>
      <w:r w:rsidR="004876DA" w:rsidRPr="00460747">
        <w:t>Rozdělení</w:t>
      </w:r>
      <w:r w:rsidR="004876DA">
        <w:t xml:space="preserve"> počtu řešitelů, kteří se zúčastnili v uvedeném období projektů v programech BV, podle sektorů je uvedeno v pravé části </w:t>
      </w:r>
      <w:r w:rsidR="004876DA">
        <w:fldChar w:fldCharType="begin"/>
      </w:r>
      <w:r w:rsidR="004876DA">
        <w:instrText xml:space="preserve"> REF  _Ref453507876 \* Lower \h  \* MERGEFORMAT </w:instrText>
      </w:r>
      <w:r w:rsidR="004876DA">
        <w:fldChar w:fldCharType="separate"/>
      </w:r>
      <w:r w:rsidR="003F08E5">
        <w:t xml:space="preserve">obr. </w:t>
      </w:r>
      <w:r w:rsidR="003F08E5">
        <w:rPr>
          <w:noProof/>
        </w:rPr>
        <w:t>30</w:t>
      </w:r>
      <w:r w:rsidR="004876DA">
        <w:fldChar w:fldCharType="end"/>
      </w:r>
      <w:r w:rsidR="004876DA">
        <w:t xml:space="preserve">. Z obrázku je patrné, že podíl řešitelů projektů z podnikového sektoru je výrazně nižší než podíl projektů, </w:t>
      </w:r>
      <w:r w:rsidR="00554B42">
        <w:t xml:space="preserve">ve kterých byly subjekty z podnikového sektoru zapojeny. </w:t>
      </w:r>
      <w:r w:rsidRPr="00127280">
        <w:t xml:space="preserve"> To znamená, že v podnicích </w:t>
      </w:r>
      <w:r w:rsidR="00554B42">
        <w:t>působí méně řešitelů projektů (tj. pracovníků, kteří se do řešení projektů BV mohou zapojit) než ve VO</w:t>
      </w:r>
      <w:r w:rsidR="00554B42">
        <w:rPr>
          <w:rStyle w:val="Znakapoznpodarou"/>
        </w:rPr>
        <w:footnoteReference w:id="46"/>
      </w:r>
      <w:r w:rsidR="00554B42">
        <w:t xml:space="preserve">. </w:t>
      </w:r>
      <w:r w:rsidR="0060039B">
        <w:t xml:space="preserve">Nižší počet řešitelů v podnicích však může souviset i s tím, že řešitelem je </w:t>
      </w:r>
      <w:r w:rsidR="00440BE9">
        <w:t xml:space="preserve">často </w:t>
      </w:r>
      <w:r w:rsidR="0060039B">
        <w:t>jednatel (ředitel) společnosti</w:t>
      </w:r>
      <w:r w:rsidR="00440BE9">
        <w:t xml:space="preserve"> a do řešení jsou zapojeni pracovníci, kteří nejsou v projektu uvedeni.</w:t>
      </w:r>
    </w:p>
    <w:p w:rsidR="003D2511" w:rsidRPr="00127280" w:rsidRDefault="00E562BA" w:rsidP="003D2511">
      <w:r w:rsidRPr="00127280">
        <w:t xml:space="preserve">Počet řešitelů projektů se v jednotlivých letech měnil. </w:t>
      </w:r>
      <w:r w:rsidR="003D2511" w:rsidRPr="00127280">
        <w:t>Jak je patrné z</w:t>
      </w:r>
      <w:r w:rsidR="00554B42">
        <w:t xml:space="preserve"> </w:t>
      </w:r>
      <w:r w:rsidR="00554B42">
        <w:fldChar w:fldCharType="begin"/>
      </w:r>
      <w:r w:rsidR="00554B42">
        <w:instrText xml:space="preserve"> REF  _Ref447532076 \* Lower \h  \* MERGEFORMAT </w:instrText>
      </w:r>
      <w:r w:rsidR="00554B42">
        <w:fldChar w:fldCharType="separate"/>
      </w:r>
      <w:r w:rsidR="003F08E5">
        <w:t xml:space="preserve">obr. </w:t>
      </w:r>
      <w:r w:rsidR="003F08E5">
        <w:rPr>
          <w:noProof/>
        </w:rPr>
        <w:t>31</w:t>
      </w:r>
      <w:r w:rsidR="00554B42">
        <w:fldChar w:fldCharType="end"/>
      </w:r>
      <w:r w:rsidR="003D2511" w:rsidRPr="00127280">
        <w:t>, kde je znázorněn vývoj počtu řešitelů v letech 2010 až 2015 v jednotlivých subjektech podle právní formy, počet řešitelů zapojený</w:t>
      </w:r>
      <w:r w:rsidR="00017358">
        <w:t>ch</w:t>
      </w:r>
      <w:r w:rsidR="003D2511" w:rsidRPr="00127280">
        <w:t xml:space="preserve"> v projektech roste, což odpovídá i nárůstu rozpočtu řešených projektů v tomto období (pokles po roce 2013 je potom důsledkem postupného snižování rozpočtu v letech 2013 – 2015). Mezi roky 2010 a 2013 nejvýrazněji rostl počet řešitelů v podnicích a ve VVI (více než na dvojnásobek), nejméně v organizačních složkách státu. To může indikovat určitou míru nasycení VaV kapacity organizačních složek státu</w:t>
      </w:r>
      <w:r w:rsidR="00554B42">
        <w:t>,</w:t>
      </w:r>
      <w:r w:rsidR="003D2511" w:rsidRPr="00127280">
        <w:t xml:space="preserve"> převážně </w:t>
      </w:r>
      <w:r w:rsidR="00554B42">
        <w:t xml:space="preserve">v působnosti </w:t>
      </w:r>
      <w:r w:rsidR="003D2511" w:rsidRPr="00127280">
        <w:t>MV.</w:t>
      </w:r>
    </w:p>
    <w:p w:rsidR="003D2511" w:rsidRPr="00127280" w:rsidRDefault="00CE1ED9" w:rsidP="003D2511">
      <w:r>
        <w:fldChar w:fldCharType="begin"/>
      </w:r>
      <w:r>
        <w:instrText xml:space="preserve"> REF  _Ref447532076 \* FirstCap \h  \* MERGEFORMAT </w:instrText>
      </w:r>
      <w:r>
        <w:fldChar w:fldCharType="separate"/>
      </w:r>
      <w:r w:rsidR="003F08E5">
        <w:t xml:space="preserve">Obr. </w:t>
      </w:r>
      <w:r w:rsidR="003F08E5">
        <w:rPr>
          <w:noProof/>
        </w:rPr>
        <w:t>31</w:t>
      </w:r>
      <w:r>
        <w:fldChar w:fldCharType="end"/>
      </w:r>
      <w:r>
        <w:t xml:space="preserve"> ale svědčí i </w:t>
      </w:r>
      <w:r w:rsidR="00554B42">
        <w:t xml:space="preserve">o tom, </w:t>
      </w:r>
      <w:r w:rsidR="003D2511" w:rsidRPr="00127280">
        <w:t xml:space="preserve">že potenciál </w:t>
      </w:r>
      <w:r>
        <w:t xml:space="preserve">ostatních subjektů </w:t>
      </w:r>
      <w:r w:rsidR="003D2511" w:rsidRPr="00127280">
        <w:t xml:space="preserve">pro bezpečnostní VaV zatím není zcela využit, neboť se vzrůstajícím rozpočtem </w:t>
      </w:r>
      <w:r>
        <w:t>pro</w:t>
      </w:r>
      <w:r w:rsidR="003D2511" w:rsidRPr="00127280">
        <w:t>gram</w:t>
      </w:r>
      <w:r>
        <w:t>ů</w:t>
      </w:r>
      <w:r w:rsidR="003D2511" w:rsidRPr="00127280">
        <w:t xml:space="preserve"> MV </w:t>
      </w:r>
      <w:r>
        <w:t xml:space="preserve">a počtem řešených projektů </w:t>
      </w:r>
      <w:r w:rsidR="003D2511" w:rsidRPr="00127280">
        <w:t>roste i počet subjektů, které se do nich zapojují (zejména v podnicích, VVI a VŠ). Pokud by rozpočet programů MV (a dalších poskytovatelů) řešících problematiku bezpečnosti narůstal, zřejmě by se zapojilo více subjektů</w:t>
      </w:r>
      <w:r>
        <w:t xml:space="preserve"> </w:t>
      </w:r>
      <w:r w:rsidR="003D2511" w:rsidRPr="00127280">
        <w:t>a nárůst rozpočtu by byl účelně využit. Konsolidace veřejné podpory bezpečnostního výzkumu, ke které došlo v souvislosti s Reformou systému výzkumu a vývoje v České republice</w:t>
      </w:r>
      <w:r w:rsidR="005018C0" w:rsidRPr="00127280">
        <w:t xml:space="preserve"> </w:t>
      </w:r>
      <w:r w:rsidR="005018C0" w:rsidRPr="00127280">
        <w:fldChar w:fldCharType="begin"/>
      </w:r>
      <w:r w:rsidR="005018C0" w:rsidRPr="00127280">
        <w:instrText xml:space="preserve"> REF _Ref450222326 \r \h </w:instrText>
      </w:r>
      <w:r w:rsidR="00127280" w:rsidRPr="00127280">
        <w:instrText xml:space="preserve"> \* MERGEFORMAT </w:instrText>
      </w:r>
      <w:r w:rsidR="005018C0" w:rsidRPr="00127280">
        <w:fldChar w:fldCharType="separate"/>
      </w:r>
      <w:r w:rsidR="003F08E5">
        <w:t>[2]</w:t>
      </w:r>
      <w:r w:rsidR="005018C0" w:rsidRPr="00127280">
        <w:fldChar w:fldCharType="end"/>
      </w:r>
      <w:r w:rsidR="003D2511" w:rsidRPr="00127280">
        <w:t>, tedy zvýšila zájem subjektů o zapojení do programů VaV řešících problematiku bezpečnosti.</w:t>
      </w:r>
    </w:p>
    <w:p w:rsidR="003D2511" w:rsidRDefault="003D2511" w:rsidP="003D2511">
      <w:r w:rsidRPr="00127280">
        <w:t>Nejvyšší veřejnou podporu na řešení projektů v programech MV získaly VŠ (viz</w:t>
      </w:r>
      <w:r w:rsidR="00CE1ED9">
        <w:t xml:space="preserve"> </w:t>
      </w:r>
      <w:r w:rsidR="0072485C">
        <w:fldChar w:fldCharType="begin"/>
      </w:r>
      <w:r w:rsidR="0072485C">
        <w:instrText xml:space="preserve"> REF  _Ref453510383 \* Lower \h  \* MERGEFORMAT </w:instrText>
      </w:r>
      <w:r w:rsidR="0072485C">
        <w:fldChar w:fldCharType="separate"/>
      </w:r>
      <w:r w:rsidR="003F08E5">
        <w:t xml:space="preserve">tab. </w:t>
      </w:r>
      <w:r w:rsidR="003F08E5">
        <w:rPr>
          <w:noProof/>
        </w:rPr>
        <w:t>55</w:t>
      </w:r>
      <w:r w:rsidR="0072485C">
        <w:fldChar w:fldCharType="end"/>
      </w:r>
      <w:r w:rsidRPr="00127280">
        <w:t>).</w:t>
      </w:r>
      <w:r w:rsidR="0072485C">
        <w:t xml:space="preserve"> </w:t>
      </w:r>
      <w:r w:rsidRPr="00127280">
        <w:t>Významný podíl veřejné podpory získaly také právnické osoby, VVI a organizační složky státu. Veřejná podpora získaná subjekty jiného typu je ve srovnání s uvedenými subjekty výrazně nižší.</w:t>
      </w:r>
      <w:r w:rsidR="0072485C">
        <w:t xml:space="preserve"> </w:t>
      </w:r>
    </w:p>
    <w:p w:rsidR="00BF495B" w:rsidRDefault="00BF495B" w:rsidP="003D2511">
      <w:pPr>
        <w:rPr>
          <w:highlight w:val="yellow"/>
        </w:rPr>
      </w:pPr>
    </w:p>
    <w:p w:rsidR="00D35C7C" w:rsidRDefault="00D35C7C" w:rsidP="00D35C7C">
      <w:pPr>
        <w:keepNext/>
        <w:jc w:val="center"/>
      </w:pPr>
      <w:r>
        <w:rPr>
          <w:noProof/>
          <w:lang w:eastAsia="cs-CZ"/>
        </w:rPr>
        <w:drawing>
          <wp:inline distT="0" distB="0" distL="0" distR="0" wp14:anchorId="3CE49230" wp14:editId="27C910C8">
            <wp:extent cx="6075358" cy="2447925"/>
            <wp:effectExtent l="0" t="0" r="1905" b="0"/>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6088956" cy="2453404"/>
                    </a:xfrm>
                    <a:prstGeom prst="rect">
                      <a:avLst/>
                    </a:prstGeom>
                    <a:noFill/>
                  </pic:spPr>
                </pic:pic>
              </a:graphicData>
            </a:graphic>
          </wp:inline>
        </w:drawing>
      </w:r>
    </w:p>
    <w:p w:rsidR="00CE1ED9" w:rsidRPr="00CE1ED9" w:rsidRDefault="00E562BA" w:rsidP="00CE1ED9">
      <w:pPr>
        <w:pStyle w:val="Titulek"/>
        <w:jc w:val="both"/>
      </w:pPr>
      <w:bookmarkStart w:id="210" w:name="_Ref453507876"/>
      <w:r>
        <w:t xml:space="preserve">Obr. </w:t>
      </w:r>
      <w:r w:rsidR="00990E2D">
        <w:fldChar w:fldCharType="begin"/>
      </w:r>
      <w:r w:rsidR="00990E2D">
        <w:instrText xml:space="preserve"> SEQ Obr. \* ARABIC </w:instrText>
      </w:r>
      <w:r w:rsidR="00990E2D">
        <w:fldChar w:fldCharType="separate"/>
      </w:r>
      <w:r w:rsidR="003F08E5">
        <w:rPr>
          <w:noProof/>
        </w:rPr>
        <w:t>30</w:t>
      </w:r>
      <w:r w:rsidR="00990E2D">
        <w:rPr>
          <w:noProof/>
        </w:rPr>
        <w:fldChar w:fldCharType="end"/>
      </w:r>
      <w:bookmarkEnd w:id="210"/>
      <w:r>
        <w:tab/>
      </w:r>
      <w:r w:rsidR="00554B42" w:rsidRPr="00554B42">
        <w:t>Počty subjektů (podniků, VO atd.) ve sledovaných programech MV podle právní formy (a) a průměrný počet řešitelů projektů (tj. pracovníků) z jednotlivých zapojených subjektů v letech 201</w:t>
      </w:r>
      <w:r w:rsidR="00554B42">
        <w:t>0</w:t>
      </w:r>
      <w:r w:rsidR="00554B42" w:rsidRPr="00554B42">
        <w:t xml:space="preserve"> až 2015 (b). Zdroj: IS VaVaI</w:t>
      </w:r>
    </w:p>
    <w:p w:rsidR="00D35C7C" w:rsidRPr="00554B42" w:rsidRDefault="00D35C7C" w:rsidP="00554B42"/>
    <w:p w:rsidR="003D2511" w:rsidRDefault="003D2511" w:rsidP="003D2511">
      <w:pPr>
        <w:keepNext/>
        <w:jc w:val="center"/>
      </w:pPr>
      <w:r>
        <w:rPr>
          <w:noProof/>
          <w:lang w:eastAsia="cs-CZ"/>
        </w:rPr>
        <w:drawing>
          <wp:inline distT="0" distB="0" distL="0" distR="0" wp14:anchorId="67959E39" wp14:editId="71E3DB2D">
            <wp:extent cx="4381500" cy="3635711"/>
            <wp:effectExtent l="0" t="0" r="0" b="3175"/>
            <wp:docPr id="18" name="Obráze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4396297" cy="3647989"/>
                    </a:xfrm>
                    <a:prstGeom prst="rect">
                      <a:avLst/>
                    </a:prstGeom>
                    <a:noFill/>
                  </pic:spPr>
                </pic:pic>
              </a:graphicData>
            </a:graphic>
          </wp:inline>
        </w:drawing>
      </w:r>
    </w:p>
    <w:p w:rsidR="00480685" w:rsidRDefault="003D2511" w:rsidP="00B46008">
      <w:pPr>
        <w:pStyle w:val="Titulek"/>
      </w:pPr>
      <w:bookmarkStart w:id="211" w:name="_Ref447532076"/>
      <w:r>
        <w:t xml:space="preserve">Obr. </w:t>
      </w:r>
      <w:r w:rsidR="00990E2D">
        <w:fldChar w:fldCharType="begin"/>
      </w:r>
      <w:r w:rsidR="00990E2D">
        <w:instrText xml:space="preserve"> SEQ Obr. \* ARABIC </w:instrText>
      </w:r>
      <w:r w:rsidR="00990E2D">
        <w:fldChar w:fldCharType="separate"/>
      </w:r>
      <w:r w:rsidR="003F08E5">
        <w:rPr>
          <w:noProof/>
        </w:rPr>
        <w:t>31</w:t>
      </w:r>
      <w:r w:rsidR="00990E2D">
        <w:rPr>
          <w:noProof/>
        </w:rPr>
        <w:fldChar w:fldCharType="end"/>
      </w:r>
      <w:bookmarkEnd w:id="211"/>
      <w:r>
        <w:tab/>
        <w:t xml:space="preserve">Vývoj počtu řešitelů v letech 2010 až 2015 v jednotlivých subjektech podle právní formy. </w:t>
      </w:r>
      <w:r w:rsidR="00D3446E">
        <w:t>Ve výpočtu je užita zlomková metoda (</w:t>
      </w:r>
      <w:r w:rsidR="00D3446E" w:rsidRPr="00D3446E">
        <w:t xml:space="preserve">řešitelé, kteří se v daném roce </w:t>
      </w:r>
      <w:r w:rsidR="00D3446E">
        <w:t>ú</w:t>
      </w:r>
      <w:r w:rsidR="00D3446E" w:rsidRPr="00D3446E">
        <w:t>častnili n</w:t>
      </w:r>
      <w:r w:rsidR="00D3446E">
        <w:t>-</w:t>
      </w:r>
      <w:r w:rsidR="00D3446E" w:rsidRPr="00D3446E">
        <w:t>projektů, jsou v každém projektu započten</w:t>
      </w:r>
      <w:r w:rsidR="00D3446E">
        <w:t>i</w:t>
      </w:r>
      <w:r w:rsidR="00D3446E" w:rsidRPr="00D3446E">
        <w:t xml:space="preserve"> 1/n-tinou</w:t>
      </w:r>
      <w:r w:rsidR="00D3446E">
        <w:t>)</w:t>
      </w:r>
      <w:r w:rsidR="00D3446E" w:rsidRPr="00D3446E">
        <w:t>.</w:t>
      </w:r>
      <w:r w:rsidR="00D3446E">
        <w:t xml:space="preserve"> </w:t>
      </w:r>
      <w:r>
        <w:t>Zdroj: IS VaVaI</w:t>
      </w:r>
    </w:p>
    <w:p w:rsidR="00BF495B" w:rsidRDefault="00BF495B" w:rsidP="00BF495B"/>
    <w:p w:rsidR="00BF495B" w:rsidRDefault="00BF495B" w:rsidP="00BF495B">
      <w:r>
        <w:t>Z </w:t>
      </w:r>
      <w:r>
        <w:fldChar w:fldCharType="begin"/>
      </w:r>
      <w:r>
        <w:instrText xml:space="preserve"> REF  _Ref453510383 \* Lower \h  \* MERGEFORMAT </w:instrText>
      </w:r>
      <w:r>
        <w:fldChar w:fldCharType="separate"/>
      </w:r>
      <w:r w:rsidR="003F08E5">
        <w:t xml:space="preserve">tab. </w:t>
      </w:r>
      <w:r w:rsidR="003F08E5">
        <w:rPr>
          <w:noProof/>
        </w:rPr>
        <w:t>55</w:t>
      </w:r>
      <w:r>
        <w:fldChar w:fldCharType="end"/>
      </w:r>
      <w:r>
        <w:t xml:space="preserve"> je také patrné, že oborové zaměření projektů řešených subjekty z různých sektorů se liší. VŠ, vzhledem ke svému multioborovému zaměření, pokrývají všechny obory. VŠ dominují zejména v informatice, kde tyto instituce získaly více než polovinu celkové podpory v tomto oboru</w:t>
      </w:r>
      <w:r>
        <w:rPr>
          <w:rStyle w:val="Znakapoznpodarou"/>
        </w:rPr>
        <w:footnoteReference w:id="47"/>
      </w:r>
      <w:r>
        <w:t>. Vysoký podíl podpory VŠ také získaly ve společenských vědách, chemii, biovědách a průmyslových oborech. VaV ve většině oborů také zajišťují VVI, jejich podíl v jednotlivých oborech je však nižší než v případě VŠ (což souvisí s nižším celkovým objemem veřejné podpory, kterou tyto instituce získaly).</w:t>
      </w:r>
    </w:p>
    <w:p w:rsidR="00BF495B" w:rsidRPr="00BF495B" w:rsidRDefault="00BF495B" w:rsidP="00BF495B">
      <w:r>
        <w:t xml:space="preserve">Podnikatelské subjekty dominují ve vojenství. Vysoký podíl z celkové podpory v daném oboru získaly také podniky v informatice, průmyslových oborech a společenských vědách a specifickém oboru </w:t>
      </w:r>
      <w:r w:rsidRPr="009E79F2">
        <w:t>Bezpečnost a ochrana zdraví, člověk – stroj (AQ)</w:t>
      </w:r>
      <w:r>
        <w:rPr>
          <w:rStyle w:val="Znakapoznpodarou"/>
        </w:rPr>
        <w:footnoteReference w:id="48"/>
      </w:r>
      <w:r>
        <w:t xml:space="preserve">. Organizační složky státu získaly vyšší podíl podpory ve vojenství a biovědách. Příspěvkové organizace působí zejména v lékařských vědách, kde získaly více než polovinu z celkové podpory v tomto oboru (viz </w:t>
      </w:r>
      <w:r>
        <w:fldChar w:fldCharType="begin"/>
      </w:r>
      <w:r>
        <w:instrText xml:space="preserve"> REF  _Ref453510383 \* Lower \h  \* MERGEFORMAT </w:instrText>
      </w:r>
      <w:r>
        <w:fldChar w:fldCharType="separate"/>
      </w:r>
      <w:r w:rsidR="003F08E5">
        <w:t xml:space="preserve">tab. </w:t>
      </w:r>
      <w:r w:rsidR="003F08E5">
        <w:rPr>
          <w:noProof/>
        </w:rPr>
        <w:t>55</w:t>
      </w:r>
      <w:r>
        <w:fldChar w:fldCharType="end"/>
      </w:r>
      <w:r>
        <w:t>). Oborová „specializace“ souvisí jak se zaměřením a povahou aktivit realizovaných v jednotlivých sektorech, tak i s existencí specificky zaměřených institucí, které se v těchto sektorech specializují na problematiku bezpečnosti.</w:t>
      </w:r>
    </w:p>
    <w:p w:rsidR="00480685" w:rsidRPr="00480685" w:rsidRDefault="00F73AAE" w:rsidP="00D35C7C">
      <w:pPr>
        <w:pStyle w:val="Titulek"/>
        <w:keepNext/>
        <w:spacing w:after="0"/>
      </w:pPr>
      <w:bookmarkStart w:id="212" w:name="_Ref453510383"/>
      <w:r>
        <w:t xml:space="preserve">Tab. </w:t>
      </w:r>
      <w:r w:rsidR="00990E2D">
        <w:fldChar w:fldCharType="begin"/>
      </w:r>
      <w:r w:rsidR="00990E2D">
        <w:instrText xml:space="preserve"> SEQ Tab. \* ARABIC </w:instrText>
      </w:r>
      <w:r w:rsidR="00990E2D">
        <w:fldChar w:fldCharType="separate"/>
      </w:r>
      <w:r w:rsidR="003F08E5">
        <w:rPr>
          <w:noProof/>
        </w:rPr>
        <w:t>55</w:t>
      </w:r>
      <w:r w:rsidR="00990E2D">
        <w:rPr>
          <w:noProof/>
        </w:rPr>
        <w:fldChar w:fldCharType="end"/>
      </w:r>
      <w:bookmarkEnd w:id="212"/>
      <w:r>
        <w:tab/>
      </w:r>
      <w:r w:rsidRPr="00F73AAE">
        <w:t>Počet jedinečných subjektů podle sektorů účastnících se programů BV, průměrný roční počet řešitelů projektů v letech 2010 – 2015 a celková veřejná podpora, kterou řešitelé projektů z jednotlivých sektorů získali. V pravé části tabulky je uvedeno procentuální rozdělení podpory podle sektorů v jednotlivých oborech. Zdroj: IS VaVaI</w:t>
      </w:r>
    </w:p>
    <w:p w:rsidR="00F73AAE" w:rsidRDefault="00216FFF" w:rsidP="00D35C7C">
      <w:pPr>
        <w:pStyle w:val="Titulek"/>
        <w:keepNext/>
        <w:jc w:val="center"/>
      </w:pPr>
      <w:r w:rsidRPr="00216FFF">
        <w:rPr>
          <w:noProof/>
          <w:lang w:eastAsia="cs-CZ"/>
        </w:rPr>
        <w:drawing>
          <wp:inline distT="0" distB="0" distL="0" distR="0" wp14:anchorId="4D5C51D2" wp14:editId="69BBC485">
            <wp:extent cx="5734050" cy="2000251"/>
            <wp:effectExtent l="0" t="0" r="0" b="0"/>
            <wp:docPr id="17" name="Obráze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5766665" cy="2011628"/>
                    </a:xfrm>
                    <a:prstGeom prst="rect">
                      <a:avLst/>
                    </a:prstGeom>
                    <a:noFill/>
                    <a:ln>
                      <a:noFill/>
                    </a:ln>
                  </pic:spPr>
                </pic:pic>
              </a:graphicData>
            </a:graphic>
          </wp:inline>
        </w:drawing>
      </w:r>
    </w:p>
    <w:p w:rsidR="00216FFF" w:rsidRDefault="00216FFF" w:rsidP="00480685">
      <w:pPr>
        <w:keepNext/>
        <w:tabs>
          <w:tab w:val="left" w:pos="426"/>
        </w:tabs>
        <w:spacing w:before="0" w:after="0"/>
        <w:jc w:val="left"/>
        <w:rPr>
          <w:i/>
          <w:sz w:val="20"/>
        </w:rPr>
      </w:pPr>
      <w:r w:rsidRPr="00216FFF">
        <w:rPr>
          <w:i/>
          <w:sz w:val="20"/>
        </w:rPr>
        <w:t>*</w:t>
      </w:r>
      <w:r>
        <w:rPr>
          <w:i/>
          <w:sz w:val="20"/>
        </w:rPr>
        <w:tab/>
      </w:r>
      <w:r w:rsidRPr="00216FFF">
        <w:rPr>
          <w:i/>
          <w:sz w:val="20"/>
        </w:rPr>
        <w:t xml:space="preserve"> Právnické a fyzické osoby, obecně prospěšné společnosti, zájmová sdružení právnických osob</w:t>
      </w:r>
    </w:p>
    <w:p w:rsidR="00216FFF" w:rsidRDefault="00216FFF" w:rsidP="00216FFF">
      <w:pPr>
        <w:keepNext/>
        <w:tabs>
          <w:tab w:val="left" w:pos="426"/>
        </w:tabs>
        <w:jc w:val="left"/>
      </w:pPr>
      <w:r w:rsidRPr="00216FFF">
        <w:rPr>
          <w:noProof/>
          <w:lang w:eastAsia="cs-CZ"/>
        </w:rPr>
        <w:drawing>
          <wp:inline distT="0" distB="0" distL="0" distR="0" wp14:anchorId="636F1D59" wp14:editId="38C5C2EA">
            <wp:extent cx="4143375" cy="639581"/>
            <wp:effectExtent l="0" t="0" r="0" b="8255"/>
            <wp:docPr id="51" name="Obrázek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4143375" cy="639581"/>
                    </a:xfrm>
                    <a:prstGeom prst="rect">
                      <a:avLst/>
                    </a:prstGeom>
                    <a:noFill/>
                    <a:ln>
                      <a:noFill/>
                    </a:ln>
                  </pic:spPr>
                </pic:pic>
              </a:graphicData>
            </a:graphic>
          </wp:inline>
        </w:drawing>
      </w:r>
    </w:p>
    <w:p w:rsidR="003D2511" w:rsidRDefault="00862715" w:rsidP="00862715">
      <w:pPr>
        <w:pStyle w:val="Nadpis3"/>
      </w:pPr>
      <w:bookmarkStart w:id="213" w:name="_Toc459723321"/>
      <w:r>
        <w:t>Výzkumné organizace</w:t>
      </w:r>
      <w:bookmarkEnd w:id="213"/>
    </w:p>
    <w:tbl>
      <w:tblPr>
        <w:tblW w:w="0" w:type="auto"/>
        <w:tblLook w:val="04A0" w:firstRow="1" w:lastRow="0" w:firstColumn="1" w:lastColumn="0" w:noHBand="0" w:noVBand="1"/>
      </w:tblPr>
      <w:tblGrid>
        <w:gridCol w:w="9288"/>
      </w:tblGrid>
      <w:tr w:rsidR="003D2511" w:rsidTr="001D5000">
        <w:tc>
          <w:tcPr>
            <w:tcW w:w="9288"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4F4324" w:rsidRDefault="003D2511" w:rsidP="004F4324">
            <w:r>
              <w:t xml:space="preserve">Vysoký potenciál pro zapojení do bezpečnostního výzkumu mají zejména VO, jako jsou VŠ a </w:t>
            </w:r>
            <w:r w:rsidR="00525BBB">
              <w:t xml:space="preserve">veřejné výzkumné instituce </w:t>
            </w:r>
            <w:r>
              <w:t>(</w:t>
            </w:r>
            <w:r w:rsidR="00525BBB">
              <w:t xml:space="preserve">ústavy AV ČR a </w:t>
            </w:r>
            <w:r>
              <w:t>další ústavy). Širší jádro bezpečnostního VaV</w:t>
            </w:r>
            <w:r w:rsidR="00B409F4">
              <w:t>, který m</w:t>
            </w:r>
            <w:r w:rsidR="00633B08">
              <w:t>á</w:t>
            </w:r>
            <w:r w:rsidR="00B409F4">
              <w:t xml:space="preserve"> i největší potenciál pro zapojení do programů BV, </w:t>
            </w:r>
            <w:r>
              <w:t xml:space="preserve">tvoří několik velkých VŠ, </w:t>
            </w:r>
            <w:r w:rsidR="004F4324">
              <w:t>mezi které patří zejména ČVUT v Praze, VUT v Brně, VŠCHT v Praze a VŠ</w:t>
            </w:r>
            <w:r w:rsidR="007C6F8C">
              <w:t xml:space="preserve">B </w:t>
            </w:r>
            <w:r w:rsidR="004F4324">
              <w:t>-TU Ostrav</w:t>
            </w:r>
            <w:r w:rsidR="007C6F8C">
              <w:t>a</w:t>
            </w:r>
            <w:r w:rsidR="004F4324">
              <w:t xml:space="preserve">. </w:t>
            </w:r>
            <w:r w:rsidR="00633B08">
              <w:t xml:space="preserve">V těchto VŠ je k dispozici rozsáhlé a často i unikátní experimentální vybavení a působí v nich </w:t>
            </w:r>
            <w:r>
              <w:t>i nejširší výzkumné týmy</w:t>
            </w:r>
            <w:r w:rsidR="00633B08">
              <w:t xml:space="preserve"> zahrnující výzkumné pracovníky s</w:t>
            </w:r>
            <w:r w:rsidR="00525BBB">
              <w:t xml:space="preserve"> výzkumnými </w:t>
            </w:r>
            <w:r w:rsidR="00633B08">
              <w:t xml:space="preserve">zkušenostmi v řadě </w:t>
            </w:r>
            <w:r w:rsidR="00525BBB">
              <w:t>vědních disciplín</w:t>
            </w:r>
            <w:r w:rsidR="00633B08">
              <w:t xml:space="preserve"> i technické a odborné pracovníky</w:t>
            </w:r>
            <w:r w:rsidR="00A31DFF">
              <w:t>, kteří se mohou do BV zapojit</w:t>
            </w:r>
            <w:r w:rsidR="00633B08">
              <w:t>.</w:t>
            </w:r>
            <w:r>
              <w:t xml:space="preserve"> VŠ </w:t>
            </w:r>
            <w:r w:rsidR="00525BBB">
              <w:t xml:space="preserve">a některé výzkumné ústavy </w:t>
            </w:r>
            <w:r>
              <w:t xml:space="preserve">mají i potenciál pro zapojení do mezinárodního výzkumu a mohou se </w:t>
            </w:r>
            <w:r w:rsidR="00A31DFF">
              <w:t>účastnit</w:t>
            </w:r>
            <w:r>
              <w:t xml:space="preserve"> </w:t>
            </w:r>
            <w:r w:rsidR="00525BBB">
              <w:t xml:space="preserve">i </w:t>
            </w:r>
            <w:r>
              <w:t>významných projektů řešících klí</w:t>
            </w:r>
            <w:r w:rsidR="00525BBB">
              <w:t xml:space="preserve">čové výzvy evropské společnosti a </w:t>
            </w:r>
            <w:r w:rsidR="00A31DFF">
              <w:t xml:space="preserve">napomoci </w:t>
            </w:r>
            <w:r w:rsidR="00525BBB">
              <w:t>vytváření vazeb dalších subjektů z ČR na výzkumné instituce v zahraničí.</w:t>
            </w:r>
          </w:p>
          <w:p w:rsidR="003D2511" w:rsidRDefault="004F4324" w:rsidP="004F4324">
            <w:r>
              <w:t>Potenciál VŠ pro zapojení do BV není dosud zcela využit, neboť řada VŠ, které se nezapojují do programů BV (nebo se do nich zapojují málo)</w:t>
            </w:r>
            <w:r w:rsidR="00A31DFF">
              <w:t>,</w:t>
            </w:r>
            <w:r>
              <w:t xml:space="preserve"> je řešiteli bezpečnostně zaměřených projektů podpořených jinými poskytovateli</w:t>
            </w:r>
            <w:r w:rsidR="0008053C">
              <w:t>. Výzkumní pracovníci z těchto VŠ jsou i autory publikací řešících problematiku bezpečnosti, které nevznikly s podporou z programů BV.</w:t>
            </w:r>
            <w:r w:rsidR="003D2511">
              <w:t xml:space="preserve"> Potenciál VŠ bude zejména v počátečních fázích </w:t>
            </w:r>
            <w:r w:rsidR="00A31DFF">
              <w:t>BV</w:t>
            </w:r>
            <w:r w:rsidR="003D2511">
              <w:t>, kde vznikají nové znalosti</w:t>
            </w:r>
            <w:r w:rsidR="00633B08">
              <w:t xml:space="preserve"> (základní a aplikovaný výzkum)</w:t>
            </w:r>
            <w:r w:rsidR="00525BBB">
              <w:t xml:space="preserve">. </w:t>
            </w:r>
          </w:p>
          <w:p w:rsidR="003D2511" w:rsidRDefault="0008053C" w:rsidP="0008053C">
            <w:r>
              <w:t xml:space="preserve">Z veřejných výzkumných institucí mají nejvyšší potenciál pro BV ústavy, které získávají institucionální podporu z rozpočtové </w:t>
            </w:r>
            <w:r w:rsidR="00525BBB">
              <w:t>kapitoly MV</w:t>
            </w:r>
            <w:r>
              <w:t xml:space="preserve"> – SÚRO a SÚCHJBO. </w:t>
            </w:r>
            <w:r w:rsidR="003D2511">
              <w:t>Potenciál většiny výzkumných ústavů (kromě ústavů AV ČR) bud</w:t>
            </w:r>
            <w:r w:rsidR="00633B08">
              <w:t>e</w:t>
            </w:r>
            <w:r w:rsidR="003D2511">
              <w:t xml:space="preserve"> spíše v oblasti aplikovaného výzkumu konkrétních produktů a aplikací, které jsou blíže </w:t>
            </w:r>
            <w:r w:rsidR="00633B08">
              <w:t xml:space="preserve">tržnímu </w:t>
            </w:r>
            <w:r w:rsidR="003D2511">
              <w:t>uplatnění.</w:t>
            </w:r>
          </w:p>
          <w:p w:rsidR="0008053C" w:rsidRDefault="0008053C" w:rsidP="00A31DFF">
            <w:r>
              <w:t xml:space="preserve">Dosud není využit potenciál ústavů AV ČR. Tyto ústavy se do programů BV v gesci MV zapojují poměrně málo, ale řada z nich </w:t>
            </w:r>
            <w:r w:rsidR="00525BBB">
              <w:t>byla</w:t>
            </w:r>
            <w:r>
              <w:t xml:space="preserve"> zapojena v bezpečnostně zaměřených projektech v programech implementovaných jinými poskytovateli účelové podpory VaV. Výzkumní pracovníci z ústavů AV ČR jsou také spoluautory publikací, jejich</w:t>
            </w:r>
            <w:r w:rsidR="00525BBB">
              <w:t>ž</w:t>
            </w:r>
            <w:r>
              <w:t xml:space="preserve"> zaměření se týká problematiky bezpečnosti.</w:t>
            </w:r>
            <w:r w:rsidR="00525BBB">
              <w:t xml:space="preserve"> Pote</w:t>
            </w:r>
            <w:r w:rsidR="000D0E1B">
              <w:t>n</w:t>
            </w:r>
            <w:r w:rsidR="00525BBB">
              <w:t xml:space="preserve">ciál </w:t>
            </w:r>
            <w:r w:rsidR="00A31DFF">
              <w:t xml:space="preserve">ústavů AV ČR </w:t>
            </w:r>
            <w:r w:rsidR="00525BBB">
              <w:t xml:space="preserve">bude podobný jako u VŠ </w:t>
            </w:r>
            <w:r w:rsidR="000D0E1B">
              <w:t>–</w:t>
            </w:r>
            <w:r w:rsidR="00525BBB">
              <w:t xml:space="preserve"> </w:t>
            </w:r>
            <w:r w:rsidR="000D0E1B">
              <w:t>zejména v počátečních fázích výzkumu (základní výzkum).</w:t>
            </w:r>
          </w:p>
        </w:tc>
      </w:tr>
    </w:tbl>
    <w:p w:rsidR="00752190" w:rsidRDefault="003D2511" w:rsidP="00752190">
      <w:r>
        <w:t>VO</w:t>
      </w:r>
      <w:r w:rsidR="00663A62">
        <w:t xml:space="preserve"> </w:t>
      </w:r>
      <w:r>
        <w:t xml:space="preserve">tvoří </w:t>
      </w:r>
      <w:r w:rsidR="000D516A">
        <w:t>podle</w:t>
      </w:r>
      <w:r>
        <w:t xml:space="preserve"> počtu projektů i </w:t>
      </w:r>
      <w:r w:rsidR="000D516A">
        <w:t xml:space="preserve">jejich </w:t>
      </w:r>
      <w:r>
        <w:t>řešitelů (pracovníků podílejících se na řešení projektů) nejvýznamnější skupinu</w:t>
      </w:r>
      <w:r w:rsidR="000D516A">
        <w:t xml:space="preserve"> v projektech podpořených v</w:t>
      </w:r>
      <w:r>
        <w:t xml:space="preserve"> programech </w:t>
      </w:r>
      <w:r w:rsidR="00482A74">
        <w:t>BV v gesci</w:t>
      </w:r>
      <w:r>
        <w:t xml:space="preserve"> MV. Přehled nejaktivnějších V</w:t>
      </w:r>
      <w:r w:rsidR="000D516A">
        <w:t xml:space="preserve">O </w:t>
      </w:r>
      <w:r w:rsidR="00482A74">
        <w:t xml:space="preserve">zapojených v programech BV </w:t>
      </w:r>
      <w:r>
        <w:t>je uveden v </w:t>
      </w:r>
      <w:r w:rsidR="00752190">
        <w:fldChar w:fldCharType="begin"/>
      </w:r>
      <w:r w:rsidR="00752190">
        <w:instrText xml:space="preserve"> REF  _Ref447548509 \* Lower \h  \* MERGEFORMAT </w:instrText>
      </w:r>
      <w:r w:rsidR="00752190">
        <w:fldChar w:fldCharType="separate"/>
      </w:r>
      <w:r w:rsidR="003F08E5">
        <w:t xml:space="preserve">tab. </w:t>
      </w:r>
      <w:r w:rsidR="003F08E5">
        <w:rPr>
          <w:noProof/>
        </w:rPr>
        <w:t>56</w:t>
      </w:r>
      <w:r w:rsidR="00752190">
        <w:fldChar w:fldCharType="end"/>
      </w:r>
      <w:r w:rsidR="00752190">
        <w:t xml:space="preserve">. </w:t>
      </w:r>
      <w:r w:rsidR="00A31DFF">
        <w:t>P</w:t>
      </w:r>
      <w:r w:rsidR="00752190">
        <w:t xml:space="preserve">ro každou instituci </w:t>
      </w:r>
      <w:r w:rsidR="00A31DFF">
        <w:t xml:space="preserve">je v tabulce </w:t>
      </w:r>
      <w:r w:rsidR="00752190">
        <w:t xml:space="preserve">uvedeno </w:t>
      </w:r>
      <w:r w:rsidR="00A31DFF">
        <w:t xml:space="preserve">také </w:t>
      </w:r>
      <w:r w:rsidR="00752190">
        <w:t xml:space="preserve">její zapojení </w:t>
      </w:r>
      <w:r w:rsidR="004F674E">
        <w:t xml:space="preserve">do </w:t>
      </w:r>
      <w:r w:rsidR="00752190">
        <w:t>rámcových programů EU a bezpečnostně zaměřených projektů podpořených v programech jiných poskytovatelů, včetně programů na podporu mezinárodní spolupráce ve VaV. V pravé části tabulky jsou uvedeny i výsledky VaV – počty publikací (v projektech BV i všech publikací týkajících se problematiky bezpečnosti uvedených v databázi WoS) a počty výsledků aplikačního charakteru.</w:t>
      </w:r>
    </w:p>
    <w:p w:rsidR="00A04B51" w:rsidRDefault="00752190" w:rsidP="00A04B51">
      <w:r>
        <w:t xml:space="preserve">Z tabulky je na první pohled patrné </w:t>
      </w:r>
      <w:r w:rsidR="003958EC">
        <w:t>„</w:t>
      </w:r>
      <w:r>
        <w:t>j</w:t>
      </w:r>
      <w:r w:rsidR="003958EC">
        <w:t xml:space="preserve">ádro“ bezpečnostního výzkumu, </w:t>
      </w:r>
      <w:r w:rsidR="00A04B51">
        <w:t xml:space="preserve">do </w:t>
      </w:r>
      <w:r w:rsidR="003958EC">
        <w:t>které</w:t>
      </w:r>
      <w:r w:rsidR="00A04B51">
        <w:t xml:space="preserve">ho </w:t>
      </w:r>
      <w:r w:rsidR="003875F3">
        <w:t>patří instituce s nejvyšším potenciálem pro BV. Z</w:t>
      </w:r>
      <w:r>
        <w:t xml:space="preserve"> VŠ </w:t>
      </w:r>
      <w:r w:rsidR="003875F3">
        <w:t xml:space="preserve">lze do tohoto jádra zařadit </w:t>
      </w:r>
      <w:r>
        <w:t xml:space="preserve">zejména ČVUT v Praze a VUT v Brně, které se účastní nejen programů BV v gesci MV, ale i bezpečnostně zaměřených projektů podpořených jinými poskytovateli a mezinárodních projektů řešících problematiku bezpečnosti. </w:t>
      </w:r>
      <w:r w:rsidR="00A04B51">
        <w:t xml:space="preserve">Obě VŠ mají velmi vysoký počet výsledků publikačního i aplikačního typu, které se týkají problematiky bezpečnosti. Z dalších VŠ lze do „širšího jádra“ BV dále zařadit VŠCHT v Praze, a VŠ-TUO v Ostravě (viz </w:t>
      </w:r>
      <w:r w:rsidR="00A04B51">
        <w:fldChar w:fldCharType="begin"/>
      </w:r>
      <w:r w:rsidR="00A04B51">
        <w:instrText xml:space="preserve"> REF  _Ref447548509 \* Lower \h  \* MERGEFORMAT </w:instrText>
      </w:r>
      <w:r w:rsidR="00A04B51">
        <w:fldChar w:fldCharType="separate"/>
      </w:r>
      <w:r w:rsidR="003F08E5">
        <w:t xml:space="preserve">tab. </w:t>
      </w:r>
      <w:r w:rsidR="003F08E5">
        <w:rPr>
          <w:noProof/>
        </w:rPr>
        <w:t>56</w:t>
      </w:r>
      <w:r w:rsidR="00A04B51">
        <w:fldChar w:fldCharType="end"/>
      </w:r>
      <w:r w:rsidR="00A04B51">
        <w:t xml:space="preserve">). </w:t>
      </w:r>
    </w:p>
    <w:p w:rsidR="00A04B51" w:rsidRDefault="00A04B51" w:rsidP="00DE340C">
      <w:r>
        <w:t>Z VŠ všeobecného typu má největší potenciál pro zapojení do BV Univerzita Karlova v Praze, Masarykova univerzita v</w:t>
      </w:r>
      <w:r w:rsidR="003875F3">
        <w:t> </w:t>
      </w:r>
      <w:r>
        <w:t>Brně</w:t>
      </w:r>
      <w:r w:rsidR="003875F3">
        <w:t>, Technická univerzita v Liberci</w:t>
      </w:r>
      <w:r>
        <w:t xml:space="preserve"> a České zemědělská univerzita v Praze. </w:t>
      </w:r>
      <w:r w:rsidR="00480FD8">
        <w:t xml:space="preserve">Uvedené VŠ </w:t>
      </w:r>
      <w:r w:rsidR="00A31DFF">
        <w:t xml:space="preserve">byly také </w:t>
      </w:r>
      <w:r w:rsidR="00480FD8">
        <w:t>hlavními řešiteli</w:t>
      </w:r>
      <w:r w:rsidR="00A31DFF">
        <w:t xml:space="preserve"> poměrně vysokého počtu projektů</w:t>
      </w:r>
      <w:r w:rsidR="00480FD8">
        <w:t xml:space="preserve"> a </w:t>
      </w:r>
      <w:r w:rsidR="00FD4819">
        <w:t xml:space="preserve">disponují </w:t>
      </w:r>
      <w:r w:rsidR="00A31DFF">
        <w:t>velk</w:t>
      </w:r>
      <w:r w:rsidR="00FD4819">
        <w:t>ými</w:t>
      </w:r>
      <w:r>
        <w:t xml:space="preserve"> </w:t>
      </w:r>
      <w:r w:rsidR="00FD4819">
        <w:t>výzkumnými týmy, které se mohou zapojit do projektů BV</w:t>
      </w:r>
      <w:r>
        <w:t xml:space="preserve">, což potvrzuje jejich vysoký potenciál pro BV v budoucnosti. Většina uvedených VŠ se také zapojuje do mezinárodní výzkumné spolupráce v 7. RP </w:t>
      </w:r>
      <w:r w:rsidR="00FD4819">
        <w:t>a</w:t>
      </w:r>
      <w:r>
        <w:t xml:space="preserve"> programu H2020, což svědčí i o jejich potenciálu pro zapojení do programů BV na mezinárodní úrovni.</w:t>
      </w:r>
    </w:p>
    <w:p w:rsidR="00A04B51" w:rsidRDefault="00A04B51" w:rsidP="00DE340C">
      <w:r>
        <w:t xml:space="preserve">Z VVI to </w:t>
      </w:r>
      <w:r w:rsidR="00FD4819">
        <w:t>širšího</w:t>
      </w:r>
      <w:r>
        <w:t xml:space="preserve"> jádra </w:t>
      </w:r>
      <w:r w:rsidR="00FD4819">
        <w:t xml:space="preserve">BV </w:t>
      </w:r>
      <w:r>
        <w:t>patří zejména SÚJCHBO</w:t>
      </w:r>
      <w:r w:rsidR="00FD4819">
        <w:t xml:space="preserve"> a SÚRO. Jejich</w:t>
      </w:r>
      <w:r>
        <w:t xml:space="preserve"> potenciál pro BV</w:t>
      </w:r>
      <w:r w:rsidR="00FD4819">
        <w:t xml:space="preserve"> zvyšuje i to, </w:t>
      </w:r>
      <w:r>
        <w:t xml:space="preserve">že </w:t>
      </w:r>
      <w:r w:rsidR="00FD4819">
        <w:t xml:space="preserve">jsou příjemci </w:t>
      </w:r>
      <w:r>
        <w:t>institucionální podpor</w:t>
      </w:r>
      <w:r w:rsidR="00FD4819">
        <w:t>y</w:t>
      </w:r>
      <w:r>
        <w:t xml:space="preserve"> z rozpočtové kapitoly MV (viz kap. </w:t>
      </w:r>
      <w:r w:rsidR="00396941">
        <w:fldChar w:fldCharType="begin"/>
      </w:r>
      <w:r w:rsidR="00396941">
        <w:instrText xml:space="preserve"> REF _Ref450223233 \r \h </w:instrText>
      </w:r>
      <w:r w:rsidR="00396941">
        <w:fldChar w:fldCharType="separate"/>
      </w:r>
      <w:r w:rsidR="003F08E5">
        <w:t>2.2.1.1</w:t>
      </w:r>
      <w:r w:rsidR="00396941">
        <w:fldChar w:fldCharType="end"/>
      </w:r>
      <w:r>
        <w:t>).</w:t>
      </w:r>
    </w:p>
    <w:p w:rsidR="00D7349F" w:rsidRDefault="00FD4819" w:rsidP="00D7349F">
      <w:r>
        <w:t xml:space="preserve">Mezi další aktivní výzkumné ústavy v programech BV patří Centrum dopravního výzkumu, Výzkumný ústav vodohospodářský TGM, Výzkumný ústav veterinárního lékařství a </w:t>
      </w:r>
      <w:r w:rsidRPr="00375C04">
        <w:t>Ústav jaderného výzkumu Řež</w:t>
      </w:r>
      <w:r>
        <w:t xml:space="preserve">. Ústavy AV ČR jsou v programech bezpečnostního výzkumu zapojeny poměrně málo (ve třech projektech byl zapojen </w:t>
      </w:r>
      <w:r w:rsidRPr="00375C04">
        <w:t>Ústav teorie informace a automatizace AV ČR</w:t>
      </w:r>
      <w:r>
        <w:t xml:space="preserve">) a jejich výzkumný potenciál zůstává v programech BV zatím prakticky nevyužit. Z </w:t>
      </w:r>
      <w:r>
        <w:fldChar w:fldCharType="begin"/>
      </w:r>
      <w:r>
        <w:instrText xml:space="preserve"> REF  _Ref447548509 \* Lower \h  \* MERGEFORMAT </w:instrText>
      </w:r>
      <w:r>
        <w:fldChar w:fldCharType="separate"/>
      </w:r>
      <w:r w:rsidR="003F08E5">
        <w:t xml:space="preserve">tab. </w:t>
      </w:r>
      <w:r w:rsidR="003F08E5">
        <w:rPr>
          <w:noProof/>
        </w:rPr>
        <w:t>56</w:t>
      </w:r>
      <w:r>
        <w:fldChar w:fldCharType="end"/>
      </w:r>
      <w:r>
        <w:t xml:space="preserve"> je také patrné, že s výjimkou SÚJCHB, SÚRO a </w:t>
      </w:r>
      <w:r w:rsidRPr="00375C04">
        <w:t>Ústav</w:t>
      </w:r>
      <w:r>
        <w:t>u</w:t>
      </w:r>
      <w:r w:rsidRPr="00375C04">
        <w:t xml:space="preserve"> jaderného výzkumu Řež</w:t>
      </w:r>
      <w:r>
        <w:t>, se ústavy aktivní v programech BV příliš nezapojují do mezinárodní výzkumné sp</w:t>
      </w:r>
      <w:bookmarkStart w:id="214" w:name="_Ref447548509"/>
      <w:r w:rsidR="00D7349F">
        <w:t>olupráce v oblasti bezpečnosti.</w:t>
      </w:r>
    </w:p>
    <w:p w:rsidR="00D7349F" w:rsidRDefault="00D7349F" w:rsidP="00D7349F">
      <w:pPr>
        <w:pStyle w:val="Titulek"/>
        <w:keepNext/>
        <w:spacing w:before="0"/>
      </w:pPr>
    </w:p>
    <w:p w:rsidR="00D7349F" w:rsidRDefault="00D7349F" w:rsidP="00D7349F"/>
    <w:p w:rsidR="00D7349F" w:rsidRPr="00D7349F" w:rsidRDefault="00D7349F" w:rsidP="00D7349F"/>
    <w:p w:rsidR="003D2511" w:rsidRDefault="003D2511" w:rsidP="00D7349F">
      <w:pPr>
        <w:pStyle w:val="Titulek"/>
        <w:keepNext/>
        <w:spacing w:before="0"/>
      </w:pPr>
      <w:r>
        <w:t xml:space="preserve">Tab. </w:t>
      </w:r>
      <w:r w:rsidR="00990E2D">
        <w:fldChar w:fldCharType="begin"/>
      </w:r>
      <w:r w:rsidR="00990E2D">
        <w:instrText xml:space="preserve"> SEQ Tab. \* ARABIC </w:instrText>
      </w:r>
      <w:r w:rsidR="00990E2D">
        <w:fldChar w:fldCharType="separate"/>
      </w:r>
      <w:r w:rsidR="003F08E5">
        <w:rPr>
          <w:noProof/>
        </w:rPr>
        <w:t>56</w:t>
      </w:r>
      <w:r w:rsidR="00990E2D">
        <w:rPr>
          <w:noProof/>
        </w:rPr>
        <w:fldChar w:fldCharType="end"/>
      </w:r>
      <w:bookmarkEnd w:id="214"/>
      <w:r>
        <w:tab/>
      </w:r>
      <w:r w:rsidR="008729C7" w:rsidRPr="008729C7">
        <w:t>Výzkumně zaměřené subjekty (VŠ, VVI a další subjekty), které jsou nej</w:t>
      </w:r>
      <w:r w:rsidR="008729C7">
        <w:t>ak</w:t>
      </w:r>
      <w:r w:rsidR="008729C7" w:rsidRPr="008729C7">
        <w:t>tivnější v programech BV. V tabulce jsou uvedeny pouze instituce, které z pro</w:t>
      </w:r>
      <w:r w:rsidR="008729C7">
        <w:t>gra</w:t>
      </w:r>
      <w:r w:rsidR="008729C7" w:rsidRPr="008729C7">
        <w:t>mů BV v gesci MV získaly více než 20 mil. Kč nebo se zúčastnily alespoň tří projektů. Dále jsou v tabulce zařazeny ins</w:t>
      </w:r>
      <w:r w:rsidR="008729C7">
        <w:t>t</w:t>
      </w:r>
      <w:r w:rsidR="008729C7" w:rsidRPr="008729C7">
        <w:t>ituce, které získaly alespoň 100 tis. € nebo byly zapojeny v řešení alespoň dvou proje</w:t>
      </w:r>
      <w:r w:rsidR="008729C7">
        <w:t>k</w:t>
      </w:r>
      <w:r w:rsidR="008729C7" w:rsidRPr="008729C7">
        <w:t>tů v 7. RP a H2020 řešících problematik</w:t>
      </w:r>
      <w:r w:rsidR="008729C7">
        <w:t xml:space="preserve">u bezpečnosti. </w:t>
      </w:r>
      <w:r w:rsidR="0038650F">
        <w:t xml:space="preserve">V tabulce je také uvedeno zapojení VŠ do bezpečnostně zaměřených projektů v programech jiných poskytovatelů. V pravé části tabulky jsou uvedeny výsledky VaV těchto institucí (publikace a aplikačně zaměřené výsledky.  </w:t>
      </w:r>
      <w:r>
        <w:t>Zdroj: IS VaVaI, WoS</w:t>
      </w:r>
      <w:r w:rsidR="0038650F">
        <w:t>. e-Corda, PATSTAT</w:t>
      </w:r>
      <w:r w:rsidR="00B244AA">
        <w:t xml:space="preserve"> </w:t>
      </w:r>
    </w:p>
    <w:p w:rsidR="00663A62" w:rsidRDefault="008729C7" w:rsidP="00663A62">
      <w:pPr>
        <w:jc w:val="center"/>
      </w:pPr>
      <w:r w:rsidRPr="008729C7">
        <w:rPr>
          <w:noProof/>
          <w:lang w:eastAsia="cs-CZ"/>
        </w:rPr>
        <w:drawing>
          <wp:inline distT="0" distB="0" distL="0" distR="0" wp14:anchorId="15D34DD9" wp14:editId="665E3234">
            <wp:extent cx="7455600" cy="5461200"/>
            <wp:effectExtent l="6668" t="0" r="0" b="0"/>
            <wp:docPr id="50" name="Obrázek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rot="16200000">
                      <a:off x="0" y="0"/>
                      <a:ext cx="7455600" cy="5461200"/>
                    </a:xfrm>
                    <a:prstGeom prst="rect">
                      <a:avLst/>
                    </a:prstGeom>
                    <a:noFill/>
                    <a:ln>
                      <a:noFill/>
                    </a:ln>
                  </pic:spPr>
                </pic:pic>
              </a:graphicData>
            </a:graphic>
          </wp:inline>
        </w:drawing>
      </w:r>
    </w:p>
    <w:p w:rsidR="0008053C" w:rsidRDefault="0008053C" w:rsidP="0008053C">
      <w:r>
        <w:t>Z tabulky je také patrné, že většina VŠ má značný počet publikací s bezpečnostní tematikou, které byly uvedeny ve vědeckých časopisech registrovaných v WoS (nejvíce publikací má Univerzita Karlova v Praze, VUT v Brně a Masarykova univerzita v</w:t>
      </w:r>
      <w:r w:rsidR="000B000E">
        <w:t> </w:t>
      </w:r>
      <w:r>
        <w:t>Brně</w:t>
      </w:r>
      <w:r w:rsidR="000B000E">
        <w:t>)</w:t>
      </w:r>
      <w:r>
        <w:t xml:space="preserve">. </w:t>
      </w:r>
      <w:r w:rsidR="000B000E">
        <w:t xml:space="preserve">Tyto instituce tedy </w:t>
      </w:r>
      <w:r>
        <w:t xml:space="preserve">realizují VaV, který sice není financován z programů MV, ale </w:t>
      </w:r>
      <w:r w:rsidR="000B000E">
        <w:t xml:space="preserve">ve kterém vznikají poznatky využitelné v oblasti bezpečnosti. </w:t>
      </w:r>
      <w:r>
        <w:t xml:space="preserve">To potvrzuje vysoký potenciál těchto institucí pro zapojení do programů BV v budoucnosti. Vysoký počet publikačních výsledků </w:t>
      </w:r>
      <w:r w:rsidR="000B000E">
        <w:t xml:space="preserve">také </w:t>
      </w:r>
      <w:r>
        <w:t xml:space="preserve">svědčí o tom, </w:t>
      </w:r>
      <w:r w:rsidR="000B000E">
        <w:t xml:space="preserve">VŠ mají </w:t>
      </w:r>
      <w:r>
        <w:t xml:space="preserve">potenciál pro </w:t>
      </w:r>
      <w:r w:rsidR="000B000E">
        <w:t xml:space="preserve">BV </w:t>
      </w:r>
      <w:r>
        <w:t xml:space="preserve">zejména v počátečních fázích výzkumu, kde vznikají nové poznatky, které lze zveřejnit ve vědeckých časopisech (základní a aplikovaný výzkum). </w:t>
      </w:r>
    </w:p>
    <w:p w:rsidR="00DB292E" w:rsidRDefault="00633B08" w:rsidP="00DB292E">
      <w:r>
        <w:t xml:space="preserve">Nižší počet publikací u výzkumných ústavů (kromě ústavů AV ČR), příspěvkových organizací a zejména u institucí získávajících institucionální podporu z rozpočtové kapitoly MV může naopak svědčit o tom, že potenciál těchto institucí je spíše v dalších fázích výzkumu, kdy již vznikají </w:t>
      </w:r>
      <w:r w:rsidR="000B000E">
        <w:t xml:space="preserve">konkrétní </w:t>
      </w:r>
      <w:r>
        <w:t xml:space="preserve">produkty nebo procesy, </w:t>
      </w:r>
      <w:r w:rsidR="000B000E">
        <w:t>nebo ve</w:t>
      </w:r>
      <w:r>
        <w:t xml:space="preserve"> VaV, kde je řešena konkrétní problematika bezpečnosti pro potřeby státu (příkladem může být Státní ústav radiační ochrany nebo SÚJCHBO). </w:t>
      </w:r>
      <w:r w:rsidR="00DB292E">
        <w:t>Přehled všech VO, které byly zapojeny v programech BV v gesci MV, RP, bezpečnostně zaměřených projektech podpořených jinými poskytovateli veřejné podpory nebo které měly v období 2010 – 2015 výsledky týkající bezpečnosti, je uveden v přílohové části studie.</w:t>
      </w:r>
    </w:p>
    <w:p w:rsidR="003D2511" w:rsidRPr="00715B1E" w:rsidRDefault="003D2511" w:rsidP="00862715">
      <w:pPr>
        <w:pStyle w:val="Nadpis3"/>
      </w:pPr>
      <w:bookmarkStart w:id="215" w:name="_Toc459723322"/>
      <w:r w:rsidRPr="00715B1E">
        <w:t>Organizační složky státu</w:t>
      </w:r>
      <w:bookmarkEnd w:id="215"/>
    </w:p>
    <w:tbl>
      <w:tblPr>
        <w:tblW w:w="0" w:type="auto"/>
        <w:tblLook w:val="04A0" w:firstRow="1" w:lastRow="0" w:firstColumn="1" w:lastColumn="0" w:noHBand="0" w:noVBand="1"/>
      </w:tblPr>
      <w:tblGrid>
        <w:gridCol w:w="9288"/>
      </w:tblGrid>
      <w:tr w:rsidR="003D2511" w:rsidTr="001D5000">
        <w:tc>
          <w:tcPr>
            <w:tcW w:w="9288"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3D2511" w:rsidRDefault="00742420" w:rsidP="00742420">
            <w:r>
              <w:t xml:space="preserve">Vysoký potenciál pro BV mají také některé organizační složky státu. </w:t>
            </w:r>
            <w:r w:rsidR="003D2511">
              <w:t xml:space="preserve">Klíčovými institucemi pro </w:t>
            </w:r>
            <w:r>
              <w:t>BV</w:t>
            </w:r>
            <w:r w:rsidR="003D2511">
              <w:t xml:space="preserve"> jsou </w:t>
            </w:r>
            <w:r>
              <w:t xml:space="preserve">zejména </w:t>
            </w:r>
            <w:r w:rsidR="000A7B9F">
              <w:t>organizační jednotky MV</w:t>
            </w:r>
            <w:r>
              <w:t xml:space="preserve">, které získávají </w:t>
            </w:r>
            <w:r w:rsidR="000A7B9F">
              <w:t>institucionální podporu z rozpočtové kapitoly M</w:t>
            </w:r>
            <w:r>
              <w:t>V</w:t>
            </w:r>
            <w:r w:rsidR="000A7B9F">
              <w:t>,</w:t>
            </w:r>
            <w:r w:rsidR="00821585">
              <w:t xml:space="preserve"> </w:t>
            </w:r>
            <w:r>
              <w:t xml:space="preserve">což jim vytváří podmínky pro jejich dlouhodobý a strategicky zaměřený rozvoj. </w:t>
            </w:r>
            <w:r w:rsidR="003D2511">
              <w:t>Tyto instituce se však zatím neúčastní bezpečnostně zaměřených projektů řešených v rámcových programech EU</w:t>
            </w:r>
            <w:r w:rsidR="00821585">
              <w:t xml:space="preserve"> a rovněž účelové financování z jiných veřejných zdrojů, než jsou programy </w:t>
            </w:r>
            <w:r>
              <w:t>MV</w:t>
            </w:r>
            <w:r w:rsidR="00821585">
              <w:t>, je velmi nízké. Nedostatek zkušeností s</w:t>
            </w:r>
            <w:r>
              <w:t xml:space="preserve"> mezinárodním výzkumem </w:t>
            </w:r>
            <w:r w:rsidR="00821585">
              <w:t xml:space="preserve">může </w:t>
            </w:r>
            <w:r w:rsidR="003D2511">
              <w:t xml:space="preserve">být </w:t>
            </w:r>
            <w:r w:rsidR="00821585">
              <w:t xml:space="preserve">jistou </w:t>
            </w:r>
            <w:r w:rsidR="003D2511">
              <w:t xml:space="preserve">slabinou pro další rozvoj těchto institucí </w:t>
            </w:r>
            <w:r>
              <w:t>i pro</w:t>
            </w:r>
            <w:r w:rsidR="00821585">
              <w:t xml:space="preserve"> jejich zapojení do </w:t>
            </w:r>
            <w:r>
              <w:t xml:space="preserve">náročnějších mezinárodních </w:t>
            </w:r>
            <w:r w:rsidR="00821585">
              <w:t xml:space="preserve">projektů řešících </w:t>
            </w:r>
            <w:r w:rsidR="000D0E1B">
              <w:t>výzv</w:t>
            </w:r>
            <w:r w:rsidR="003D2511">
              <w:t xml:space="preserve">y EU v oblasti bezpečnosti. </w:t>
            </w:r>
          </w:p>
        </w:tc>
      </w:tr>
    </w:tbl>
    <w:p w:rsidR="00B92980" w:rsidRDefault="00715B1E" w:rsidP="00B92980">
      <w:r>
        <w:t>N</w:t>
      </w:r>
      <w:r w:rsidR="00B92980">
        <w:t xml:space="preserve">ejčastěji se do projektů řešených v programech </w:t>
      </w:r>
      <w:r>
        <w:t>B</w:t>
      </w:r>
      <w:r w:rsidR="00B92980">
        <w:t xml:space="preserve">V zapojují organizační jednotky MV a VO získávající institucionální podporu z rozpočtové kapitoly MV, které se v součtu zapojují častěji než nejaktivnější VŠ. Tyto instituce (s výjimkou Policejní akademie ČR) také disponují velmi širokými týmy, které se zapojují do řešení projektů (viz </w:t>
      </w:r>
      <w:r w:rsidR="00B92980">
        <w:fldChar w:fldCharType="begin"/>
      </w:r>
      <w:r w:rsidR="00B92980">
        <w:instrText xml:space="preserve"> REF  _Ref447549893 \* Lower \h  \* MERGEFORMAT </w:instrText>
      </w:r>
      <w:r w:rsidR="00B92980">
        <w:fldChar w:fldCharType="separate"/>
      </w:r>
      <w:r w:rsidR="003F08E5">
        <w:t xml:space="preserve">tab. </w:t>
      </w:r>
      <w:r w:rsidR="003F08E5">
        <w:rPr>
          <w:noProof/>
        </w:rPr>
        <w:t>57</w:t>
      </w:r>
      <w:r w:rsidR="00B92980">
        <w:fldChar w:fldCharType="end"/>
      </w:r>
      <w:r w:rsidR="00B92980">
        <w:t>). Instituce spadající pod MV lze proto považovat za klíčové instituce pro bezpečnostní výzkum, navíc činnost těchto institucí přímo s bezpečnostní problematikou souvisí.</w:t>
      </w:r>
    </w:p>
    <w:p w:rsidR="003D2511" w:rsidRDefault="003D2511" w:rsidP="003D2511">
      <w:pPr>
        <w:pStyle w:val="Titulek"/>
        <w:keepNext/>
      </w:pPr>
      <w:bookmarkStart w:id="216" w:name="_Ref447549893"/>
      <w:r>
        <w:t xml:space="preserve">Tab. </w:t>
      </w:r>
      <w:r w:rsidR="00990E2D">
        <w:fldChar w:fldCharType="begin"/>
      </w:r>
      <w:r w:rsidR="00990E2D">
        <w:instrText xml:space="preserve"> SEQ Tab. \* ARABIC </w:instrText>
      </w:r>
      <w:r w:rsidR="00990E2D">
        <w:fldChar w:fldCharType="separate"/>
      </w:r>
      <w:r w:rsidR="003F08E5">
        <w:rPr>
          <w:noProof/>
        </w:rPr>
        <w:t>57</w:t>
      </w:r>
      <w:r w:rsidR="00990E2D">
        <w:rPr>
          <w:noProof/>
        </w:rPr>
        <w:fldChar w:fldCharType="end"/>
      </w:r>
      <w:bookmarkEnd w:id="216"/>
      <w:r>
        <w:tab/>
      </w:r>
      <w:r w:rsidRPr="0095492B">
        <w:t xml:space="preserve">Nejaktivnější </w:t>
      </w:r>
      <w:r>
        <w:t xml:space="preserve">organizační složky státu a jejich jednotky </w:t>
      </w:r>
      <w:r w:rsidRPr="0095492B">
        <w:t>zapojené v programech bezpečnostního VaV MV v letech 2010 – 2015. Zdroj: IS VaVaI</w:t>
      </w:r>
      <w:r>
        <w:t xml:space="preserve"> </w:t>
      </w:r>
    </w:p>
    <w:p w:rsidR="00C71F20" w:rsidRDefault="00B92980" w:rsidP="00B92980">
      <w:pPr>
        <w:jc w:val="center"/>
      </w:pPr>
      <w:r>
        <w:rPr>
          <w:noProof/>
          <w:lang w:eastAsia="cs-CZ"/>
        </w:rPr>
        <w:drawing>
          <wp:inline distT="0" distB="0" distL="0" distR="0" wp14:anchorId="46B8F3D2" wp14:editId="406E8D97">
            <wp:extent cx="4772025" cy="2131858"/>
            <wp:effectExtent l="0" t="0" r="0" b="1905"/>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4782707" cy="2136630"/>
                    </a:xfrm>
                    <a:prstGeom prst="rect">
                      <a:avLst/>
                    </a:prstGeom>
                    <a:noFill/>
                  </pic:spPr>
                </pic:pic>
              </a:graphicData>
            </a:graphic>
          </wp:inline>
        </w:drawing>
      </w:r>
    </w:p>
    <w:p w:rsidR="003E75FA" w:rsidRDefault="003E75FA" w:rsidP="003E75FA"/>
    <w:p w:rsidR="003E75FA" w:rsidRDefault="003E75FA" w:rsidP="003E75FA">
      <w:pPr>
        <w:rPr>
          <w:highlight w:val="yellow"/>
        </w:rPr>
      </w:pPr>
      <w:r>
        <w:t>Z údajů IS VaVaI však vyplývá, že organizační jednotky MV nezískávají podporu z jiných zdrojů, než jsou programy bezpečnostního výzkumu MV, což svědčí o tom, že tyto instituce se zaměřují téměř výhradně na VaV v oblasti bezpečnosti. To poněkud snižuje jejich potenciál pro zapojení do komplexně a strategicky zaměřených projektů vyžadujících realizaci multidisciplinárního VaV.</w:t>
      </w:r>
    </w:p>
    <w:p w:rsidR="003E75FA" w:rsidRPr="00C71F20" w:rsidRDefault="003E75FA" w:rsidP="003E75FA">
      <w:r>
        <w:t xml:space="preserve">Ministerstvo obrany, resp. Univerzita obrany a její fakulty, Vojenský zdravotní ústav Praha se do bezpečnostního výzkumu sice také zapojují, avšak poněkud méně než instituce MV. Z </w:t>
      </w:r>
      <w:r>
        <w:fldChar w:fldCharType="begin"/>
      </w:r>
      <w:r>
        <w:instrText xml:space="preserve"> REF  _Ref447549893 \* Lower \h  \* MERGEFORMAT </w:instrText>
      </w:r>
      <w:r>
        <w:fldChar w:fldCharType="separate"/>
      </w:r>
      <w:r w:rsidR="003F08E5">
        <w:t xml:space="preserve">tab. </w:t>
      </w:r>
      <w:r w:rsidR="003F08E5">
        <w:rPr>
          <w:noProof/>
        </w:rPr>
        <w:t>57</w:t>
      </w:r>
      <w:r>
        <w:fldChar w:fldCharType="end"/>
      </w:r>
      <w:r>
        <w:t xml:space="preserve"> je také patrné, že ani jedna z institucí, které jsou organizačními složkami státu, se do mezinárodních výzkumných projektů řešených v 7. RP a programu H2020 zatím nezapojila, a také počet publikací ve WoS je ve srovnání s VO je velmi nízký (s výjimkou Ministerstva obrany). Potenciál těchto institucí tak bude zejména při realizaci bezpečnostního VaV, jehož výsledky jsou přímo využívány státem</w:t>
      </w:r>
    </w:p>
    <w:p w:rsidR="003D2511" w:rsidRDefault="003D2511" w:rsidP="00862715">
      <w:pPr>
        <w:pStyle w:val="Nadpis3"/>
      </w:pPr>
      <w:bookmarkStart w:id="217" w:name="_Toc459723323"/>
      <w:r>
        <w:t>Podniky</w:t>
      </w:r>
      <w:bookmarkEnd w:id="217"/>
    </w:p>
    <w:tbl>
      <w:tblPr>
        <w:tblW w:w="0" w:type="auto"/>
        <w:tblLook w:val="04A0" w:firstRow="1" w:lastRow="0" w:firstColumn="1" w:lastColumn="0" w:noHBand="0" w:noVBand="1"/>
      </w:tblPr>
      <w:tblGrid>
        <w:gridCol w:w="9288"/>
      </w:tblGrid>
      <w:tr w:rsidR="003D2511" w:rsidTr="001D5000">
        <w:tc>
          <w:tcPr>
            <w:tcW w:w="9288"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FD36A1" w:rsidRDefault="00773A29" w:rsidP="00FD36A1">
            <w:r>
              <w:t xml:space="preserve">Potenciál pro zapojení do BV má i velký počet podniků, které působí v oblasti bezpečnosti. </w:t>
            </w:r>
            <w:r w:rsidR="00280B89">
              <w:t>Podniky jsou sice nejčastějšími účastníky programů BV</w:t>
            </w:r>
            <w:r w:rsidR="00C90115">
              <w:t xml:space="preserve"> (ve sledovaných programech bylo zapojeno přibližně 90 podniků)</w:t>
            </w:r>
            <w:r w:rsidR="00280B89">
              <w:t>, avšak</w:t>
            </w:r>
            <w:r w:rsidR="003D2511">
              <w:t xml:space="preserve"> rozpočet řešených projektů není příliš vysoký (pouze u sedmi podniků celková podpora získaná ve všech projektech přesáhla 20 mil. Kč)</w:t>
            </w:r>
            <w:r w:rsidR="00280B89">
              <w:t xml:space="preserve">. </w:t>
            </w:r>
            <w:r w:rsidR="00C90115">
              <w:t xml:space="preserve">V podnicích také působí poněkud menší týmy, což snižuje jejich potenciál pro realizaci náročnějších projektů. </w:t>
            </w:r>
            <w:r w:rsidR="003D2511">
              <w:t>Podniky až na výjimky nemají zatím příliš velké ambice zapojit se do mezinárodních VaV projektů v rámcových programech</w:t>
            </w:r>
            <w:r w:rsidR="000D0E1B">
              <w:t xml:space="preserve">. </w:t>
            </w:r>
          </w:p>
          <w:p w:rsidR="00280B89" w:rsidRDefault="00280B89" w:rsidP="00FD36A1">
            <w:r>
              <w:t>Z uvedených důvodů se zdá, že potenciál podniků pro BV zatím zřejmě není zcela využit</w:t>
            </w:r>
            <w:r w:rsidR="004F4324">
              <w:t>, o čemž svědčí i to, že v ČR je řada podniků, které sice</w:t>
            </w:r>
            <w:r w:rsidR="000D0E1B">
              <w:t xml:space="preserve"> nebyly</w:t>
            </w:r>
            <w:r w:rsidR="004F4324">
              <w:t xml:space="preserve"> zapojeny v programech BV v gesci MV, ale zúčastnily se bezpečnostně zaměřených projektů podpořených jinými poskytovateli. </w:t>
            </w:r>
            <w:r>
              <w:t xml:space="preserve">Do programů BV se zatím nezapojila řada podniků, které se účastní </w:t>
            </w:r>
            <w:r w:rsidR="004F4324">
              <w:t>rámcových programů EU a</w:t>
            </w:r>
            <w:r>
              <w:t xml:space="preserve"> </w:t>
            </w:r>
            <w:r w:rsidR="004F4324">
              <w:t>mají zkušenosti s realizací náročných projektů VaV v oblasti bezpečnosti. Potenciál podniků pro BV je zejména v oblasti aplikovaného VaV a realizaci výsledků projektů v praxi, o čemž svědčí</w:t>
            </w:r>
            <w:r w:rsidR="000D0E1B">
              <w:t xml:space="preserve"> i to</w:t>
            </w:r>
            <w:r w:rsidR="004F4324">
              <w:t xml:space="preserve">, že řada z nich je vlastníky patentů s využitím v různých oblastech bezpečnosti. </w:t>
            </w:r>
          </w:p>
        </w:tc>
      </w:tr>
    </w:tbl>
    <w:p w:rsidR="00B16166" w:rsidRDefault="006D0A44" w:rsidP="003D2511">
      <w:r>
        <w:t xml:space="preserve">Potenciál pro zapojení do BV má i velký počet podniků, které působí v oblasti bezpečnosti. Podniky jsou </w:t>
      </w:r>
      <w:r w:rsidR="001B6F29">
        <w:t>také</w:t>
      </w:r>
      <w:r>
        <w:t xml:space="preserve"> nejčastějšími účastníky programů BV</w:t>
      </w:r>
      <w:r w:rsidR="001B6F29">
        <w:t>. V</w:t>
      </w:r>
      <w:r w:rsidR="003D2511">
        <w:t xml:space="preserve"> programech MV </w:t>
      </w:r>
      <w:r w:rsidR="00256BCF">
        <w:t>započat</w:t>
      </w:r>
      <w:r w:rsidR="003D2511">
        <w:t xml:space="preserve">ých v letech 2010 – 2015 bylo sice zapojeno </w:t>
      </w:r>
      <w:r w:rsidR="003D2511" w:rsidRPr="00256BCF">
        <w:t>přibližně 90 podniků (resp. právnických a fyzických osob, obecně prospěšných společností a zájmových sdružení právnických osob), avšak většina z nich byla zapojena v řešení pouze několika málo projektů</w:t>
      </w:r>
      <w:r w:rsidR="001B6F29">
        <w:t>.</w:t>
      </w:r>
      <w:r w:rsidR="003D2511" w:rsidRPr="00256BCF">
        <w:t xml:space="preserve"> </w:t>
      </w:r>
      <w:r w:rsidR="001B6F29">
        <w:t>Z</w:t>
      </w:r>
      <w:r w:rsidR="003D2511" w:rsidRPr="00256BCF">
        <w:t>ískaná veřejná podpora u většiny subjektů z této</w:t>
      </w:r>
      <w:r w:rsidR="001B6F29">
        <w:t xml:space="preserve"> kategorie nepřesáhla 10 mil. Kč</w:t>
      </w:r>
      <w:r w:rsidR="003D2511" w:rsidRPr="00256BCF">
        <w:t>.</w:t>
      </w:r>
      <w:r w:rsidR="003D2511">
        <w:t xml:space="preserve"> </w:t>
      </w:r>
      <w:r w:rsidR="001B6F29">
        <w:t>Také se ukazuje, že p</w:t>
      </w:r>
      <w:r w:rsidR="001B6F29" w:rsidRPr="00280B89">
        <w:t xml:space="preserve">odniky se </w:t>
      </w:r>
      <w:r w:rsidR="001B6F29">
        <w:t xml:space="preserve">často </w:t>
      </w:r>
      <w:r w:rsidR="001B6F29" w:rsidRPr="00280B89">
        <w:t>zapojují do projektů VŠ, ze kterých však získávají malé části jejich rozpočtů</w:t>
      </w:r>
      <w:r w:rsidR="001B6F29">
        <w:t>, a tedy v těchto projektech realizují pouze dílčí aktivity</w:t>
      </w:r>
      <w:r w:rsidR="001B6F29" w:rsidRPr="00280B89">
        <w:t>.</w:t>
      </w:r>
      <w:r w:rsidR="001B6F29">
        <w:t xml:space="preserve"> Jak vyplývá z údajů v kap. </w:t>
      </w:r>
      <w:r w:rsidR="001B6F29">
        <w:fldChar w:fldCharType="begin"/>
      </w:r>
      <w:r w:rsidR="001B6F29">
        <w:instrText xml:space="preserve"> REF _Ref452120945 \r \h </w:instrText>
      </w:r>
      <w:r w:rsidR="001B6F29">
        <w:fldChar w:fldCharType="separate"/>
      </w:r>
      <w:r w:rsidR="003F08E5">
        <w:t>5.1</w:t>
      </w:r>
      <w:r w:rsidR="001B6F29">
        <w:fldChar w:fldCharType="end"/>
      </w:r>
      <w:r w:rsidR="001B6F29">
        <w:t>, podniky také zpravidla disponují poměrně malými týmy řešitel,</w:t>
      </w:r>
      <w:r w:rsidR="00FD36A1">
        <w:t xml:space="preserve"> </w:t>
      </w:r>
      <w:r w:rsidR="001B6F29">
        <w:t>což poněkud snižuje jejich potenciál pro BV (zejména pro realizaci náročnějších projektů).</w:t>
      </w:r>
    </w:p>
    <w:p w:rsidR="003D2511" w:rsidRDefault="003D2511" w:rsidP="003D2511">
      <w:r>
        <w:t>Pouze sedm subjektů získalo podporu přesahující 20 mil. Kč (viz</w:t>
      </w:r>
      <w:r w:rsidR="005B3324">
        <w:t xml:space="preserve"> </w:t>
      </w:r>
      <w:r w:rsidR="005B3324">
        <w:fldChar w:fldCharType="begin"/>
      </w:r>
      <w:r w:rsidR="005B3324">
        <w:instrText xml:space="preserve"> REF  _Ref453752391 \* Lower \h  \* MERGEFORMAT </w:instrText>
      </w:r>
      <w:r w:rsidR="005B3324">
        <w:fldChar w:fldCharType="separate"/>
      </w:r>
      <w:r w:rsidR="003F08E5">
        <w:t xml:space="preserve">tab. </w:t>
      </w:r>
      <w:r w:rsidR="003F08E5">
        <w:rPr>
          <w:noProof/>
        </w:rPr>
        <w:t>58</w:t>
      </w:r>
      <w:r w:rsidR="005B3324">
        <w:fldChar w:fldCharType="end"/>
      </w:r>
      <w:r>
        <w:t xml:space="preserve">, kde jsou přehledně seřazeny, které patří mezi nejčastější účastníky projektů ve sledovaných programech MV). Mezi nejaktivnějšími podniky (podle počtu účastí) jsou Centrum pro bezpečný stát o.s. a ENVINET a.s., které mají 15 a více účastí. </w:t>
      </w:r>
      <w:r w:rsidRPr="00697A1C">
        <w:t>Nejvyšší podporu získala společnost KOUKAAM a.s.</w:t>
      </w:r>
      <w:r>
        <w:t>,</w:t>
      </w:r>
      <w:r w:rsidRPr="00697A1C">
        <w:t xml:space="preserve"> která je však v současné době konkursu</w:t>
      </w:r>
      <w:r w:rsidR="00256BCF">
        <w:t>.</w:t>
      </w:r>
    </w:p>
    <w:p w:rsidR="00FD36A1" w:rsidRDefault="001B6F29" w:rsidP="001B6F29">
      <w:r>
        <w:t>Většina podniků účastnících se programů BV v gesci MV se nezapojuje do mezinárodních projektů v 7.</w:t>
      </w:r>
      <w:r w:rsidR="00EF2728">
        <w:t> </w:t>
      </w:r>
      <w:r>
        <w:t xml:space="preserve">RP a programu H2020 s bezpečnostní tematikou (viz </w:t>
      </w:r>
      <w:r>
        <w:fldChar w:fldCharType="begin"/>
      </w:r>
      <w:r>
        <w:instrText xml:space="preserve"> REF  _Ref453752391 \* Lower \h  \* MERGEFORMAT </w:instrText>
      </w:r>
      <w:r>
        <w:fldChar w:fldCharType="separate"/>
      </w:r>
      <w:r w:rsidR="003F08E5">
        <w:t xml:space="preserve">tab. </w:t>
      </w:r>
      <w:r w:rsidR="003F08E5">
        <w:rPr>
          <w:noProof/>
        </w:rPr>
        <w:t>58</w:t>
      </w:r>
      <w:r>
        <w:fldChar w:fldCharType="end"/>
      </w:r>
      <w:r>
        <w:t xml:space="preserve">). </w:t>
      </w:r>
      <w:r w:rsidR="00EF2728">
        <w:t xml:space="preserve">Nízká účast těchto podniků v mezinárodních projektech může souviset s vysokou náročností přípravy návrhů projektů, malou zkušeností podniků s mezinárodním výzkumem či nedostatečnou informovaností. Na druhou stranu to </w:t>
      </w:r>
      <w:r w:rsidR="00FD36A1">
        <w:t xml:space="preserve">může </w:t>
      </w:r>
      <w:r w:rsidR="00EF2728">
        <w:t xml:space="preserve">také </w:t>
      </w:r>
      <w:r w:rsidR="00FD36A1">
        <w:t xml:space="preserve">znamenat, že výzkumné kapacity, odbornosti a zkušenosti s VaV nejsou </w:t>
      </w:r>
      <w:r w:rsidR="00EF2728">
        <w:t>v těchto podnicích n</w:t>
      </w:r>
      <w:r w:rsidR="00FD36A1">
        <w:t>a takové úrovni, aby byly přínosným partnerem v mezinárodních konsorciích řešících významnější a náročnější bezpečnostně zaměřené projekty.</w:t>
      </w:r>
    </w:p>
    <w:p w:rsidR="001B6F29" w:rsidRDefault="001B6F29" w:rsidP="001B6F29">
      <w:r>
        <w:t>Na druhou stranu však v ČR existují podniky, které se účastnily projektů v RP (což je jistým měřítkem jejich kvality), ale dosud které sice nebyly zapojeny v programech MV. Představiteli této skupinu jsou společnosti GISAT, Anect, a.s., Honeywell, Pramacom Prague a Euroalarm, které byly zapojeny v řešení alespoň dvou projektů řešících problematiku bezpečnosti v 7. RP a programu H2020.</w:t>
      </w:r>
    </w:p>
    <w:p w:rsidR="001B6F29" w:rsidRDefault="001B6F29" w:rsidP="001B6F29">
      <w:r>
        <w:t xml:space="preserve">Podniky podle očekávání výsledky svého VaV nepublikují, což odpovídá i cílům a povaze VaV aktivit těchto subjektů. Na druhou stranu je poněkud zarážející, že řada podniků uvedených v </w:t>
      </w:r>
      <w:r>
        <w:fldChar w:fldCharType="begin"/>
      </w:r>
      <w:r>
        <w:instrText xml:space="preserve"> REF  _Ref453752391 \* Lower \h  \* MERGEFORMAT </w:instrText>
      </w:r>
      <w:r>
        <w:fldChar w:fldCharType="separate"/>
      </w:r>
      <w:r w:rsidR="003F08E5">
        <w:t xml:space="preserve">tab. </w:t>
      </w:r>
      <w:r w:rsidR="003F08E5">
        <w:rPr>
          <w:noProof/>
        </w:rPr>
        <w:t>58</w:t>
      </w:r>
      <w:r>
        <w:fldChar w:fldCharType="end"/>
      </w:r>
      <w:r>
        <w:t xml:space="preserve"> nemá ani jeden výsledek aplikační povahy.</w:t>
      </w:r>
    </w:p>
    <w:p w:rsidR="005879C8" w:rsidRDefault="005879C8" w:rsidP="005879C8">
      <w:pPr>
        <w:pStyle w:val="Titulek"/>
        <w:keepNext/>
      </w:pPr>
      <w:bookmarkStart w:id="218" w:name="_Ref453752391"/>
      <w:r>
        <w:t xml:space="preserve">Tab. </w:t>
      </w:r>
      <w:r w:rsidR="00990E2D">
        <w:fldChar w:fldCharType="begin"/>
      </w:r>
      <w:r w:rsidR="00990E2D">
        <w:instrText xml:space="preserve"> SEQ Tab. \* ARABIC </w:instrText>
      </w:r>
      <w:r w:rsidR="00990E2D">
        <w:fldChar w:fldCharType="separate"/>
      </w:r>
      <w:r w:rsidR="003F08E5">
        <w:rPr>
          <w:noProof/>
        </w:rPr>
        <w:t>58</w:t>
      </w:r>
      <w:r w:rsidR="00990E2D">
        <w:rPr>
          <w:noProof/>
        </w:rPr>
        <w:fldChar w:fldCharType="end"/>
      </w:r>
      <w:bookmarkEnd w:id="218"/>
      <w:r>
        <w:tab/>
      </w:r>
      <w:r w:rsidR="00C05939">
        <w:t xml:space="preserve">Nejaktivnější podniky </w:t>
      </w:r>
      <w:r w:rsidRPr="005D015B">
        <w:t xml:space="preserve">v programech BV. V tabulce jsou uvedeny pouze </w:t>
      </w:r>
      <w:r w:rsidR="00C05939">
        <w:t>podniky</w:t>
      </w:r>
      <w:r w:rsidRPr="005D015B">
        <w:t xml:space="preserve">, které z programů BV v gesci MV získaly více než </w:t>
      </w:r>
      <w:r>
        <w:t>1</w:t>
      </w:r>
      <w:r w:rsidRPr="005D015B">
        <w:t xml:space="preserve">0 mil. Kč nebo se zúčastnily alespoň tří projektů. Dále jsou v tabulce zařazeny </w:t>
      </w:r>
      <w:r>
        <w:t>podniky</w:t>
      </w:r>
      <w:r w:rsidRPr="005D015B">
        <w:t>, které získaly alespoň 100 tis. € nebo byly zapojeny v řešení alespoň dvou projektů v 7. RP a H2020 řešících problematiku bezpečnosti. V tabulce j</w:t>
      </w:r>
      <w:r w:rsidR="00C05939">
        <w:t>sou</w:t>
      </w:r>
      <w:r w:rsidRPr="005D015B">
        <w:t xml:space="preserve"> také uveden</w:t>
      </w:r>
      <w:r>
        <w:t xml:space="preserve">y </w:t>
      </w:r>
      <w:r w:rsidRPr="005D015B">
        <w:t>výsledky</w:t>
      </w:r>
      <w:r>
        <w:t xml:space="preserve"> aplikačního charakteru</w:t>
      </w:r>
      <w:r w:rsidRPr="005D015B">
        <w:t>. Zdroj: IS VaVaI, WoS</w:t>
      </w:r>
      <w:r w:rsidR="00C05939">
        <w:t>,</w:t>
      </w:r>
      <w:r w:rsidRPr="005D015B">
        <w:t xml:space="preserve"> e-Corda, PATSTAT</w:t>
      </w:r>
    </w:p>
    <w:p w:rsidR="003D2511" w:rsidRPr="003D2511" w:rsidRDefault="005879C8" w:rsidP="001D34AE">
      <w:pPr>
        <w:jc w:val="center"/>
      </w:pPr>
      <w:r w:rsidRPr="005D015B">
        <w:rPr>
          <w:noProof/>
          <w:lang w:eastAsia="cs-CZ"/>
        </w:rPr>
        <w:drawing>
          <wp:inline distT="0" distB="0" distL="0" distR="0" wp14:anchorId="43A43D9C" wp14:editId="0EDC6ADB">
            <wp:extent cx="5722708" cy="6743700"/>
            <wp:effectExtent l="0" t="0" r="0" b="0"/>
            <wp:docPr id="53" name="Obrázek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5725194" cy="6746630"/>
                    </a:xfrm>
                    <a:prstGeom prst="rect">
                      <a:avLst/>
                    </a:prstGeom>
                    <a:noFill/>
                    <a:ln>
                      <a:noFill/>
                    </a:ln>
                  </pic:spPr>
                </pic:pic>
              </a:graphicData>
            </a:graphic>
          </wp:inline>
        </w:drawing>
      </w:r>
    </w:p>
    <w:p w:rsidR="003D2511" w:rsidRPr="003D2511" w:rsidRDefault="00862715" w:rsidP="00862715">
      <w:pPr>
        <w:pStyle w:val="Nadpis2"/>
      </w:pPr>
      <w:bookmarkStart w:id="219" w:name="_Toc459723324"/>
      <w:r>
        <w:t>P</w:t>
      </w:r>
      <w:r w:rsidRPr="00862715">
        <w:t xml:space="preserve">otenciál subjektů, které zatím nebyly do programů </w:t>
      </w:r>
      <w:r>
        <w:t xml:space="preserve">bezpečnostního výzkumu </w:t>
      </w:r>
      <w:r w:rsidRPr="00862715">
        <w:t>zapojeny</w:t>
      </w:r>
      <w:bookmarkEnd w:id="219"/>
    </w:p>
    <w:p w:rsidR="00C65664" w:rsidRPr="00C65664" w:rsidRDefault="00051C20" w:rsidP="00C65664">
      <w:r>
        <w:t xml:space="preserve">V této kapitole je posouzen potenciál </w:t>
      </w:r>
      <w:r w:rsidR="00C65664" w:rsidRPr="00C65664">
        <w:t>pracoviš</w:t>
      </w:r>
      <w:r>
        <w:t>ť</w:t>
      </w:r>
      <w:r w:rsidR="00C65664" w:rsidRPr="00C65664">
        <w:t xml:space="preserve"> (</w:t>
      </w:r>
      <w:r>
        <w:t>VO</w:t>
      </w:r>
      <w:r w:rsidR="00C65664" w:rsidRPr="00C65664">
        <w:t>, výzkumn</w:t>
      </w:r>
      <w:r>
        <w:t>ých</w:t>
      </w:r>
      <w:r w:rsidR="00C65664" w:rsidRPr="00C65664">
        <w:t xml:space="preserve"> cent</w:t>
      </w:r>
      <w:r>
        <w:t>e</w:t>
      </w:r>
      <w:r w:rsidR="00C65664" w:rsidRPr="00C65664">
        <w:t xml:space="preserve">r a </w:t>
      </w:r>
      <w:r>
        <w:t xml:space="preserve">výzkumné </w:t>
      </w:r>
      <w:r w:rsidR="00C65664" w:rsidRPr="00C65664">
        <w:t>infrastruktur</w:t>
      </w:r>
      <w:r>
        <w:t>y, podniků</w:t>
      </w:r>
      <w:r w:rsidR="00C65664" w:rsidRPr="00C65664">
        <w:t xml:space="preserve">), která sice </w:t>
      </w:r>
      <w:r w:rsidR="001E50B0">
        <w:t xml:space="preserve">nebyla zapojena v řešení </w:t>
      </w:r>
      <w:r w:rsidR="00C65664" w:rsidRPr="00C65664">
        <w:t>projekt</w:t>
      </w:r>
      <w:r w:rsidR="001E50B0">
        <w:t>ů p</w:t>
      </w:r>
      <w:r w:rsidR="00C65664" w:rsidRPr="00C65664">
        <w:t>odpořen</w:t>
      </w:r>
      <w:r w:rsidR="001E50B0">
        <w:t>ých</w:t>
      </w:r>
      <w:r w:rsidR="00C65664" w:rsidRPr="00C65664">
        <w:t xml:space="preserve"> v programech MV</w:t>
      </w:r>
      <w:r w:rsidR="001E50B0">
        <w:t xml:space="preserve"> </w:t>
      </w:r>
      <w:r w:rsidR="00C65664" w:rsidRPr="00C65664">
        <w:t>realizovan</w:t>
      </w:r>
      <w:r w:rsidR="001E50B0">
        <w:t>ých</w:t>
      </w:r>
      <w:r w:rsidR="00C65664" w:rsidRPr="00C65664">
        <w:t xml:space="preserve"> v letech 2010 - 2015, ale </w:t>
      </w:r>
      <w:r w:rsidR="001E50B0">
        <w:t xml:space="preserve">která </w:t>
      </w:r>
      <w:r w:rsidR="00C65664" w:rsidRPr="00C65664">
        <w:t xml:space="preserve">mají potenciál </w:t>
      </w:r>
      <w:r w:rsidR="001E50B0">
        <w:t xml:space="preserve">se </w:t>
      </w:r>
      <w:r w:rsidR="00C65664" w:rsidRPr="00C65664">
        <w:t>do těchto programů v</w:t>
      </w:r>
      <w:r w:rsidR="001E50B0">
        <w:t> </w:t>
      </w:r>
      <w:r w:rsidR="00C65664" w:rsidRPr="00C65664">
        <w:t>budoucnosti</w:t>
      </w:r>
      <w:r w:rsidR="001E50B0">
        <w:t xml:space="preserve"> zapojit</w:t>
      </w:r>
      <w:r w:rsidR="00C65664" w:rsidRPr="00C65664">
        <w:t xml:space="preserve">. </w:t>
      </w:r>
      <w:r w:rsidR="00055127">
        <w:t xml:space="preserve">Zároveň jsou uvedena </w:t>
      </w:r>
      <w:r w:rsidR="001E50B0">
        <w:t>pracoviš</w:t>
      </w:r>
      <w:r w:rsidR="00055127">
        <w:t>tě, která by měla mít nejvyšší potenciál pro BV</w:t>
      </w:r>
      <w:r w:rsidR="001E50B0">
        <w:t xml:space="preserve">. </w:t>
      </w:r>
    </w:p>
    <w:p w:rsidR="00C65664" w:rsidRPr="00C65664" w:rsidRDefault="00862715" w:rsidP="00862715">
      <w:pPr>
        <w:pStyle w:val="Nadpis3"/>
      </w:pPr>
      <w:bookmarkStart w:id="220" w:name="_Toc451505295"/>
      <w:bookmarkStart w:id="221" w:name="_Toc459723325"/>
      <w:r>
        <w:t>Subjekty s publikačními výstupy</w:t>
      </w:r>
      <w:r w:rsidR="00C65664" w:rsidRPr="00C65664">
        <w:t xml:space="preserve"> </w:t>
      </w:r>
      <w:r>
        <w:t>souvisejícími s</w:t>
      </w:r>
      <w:r w:rsidR="00C65664" w:rsidRPr="00C65664">
        <w:t xml:space="preserve"> problematik</w:t>
      </w:r>
      <w:r>
        <w:t>ou</w:t>
      </w:r>
      <w:r w:rsidR="00C65664" w:rsidRPr="00C65664">
        <w:t xml:space="preserve"> bezpečnosti</w:t>
      </w:r>
      <w:bookmarkEnd w:id="220"/>
      <w:bookmarkEnd w:id="221"/>
    </w:p>
    <w:tbl>
      <w:tblPr>
        <w:tblStyle w:val="Mkatabulky7"/>
        <w:tblW w:w="0" w:type="auto"/>
        <w:tblLook w:val="04A0" w:firstRow="1" w:lastRow="0" w:firstColumn="1" w:lastColumn="0" w:noHBand="0" w:noVBand="1"/>
      </w:tblPr>
      <w:tblGrid>
        <w:gridCol w:w="9288"/>
      </w:tblGrid>
      <w:tr w:rsidR="00862715" w:rsidRPr="00C65664" w:rsidTr="00C64093">
        <w:tc>
          <w:tcPr>
            <w:tcW w:w="9288" w:type="dxa"/>
            <w:shd w:val="clear" w:color="auto" w:fill="F2F2F2" w:themeFill="background1" w:themeFillShade="F2"/>
          </w:tcPr>
          <w:p w:rsidR="00862715" w:rsidRDefault="002225BC" w:rsidP="002225BC">
            <w:r w:rsidRPr="00C65664">
              <w:t xml:space="preserve">V databázi WoS se podařilo identifikovat </w:t>
            </w:r>
            <w:r>
              <w:t>poměrně vysoký počet vědeckých prací</w:t>
            </w:r>
            <w:r w:rsidR="00E32149">
              <w:t xml:space="preserve"> týkajících se problematiky bezpečnosti</w:t>
            </w:r>
            <w:r>
              <w:t xml:space="preserve">, které nevznikly v programech BV. </w:t>
            </w:r>
            <w:r w:rsidR="00E32149">
              <w:t xml:space="preserve">V </w:t>
            </w:r>
            <w:r>
              <w:t>ČR tedy existuje řada výzkumných pracovišť realizujících bezpečnostně zaměřen</w:t>
            </w:r>
            <w:r w:rsidR="00E32149">
              <w:t>ý</w:t>
            </w:r>
            <w:r>
              <w:t xml:space="preserve"> VaV, jejichž potenciál není dosud využit. Jak vyplývá z bibliometrické analýzy, publikace z oblasti bezpečnosti jsou ve světovém srovnání kvalitní, a potenciál těchto pracovišť pro BV může být tedy vysoký.</w:t>
            </w:r>
          </w:p>
          <w:p w:rsidR="002225BC" w:rsidRDefault="002225BC" w:rsidP="002225BC">
            <w:r>
              <w:t>Potenciál pro BV je vysoký zejména v oborech, jako jsou klinická medicína, botanika a zoologie, společenské vědy, chemie, technické vědy a vědy o Zemi. Kvalitní výzkum je prováděn zejména v oborech molekulární vědy a genetika. Z bibliometrické analýzy také vyplývá, že publikace s bezpečnostní tematikou vznikají často v mezinárodní spolupráci. Tato pracoviště mají vytvořené vazby na zahraniční týmy, a tedy i potenciál pro zapojení do mezinárodní VaV.</w:t>
            </w:r>
          </w:p>
          <w:p w:rsidR="002225BC" w:rsidRPr="00C65664" w:rsidRDefault="008E6EB3" w:rsidP="008E6EB3">
            <w:r>
              <w:t>Potenciál pro zapojení do programů BV v budoucnosti mají zejména lékařsky zaměřená pracoviště (lékařské fakulty a fakultní nemocnice). Z VŠ má vysoký potenciál Univerzita Hradec Králové a Ostravská univerzita v Ostravě.</w:t>
            </w:r>
          </w:p>
        </w:tc>
      </w:tr>
    </w:tbl>
    <w:p w:rsidR="001F0CA4" w:rsidRDefault="00C65664" w:rsidP="001F0CA4">
      <w:r w:rsidRPr="00C65664">
        <w:t xml:space="preserve">V databázi WoS se s využitím souboru klíčových slov podařilo identifikovat </w:t>
      </w:r>
      <w:r w:rsidR="00A723D4">
        <w:t xml:space="preserve">poměrně vysoký počet vědeckých prací, jejichž zaměření </w:t>
      </w:r>
      <w:r w:rsidRPr="00C65664">
        <w:t xml:space="preserve">se </w:t>
      </w:r>
      <w:r w:rsidR="00A723D4">
        <w:t>do</w:t>
      </w:r>
      <w:r w:rsidRPr="00C65664">
        <w:t>t</w:t>
      </w:r>
      <w:r w:rsidR="00A723D4">
        <w:t>ýká problematiky bezpeč</w:t>
      </w:r>
      <w:r w:rsidR="00345074">
        <w:t>nosti. Jejich počet je několika</w:t>
      </w:r>
      <w:r w:rsidR="00A723D4">
        <w:t>násobně vyšší, než počet publikací v impaktovaných časopisech, které byly jako výsledky projektů BV uváděny řešiteli projektů v IS VaVaI</w:t>
      </w:r>
      <w:r w:rsidR="00345074">
        <w:t xml:space="preserve"> (publikace uvedené v RIV IS VaVaI tvoří přibližně 10 % z těchto publikací)</w:t>
      </w:r>
      <w:r w:rsidR="00A723D4">
        <w:t>. To znamená, že v ČR existuj</w:t>
      </w:r>
      <w:r w:rsidR="00345074">
        <w:t>e</w:t>
      </w:r>
      <w:r w:rsidR="00A723D4">
        <w:t xml:space="preserve"> </w:t>
      </w:r>
      <w:r w:rsidR="00345074">
        <w:t xml:space="preserve">řada </w:t>
      </w:r>
      <w:r w:rsidR="00A723D4">
        <w:t>výzkumn</w:t>
      </w:r>
      <w:r w:rsidR="00345074">
        <w:t>ých</w:t>
      </w:r>
      <w:r w:rsidR="00A723D4">
        <w:t xml:space="preserve"> pracoviš</w:t>
      </w:r>
      <w:r w:rsidR="00345074">
        <w:t>ť</w:t>
      </w:r>
      <w:r w:rsidR="00A723D4">
        <w:t xml:space="preserve">, </w:t>
      </w:r>
      <w:r w:rsidR="00A723D4" w:rsidRPr="00C65664">
        <w:t xml:space="preserve">která sice nebyla zapojena v programech </w:t>
      </w:r>
      <w:r w:rsidR="00A723D4">
        <w:t xml:space="preserve">BV </w:t>
      </w:r>
      <w:r w:rsidR="00345074">
        <w:t xml:space="preserve">v gesci MV </w:t>
      </w:r>
      <w:r w:rsidR="00A723D4" w:rsidRPr="00C65664">
        <w:t xml:space="preserve">realizovaných v letech 2010 – 2015, ale </w:t>
      </w:r>
      <w:r w:rsidR="00A723D4">
        <w:t>realizují VaV</w:t>
      </w:r>
      <w:r w:rsidR="007B5D50">
        <w:t>, jehož</w:t>
      </w:r>
      <w:r w:rsidR="00345F89" w:rsidRPr="00345F89">
        <w:t xml:space="preserve"> </w:t>
      </w:r>
      <w:r w:rsidR="00345F89">
        <w:t>zaměření a výsledky také souvisejí s problematikou bezpečnosti</w:t>
      </w:r>
      <w:r w:rsidR="007B5D50">
        <w:t>. Potenciál těchto pracovišť pro zapojení do programů BV je zatím nevyužit</w:t>
      </w:r>
      <w:r w:rsidR="00345F89">
        <w:t>.</w:t>
      </w:r>
      <w:r w:rsidR="00221CFC">
        <w:t xml:space="preserve"> </w:t>
      </w:r>
      <w:r w:rsidR="001F0CA4">
        <w:t xml:space="preserve">Z bibliometrické analýzy navíc vyplývá, že </w:t>
      </w:r>
      <w:r w:rsidR="00221CFC">
        <w:t xml:space="preserve">citovanost publikací týkajících se problematiky bezpečnosti je vyšší než citovanost publikací z programů BV. Kvalita VaV </w:t>
      </w:r>
      <w:r w:rsidR="007B5D50">
        <w:t>realizované</w:t>
      </w:r>
      <w:r w:rsidR="00221CFC">
        <w:t xml:space="preserve">ho v těchto pracovištích je </w:t>
      </w:r>
      <w:r w:rsidR="00DB292E">
        <w:t xml:space="preserve">tedy </w:t>
      </w:r>
      <w:r w:rsidR="00221CFC">
        <w:t>poměrně vysoká.</w:t>
      </w:r>
    </w:p>
    <w:p w:rsidR="00DF4AEB" w:rsidRDefault="00DF4AEB" w:rsidP="00C65664">
      <w:r>
        <w:t xml:space="preserve">Jak je patrné z </w:t>
      </w:r>
      <w:r>
        <w:fldChar w:fldCharType="begin"/>
      </w:r>
      <w:r>
        <w:instrText xml:space="preserve"> REF  _Ref451870261 \* Lower \h  \* MERGEFORMAT </w:instrText>
      </w:r>
      <w:r>
        <w:fldChar w:fldCharType="separate"/>
      </w:r>
      <w:r w:rsidR="003F08E5" w:rsidRPr="00AB65F5">
        <w:t xml:space="preserve">tab. </w:t>
      </w:r>
      <w:r w:rsidR="003F08E5">
        <w:rPr>
          <w:noProof/>
        </w:rPr>
        <w:t>15</w:t>
      </w:r>
      <w:r>
        <w:fldChar w:fldCharType="end"/>
      </w:r>
      <w:r>
        <w:t xml:space="preserve"> na str. </w:t>
      </w:r>
      <w:r>
        <w:fldChar w:fldCharType="begin"/>
      </w:r>
      <w:r>
        <w:instrText xml:space="preserve"> PAGEREF _Ref452113758 \h </w:instrText>
      </w:r>
      <w:r>
        <w:fldChar w:fldCharType="separate"/>
      </w:r>
      <w:r w:rsidR="003F08E5">
        <w:rPr>
          <w:noProof/>
        </w:rPr>
        <w:t>30</w:t>
      </w:r>
      <w:r>
        <w:fldChar w:fldCharType="end"/>
      </w:r>
      <w:r>
        <w:t>, VaV souvisejí</w:t>
      </w:r>
      <w:r w:rsidR="00543C25">
        <w:t>cí</w:t>
      </w:r>
      <w:r>
        <w:t xml:space="preserve"> s problematikou bezpečnosti je realizován zejména v těchto oborech:</w:t>
      </w:r>
    </w:p>
    <w:p w:rsidR="00DF4AEB" w:rsidRDefault="00DF4AEB" w:rsidP="004F74B7">
      <w:pPr>
        <w:pStyle w:val="Odstavecseseznamem"/>
        <w:numPr>
          <w:ilvl w:val="0"/>
          <w:numId w:val="3"/>
        </w:numPr>
        <w:spacing w:before="60" w:after="60"/>
        <w:ind w:left="714" w:hanging="357"/>
        <w:contextualSpacing w:val="0"/>
      </w:pPr>
      <w:r w:rsidRPr="00DF4AEB">
        <w:t>klinick</w:t>
      </w:r>
      <w:r>
        <w:t>á</w:t>
      </w:r>
      <w:r w:rsidRPr="00DF4AEB">
        <w:t xml:space="preserve"> medicín</w:t>
      </w:r>
      <w:r>
        <w:t>a;</w:t>
      </w:r>
    </w:p>
    <w:p w:rsidR="00DF4AEB" w:rsidRDefault="00DF4AEB" w:rsidP="004F74B7">
      <w:pPr>
        <w:pStyle w:val="Odstavecseseznamem"/>
        <w:numPr>
          <w:ilvl w:val="0"/>
          <w:numId w:val="3"/>
        </w:numPr>
        <w:spacing w:before="60" w:after="60"/>
        <w:ind w:left="714" w:hanging="357"/>
        <w:contextualSpacing w:val="0"/>
      </w:pPr>
      <w:r w:rsidRPr="00DF4AEB">
        <w:t>botanika a zoologie</w:t>
      </w:r>
      <w:r>
        <w:t>;</w:t>
      </w:r>
    </w:p>
    <w:p w:rsidR="00DF4AEB" w:rsidRDefault="00DF4AEB" w:rsidP="004F74B7">
      <w:pPr>
        <w:pStyle w:val="Odstavecseseznamem"/>
        <w:numPr>
          <w:ilvl w:val="0"/>
          <w:numId w:val="3"/>
        </w:numPr>
        <w:spacing w:before="60" w:after="60"/>
        <w:ind w:left="714" w:hanging="357"/>
        <w:contextualSpacing w:val="0"/>
      </w:pPr>
      <w:r w:rsidRPr="00DF4AEB">
        <w:t>společenské vědy</w:t>
      </w:r>
      <w:r>
        <w:t>;</w:t>
      </w:r>
    </w:p>
    <w:p w:rsidR="00DF4AEB" w:rsidRDefault="00DF4AEB" w:rsidP="004F74B7">
      <w:pPr>
        <w:pStyle w:val="Odstavecseseznamem"/>
        <w:numPr>
          <w:ilvl w:val="0"/>
          <w:numId w:val="3"/>
        </w:numPr>
        <w:spacing w:before="60" w:after="60"/>
        <w:ind w:left="714" w:hanging="357"/>
        <w:contextualSpacing w:val="0"/>
      </w:pPr>
      <w:r w:rsidRPr="00DF4AEB">
        <w:t>chemie</w:t>
      </w:r>
      <w:r>
        <w:t>;</w:t>
      </w:r>
    </w:p>
    <w:p w:rsidR="00DF4AEB" w:rsidRDefault="00DF4AEB" w:rsidP="004F74B7">
      <w:pPr>
        <w:pStyle w:val="Odstavecseseznamem"/>
        <w:numPr>
          <w:ilvl w:val="0"/>
          <w:numId w:val="3"/>
        </w:numPr>
        <w:spacing w:before="60" w:after="60"/>
        <w:ind w:left="714" w:hanging="357"/>
        <w:contextualSpacing w:val="0"/>
      </w:pPr>
      <w:r w:rsidRPr="00DF4AEB">
        <w:t>technické vědy</w:t>
      </w:r>
      <w:r>
        <w:t>;</w:t>
      </w:r>
    </w:p>
    <w:p w:rsidR="00DF4AEB" w:rsidRDefault="00DF4AEB" w:rsidP="004F74B7">
      <w:pPr>
        <w:pStyle w:val="Odstavecseseznamem"/>
        <w:numPr>
          <w:ilvl w:val="0"/>
          <w:numId w:val="3"/>
        </w:numPr>
        <w:spacing w:before="60" w:after="60"/>
        <w:ind w:left="714" w:hanging="357"/>
        <w:contextualSpacing w:val="0"/>
      </w:pPr>
      <w:r w:rsidRPr="00DF4AEB">
        <w:t>vědy o Zemi.</w:t>
      </w:r>
    </w:p>
    <w:p w:rsidR="00DF4AEB" w:rsidRDefault="00DF4AEB" w:rsidP="00C65664">
      <w:r>
        <w:t xml:space="preserve">V oboru molekulární vědy </w:t>
      </w:r>
      <w:r w:rsidR="00A3619B">
        <w:t xml:space="preserve">a genetika </w:t>
      </w:r>
      <w:r w:rsidR="00543C25">
        <w:t xml:space="preserve">je </w:t>
      </w:r>
      <w:r>
        <w:t>sice poněkud méně publikací vztahujících se k bezpečnosti, avšak jejich citovanost více než dvojn</w:t>
      </w:r>
      <w:r w:rsidR="00DB292E">
        <w:t>ásobně převyšuje světový průměr, a tedy jedná VaV, jehož kvalita je výrazně nad světovým průměrem.</w:t>
      </w:r>
    </w:p>
    <w:p w:rsidR="00EA4CC7" w:rsidRDefault="00A3619B" w:rsidP="00EA4CC7">
      <w:r>
        <w:t xml:space="preserve">Z bibliometrické analýzy také vyplývá, že </w:t>
      </w:r>
      <w:r w:rsidR="00DB292E">
        <w:t>publikace s bezpečnostní tematikou často vznikají v mezinárodní spolupráci. P</w:t>
      </w:r>
      <w:r>
        <w:t xml:space="preserve">odíl publikací se zahraničním spoluautorem je </w:t>
      </w:r>
      <w:r w:rsidR="00A1008D">
        <w:t xml:space="preserve">u takto zaměřených publikací </w:t>
      </w:r>
      <w:r>
        <w:t>vyšší než v průměru ČR</w:t>
      </w:r>
      <w:r w:rsidR="00A1008D">
        <w:t>, což</w:t>
      </w:r>
      <w:r>
        <w:t xml:space="preserve"> svědčí o tom, že instituce, jejichž výzkumní pracovníci jsou spoluautoři těchto publikací, mají </w:t>
      </w:r>
      <w:r w:rsidR="00543C25">
        <w:t>vytvořen</w:t>
      </w:r>
      <w:r>
        <w:t>é vazby se zahraničními pracovišti</w:t>
      </w:r>
      <w:r w:rsidR="00A1008D">
        <w:t xml:space="preserve"> a mají tedy i </w:t>
      </w:r>
      <w:r>
        <w:t xml:space="preserve">potenciál pro zapojení do mezinárodních výzkumných aktivit v oblasti bezpečnosti. </w:t>
      </w:r>
      <w:r w:rsidR="00345F89">
        <w:t>Mezi obory, kde je mezinárodní spolupráce při tvorbě publikací týkajících se bezpečnosti</w:t>
      </w:r>
      <w:r w:rsidR="00A1008D">
        <w:t xml:space="preserve"> v národním srovnání nadprůměrná</w:t>
      </w:r>
      <w:r w:rsidR="00A1008D">
        <w:rPr>
          <w:rStyle w:val="Znakapoznpodarou"/>
        </w:rPr>
        <w:footnoteReference w:id="49"/>
      </w:r>
      <w:r w:rsidR="00345F89">
        <w:t xml:space="preserve">, patří zejména </w:t>
      </w:r>
      <w:r>
        <w:t>molekulární vědy a genetika, multidi</w:t>
      </w:r>
      <w:r w:rsidR="00C01BFE">
        <w:t>s</w:t>
      </w:r>
      <w:r>
        <w:t xml:space="preserve">ciplinární obory a fyzika (viz </w:t>
      </w:r>
      <w:r>
        <w:fldChar w:fldCharType="begin"/>
      </w:r>
      <w:r>
        <w:instrText xml:space="preserve"> REF  _Ref451870261 \* Lower \h  \* MERGEFORMAT </w:instrText>
      </w:r>
      <w:r>
        <w:fldChar w:fldCharType="separate"/>
      </w:r>
      <w:r w:rsidR="003F08E5" w:rsidRPr="00AB65F5">
        <w:t xml:space="preserve">tab. </w:t>
      </w:r>
      <w:r w:rsidR="003F08E5">
        <w:rPr>
          <w:noProof/>
        </w:rPr>
        <w:t>15</w:t>
      </w:r>
      <w:r>
        <w:fldChar w:fldCharType="end"/>
      </w:r>
      <w:r w:rsidR="00A1008D">
        <w:t xml:space="preserve"> na str. </w:t>
      </w:r>
      <w:r w:rsidR="00A1008D">
        <w:fldChar w:fldCharType="begin"/>
      </w:r>
      <w:r w:rsidR="00A1008D">
        <w:instrText xml:space="preserve"> PAGEREF _Ref452113758 \h </w:instrText>
      </w:r>
      <w:r w:rsidR="00A1008D">
        <w:fldChar w:fldCharType="separate"/>
      </w:r>
      <w:r w:rsidR="003F08E5">
        <w:rPr>
          <w:noProof/>
        </w:rPr>
        <w:t>30</w:t>
      </w:r>
      <w:r w:rsidR="00A1008D">
        <w:fldChar w:fldCharType="end"/>
      </w:r>
      <w:r>
        <w:t>)</w:t>
      </w:r>
      <w:r w:rsidR="00345F89">
        <w:t>.</w:t>
      </w:r>
      <w:r>
        <w:t xml:space="preserve"> </w:t>
      </w:r>
    </w:p>
    <w:p w:rsidR="00A723D4" w:rsidRDefault="00345F89" w:rsidP="00A723D4">
      <w:r>
        <w:t>Přehled výzkumných pracovišť</w:t>
      </w:r>
      <w:r w:rsidR="00543C25">
        <w:t xml:space="preserve"> s vyšším počtem publikací týkajících se bezpečnosti</w:t>
      </w:r>
      <w:r>
        <w:t>, která dosud nebyla zapojena v</w:t>
      </w:r>
      <w:r w:rsidR="00D22AE1">
        <w:t xml:space="preserve"> programech </w:t>
      </w:r>
      <w:r>
        <w:t>BV</w:t>
      </w:r>
      <w:r w:rsidR="00D22AE1">
        <w:t xml:space="preserve"> v gesci MV ani v bezpečnostně zaměřených projektech 7. RP a programu H2020, je uveden v </w:t>
      </w:r>
      <w:r w:rsidR="00A1008D">
        <w:t xml:space="preserve"> </w:t>
      </w:r>
      <w:r w:rsidR="00A1008D">
        <w:fldChar w:fldCharType="begin"/>
      </w:r>
      <w:r w:rsidR="00A1008D">
        <w:instrText xml:space="preserve"> REF  _Ref453522674 \* Lower \h  \* MERGEFORMAT </w:instrText>
      </w:r>
      <w:r w:rsidR="00A1008D">
        <w:fldChar w:fldCharType="separate"/>
      </w:r>
      <w:r w:rsidR="003F08E5">
        <w:t xml:space="preserve">tab. </w:t>
      </w:r>
      <w:r w:rsidR="003F08E5">
        <w:rPr>
          <w:noProof/>
        </w:rPr>
        <w:t>59</w:t>
      </w:r>
      <w:r w:rsidR="00A1008D">
        <w:fldChar w:fldCharType="end"/>
      </w:r>
      <w:r w:rsidR="00A1008D">
        <w:t xml:space="preserve"> a </w:t>
      </w:r>
      <w:r w:rsidR="00A1008D">
        <w:fldChar w:fldCharType="begin"/>
      </w:r>
      <w:r w:rsidR="00A1008D">
        <w:instrText xml:space="preserve"> REF  _Ref453523273 \* Lower \h  \* MERGEFORMAT </w:instrText>
      </w:r>
      <w:r w:rsidR="00A1008D">
        <w:fldChar w:fldCharType="separate"/>
      </w:r>
      <w:r w:rsidR="003F08E5">
        <w:t xml:space="preserve">tab. </w:t>
      </w:r>
      <w:r w:rsidR="003F08E5">
        <w:rPr>
          <w:noProof/>
        </w:rPr>
        <w:t>60</w:t>
      </w:r>
      <w:r w:rsidR="00A1008D">
        <w:fldChar w:fldCharType="end"/>
      </w:r>
      <w:r w:rsidR="00A1008D">
        <w:t>.</w:t>
      </w:r>
    </w:p>
    <w:p w:rsidR="008B1E3F" w:rsidRDefault="00A1008D" w:rsidP="008B1E3F">
      <w:r>
        <w:t xml:space="preserve">Jak je patrné z </w:t>
      </w:r>
      <w:r>
        <w:fldChar w:fldCharType="begin"/>
      </w:r>
      <w:r>
        <w:instrText xml:space="preserve"> REF  _Ref453522674 \* Lower \h  \* MERGEFORMAT </w:instrText>
      </w:r>
      <w:r>
        <w:fldChar w:fldCharType="separate"/>
      </w:r>
      <w:r w:rsidR="003F08E5">
        <w:t xml:space="preserve">tab. </w:t>
      </w:r>
      <w:r w:rsidR="003F08E5">
        <w:rPr>
          <w:noProof/>
        </w:rPr>
        <w:t>59</w:t>
      </w:r>
      <w:r>
        <w:fldChar w:fldCharType="end"/>
      </w:r>
      <w:r>
        <w:t xml:space="preserve">, kde je uveden přehled VŠ, které v letech 2010 až 2015 publikovaly alespoň šest vědeckých prací registrovaných s v databázi WoS týkajících se problematiky bezpečnosti (tj. v průměru jednu ročně), nejvíce se jedná o lékařské fakulty, resp. jejich fakultní nemocnice. Vysoký počet lékařsky zaměřených pracovišť je v souladu s výsledky v </w:t>
      </w:r>
      <w:r>
        <w:fldChar w:fldCharType="begin"/>
      </w:r>
      <w:r>
        <w:instrText xml:space="preserve"> REF  _Ref451870261 \* Lower \h  \* MERGEFORMAT </w:instrText>
      </w:r>
      <w:r>
        <w:fldChar w:fldCharType="separate"/>
      </w:r>
      <w:r w:rsidR="003F08E5" w:rsidRPr="00AB65F5">
        <w:t xml:space="preserve">tab. </w:t>
      </w:r>
      <w:r w:rsidR="003F08E5">
        <w:rPr>
          <w:noProof/>
        </w:rPr>
        <w:t>15</w:t>
      </w:r>
      <w:r>
        <w:fldChar w:fldCharType="end"/>
      </w:r>
      <w:r>
        <w:t xml:space="preserve"> na str. </w:t>
      </w:r>
      <w:r>
        <w:fldChar w:fldCharType="begin"/>
      </w:r>
      <w:r>
        <w:instrText xml:space="preserve"> PAGEREF _Ref452113758 \h </w:instrText>
      </w:r>
      <w:r>
        <w:fldChar w:fldCharType="separate"/>
      </w:r>
      <w:r w:rsidR="003F08E5">
        <w:rPr>
          <w:noProof/>
        </w:rPr>
        <w:t>30</w:t>
      </w:r>
      <w:r>
        <w:fldChar w:fldCharType="end"/>
      </w:r>
      <w:r>
        <w:t>, kde je nejvíce publikací s bezpečnostní tematikou právě v oboru klinická medicína. Z univerzit mají poměrně vysoký počet publikací Ostravská univerzita v Ostravě a Univerzita Hradec Králové.</w:t>
      </w:r>
    </w:p>
    <w:p w:rsidR="008B1E3F" w:rsidRDefault="008B1E3F" w:rsidP="008B1E3F">
      <w:pPr>
        <w:pStyle w:val="Titulek"/>
        <w:keepNext/>
      </w:pPr>
      <w:bookmarkStart w:id="222" w:name="_Ref453522674"/>
      <w:r>
        <w:t xml:space="preserve">Tab. </w:t>
      </w:r>
      <w:r w:rsidR="00990E2D">
        <w:fldChar w:fldCharType="begin"/>
      </w:r>
      <w:r w:rsidR="00990E2D">
        <w:instrText xml:space="preserve"> SEQ Tab. \* ARABIC </w:instrText>
      </w:r>
      <w:r w:rsidR="00990E2D">
        <w:fldChar w:fldCharType="separate"/>
      </w:r>
      <w:r w:rsidR="003F08E5">
        <w:rPr>
          <w:noProof/>
        </w:rPr>
        <w:t>59</w:t>
      </w:r>
      <w:r w:rsidR="00990E2D">
        <w:rPr>
          <w:noProof/>
        </w:rPr>
        <w:fldChar w:fldCharType="end"/>
      </w:r>
      <w:bookmarkEnd w:id="222"/>
      <w:r>
        <w:tab/>
        <w:t>Univerzity a jejich součásti s největším počtem publikací souvisejících s bezpečnostní problematikou. V tabulce jsou uvedeny pouze instituce, které v letech 2010 – 2015 publikovaly alespoň šest vědeckých prací uvedených v databázi WoS a které nebyly zapojeny v programech BV v gesci MV ani v RP. Zdroj: IS VaVaI, WoS, PATSTAT</w:t>
      </w:r>
    </w:p>
    <w:p w:rsidR="008B1E3F" w:rsidRDefault="008B1E3F" w:rsidP="008B1E3F">
      <w:pPr>
        <w:jc w:val="center"/>
      </w:pPr>
      <w:r w:rsidRPr="00CB3894">
        <w:rPr>
          <w:noProof/>
          <w:lang w:eastAsia="cs-CZ"/>
        </w:rPr>
        <w:drawing>
          <wp:inline distT="0" distB="0" distL="0" distR="0" wp14:anchorId="4642C218" wp14:editId="0A1CEAB0">
            <wp:extent cx="5286375" cy="2914650"/>
            <wp:effectExtent l="0" t="0" r="9525" b="0"/>
            <wp:docPr id="60" name="Obrázek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5286375" cy="2914650"/>
                    </a:xfrm>
                    <a:prstGeom prst="rect">
                      <a:avLst/>
                    </a:prstGeom>
                    <a:noFill/>
                    <a:ln>
                      <a:noFill/>
                    </a:ln>
                  </pic:spPr>
                </pic:pic>
              </a:graphicData>
            </a:graphic>
          </wp:inline>
        </w:drawing>
      </w:r>
    </w:p>
    <w:p w:rsidR="008B1E3F" w:rsidRDefault="008B1E3F" w:rsidP="008B1E3F"/>
    <w:p w:rsidR="00A1008D" w:rsidRDefault="00A1008D" w:rsidP="008B1E3F">
      <w:r>
        <w:t xml:space="preserve">Přehled veřejných výzkumných institucí s největším počtem publikací s bezpečnostní tematikou je uveden v </w:t>
      </w:r>
      <w:r>
        <w:fldChar w:fldCharType="begin"/>
      </w:r>
      <w:r>
        <w:instrText xml:space="preserve"> REF  _Ref453523273 \* Lower \h  \* MERGEFORMAT </w:instrText>
      </w:r>
      <w:r>
        <w:fldChar w:fldCharType="separate"/>
      </w:r>
      <w:r w:rsidR="003F08E5">
        <w:t xml:space="preserve">tab. </w:t>
      </w:r>
      <w:r w:rsidR="003F08E5">
        <w:rPr>
          <w:noProof/>
        </w:rPr>
        <w:t>60</w:t>
      </w:r>
      <w:r>
        <w:fldChar w:fldCharType="end"/>
      </w:r>
      <w:r>
        <w:t>. V tabulce jsou téměř výhradně zastoupeny ústavy AV ČR. Nejvíce se jedná o botanicky a biologicky zaměřené ústavy a o ústavy působí v oblasti lékařství (klinická medicína, fyziologie, genetika). Z přírodovědně a technicky zaměřených ústavů jsou v přehledu zastoupeny ústavy z oblasti fyziky (fyzika atmosféry a jaderná fyzika), hydrologie a geologie, a psychologie. Jediným pracovištěm mimo AV ČR je Ústav mezinárodních vztahů, v.v.i.</w:t>
      </w:r>
    </w:p>
    <w:p w:rsidR="008B1E3F" w:rsidRDefault="008B1E3F" w:rsidP="008B1E3F">
      <w:pPr>
        <w:pStyle w:val="Titulek"/>
        <w:keepNext/>
        <w:jc w:val="both"/>
      </w:pPr>
      <w:bookmarkStart w:id="223" w:name="_Ref453523273"/>
      <w:r>
        <w:t xml:space="preserve">Tab. </w:t>
      </w:r>
      <w:r w:rsidR="00990E2D">
        <w:fldChar w:fldCharType="begin"/>
      </w:r>
      <w:r w:rsidR="00990E2D">
        <w:instrText xml:space="preserve"> SEQ Tab. \* ARABIC </w:instrText>
      </w:r>
      <w:r w:rsidR="00990E2D">
        <w:fldChar w:fldCharType="separate"/>
      </w:r>
      <w:r w:rsidR="003F08E5">
        <w:rPr>
          <w:noProof/>
        </w:rPr>
        <w:t>60</w:t>
      </w:r>
      <w:r w:rsidR="00990E2D">
        <w:rPr>
          <w:noProof/>
        </w:rPr>
        <w:fldChar w:fldCharType="end"/>
      </w:r>
      <w:bookmarkEnd w:id="223"/>
      <w:r>
        <w:tab/>
        <w:t xml:space="preserve">Výzkumné instituce </w:t>
      </w:r>
      <w:r w:rsidRPr="006F2976">
        <w:t>s nejvyšším počtem publikací týkajících se problematiky bezpečnosti v databázi WoS a podíl těchto publikací s alespoň jedním zahraničním spoluautorem. V tabulce jsou uvedeny pouze instituce, které nebyly zapojeny v programech BV v gesci MV a které v období 2010 – 2015 mají v databázi WoS uvedeno alespoň šest publikací (tj. v průměru jednu ročně). Zdroj: WoS</w:t>
      </w:r>
    </w:p>
    <w:p w:rsidR="008B1E3F" w:rsidRDefault="008B1E3F" w:rsidP="008B1E3F">
      <w:pPr>
        <w:jc w:val="center"/>
      </w:pPr>
      <w:r w:rsidRPr="00CB3894">
        <w:rPr>
          <w:noProof/>
          <w:lang w:eastAsia="cs-CZ"/>
        </w:rPr>
        <w:drawing>
          <wp:inline distT="0" distB="0" distL="0" distR="0" wp14:anchorId="12641EDB" wp14:editId="260084E3">
            <wp:extent cx="5534025" cy="4410075"/>
            <wp:effectExtent l="0" t="0" r="9525" b="9525"/>
            <wp:docPr id="61" name="Obrázek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5534025" cy="4410075"/>
                    </a:xfrm>
                    <a:prstGeom prst="rect">
                      <a:avLst/>
                    </a:prstGeom>
                    <a:noFill/>
                    <a:ln>
                      <a:noFill/>
                    </a:ln>
                  </pic:spPr>
                </pic:pic>
              </a:graphicData>
            </a:graphic>
          </wp:inline>
        </w:drawing>
      </w:r>
    </w:p>
    <w:p w:rsidR="008B1E3F" w:rsidRDefault="008B1E3F" w:rsidP="00A723D4"/>
    <w:p w:rsidR="00862715" w:rsidRDefault="00862715" w:rsidP="00862715">
      <w:pPr>
        <w:pStyle w:val="Nadpis3"/>
      </w:pPr>
      <w:bookmarkStart w:id="224" w:name="_Toc459723326"/>
      <w:r w:rsidRPr="00862715">
        <w:t>Subjekty s</w:t>
      </w:r>
      <w:r>
        <w:t> aplikačně zaměřený</w:t>
      </w:r>
      <w:r w:rsidRPr="00862715">
        <w:t xml:space="preserve">mi výstupy </w:t>
      </w:r>
      <w:r>
        <w:t>s uplatněním v b</w:t>
      </w:r>
      <w:r w:rsidRPr="00862715">
        <w:t>ezpečnosti</w:t>
      </w:r>
      <w:bookmarkEnd w:id="224"/>
    </w:p>
    <w:tbl>
      <w:tblPr>
        <w:tblStyle w:val="Mkatabulky7"/>
        <w:tblW w:w="0" w:type="auto"/>
        <w:tblLook w:val="04A0" w:firstRow="1" w:lastRow="0" w:firstColumn="1" w:lastColumn="0" w:noHBand="0" w:noVBand="1"/>
      </w:tblPr>
      <w:tblGrid>
        <w:gridCol w:w="9288"/>
      </w:tblGrid>
      <w:tr w:rsidR="00862715" w:rsidRPr="00C65664" w:rsidTr="00C64093">
        <w:tc>
          <w:tcPr>
            <w:tcW w:w="9288" w:type="dxa"/>
            <w:shd w:val="clear" w:color="auto" w:fill="F2F2F2" w:themeFill="background1" w:themeFillShade="F2"/>
          </w:tcPr>
          <w:p w:rsidR="00862715" w:rsidRPr="00C65664" w:rsidRDefault="008E6EB3" w:rsidP="005041F8">
            <w:r>
              <w:t xml:space="preserve">V ČR také existují subjekty, které nejsou zapojeny v programech BV, </w:t>
            </w:r>
            <w:r w:rsidR="005041F8">
              <w:t xml:space="preserve">ale jsou přihlašovateli </w:t>
            </w:r>
            <w:r>
              <w:t>patent</w:t>
            </w:r>
            <w:r w:rsidR="005041F8">
              <w:t>ů nebo</w:t>
            </w:r>
            <w:r>
              <w:t> užitný</w:t>
            </w:r>
            <w:r w:rsidR="005041F8">
              <w:t>ch</w:t>
            </w:r>
            <w:r>
              <w:t xml:space="preserve"> a průmyslový</w:t>
            </w:r>
            <w:r w:rsidR="005041F8">
              <w:t>ch</w:t>
            </w:r>
            <w:r>
              <w:t xml:space="preserve"> vzorů, které mají uplatnění v oblast</w:t>
            </w:r>
            <w:r w:rsidR="005041F8">
              <w:t>i</w:t>
            </w:r>
            <w:r>
              <w:t xml:space="preserve"> bezpečnosti. Potenciál těchto subjektů </w:t>
            </w:r>
            <w:r w:rsidR="005041F8">
              <w:t xml:space="preserve">pro BV </w:t>
            </w:r>
            <w:r>
              <w:t>je zejména v realizaci VaV, kde vznikají poznatky blízké uplatnění a při využívání nových poznatků VaV v konkrétních aplikacích.</w:t>
            </w:r>
          </w:p>
        </w:tc>
      </w:tr>
    </w:tbl>
    <w:p w:rsidR="00862715" w:rsidRDefault="002059F9" w:rsidP="00A723D4">
      <w:r>
        <w:t>Subjekty s výsledky aplikačního charakteru byly vyhledány v databázi přihlášek Evropského patentového úřadu PATSTAT s využitím stejných klíčových slov jako v případě analýzy publikací ve Wo</w:t>
      </w:r>
      <w:r w:rsidR="008E6EB3">
        <w:t>S</w:t>
      </w:r>
      <w:r>
        <w:t xml:space="preserve">. Přehled subjektů, které podaly v letech 2010 – 2015 nejvyšší počet přihlášek chránících výsledky mající uplatnění v oblasti bezpečnosti, je uveden v </w:t>
      </w:r>
      <w:r>
        <w:fldChar w:fldCharType="begin"/>
      </w:r>
      <w:r>
        <w:instrText xml:space="preserve"> REF  _Ref453524569 \* Lower \h  \* MERGEFORMAT </w:instrText>
      </w:r>
      <w:r>
        <w:fldChar w:fldCharType="separate"/>
      </w:r>
      <w:r w:rsidR="003F08E5">
        <w:t xml:space="preserve">tab. </w:t>
      </w:r>
      <w:r w:rsidR="003F08E5">
        <w:rPr>
          <w:noProof/>
        </w:rPr>
        <w:t>61</w:t>
      </w:r>
      <w:r>
        <w:fldChar w:fldCharType="end"/>
      </w:r>
      <w:r>
        <w:t>.</w:t>
      </w:r>
    </w:p>
    <w:p w:rsidR="002059F9" w:rsidRDefault="002059F9" w:rsidP="002059F9">
      <w:r>
        <w:t xml:space="preserve">Nejčastějšími přihlašovateli jsou podniky působící ve zbrojařském průmyslu (zejména Česká zbrojovka a.s., Sellier &amp; Bellot a.s., Antreg a.s., </w:t>
      </w:r>
      <w:r w:rsidRPr="002059F9">
        <w:t>PROARMS ARMORY s.r.o.</w:t>
      </w:r>
      <w:r>
        <w:t>) a výbušnin (</w:t>
      </w:r>
      <w:r w:rsidRPr="002059F9">
        <w:t>Explosia a.s.</w:t>
      </w:r>
      <w:r>
        <w:t xml:space="preserve">). V přehledu jsou i VŠ a VVI, které byly častými účastníky programů BV v gesci MV - České vysoké učení technické v Praze, Vysoké učení technické v Brně, Česká zemědělská univerzita v Praze a </w:t>
      </w:r>
      <w:r w:rsidRPr="002059F9">
        <w:t>Vysoká škola báňská - Technická univerzita Ostrava</w:t>
      </w:r>
      <w:r>
        <w:t>, Státní ústav jaderné, chemické a biologické ochrany, v.v.i. a instituce spadající pod Ministerstvo obrany (Univerzita obrany). Výše uvedené subjekty mají kromě potenciálu pro BV i potenciál pro realizaci výsledků VaV.</w:t>
      </w:r>
    </w:p>
    <w:p w:rsidR="00564A12" w:rsidRDefault="00564A12" w:rsidP="00564A12">
      <w:pPr>
        <w:pStyle w:val="Titulek"/>
        <w:keepNext/>
      </w:pPr>
      <w:bookmarkStart w:id="225" w:name="_Ref453524569"/>
      <w:r>
        <w:t xml:space="preserve">Tab. </w:t>
      </w:r>
      <w:r w:rsidR="00990E2D">
        <w:fldChar w:fldCharType="begin"/>
      </w:r>
      <w:r w:rsidR="00990E2D">
        <w:instrText xml:space="preserve"> SEQ Tab. \* ARABIC </w:instrText>
      </w:r>
      <w:r w:rsidR="00990E2D">
        <w:fldChar w:fldCharType="separate"/>
      </w:r>
      <w:r w:rsidR="003F08E5">
        <w:rPr>
          <w:noProof/>
        </w:rPr>
        <w:t>61</w:t>
      </w:r>
      <w:r w:rsidR="00990E2D">
        <w:rPr>
          <w:noProof/>
        </w:rPr>
        <w:fldChar w:fldCharType="end"/>
      </w:r>
      <w:bookmarkEnd w:id="225"/>
      <w:r>
        <w:tab/>
        <w:t>Subjekty s největším počtem přihlášek v databázi EPO PATSTAT. V tabulce je uveden počet přihlášek k libovolnému tytu duševního vlastnictví a počet přihlášek patentů. Pro porovnání je také uveden počet výsledků vytvořených v programech BV uvedených v RIV.</w:t>
      </w:r>
    </w:p>
    <w:p w:rsidR="00564A12" w:rsidRDefault="00564A12" w:rsidP="00564A12">
      <w:pPr>
        <w:jc w:val="center"/>
      </w:pPr>
      <w:r w:rsidRPr="00564A12">
        <w:rPr>
          <w:noProof/>
          <w:lang w:eastAsia="cs-CZ"/>
        </w:rPr>
        <w:drawing>
          <wp:inline distT="0" distB="0" distL="0" distR="0" wp14:anchorId="7CF6BD52" wp14:editId="20C9F039">
            <wp:extent cx="4636800" cy="5446800"/>
            <wp:effectExtent l="0" t="0" r="0" b="1905"/>
            <wp:docPr id="64" name="Obrázek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4636800" cy="5446800"/>
                    </a:xfrm>
                    <a:prstGeom prst="rect">
                      <a:avLst/>
                    </a:prstGeom>
                    <a:noFill/>
                    <a:ln>
                      <a:noFill/>
                    </a:ln>
                  </pic:spPr>
                </pic:pic>
              </a:graphicData>
            </a:graphic>
          </wp:inline>
        </w:drawing>
      </w:r>
    </w:p>
    <w:p w:rsidR="00F36975" w:rsidRDefault="00F36975" w:rsidP="00A723D4"/>
    <w:p w:rsidR="001D34AE" w:rsidRDefault="001D34AE" w:rsidP="00A723D4"/>
    <w:p w:rsidR="008B44BB" w:rsidRDefault="008B44BB" w:rsidP="006F2976">
      <w:pPr>
        <w:pStyle w:val="Nadpis3"/>
      </w:pPr>
      <w:bookmarkStart w:id="226" w:name="_Toc459723327"/>
      <w:r>
        <w:t>Subjekty zapojené do bezpečnostně zaměřených projektů v programech jiných poskytovatelů</w:t>
      </w:r>
      <w:bookmarkEnd w:id="226"/>
    </w:p>
    <w:tbl>
      <w:tblPr>
        <w:tblW w:w="0" w:type="auto"/>
        <w:tblLook w:val="04A0" w:firstRow="1" w:lastRow="0" w:firstColumn="1" w:lastColumn="0" w:noHBand="0" w:noVBand="1"/>
      </w:tblPr>
      <w:tblGrid>
        <w:gridCol w:w="9430"/>
      </w:tblGrid>
      <w:tr w:rsidR="008E6EB3" w:rsidTr="005D7857">
        <w:tc>
          <w:tcPr>
            <w:tcW w:w="9430"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8A674B" w:rsidRDefault="008A674B" w:rsidP="008A674B">
            <w:r>
              <w:t xml:space="preserve">Z analýzy také vyplynulo, že v ČR existuje celá řada institucí, které se sice nezapojují do programů BV v gesci MV, avšak účastní se projektů řešících problematiku bezpečnosti v programech jiných poskytovatelů účelové podpory. </w:t>
            </w:r>
            <w:r w:rsidR="001A69C8">
              <w:t xml:space="preserve">Vzhledem k tomu, že celková výše veřejné podpory pro tyto projekty </w:t>
            </w:r>
            <w:r w:rsidR="008E493F">
              <w:t xml:space="preserve">přesáhla </w:t>
            </w:r>
            <w:r w:rsidR="008E493F" w:rsidRPr="008B6E4A">
              <w:t>2</w:t>
            </w:r>
            <w:r w:rsidR="008E493F">
              <w:t>,</w:t>
            </w:r>
            <w:r w:rsidR="008E493F" w:rsidRPr="008B6E4A">
              <w:t>3 mld. Kč</w:t>
            </w:r>
            <w:r w:rsidR="008E493F">
              <w:t>, p</w:t>
            </w:r>
            <w:r>
              <w:t xml:space="preserve">otenciál těchto pracovišť pro </w:t>
            </w:r>
            <w:r w:rsidR="008E493F">
              <w:t xml:space="preserve">zapojení do programů </w:t>
            </w:r>
            <w:r>
              <w:t xml:space="preserve">BV </w:t>
            </w:r>
            <w:r w:rsidR="008E493F">
              <w:t>je vysoký</w:t>
            </w:r>
            <w:r>
              <w:t xml:space="preserve">. </w:t>
            </w:r>
          </w:p>
          <w:p w:rsidR="008A674B" w:rsidRDefault="008A674B" w:rsidP="008A674B">
            <w:r>
              <w:t xml:space="preserve">Nejvyšší „skrytý“ potenciál pro BV mají VŠ. Mezi VŠ s vysokým potenciálem patří </w:t>
            </w:r>
            <w:r w:rsidRPr="008A674B">
              <w:t>Západočeská univerzita v Plzni a Mendelova univerzita v</w:t>
            </w:r>
            <w:r>
              <w:t> </w:t>
            </w:r>
            <w:r w:rsidRPr="008A674B">
              <w:t>Brně</w:t>
            </w:r>
            <w:r>
              <w:t xml:space="preserve">. Z výzkumných ústavů </w:t>
            </w:r>
            <w:r w:rsidRPr="008A674B">
              <w:t>byl do těchto projektů zapojen Vojenský výzkumný ústav, Výzkumný ústav rostlinné výroby</w:t>
            </w:r>
            <w:r>
              <w:t xml:space="preserve"> a Výzkumný ústav bezpečnosti práce. Potenciál pro BV by měl být i v řadě ústavů AV ČR, jako je zejména Ústav chemických procesů AV ČR, Ústav termomechaniky AV ČR, Biologické centrum AV ČR a Mikrobiologický ústav AV ČR.</w:t>
            </w:r>
          </w:p>
          <w:p w:rsidR="008A674B" w:rsidRDefault="008A674B" w:rsidP="007478A7">
            <w:r>
              <w:t>Také</w:t>
            </w:r>
            <w:r w:rsidR="007478A7">
              <w:t xml:space="preserve"> v</w:t>
            </w:r>
            <w:r>
              <w:t xml:space="preserve"> podnikatelském sektoru existují subjekty s potenciálem pro zapojení do BV</w:t>
            </w:r>
            <w:r w:rsidR="007478A7">
              <w:t xml:space="preserve">. Nevíce se do </w:t>
            </w:r>
            <w:r>
              <w:t>bezpečnostně zaměřených projektů zapojovaly VOP CZ, Explosia a Vojenský technický ústav</w:t>
            </w:r>
            <w:r w:rsidR="007478A7">
              <w:t>.</w:t>
            </w:r>
          </w:p>
        </w:tc>
      </w:tr>
    </w:tbl>
    <w:p w:rsidR="008B44BB" w:rsidRDefault="002059F9" w:rsidP="00A723D4">
      <w:r>
        <w:t>Z analýzy provedené v předcházejících částech studie také vyplynulo, že existuje také značný počet subjektů, které sice nebyly zapojeny v programech BV v gesci MV, ale byly zapojeny v projektech, které se problematiky bezpečnosti dotýkaly</w:t>
      </w:r>
      <w:r w:rsidR="00EE2CAB">
        <w:t>, a tedy mají i potenciál se do programů BV v budoucnosti zapojit</w:t>
      </w:r>
      <w:r>
        <w:t xml:space="preserve">. Přehled těchto subjektů je uveden společně s jejich zapojením do mezinárodních bezpečnostně zaměřených projektů a výsledků VaV uveden </w:t>
      </w:r>
      <w:r>
        <w:fldChar w:fldCharType="begin"/>
      </w:r>
      <w:r>
        <w:instrText xml:space="preserve"> REF  _Ref453525863 \* Lower \h  \* MERGEFORMAT </w:instrText>
      </w:r>
      <w:r>
        <w:fldChar w:fldCharType="separate"/>
      </w:r>
      <w:r w:rsidR="003F08E5">
        <w:t xml:space="preserve">tab. </w:t>
      </w:r>
      <w:r w:rsidR="003F08E5">
        <w:rPr>
          <w:noProof/>
        </w:rPr>
        <w:t>62</w:t>
      </w:r>
      <w:r>
        <w:fldChar w:fldCharType="end"/>
      </w:r>
      <w:r>
        <w:t xml:space="preserve">, </w:t>
      </w:r>
      <w:r>
        <w:fldChar w:fldCharType="begin"/>
      </w:r>
      <w:r>
        <w:instrText xml:space="preserve"> REF  _Ref453525865 \* Lower \h  \* MERGEFORMAT </w:instrText>
      </w:r>
      <w:r>
        <w:fldChar w:fldCharType="separate"/>
      </w:r>
      <w:r w:rsidR="003F08E5">
        <w:t xml:space="preserve">tab. </w:t>
      </w:r>
      <w:r w:rsidR="003F08E5">
        <w:rPr>
          <w:noProof/>
        </w:rPr>
        <w:t>63</w:t>
      </w:r>
      <w:r>
        <w:fldChar w:fldCharType="end"/>
      </w:r>
      <w:r>
        <w:t xml:space="preserve"> a </w:t>
      </w:r>
      <w:r>
        <w:fldChar w:fldCharType="begin"/>
      </w:r>
      <w:r>
        <w:instrText xml:space="preserve"> REF  _Ref453525868 \* Lower \h  \* MERGEFORMAT </w:instrText>
      </w:r>
      <w:r>
        <w:fldChar w:fldCharType="separate"/>
      </w:r>
      <w:r w:rsidR="003F08E5">
        <w:t xml:space="preserve">tab. </w:t>
      </w:r>
      <w:r w:rsidR="003F08E5">
        <w:rPr>
          <w:noProof/>
        </w:rPr>
        <w:t>64</w:t>
      </w:r>
      <w:r>
        <w:fldChar w:fldCharType="end"/>
      </w:r>
      <w:r>
        <w:t>.</w:t>
      </w:r>
      <w:r w:rsidR="00EE2CAB">
        <w:t xml:space="preserve"> </w:t>
      </w:r>
    </w:p>
    <w:p w:rsidR="008B44BB" w:rsidRDefault="00EE2CAB" w:rsidP="00EE2CAB">
      <w:r>
        <w:t xml:space="preserve">Z VŠ mají největší potenciál pro zapojení se do programů BV Západočeská univerzita v Plzni a Mendelova univerzita v Brně (viz </w:t>
      </w:r>
      <w:r>
        <w:fldChar w:fldCharType="begin"/>
      </w:r>
      <w:r>
        <w:instrText xml:space="preserve"> REF  _Ref453525863 \* Lower \h  \* MERGEFORMAT </w:instrText>
      </w:r>
      <w:r>
        <w:fldChar w:fldCharType="separate"/>
      </w:r>
      <w:r w:rsidR="003F08E5">
        <w:t xml:space="preserve">tab. </w:t>
      </w:r>
      <w:r w:rsidR="003F08E5">
        <w:rPr>
          <w:noProof/>
        </w:rPr>
        <w:t>62</w:t>
      </w:r>
      <w:r>
        <w:fldChar w:fldCharType="end"/>
      </w:r>
      <w:r>
        <w:t>). Tyto univerzity byly zapojeny nejen v bezpečnostně zaměřených projektech podpořených v národních programech jiných poskytovatelů veřejné podpory VaV, ale i projektech v programech na podporu mezinárodní spolupráce ve VaV. O jejich značném potenciálu pro zapojení do programů BV svědčí i to, že obě VŠ i vysoký počet publikačních výstupů s bezpečnostní tematikou uvedených v databázi WoS.</w:t>
      </w:r>
    </w:p>
    <w:p w:rsidR="008B44BB" w:rsidRDefault="008B44BB" w:rsidP="008B44BB">
      <w:pPr>
        <w:pStyle w:val="Titulek"/>
        <w:keepNext/>
        <w:jc w:val="both"/>
      </w:pPr>
      <w:bookmarkStart w:id="227" w:name="_Ref453525863"/>
      <w:r>
        <w:t xml:space="preserve">Tab. </w:t>
      </w:r>
      <w:r w:rsidR="00990E2D">
        <w:fldChar w:fldCharType="begin"/>
      </w:r>
      <w:r w:rsidR="00990E2D">
        <w:instrText xml:space="preserve"> SEQ Tab. \* ARABIC </w:instrText>
      </w:r>
      <w:r w:rsidR="00990E2D">
        <w:fldChar w:fldCharType="separate"/>
      </w:r>
      <w:r w:rsidR="003F08E5">
        <w:rPr>
          <w:noProof/>
        </w:rPr>
        <w:t>62</w:t>
      </w:r>
      <w:r w:rsidR="00990E2D">
        <w:rPr>
          <w:noProof/>
        </w:rPr>
        <w:fldChar w:fldCharType="end"/>
      </w:r>
      <w:bookmarkEnd w:id="227"/>
      <w:r>
        <w:tab/>
        <w:t xml:space="preserve">VŠ, které se nejvíce zapojují do bezpečnostně zaměřených projektů v programech implementovaných jinými poskytovatel. V tabulce jsou uvedeny pouze </w:t>
      </w:r>
      <w:r w:rsidR="00A51CBB">
        <w:t>instituce,</w:t>
      </w:r>
      <w:r>
        <w:t xml:space="preserve"> které byly zapojeny alespoň do třech takto zaměřených projektů</w:t>
      </w:r>
      <w:r w:rsidR="00A51CBB">
        <w:t xml:space="preserve"> a zároveň se v programech BV v gesci MV podílely na řešení nejvíce jednoho projektu</w:t>
      </w:r>
      <w:r>
        <w:t>.</w:t>
      </w:r>
      <w:r w:rsidR="003571D9">
        <w:t xml:space="preserve"> Zdroj: WoS, IS VaVaI</w:t>
      </w:r>
    </w:p>
    <w:p w:rsidR="008B1E3F" w:rsidRPr="008B1E3F" w:rsidRDefault="008B1E3F" w:rsidP="008B1E3F">
      <w:pPr>
        <w:jc w:val="center"/>
      </w:pPr>
      <w:r w:rsidRPr="008B1E3F">
        <w:rPr>
          <w:noProof/>
          <w:lang w:eastAsia="cs-CZ"/>
        </w:rPr>
        <w:drawing>
          <wp:inline distT="0" distB="0" distL="0" distR="0" wp14:anchorId="7E1170E0" wp14:editId="7E244E16">
            <wp:extent cx="5781675" cy="2333625"/>
            <wp:effectExtent l="0" t="0" r="9525" b="9525"/>
            <wp:docPr id="68" name="Obrázek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5781675" cy="2333625"/>
                    </a:xfrm>
                    <a:prstGeom prst="rect">
                      <a:avLst/>
                    </a:prstGeom>
                    <a:noFill/>
                    <a:ln>
                      <a:noFill/>
                    </a:ln>
                  </pic:spPr>
                </pic:pic>
              </a:graphicData>
            </a:graphic>
          </wp:inline>
        </w:drawing>
      </w:r>
    </w:p>
    <w:p w:rsidR="008B44BB" w:rsidRDefault="008B44BB" w:rsidP="00A723D4"/>
    <w:p w:rsidR="00EE2CAB" w:rsidRDefault="00EE2CAB" w:rsidP="00EE2CAB">
      <w:r>
        <w:t>Přehled výzkumných ústavů, které byly nejčastějšími účastníky projektů řešících bezpečnostní problematiku v projektech podpořených jinými poskytovateli veřejn</w:t>
      </w:r>
      <w:r w:rsidR="00C772A6">
        <w:t>é</w:t>
      </w:r>
      <w:r>
        <w:t xml:space="preserve"> podpory VaV, je uveden v </w:t>
      </w:r>
      <w:r>
        <w:fldChar w:fldCharType="begin"/>
      </w:r>
      <w:r>
        <w:instrText xml:space="preserve"> REF  _Ref453525865 \* Lower \h  \* MERGEFORMAT </w:instrText>
      </w:r>
      <w:r>
        <w:fldChar w:fldCharType="separate"/>
      </w:r>
      <w:r w:rsidR="003F08E5">
        <w:t xml:space="preserve">tab. </w:t>
      </w:r>
      <w:r w:rsidR="003F08E5">
        <w:rPr>
          <w:noProof/>
        </w:rPr>
        <w:t>63</w:t>
      </w:r>
      <w:r>
        <w:fldChar w:fldCharType="end"/>
      </w:r>
      <w:r>
        <w:t xml:space="preserve">. Nejvíce byl do těchto projektů zapojen </w:t>
      </w:r>
      <w:r w:rsidRPr="00EE2CAB">
        <w:t>Vojenský výzkumný ústav, s.p.</w:t>
      </w:r>
      <w:r>
        <w:t xml:space="preserve"> Mezi další ústavy, které mají potenciál pro zapojení se do programů BV v budoucnosti, patří také Výzkumný ústav rostlinné výroby, v.v.i., Ústav chemických procesů AV ČR, v.v.i., Výzkumný ústav bezpečnosti práce, v.v.i., Ústav termomechaniky AV ČR, v. v. i., Ústav mezinárodních vztahů, v.v.i., Biologické</w:t>
      </w:r>
      <w:r w:rsidR="008A674B">
        <w:t xml:space="preserve"> centrum AV ČR, v.v</w:t>
      </w:r>
      <w:r w:rsidR="00C772A6">
        <w:t>.</w:t>
      </w:r>
      <w:r w:rsidR="008A674B">
        <w:t>i. a</w:t>
      </w:r>
      <w:r>
        <w:t xml:space="preserve"> Mikrobiologický ústav AV ČR, v.v.i.</w:t>
      </w:r>
      <w:r w:rsidR="00954CFE">
        <w:t xml:space="preserve"> Vysoký potenciál pro zapojení do programů BV mohou mít i </w:t>
      </w:r>
      <w:r w:rsidR="004B4FEF" w:rsidRPr="004B4FEF">
        <w:t>Centrum výzkumu globální změny AV ČR, v.v.i.</w:t>
      </w:r>
      <w:r w:rsidR="008A674B">
        <w:t xml:space="preserve"> a</w:t>
      </w:r>
      <w:r w:rsidR="004B4FEF">
        <w:t xml:space="preserve"> </w:t>
      </w:r>
      <w:r w:rsidR="004B4FEF" w:rsidRPr="004B4FEF">
        <w:t>Fyzikální ústav AV ČR, v.v.i.</w:t>
      </w:r>
      <w:r w:rsidR="00954CFE">
        <w:t>, které sice nebyly zapojeny ve velkém počtu projektů, ale mají zároveň vysoký počet publikací s bezpečnostní tematikou.</w:t>
      </w:r>
    </w:p>
    <w:p w:rsidR="00920477" w:rsidRDefault="00C772A6" w:rsidP="00920477">
      <w:r>
        <w:t>Také v</w:t>
      </w:r>
      <w:r w:rsidR="00920477">
        <w:t xml:space="preserve"> podnikatelském sektoru existuje značný počet subjektů, které byly v období 2010 – 2015 zapojeny do bezpečnostně zaměřených projektů podpořených jinými poskytovateli veřejné podpory VaV a které tedy mají i potenciál se zapojit do programů MV v budoucnosti. Z podniků se nejvíce zapojovaly VOP CZ, s.p., Explosia a.s. a Vojenský technický ústav, s.p., které byly zapojeny v deseti a více projektech (viz </w:t>
      </w:r>
      <w:r w:rsidR="00920477">
        <w:fldChar w:fldCharType="begin"/>
      </w:r>
      <w:r w:rsidR="00920477">
        <w:instrText xml:space="preserve"> REF  _Ref453525868 \* Lower \h  \* MERGEFORMAT </w:instrText>
      </w:r>
      <w:r w:rsidR="00920477">
        <w:fldChar w:fldCharType="separate"/>
      </w:r>
      <w:r w:rsidR="003F08E5">
        <w:t xml:space="preserve">tab. </w:t>
      </w:r>
      <w:r w:rsidR="003F08E5">
        <w:rPr>
          <w:noProof/>
        </w:rPr>
        <w:t>64</w:t>
      </w:r>
      <w:r w:rsidR="00920477">
        <w:fldChar w:fldCharType="end"/>
      </w:r>
      <w:r w:rsidR="00920477">
        <w:t>). Z oborového hlediska v přehledu převažují podniky z oblasti vojenství, zbrojařského průmyslu a výbušnin.</w:t>
      </w:r>
    </w:p>
    <w:p w:rsidR="00920477" w:rsidRDefault="00920477" w:rsidP="00EE2CAB"/>
    <w:p w:rsidR="0055796D" w:rsidRDefault="0055796D" w:rsidP="00920477">
      <w:pPr>
        <w:pStyle w:val="Titulek"/>
        <w:keepNext/>
        <w:jc w:val="both"/>
      </w:pPr>
      <w:bookmarkStart w:id="228" w:name="_Ref453525865"/>
      <w:r>
        <w:t xml:space="preserve">Tab. </w:t>
      </w:r>
      <w:r w:rsidR="00990E2D">
        <w:fldChar w:fldCharType="begin"/>
      </w:r>
      <w:r w:rsidR="00990E2D">
        <w:instrText xml:space="preserve"> SEQ Tab. \* ARABIC </w:instrText>
      </w:r>
      <w:r w:rsidR="00990E2D">
        <w:fldChar w:fldCharType="separate"/>
      </w:r>
      <w:r w:rsidR="003F08E5">
        <w:rPr>
          <w:noProof/>
        </w:rPr>
        <w:t>63</w:t>
      </w:r>
      <w:r w:rsidR="00990E2D">
        <w:rPr>
          <w:noProof/>
        </w:rPr>
        <w:fldChar w:fldCharType="end"/>
      </w:r>
      <w:bookmarkEnd w:id="228"/>
      <w:r>
        <w:tab/>
      </w:r>
      <w:r w:rsidRPr="0055796D">
        <w:t>V</w:t>
      </w:r>
      <w:r>
        <w:t>ýzkumné ústavy</w:t>
      </w:r>
      <w:r w:rsidRPr="0055796D">
        <w:t xml:space="preserve">, které se nejvíce zapojují do bezpečnostně zaměřených projektů v programech implementovaných jinými poskytovatel. </w:t>
      </w:r>
      <w:r w:rsidR="00A51CBB">
        <w:t>V tabulce jsou uvedeny pouze instituce, které byly zapojeny alespoň do třech takto zaměřených projektů a zároveň se v programech BV v gesci MV podílely na řešení nejvíce jednoho projektu.</w:t>
      </w:r>
      <w:r w:rsidR="003571D9">
        <w:t xml:space="preserve"> Zdroj: WoS, IS VaVaI</w:t>
      </w:r>
    </w:p>
    <w:p w:rsidR="008B44BB" w:rsidRDefault="008773BC" w:rsidP="00A723D4">
      <w:r w:rsidRPr="008773BC">
        <w:rPr>
          <w:noProof/>
          <w:lang w:eastAsia="cs-CZ"/>
        </w:rPr>
        <w:drawing>
          <wp:inline distT="0" distB="0" distL="0" distR="0" wp14:anchorId="51D4A6FD" wp14:editId="661721A2">
            <wp:extent cx="5850890" cy="3985644"/>
            <wp:effectExtent l="0" t="0" r="0" b="0"/>
            <wp:docPr id="46" name="Obrázek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5850890" cy="3985644"/>
                    </a:xfrm>
                    <a:prstGeom prst="rect">
                      <a:avLst/>
                    </a:prstGeom>
                    <a:noFill/>
                    <a:ln>
                      <a:noFill/>
                    </a:ln>
                  </pic:spPr>
                </pic:pic>
              </a:graphicData>
            </a:graphic>
          </wp:inline>
        </w:drawing>
      </w:r>
    </w:p>
    <w:p w:rsidR="008B44BB" w:rsidRDefault="008B44BB" w:rsidP="00A723D4"/>
    <w:p w:rsidR="0055796D" w:rsidRDefault="0055796D" w:rsidP="00A723D4"/>
    <w:p w:rsidR="0055796D" w:rsidRDefault="0055796D" w:rsidP="0055796D">
      <w:pPr>
        <w:pStyle w:val="Titulek"/>
        <w:keepNext/>
        <w:jc w:val="both"/>
      </w:pPr>
      <w:bookmarkStart w:id="229" w:name="_Ref453525868"/>
      <w:r>
        <w:t xml:space="preserve">Tab. </w:t>
      </w:r>
      <w:r w:rsidR="00990E2D">
        <w:fldChar w:fldCharType="begin"/>
      </w:r>
      <w:r w:rsidR="00990E2D">
        <w:instrText xml:space="preserve"> SEQ Tab. \* ARABIC </w:instrText>
      </w:r>
      <w:r w:rsidR="00990E2D">
        <w:fldChar w:fldCharType="separate"/>
      </w:r>
      <w:r w:rsidR="003F08E5">
        <w:rPr>
          <w:noProof/>
        </w:rPr>
        <w:t>64</w:t>
      </w:r>
      <w:r w:rsidR="00990E2D">
        <w:rPr>
          <w:noProof/>
        </w:rPr>
        <w:fldChar w:fldCharType="end"/>
      </w:r>
      <w:bookmarkEnd w:id="229"/>
      <w:r>
        <w:tab/>
        <w:t>Podniky a další instituce</w:t>
      </w:r>
      <w:r w:rsidRPr="0055796D">
        <w:t xml:space="preserve">, </w:t>
      </w:r>
      <w:r w:rsidR="003571D9" w:rsidRPr="003571D9">
        <w:t xml:space="preserve">které se nejvíce zapojují do bezpečnostně zaměřených projektů v programech implementovaných jinými poskytovatel. V tabulce jsou uvedeny pouze instituce, které byly zapojeny alespoň do </w:t>
      </w:r>
      <w:r w:rsidR="003571D9">
        <w:t>čtyř</w:t>
      </w:r>
      <w:r w:rsidR="003571D9" w:rsidRPr="003571D9">
        <w:t xml:space="preserve"> takto zaměřených projektů a zároveň se v programech BV v gesci MV podílely na řešení nejvíce jednoho projektu. Zdroj: WoS, IS VaVaI, PATSTAT</w:t>
      </w:r>
      <w:r>
        <w:t>.</w:t>
      </w:r>
    </w:p>
    <w:p w:rsidR="008B1E3F" w:rsidRPr="008B1E3F" w:rsidRDefault="008B1E3F" w:rsidP="008B1E3F">
      <w:r w:rsidRPr="008B1E3F">
        <w:rPr>
          <w:noProof/>
          <w:lang w:eastAsia="cs-CZ"/>
        </w:rPr>
        <w:drawing>
          <wp:inline distT="0" distB="0" distL="0" distR="0" wp14:anchorId="20722902" wp14:editId="569BED72">
            <wp:extent cx="5850890" cy="4664398"/>
            <wp:effectExtent l="0" t="0" r="0" b="3175"/>
            <wp:docPr id="63" name="Obrázek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5850890" cy="4664398"/>
                    </a:xfrm>
                    <a:prstGeom prst="rect">
                      <a:avLst/>
                    </a:prstGeom>
                    <a:noFill/>
                    <a:ln>
                      <a:noFill/>
                    </a:ln>
                  </pic:spPr>
                </pic:pic>
              </a:graphicData>
            </a:graphic>
          </wp:inline>
        </w:drawing>
      </w:r>
    </w:p>
    <w:p w:rsidR="001D34AE" w:rsidRDefault="001D34AE" w:rsidP="001D34AE">
      <w:pPr>
        <w:spacing w:before="360"/>
      </w:pPr>
    </w:p>
    <w:p w:rsidR="003D2511" w:rsidRPr="003D2511" w:rsidRDefault="003D2511" w:rsidP="003033F4">
      <w:pPr>
        <w:pStyle w:val="Nadpis3"/>
        <w:rPr>
          <w:rFonts w:eastAsiaTheme="majorEastAsia"/>
        </w:rPr>
      </w:pPr>
      <w:bookmarkStart w:id="230" w:name="_Ref445369420"/>
      <w:bookmarkStart w:id="231" w:name="_Toc447722654"/>
      <w:bookmarkStart w:id="232" w:name="_Toc459723328"/>
      <w:r w:rsidRPr="003D2511">
        <w:rPr>
          <w:rFonts w:eastAsiaTheme="majorEastAsia"/>
        </w:rPr>
        <w:t>Výzkumná centra podpořená z OP VaVpI</w:t>
      </w:r>
      <w:bookmarkEnd w:id="230"/>
      <w:bookmarkEnd w:id="231"/>
      <w:bookmarkEnd w:id="232"/>
    </w:p>
    <w:tbl>
      <w:tblPr>
        <w:tblStyle w:val="Mkatabulky4"/>
        <w:tblW w:w="0" w:type="auto"/>
        <w:tblLook w:val="04A0" w:firstRow="1" w:lastRow="0" w:firstColumn="1" w:lastColumn="0" w:noHBand="0" w:noVBand="1"/>
      </w:tblPr>
      <w:tblGrid>
        <w:gridCol w:w="9288"/>
      </w:tblGrid>
      <w:tr w:rsidR="003D2511" w:rsidRPr="003D2511" w:rsidTr="000F3591">
        <w:tc>
          <w:tcPr>
            <w:tcW w:w="9288" w:type="dxa"/>
            <w:shd w:val="clear" w:color="auto" w:fill="F2F2F2" w:themeFill="background1" w:themeFillShade="F2"/>
          </w:tcPr>
          <w:p w:rsidR="009B40C7" w:rsidRDefault="009B40C7" w:rsidP="009B40C7">
            <w:r>
              <w:t>V letech 2007 – 2013 došlo s využitím  finančních prostředků Operačního programu Výzkum a vývoj pro inovace (OP VaVpI) k výraznému posílení výzkumné infrastruktury v ČR. S podporou OP VaVpI byl v tomto období podpořen vznik osmi evropských center excelence, které budou disponovat unikátní výzkumnou infrastrukturou</w:t>
            </w:r>
            <w:r w:rsidR="006C3CC0">
              <w:t>,</w:t>
            </w:r>
            <w:r>
              <w:t xml:space="preserve"> a 40 regionálních VaV center</w:t>
            </w:r>
            <w:r w:rsidR="00CC5F19">
              <w:t xml:space="preserve"> působících v různých regionech ČR</w:t>
            </w:r>
            <w:r>
              <w:t>.</w:t>
            </w:r>
          </w:p>
          <w:p w:rsidR="009B40C7" w:rsidRDefault="009B40C7" w:rsidP="009B40C7">
            <w:r>
              <w:t xml:space="preserve">Zaměření a experimentální vybavení umožní </w:t>
            </w:r>
            <w:r w:rsidR="00F06DD1">
              <w:t xml:space="preserve">evropským centrům excelence i regionálním VaV centrům </w:t>
            </w:r>
            <w:r>
              <w:t>realizovat VaV, jehož výsledky budou vy</w:t>
            </w:r>
            <w:r w:rsidR="00F06DD1">
              <w:t>užitelné v oblasti bezpečnosti. Většina z nových výzkumných center má značný potenciál pro zapojení do BV i podle názorů expertů</w:t>
            </w:r>
            <w:r w:rsidR="00F06DD1" w:rsidRPr="00B77A47">
              <w:t>.</w:t>
            </w:r>
            <w:r w:rsidR="00F06DD1">
              <w:t xml:space="preserve"> Z evropských center excelence má pro zapojení do BV největší potenciál národní superpočítačové c</w:t>
            </w:r>
            <w:r w:rsidR="00F06DD1" w:rsidRPr="00F06DD1">
              <w:t>entrum excelence IT4Innovations</w:t>
            </w:r>
            <w:r w:rsidR="00F06DD1">
              <w:t xml:space="preserve">. </w:t>
            </w:r>
            <w:r w:rsidR="00CC5F19" w:rsidRPr="00CC5F19">
              <w:t>Dalšími centry excelence s vysokým potenciálem pro BV jsou podle expertů CEITEC - středoevropský technologický institut, Biotechnologické a biomedicínské centrum AV ČR a UK (BIOCEV) a Extreme Light Infrastructure (ELI)</w:t>
            </w:r>
            <w:r w:rsidR="00CC5F19">
              <w:t xml:space="preserve">. Potenciál evropských center excelence je zejména v oblasti pokročilého základního výzkumu. </w:t>
            </w:r>
            <w:r w:rsidR="00A509EF">
              <w:t>Evropská centra excelence jsou také intenzivně zapojena v mezinárodním výzkumu a mají potenciál se zapojit do náročných mezinárodních projektů VaV v oblasti bezpečnosti.</w:t>
            </w:r>
          </w:p>
          <w:p w:rsidR="003D2511" w:rsidRPr="003D2511" w:rsidRDefault="00CC5F19" w:rsidP="00CC5F19">
            <w:r>
              <w:t xml:space="preserve">Také většina regionálních VaV center má potenciál pro zapojení do BV. </w:t>
            </w:r>
            <w:r w:rsidRPr="00CC5F19">
              <w:t>Podle expertů má největší potenciál Centrum pro nanomateriály, pokročilé technologie a inovace (TU Liberec), Centrum pro výzkum toxických látek v prostředí (CETOCOEN)</w:t>
            </w:r>
            <w:r>
              <w:t>,</w:t>
            </w:r>
            <w:r w:rsidRPr="00CC5F19">
              <w:t xml:space="preserve"> Centrum bezpečnostních, informačních a </w:t>
            </w:r>
            <w:r>
              <w:t xml:space="preserve">pokročilých technologií (CEBIA), </w:t>
            </w:r>
            <w:r w:rsidRPr="00CC5F19">
              <w:t>Centrum senzorických, informačních a komunikačních systémů (SIX)</w:t>
            </w:r>
            <w:r>
              <w:t xml:space="preserve">, </w:t>
            </w:r>
            <w:r w:rsidRPr="00CC5F19">
              <w:t>Centrum pro aplikovanou mikrobiologii a imunologii ve veterinární medicíně</w:t>
            </w:r>
            <w:r>
              <w:t xml:space="preserve"> a centrum ENET - </w:t>
            </w:r>
            <w:r w:rsidRPr="00CC5F19">
              <w:t>Energetické jednotky pro využití netradičních zdrojů energie</w:t>
            </w:r>
            <w:r>
              <w:t>. Potenciál regionálních VaV center je zejména v oblasti aplikovaného VaV a realizace nových poznatků VaV v praxi ve spolupráci s aplikační sférou.</w:t>
            </w:r>
          </w:p>
        </w:tc>
      </w:tr>
    </w:tbl>
    <w:p w:rsidR="003D2511" w:rsidRDefault="003D2511" w:rsidP="003D2511">
      <w:r w:rsidRPr="003D2511">
        <w:t>V rámci OP VaVpI v gesci MŠMT realizovaného v letech 2007 až 2013</w:t>
      </w:r>
      <w:r w:rsidR="005018C0">
        <w:t xml:space="preserve"> </w:t>
      </w:r>
      <w:r w:rsidR="005018C0">
        <w:fldChar w:fldCharType="begin"/>
      </w:r>
      <w:r w:rsidR="005018C0">
        <w:instrText xml:space="preserve"> REF _Ref450557521 \r \h </w:instrText>
      </w:r>
      <w:r w:rsidR="005018C0">
        <w:fldChar w:fldCharType="separate"/>
      </w:r>
      <w:r w:rsidR="003F08E5">
        <w:t>[23]</w:t>
      </w:r>
      <w:r w:rsidR="005018C0">
        <w:fldChar w:fldCharType="end"/>
      </w:r>
      <w:r w:rsidRPr="003D2511">
        <w:t xml:space="preserve"> byl podpořen vznik 48 výzkumných center. Celková poskytnutá podpora činila přibližně 40 mld. Kč (z toho 34 mld. Kč pocházelo z Evropského fondu pro regionální rozvoj a 6 mld. Kč ze státního rozpočtu). Seznam všech příjemců podpory v prioritní ose 1 a 2 OP VaVpI společně s celkovým rozpočtem projektů a poskytnutou podpor</w:t>
      </w:r>
      <w:r w:rsidR="006C3CC0">
        <w:t>o</w:t>
      </w:r>
      <w:r w:rsidRPr="003D2511">
        <w:t>u lze nalézt na internetových stránkách Operačního programu</w:t>
      </w:r>
      <w:r w:rsidRPr="003D2511">
        <w:rPr>
          <w:vertAlign w:val="superscript"/>
        </w:rPr>
        <w:footnoteReference w:id="50"/>
      </w:r>
      <w:r w:rsidRPr="003D2511">
        <w:t>.</w:t>
      </w:r>
    </w:p>
    <w:p w:rsidR="00FC6560" w:rsidRPr="003D2511" w:rsidRDefault="00FC6560" w:rsidP="00FC6560">
      <w:pPr>
        <w:pStyle w:val="Nadpis4"/>
      </w:pPr>
      <w:bookmarkStart w:id="233" w:name="_Toc459723329"/>
      <w:r>
        <w:t>Evropská centra excelence</w:t>
      </w:r>
      <w:bookmarkEnd w:id="233"/>
    </w:p>
    <w:p w:rsidR="00867FEB" w:rsidRDefault="003D2511" w:rsidP="001C11B2">
      <w:r w:rsidRPr="003D2511">
        <w:t xml:space="preserve">V prioritní ose 1 OP VaVpI byl podpořen vznik osmi </w:t>
      </w:r>
      <w:r w:rsidRPr="00867FEB">
        <w:t>Evropských center excelence</w:t>
      </w:r>
      <w:r w:rsidRPr="003D2511">
        <w:t xml:space="preserve">, které pokrývají široké spektrum vědních disciplín a technologických oborů. </w:t>
      </w:r>
      <w:r w:rsidR="008D1207">
        <w:t>Pět</w:t>
      </w:r>
      <w:r w:rsidRPr="003D2511">
        <w:t xml:space="preserve">i z  nich představují tzv. velké projekty, u nichž celková výše podpory projekty přesáhla 1 mld. Kč (BIOCEV, CEITEC, ELI, FNUSA-ICRC a IT4Innovation). </w:t>
      </w:r>
    </w:p>
    <w:p w:rsidR="003D2511" w:rsidRPr="003D2511" w:rsidRDefault="003D2511" w:rsidP="003D2511">
      <w:r w:rsidRPr="003D2511">
        <w:t>V souladu s cíli prioritní osy 1 budou Evropská centra excelence disponovat moderní (často i unikátní) infrastrukturou, budou realizovat vysoce kvalitní pokročilý základní výzkum a budou se zároveň zapojovat do mezinárodního výzkumu a spolupracovat s předními mezinárodními výzkumnými organizacemi a evropskými výzkumnými infrastrukturami. Centra tohoto typu by také měla poskytovat vysoce kvalitní výcvik pro studenty (postgraduální studenty) a mladé výzkumníky.</w:t>
      </w:r>
    </w:p>
    <w:p w:rsidR="003D2511" w:rsidRPr="003D2511" w:rsidRDefault="003D2511" w:rsidP="003D2511">
      <w:r w:rsidRPr="003D2511">
        <w:t xml:space="preserve">I když Evropská centra excelence jsou již z větší části dokončena a jsou v plném nebo částečném provozu a realizují VaV aktivity, v programech MV sledovaných v této studii ani v projektech rámcových programů EU řešících problematiku bezpečnosti či bezpečnostně zaměřených vědeckých publikací registrovaných ve WoS se zatím neobjevují. Důvodem je zřejmě poměrně krátká doba od jejich zprovoznění, dalším důvodem může být i to, že v projektech </w:t>
      </w:r>
      <w:r w:rsidR="008D1207">
        <w:t xml:space="preserve">a publikacích </w:t>
      </w:r>
      <w:r w:rsidRPr="003D2511">
        <w:t>„vystupují“ VO, které tato centra zřídily.</w:t>
      </w:r>
    </w:p>
    <w:p w:rsidR="00867FEB" w:rsidRDefault="003D2511" w:rsidP="003D2511">
      <w:r w:rsidRPr="003D2511">
        <w:t xml:space="preserve">Pouze Centrum excelence IT4Innovations ve svém zaměření </w:t>
      </w:r>
      <w:r w:rsidR="00E47F6A" w:rsidRPr="003D2511">
        <w:t xml:space="preserve">explicitně </w:t>
      </w:r>
      <w:r w:rsidR="00E47F6A">
        <w:t xml:space="preserve">zmiňuje </w:t>
      </w:r>
      <w:r w:rsidRPr="003D2511">
        <w:t xml:space="preserve">bezpečnostní výzkum, konkrétně IT pro řešení krizových situací a kybernetickou bezpečnost (bezpečné a spolehlivé architektury, sítě a protokoly). I když ostatní Evropská centra excellence bezpečnostní výzkum ve svém zaměření </w:t>
      </w:r>
      <w:r w:rsidR="00E47F6A">
        <w:t>neuvádě</w:t>
      </w:r>
      <w:r w:rsidRPr="003D2511">
        <w:t xml:space="preserve">jí, jejich potenciál pro zapojení </w:t>
      </w:r>
      <w:r w:rsidR="00E47F6A">
        <w:t>do BV</w:t>
      </w:r>
      <w:r w:rsidRPr="003D2511">
        <w:t xml:space="preserve"> je vysoký.</w:t>
      </w:r>
    </w:p>
    <w:p w:rsidR="00867FEB" w:rsidRDefault="003A5568" w:rsidP="003A5568">
      <w:r>
        <w:t>V</w:t>
      </w:r>
      <w:r w:rsidR="00867FEB">
        <w:t xml:space="preserve"> souvislosti se schválením Národních </w:t>
      </w:r>
      <w:r w:rsidR="00867FEB" w:rsidRPr="00867FEB">
        <w:t xml:space="preserve">priorit </w:t>
      </w:r>
      <w:r w:rsidR="00867FEB">
        <w:t xml:space="preserve">orientovaného </w:t>
      </w:r>
      <w:r w:rsidR="00867FEB" w:rsidRPr="00867FEB">
        <w:t>výzkumu, experimentálního vývoje a inovací</w:t>
      </w:r>
      <w:r w:rsidR="00867FEB">
        <w:t xml:space="preserve"> </w:t>
      </w:r>
      <w:r w:rsidR="00867FEB">
        <w:fldChar w:fldCharType="begin"/>
      </w:r>
      <w:r w:rsidR="00867FEB">
        <w:instrText xml:space="preserve"> REF _Ref450221179 \r \h </w:instrText>
      </w:r>
      <w:r w:rsidR="00867FEB">
        <w:fldChar w:fldCharType="separate"/>
      </w:r>
      <w:r w:rsidR="003F08E5">
        <w:t>[4]</w:t>
      </w:r>
      <w:r w:rsidR="00867FEB">
        <w:fldChar w:fldCharType="end"/>
      </w:r>
      <w:r w:rsidR="00867FEB">
        <w:t xml:space="preserve"> vládou ČR v roce 2012</w:t>
      </w:r>
      <w:r w:rsidR="00867FEB">
        <w:rPr>
          <w:rStyle w:val="Znakapoznpodarou"/>
        </w:rPr>
        <w:footnoteReference w:id="51"/>
      </w:r>
      <w:r w:rsidR="00867FEB">
        <w:t xml:space="preserve"> RVVI v</w:t>
      </w:r>
      <w:r>
        <w:t xml:space="preserve">e své </w:t>
      </w:r>
      <w:r w:rsidR="00867FEB">
        <w:t> Analýze</w:t>
      </w:r>
      <w:r w:rsidR="002F1319" w:rsidRPr="002F1319">
        <w:t xml:space="preserve"> stavu výzkumu, vývoje a inovací v Č</w:t>
      </w:r>
      <w:r w:rsidR="002F1319">
        <w:t>R</w:t>
      </w:r>
      <w:r w:rsidR="002F1319" w:rsidRPr="002F1319">
        <w:t xml:space="preserve"> a jejich srovnání se zahraničím v roce 2013</w:t>
      </w:r>
      <w:r w:rsidR="00867FEB">
        <w:t xml:space="preserve"> </w:t>
      </w:r>
      <w:r w:rsidR="002F1319">
        <w:fldChar w:fldCharType="begin"/>
      </w:r>
      <w:r w:rsidR="002F1319">
        <w:instrText xml:space="preserve"> REF _Ref453664469 \r \h </w:instrText>
      </w:r>
      <w:r w:rsidR="002F1319">
        <w:fldChar w:fldCharType="separate"/>
      </w:r>
      <w:r w:rsidR="003F08E5">
        <w:t>[38]</w:t>
      </w:r>
      <w:r w:rsidR="002F1319">
        <w:fldChar w:fldCharType="end"/>
      </w:r>
      <w:r w:rsidR="002F1319">
        <w:t xml:space="preserve"> </w:t>
      </w:r>
      <w:r>
        <w:t>zpracovala tabulku s odhadem, jaká část jejich kapacit může být využita pro realizaci VaV zaměřeného do jednotlivých prioritních oblastí.</w:t>
      </w:r>
      <w:r w:rsidR="002F1319">
        <w:t xml:space="preserve"> Z tohoto vyhodnocení vyplynulo, že největší potenciál realizaci VaV, jehož zaměření odpovídá prioritě Bezpečná společnost, má </w:t>
      </w:r>
      <w:r w:rsidR="002F1319" w:rsidRPr="002F1319">
        <w:t>Centrum excelence IT4Innovations</w:t>
      </w:r>
      <w:r w:rsidR="002F1319">
        <w:t>. Další centrem s vysokým potenciálem pro BV je podle tohoto vyhodnocení centrum Nové technologie pro informační společnost (NTIS).</w:t>
      </w:r>
    </w:p>
    <w:p w:rsidR="007A5E9E" w:rsidRDefault="007A5E9E" w:rsidP="007A5E9E">
      <w:r>
        <w:t xml:space="preserve">Hodnocení potenciálu výzkumných center podpořených z OP VaVpI pro jejich zapojení do bezpečnostního výzkumu v období do roku 2025 z pohledu účastníků expertního workshopu zachycuje graf na </w:t>
      </w:r>
      <w:r>
        <w:fldChar w:fldCharType="begin"/>
      </w:r>
      <w:r>
        <w:instrText xml:space="preserve"> REF  _Ref453753187 \* Lower \h  \* MERGEFORMAT </w:instrText>
      </w:r>
      <w:r>
        <w:fldChar w:fldCharType="separate"/>
      </w:r>
      <w:r w:rsidR="003F08E5">
        <w:t xml:space="preserve">obr. </w:t>
      </w:r>
      <w:r w:rsidR="003F08E5">
        <w:rPr>
          <w:noProof/>
        </w:rPr>
        <w:t>32</w:t>
      </w:r>
      <w:r>
        <w:fldChar w:fldCharType="end"/>
      </w:r>
      <w:r>
        <w:t xml:space="preserve">. Výrazně nejvyšší potenciál má podle názoru expertů evropské centrum excelence IT4Innovation – národní superpočítačové centrum (VŠB-TU Ostrava) s průměrným hodnocením 4,18 na pětistupňové škále. Dalšími centry excelence s vysokým potenciálem pro BV jsou podle expertů </w:t>
      </w:r>
      <w:r w:rsidRPr="002F1319">
        <w:t>CEITEC - středoevropský technologický institut</w:t>
      </w:r>
      <w:r>
        <w:t xml:space="preserve">, </w:t>
      </w:r>
      <w:r w:rsidR="00983FA2">
        <w:t xml:space="preserve">NTIS – Nové technologie pro informační společnost, </w:t>
      </w:r>
      <w:r w:rsidRPr="002F1319">
        <w:t>Biotechnologické a biomedicínské centrum AV ČR a UK (BIOCEV)</w:t>
      </w:r>
      <w:r>
        <w:t xml:space="preserve"> a </w:t>
      </w:r>
      <w:r w:rsidRPr="002F1319">
        <w:t>Extreme Light Infrastructure (ELI)</w:t>
      </w:r>
      <w:r>
        <w:t>.</w:t>
      </w:r>
    </w:p>
    <w:p w:rsidR="003D2511" w:rsidRPr="003D2511" w:rsidRDefault="001464CC" w:rsidP="003D2511">
      <w:r w:rsidRPr="003D2511">
        <w:t xml:space="preserve">Přehled </w:t>
      </w:r>
      <w:r>
        <w:t xml:space="preserve">všech </w:t>
      </w:r>
      <w:r w:rsidRPr="003D2511">
        <w:t xml:space="preserve">Evropských center excelence </w:t>
      </w:r>
      <w:r>
        <w:t xml:space="preserve">podpořených v prioritní ose 1 OP VaVpI </w:t>
      </w:r>
      <w:r w:rsidRPr="003D2511">
        <w:t>s jejich zaměřením je uveden v</w:t>
      </w:r>
      <w:r>
        <w:t xml:space="preserve"> </w:t>
      </w:r>
      <w:r>
        <w:fldChar w:fldCharType="begin"/>
      </w:r>
      <w:r>
        <w:instrText xml:space="preserve"> REF  _Ref453752953 \* Lower \h  \* MERGEFORMAT </w:instrText>
      </w:r>
      <w:r>
        <w:fldChar w:fldCharType="separate"/>
      </w:r>
      <w:r w:rsidR="003F08E5">
        <w:t xml:space="preserve">tab. </w:t>
      </w:r>
      <w:r w:rsidR="003F08E5">
        <w:rPr>
          <w:noProof/>
        </w:rPr>
        <w:t>65</w:t>
      </w:r>
      <w:r>
        <w:fldChar w:fldCharType="end"/>
      </w:r>
      <w:r>
        <w:t xml:space="preserve">. </w:t>
      </w:r>
      <w:r w:rsidR="003D2511" w:rsidRPr="003D2511">
        <w:t>Jak je patrné z</w:t>
      </w:r>
      <w:r w:rsidR="002F1319">
        <w:t> této tabulky</w:t>
      </w:r>
      <w:r w:rsidR="004F2393">
        <w:t xml:space="preserve">, </w:t>
      </w:r>
      <w:r w:rsidR="003D2511" w:rsidRPr="003D2511">
        <w:t>mezi oblasti, kde by se mohla centra zapojit do bezpečnostního výzkumu, patří:</w:t>
      </w:r>
    </w:p>
    <w:p w:rsidR="003D2511" w:rsidRPr="003D2511" w:rsidRDefault="003D2511" w:rsidP="004F74B7">
      <w:pPr>
        <w:numPr>
          <w:ilvl w:val="0"/>
          <w:numId w:val="8"/>
        </w:numPr>
        <w:ind w:left="714" w:hanging="357"/>
      </w:pPr>
      <w:r w:rsidRPr="003D2511">
        <w:t>Ochrana obyvatel (biomedicínský výzkum) - BIOCEV, FNUSA – ICRC a CEITEC;</w:t>
      </w:r>
    </w:p>
    <w:p w:rsidR="003D2511" w:rsidRPr="003D2511" w:rsidRDefault="003D2511" w:rsidP="004F74B7">
      <w:pPr>
        <w:numPr>
          <w:ilvl w:val="0"/>
          <w:numId w:val="8"/>
        </w:numPr>
        <w:ind w:left="714" w:hanging="357"/>
      </w:pPr>
      <w:r w:rsidRPr="003D2511">
        <w:t>Klimatická změna, potravinová bezpečnost, a ochrana kulturního bohatství – CzechGlobe a Centrum excelence Telč;</w:t>
      </w:r>
    </w:p>
    <w:p w:rsidR="003D2511" w:rsidRPr="003D2511" w:rsidRDefault="003D2511" w:rsidP="004F74B7">
      <w:pPr>
        <w:numPr>
          <w:ilvl w:val="0"/>
          <w:numId w:val="8"/>
        </w:numPr>
        <w:ind w:left="714" w:hanging="357"/>
      </w:pPr>
      <w:r w:rsidRPr="003D2511">
        <w:t>Kybernetická bezpečnost - Centrum excelence IT4Innovations a NTIS;</w:t>
      </w:r>
    </w:p>
    <w:p w:rsidR="003D2511" w:rsidRDefault="003D2511" w:rsidP="004F74B7">
      <w:pPr>
        <w:numPr>
          <w:ilvl w:val="0"/>
          <w:numId w:val="8"/>
        </w:numPr>
        <w:ind w:left="714" w:hanging="357"/>
      </w:pPr>
      <w:r w:rsidRPr="003D2511">
        <w:t>Materiálový výzkum (v souvislosti s bezpečností) - Centrum excelence Telč, CEITEC a ELI.</w:t>
      </w:r>
    </w:p>
    <w:p w:rsidR="0007746C" w:rsidRDefault="0007746C" w:rsidP="001C11B2">
      <w:bookmarkStart w:id="234" w:name="_Ref453598017"/>
      <w:r>
        <w:t xml:space="preserve">Detailnější informace </w:t>
      </w:r>
      <w:r w:rsidR="001464CC">
        <w:t>o</w:t>
      </w:r>
      <w:r>
        <w:t xml:space="preserve"> všech evropských centrec</w:t>
      </w:r>
      <w:r w:rsidR="001C2C68">
        <w:t>h</w:t>
      </w:r>
      <w:r>
        <w:t xml:space="preserve"> excelence jsou uvedeny v přílohové</w:t>
      </w:r>
      <w:r w:rsidR="001C2C68">
        <w:t>m</w:t>
      </w:r>
      <w:r>
        <w:t xml:space="preserve"> dokumentu.</w:t>
      </w:r>
    </w:p>
    <w:p w:rsidR="001C11B2" w:rsidRPr="001C11B2" w:rsidRDefault="001C11B2" w:rsidP="001C11B2">
      <w:pPr>
        <w:pStyle w:val="Titulek"/>
        <w:keepNext/>
        <w:jc w:val="center"/>
      </w:pPr>
      <w:r>
        <w:rPr>
          <w:noProof/>
          <w:lang w:eastAsia="cs-CZ"/>
        </w:rPr>
        <w:drawing>
          <wp:inline distT="0" distB="0" distL="0" distR="0" wp14:anchorId="36F0FF56" wp14:editId="568066AD">
            <wp:extent cx="4301850" cy="4701074"/>
            <wp:effectExtent l="0" t="9208" r="0" b="0"/>
            <wp:docPr id="55" name="Obrázek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rot="5400000">
                      <a:off x="0" y="0"/>
                      <a:ext cx="4311009" cy="4711082"/>
                    </a:xfrm>
                    <a:prstGeom prst="rect">
                      <a:avLst/>
                    </a:prstGeom>
                    <a:noFill/>
                  </pic:spPr>
                </pic:pic>
              </a:graphicData>
            </a:graphic>
          </wp:inline>
        </w:drawing>
      </w:r>
      <w:r>
        <w:rPr>
          <w:noProof/>
          <w:lang w:eastAsia="cs-CZ"/>
        </w:rPr>
        <w:drawing>
          <wp:inline distT="0" distB="0" distL="0" distR="0" wp14:anchorId="16EFCBEC" wp14:editId="086EE4BF">
            <wp:extent cx="5514975" cy="401576"/>
            <wp:effectExtent l="0" t="0" r="0" b="0"/>
            <wp:docPr id="56" name="Obrázek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7"/>
                    <a:stretch>
                      <a:fillRect/>
                    </a:stretch>
                  </pic:blipFill>
                  <pic:spPr>
                    <a:xfrm>
                      <a:off x="0" y="0"/>
                      <a:ext cx="5517370" cy="401750"/>
                    </a:xfrm>
                    <a:prstGeom prst="rect">
                      <a:avLst/>
                    </a:prstGeom>
                  </pic:spPr>
                </pic:pic>
              </a:graphicData>
            </a:graphic>
          </wp:inline>
        </w:drawing>
      </w:r>
    </w:p>
    <w:p w:rsidR="001C11B2" w:rsidRDefault="001C11B2" w:rsidP="001C11B2">
      <w:pPr>
        <w:pStyle w:val="Titulek"/>
      </w:pPr>
      <w:bookmarkStart w:id="235" w:name="_Ref453753187"/>
      <w:r>
        <w:t xml:space="preserve">Obr. </w:t>
      </w:r>
      <w:r w:rsidR="00990E2D">
        <w:fldChar w:fldCharType="begin"/>
      </w:r>
      <w:r w:rsidR="00990E2D">
        <w:instrText xml:space="preserve"> SEQ Obr. \* ARABIC </w:instrText>
      </w:r>
      <w:r w:rsidR="00990E2D">
        <w:fldChar w:fldCharType="separate"/>
      </w:r>
      <w:r w:rsidR="003F08E5">
        <w:rPr>
          <w:noProof/>
        </w:rPr>
        <w:t>32</w:t>
      </w:r>
      <w:r w:rsidR="00990E2D">
        <w:rPr>
          <w:noProof/>
        </w:rPr>
        <w:fldChar w:fldCharType="end"/>
      </w:r>
      <w:bookmarkEnd w:id="235"/>
      <w:r>
        <w:tab/>
        <w:t xml:space="preserve">Evropská centra excelence podpořená v prioritní ose 1 OP VaVapI s potenciálem pro zapojení do bezpečnostního výzkumu. V tabulce je uvedeno posouzení potenciálu center pro BV (průměrná známka hodnocení expertů v pětiúrovňové stupnici 1 – 5) a návaznost centra na prioritu Bezpečná společnost podle Analýzy </w:t>
      </w:r>
      <w:r>
        <w:fldChar w:fldCharType="begin"/>
      </w:r>
      <w:r>
        <w:instrText xml:space="preserve"> REF _Ref453664469 \r \h </w:instrText>
      </w:r>
      <w:r>
        <w:fldChar w:fldCharType="separate"/>
      </w:r>
      <w:r w:rsidR="003F08E5">
        <w:t>[38]</w:t>
      </w:r>
      <w:r>
        <w:fldChar w:fldCharType="end"/>
      </w:r>
      <w:r>
        <w:t xml:space="preserve">.  Zdroj: Analýza stavu výzkumu, vývoje a inovací v ČR a jejich srovnání se zahraničím v roce 2013 </w:t>
      </w:r>
      <w:r>
        <w:fldChar w:fldCharType="begin"/>
      </w:r>
      <w:r>
        <w:instrText xml:space="preserve"> REF _Ref453664469 \r \h </w:instrText>
      </w:r>
      <w:r>
        <w:fldChar w:fldCharType="separate"/>
      </w:r>
      <w:r w:rsidR="003F08E5">
        <w:t>[38]</w:t>
      </w:r>
      <w:r>
        <w:fldChar w:fldCharType="end"/>
      </w:r>
      <w:r>
        <w:t>, odpovědi expertů účastnících se workshopu</w:t>
      </w:r>
    </w:p>
    <w:p w:rsidR="001464CC" w:rsidRPr="001464CC" w:rsidRDefault="001464CC" w:rsidP="001464CC"/>
    <w:p w:rsidR="001C11B2" w:rsidRDefault="001C11B2" w:rsidP="001C11B2">
      <w:pPr>
        <w:pStyle w:val="Titulek"/>
        <w:keepNext/>
      </w:pPr>
      <w:bookmarkStart w:id="236" w:name="_Ref453752953"/>
      <w:r>
        <w:t xml:space="preserve">Tab. </w:t>
      </w:r>
      <w:r w:rsidR="00990E2D">
        <w:fldChar w:fldCharType="begin"/>
      </w:r>
      <w:r w:rsidR="00990E2D">
        <w:instrText xml:space="preserve"> SEQ Tab. \* ARABIC </w:instrText>
      </w:r>
      <w:r w:rsidR="00990E2D">
        <w:fldChar w:fldCharType="separate"/>
      </w:r>
      <w:r w:rsidR="003F08E5">
        <w:rPr>
          <w:noProof/>
        </w:rPr>
        <w:t>65</w:t>
      </w:r>
      <w:r w:rsidR="00990E2D">
        <w:rPr>
          <w:noProof/>
        </w:rPr>
        <w:fldChar w:fldCharType="end"/>
      </w:r>
      <w:bookmarkEnd w:id="234"/>
      <w:bookmarkEnd w:id="236"/>
      <w:r>
        <w:tab/>
      </w:r>
      <w:r w:rsidRPr="002E78C7">
        <w:t xml:space="preserve">Evropská centra excelence podpořená v OP VaVpI – základní charakteristika a potenciál pro bezpečnostní výzkum. </w:t>
      </w:r>
      <w:r w:rsidR="001464CC">
        <w:t xml:space="preserve">U každého centra je zároveň uveden odkaz na jeho internetové stránky. </w:t>
      </w:r>
      <w:r w:rsidRPr="002E78C7">
        <w:t>Zdroj: Internetové stránky center</w:t>
      </w:r>
    </w:p>
    <w:tbl>
      <w:tblPr>
        <w:tblW w:w="9322" w:type="dxa"/>
        <w:jc w:val="center"/>
        <w:tblLook w:val="04A0" w:firstRow="1" w:lastRow="0" w:firstColumn="1" w:lastColumn="0" w:noHBand="0" w:noVBand="1"/>
      </w:tblPr>
      <w:tblGrid>
        <w:gridCol w:w="4219"/>
        <w:gridCol w:w="5103"/>
      </w:tblGrid>
      <w:tr w:rsidR="001C11B2" w:rsidTr="001464CC">
        <w:trPr>
          <w:trHeight w:val="517"/>
          <w:jc w:val="center"/>
        </w:trPr>
        <w:tc>
          <w:tcPr>
            <w:tcW w:w="4219" w:type="dxa"/>
            <w:tcBorders>
              <w:top w:val="single" w:sz="4" w:space="0" w:color="auto"/>
              <w:bottom w:val="single" w:sz="4" w:space="0" w:color="auto"/>
            </w:tcBorders>
            <w:shd w:val="clear" w:color="auto" w:fill="D9D9D9" w:themeFill="background1" w:themeFillShade="D9"/>
            <w:vAlign w:val="center"/>
          </w:tcPr>
          <w:p w:rsidR="001C11B2" w:rsidRPr="003D2511" w:rsidRDefault="001C11B2" w:rsidP="001C11B2">
            <w:pPr>
              <w:keepNext/>
              <w:autoSpaceDE w:val="0"/>
              <w:autoSpaceDN w:val="0"/>
              <w:adjustRightInd w:val="0"/>
              <w:spacing w:before="80" w:after="80"/>
              <w:jc w:val="left"/>
              <w:rPr>
                <w:rFonts w:cs="Calibri"/>
                <w:b/>
                <w:color w:val="000000"/>
                <w:sz w:val="20"/>
                <w:szCs w:val="18"/>
              </w:rPr>
            </w:pPr>
            <w:r w:rsidRPr="003D2511">
              <w:rPr>
                <w:rFonts w:cs="Calibri"/>
                <w:b/>
                <w:color w:val="000000"/>
                <w:sz w:val="20"/>
                <w:szCs w:val="18"/>
              </w:rPr>
              <w:t>Název projektu / centra</w:t>
            </w:r>
          </w:p>
        </w:tc>
        <w:tc>
          <w:tcPr>
            <w:tcW w:w="5103" w:type="dxa"/>
            <w:tcBorders>
              <w:top w:val="single" w:sz="4" w:space="0" w:color="auto"/>
              <w:bottom w:val="single" w:sz="4" w:space="0" w:color="auto"/>
            </w:tcBorders>
            <w:shd w:val="clear" w:color="auto" w:fill="D9D9D9" w:themeFill="background1" w:themeFillShade="D9"/>
            <w:vAlign w:val="center"/>
          </w:tcPr>
          <w:p w:rsidR="001C11B2" w:rsidRPr="003D2511" w:rsidRDefault="001C11B2" w:rsidP="001C11B2">
            <w:pPr>
              <w:keepNext/>
              <w:autoSpaceDE w:val="0"/>
              <w:autoSpaceDN w:val="0"/>
              <w:adjustRightInd w:val="0"/>
              <w:spacing w:before="80" w:after="80"/>
              <w:jc w:val="left"/>
              <w:rPr>
                <w:rFonts w:cs="Calibri"/>
                <w:b/>
                <w:color w:val="000000"/>
                <w:sz w:val="20"/>
                <w:szCs w:val="18"/>
              </w:rPr>
            </w:pPr>
            <w:r w:rsidRPr="003D2511">
              <w:rPr>
                <w:rFonts w:cs="Calibri"/>
                <w:b/>
                <w:color w:val="000000"/>
                <w:sz w:val="20"/>
                <w:szCs w:val="18"/>
              </w:rPr>
              <w:t>Charakteristika / expertíza / vybavení</w:t>
            </w:r>
          </w:p>
        </w:tc>
      </w:tr>
      <w:tr w:rsidR="001C11B2" w:rsidTr="001464CC">
        <w:trPr>
          <w:jc w:val="center"/>
        </w:trPr>
        <w:tc>
          <w:tcPr>
            <w:tcW w:w="4219" w:type="dxa"/>
            <w:tcBorders>
              <w:top w:val="single" w:sz="4" w:space="0" w:color="auto"/>
            </w:tcBorders>
            <w:shd w:val="clear" w:color="auto" w:fill="FFFFFF" w:themeFill="background1"/>
          </w:tcPr>
          <w:p w:rsidR="001C11B2" w:rsidRPr="006E4C1C" w:rsidRDefault="00990E2D" w:rsidP="001C11B2">
            <w:pPr>
              <w:keepNext/>
              <w:autoSpaceDE w:val="0"/>
              <w:autoSpaceDN w:val="0"/>
              <w:adjustRightInd w:val="0"/>
              <w:spacing w:before="40" w:after="40"/>
              <w:jc w:val="left"/>
              <w:rPr>
                <w:rFonts w:cs="Calibri"/>
                <w:color w:val="000000"/>
                <w:sz w:val="20"/>
                <w:szCs w:val="18"/>
              </w:rPr>
            </w:pPr>
            <w:hyperlink r:id="rId88" w:history="1">
              <w:r w:rsidR="001C11B2" w:rsidRPr="006E4C1C">
                <w:rPr>
                  <w:rFonts w:cs="Calibri"/>
                  <w:color w:val="0000FF" w:themeColor="hyperlink"/>
                  <w:sz w:val="20"/>
                  <w:szCs w:val="18"/>
                  <w:u w:val="single"/>
                </w:rPr>
                <w:t>Centrum excelence IT4Innovations</w:t>
              </w:r>
            </w:hyperlink>
          </w:p>
        </w:tc>
        <w:tc>
          <w:tcPr>
            <w:tcW w:w="5103" w:type="dxa"/>
            <w:tcBorders>
              <w:top w:val="single" w:sz="4" w:space="0" w:color="auto"/>
            </w:tcBorders>
            <w:shd w:val="clear" w:color="auto" w:fill="FFFFFF" w:themeFill="background1"/>
          </w:tcPr>
          <w:p w:rsidR="001C11B2" w:rsidRPr="003D2511" w:rsidRDefault="001C11B2" w:rsidP="001C11B2">
            <w:pPr>
              <w:keepNext/>
              <w:autoSpaceDE w:val="0"/>
              <w:autoSpaceDN w:val="0"/>
              <w:adjustRightInd w:val="0"/>
              <w:spacing w:before="40" w:after="40"/>
              <w:jc w:val="left"/>
              <w:rPr>
                <w:rFonts w:cs="Calibri"/>
                <w:color w:val="000000"/>
                <w:sz w:val="20"/>
                <w:szCs w:val="18"/>
              </w:rPr>
            </w:pPr>
            <w:r w:rsidRPr="003D2511">
              <w:rPr>
                <w:rFonts w:cs="Calibri"/>
                <w:color w:val="000000"/>
                <w:sz w:val="20"/>
                <w:szCs w:val="18"/>
              </w:rPr>
              <w:t>Národní superpočítačové centrum</w:t>
            </w:r>
          </w:p>
        </w:tc>
      </w:tr>
      <w:tr w:rsidR="001C11B2" w:rsidTr="001464CC">
        <w:trPr>
          <w:jc w:val="center"/>
        </w:trPr>
        <w:tc>
          <w:tcPr>
            <w:tcW w:w="4219" w:type="dxa"/>
          </w:tcPr>
          <w:p w:rsidR="001C11B2" w:rsidRPr="003D2511" w:rsidRDefault="00990E2D" w:rsidP="001C11B2">
            <w:pPr>
              <w:keepNext/>
              <w:autoSpaceDE w:val="0"/>
              <w:autoSpaceDN w:val="0"/>
              <w:adjustRightInd w:val="0"/>
              <w:spacing w:before="40" w:after="40"/>
              <w:jc w:val="left"/>
              <w:rPr>
                <w:rFonts w:cs="Calibri"/>
                <w:color w:val="000000"/>
                <w:sz w:val="20"/>
                <w:szCs w:val="18"/>
              </w:rPr>
            </w:pPr>
            <w:hyperlink r:id="rId89" w:history="1">
              <w:r w:rsidR="001C11B2" w:rsidRPr="003D2511">
                <w:rPr>
                  <w:rFonts w:cs="Calibri"/>
                  <w:color w:val="0000FF" w:themeColor="hyperlink"/>
                  <w:sz w:val="20"/>
                  <w:szCs w:val="18"/>
                  <w:u w:val="single"/>
                </w:rPr>
                <w:t>Centrum excelence Telč</w:t>
              </w:r>
            </w:hyperlink>
          </w:p>
        </w:tc>
        <w:tc>
          <w:tcPr>
            <w:tcW w:w="5103" w:type="dxa"/>
          </w:tcPr>
          <w:p w:rsidR="001C11B2" w:rsidRPr="003D2511" w:rsidRDefault="001C11B2" w:rsidP="001C11B2">
            <w:pPr>
              <w:keepNext/>
              <w:autoSpaceDE w:val="0"/>
              <w:autoSpaceDN w:val="0"/>
              <w:adjustRightInd w:val="0"/>
              <w:spacing w:before="40" w:after="40"/>
              <w:jc w:val="left"/>
              <w:rPr>
                <w:rFonts w:cs="Calibri"/>
                <w:color w:val="000000"/>
                <w:sz w:val="20"/>
                <w:szCs w:val="18"/>
              </w:rPr>
            </w:pPr>
            <w:r w:rsidRPr="003D2511">
              <w:rPr>
                <w:rFonts w:cs="Calibri"/>
                <w:color w:val="000000"/>
                <w:sz w:val="20"/>
                <w:szCs w:val="18"/>
              </w:rPr>
              <w:t xml:space="preserve">Klimatický větrný tunel pro </w:t>
            </w:r>
            <w:r>
              <w:rPr>
                <w:rFonts w:cs="Calibri"/>
                <w:color w:val="000000"/>
                <w:sz w:val="20"/>
                <w:szCs w:val="18"/>
              </w:rPr>
              <w:t>výzkum</w:t>
            </w:r>
            <w:r w:rsidRPr="003D2511">
              <w:rPr>
                <w:rFonts w:cs="Calibri"/>
                <w:color w:val="000000"/>
                <w:sz w:val="20"/>
                <w:szCs w:val="18"/>
              </w:rPr>
              <w:t xml:space="preserve"> stavebních materiálů a tec</w:t>
            </w:r>
            <w:r>
              <w:rPr>
                <w:rFonts w:cs="Calibri"/>
                <w:color w:val="000000"/>
                <w:sz w:val="20"/>
                <w:szCs w:val="18"/>
              </w:rPr>
              <w:t>hnologií</w:t>
            </w:r>
          </w:p>
        </w:tc>
      </w:tr>
      <w:tr w:rsidR="001C11B2" w:rsidTr="001464CC">
        <w:trPr>
          <w:jc w:val="center"/>
        </w:trPr>
        <w:tc>
          <w:tcPr>
            <w:tcW w:w="4219" w:type="dxa"/>
          </w:tcPr>
          <w:p w:rsidR="001C11B2" w:rsidRPr="003D2511" w:rsidRDefault="00990E2D" w:rsidP="001C11B2">
            <w:pPr>
              <w:keepNext/>
              <w:autoSpaceDE w:val="0"/>
              <w:autoSpaceDN w:val="0"/>
              <w:adjustRightInd w:val="0"/>
              <w:spacing w:before="40" w:after="40"/>
              <w:jc w:val="left"/>
              <w:rPr>
                <w:rFonts w:cs="Calibri"/>
                <w:color w:val="0000FF" w:themeColor="hyperlink"/>
                <w:sz w:val="20"/>
                <w:szCs w:val="18"/>
                <w:u w:val="single"/>
              </w:rPr>
            </w:pPr>
            <w:hyperlink r:id="rId90" w:history="1">
              <w:r w:rsidR="001C11B2" w:rsidRPr="003D2511">
                <w:rPr>
                  <w:rFonts w:cs="Calibri"/>
                  <w:color w:val="0000FF" w:themeColor="hyperlink"/>
                  <w:sz w:val="20"/>
                  <w:szCs w:val="18"/>
                  <w:u w:val="single"/>
                </w:rPr>
                <w:t>NTIS</w:t>
              </w:r>
            </w:hyperlink>
            <w:r w:rsidR="001C11B2" w:rsidRPr="003D2511">
              <w:rPr>
                <w:rFonts w:cs="Calibri"/>
                <w:color w:val="000000"/>
                <w:sz w:val="20"/>
                <w:szCs w:val="18"/>
              </w:rPr>
              <w:t xml:space="preserve"> - Nové technologie pro informační společnost</w:t>
            </w:r>
          </w:p>
        </w:tc>
        <w:tc>
          <w:tcPr>
            <w:tcW w:w="5103" w:type="dxa"/>
          </w:tcPr>
          <w:p w:rsidR="001C11B2" w:rsidRPr="003D2511" w:rsidRDefault="001C11B2" w:rsidP="001C11B2">
            <w:pPr>
              <w:keepNext/>
              <w:autoSpaceDE w:val="0"/>
              <w:autoSpaceDN w:val="0"/>
              <w:adjustRightInd w:val="0"/>
              <w:spacing w:before="40" w:after="40"/>
              <w:jc w:val="left"/>
              <w:rPr>
                <w:rFonts w:cs="Calibri"/>
                <w:color w:val="000000"/>
                <w:sz w:val="20"/>
                <w:szCs w:val="18"/>
              </w:rPr>
            </w:pPr>
            <w:r w:rsidRPr="003D2511">
              <w:rPr>
                <w:rFonts w:cs="Calibri"/>
                <w:color w:val="000000"/>
                <w:sz w:val="20"/>
                <w:szCs w:val="18"/>
              </w:rPr>
              <w:t>Kybernetika, IT, mechanika, fyzika, matematiku a geomatika</w:t>
            </w:r>
          </w:p>
        </w:tc>
      </w:tr>
      <w:tr w:rsidR="001C11B2" w:rsidTr="001464CC">
        <w:trPr>
          <w:jc w:val="center"/>
        </w:trPr>
        <w:tc>
          <w:tcPr>
            <w:tcW w:w="4219" w:type="dxa"/>
          </w:tcPr>
          <w:p w:rsidR="001C11B2" w:rsidRPr="003D2511" w:rsidRDefault="00990E2D" w:rsidP="001C11B2">
            <w:pPr>
              <w:keepNext/>
              <w:autoSpaceDE w:val="0"/>
              <w:autoSpaceDN w:val="0"/>
              <w:adjustRightInd w:val="0"/>
              <w:spacing w:before="40" w:after="40"/>
              <w:jc w:val="left"/>
              <w:rPr>
                <w:rFonts w:cs="Calibri"/>
                <w:color w:val="000000"/>
                <w:sz w:val="20"/>
                <w:szCs w:val="18"/>
              </w:rPr>
            </w:pPr>
            <w:hyperlink r:id="rId91" w:history="1">
              <w:r w:rsidR="001C11B2" w:rsidRPr="003D2511">
                <w:rPr>
                  <w:rFonts w:cs="Calibri"/>
                  <w:color w:val="0000FF" w:themeColor="hyperlink"/>
                  <w:sz w:val="20"/>
                  <w:szCs w:val="18"/>
                  <w:u w:val="single"/>
                </w:rPr>
                <w:t>CzechGlobe</w:t>
              </w:r>
            </w:hyperlink>
            <w:r w:rsidR="001C11B2" w:rsidRPr="003D2511">
              <w:rPr>
                <w:rFonts w:cs="Calibri"/>
                <w:color w:val="000000"/>
                <w:sz w:val="20"/>
                <w:szCs w:val="18"/>
              </w:rPr>
              <w:t xml:space="preserve"> - Centrum pro studium dopadů globální změny klimatu</w:t>
            </w:r>
          </w:p>
        </w:tc>
        <w:tc>
          <w:tcPr>
            <w:tcW w:w="5103" w:type="dxa"/>
          </w:tcPr>
          <w:p w:rsidR="001C11B2" w:rsidRPr="003D2511" w:rsidRDefault="001C11B2" w:rsidP="001C11B2">
            <w:pPr>
              <w:keepNext/>
              <w:autoSpaceDE w:val="0"/>
              <w:autoSpaceDN w:val="0"/>
              <w:adjustRightInd w:val="0"/>
              <w:spacing w:before="40" w:after="40"/>
              <w:jc w:val="left"/>
              <w:rPr>
                <w:rFonts w:cs="Calibri"/>
                <w:color w:val="000000"/>
                <w:sz w:val="20"/>
                <w:szCs w:val="18"/>
              </w:rPr>
            </w:pPr>
            <w:r w:rsidRPr="003D2511">
              <w:rPr>
                <w:rFonts w:cs="Calibri"/>
                <w:color w:val="000000"/>
                <w:sz w:val="20"/>
                <w:szCs w:val="18"/>
              </w:rPr>
              <w:t>Globální změna a její dopad na atmosféru, biosféru a společnost</w:t>
            </w:r>
          </w:p>
        </w:tc>
      </w:tr>
      <w:tr w:rsidR="001C11B2" w:rsidTr="001464CC">
        <w:trPr>
          <w:jc w:val="center"/>
        </w:trPr>
        <w:tc>
          <w:tcPr>
            <w:tcW w:w="4219" w:type="dxa"/>
          </w:tcPr>
          <w:p w:rsidR="001C11B2" w:rsidRPr="006E4C1C" w:rsidRDefault="00990E2D" w:rsidP="003E4814">
            <w:pPr>
              <w:autoSpaceDE w:val="0"/>
              <w:autoSpaceDN w:val="0"/>
              <w:adjustRightInd w:val="0"/>
              <w:spacing w:before="40" w:after="40"/>
              <w:jc w:val="left"/>
              <w:rPr>
                <w:rFonts w:cs="Calibri"/>
                <w:color w:val="000000"/>
                <w:sz w:val="20"/>
                <w:szCs w:val="18"/>
              </w:rPr>
            </w:pPr>
            <w:hyperlink r:id="rId92" w:history="1">
              <w:r w:rsidR="001C11B2" w:rsidRPr="006E4C1C">
                <w:rPr>
                  <w:rFonts w:cs="Calibri"/>
                  <w:color w:val="0000FF" w:themeColor="hyperlink"/>
                  <w:sz w:val="20"/>
                  <w:szCs w:val="18"/>
                  <w:u w:val="single"/>
                </w:rPr>
                <w:t>CEITEC</w:t>
              </w:r>
            </w:hyperlink>
            <w:r w:rsidR="001C11B2" w:rsidRPr="006E4C1C">
              <w:rPr>
                <w:rFonts w:cs="Calibri"/>
                <w:color w:val="000000"/>
                <w:sz w:val="20"/>
                <w:szCs w:val="18"/>
              </w:rPr>
              <w:t xml:space="preserve"> - středoevropský technologický institut</w:t>
            </w:r>
          </w:p>
        </w:tc>
        <w:tc>
          <w:tcPr>
            <w:tcW w:w="5103" w:type="dxa"/>
          </w:tcPr>
          <w:p w:rsidR="001C11B2" w:rsidRPr="003D2511" w:rsidRDefault="001C11B2" w:rsidP="003E4814">
            <w:pPr>
              <w:autoSpaceDE w:val="0"/>
              <w:autoSpaceDN w:val="0"/>
              <w:adjustRightInd w:val="0"/>
              <w:spacing w:before="40" w:after="40"/>
              <w:jc w:val="left"/>
              <w:rPr>
                <w:rFonts w:cs="Calibri"/>
                <w:color w:val="000000"/>
                <w:sz w:val="20"/>
                <w:szCs w:val="18"/>
              </w:rPr>
            </w:pPr>
            <w:r w:rsidRPr="003D2511">
              <w:rPr>
                <w:rFonts w:cs="Calibri"/>
                <w:color w:val="000000"/>
                <w:sz w:val="20"/>
                <w:szCs w:val="18"/>
              </w:rPr>
              <w:t>Pokročilé nanotechnologie, materiály, strukturní biologie, genomika a proteomika, molekulární medicína</w:t>
            </w:r>
          </w:p>
        </w:tc>
      </w:tr>
      <w:tr w:rsidR="001C11B2" w:rsidTr="001464CC">
        <w:trPr>
          <w:jc w:val="center"/>
        </w:trPr>
        <w:tc>
          <w:tcPr>
            <w:tcW w:w="4219" w:type="dxa"/>
          </w:tcPr>
          <w:p w:rsidR="001C11B2" w:rsidRPr="006E4C1C" w:rsidRDefault="001C11B2" w:rsidP="003E4814">
            <w:pPr>
              <w:autoSpaceDE w:val="0"/>
              <w:autoSpaceDN w:val="0"/>
              <w:adjustRightInd w:val="0"/>
              <w:spacing w:before="40" w:after="40"/>
              <w:jc w:val="left"/>
              <w:rPr>
                <w:rFonts w:cs="Calibri"/>
                <w:color w:val="000000"/>
                <w:sz w:val="20"/>
                <w:szCs w:val="18"/>
              </w:rPr>
            </w:pPr>
            <w:r w:rsidRPr="006E4C1C">
              <w:rPr>
                <w:rFonts w:cs="Calibri"/>
                <w:color w:val="000000"/>
                <w:sz w:val="20"/>
                <w:szCs w:val="18"/>
              </w:rPr>
              <w:t xml:space="preserve">FN u sv. Anny v Brně - Mezinárodní centrum klinického výzkumu </w:t>
            </w:r>
            <w:hyperlink r:id="rId93" w:history="1">
              <w:r w:rsidRPr="006E4C1C">
                <w:rPr>
                  <w:rFonts w:cs="Calibri"/>
                  <w:color w:val="0000FF" w:themeColor="hyperlink"/>
                  <w:sz w:val="20"/>
                  <w:szCs w:val="18"/>
                  <w:u w:val="single"/>
                </w:rPr>
                <w:t>(FNUSA - ICRC</w:t>
              </w:r>
            </w:hyperlink>
            <w:r w:rsidRPr="006E4C1C">
              <w:rPr>
                <w:rFonts w:cs="Calibri"/>
                <w:color w:val="000000"/>
                <w:sz w:val="20"/>
                <w:szCs w:val="18"/>
              </w:rPr>
              <w:t>)</w:t>
            </w:r>
          </w:p>
        </w:tc>
        <w:tc>
          <w:tcPr>
            <w:tcW w:w="5103" w:type="dxa"/>
          </w:tcPr>
          <w:p w:rsidR="001C11B2" w:rsidRPr="003D2511" w:rsidRDefault="001C11B2" w:rsidP="003E4814">
            <w:pPr>
              <w:autoSpaceDE w:val="0"/>
              <w:autoSpaceDN w:val="0"/>
              <w:adjustRightInd w:val="0"/>
              <w:spacing w:before="40" w:after="40"/>
              <w:jc w:val="left"/>
              <w:rPr>
                <w:rFonts w:cs="Calibri"/>
                <w:color w:val="000000"/>
                <w:sz w:val="20"/>
                <w:szCs w:val="18"/>
              </w:rPr>
            </w:pPr>
            <w:r w:rsidRPr="003D2511">
              <w:rPr>
                <w:rFonts w:cs="Calibri"/>
                <w:color w:val="000000"/>
                <w:sz w:val="20"/>
                <w:szCs w:val="18"/>
              </w:rPr>
              <w:t>Včasná diagnostika a pokročilá léčba kardiovaskulárních a neurologických onemocnění</w:t>
            </w:r>
          </w:p>
        </w:tc>
      </w:tr>
      <w:tr w:rsidR="001C11B2" w:rsidTr="001464CC">
        <w:trPr>
          <w:jc w:val="center"/>
        </w:trPr>
        <w:tc>
          <w:tcPr>
            <w:tcW w:w="4219" w:type="dxa"/>
          </w:tcPr>
          <w:p w:rsidR="001C11B2" w:rsidRPr="006E4C1C" w:rsidRDefault="001C11B2" w:rsidP="003E4814">
            <w:pPr>
              <w:autoSpaceDE w:val="0"/>
              <w:autoSpaceDN w:val="0"/>
              <w:adjustRightInd w:val="0"/>
              <w:spacing w:before="40" w:after="40"/>
              <w:jc w:val="left"/>
              <w:rPr>
                <w:rFonts w:cs="Calibri"/>
                <w:color w:val="000000"/>
                <w:sz w:val="20"/>
                <w:szCs w:val="18"/>
              </w:rPr>
            </w:pPr>
            <w:r w:rsidRPr="006E4C1C">
              <w:rPr>
                <w:rFonts w:cs="Calibri"/>
                <w:color w:val="000000"/>
                <w:sz w:val="20"/>
                <w:szCs w:val="18"/>
              </w:rPr>
              <w:t>Extreme Light Infrastructure (</w:t>
            </w:r>
            <w:hyperlink r:id="rId94" w:history="1">
              <w:r w:rsidRPr="006E4C1C">
                <w:rPr>
                  <w:rFonts w:cs="Calibri"/>
                  <w:color w:val="0000FF" w:themeColor="hyperlink"/>
                  <w:sz w:val="20"/>
                  <w:szCs w:val="18"/>
                  <w:u w:val="single"/>
                </w:rPr>
                <w:t>ELI</w:t>
              </w:r>
            </w:hyperlink>
            <w:r w:rsidRPr="006E4C1C">
              <w:rPr>
                <w:rFonts w:cs="Calibri"/>
                <w:color w:val="0000FF" w:themeColor="hyperlink"/>
                <w:sz w:val="20"/>
                <w:szCs w:val="18"/>
                <w:u w:val="single"/>
              </w:rPr>
              <w:t>)</w:t>
            </w:r>
          </w:p>
        </w:tc>
        <w:tc>
          <w:tcPr>
            <w:tcW w:w="5103" w:type="dxa"/>
          </w:tcPr>
          <w:p w:rsidR="001C11B2" w:rsidRPr="003D2511" w:rsidRDefault="001C11B2" w:rsidP="003E4814">
            <w:pPr>
              <w:autoSpaceDE w:val="0"/>
              <w:autoSpaceDN w:val="0"/>
              <w:adjustRightInd w:val="0"/>
              <w:spacing w:before="40" w:after="40"/>
              <w:jc w:val="left"/>
              <w:rPr>
                <w:rFonts w:cs="Calibri"/>
                <w:color w:val="000000"/>
                <w:sz w:val="20"/>
                <w:szCs w:val="18"/>
              </w:rPr>
            </w:pPr>
            <w:r w:rsidRPr="003D2511">
              <w:rPr>
                <w:rFonts w:cs="Calibri"/>
                <w:color w:val="000000"/>
                <w:sz w:val="20"/>
                <w:szCs w:val="18"/>
              </w:rPr>
              <w:t>Laserové centrum s lasery unikátních parametrů</w:t>
            </w:r>
          </w:p>
        </w:tc>
      </w:tr>
      <w:tr w:rsidR="001C11B2" w:rsidTr="001464CC">
        <w:trPr>
          <w:jc w:val="center"/>
        </w:trPr>
        <w:tc>
          <w:tcPr>
            <w:tcW w:w="4219" w:type="dxa"/>
            <w:tcBorders>
              <w:bottom w:val="single" w:sz="4" w:space="0" w:color="auto"/>
            </w:tcBorders>
          </w:tcPr>
          <w:p w:rsidR="001C11B2" w:rsidRPr="006E4C1C" w:rsidRDefault="001C11B2" w:rsidP="003E4814">
            <w:pPr>
              <w:autoSpaceDE w:val="0"/>
              <w:autoSpaceDN w:val="0"/>
              <w:adjustRightInd w:val="0"/>
              <w:spacing w:before="40" w:after="40"/>
              <w:jc w:val="left"/>
              <w:rPr>
                <w:rFonts w:cs="Calibri"/>
                <w:color w:val="000000"/>
                <w:sz w:val="20"/>
                <w:szCs w:val="18"/>
              </w:rPr>
            </w:pPr>
            <w:r w:rsidRPr="006E4C1C">
              <w:rPr>
                <w:rFonts w:cs="Calibri"/>
                <w:color w:val="000000"/>
                <w:sz w:val="20"/>
                <w:szCs w:val="18"/>
              </w:rPr>
              <w:t>Biotechnologické a biomedicínské centrum AV ČR a UK (</w:t>
            </w:r>
            <w:hyperlink r:id="rId95" w:history="1">
              <w:r w:rsidRPr="006E4C1C">
                <w:rPr>
                  <w:rFonts w:cs="Calibri"/>
                  <w:color w:val="0000FF" w:themeColor="hyperlink"/>
                  <w:sz w:val="20"/>
                  <w:szCs w:val="18"/>
                  <w:u w:val="single"/>
                </w:rPr>
                <w:t>BIOCEV</w:t>
              </w:r>
            </w:hyperlink>
            <w:r w:rsidRPr="006E4C1C">
              <w:rPr>
                <w:rFonts w:cs="Calibri"/>
                <w:color w:val="000000"/>
                <w:sz w:val="20"/>
                <w:szCs w:val="18"/>
              </w:rPr>
              <w:t>)</w:t>
            </w:r>
          </w:p>
        </w:tc>
        <w:tc>
          <w:tcPr>
            <w:tcW w:w="5103" w:type="dxa"/>
            <w:tcBorders>
              <w:bottom w:val="single" w:sz="4" w:space="0" w:color="auto"/>
            </w:tcBorders>
          </w:tcPr>
          <w:p w:rsidR="001C11B2" w:rsidRPr="003D2511" w:rsidRDefault="001C11B2" w:rsidP="003E4814">
            <w:pPr>
              <w:autoSpaceDE w:val="0"/>
              <w:autoSpaceDN w:val="0"/>
              <w:adjustRightInd w:val="0"/>
              <w:spacing w:before="40" w:after="40"/>
              <w:jc w:val="left"/>
              <w:rPr>
                <w:rFonts w:cs="Calibri"/>
                <w:color w:val="000000"/>
                <w:sz w:val="20"/>
                <w:szCs w:val="18"/>
              </w:rPr>
            </w:pPr>
            <w:r w:rsidRPr="003D2511">
              <w:rPr>
                <w:rFonts w:cs="Calibri"/>
                <w:color w:val="000000"/>
                <w:sz w:val="20"/>
                <w:szCs w:val="18"/>
              </w:rPr>
              <w:t>Vybrané oblasti biotechnologií a biomedicíny</w:t>
            </w:r>
          </w:p>
        </w:tc>
      </w:tr>
    </w:tbl>
    <w:p w:rsidR="007A5E9E" w:rsidRDefault="007A5E9E" w:rsidP="007A5E9E">
      <w:pPr>
        <w:pStyle w:val="Nadpis4"/>
        <w:numPr>
          <w:ilvl w:val="0"/>
          <w:numId w:val="0"/>
        </w:numPr>
      </w:pPr>
      <w:bookmarkStart w:id="237" w:name="_Ref453669016"/>
    </w:p>
    <w:p w:rsidR="00FC6560" w:rsidRDefault="00FC6560" w:rsidP="00FC6560">
      <w:pPr>
        <w:pStyle w:val="Nadpis4"/>
      </w:pPr>
      <w:bookmarkStart w:id="238" w:name="_Toc459723330"/>
      <w:r>
        <w:t>Regionální centra VaV</w:t>
      </w:r>
      <w:bookmarkEnd w:id="237"/>
      <w:bookmarkEnd w:id="238"/>
    </w:p>
    <w:p w:rsidR="003D2511" w:rsidRDefault="003D2511" w:rsidP="003D2511">
      <w:r w:rsidRPr="000C4643">
        <w:t xml:space="preserve">V prioritní ose 2 OP VaVpI bylo podpořeno celkem 40 projektů </w:t>
      </w:r>
      <w:r w:rsidR="00FC6560" w:rsidRPr="000C4643">
        <w:t>r</w:t>
      </w:r>
      <w:r w:rsidRPr="000C4643">
        <w:t xml:space="preserve">egionálních VaV center. Rozpočet </w:t>
      </w:r>
      <w:r w:rsidRPr="003D2511">
        <w:t>jednoho projektu (SUSEN) přesáhl 1 mld. a spadá tedy do kategorie velkých projektů. Regionální VaV centra by měla realizovat především aplikovaný výzkum a vývoj a intenzivně spolupracovat se subjekty z aplikační aféry. I když i tato centra budou disponovat kvalitním experimentálním vybavením a mohou realizovat i špičkový základní výzkum, jejich hlavní role bude zejména ve VaV, kde již vznikají nové výrobky, zařízení, technologie, služby, procesy apod. využitelné v</w:t>
      </w:r>
      <w:r w:rsidR="000C4643">
        <w:t> </w:t>
      </w:r>
      <w:r w:rsidRPr="003D2511">
        <w:t>praxi</w:t>
      </w:r>
      <w:r w:rsidR="000C4643">
        <w:t xml:space="preserve"> </w:t>
      </w:r>
      <w:r w:rsidR="000C4643" w:rsidRPr="003D2511">
        <w:t>(zejména ve spolupráci s budoucími uživateli vznikajících poznatků)</w:t>
      </w:r>
      <w:r w:rsidRPr="003D2511">
        <w:t>.</w:t>
      </w:r>
      <w:r w:rsidR="00FC6560">
        <w:t xml:space="preserve"> Přehled všech regionálních VaV center a jejich zaměření je uveden v samostatném přílohovém dokumentu.</w:t>
      </w:r>
    </w:p>
    <w:p w:rsidR="007A5E9E" w:rsidRDefault="00FC6560" w:rsidP="003D2511">
      <w:r>
        <w:t xml:space="preserve">Regionální VaV pokrývají svým zaměřením široké spektrum vědních disciplín a technologických oborů. Některá </w:t>
      </w:r>
      <w:r w:rsidR="003D2511" w:rsidRPr="003D2511">
        <w:t>centra ve svém zaměření (</w:t>
      </w:r>
      <w:r>
        <w:t xml:space="preserve">ve </w:t>
      </w:r>
      <w:r w:rsidR="003D2511" w:rsidRPr="003D2511">
        <w:t xml:space="preserve">výzkumných programech nebo projektech, oborové specializaci apod.) </w:t>
      </w:r>
      <w:r w:rsidR="000C4643">
        <w:t>uvádě</w:t>
      </w:r>
      <w:r w:rsidR="003D2511" w:rsidRPr="003D2511">
        <w:t>jí, že budou realizovat i VaV řešící problematiku bezpečnosti. Některá další centra bezpečnostně zaměřený výzkum explicitně nezmiňují, avšak jejich oborové zaměření se problematiky bezpečnosti dotýká.</w:t>
      </w:r>
      <w:r w:rsidR="00D7795C">
        <w:t xml:space="preserve"> Jak vyplývá z odhadu praveného v Analýze </w:t>
      </w:r>
      <w:r w:rsidR="0068499C" w:rsidRPr="0068499C">
        <w:t>stavu výzkumu, vývoje a inovací v ČR a jejich srovnání se zahraničím v roce 2013</w:t>
      </w:r>
      <w:r w:rsidR="0068499C">
        <w:t xml:space="preserve"> </w:t>
      </w:r>
      <w:r w:rsidR="0068499C">
        <w:fldChar w:fldCharType="begin"/>
      </w:r>
      <w:r w:rsidR="0068499C">
        <w:instrText xml:space="preserve"> REF _Ref453664469 \r \h </w:instrText>
      </w:r>
      <w:r w:rsidR="0068499C">
        <w:fldChar w:fldCharType="separate"/>
      </w:r>
      <w:r w:rsidR="003F08E5">
        <w:t>[38]</w:t>
      </w:r>
      <w:r w:rsidR="0068499C">
        <w:fldChar w:fldCharType="end"/>
      </w:r>
      <w:r w:rsidR="0068499C">
        <w:t>,</w:t>
      </w:r>
      <w:r w:rsidR="00D7795C">
        <w:t xml:space="preserve"> </w:t>
      </w:r>
      <w:r w:rsidR="007766C2">
        <w:t xml:space="preserve">naprostá většina těchto center může také realizovat VaV, jehož zaměření a cíle odpovídají prioritě Bezpečná společnost Národních priorit VaVaI </w:t>
      </w:r>
      <w:r w:rsidR="007766C2">
        <w:fldChar w:fldCharType="begin"/>
      </w:r>
      <w:r w:rsidR="007766C2">
        <w:instrText xml:space="preserve"> REF _Ref450221179 \r \h </w:instrText>
      </w:r>
      <w:r w:rsidR="007766C2">
        <w:fldChar w:fldCharType="separate"/>
      </w:r>
      <w:r w:rsidR="003F08E5">
        <w:t>[4]</w:t>
      </w:r>
      <w:r w:rsidR="007766C2">
        <w:fldChar w:fldCharType="end"/>
      </w:r>
      <w:r w:rsidR="007766C2">
        <w:t>.</w:t>
      </w:r>
    </w:p>
    <w:p w:rsidR="007A5E9E" w:rsidRDefault="00B77A47" w:rsidP="00233135">
      <w:r>
        <w:t xml:space="preserve">Posouzení zaměření center ve vazbě na prioritu Bezpečná společnost je uvedeno na </w:t>
      </w:r>
      <w:r>
        <w:fldChar w:fldCharType="begin"/>
      </w:r>
      <w:r>
        <w:instrText xml:space="preserve"> REF  _Ref453664491 \* Lower \h  \* MERGEFORMAT </w:instrText>
      </w:r>
      <w:r>
        <w:fldChar w:fldCharType="separate"/>
      </w:r>
      <w:r w:rsidR="003F08E5">
        <w:t xml:space="preserve">obr. </w:t>
      </w:r>
      <w:r w:rsidR="003F08E5">
        <w:rPr>
          <w:noProof/>
        </w:rPr>
        <w:t>33</w:t>
      </w:r>
      <w:r>
        <w:fldChar w:fldCharType="end"/>
      </w:r>
      <w:r w:rsidR="007A5E9E">
        <w:t xml:space="preserve"> společně s v</w:t>
      </w:r>
      <w:r w:rsidR="007766C2">
        <w:t xml:space="preserve">ýsledky hodnocení </w:t>
      </w:r>
      <w:r w:rsidR="007A5E9E">
        <w:t xml:space="preserve">potenciálu center z pohledu </w:t>
      </w:r>
      <w:r w:rsidR="007766C2">
        <w:t>expertů</w:t>
      </w:r>
      <w:r w:rsidR="007A5E9E">
        <w:t>.</w:t>
      </w:r>
      <w:r w:rsidR="00233135">
        <w:t xml:space="preserve"> Podle expertů má největší potenciál Centrum pro nanomateriály, pokročilé technologie a inovace</w:t>
      </w:r>
      <w:r w:rsidR="007A5E9E">
        <w:t xml:space="preserve"> (</w:t>
      </w:r>
      <w:r w:rsidR="007A5E9E" w:rsidRPr="007A5E9E">
        <w:t>TU Liberec)</w:t>
      </w:r>
      <w:r w:rsidR="00233135">
        <w:t>, Centrum pro výzkum toxických látek v prostředí (CETOCOEN) a Centrum bezpečnostních, informačních a pokročilých technologií (CEBIA).</w:t>
      </w:r>
      <w:r w:rsidR="007A5E9E">
        <w:t xml:space="preserve"> </w:t>
      </w:r>
      <w:r w:rsidR="007A5E9E" w:rsidRPr="007A5E9E">
        <w:t>Téměř všechna centra podpořená z OP VaVpI disponují podle mínění expertů potenciálem pro bezpečnostní výzkum větším než 2 na pětistupňové škále, jedinou výjimku tvoří Národní ústav duševního zdraví na poslední příčce žebříčku s průměrným hodnocením 1,89.</w:t>
      </w:r>
    </w:p>
    <w:p w:rsidR="00B51C51" w:rsidRDefault="00233135" w:rsidP="00233135">
      <w:r>
        <w:t xml:space="preserve">V hodnocení uvedeném v Analýze </w:t>
      </w:r>
      <w:r>
        <w:fldChar w:fldCharType="begin"/>
      </w:r>
      <w:r>
        <w:instrText xml:space="preserve"> REF _Ref453664469 \r \h </w:instrText>
      </w:r>
      <w:r>
        <w:fldChar w:fldCharType="separate"/>
      </w:r>
      <w:r w:rsidR="003F08E5">
        <w:t>[38]</w:t>
      </w:r>
      <w:r>
        <w:fldChar w:fldCharType="end"/>
      </w:r>
      <w:r>
        <w:t xml:space="preserve"> patří mezi centra s největším potenciálem pro BV Centrum senzorických, informačních a komunikačních systémů (SIX), Centrum výzkumu a využití obnovitelných zdrojů energie (CVVOZE), Regionální inovační centrum elektrotechniky (RICE) a Centrum materiálového výzkumu na FCH VUT v Brně, které z více než 10 % svým zaměřením odpovídají prioritě Bezpečná společnost (viz </w:t>
      </w:r>
      <w:r>
        <w:fldChar w:fldCharType="begin"/>
      </w:r>
      <w:r>
        <w:instrText xml:space="preserve"> REF  _Ref453664491 \* Lower \h  \* MERGEFORMAT </w:instrText>
      </w:r>
      <w:r>
        <w:fldChar w:fldCharType="separate"/>
      </w:r>
      <w:r w:rsidR="003F08E5">
        <w:t xml:space="preserve">obr. </w:t>
      </w:r>
      <w:r w:rsidR="003F08E5">
        <w:rPr>
          <w:noProof/>
        </w:rPr>
        <w:t>33</w:t>
      </w:r>
      <w:r>
        <w:fldChar w:fldCharType="end"/>
      </w:r>
      <w:r>
        <w:t xml:space="preserve">). </w:t>
      </w:r>
    </w:p>
    <w:p w:rsidR="0007746C" w:rsidRPr="003D2511" w:rsidRDefault="00233135" w:rsidP="00233135">
      <w:r>
        <w:t xml:space="preserve">Zaměření regionálních VaV center uvedených na </w:t>
      </w:r>
      <w:r>
        <w:fldChar w:fldCharType="begin"/>
      </w:r>
      <w:r>
        <w:instrText xml:space="preserve"> REF  _Ref453664491 \* Lower \h  \* MERGEFORMAT </w:instrText>
      </w:r>
      <w:r>
        <w:fldChar w:fldCharType="separate"/>
      </w:r>
      <w:r w:rsidR="003F08E5">
        <w:t xml:space="preserve">obr. </w:t>
      </w:r>
      <w:r w:rsidR="003F08E5">
        <w:rPr>
          <w:noProof/>
        </w:rPr>
        <w:t>33</w:t>
      </w:r>
      <w:r>
        <w:fldChar w:fldCharType="end"/>
      </w:r>
      <w:r>
        <w:t xml:space="preserve"> je stručně charakterizováno v </w:t>
      </w:r>
      <w:r>
        <w:fldChar w:fldCharType="begin"/>
      </w:r>
      <w:r>
        <w:instrText xml:space="preserve"> REF  _Ref453596532 \* Lower \h  \* MERGEFORMAT </w:instrText>
      </w:r>
      <w:r>
        <w:fldChar w:fldCharType="separate"/>
      </w:r>
      <w:r w:rsidR="003F08E5">
        <w:t xml:space="preserve">tab. </w:t>
      </w:r>
      <w:r w:rsidR="003F08E5">
        <w:rPr>
          <w:noProof/>
        </w:rPr>
        <w:t>66</w:t>
      </w:r>
      <w:r>
        <w:fldChar w:fldCharType="end"/>
      </w:r>
      <w:r>
        <w:t xml:space="preserve">. </w:t>
      </w:r>
      <w:r w:rsidR="002C4967">
        <w:t>P</w:t>
      </w:r>
      <w:r w:rsidR="0007746C" w:rsidRPr="003D2511">
        <w:t>řehled všech Evropských center excelence a Regionálních VaV center s </w:t>
      </w:r>
      <w:r w:rsidR="002C4967">
        <w:t>detailnějšími</w:t>
      </w:r>
      <w:r w:rsidR="0007746C" w:rsidRPr="003D2511">
        <w:t xml:space="preserve"> informacemi o </w:t>
      </w:r>
      <w:r w:rsidR="002C4967">
        <w:t xml:space="preserve">jejich </w:t>
      </w:r>
      <w:r w:rsidR="0007746C" w:rsidRPr="003D2511">
        <w:t>zaměření je uveden v přílohové části studie. V</w:t>
      </w:r>
      <w:r w:rsidR="002C4967">
        <w:t xml:space="preserve"> příloze </w:t>
      </w:r>
      <w:r w:rsidR="0007746C" w:rsidRPr="003D2511">
        <w:t>je také u každého centra uveden jeho zřizovatel (příjemce podpory).</w:t>
      </w:r>
    </w:p>
    <w:p w:rsidR="00F6335D" w:rsidRDefault="007D30A6" w:rsidP="00F6335D">
      <w:pPr>
        <w:keepNext/>
      </w:pPr>
      <w:r>
        <w:rPr>
          <w:noProof/>
          <w:lang w:eastAsia="cs-CZ"/>
        </w:rPr>
        <w:drawing>
          <wp:inline distT="0" distB="0" distL="0" distR="0" wp14:anchorId="214A15DB" wp14:editId="32353B51">
            <wp:extent cx="5859743" cy="6173133"/>
            <wp:effectExtent l="0" t="4445" r="3810" b="3810"/>
            <wp:docPr id="54" name="Obrázek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rot="5400000">
                      <a:off x="0" y="0"/>
                      <a:ext cx="5872338" cy="6186402"/>
                    </a:xfrm>
                    <a:prstGeom prst="rect">
                      <a:avLst/>
                    </a:prstGeom>
                    <a:noFill/>
                  </pic:spPr>
                </pic:pic>
              </a:graphicData>
            </a:graphic>
          </wp:inline>
        </w:drawing>
      </w:r>
      <w:r>
        <w:rPr>
          <w:noProof/>
          <w:lang w:eastAsia="cs-CZ"/>
        </w:rPr>
        <w:drawing>
          <wp:inline distT="0" distB="0" distL="0" distR="0" wp14:anchorId="3F315437" wp14:editId="627887E3">
            <wp:extent cx="5514975" cy="401576"/>
            <wp:effectExtent l="0" t="0" r="0" b="0"/>
            <wp:docPr id="48" name="Obrázek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7"/>
                    <a:stretch>
                      <a:fillRect/>
                    </a:stretch>
                  </pic:blipFill>
                  <pic:spPr>
                    <a:xfrm>
                      <a:off x="0" y="0"/>
                      <a:ext cx="5517370" cy="401750"/>
                    </a:xfrm>
                    <a:prstGeom prst="rect">
                      <a:avLst/>
                    </a:prstGeom>
                  </pic:spPr>
                </pic:pic>
              </a:graphicData>
            </a:graphic>
          </wp:inline>
        </w:drawing>
      </w:r>
    </w:p>
    <w:p w:rsidR="00F6335D" w:rsidRDefault="00F6335D" w:rsidP="00B51C51">
      <w:pPr>
        <w:pStyle w:val="Titulek"/>
      </w:pPr>
      <w:bookmarkStart w:id="239" w:name="_Ref453664491"/>
      <w:r>
        <w:t xml:space="preserve">Obr. </w:t>
      </w:r>
      <w:r w:rsidR="00990E2D">
        <w:fldChar w:fldCharType="begin"/>
      </w:r>
      <w:r w:rsidR="00990E2D">
        <w:instrText xml:space="preserve"> SEQ Obr. \* ARABIC </w:instrText>
      </w:r>
      <w:r w:rsidR="00990E2D">
        <w:fldChar w:fldCharType="separate"/>
      </w:r>
      <w:r w:rsidR="003F08E5">
        <w:rPr>
          <w:noProof/>
        </w:rPr>
        <w:t>33</w:t>
      </w:r>
      <w:r w:rsidR="00990E2D">
        <w:rPr>
          <w:noProof/>
        </w:rPr>
        <w:fldChar w:fldCharType="end"/>
      </w:r>
      <w:bookmarkEnd w:id="239"/>
      <w:r>
        <w:tab/>
      </w:r>
      <w:r w:rsidR="00B51C51">
        <w:t xml:space="preserve">Potenciál regionálních VaV center podpořených z OP VaVpI pro jejich zapojení do bezpečnostního výzkumu v období do roku 2025 podle mínění účastníků expertního workshopu. Známka představuje průměrné hodnocení jednotlivých center na škále 1 (slabý potenciál) až 5 (extrémně silný potenciál). Hodnocení se zúčastnilo 13 expertů. U každého centra je rovněž uvedena jeho návaznost na prioritu Bezpečná společnost podle Analýzy </w:t>
      </w:r>
      <w:r w:rsidR="00B51C51">
        <w:fldChar w:fldCharType="begin"/>
      </w:r>
      <w:r w:rsidR="00B51C51">
        <w:instrText xml:space="preserve"> REF _Ref453664469 \r \h </w:instrText>
      </w:r>
      <w:r w:rsidR="00B51C51">
        <w:fldChar w:fldCharType="separate"/>
      </w:r>
      <w:r w:rsidR="003F08E5">
        <w:t>[38]</w:t>
      </w:r>
      <w:r w:rsidR="00B51C51">
        <w:fldChar w:fldCharType="end"/>
      </w:r>
      <w:r w:rsidR="00B51C51">
        <w:t xml:space="preserve">. </w:t>
      </w:r>
      <w:r w:rsidR="00233135">
        <w:t xml:space="preserve">V tabulce jsou všechna centra uvedená experty a centra, </w:t>
      </w:r>
      <w:r w:rsidR="000F411B">
        <w:t xml:space="preserve">jejichž zaměření </w:t>
      </w:r>
      <w:r w:rsidR="00233135">
        <w:t xml:space="preserve">podle </w:t>
      </w:r>
      <w:r w:rsidR="000F411B">
        <w:t>A</w:t>
      </w:r>
      <w:r w:rsidR="00233135">
        <w:t xml:space="preserve">nalýzy </w:t>
      </w:r>
      <w:r w:rsidR="000F411B">
        <w:fldChar w:fldCharType="begin"/>
      </w:r>
      <w:r w:rsidR="000F411B">
        <w:instrText xml:space="preserve"> REF _Ref453664469 \r \h </w:instrText>
      </w:r>
      <w:r w:rsidR="000F411B">
        <w:fldChar w:fldCharType="separate"/>
      </w:r>
      <w:r w:rsidR="003F08E5">
        <w:t>[38]</w:t>
      </w:r>
      <w:r w:rsidR="000F411B">
        <w:fldChar w:fldCharType="end"/>
      </w:r>
      <w:r w:rsidR="000F411B">
        <w:t xml:space="preserve"> </w:t>
      </w:r>
      <w:r w:rsidR="00233135">
        <w:t xml:space="preserve">alespoň </w:t>
      </w:r>
      <w:r w:rsidR="000F411B">
        <w:t xml:space="preserve">z </w:t>
      </w:r>
      <w:r w:rsidR="00233135">
        <w:t xml:space="preserve">5 % </w:t>
      </w:r>
      <w:r w:rsidR="000F411B">
        <w:t>odpovídá prioritě bezpečná společnost.</w:t>
      </w:r>
      <w:r w:rsidR="00233135">
        <w:t xml:space="preserve">  </w:t>
      </w:r>
      <w:r>
        <w:t xml:space="preserve">Zdroj: Analýza stavu výzkumu, vývoje a inovací v ČR a jejich srovnání se zahraničím v roce 2013 </w:t>
      </w:r>
      <w:r w:rsidR="0068499C">
        <w:fldChar w:fldCharType="begin"/>
      </w:r>
      <w:r w:rsidR="0068499C">
        <w:instrText xml:space="preserve"> REF _Ref453664469 \r \h </w:instrText>
      </w:r>
      <w:r w:rsidR="0068499C">
        <w:fldChar w:fldCharType="separate"/>
      </w:r>
      <w:r w:rsidR="003F08E5">
        <w:t>[38]</w:t>
      </w:r>
      <w:r w:rsidR="0068499C">
        <w:fldChar w:fldCharType="end"/>
      </w:r>
      <w:r>
        <w:t xml:space="preserve">, </w:t>
      </w:r>
      <w:r w:rsidR="00B51C51">
        <w:t>TC AV ČR</w:t>
      </w:r>
    </w:p>
    <w:p w:rsidR="004F2393" w:rsidRDefault="004F2393" w:rsidP="004F2393">
      <w:pPr>
        <w:pStyle w:val="Titulek"/>
        <w:keepNext/>
      </w:pPr>
      <w:bookmarkStart w:id="240" w:name="_Ref453596532"/>
      <w:r>
        <w:t xml:space="preserve">Tab. </w:t>
      </w:r>
      <w:r w:rsidR="00990E2D">
        <w:fldChar w:fldCharType="begin"/>
      </w:r>
      <w:r w:rsidR="00990E2D">
        <w:instrText xml:space="preserve"> SEQ Tab. \* ARABIC </w:instrText>
      </w:r>
      <w:r w:rsidR="00990E2D">
        <w:fldChar w:fldCharType="separate"/>
      </w:r>
      <w:r w:rsidR="003F08E5">
        <w:rPr>
          <w:noProof/>
        </w:rPr>
        <w:t>66</w:t>
      </w:r>
      <w:r w:rsidR="00990E2D">
        <w:rPr>
          <w:noProof/>
        </w:rPr>
        <w:fldChar w:fldCharType="end"/>
      </w:r>
      <w:bookmarkEnd w:id="240"/>
      <w:r>
        <w:tab/>
      </w:r>
      <w:r w:rsidR="00A03362">
        <w:t>Zaměření r</w:t>
      </w:r>
      <w:r w:rsidRPr="004F2393">
        <w:t>egionální</w:t>
      </w:r>
      <w:r w:rsidR="00A03362">
        <w:t>ch VaV</w:t>
      </w:r>
      <w:r w:rsidRPr="004F2393">
        <w:t xml:space="preserve"> cent</w:t>
      </w:r>
      <w:r w:rsidR="00A03362">
        <w:t>e</w:t>
      </w:r>
      <w:r w:rsidRPr="004F2393">
        <w:t>r</w:t>
      </w:r>
      <w:r w:rsidR="00A03362">
        <w:t>, která mají podle expertů potenciál pro zapojení do BV</w:t>
      </w:r>
      <w:r w:rsidRPr="004F2393">
        <w:t>. Zeleně vyznačená centra ve svém zaměření explicitně deklarují VaV zaměřený na problematiku bezpečnosti</w:t>
      </w:r>
      <w:r>
        <w:t xml:space="preserve">. </w:t>
      </w:r>
      <w:r w:rsidR="001464CC">
        <w:t>Zdroj: Internetové stránky center</w:t>
      </w:r>
    </w:p>
    <w:tbl>
      <w:tblPr>
        <w:tblW w:w="9464" w:type="dxa"/>
        <w:tblBorders>
          <w:top w:val="nil"/>
          <w:left w:val="nil"/>
          <w:bottom w:val="nil"/>
          <w:right w:val="nil"/>
        </w:tblBorders>
        <w:tblLayout w:type="fixed"/>
        <w:tblLook w:val="0000" w:firstRow="0" w:lastRow="0" w:firstColumn="0" w:lastColumn="0" w:noHBand="0" w:noVBand="0"/>
      </w:tblPr>
      <w:tblGrid>
        <w:gridCol w:w="3369"/>
        <w:gridCol w:w="6095"/>
      </w:tblGrid>
      <w:tr w:rsidR="002E78C7" w:rsidRPr="003D2511" w:rsidTr="002E78C7">
        <w:trPr>
          <w:trHeight w:val="595"/>
        </w:trPr>
        <w:tc>
          <w:tcPr>
            <w:tcW w:w="3369" w:type="dxa"/>
            <w:tcBorders>
              <w:top w:val="single" w:sz="4" w:space="0" w:color="auto"/>
              <w:bottom w:val="single" w:sz="4" w:space="0" w:color="auto"/>
            </w:tcBorders>
            <w:shd w:val="clear" w:color="auto" w:fill="D9D9D9" w:themeFill="background1" w:themeFillShade="D9"/>
            <w:vAlign w:val="center"/>
          </w:tcPr>
          <w:p w:rsidR="002E78C7" w:rsidRPr="003D2511" w:rsidRDefault="002E78C7" w:rsidP="003D2511">
            <w:pPr>
              <w:autoSpaceDE w:val="0"/>
              <w:autoSpaceDN w:val="0"/>
              <w:adjustRightInd w:val="0"/>
              <w:spacing w:before="80" w:after="80"/>
              <w:jc w:val="left"/>
              <w:rPr>
                <w:rFonts w:cs="Calibri"/>
                <w:b/>
                <w:color w:val="000000"/>
                <w:sz w:val="20"/>
                <w:szCs w:val="18"/>
              </w:rPr>
            </w:pPr>
            <w:r w:rsidRPr="003D2511">
              <w:rPr>
                <w:rFonts w:cs="Calibri"/>
                <w:b/>
                <w:color w:val="000000"/>
                <w:sz w:val="20"/>
                <w:szCs w:val="18"/>
              </w:rPr>
              <w:t>Název projektu / centra</w:t>
            </w:r>
          </w:p>
        </w:tc>
        <w:tc>
          <w:tcPr>
            <w:tcW w:w="6095" w:type="dxa"/>
            <w:tcBorders>
              <w:top w:val="single" w:sz="4" w:space="0" w:color="auto"/>
              <w:bottom w:val="single" w:sz="4" w:space="0" w:color="auto"/>
            </w:tcBorders>
            <w:shd w:val="clear" w:color="auto" w:fill="D9D9D9" w:themeFill="background1" w:themeFillShade="D9"/>
            <w:vAlign w:val="center"/>
          </w:tcPr>
          <w:p w:rsidR="002E78C7" w:rsidRPr="003D2511" w:rsidRDefault="002E78C7" w:rsidP="003D2511">
            <w:pPr>
              <w:autoSpaceDE w:val="0"/>
              <w:autoSpaceDN w:val="0"/>
              <w:adjustRightInd w:val="0"/>
              <w:spacing w:before="80" w:after="80"/>
              <w:jc w:val="left"/>
              <w:rPr>
                <w:rFonts w:cs="Calibri"/>
                <w:b/>
                <w:color w:val="000000"/>
                <w:sz w:val="20"/>
                <w:szCs w:val="18"/>
              </w:rPr>
            </w:pPr>
            <w:r w:rsidRPr="003D2511">
              <w:rPr>
                <w:rFonts w:cs="Calibri"/>
                <w:b/>
                <w:color w:val="000000"/>
                <w:sz w:val="20"/>
                <w:szCs w:val="18"/>
              </w:rPr>
              <w:t>Charakteristika / expertíza / vybavení</w:t>
            </w:r>
          </w:p>
        </w:tc>
      </w:tr>
      <w:tr w:rsidR="009B3F47" w:rsidRPr="003D2511" w:rsidTr="003E4814">
        <w:trPr>
          <w:trHeight w:val="259"/>
        </w:trPr>
        <w:tc>
          <w:tcPr>
            <w:tcW w:w="3369" w:type="dxa"/>
            <w:tcBorders>
              <w:top w:val="single" w:sz="4" w:space="0" w:color="auto"/>
              <w:bottom w:val="single" w:sz="4" w:space="0" w:color="auto"/>
            </w:tcBorders>
            <w:shd w:val="clear" w:color="auto" w:fill="EAF1DD" w:themeFill="accent3" w:themeFillTint="33"/>
          </w:tcPr>
          <w:p w:rsidR="009B3F47" w:rsidRPr="003D2511" w:rsidRDefault="00990E2D" w:rsidP="003E4814">
            <w:pPr>
              <w:spacing w:before="40" w:after="40"/>
              <w:jc w:val="left"/>
              <w:rPr>
                <w:sz w:val="18"/>
                <w:szCs w:val="18"/>
              </w:rPr>
            </w:pPr>
            <w:hyperlink r:id="rId97" w:history="1">
              <w:r w:rsidR="009B3F47" w:rsidRPr="003D2511">
                <w:rPr>
                  <w:color w:val="0000FF" w:themeColor="hyperlink"/>
                  <w:sz w:val="18"/>
                  <w:szCs w:val="18"/>
                  <w:u w:val="single"/>
                </w:rPr>
                <w:t>Centrum pro nanomateriály, pokročilé technologie a inovace</w:t>
              </w:r>
            </w:hyperlink>
          </w:p>
        </w:tc>
        <w:tc>
          <w:tcPr>
            <w:tcW w:w="6095" w:type="dxa"/>
            <w:tcBorders>
              <w:top w:val="single" w:sz="4" w:space="0" w:color="auto"/>
              <w:bottom w:val="single" w:sz="4" w:space="0" w:color="auto"/>
            </w:tcBorders>
            <w:shd w:val="clear" w:color="auto" w:fill="EAF1DD" w:themeFill="accent3" w:themeFillTint="33"/>
          </w:tcPr>
          <w:p w:rsidR="009B3F47" w:rsidRPr="003D2511" w:rsidRDefault="009B3F47" w:rsidP="003E4814">
            <w:pPr>
              <w:tabs>
                <w:tab w:val="left" w:pos="960"/>
              </w:tabs>
              <w:spacing w:before="40" w:after="40"/>
              <w:jc w:val="left"/>
              <w:rPr>
                <w:sz w:val="18"/>
                <w:szCs w:val="18"/>
              </w:rPr>
            </w:pPr>
            <w:r w:rsidRPr="003D2511">
              <w:rPr>
                <w:sz w:val="18"/>
                <w:szCs w:val="18"/>
              </w:rPr>
              <w:t>Materiálový výzkum (</w:t>
            </w:r>
            <w:r w:rsidRPr="003D2511">
              <w:rPr>
                <w:rFonts w:cs="Calibri"/>
                <w:color w:val="000000"/>
                <w:sz w:val="18"/>
                <w:szCs w:val="18"/>
              </w:rPr>
              <w:t>nanomateriály, nanovlákna, kompozity, povrchy, strojírenství (optimalizace)</w:t>
            </w:r>
          </w:p>
        </w:tc>
      </w:tr>
      <w:tr w:rsidR="009B3F47" w:rsidRPr="003D2511" w:rsidTr="003E4814">
        <w:trPr>
          <w:trHeight w:val="71"/>
        </w:trPr>
        <w:tc>
          <w:tcPr>
            <w:tcW w:w="3369" w:type="dxa"/>
            <w:tcBorders>
              <w:top w:val="single" w:sz="4" w:space="0" w:color="auto"/>
              <w:bottom w:val="single" w:sz="4" w:space="0" w:color="auto"/>
            </w:tcBorders>
            <w:shd w:val="clear" w:color="auto" w:fill="EAF1DD" w:themeFill="accent3" w:themeFillTint="33"/>
          </w:tcPr>
          <w:p w:rsidR="009B3F47" w:rsidRPr="003D2511" w:rsidRDefault="00990E2D" w:rsidP="003E4814">
            <w:pPr>
              <w:spacing w:before="40" w:after="40"/>
              <w:jc w:val="left"/>
              <w:rPr>
                <w:sz w:val="18"/>
                <w:szCs w:val="18"/>
              </w:rPr>
            </w:pPr>
            <w:hyperlink r:id="rId98" w:history="1">
              <w:r w:rsidR="009B3F47" w:rsidRPr="003D2511">
                <w:rPr>
                  <w:color w:val="0000FF" w:themeColor="hyperlink"/>
                  <w:sz w:val="18"/>
                  <w:szCs w:val="18"/>
                  <w:u w:val="single"/>
                </w:rPr>
                <w:t>CETOCOEN</w:t>
              </w:r>
            </w:hyperlink>
            <w:r w:rsidR="009B3F47" w:rsidRPr="003D2511">
              <w:rPr>
                <w:sz w:val="18"/>
                <w:szCs w:val="18"/>
              </w:rPr>
              <w:t xml:space="preserve"> (Centrum pro výzkum toxických látek v prostředí) </w:t>
            </w:r>
          </w:p>
        </w:tc>
        <w:tc>
          <w:tcPr>
            <w:tcW w:w="6095" w:type="dxa"/>
            <w:tcBorders>
              <w:top w:val="single" w:sz="4" w:space="0" w:color="auto"/>
              <w:bottom w:val="single" w:sz="4" w:space="0" w:color="auto"/>
            </w:tcBorders>
            <w:shd w:val="clear" w:color="auto" w:fill="EAF1DD" w:themeFill="accent3" w:themeFillTint="33"/>
          </w:tcPr>
          <w:p w:rsidR="009B3F47" w:rsidRPr="003D2511" w:rsidRDefault="009B3F47" w:rsidP="004F74B7">
            <w:pPr>
              <w:numPr>
                <w:ilvl w:val="0"/>
                <w:numId w:val="9"/>
              </w:numPr>
              <w:autoSpaceDE w:val="0"/>
              <w:autoSpaceDN w:val="0"/>
              <w:adjustRightInd w:val="0"/>
              <w:spacing w:before="40" w:after="40"/>
              <w:ind w:left="176" w:hanging="176"/>
              <w:jc w:val="left"/>
              <w:rPr>
                <w:rFonts w:cs="Calibri"/>
                <w:color w:val="000000"/>
                <w:sz w:val="18"/>
                <w:szCs w:val="18"/>
              </w:rPr>
            </w:pPr>
            <w:r w:rsidRPr="003D2511">
              <w:rPr>
                <w:rFonts w:cs="Calibri"/>
                <w:color w:val="000000"/>
                <w:sz w:val="18"/>
                <w:szCs w:val="18"/>
              </w:rPr>
              <w:t xml:space="preserve">Chemické látky v prostředí </w:t>
            </w:r>
          </w:p>
          <w:p w:rsidR="009B3F47" w:rsidRPr="003D2511" w:rsidRDefault="009B3F47" w:rsidP="004F74B7">
            <w:pPr>
              <w:numPr>
                <w:ilvl w:val="0"/>
                <w:numId w:val="9"/>
              </w:numPr>
              <w:autoSpaceDE w:val="0"/>
              <w:autoSpaceDN w:val="0"/>
              <w:adjustRightInd w:val="0"/>
              <w:spacing w:before="40" w:after="40"/>
              <w:ind w:left="176" w:hanging="176"/>
              <w:jc w:val="left"/>
              <w:rPr>
                <w:rFonts w:cs="Calibri"/>
                <w:color w:val="000000"/>
                <w:sz w:val="18"/>
                <w:szCs w:val="18"/>
              </w:rPr>
            </w:pPr>
            <w:r w:rsidRPr="003D2511">
              <w:rPr>
                <w:rFonts w:cs="Calibri"/>
                <w:color w:val="000000"/>
                <w:sz w:val="18"/>
                <w:szCs w:val="18"/>
              </w:rPr>
              <w:t>Vývoj biosenzorů a biokatalyzátorů</w:t>
            </w:r>
          </w:p>
          <w:p w:rsidR="009B3F47" w:rsidRPr="003D2511" w:rsidRDefault="009B3F47" w:rsidP="004F74B7">
            <w:pPr>
              <w:numPr>
                <w:ilvl w:val="0"/>
                <w:numId w:val="9"/>
              </w:numPr>
              <w:autoSpaceDE w:val="0"/>
              <w:autoSpaceDN w:val="0"/>
              <w:adjustRightInd w:val="0"/>
              <w:spacing w:before="40" w:after="40"/>
              <w:ind w:left="176" w:hanging="176"/>
              <w:jc w:val="left"/>
              <w:rPr>
                <w:rFonts w:cs="Calibri"/>
                <w:color w:val="000000"/>
                <w:sz w:val="18"/>
                <w:szCs w:val="18"/>
              </w:rPr>
            </w:pPr>
            <w:r w:rsidRPr="003D2511">
              <w:rPr>
                <w:rFonts w:cs="Calibri"/>
                <w:color w:val="000000"/>
                <w:sz w:val="18"/>
                <w:szCs w:val="18"/>
              </w:rPr>
              <w:t>Toxické účinky chemických látek a přírodních toxinů na živé organismy</w:t>
            </w:r>
          </w:p>
          <w:p w:rsidR="009B3F47" w:rsidRPr="003D2511" w:rsidRDefault="009B3F47" w:rsidP="004F74B7">
            <w:pPr>
              <w:numPr>
                <w:ilvl w:val="0"/>
                <w:numId w:val="9"/>
              </w:numPr>
              <w:autoSpaceDE w:val="0"/>
              <w:autoSpaceDN w:val="0"/>
              <w:adjustRightInd w:val="0"/>
              <w:spacing w:before="40" w:after="40"/>
              <w:ind w:left="176" w:hanging="176"/>
              <w:jc w:val="left"/>
              <w:rPr>
                <w:sz w:val="18"/>
                <w:szCs w:val="18"/>
              </w:rPr>
            </w:pPr>
            <w:r w:rsidRPr="003D2511">
              <w:rPr>
                <w:rFonts w:cs="Calibri"/>
                <w:color w:val="000000"/>
                <w:sz w:val="18"/>
                <w:szCs w:val="18"/>
              </w:rPr>
              <w:t>Environmentální rizika, modely a informační systémy</w:t>
            </w:r>
          </w:p>
        </w:tc>
      </w:tr>
      <w:tr w:rsidR="009B3F47" w:rsidRPr="003D2511" w:rsidTr="003E4814">
        <w:trPr>
          <w:trHeight w:val="165"/>
        </w:trPr>
        <w:tc>
          <w:tcPr>
            <w:tcW w:w="3369" w:type="dxa"/>
            <w:tcBorders>
              <w:top w:val="single" w:sz="4" w:space="0" w:color="auto"/>
              <w:bottom w:val="single" w:sz="4" w:space="0" w:color="auto"/>
            </w:tcBorders>
            <w:shd w:val="clear" w:color="auto" w:fill="EAF1DD" w:themeFill="accent3" w:themeFillTint="33"/>
          </w:tcPr>
          <w:p w:rsidR="009B3F47" w:rsidRPr="003D2511" w:rsidRDefault="009B3F47" w:rsidP="003E4814">
            <w:pPr>
              <w:autoSpaceDE w:val="0"/>
              <w:autoSpaceDN w:val="0"/>
              <w:adjustRightInd w:val="0"/>
              <w:spacing w:before="40" w:after="40"/>
              <w:jc w:val="left"/>
              <w:rPr>
                <w:rFonts w:cs="Calibri"/>
                <w:color w:val="000000"/>
                <w:sz w:val="18"/>
                <w:szCs w:val="18"/>
              </w:rPr>
            </w:pPr>
            <w:r w:rsidRPr="003D2511">
              <w:rPr>
                <w:rFonts w:cs="Calibri"/>
                <w:sz w:val="18"/>
                <w:szCs w:val="18"/>
              </w:rPr>
              <w:t xml:space="preserve">Centrum bezpečnostních, informačních a pokročilých </w:t>
            </w:r>
            <w:r w:rsidRPr="003D2511">
              <w:rPr>
                <w:rFonts w:cs="Calibri"/>
                <w:color w:val="000000"/>
                <w:sz w:val="18"/>
                <w:szCs w:val="18"/>
              </w:rPr>
              <w:t>technologií (</w:t>
            </w:r>
            <w:hyperlink r:id="rId99" w:history="1">
              <w:r w:rsidRPr="003D2511">
                <w:rPr>
                  <w:rFonts w:cs="Calibri"/>
                  <w:color w:val="0000FF" w:themeColor="hyperlink"/>
                  <w:sz w:val="18"/>
                  <w:szCs w:val="18"/>
                  <w:u w:val="single"/>
                </w:rPr>
                <w:t>CEBIA</w:t>
              </w:r>
            </w:hyperlink>
            <w:r w:rsidRPr="003D2511">
              <w:rPr>
                <w:rFonts w:cs="Calibri"/>
                <w:color w:val="000000"/>
                <w:sz w:val="18"/>
                <w:szCs w:val="18"/>
              </w:rPr>
              <w:t>)</w:t>
            </w:r>
          </w:p>
        </w:tc>
        <w:tc>
          <w:tcPr>
            <w:tcW w:w="6095" w:type="dxa"/>
            <w:tcBorders>
              <w:top w:val="single" w:sz="4" w:space="0" w:color="auto"/>
              <w:bottom w:val="single" w:sz="4" w:space="0" w:color="auto"/>
            </w:tcBorders>
            <w:shd w:val="clear" w:color="auto" w:fill="EAF1DD" w:themeFill="accent3" w:themeFillTint="33"/>
          </w:tcPr>
          <w:p w:rsidR="009B3F47" w:rsidRPr="003D2511" w:rsidRDefault="009B3F47" w:rsidP="003E4814">
            <w:pPr>
              <w:autoSpaceDE w:val="0"/>
              <w:autoSpaceDN w:val="0"/>
              <w:adjustRightInd w:val="0"/>
              <w:spacing w:before="40" w:after="40"/>
              <w:jc w:val="left"/>
              <w:rPr>
                <w:rFonts w:cs="Calibri"/>
                <w:color w:val="000000"/>
                <w:sz w:val="18"/>
                <w:szCs w:val="18"/>
              </w:rPr>
            </w:pPr>
            <w:r w:rsidRPr="003D2511">
              <w:rPr>
                <w:rFonts w:cs="Calibri"/>
                <w:color w:val="000000"/>
                <w:sz w:val="18"/>
                <w:szCs w:val="18"/>
              </w:rPr>
              <w:t>Informatika (grid computing a umělá inteligence)</w:t>
            </w:r>
          </w:p>
          <w:p w:rsidR="009B3F47" w:rsidRPr="003D2511" w:rsidRDefault="009B3F47" w:rsidP="003E4814">
            <w:pPr>
              <w:autoSpaceDE w:val="0"/>
              <w:autoSpaceDN w:val="0"/>
              <w:adjustRightInd w:val="0"/>
              <w:spacing w:before="40" w:after="40"/>
              <w:jc w:val="left"/>
              <w:rPr>
                <w:rFonts w:cs="Calibri"/>
                <w:color w:val="000000"/>
                <w:sz w:val="18"/>
                <w:szCs w:val="18"/>
              </w:rPr>
            </w:pPr>
            <w:r w:rsidRPr="003D2511">
              <w:rPr>
                <w:rFonts w:cs="Calibri"/>
                <w:color w:val="000000"/>
                <w:sz w:val="18"/>
                <w:szCs w:val="18"/>
              </w:rPr>
              <w:t>Bezpečnostní výzkum (mobilní datové a telekomunikační sítě)</w:t>
            </w:r>
          </w:p>
          <w:p w:rsidR="009B3F47" w:rsidRPr="003D2511" w:rsidRDefault="009B3F47" w:rsidP="003E4814">
            <w:pPr>
              <w:autoSpaceDE w:val="0"/>
              <w:autoSpaceDN w:val="0"/>
              <w:adjustRightInd w:val="0"/>
              <w:spacing w:before="40" w:after="40"/>
              <w:jc w:val="left"/>
              <w:rPr>
                <w:rFonts w:cs="Calibri"/>
                <w:color w:val="000000"/>
                <w:sz w:val="18"/>
                <w:szCs w:val="18"/>
              </w:rPr>
            </w:pPr>
            <w:r w:rsidRPr="003D2511">
              <w:rPr>
                <w:rFonts w:cs="Calibri"/>
                <w:color w:val="000000"/>
                <w:sz w:val="18"/>
                <w:szCs w:val="18"/>
              </w:rPr>
              <w:t>Detekce a analýza nebezpečných látek, zobrazovací systémy (skenovací mechanismy apod.) s využitím v bezpečnostním průmyslu (RTG screenery pro vstupní kontrolu zavazadel a osob)</w:t>
            </w:r>
          </w:p>
          <w:p w:rsidR="009B3F47" w:rsidRPr="003D2511" w:rsidRDefault="009B3F47" w:rsidP="003E4814">
            <w:pPr>
              <w:autoSpaceDE w:val="0"/>
              <w:autoSpaceDN w:val="0"/>
              <w:adjustRightInd w:val="0"/>
              <w:spacing w:before="40" w:after="40"/>
              <w:jc w:val="left"/>
              <w:rPr>
                <w:rFonts w:cs="Calibri"/>
                <w:color w:val="000000"/>
                <w:sz w:val="18"/>
                <w:szCs w:val="18"/>
              </w:rPr>
            </w:pPr>
            <w:r w:rsidRPr="003D2511">
              <w:rPr>
                <w:rFonts w:cs="Calibri"/>
                <w:color w:val="000000"/>
                <w:sz w:val="18"/>
                <w:szCs w:val="18"/>
              </w:rPr>
              <w:t>Ochrana elektronických systémů proti rušení</w:t>
            </w:r>
          </w:p>
          <w:p w:rsidR="009B3F47" w:rsidRPr="003D2511" w:rsidRDefault="009B3F47" w:rsidP="003E4814">
            <w:pPr>
              <w:autoSpaceDE w:val="0"/>
              <w:autoSpaceDN w:val="0"/>
              <w:adjustRightInd w:val="0"/>
              <w:spacing w:before="40" w:after="40"/>
              <w:jc w:val="left"/>
              <w:rPr>
                <w:rFonts w:cs="Calibri"/>
                <w:color w:val="000000"/>
                <w:sz w:val="18"/>
                <w:szCs w:val="18"/>
              </w:rPr>
            </w:pPr>
            <w:r w:rsidRPr="003D2511">
              <w:rPr>
                <w:rFonts w:cs="Calibri"/>
                <w:color w:val="000000"/>
                <w:sz w:val="18"/>
                <w:szCs w:val="18"/>
              </w:rPr>
              <w:t>Specializovaná laboratoř ve spolupráci s výrobci letecké techniky - měření elektrických a magnetických charakteristik leteckých konstrukčních materiálů, elektromagnetická kompatibilita, standardizace, apod.</w:t>
            </w:r>
          </w:p>
          <w:p w:rsidR="009B3F47" w:rsidRPr="003D2511" w:rsidRDefault="009B3F47" w:rsidP="003E4814">
            <w:pPr>
              <w:autoSpaceDE w:val="0"/>
              <w:autoSpaceDN w:val="0"/>
              <w:adjustRightInd w:val="0"/>
              <w:spacing w:before="40" w:after="40"/>
              <w:jc w:val="left"/>
              <w:rPr>
                <w:rFonts w:cs="Calibri"/>
                <w:color w:val="000000"/>
                <w:sz w:val="18"/>
                <w:szCs w:val="18"/>
              </w:rPr>
            </w:pPr>
            <w:r w:rsidRPr="003D2511">
              <w:rPr>
                <w:rFonts w:cs="Calibri"/>
                <w:color w:val="000000"/>
                <w:sz w:val="18"/>
                <w:szCs w:val="18"/>
              </w:rPr>
              <w:t>Alternativní zdroje energie</w:t>
            </w:r>
          </w:p>
        </w:tc>
      </w:tr>
      <w:tr w:rsidR="009B3F47" w:rsidRPr="003D2511" w:rsidTr="003E4814">
        <w:trPr>
          <w:trHeight w:val="165"/>
        </w:trPr>
        <w:tc>
          <w:tcPr>
            <w:tcW w:w="3369" w:type="dxa"/>
            <w:tcBorders>
              <w:top w:val="single" w:sz="4" w:space="0" w:color="auto"/>
              <w:bottom w:val="single" w:sz="4" w:space="0" w:color="auto"/>
            </w:tcBorders>
          </w:tcPr>
          <w:p w:rsidR="009B3F47" w:rsidRPr="003D2511" w:rsidRDefault="009B3F47" w:rsidP="003E4814">
            <w:pPr>
              <w:autoSpaceDE w:val="0"/>
              <w:autoSpaceDN w:val="0"/>
              <w:adjustRightInd w:val="0"/>
              <w:spacing w:before="40" w:after="40"/>
              <w:jc w:val="left"/>
              <w:rPr>
                <w:rFonts w:cs="Calibri"/>
                <w:color w:val="000000"/>
                <w:sz w:val="18"/>
                <w:szCs w:val="18"/>
              </w:rPr>
            </w:pPr>
            <w:r w:rsidRPr="003D2511">
              <w:rPr>
                <w:rFonts w:cs="Calibri"/>
                <w:color w:val="000000"/>
                <w:sz w:val="18"/>
                <w:szCs w:val="18"/>
              </w:rPr>
              <w:t>Centrum senzorických, informačních a komunikačních systémů (</w:t>
            </w:r>
            <w:hyperlink r:id="rId100" w:history="1">
              <w:r w:rsidRPr="003D2511">
                <w:rPr>
                  <w:rFonts w:cs="Calibri"/>
                  <w:color w:val="0000FF" w:themeColor="hyperlink"/>
                  <w:sz w:val="18"/>
                  <w:szCs w:val="18"/>
                  <w:u w:val="single"/>
                </w:rPr>
                <w:t>SIX</w:t>
              </w:r>
            </w:hyperlink>
            <w:r w:rsidRPr="003D2511">
              <w:rPr>
                <w:rFonts w:cs="Calibri"/>
                <w:color w:val="000000"/>
                <w:sz w:val="18"/>
                <w:szCs w:val="18"/>
              </w:rPr>
              <w:t>)</w:t>
            </w:r>
          </w:p>
        </w:tc>
        <w:tc>
          <w:tcPr>
            <w:tcW w:w="6095" w:type="dxa"/>
            <w:tcBorders>
              <w:top w:val="single" w:sz="4" w:space="0" w:color="auto"/>
              <w:bottom w:val="single" w:sz="4" w:space="0" w:color="auto"/>
            </w:tcBorders>
          </w:tcPr>
          <w:p w:rsidR="009B3F47" w:rsidRPr="003D2511" w:rsidRDefault="009B3F47" w:rsidP="003E4814">
            <w:pPr>
              <w:autoSpaceDE w:val="0"/>
              <w:autoSpaceDN w:val="0"/>
              <w:adjustRightInd w:val="0"/>
              <w:spacing w:before="40" w:after="40"/>
              <w:jc w:val="left"/>
              <w:rPr>
                <w:rFonts w:cs="Calibri"/>
                <w:color w:val="000000"/>
                <w:sz w:val="18"/>
                <w:szCs w:val="18"/>
              </w:rPr>
            </w:pPr>
            <w:r w:rsidRPr="003D2511">
              <w:rPr>
                <w:rFonts w:cs="Calibri"/>
                <w:color w:val="000000"/>
                <w:sz w:val="18"/>
                <w:szCs w:val="18"/>
              </w:rPr>
              <w:t>Komunikační a informační systémy (systémové vrstvy, konvergované ICT, zpracování signálů, snímání a detekce (včetně chemických a biologických látek)</w:t>
            </w:r>
          </w:p>
        </w:tc>
      </w:tr>
      <w:tr w:rsidR="009666E5" w:rsidRPr="003D2511" w:rsidTr="003E4814">
        <w:trPr>
          <w:trHeight w:val="165"/>
        </w:trPr>
        <w:tc>
          <w:tcPr>
            <w:tcW w:w="3369" w:type="dxa"/>
            <w:tcBorders>
              <w:top w:val="single" w:sz="4" w:space="0" w:color="auto"/>
              <w:bottom w:val="single" w:sz="4" w:space="0" w:color="auto"/>
            </w:tcBorders>
          </w:tcPr>
          <w:p w:rsidR="009666E5" w:rsidRPr="003D2511" w:rsidRDefault="009666E5" w:rsidP="003E4814">
            <w:pPr>
              <w:spacing w:before="40" w:after="40"/>
              <w:jc w:val="left"/>
              <w:rPr>
                <w:sz w:val="18"/>
                <w:szCs w:val="18"/>
              </w:rPr>
            </w:pPr>
            <w:r w:rsidRPr="003D2511">
              <w:rPr>
                <w:sz w:val="18"/>
                <w:szCs w:val="18"/>
              </w:rPr>
              <w:t>Centrum pro aplikovanou mikrobiologii a imunologii ve veterinární medicíně</w:t>
            </w:r>
          </w:p>
        </w:tc>
        <w:tc>
          <w:tcPr>
            <w:tcW w:w="6095" w:type="dxa"/>
            <w:tcBorders>
              <w:top w:val="single" w:sz="4" w:space="0" w:color="auto"/>
              <w:bottom w:val="single" w:sz="4" w:space="0" w:color="auto"/>
            </w:tcBorders>
          </w:tcPr>
          <w:p w:rsidR="009666E5" w:rsidRPr="003D2511" w:rsidRDefault="009666E5" w:rsidP="004F74B7">
            <w:pPr>
              <w:numPr>
                <w:ilvl w:val="0"/>
                <w:numId w:val="9"/>
              </w:numPr>
              <w:autoSpaceDE w:val="0"/>
              <w:autoSpaceDN w:val="0"/>
              <w:adjustRightInd w:val="0"/>
              <w:spacing w:before="40" w:after="40"/>
              <w:ind w:left="176" w:hanging="176"/>
              <w:jc w:val="left"/>
              <w:rPr>
                <w:rFonts w:cs="Calibri"/>
                <w:color w:val="000000"/>
                <w:sz w:val="18"/>
                <w:szCs w:val="18"/>
              </w:rPr>
            </w:pPr>
            <w:r w:rsidRPr="003D2511">
              <w:rPr>
                <w:rFonts w:cs="Calibri"/>
                <w:color w:val="000000"/>
                <w:sz w:val="18"/>
                <w:szCs w:val="18"/>
              </w:rPr>
              <w:t>Mikrobiologie (vývoj vakcín, imunitní odpovědi hostitele, infekční onemocnění)</w:t>
            </w:r>
          </w:p>
          <w:p w:rsidR="009666E5" w:rsidRPr="003D2511" w:rsidRDefault="009666E5" w:rsidP="004F74B7">
            <w:pPr>
              <w:numPr>
                <w:ilvl w:val="0"/>
                <w:numId w:val="9"/>
              </w:numPr>
              <w:autoSpaceDE w:val="0"/>
              <w:autoSpaceDN w:val="0"/>
              <w:adjustRightInd w:val="0"/>
              <w:spacing w:before="40" w:after="40"/>
              <w:ind w:left="176" w:hanging="176"/>
              <w:jc w:val="left"/>
              <w:rPr>
                <w:rFonts w:cs="Calibri"/>
                <w:color w:val="000000"/>
                <w:sz w:val="18"/>
                <w:szCs w:val="18"/>
              </w:rPr>
            </w:pPr>
            <w:r w:rsidRPr="003D2511">
              <w:rPr>
                <w:rFonts w:cs="Calibri"/>
                <w:color w:val="000000"/>
                <w:sz w:val="18"/>
                <w:szCs w:val="18"/>
              </w:rPr>
              <w:t>Testování léků, diagnostické soupravy pro detekci biologických agens a chemických kontaminant</w:t>
            </w:r>
          </w:p>
        </w:tc>
      </w:tr>
      <w:tr w:rsidR="009B3F47" w:rsidRPr="003D2511" w:rsidTr="003E4814">
        <w:trPr>
          <w:trHeight w:val="165"/>
        </w:trPr>
        <w:tc>
          <w:tcPr>
            <w:tcW w:w="3369" w:type="dxa"/>
            <w:tcBorders>
              <w:top w:val="single" w:sz="4" w:space="0" w:color="auto"/>
              <w:bottom w:val="single" w:sz="4" w:space="0" w:color="auto"/>
            </w:tcBorders>
            <w:shd w:val="clear" w:color="auto" w:fill="EAF1DD" w:themeFill="accent3" w:themeFillTint="33"/>
          </w:tcPr>
          <w:p w:rsidR="009B3F47" w:rsidRPr="003D2511" w:rsidRDefault="00990E2D" w:rsidP="003E4814">
            <w:pPr>
              <w:autoSpaceDE w:val="0"/>
              <w:autoSpaceDN w:val="0"/>
              <w:adjustRightInd w:val="0"/>
              <w:spacing w:before="40" w:after="40"/>
              <w:jc w:val="left"/>
              <w:rPr>
                <w:rFonts w:cs="Calibri"/>
                <w:color w:val="000000"/>
                <w:sz w:val="18"/>
                <w:szCs w:val="18"/>
              </w:rPr>
            </w:pPr>
            <w:hyperlink r:id="rId101" w:history="1">
              <w:r w:rsidR="009B3F47" w:rsidRPr="003D2511">
                <w:rPr>
                  <w:rFonts w:cs="Calibri"/>
                  <w:color w:val="0000FF" w:themeColor="hyperlink"/>
                  <w:sz w:val="18"/>
                  <w:szCs w:val="18"/>
                  <w:u w:val="single"/>
                </w:rPr>
                <w:t>ENET</w:t>
              </w:r>
            </w:hyperlink>
            <w:r w:rsidR="009B3F47" w:rsidRPr="003D2511">
              <w:rPr>
                <w:rFonts w:cs="Calibri"/>
                <w:color w:val="000000"/>
                <w:sz w:val="18"/>
                <w:szCs w:val="18"/>
              </w:rPr>
              <w:t xml:space="preserve"> - Energetické jednotky pro využití netradičních zdrojů energie</w:t>
            </w:r>
          </w:p>
        </w:tc>
        <w:tc>
          <w:tcPr>
            <w:tcW w:w="6095" w:type="dxa"/>
            <w:tcBorders>
              <w:top w:val="single" w:sz="4" w:space="0" w:color="auto"/>
              <w:bottom w:val="single" w:sz="4" w:space="0" w:color="auto"/>
            </w:tcBorders>
            <w:shd w:val="clear" w:color="auto" w:fill="EAF1DD" w:themeFill="accent3" w:themeFillTint="33"/>
          </w:tcPr>
          <w:p w:rsidR="009B3F47" w:rsidRPr="003D2511" w:rsidRDefault="009B3F47" w:rsidP="004F74B7">
            <w:pPr>
              <w:numPr>
                <w:ilvl w:val="0"/>
                <w:numId w:val="9"/>
              </w:numPr>
              <w:autoSpaceDE w:val="0"/>
              <w:autoSpaceDN w:val="0"/>
              <w:adjustRightInd w:val="0"/>
              <w:spacing w:before="40" w:after="40"/>
              <w:ind w:left="176" w:hanging="176"/>
              <w:jc w:val="left"/>
              <w:rPr>
                <w:rFonts w:cs="Calibri"/>
                <w:color w:val="000000"/>
                <w:sz w:val="18"/>
                <w:szCs w:val="18"/>
              </w:rPr>
            </w:pPr>
            <w:r w:rsidRPr="003D2511">
              <w:rPr>
                <w:rFonts w:cs="Calibri"/>
                <w:color w:val="000000"/>
                <w:sz w:val="18"/>
                <w:szCs w:val="18"/>
              </w:rPr>
              <w:t>Zpracování a využití druhotných surovin a odpadů, bezodpadové technologie</w:t>
            </w:r>
          </w:p>
          <w:p w:rsidR="009B3F47" w:rsidRPr="003D2511" w:rsidRDefault="009B3F47" w:rsidP="004F74B7">
            <w:pPr>
              <w:numPr>
                <w:ilvl w:val="0"/>
                <w:numId w:val="9"/>
              </w:numPr>
              <w:autoSpaceDE w:val="0"/>
              <w:autoSpaceDN w:val="0"/>
              <w:adjustRightInd w:val="0"/>
              <w:spacing w:before="40" w:after="40"/>
              <w:ind w:left="176" w:hanging="176"/>
              <w:jc w:val="left"/>
              <w:rPr>
                <w:rFonts w:cs="Calibri"/>
                <w:color w:val="000000"/>
                <w:sz w:val="18"/>
                <w:szCs w:val="18"/>
              </w:rPr>
            </w:pPr>
            <w:r w:rsidRPr="003D2511">
              <w:rPr>
                <w:rFonts w:cs="Calibri"/>
                <w:color w:val="000000"/>
                <w:sz w:val="18"/>
                <w:szCs w:val="18"/>
              </w:rPr>
              <w:t>Energetika (Smart Grids a Smart Cities, kogenerace a akumulace, alternativní a obnovitelné zdroje)</w:t>
            </w:r>
          </w:p>
        </w:tc>
      </w:tr>
      <w:tr w:rsidR="009B3F47" w:rsidRPr="003D2511" w:rsidTr="003E4814">
        <w:trPr>
          <w:trHeight w:val="73"/>
        </w:trPr>
        <w:tc>
          <w:tcPr>
            <w:tcW w:w="3369" w:type="dxa"/>
            <w:tcBorders>
              <w:top w:val="single" w:sz="4" w:space="0" w:color="auto"/>
              <w:bottom w:val="single" w:sz="4" w:space="0" w:color="auto"/>
            </w:tcBorders>
            <w:shd w:val="clear" w:color="auto" w:fill="EAF1DD" w:themeFill="accent3" w:themeFillTint="33"/>
          </w:tcPr>
          <w:p w:rsidR="009B3F47" w:rsidRPr="003D2511" w:rsidRDefault="00990E2D" w:rsidP="003E4814">
            <w:pPr>
              <w:autoSpaceDE w:val="0"/>
              <w:autoSpaceDN w:val="0"/>
              <w:adjustRightInd w:val="0"/>
              <w:spacing w:before="40" w:after="40"/>
              <w:jc w:val="left"/>
              <w:rPr>
                <w:rFonts w:cs="Calibri"/>
                <w:color w:val="000000"/>
                <w:sz w:val="18"/>
                <w:szCs w:val="18"/>
              </w:rPr>
            </w:pPr>
            <w:hyperlink r:id="rId102" w:history="1">
              <w:r w:rsidR="009B3F47" w:rsidRPr="003D2511">
                <w:rPr>
                  <w:rFonts w:cs="Calibri"/>
                  <w:color w:val="0000FF" w:themeColor="hyperlink"/>
                  <w:sz w:val="18"/>
                  <w:szCs w:val="18"/>
                  <w:u w:val="single"/>
                </w:rPr>
                <w:t>Centrum nových technologií a materiálů</w:t>
              </w:r>
            </w:hyperlink>
            <w:r w:rsidR="009B3F47">
              <w:rPr>
                <w:rFonts w:cs="Calibri"/>
                <w:color w:val="0000FF" w:themeColor="hyperlink"/>
                <w:sz w:val="18"/>
                <w:szCs w:val="18"/>
                <w:u w:val="single"/>
              </w:rPr>
              <w:t xml:space="preserve"> (CENTEM)</w:t>
            </w:r>
          </w:p>
        </w:tc>
        <w:tc>
          <w:tcPr>
            <w:tcW w:w="6095" w:type="dxa"/>
            <w:tcBorders>
              <w:top w:val="single" w:sz="4" w:space="0" w:color="auto"/>
              <w:bottom w:val="single" w:sz="4" w:space="0" w:color="auto"/>
            </w:tcBorders>
            <w:shd w:val="clear" w:color="auto" w:fill="EAF1DD" w:themeFill="accent3" w:themeFillTint="33"/>
          </w:tcPr>
          <w:p w:rsidR="009B3F47" w:rsidRPr="003D2511" w:rsidRDefault="009B3F47" w:rsidP="003E4814">
            <w:pPr>
              <w:autoSpaceDE w:val="0"/>
              <w:autoSpaceDN w:val="0"/>
              <w:adjustRightInd w:val="0"/>
              <w:spacing w:before="40" w:after="40"/>
              <w:jc w:val="left"/>
              <w:rPr>
                <w:rFonts w:cs="Calibri"/>
                <w:color w:val="000000"/>
                <w:sz w:val="18"/>
                <w:szCs w:val="18"/>
              </w:rPr>
            </w:pPr>
            <w:r w:rsidRPr="003D2511">
              <w:rPr>
                <w:rFonts w:cs="Calibri"/>
                <w:color w:val="000000"/>
                <w:sz w:val="18"/>
                <w:szCs w:val="18"/>
              </w:rPr>
              <w:t>Materiály (rentgenová spektroskopie a difrakce, mikroskopie, spektrometrie, tenké vrstvy)</w:t>
            </w:r>
          </w:p>
          <w:p w:rsidR="009B3F47" w:rsidRPr="003D2511" w:rsidRDefault="009B3F47" w:rsidP="003E4814">
            <w:pPr>
              <w:autoSpaceDE w:val="0"/>
              <w:autoSpaceDN w:val="0"/>
              <w:adjustRightInd w:val="0"/>
              <w:spacing w:before="40" w:after="40"/>
              <w:jc w:val="left"/>
              <w:rPr>
                <w:rFonts w:cs="Calibri"/>
                <w:color w:val="000000"/>
                <w:sz w:val="18"/>
                <w:szCs w:val="18"/>
              </w:rPr>
            </w:pPr>
            <w:r w:rsidRPr="003D2511">
              <w:rPr>
                <w:rFonts w:cs="Calibri"/>
                <w:color w:val="000000"/>
                <w:sz w:val="18"/>
                <w:szCs w:val="18"/>
              </w:rPr>
              <w:t>Laserové technologie</w:t>
            </w:r>
          </w:p>
          <w:p w:rsidR="009B3F47" w:rsidRPr="003D2511" w:rsidRDefault="009B3F47" w:rsidP="003E4814">
            <w:pPr>
              <w:autoSpaceDE w:val="0"/>
              <w:autoSpaceDN w:val="0"/>
              <w:adjustRightInd w:val="0"/>
              <w:spacing w:before="40" w:after="40"/>
              <w:jc w:val="left"/>
              <w:rPr>
                <w:rFonts w:cs="Calibri"/>
                <w:color w:val="000000"/>
                <w:sz w:val="18"/>
                <w:szCs w:val="18"/>
              </w:rPr>
            </w:pPr>
            <w:r w:rsidRPr="003D2511">
              <w:rPr>
                <w:rFonts w:cs="Calibri"/>
                <w:color w:val="000000"/>
                <w:sz w:val="18"/>
                <w:szCs w:val="18"/>
              </w:rPr>
              <w:t>Počítačové modelování</w:t>
            </w:r>
          </w:p>
          <w:p w:rsidR="009B3F47" w:rsidRPr="003D2511" w:rsidRDefault="009B3F47" w:rsidP="003E4814">
            <w:pPr>
              <w:autoSpaceDE w:val="0"/>
              <w:autoSpaceDN w:val="0"/>
              <w:adjustRightInd w:val="0"/>
              <w:spacing w:before="40" w:after="40"/>
              <w:jc w:val="left"/>
              <w:rPr>
                <w:rFonts w:cs="Calibri"/>
                <w:color w:val="000000"/>
                <w:sz w:val="18"/>
                <w:szCs w:val="18"/>
              </w:rPr>
            </w:pPr>
            <w:r w:rsidRPr="003D2511">
              <w:rPr>
                <w:rFonts w:cs="Calibri"/>
                <w:color w:val="000000"/>
                <w:sz w:val="18"/>
                <w:szCs w:val="18"/>
              </w:rPr>
              <w:t>Biomechanika a bioinženýrství</w:t>
            </w:r>
          </w:p>
        </w:tc>
      </w:tr>
      <w:tr w:rsidR="002E78C7" w:rsidRPr="003D2511" w:rsidTr="002E78C7">
        <w:trPr>
          <w:trHeight w:val="165"/>
        </w:trPr>
        <w:tc>
          <w:tcPr>
            <w:tcW w:w="3369" w:type="dxa"/>
            <w:tcBorders>
              <w:top w:val="nil"/>
              <w:bottom w:val="single" w:sz="4" w:space="0" w:color="auto"/>
            </w:tcBorders>
            <w:shd w:val="clear" w:color="auto" w:fill="EAF1DD" w:themeFill="accent3" w:themeFillTint="33"/>
          </w:tcPr>
          <w:p w:rsidR="002E78C7" w:rsidRPr="003D2511" w:rsidRDefault="00990E2D" w:rsidP="003D2511">
            <w:pPr>
              <w:spacing w:before="0" w:after="0"/>
              <w:jc w:val="left"/>
              <w:rPr>
                <w:sz w:val="18"/>
                <w:szCs w:val="18"/>
              </w:rPr>
            </w:pPr>
            <w:hyperlink r:id="rId103" w:history="1">
              <w:r w:rsidR="002E78C7" w:rsidRPr="003D2511">
                <w:rPr>
                  <w:color w:val="0000FF" w:themeColor="hyperlink"/>
                  <w:sz w:val="18"/>
                  <w:szCs w:val="18"/>
                  <w:u w:val="single"/>
                </w:rPr>
                <w:t>NETME Centre</w:t>
              </w:r>
            </w:hyperlink>
            <w:r w:rsidR="002E78C7" w:rsidRPr="003D2511">
              <w:rPr>
                <w:sz w:val="18"/>
                <w:szCs w:val="18"/>
              </w:rPr>
              <w:t xml:space="preserve"> (Nové technologie pro strojírenství)</w:t>
            </w:r>
          </w:p>
        </w:tc>
        <w:tc>
          <w:tcPr>
            <w:tcW w:w="6095" w:type="dxa"/>
            <w:tcBorders>
              <w:top w:val="nil"/>
              <w:bottom w:val="single" w:sz="4" w:space="0" w:color="auto"/>
            </w:tcBorders>
            <w:shd w:val="clear" w:color="auto" w:fill="EAF1DD" w:themeFill="accent3" w:themeFillTint="33"/>
          </w:tcPr>
          <w:p w:rsidR="002E78C7" w:rsidRPr="003D2511" w:rsidRDefault="002E78C7" w:rsidP="003D2511">
            <w:pPr>
              <w:autoSpaceDE w:val="0"/>
              <w:autoSpaceDN w:val="0"/>
              <w:adjustRightInd w:val="0"/>
              <w:spacing w:before="0" w:after="0"/>
              <w:jc w:val="left"/>
              <w:rPr>
                <w:sz w:val="18"/>
                <w:szCs w:val="18"/>
              </w:rPr>
            </w:pPr>
            <w:r w:rsidRPr="003D2511">
              <w:rPr>
                <w:rFonts w:cs="Calibri"/>
                <w:color w:val="000000"/>
                <w:sz w:val="18"/>
                <w:szCs w:val="18"/>
              </w:rPr>
              <w:t>Energetika, letecká a automobilní technika (včetně bezpečnosti), mechatronika, materiály</w:t>
            </w:r>
          </w:p>
        </w:tc>
      </w:tr>
      <w:tr w:rsidR="009B3F47" w:rsidRPr="003D2511" w:rsidTr="003E4814">
        <w:trPr>
          <w:trHeight w:val="73"/>
        </w:trPr>
        <w:tc>
          <w:tcPr>
            <w:tcW w:w="3369" w:type="dxa"/>
            <w:tcBorders>
              <w:top w:val="single" w:sz="4" w:space="0" w:color="auto"/>
              <w:bottom w:val="single" w:sz="4" w:space="0" w:color="auto"/>
            </w:tcBorders>
          </w:tcPr>
          <w:p w:rsidR="009B3F47" w:rsidRPr="003D2511" w:rsidRDefault="00990E2D" w:rsidP="003E4814">
            <w:pPr>
              <w:autoSpaceDE w:val="0"/>
              <w:autoSpaceDN w:val="0"/>
              <w:adjustRightInd w:val="0"/>
              <w:spacing w:before="40" w:after="40"/>
              <w:jc w:val="left"/>
              <w:rPr>
                <w:rFonts w:cs="Calibri"/>
                <w:color w:val="000000"/>
                <w:sz w:val="18"/>
                <w:szCs w:val="18"/>
              </w:rPr>
            </w:pPr>
            <w:hyperlink r:id="rId104" w:history="1">
              <w:r w:rsidR="009B3F47" w:rsidRPr="003D2511">
                <w:rPr>
                  <w:rFonts w:cs="Calibri"/>
                  <w:color w:val="0000FF" w:themeColor="hyperlink"/>
                  <w:sz w:val="18"/>
                  <w:szCs w:val="18"/>
                  <w:u w:val="single"/>
                </w:rPr>
                <w:t>Biomedicínské centrum Lékařské fakulty v Plzni</w:t>
              </w:r>
            </w:hyperlink>
          </w:p>
        </w:tc>
        <w:tc>
          <w:tcPr>
            <w:tcW w:w="6095" w:type="dxa"/>
            <w:tcBorders>
              <w:top w:val="single" w:sz="4" w:space="0" w:color="auto"/>
              <w:bottom w:val="single" w:sz="4" w:space="0" w:color="auto"/>
            </w:tcBorders>
          </w:tcPr>
          <w:p w:rsidR="009B3F47" w:rsidRPr="003D2511" w:rsidRDefault="009B3F47" w:rsidP="003E4814">
            <w:pPr>
              <w:autoSpaceDE w:val="0"/>
              <w:autoSpaceDN w:val="0"/>
              <w:adjustRightInd w:val="0"/>
              <w:spacing w:before="40" w:after="40"/>
              <w:jc w:val="left"/>
              <w:rPr>
                <w:rFonts w:cs="Calibri"/>
                <w:color w:val="000000"/>
                <w:sz w:val="18"/>
                <w:szCs w:val="18"/>
              </w:rPr>
            </w:pPr>
            <w:r w:rsidRPr="003D2511">
              <w:rPr>
                <w:rFonts w:cs="Calibri"/>
                <w:color w:val="000000"/>
                <w:sz w:val="18"/>
                <w:szCs w:val="18"/>
              </w:rPr>
              <w:t>Biomedicínského výzkum - nahrazování a regenerace orgánů, buněčné a tkáňové kultury, molekulární biologie, proteomika, biochemie</w:t>
            </w:r>
          </w:p>
        </w:tc>
      </w:tr>
      <w:tr w:rsidR="009B3F47" w:rsidRPr="003D2511" w:rsidTr="003E4814">
        <w:trPr>
          <w:trHeight w:val="73"/>
        </w:trPr>
        <w:tc>
          <w:tcPr>
            <w:tcW w:w="3369" w:type="dxa"/>
            <w:tcBorders>
              <w:top w:val="single" w:sz="4" w:space="0" w:color="auto"/>
              <w:bottom w:val="single" w:sz="4" w:space="0" w:color="auto"/>
            </w:tcBorders>
            <w:shd w:val="clear" w:color="auto" w:fill="EAF1DD" w:themeFill="accent3" w:themeFillTint="33"/>
          </w:tcPr>
          <w:p w:rsidR="009B3F47" w:rsidRPr="000F4B91" w:rsidRDefault="009B3F47" w:rsidP="003E4814">
            <w:pPr>
              <w:autoSpaceDE w:val="0"/>
              <w:autoSpaceDN w:val="0"/>
              <w:adjustRightInd w:val="0"/>
              <w:spacing w:before="40" w:after="40"/>
              <w:jc w:val="left"/>
              <w:rPr>
                <w:rFonts w:cs="Calibri"/>
                <w:color w:val="000000"/>
                <w:sz w:val="18"/>
                <w:szCs w:val="18"/>
              </w:rPr>
            </w:pPr>
            <w:r w:rsidRPr="000F4B91">
              <w:rPr>
                <w:rFonts w:cs="Calibri"/>
                <w:color w:val="000000"/>
                <w:sz w:val="18"/>
                <w:szCs w:val="18"/>
              </w:rPr>
              <w:t>Udržitelná energetika (</w:t>
            </w:r>
            <w:hyperlink r:id="rId105" w:history="1">
              <w:r w:rsidRPr="000F4B91">
                <w:rPr>
                  <w:rFonts w:cs="Calibri"/>
                  <w:color w:val="0000FF" w:themeColor="hyperlink"/>
                  <w:sz w:val="18"/>
                  <w:szCs w:val="18"/>
                  <w:u w:val="single"/>
                </w:rPr>
                <w:t>SUSEN</w:t>
              </w:r>
            </w:hyperlink>
            <w:r w:rsidRPr="000F4B91">
              <w:rPr>
                <w:rFonts w:cs="Calibri"/>
                <w:color w:val="000000"/>
                <w:sz w:val="18"/>
                <w:szCs w:val="18"/>
              </w:rPr>
              <w:t>)</w:t>
            </w:r>
          </w:p>
        </w:tc>
        <w:tc>
          <w:tcPr>
            <w:tcW w:w="6095" w:type="dxa"/>
            <w:tcBorders>
              <w:top w:val="single" w:sz="4" w:space="0" w:color="auto"/>
              <w:bottom w:val="single" w:sz="4" w:space="0" w:color="auto"/>
            </w:tcBorders>
            <w:shd w:val="clear" w:color="auto" w:fill="EAF1DD" w:themeFill="accent3" w:themeFillTint="33"/>
          </w:tcPr>
          <w:p w:rsidR="009B3F47" w:rsidRPr="003D2511" w:rsidRDefault="009B3F47" w:rsidP="003E4814">
            <w:pPr>
              <w:autoSpaceDE w:val="0"/>
              <w:autoSpaceDN w:val="0"/>
              <w:adjustRightInd w:val="0"/>
              <w:spacing w:before="40" w:after="40"/>
              <w:jc w:val="left"/>
              <w:rPr>
                <w:rFonts w:cs="Calibri"/>
                <w:color w:val="000000"/>
                <w:sz w:val="18"/>
                <w:szCs w:val="18"/>
              </w:rPr>
            </w:pPr>
            <w:r w:rsidRPr="003D2511">
              <w:rPr>
                <w:rFonts w:cs="Calibri"/>
                <w:color w:val="000000"/>
                <w:sz w:val="18"/>
                <w:szCs w:val="18"/>
              </w:rPr>
              <w:t>Jaderné technologie (palivo, materiály a komponenty, diagnostika</w:t>
            </w:r>
          </w:p>
          <w:p w:rsidR="009B3F47" w:rsidRPr="003D2511" w:rsidRDefault="009B3F47" w:rsidP="003E4814">
            <w:pPr>
              <w:autoSpaceDE w:val="0"/>
              <w:autoSpaceDN w:val="0"/>
              <w:adjustRightInd w:val="0"/>
              <w:spacing w:before="40" w:after="40"/>
              <w:jc w:val="left"/>
              <w:rPr>
                <w:rFonts w:cs="Calibri"/>
                <w:color w:val="000000"/>
                <w:sz w:val="18"/>
                <w:szCs w:val="18"/>
              </w:rPr>
            </w:pPr>
            <w:r w:rsidRPr="003D2511">
              <w:rPr>
                <w:rFonts w:cs="Calibri"/>
                <w:color w:val="000000"/>
                <w:sz w:val="18"/>
                <w:szCs w:val="18"/>
              </w:rPr>
              <w:t>Predikce spolehlivého provozu a prodlužování životnosti, likvidace a bezpečné uložení vyhořelého paliva</w:t>
            </w:r>
          </w:p>
        </w:tc>
      </w:tr>
      <w:tr w:rsidR="002E78C7" w:rsidRPr="003D2511" w:rsidTr="002E78C7">
        <w:trPr>
          <w:trHeight w:val="165"/>
        </w:trPr>
        <w:tc>
          <w:tcPr>
            <w:tcW w:w="3369" w:type="dxa"/>
            <w:tcBorders>
              <w:top w:val="single" w:sz="4" w:space="0" w:color="auto"/>
              <w:bottom w:val="single" w:sz="4" w:space="0" w:color="auto"/>
            </w:tcBorders>
            <w:shd w:val="clear" w:color="auto" w:fill="EAF1DD" w:themeFill="accent3" w:themeFillTint="33"/>
          </w:tcPr>
          <w:p w:rsidR="002E78C7" w:rsidRPr="003D2511" w:rsidRDefault="002E78C7" w:rsidP="003D2511">
            <w:pPr>
              <w:spacing w:before="40" w:after="40"/>
              <w:jc w:val="left"/>
              <w:rPr>
                <w:sz w:val="18"/>
                <w:szCs w:val="18"/>
              </w:rPr>
            </w:pPr>
            <w:r w:rsidRPr="003D2511">
              <w:rPr>
                <w:sz w:val="18"/>
                <w:szCs w:val="18"/>
              </w:rPr>
              <w:t>Centrum výzkumu a využití obnovitelných zdrojů energie (</w:t>
            </w:r>
            <w:hyperlink r:id="rId106" w:history="1">
              <w:r w:rsidRPr="003D2511">
                <w:rPr>
                  <w:color w:val="0000FF" w:themeColor="hyperlink"/>
                  <w:sz w:val="18"/>
                  <w:szCs w:val="18"/>
                  <w:u w:val="single"/>
                </w:rPr>
                <w:t>CVVOZE</w:t>
              </w:r>
            </w:hyperlink>
            <w:r w:rsidRPr="003D2511">
              <w:rPr>
                <w:sz w:val="18"/>
                <w:szCs w:val="18"/>
              </w:rPr>
              <w:t>)</w:t>
            </w:r>
          </w:p>
        </w:tc>
        <w:tc>
          <w:tcPr>
            <w:tcW w:w="6095" w:type="dxa"/>
            <w:tcBorders>
              <w:top w:val="single" w:sz="4" w:space="0" w:color="auto"/>
              <w:bottom w:val="single" w:sz="4" w:space="0" w:color="auto"/>
            </w:tcBorders>
            <w:shd w:val="clear" w:color="auto" w:fill="EAF1DD" w:themeFill="accent3" w:themeFillTint="33"/>
          </w:tcPr>
          <w:p w:rsidR="002E78C7" w:rsidRPr="003D2511" w:rsidRDefault="002E78C7" w:rsidP="003D2511">
            <w:pPr>
              <w:autoSpaceDE w:val="0"/>
              <w:autoSpaceDN w:val="0"/>
              <w:adjustRightInd w:val="0"/>
              <w:spacing w:before="40" w:after="40"/>
              <w:jc w:val="left"/>
              <w:rPr>
                <w:rFonts w:cs="Calibri"/>
                <w:color w:val="000000"/>
                <w:sz w:val="18"/>
                <w:szCs w:val="18"/>
              </w:rPr>
            </w:pPr>
            <w:r w:rsidRPr="003D2511">
              <w:rPr>
                <w:rFonts w:cs="Calibri"/>
                <w:color w:val="000000"/>
                <w:sz w:val="18"/>
                <w:szCs w:val="18"/>
              </w:rPr>
              <w:t>Výroba energie (účinnost zdrojů, moderní technologie fotovoltaika)</w:t>
            </w:r>
          </w:p>
          <w:p w:rsidR="002E78C7" w:rsidRPr="003D2511" w:rsidRDefault="002E78C7" w:rsidP="003D2511">
            <w:pPr>
              <w:autoSpaceDE w:val="0"/>
              <w:autoSpaceDN w:val="0"/>
              <w:adjustRightInd w:val="0"/>
              <w:spacing w:before="40" w:after="40"/>
              <w:jc w:val="left"/>
              <w:rPr>
                <w:sz w:val="18"/>
                <w:szCs w:val="18"/>
              </w:rPr>
            </w:pPr>
            <w:r w:rsidRPr="003D2511">
              <w:rPr>
                <w:rFonts w:cs="Calibri"/>
                <w:color w:val="000000"/>
                <w:sz w:val="18"/>
                <w:szCs w:val="18"/>
              </w:rPr>
              <w:t>Přenos, distribuce a užití elektrické energie (včetně bezpečnosti sítí)</w:t>
            </w:r>
          </w:p>
        </w:tc>
      </w:tr>
      <w:tr w:rsidR="002E78C7" w:rsidRPr="003D2511" w:rsidTr="002E78C7">
        <w:trPr>
          <w:trHeight w:val="73"/>
        </w:trPr>
        <w:tc>
          <w:tcPr>
            <w:tcW w:w="3369" w:type="dxa"/>
            <w:tcBorders>
              <w:top w:val="single" w:sz="4" w:space="0" w:color="auto"/>
              <w:bottom w:val="single" w:sz="4" w:space="0" w:color="auto"/>
            </w:tcBorders>
            <w:shd w:val="clear" w:color="auto" w:fill="EAF1DD" w:themeFill="accent3" w:themeFillTint="33"/>
          </w:tcPr>
          <w:p w:rsidR="002E78C7" w:rsidRPr="003D2511" w:rsidRDefault="002E78C7" w:rsidP="003D2511">
            <w:pPr>
              <w:autoSpaceDE w:val="0"/>
              <w:autoSpaceDN w:val="0"/>
              <w:adjustRightInd w:val="0"/>
              <w:spacing w:before="40" w:after="40"/>
              <w:jc w:val="left"/>
              <w:rPr>
                <w:rFonts w:cs="Calibri"/>
                <w:color w:val="000000"/>
                <w:sz w:val="18"/>
                <w:szCs w:val="18"/>
              </w:rPr>
            </w:pPr>
            <w:r w:rsidRPr="003D2511">
              <w:rPr>
                <w:rFonts w:cs="Calibri"/>
                <w:color w:val="000000"/>
                <w:sz w:val="18"/>
                <w:szCs w:val="18"/>
              </w:rPr>
              <w:t>Dopravní VaV centrum (</w:t>
            </w:r>
            <w:hyperlink r:id="rId107" w:history="1">
              <w:r w:rsidRPr="003D2511">
                <w:rPr>
                  <w:rFonts w:cs="Calibri"/>
                  <w:color w:val="0000FF" w:themeColor="hyperlink"/>
                  <w:sz w:val="18"/>
                  <w:szCs w:val="18"/>
                  <w:u w:val="single"/>
                </w:rPr>
                <w:t>CDV PLUS</w:t>
              </w:r>
            </w:hyperlink>
            <w:r w:rsidRPr="003D2511">
              <w:rPr>
                <w:rFonts w:cs="Calibri"/>
                <w:color w:val="000000"/>
                <w:sz w:val="18"/>
                <w:szCs w:val="18"/>
              </w:rPr>
              <w:t>)</w:t>
            </w:r>
          </w:p>
        </w:tc>
        <w:tc>
          <w:tcPr>
            <w:tcW w:w="6095" w:type="dxa"/>
            <w:tcBorders>
              <w:top w:val="single" w:sz="4" w:space="0" w:color="auto"/>
              <w:bottom w:val="single" w:sz="4" w:space="0" w:color="auto"/>
            </w:tcBorders>
            <w:shd w:val="clear" w:color="auto" w:fill="EAF1DD" w:themeFill="accent3" w:themeFillTint="33"/>
          </w:tcPr>
          <w:p w:rsidR="002E78C7" w:rsidRPr="003D2511" w:rsidRDefault="002E78C7" w:rsidP="004F74B7">
            <w:pPr>
              <w:numPr>
                <w:ilvl w:val="0"/>
                <w:numId w:val="9"/>
              </w:numPr>
              <w:autoSpaceDE w:val="0"/>
              <w:autoSpaceDN w:val="0"/>
              <w:adjustRightInd w:val="0"/>
              <w:spacing w:before="40" w:after="40"/>
              <w:ind w:left="176" w:hanging="176"/>
              <w:jc w:val="left"/>
              <w:rPr>
                <w:rFonts w:cs="Calibri"/>
                <w:color w:val="000000"/>
                <w:sz w:val="18"/>
                <w:szCs w:val="18"/>
              </w:rPr>
            </w:pPr>
            <w:r w:rsidRPr="003D2511">
              <w:rPr>
                <w:rFonts w:cs="Calibri"/>
                <w:color w:val="000000"/>
                <w:sz w:val="18"/>
                <w:szCs w:val="18"/>
              </w:rPr>
              <w:t>Doprava - bezpečnost v silničním provozu, dopravní infrastruktura, životní prostředí</w:t>
            </w:r>
          </w:p>
        </w:tc>
      </w:tr>
      <w:tr w:rsidR="009B3F47" w:rsidRPr="003D2511" w:rsidTr="003E4814">
        <w:trPr>
          <w:trHeight w:val="165"/>
        </w:trPr>
        <w:tc>
          <w:tcPr>
            <w:tcW w:w="3369" w:type="dxa"/>
            <w:tcBorders>
              <w:top w:val="single" w:sz="4" w:space="0" w:color="auto"/>
              <w:bottom w:val="single" w:sz="4" w:space="0" w:color="auto"/>
            </w:tcBorders>
          </w:tcPr>
          <w:p w:rsidR="009B3F47" w:rsidRPr="003D2511" w:rsidRDefault="00990E2D" w:rsidP="003E4814">
            <w:pPr>
              <w:spacing w:before="40" w:after="40"/>
              <w:jc w:val="left"/>
              <w:rPr>
                <w:sz w:val="18"/>
                <w:szCs w:val="18"/>
              </w:rPr>
            </w:pPr>
            <w:hyperlink r:id="rId108" w:history="1">
              <w:r w:rsidR="009B3F47" w:rsidRPr="003D2511">
                <w:rPr>
                  <w:color w:val="0000FF" w:themeColor="hyperlink"/>
                  <w:sz w:val="18"/>
                  <w:szCs w:val="18"/>
                  <w:u w:val="single"/>
                </w:rPr>
                <w:t>HILASE</w:t>
              </w:r>
            </w:hyperlink>
            <w:r w:rsidR="009B3F47" w:rsidRPr="003D2511">
              <w:rPr>
                <w:sz w:val="18"/>
                <w:szCs w:val="18"/>
              </w:rPr>
              <w:t>: Nové lasery pro průmysl a výzkum</w:t>
            </w:r>
          </w:p>
        </w:tc>
        <w:tc>
          <w:tcPr>
            <w:tcW w:w="6095" w:type="dxa"/>
            <w:tcBorders>
              <w:top w:val="single" w:sz="4" w:space="0" w:color="auto"/>
              <w:bottom w:val="single" w:sz="4" w:space="0" w:color="auto"/>
            </w:tcBorders>
          </w:tcPr>
          <w:p w:rsidR="009B3F47" w:rsidRPr="003D2511" w:rsidRDefault="009B3F47" w:rsidP="003E4814">
            <w:pPr>
              <w:spacing w:before="40" w:after="40"/>
              <w:jc w:val="left"/>
              <w:rPr>
                <w:sz w:val="18"/>
                <w:szCs w:val="18"/>
              </w:rPr>
            </w:pPr>
            <w:r w:rsidRPr="003D2511">
              <w:rPr>
                <w:sz w:val="18"/>
                <w:szCs w:val="18"/>
              </w:rPr>
              <w:t>VaV laserů s unikátními parametry (výkon/délka pulsu/opakovací frekvence) založených na diodovém čerpání</w:t>
            </w:r>
          </w:p>
        </w:tc>
      </w:tr>
      <w:tr w:rsidR="009B3F47" w:rsidRPr="003D2511" w:rsidTr="003E4814">
        <w:trPr>
          <w:trHeight w:val="165"/>
        </w:trPr>
        <w:tc>
          <w:tcPr>
            <w:tcW w:w="3369" w:type="dxa"/>
            <w:tcBorders>
              <w:top w:val="single" w:sz="4" w:space="0" w:color="auto"/>
              <w:bottom w:val="single" w:sz="4" w:space="0" w:color="auto"/>
            </w:tcBorders>
            <w:shd w:val="clear" w:color="auto" w:fill="EAF1DD" w:themeFill="accent3" w:themeFillTint="33"/>
          </w:tcPr>
          <w:p w:rsidR="009B3F47" w:rsidRPr="003D2511" w:rsidRDefault="00990E2D" w:rsidP="003E4814">
            <w:pPr>
              <w:autoSpaceDE w:val="0"/>
              <w:autoSpaceDN w:val="0"/>
              <w:adjustRightInd w:val="0"/>
              <w:spacing w:before="40" w:after="40"/>
              <w:jc w:val="left"/>
              <w:rPr>
                <w:rFonts w:cs="Calibri"/>
                <w:color w:val="000000"/>
                <w:sz w:val="18"/>
                <w:szCs w:val="18"/>
              </w:rPr>
            </w:pPr>
            <w:hyperlink r:id="rId109" w:history="1">
              <w:r w:rsidR="009B3F47" w:rsidRPr="003D2511">
                <w:rPr>
                  <w:rFonts w:cs="Calibri"/>
                  <w:color w:val="0000FF" w:themeColor="hyperlink"/>
                  <w:sz w:val="18"/>
                  <w:szCs w:val="18"/>
                  <w:u w:val="single"/>
                </w:rPr>
                <w:t>AdMaS</w:t>
              </w:r>
            </w:hyperlink>
            <w:r w:rsidR="009B3F47" w:rsidRPr="003D2511">
              <w:rPr>
                <w:rFonts w:cs="Calibri"/>
                <w:color w:val="000000"/>
                <w:sz w:val="18"/>
                <w:szCs w:val="18"/>
              </w:rPr>
              <w:t xml:space="preserve"> - Pokročilé stavební materiály, konstrukce a technologie</w:t>
            </w:r>
          </w:p>
        </w:tc>
        <w:tc>
          <w:tcPr>
            <w:tcW w:w="6095" w:type="dxa"/>
            <w:tcBorders>
              <w:top w:val="single" w:sz="4" w:space="0" w:color="auto"/>
              <w:bottom w:val="single" w:sz="4" w:space="0" w:color="auto"/>
            </w:tcBorders>
            <w:shd w:val="clear" w:color="auto" w:fill="EAF1DD" w:themeFill="accent3" w:themeFillTint="33"/>
          </w:tcPr>
          <w:p w:rsidR="009B3F47" w:rsidRPr="003D2511" w:rsidRDefault="009B3F47" w:rsidP="003E4814">
            <w:pPr>
              <w:autoSpaceDE w:val="0"/>
              <w:autoSpaceDN w:val="0"/>
              <w:adjustRightInd w:val="0"/>
              <w:spacing w:before="40" w:after="40"/>
              <w:jc w:val="left"/>
              <w:rPr>
                <w:rFonts w:cs="Calibri"/>
                <w:color w:val="000000"/>
                <w:sz w:val="18"/>
                <w:szCs w:val="18"/>
              </w:rPr>
            </w:pPr>
            <w:r w:rsidRPr="003D2511">
              <w:rPr>
                <w:rFonts w:cs="Calibri"/>
                <w:color w:val="000000"/>
                <w:sz w:val="18"/>
                <w:szCs w:val="18"/>
              </w:rPr>
              <w:t>Pokročilé stavební materiály (mikrostruktura, technologie stavebních hmot)</w:t>
            </w:r>
          </w:p>
          <w:p w:rsidR="009B3F47" w:rsidRPr="003D2511" w:rsidRDefault="009B3F47" w:rsidP="003E4814">
            <w:pPr>
              <w:autoSpaceDE w:val="0"/>
              <w:autoSpaceDN w:val="0"/>
              <w:adjustRightInd w:val="0"/>
              <w:spacing w:before="40" w:after="40"/>
              <w:jc w:val="left"/>
              <w:rPr>
                <w:rFonts w:cs="Calibri"/>
                <w:color w:val="000000"/>
                <w:sz w:val="18"/>
                <w:szCs w:val="18"/>
              </w:rPr>
            </w:pPr>
            <w:r w:rsidRPr="003D2511">
              <w:rPr>
                <w:rFonts w:cs="Calibri"/>
                <w:color w:val="000000"/>
                <w:sz w:val="18"/>
                <w:szCs w:val="18"/>
              </w:rPr>
              <w:t>Pokročilé konstrukce a technologie (dopravní stavby)</w:t>
            </w:r>
          </w:p>
          <w:p w:rsidR="009B3F47" w:rsidRPr="003D2511" w:rsidRDefault="009B3F47" w:rsidP="003E4814">
            <w:pPr>
              <w:autoSpaceDE w:val="0"/>
              <w:autoSpaceDN w:val="0"/>
              <w:adjustRightInd w:val="0"/>
              <w:spacing w:before="40" w:after="40"/>
              <w:jc w:val="left"/>
              <w:rPr>
                <w:rFonts w:cs="Calibri"/>
                <w:color w:val="000000"/>
                <w:sz w:val="18"/>
                <w:szCs w:val="18"/>
              </w:rPr>
            </w:pPr>
            <w:r w:rsidRPr="003D2511">
              <w:rPr>
                <w:rFonts w:cs="Calibri"/>
                <w:color w:val="000000"/>
                <w:sz w:val="18"/>
                <w:szCs w:val="18"/>
              </w:rPr>
              <w:t>Matematické modelování (analýzy, simulace, optimalizace, statistické metody, verifikace)</w:t>
            </w:r>
          </w:p>
        </w:tc>
      </w:tr>
      <w:tr w:rsidR="009B3F47" w:rsidRPr="003D2511" w:rsidTr="003E4814">
        <w:trPr>
          <w:trHeight w:val="165"/>
        </w:trPr>
        <w:tc>
          <w:tcPr>
            <w:tcW w:w="3369" w:type="dxa"/>
            <w:tcBorders>
              <w:top w:val="single" w:sz="4" w:space="0" w:color="auto"/>
              <w:bottom w:val="single" w:sz="4" w:space="0" w:color="auto"/>
            </w:tcBorders>
          </w:tcPr>
          <w:p w:rsidR="009B3F47" w:rsidRPr="003D2511" w:rsidRDefault="009B3F47" w:rsidP="00F36975">
            <w:pPr>
              <w:keepNext/>
              <w:spacing w:before="40" w:after="40"/>
              <w:jc w:val="left"/>
              <w:rPr>
                <w:sz w:val="18"/>
                <w:szCs w:val="18"/>
              </w:rPr>
            </w:pPr>
            <w:r w:rsidRPr="003D2511">
              <w:rPr>
                <w:sz w:val="18"/>
                <w:szCs w:val="18"/>
              </w:rPr>
              <w:t>Biomedicína pro regionální rozvoj a lidské zdroje (BIOMEDREG)</w:t>
            </w:r>
          </w:p>
        </w:tc>
        <w:tc>
          <w:tcPr>
            <w:tcW w:w="6095" w:type="dxa"/>
            <w:tcBorders>
              <w:top w:val="single" w:sz="4" w:space="0" w:color="auto"/>
              <w:bottom w:val="single" w:sz="4" w:space="0" w:color="auto"/>
            </w:tcBorders>
          </w:tcPr>
          <w:p w:rsidR="009B3F47" w:rsidRPr="003D2511" w:rsidRDefault="009B3F47" w:rsidP="00F36975">
            <w:pPr>
              <w:keepNext/>
              <w:numPr>
                <w:ilvl w:val="0"/>
                <w:numId w:val="9"/>
              </w:numPr>
              <w:autoSpaceDE w:val="0"/>
              <w:autoSpaceDN w:val="0"/>
              <w:adjustRightInd w:val="0"/>
              <w:spacing w:before="40" w:after="40"/>
              <w:ind w:left="176" w:hanging="176"/>
              <w:jc w:val="left"/>
              <w:rPr>
                <w:rFonts w:cs="Calibri"/>
                <w:color w:val="000000"/>
                <w:sz w:val="18"/>
                <w:szCs w:val="18"/>
              </w:rPr>
            </w:pPr>
            <w:r w:rsidRPr="003D2511">
              <w:rPr>
                <w:rFonts w:cs="Calibri"/>
                <w:color w:val="000000"/>
                <w:sz w:val="18"/>
                <w:szCs w:val="18"/>
              </w:rPr>
              <w:t>Molekulární základy nemocí</w:t>
            </w:r>
          </w:p>
          <w:p w:rsidR="009B3F47" w:rsidRPr="003D2511" w:rsidRDefault="009B3F47" w:rsidP="00F36975">
            <w:pPr>
              <w:keepNext/>
              <w:numPr>
                <w:ilvl w:val="0"/>
                <w:numId w:val="9"/>
              </w:numPr>
              <w:autoSpaceDE w:val="0"/>
              <w:autoSpaceDN w:val="0"/>
              <w:adjustRightInd w:val="0"/>
              <w:spacing w:before="40" w:after="40"/>
              <w:ind w:left="176" w:hanging="176"/>
              <w:jc w:val="left"/>
              <w:rPr>
                <w:rFonts w:cs="Calibri"/>
                <w:color w:val="000000"/>
                <w:sz w:val="18"/>
                <w:szCs w:val="18"/>
              </w:rPr>
            </w:pPr>
            <w:r w:rsidRPr="003D2511">
              <w:rPr>
                <w:rFonts w:cs="Calibri"/>
                <w:color w:val="000000"/>
                <w:sz w:val="18"/>
                <w:szCs w:val="18"/>
              </w:rPr>
              <w:t>Lékařská chemie</w:t>
            </w:r>
          </w:p>
          <w:p w:rsidR="009B3F47" w:rsidRPr="003D2511" w:rsidRDefault="009B3F47" w:rsidP="00F36975">
            <w:pPr>
              <w:keepNext/>
              <w:numPr>
                <w:ilvl w:val="0"/>
                <w:numId w:val="9"/>
              </w:numPr>
              <w:autoSpaceDE w:val="0"/>
              <w:autoSpaceDN w:val="0"/>
              <w:adjustRightInd w:val="0"/>
              <w:spacing w:before="40" w:after="40"/>
              <w:ind w:left="176" w:hanging="176"/>
              <w:jc w:val="left"/>
              <w:rPr>
                <w:rFonts w:cs="Calibri"/>
                <w:color w:val="000000"/>
                <w:sz w:val="18"/>
                <w:szCs w:val="18"/>
              </w:rPr>
            </w:pPr>
            <w:r w:rsidRPr="003D2511">
              <w:rPr>
                <w:rFonts w:cs="Calibri"/>
                <w:color w:val="000000"/>
                <w:sz w:val="18"/>
                <w:szCs w:val="18"/>
              </w:rPr>
              <w:t>Chemická biologie a terapeutika</w:t>
            </w:r>
          </w:p>
          <w:p w:rsidR="009B3F47" w:rsidRPr="003D2511" w:rsidRDefault="009B3F47" w:rsidP="00F36975">
            <w:pPr>
              <w:keepNext/>
              <w:numPr>
                <w:ilvl w:val="0"/>
                <w:numId w:val="9"/>
              </w:numPr>
              <w:autoSpaceDE w:val="0"/>
              <w:autoSpaceDN w:val="0"/>
              <w:adjustRightInd w:val="0"/>
              <w:spacing w:before="40" w:after="40"/>
              <w:ind w:left="176" w:hanging="176"/>
              <w:jc w:val="left"/>
              <w:rPr>
                <w:rFonts w:cs="Calibri"/>
                <w:color w:val="000000"/>
                <w:sz w:val="18"/>
                <w:szCs w:val="18"/>
              </w:rPr>
            </w:pPr>
            <w:r w:rsidRPr="003D2511">
              <w:rPr>
                <w:rFonts w:cs="Calibri"/>
                <w:color w:val="000000"/>
                <w:sz w:val="18"/>
                <w:szCs w:val="18"/>
              </w:rPr>
              <w:t>Biomarkery</w:t>
            </w:r>
          </w:p>
          <w:p w:rsidR="009B3F47" w:rsidRPr="003D2511" w:rsidRDefault="009B3F47" w:rsidP="00F36975">
            <w:pPr>
              <w:keepNext/>
              <w:numPr>
                <w:ilvl w:val="0"/>
                <w:numId w:val="9"/>
              </w:numPr>
              <w:autoSpaceDE w:val="0"/>
              <w:autoSpaceDN w:val="0"/>
              <w:adjustRightInd w:val="0"/>
              <w:spacing w:before="40" w:after="40"/>
              <w:ind w:left="176" w:hanging="176"/>
              <w:jc w:val="left"/>
              <w:rPr>
                <w:rFonts w:cs="Calibri"/>
                <w:color w:val="000000"/>
                <w:sz w:val="18"/>
                <w:szCs w:val="18"/>
              </w:rPr>
            </w:pPr>
            <w:r w:rsidRPr="003D2511">
              <w:rPr>
                <w:rFonts w:cs="Calibri"/>
                <w:color w:val="000000"/>
                <w:sz w:val="18"/>
                <w:szCs w:val="18"/>
              </w:rPr>
              <w:t>Farmakologie a toxikologie</w:t>
            </w:r>
          </w:p>
          <w:p w:rsidR="009B3F47" w:rsidRPr="003D2511" w:rsidRDefault="009B3F47" w:rsidP="00F36975">
            <w:pPr>
              <w:keepNext/>
              <w:numPr>
                <w:ilvl w:val="0"/>
                <w:numId w:val="9"/>
              </w:numPr>
              <w:autoSpaceDE w:val="0"/>
              <w:autoSpaceDN w:val="0"/>
              <w:adjustRightInd w:val="0"/>
              <w:spacing w:before="40" w:after="40"/>
              <w:ind w:left="176" w:hanging="176"/>
              <w:jc w:val="left"/>
              <w:rPr>
                <w:sz w:val="18"/>
                <w:szCs w:val="18"/>
              </w:rPr>
            </w:pPr>
            <w:r w:rsidRPr="003D2511">
              <w:rPr>
                <w:rFonts w:cs="Calibri"/>
                <w:color w:val="000000"/>
                <w:sz w:val="18"/>
                <w:szCs w:val="18"/>
              </w:rPr>
              <w:t>Translační medicína</w:t>
            </w:r>
          </w:p>
        </w:tc>
      </w:tr>
      <w:tr w:rsidR="009B3F47" w:rsidRPr="003D2511" w:rsidTr="003E4814">
        <w:trPr>
          <w:trHeight w:val="165"/>
        </w:trPr>
        <w:tc>
          <w:tcPr>
            <w:tcW w:w="3369" w:type="dxa"/>
            <w:tcBorders>
              <w:top w:val="single" w:sz="4" w:space="0" w:color="auto"/>
              <w:bottom w:val="single" w:sz="4" w:space="0" w:color="auto"/>
            </w:tcBorders>
          </w:tcPr>
          <w:p w:rsidR="009B3F47" w:rsidRPr="003D2511" w:rsidRDefault="009B3F47" w:rsidP="003E4814">
            <w:pPr>
              <w:autoSpaceDE w:val="0"/>
              <w:autoSpaceDN w:val="0"/>
              <w:adjustRightInd w:val="0"/>
              <w:spacing w:before="40" w:after="40"/>
              <w:jc w:val="left"/>
              <w:rPr>
                <w:rFonts w:cs="Calibri"/>
                <w:color w:val="000000"/>
                <w:sz w:val="18"/>
                <w:szCs w:val="18"/>
              </w:rPr>
            </w:pPr>
            <w:r w:rsidRPr="003D2511">
              <w:rPr>
                <w:rFonts w:cs="Calibri"/>
                <w:color w:val="000000"/>
                <w:sz w:val="18"/>
                <w:szCs w:val="18"/>
              </w:rPr>
              <w:t xml:space="preserve">Univerzitní centrum energeticky efektivních budov </w:t>
            </w:r>
            <w:hyperlink r:id="rId110" w:history="1">
              <w:r w:rsidRPr="003D2511">
                <w:rPr>
                  <w:rFonts w:cs="Calibri"/>
                  <w:color w:val="0000FF" w:themeColor="hyperlink"/>
                  <w:sz w:val="18"/>
                  <w:szCs w:val="18"/>
                  <w:u w:val="single"/>
                </w:rPr>
                <w:t>(UCEEB</w:t>
              </w:r>
            </w:hyperlink>
            <w:r w:rsidRPr="003D2511">
              <w:rPr>
                <w:rFonts w:cs="Calibri"/>
                <w:color w:val="000000"/>
                <w:sz w:val="18"/>
                <w:szCs w:val="18"/>
              </w:rPr>
              <w:t>)</w:t>
            </w:r>
          </w:p>
        </w:tc>
        <w:tc>
          <w:tcPr>
            <w:tcW w:w="6095" w:type="dxa"/>
            <w:tcBorders>
              <w:top w:val="single" w:sz="4" w:space="0" w:color="auto"/>
              <w:bottom w:val="single" w:sz="4" w:space="0" w:color="auto"/>
            </w:tcBorders>
          </w:tcPr>
          <w:p w:rsidR="009B3F47" w:rsidRPr="003D2511" w:rsidRDefault="009B3F47" w:rsidP="004F74B7">
            <w:pPr>
              <w:numPr>
                <w:ilvl w:val="0"/>
                <w:numId w:val="9"/>
              </w:numPr>
              <w:autoSpaceDE w:val="0"/>
              <w:autoSpaceDN w:val="0"/>
              <w:adjustRightInd w:val="0"/>
              <w:spacing w:before="40" w:after="40"/>
              <w:ind w:left="176" w:hanging="176"/>
              <w:jc w:val="left"/>
              <w:rPr>
                <w:rFonts w:cs="Calibri"/>
                <w:color w:val="000000"/>
                <w:sz w:val="18"/>
                <w:szCs w:val="18"/>
              </w:rPr>
            </w:pPr>
            <w:r w:rsidRPr="003D2511">
              <w:rPr>
                <w:rFonts w:cs="Calibri"/>
                <w:color w:val="000000"/>
                <w:sz w:val="18"/>
                <w:szCs w:val="18"/>
              </w:rPr>
              <w:t>Architektura, materiály a konstrukce (vč. požární bezpečnosti)</w:t>
            </w:r>
          </w:p>
          <w:p w:rsidR="009B3F47" w:rsidRPr="003D2511" w:rsidRDefault="009B3F47" w:rsidP="004F74B7">
            <w:pPr>
              <w:numPr>
                <w:ilvl w:val="0"/>
                <w:numId w:val="9"/>
              </w:numPr>
              <w:autoSpaceDE w:val="0"/>
              <w:autoSpaceDN w:val="0"/>
              <w:adjustRightInd w:val="0"/>
              <w:spacing w:before="40" w:after="40"/>
              <w:ind w:left="176" w:hanging="176"/>
              <w:jc w:val="left"/>
              <w:rPr>
                <w:rFonts w:cs="Calibri"/>
                <w:color w:val="000000"/>
                <w:sz w:val="18"/>
                <w:szCs w:val="18"/>
              </w:rPr>
            </w:pPr>
            <w:r w:rsidRPr="003D2511">
              <w:rPr>
                <w:rFonts w:cs="Calibri"/>
                <w:color w:val="000000"/>
                <w:sz w:val="18"/>
                <w:szCs w:val="18"/>
              </w:rPr>
              <w:t>Energetické systémy (vč. bezpečnosti)</w:t>
            </w:r>
          </w:p>
          <w:p w:rsidR="009B3F47" w:rsidRPr="003D2511" w:rsidRDefault="009B3F47" w:rsidP="004F74B7">
            <w:pPr>
              <w:numPr>
                <w:ilvl w:val="0"/>
                <w:numId w:val="9"/>
              </w:numPr>
              <w:autoSpaceDE w:val="0"/>
              <w:autoSpaceDN w:val="0"/>
              <w:adjustRightInd w:val="0"/>
              <w:spacing w:before="40" w:after="40"/>
              <w:ind w:left="176" w:hanging="176"/>
              <w:jc w:val="left"/>
              <w:rPr>
                <w:rFonts w:cs="Calibri"/>
                <w:color w:val="000000"/>
                <w:sz w:val="18"/>
                <w:szCs w:val="18"/>
              </w:rPr>
            </w:pPr>
            <w:r w:rsidRPr="003D2511">
              <w:rPr>
                <w:rFonts w:cs="Calibri"/>
                <w:color w:val="000000"/>
                <w:sz w:val="18"/>
                <w:szCs w:val="18"/>
              </w:rPr>
              <w:t>Monitorování, diagnostika a inteligentní řízení budov</w:t>
            </w:r>
          </w:p>
        </w:tc>
      </w:tr>
      <w:tr w:rsidR="009B3F47" w:rsidRPr="003D2511" w:rsidTr="003E4814">
        <w:trPr>
          <w:trHeight w:val="73"/>
        </w:trPr>
        <w:tc>
          <w:tcPr>
            <w:tcW w:w="3369" w:type="dxa"/>
            <w:tcBorders>
              <w:top w:val="single" w:sz="4" w:space="0" w:color="auto"/>
              <w:bottom w:val="single" w:sz="4" w:space="0" w:color="auto"/>
            </w:tcBorders>
          </w:tcPr>
          <w:p w:rsidR="009B3F47" w:rsidRPr="003D2511" w:rsidRDefault="009B3F47" w:rsidP="003E4814">
            <w:pPr>
              <w:autoSpaceDE w:val="0"/>
              <w:autoSpaceDN w:val="0"/>
              <w:adjustRightInd w:val="0"/>
              <w:spacing w:before="40" w:after="40"/>
              <w:jc w:val="left"/>
              <w:rPr>
                <w:rFonts w:cs="Calibri"/>
                <w:color w:val="000000"/>
                <w:sz w:val="18"/>
                <w:szCs w:val="18"/>
              </w:rPr>
            </w:pPr>
            <w:r w:rsidRPr="003D2511">
              <w:rPr>
                <w:rFonts w:cs="Calibri"/>
                <w:color w:val="000000"/>
                <w:sz w:val="18"/>
                <w:szCs w:val="18"/>
              </w:rPr>
              <w:t>Centrum polymerních systémů (</w:t>
            </w:r>
            <w:hyperlink r:id="rId111" w:history="1">
              <w:r w:rsidRPr="003D2511">
                <w:rPr>
                  <w:rFonts w:cs="Calibri"/>
                  <w:color w:val="0000FF" w:themeColor="hyperlink"/>
                  <w:sz w:val="18"/>
                  <w:szCs w:val="18"/>
                  <w:u w:val="single"/>
                </w:rPr>
                <w:t>CPS</w:t>
              </w:r>
            </w:hyperlink>
            <w:r w:rsidRPr="003D2511">
              <w:rPr>
                <w:rFonts w:cs="Calibri"/>
                <w:color w:val="000000"/>
                <w:sz w:val="18"/>
                <w:szCs w:val="18"/>
              </w:rPr>
              <w:t>)</w:t>
            </w:r>
          </w:p>
        </w:tc>
        <w:tc>
          <w:tcPr>
            <w:tcW w:w="6095" w:type="dxa"/>
            <w:tcBorders>
              <w:top w:val="single" w:sz="4" w:space="0" w:color="auto"/>
              <w:bottom w:val="single" w:sz="4" w:space="0" w:color="auto"/>
            </w:tcBorders>
          </w:tcPr>
          <w:p w:rsidR="009B3F47" w:rsidRPr="003D2511" w:rsidRDefault="009B3F47" w:rsidP="004F74B7">
            <w:pPr>
              <w:numPr>
                <w:ilvl w:val="0"/>
                <w:numId w:val="9"/>
              </w:numPr>
              <w:autoSpaceDE w:val="0"/>
              <w:autoSpaceDN w:val="0"/>
              <w:adjustRightInd w:val="0"/>
              <w:spacing w:before="40" w:after="40"/>
              <w:ind w:left="176" w:hanging="176"/>
              <w:jc w:val="left"/>
              <w:rPr>
                <w:rFonts w:cs="Calibri"/>
                <w:color w:val="000000"/>
                <w:sz w:val="18"/>
                <w:szCs w:val="18"/>
              </w:rPr>
            </w:pPr>
            <w:r w:rsidRPr="003D2511">
              <w:rPr>
                <w:rFonts w:cs="Calibri"/>
                <w:color w:val="000000"/>
                <w:sz w:val="18"/>
                <w:szCs w:val="18"/>
              </w:rPr>
              <w:t>Progresivní polymerní systémy</w:t>
            </w:r>
          </w:p>
          <w:p w:rsidR="009B3F47" w:rsidRPr="003D2511" w:rsidRDefault="009B3F47" w:rsidP="004F74B7">
            <w:pPr>
              <w:numPr>
                <w:ilvl w:val="0"/>
                <w:numId w:val="9"/>
              </w:numPr>
              <w:autoSpaceDE w:val="0"/>
              <w:autoSpaceDN w:val="0"/>
              <w:adjustRightInd w:val="0"/>
              <w:spacing w:before="40" w:after="40"/>
              <w:ind w:left="176" w:hanging="176"/>
              <w:jc w:val="left"/>
              <w:rPr>
                <w:rFonts w:cs="Calibri"/>
                <w:color w:val="000000"/>
                <w:sz w:val="18"/>
                <w:szCs w:val="18"/>
              </w:rPr>
            </w:pPr>
            <w:r w:rsidRPr="003D2511">
              <w:rPr>
                <w:rFonts w:cs="Calibri"/>
                <w:color w:val="000000"/>
                <w:sz w:val="18"/>
                <w:szCs w:val="18"/>
              </w:rPr>
              <w:t>Pokročilé polymerní kompozitní systémy</w:t>
            </w:r>
          </w:p>
        </w:tc>
      </w:tr>
      <w:tr w:rsidR="009B3F47" w:rsidRPr="003D2511" w:rsidTr="003E4814">
        <w:trPr>
          <w:trHeight w:val="165"/>
        </w:trPr>
        <w:tc>
          <w:tcPr>
            <w:tcW w:w="3369" w:type="dxa"/>
            <w:tcBorders>
              <w:top w:val="single" w:sz="4" w:space="0" w:color="auto"/>
              <w:bottom w:val="single" w:sz="4" w:space="0" w:color="auto"/>
            </w:tcBorders>
            <w:shd w:val="clear" w:color="auto" w:fill="EAF1DD" w:themeFill="accent3" w:themeFillTint="33"/>
          </w:tcPr>
          <w:p w:rsidR="009B3F47" w:rsidRPr="003D2511" w:rsidRDefault="009B3F47" w:rsidP="003E4814">
            <w:pPr>
              <w:spacing w:before="40" w:after="40"/>
              <w:jc w:val="left"/>
              <w:rPr>
                <w:sz w:val="18"/>
                <w:szCs w:val="18"/>
              </w:rPr>
            </w:pPr>
            <w:r w:rsidRPr="003D2511">
              <w:rPr>
                <w:sz w:val="18"/>
                <w:szCs w:val="18"/>
              </w:rPr>
              <w:t>Inovace pro efektivitu a životní prostředí (</w:t>
            </w:r>
            <w:hyperlink r:id="rId112" w:history="1">
              <w:r w:rsidRPr="003D2511">
                <w:rPr>
                  <w:color w:val="0000FF" w:themeColor="hyperlink"/>
                  <w:sz w:val="18"/>
                  <w:szCs w:val="18"/>
                  <w:u w:val="single"/>
                </w:rPr>
                <w:t>INEF</w:t>
              </w:r>
            </w:hyperlink>
            <w:r w:rsidRPr="003D2511">
              <w:rPr>
                <w:sz w:val="18"/>
                <w:szCs w:val="18"/>
              </w:rPr>
              <w:t>)</w:t>
            </w:r>
          </w:p>
        </w:tc>
        <w:tc>
          <w:tcPr>
            <w:tcW w:w="6095" w:type="dxa"/>
            <w:tcBorders>
              <w:top w:val="single" w:sz="4" w:space="0" w:color="auto"/>
              <w:bottom w:val="single" w:sz="4" w:space="0" w:color="auto"/>
            </w:tcBorders>
            <w:shd w:val="clear" w:color="auto" w:fill="EAF1DD" w:themeFill="accent3" w:themeFillTint="33"/>
          </w:tcPr>
          <w:p w:rsidR="009B3F47" w:rsidRPr="003D2511" w:rsidRDefault="009B3F47" w:rsidP="003E4814">
            <w:pPr>
              <w:autoSpaceDE w:val="0"/>
              <w:autoSpaceDN w:val="0"/>
              <w:adjustRightInd w:val="0"/>
              <w:spacing w:before="40" w:after="40"/>
              <w:jc w:val="left"/>
              <w:rPr>
                <w:rFonts w:cs="Calibri"/>
                <w:color w:val="000000"/>
                <w:sz w:val="18"/>
                <w:szCs w:val="18"/>
              </w:rPr>
            </w:pPr>
            <w:r w:rsidRPr="003D2511">
              <w:rPr>
                <w:rFonts w:cs="Calibri"/>
                <w:color w:val="000000"/>
                <w:sz w:val="18"/>
                <w:szCs w:val="18"/>
              </w:rPr>
              <w:t>Energetika – vytápění, biomasa, biopaliva, kogenerace</w:t>
            </w:r>
          </w:p>
          <w:p w:rsidR="009B3F47" w:rsidRPr="003D2511" w:rsidRDefault="009B3F47" w:rsidP="003E4814">
            <w:pPr>
              <w:autoSpaceDE w:val="0"/>
              <w:autoSpaceDN w:val="0"/>
              <w:adjustRightInd w:val="0"/>
              <w:spacing w:before="40" w:after="40"/>
              <w:jc w:val="left"/>
              <w:rPr>
                <w:rFonts w:cs="Calibri"/>
                <w:color w:val="000000"/>
                <w:sz w:val="18"/>
                <w:szCs w:val="18"/>
              </w:rPr>
            </w:pPr>
            <w:r w:rsidRPr="003D2511">
              <w:rPr>
                <w:rFonts w:cs="Calibri"/>
                <w:color w:val="000000"/>
                <w:sz w:val="18"/>
                <w:szCs w:val="18"/>
              </w:rPr>
              <w:t>Bezpečnost paliv a technologií</w:t>
            </w:r>
          </w:p>
        </w:tc>
      </w:tr>
      <w:tr w:rsidR="009B3F47" w:rsidRPr="003D2511" w:rsidTr="003E4814">
        <w:trPr>
          <w:trHeight w:val="165"/>
        </w:trPr>
        <w:tc>
          <w:tcPr>
            <w:tcW w:w="3369" w:type="dxa"/>
            <w:tcBorders>
              <w:top w:val="single" w:sz="4" w:space="0" w:color="auto"/>
              <w:bottom w:val="single" w:sz="4" w:space="0" w:color="auto"/>
            </w:tcBorders>
          </w:tcPr>
          <w:p w:rsidR="009B3F47" w:rsidRPr="003D2511" w:rsidRDefault="009B3F47" w:rsidP="003E4814">
            <w:pPr>
              <w:autoSpaceDE w:val="0"/>
              <w:autoSpaceDN w:val="0"/>
              <w:adjustRightInd w:val="0"/>
              <w:spacing w:before="40" w:after="40"/>
              <w:jc w:val="left"/>
              <w:rPr>
                <w:rFonts w:cs="Calibri"/>
                <w:color w:val="000000"/>
                <w:sz w:val="18"/>
                <w:szCs w:val="18"/>
              </w:rPr>
            </w:pPr>
            <w:r w:rsidRPr="003D2511">
              <w:rPr>
                <w:rFonts w:cs="Calibri"/>
                <w:color w:val="000000"/>
                <w:sz w:val="18"/>
                <w:szCs w:val="18"/>
              </w:rPr>
              <w:t>Regionální inovační centrum elektrotechniky (</w:t>
            </w:r>
            <w:hyperlink r:id="rId113" w:history="1">
              <w:r w:rsidRPr="003D2511">
                <w:rPr>
                  <w:rFonts w:cs="Calibri"/>
                  <w:color w:val="0000FF" w:themeColor="hyperlink"/>
                  <w:sz w:val="18"/>
                  <w:szCs w:val="18"/>
                  <w:u w:val="single"/>
                </w:rPr>
                <w:t>RICE</w:t>
              </w:r>
            </w:hyperlink>
            <w:r w:rsidRPr="003D2511">
              <w:rPr>
                <w:rFonts w:cs="Calibri"/>
                <w:color w:val="000000"/>
                <w:sz w:val="18"/>
                <w:szCs w:val="18"/>
              </w:rPr>
              <w:t>)</w:t>
            </w:r>
          </w:p>
        </w:tc>
        <w:tc>
          <w:tcPr>
            <w:tcW w:w="6095" w:type="dxa"/>
            <w:tcBorders>
              <w:top w:val="single" w:sz="4" w:space="0" w:color="auto"/>
              <w:bottom w:val="single" w:sz="4" w:space="0" w:color="auto"/>
            </w:tcBorders>
          </w:tcPr>
          <w:p w:rsidR="009B3F47" w:rsidRPr="003D2511" w:rsidRDefault="009B3F47" w:rsidP="004F74B7">
            <w:pPr>
              <w:numPr>
                <w:ilvl w:val="0"/>
                <w:numId w:val="9"/>
              </w:numPr>
              <w:autoSpaceDE w:val="0"/>
              <w:autoSpaceDN w:val="0"/>
              <w:adjustRightInd w:val="0"/>
              <w:spacing w:before="40" w:after="40"/>
              <w:ind w:left="176" w:hanging="176"/>
              <w:jc w:val="left"/>
              <w:rPr>
                <w:rFonts w:cs="Calibri"/>
                <w:color w:val="000000"/>
                <w:sz w:val="18"/>
                <w:szCs w:val="18"/>
              </w:rPr>
            </w:pPr>
            <w:r w:rsidRPr="003D2511">
              <w:rPr>
                <w:rFonts w:cs="Calibri"/>
                <w:color w:val="000000"/>
                <w:sz w:val="18"/>
                <w:szCs w:val="18"/>
              </w:rPr>
              <w:t>Pohony, dopravní systémy</w:t>
            </w:r>
          </w:p>
          <w:p w:rsidR="009B3F47" w:rsidRPr="003D2511" w:rsidRDefault="009B3F47" w:rsidP="004F74B7">
            <w:pPr>
              <w:numPr>
                <w:ilvl w:val="0"/>
                <w:numId w:val="9"/>
              </w:numPr>
              <w:autoSpaceDE w:val="0"/>
              <w:autoSpaceDN w:val="0"/>
              <w:adjustRightInd w:val="0"/>
              <w:spacing w:before="40" w:after="40"/>
              <w:ind w:left="176" w:hanging="176"/>
              <w:jc w:val="left"/>
              <w:rPr>
                <w:rFonts w:cs="Calibri"/>
                <w:color w:val="000000"/>
                <w:sz w:val="18"/>
                <w:szCs w:val="18"/>
              </w:rPr>
            </w:pPr>
            <w:r w:rsidRPr="003D2511">
              <w:rPr>
                <w:rFonts w:cs="Calibri"/>
                <w:color w:val="000000"/>
                <w:sz w:val="18"/>
                <w:szCs w:val="18"/>
              </w:rPr>
              <w:t>Materiálový výzkum (senzory)</w:t>
            </w:r>
          </w:p>
          <w:p w:rsidR="009B3F47" w:rsidRPr="003D2511" w:rsidRDefault="009B3F47" w:rsidP="004F74B7">
            <w:pPr>
              <w:numPr>
                <w:ilvl w:val="0"/>
                <w:numId w:val="9"/>
              </w:numPr>
              <w:autoSpaceDE w:val="0"/>
              <w:autoSpaceDN w:val="0"/>
              <w:adjustRightInd w:val="0"/>
              <w:spacing w:before="40" w:after="40"/>
              <w:ind w:left="176" w:hanging="176"/>
              <w:jc w:val="left"/>
              <w:rPr>
                <w:rFonts w:cs="Calibri"/>
                <w:color w:val="000000"/>
                <w:sz w:val="18"/>
                <w:szCs w:val="18"/>
              </w:rPr>
            </w:pPr>
            <w:r w:rsidRPr="003D2511">
              <w:rPr>
                <w:rFonts w:cs="Calibri"/>
                <w:color w:val="000000"/>
                <w:sz w:val="18"/>
                <w:szCs w:val="18"/>
              </w:rPr>
              <w:t>Řídicí systémy</w:t>
            </w:r>
          </w:p>
          <w:p w:rsidR="009B3F47" w:rsidRPr="003D2511" w:rsidRDefault="009B3F47" w:rsidP="004F74B7">
            <w:pPr>
              <w:numPr>
                <w:ilvl w:val="0"/>
                <w:numId w:val="9"/>
              </w:numPr>
              <w:autoSpaceDE w:val="0"/>
              <w:autoSpaceDN w:val="0"/>
              <w:adjustRightInd w:val="0"/>
              <w:spacing w:before="40" w:after="40"/>
              <w:ind w:left="176" w:hanging="176"/>
              <w:jc w:val="left"/>
              <w:rPr>
                <w:rFonts w:cs="Calibri"/>
                <w:color w:val="000000"/>
                <w:sz w:val="18"/>
                <w:szCs w:val="18"/>
              </w:rPr>
            </w:pPr>
            <w:r w:rsidRPr="003D2511">
              <w:rPr>
                <w:rFonts w:cs="Calibri"/>
                <w:color w:val="000000"/>
                <w:sz w:val="18"/>
                <w:szCs w:val="18"/>
              </w:rPr>
              <w:t>Diagnostika</w:t>
            </w:r>
          </w:p>
          <w:p w:rsidR="009B3F47" w:rsidRPr="003D2511" w:rsidRDefault="009B3F47" w:rsidP="004F74B7">
            <w:pPr>
              <w:numPr>
                <w:ilvl w:val="0"/>
                <w:numId w:val="9"/>
              </w:numPr>
              <w:autoSpaceDE w:val="0"/>
              <w:autoSpaceDN w:val="0"/>
              <w:adjustRightInd w:val="0"/>
              <w:spacing w:before="40" w:after="40"/>
              <w:ind w:left="176" w:hanging="176"/>
              <w:jc w:val="left"/>
              <w:rPr>
                <w:rFonts w:cs="Calibri"/>
                <w:color w:val="000000"/>
                <w:sz w:val="18"/>
                <w:szCs w:val="18"/>
              </w:rPr>
            </w:pPr>
            <w:r w:rsidRPr="003D2511">
              <w:rPr>
                <w:rFonts w:cs="Calibri"/>
                <w:color w:val="000000"/>
                <w:sz w:val="18"/>
                <w:szCs w:val="18"/>
              </w:rPr>
              <w:t>Matematické modelování a výpočty</w:t>
            </w:r>
          </w:p>
        </w:tc>
      </w:tr>
      <w:tr w:rsidR="009B3F47" w:rsidRPr="003D2511" w:rsidTr="003E4814">
        <w:trPr>
          <w:trHeight w:val="165"/>
        </w:trPr>
        <w:tc>
          <w:tcPr>
            <w:tcW w:w="3369" w:type="dxa"/>
            <w:tcBorders>
              <w:top w:val="single" w:sz="4" w:space="0" w:color="auto"/>
              <w:bottom w:val="single" w:sz="4" w:space="0" w:color="auto"/>
            </w:tcBorders>
            <w:shd w:val="clear" w:color="auto" w:fill="EAF1DD" w:themeFill="accent3" w:themeFillTint="33"/>
          </w:tcPr>
          <w:p w:rsidR="009B3F47" w:rsidRPr="003D2511" w:rsidRDefault="009B3F47" w:rsidP="003E4814">
            <w:pPr>
              <w:autoSpaceDE w:val="0"/>
              <w:autoSpaceDN w:val="0"/>
              <w:adjustRightInd w:val="0"/>
              <w:spacing w:before="40" w:after="40"/>
              <w:jc w:val="left"/>
              <w:rPr>
                <w:rFonts w:cs="Calibri"/>
                <w:color w:val="000000"/>
                <w:sz w:val="18"/>
                <w:szCs w:val="18"/>
              </w:rPr>
            </w:pPr>
            <w:r w:rsidRPr="003D2511">
              <w:rPr>
                <w:rFonts w:cs="Calibri"/>
                <w:color w:val="000000"/>
                <w:sz w:val="18"/>
                <w:szCs w:val="18"/>
              </w:rPr>
              <w:t>Institut environmentálních technologií (</w:t>
            </w:r>
            <w:hyperlink r:id="rId114" w:history="1">
              <w:r w:rsidRPr="003D2511">
                <w:rPr>
                  <w:rFonts w:cs="Calibri"/>
                  <w:color w:val="0000FF" w:themeColor="hyperlink"/>
                  <w:sz w:val="18"/>
                  <w:szCs w:val="18"/>
                  <w:u w:val="single"/>
                </w:rPr>
                <w:t>IET</w:t>
              </w:r>
            </w:hyperlink>
            <w:r w:rsidRPr="003D2511">
              <w:rPr>
                <w:rFonts w:cs="Calibri"/>
                <w:color w:val="000000"/>
                <w:sz w:val="18"/>
                <w:szCs w:val="18"/>
              </w:rPr>
              <w:t>)</w:t>
            </w:r>
          </w:p>
        </w:tc>
        <w:tc>
          <w:tcPr>
            <w:tcW w:w="6095" w:type="dxa"/>
            <w:tcBorders>
              <w:top w:val="single" w:sz="4" w:space="0" w:color="auto"/>
              <w:bottom w:val="single" w:sz="4" w:space="0" w:color="auto"/>
            </w:tcBorders>
            <w:shd w:val="clear" w:color="auto" w:fill="EAF1DD" w:themeFill="accent3" w:themeFillTint="33"/>
          </w:tcPr>
          <w:p w:rsidR="009B3F47" w:rsidRPr="003D2511" w:rsidRDefault="009B3F47" w:rsidP="004F74B7">
            <w:pPr>
              <w:numPr>
                <w:ilvl w:val="0"/>
                <w:numId w:val="9"/>
              </w:numPr>
              <w:autoSpaceDE w:val="0"/>
              <w:autoSpaceDN w:val="0"/>
              <w:adjustRightInd w:val="0"/>
              <w:spacing w:before="40" w:after="40"/>
              <w:ind w:left="176" w:hanging="176"/>
              <w:jc w:val="left"/>
              <w:rPr>
                <w:rFonts w:cs="Calibri"/>
                <w:color w:val="000000"/>
                <w:sz w:val="18"/>
                <w:szCs w:val="18"/>
              </w:rPr>
            </w:pPr>
            <w:r w:rsidRPr="003D2511">
              <w:rPr>
                <w:rFonts w:cs="Calibri"/>
                <w:color w:val="000000"/>
                <w:sz w:val="18"/>
                <w:szCs w:val="18"/>
              </w:rPr>
              <w:t>Energetické využití odpadů</w:t>
            </w:r>
          </w:p>
          <w:p w:rsidR="009B3F47" w:rsidRPr="003D2511" w:rsidRDefault="009B3F47" w:rsidP="004F74B7">
            <w:pPr>
              <w:numPr>
                <w:ilvl w:val="0"/>
                <w:numId w:val="9"/>
              </w:numPr>
              <w:autoSpaceDE w:val="0"/>
              <w:autoSpaceDN w:val="0"/>
              <w:adjustRightInd w:val="0"/>
              <w:spacing w:before="40" w:after="40"/>
              <w:ind w:left="176" w:hanging="176"/>
              <w:jc w:val="left"/>
              <w:rPr>
                <w:rFonts w:cs="Calibri"/>
                <w:color w:val="000000"/>
                <w:sz w:val="18"/>
                <w:szCs w:val="18"/>
              </w:rPr>
            </w:pPr>
            <w:r w:rsidRPr="003D2511">
              <w:rPr>
                <w:rFonts w:cs="Calibri"/>
                <w:color w:val="000000"/>
                <w:sz w:val="18"/>
                <w:szCs w:val="18"/>
              </w:rPr>
              <w:t>Technologie odstraňování produktů z energetického využití odpadů</w:t>
            </w:r>
          </w:p>
          <w:p w:rsidR="009B3F47" w:rsidRPr="003D2511" w:rsidRDefault="009B3F47" w:rsidP="004F74B7">
            <w:pPr>
              <w:numPr>
                <w:ilvl w:val="0"/>
                <w:numId w:val="9"/>
              </w:numPr>
              <w:autoSpaceDE w:val="0"/>
              <w:autoSpaceDN w:val="0"/>
              <w:adjustRightInd w:val="0"/>
              <w:spacing w:before="40" w:after="40"/>
              <w:ind w:left="176" w:hanging="176"/>
              <w:jc w:val="left"/>
              <w:rPr>
                <w:rFonts w:cs="Calibri"/>
                <w:color w:val="000000"/>
                <w:sz w:val="18"/>
                <w:szCs w:val="18"/>
              </w:rPr>
            </w:pPr>
            <w:r w:rsidRPr="003D2511">
              <w:rPr>
                <w:rFonts w:cs="Calibri"/>
                <w:color w:val="000000"/>
                <w:sz w:val="18"/>
                <w:szCs w:val="18"/>
              </w:rPr>
              <w:t>Dopady na životní prostředí</w:t>
            </w:r>
          </w:p>
        </w:tc>
      </w:tr>
      <w:tr w:rsidR="009B3F47" w:rsidRPr="003D2511" w:rsidTr="003E4814">
        <w:trPr>
          <w:trHeight w:val="165"/>
        </w:trPr>
        <w:tc>
          <w:tcPr>
            <w:tcW w:w="3369" w:type="dxa"/>
            <w:tcBorders>
              <w:top w:val="single" w:sz="4" w:space="0" w:color="auto"/>
              <w:bottom w:val="single" w:sz="4" w:space="0" w:color="auto"/>
            </w:tcBorders>
          </w:tcPr>
          <w:p w:rsidR="009B3F47" w:rsidRPr="003D2511" w:rsidRDefault="009B3F47" w:rsidP="003E4814">
            <w:pPr>
              <w:autoSpaceDE w:val="0"/>
              <w:autoSpaceDN w:val="0"/>
              <w:adjustRightInd w:val="0"/>
              <w:spacing w:before="40" w:after="40"/>
              <w:jc w:val="left"/>
              <w:rPr>
                <w:rFonts w:cs="Calibri"/>
                <w:color w:val="000000"/>
                <w:sz w:val="18"/>
                <w:szCs w:val="18"/>
              </w:rPr>
            </w:pPr>
            <w:r w:rsidRPr="003D2511">
              <w:rPr>
                <w:rFonts w:cs="Calibri"/>
                <w:color w:val="000000"/>
                <w:sz w:val="18"/>
                <w:szCs w:val="18"/>
              </w:rPr>
              <w:t>Regionální centrum aplikované molekulární onkologie (</w:t>
            </w:r>
            <w:hyperlink r:id="rId115" w:history="1">
              <w:r w:rsidRPr="003D2511">
                <w:rPr>
                  <w:rFonts w:cs="Calibri"/>
                  <w:color w:val="0000FF" w:themeColor="hyperlink"/>
                  <w:sz w:val="18"/>
                  <w:szCs w:val="18"/>
                  <w:u w:val="single"/>
                </w:rPr>
                <w:t>RECAMO</w:t>
              </w:r>
            </w:hyperlink>
            <w:r w:rsidRPr="003D2511">
              <w:rPr>
                <w:rFonts w:cs="Calibri"/>
                <w:color w:val="000000"/>
                <w:sz w:val="18"/>
                <w:szCs w:val="18"/>
              </w:rPr>
              <w:t>)</w:t>
            </w:r>
          </w:p>
        </w:tc>
        <w:tc>
          <w:tcPr>
            <w:tcW w:w="6095" w:type="dxa"/>
            <w:tcBorders>
              <w:top w:val="single" w:sz="4" w:space="0" w:color="auto"/>
              <w:bottom w:val="single" w:sz="4" w:space="0" w:color="auto"/>
            </w:tcBorders>
          </w:tcPr>
          <w:p w:rsidR="009B3F47" w:rsidRPr="003D2511" w:rsidRDefault="009B3F47" w:rsidP="004F74B7">
            <w:pPr>
              <w:numPr>
                <w:ilvl w:val="0"/>
                <w:numId w:val="9"/>
              </w:numPr>
              <w:autoSpaceDE w:val="0"/>
              <w:autoSpaceDN w:val="0"/>
              <w:adjustRightInd w:val="0"/>
              <w:spacing w:before="40" w:after="40"/>
              <w:ind w:left="176" w:hanging="176"/>
              <w:jc w:val="left"/>
              <w:rPr>
                <w:rFonts w:cs="Calibri"/>
                <w:color w:val="000000"/>
                <w:sz w:val="18"/>
                <w:szCs w:val="18"/>
              </w:rPr>
            </w:pPr>
            <w:r w:rsidRPr="003D2511">
              <w:rPr>
                <w:rFonts w:cs="Calibri"/>
                <w:color w:val="000000"/>
                <w:sz w:val="18"/>
                <w:szCs w:val="18"/>
              </w:rPr>
              <w:t>Onkologie</w:t>
            </w:r>
          </w:p>
          <w:p w:rsidR="009B3F47" w:rsidRPr="003D2511" w:rsidRDefault="009B3F47" w:rsidP="004F74B7">
            <w:pPr>
              <w:numPr>
                <w:ilvl w:val="0"/>
                <w:numId w:val="9"/>
              </w:numPr>
              <w:autoSpaceDE w:val="0"/>
              <w:autoSpaceDN w:val="0"/>
              <w:adjustRightInd w:val="0"/>
              <w:spacing w:before="40" w:after="40"/>
              <w:ind w:left="176" w:hanging="176"/>
              <w:jc w:val="left"/>
              <w:rPr>
                <w:rFonts w:cs="Calibri"/>
                <w:color w:val="000000"/>
                <w:sz w:val="18"/>
                <w:szCs w:val="18"/>
              </w:rPr>
            </w:pPr>
            <w:r w:rsidRPr="003D2511">
              <w:rPr>
                <w:rFonts w:cs="Calibri"/>
                <w:color w:val="000000"/>
                <w:sz w:val="18"/>
                <w:szCs w:val="18"/>
              </w:rPr>
              <w:t>Molekulární diagnostika, molekulární léčba</w:t>
            </w:r>
          </w:p>
        </w:tc>
      </w:tr>
      <w:tr w:rsidR="002E78C7" w:rsidRPr="003D2511" w:rsidTr="002E78C7">
        <w:trPr>
          <w:trHeight w:val="165"/>
        </w:trPr>
        <w:tc>
          <w:tcPr>
            <w:tcW w:w="3369" w:type="dxa"/>
            <w:tcBorders>
              <w:top w:val="single" w:sz="4" w:space="0" w:color="auto"/>
              <w:bottom w:val="single" w:sz="4" w:space="0" w:color="auto"/>
            </w:tcBorders>
            <w:shd w:val="clear" w:color="auto" w:fill="EAF1DD" w:themeFill="accent3" w:themeFillTint="33"/>
          </w:tcPr>
          <w:p w:rsidR="002E78C7" w:rsidRPr="003D2511" w:rsidRDefault="002E78C7" w:rsidP="003D2511">
            <w:pPr>
              <w:autoSpaceDE w:val="0"/>
              <w:autoSpaceDN w:val="0"/>
              <w:adjustRightInd w:val="0"/>
              <w:spacing w:before="40" w:after="40"/>
              <w:jc w:val="left"/>
              <w:rPr>
                <w:rFonts w:cs="Calibri"/>
                <w:color w:val="000000"/>
                <w:sz w:val="18"/>
                <w:szCs w:val="18"/>
              </w:rPr>
            </w:pPr>
            <w:r w:rsidRPr="003D2511">
              <w:rPr>
                <w:rFonts w:cs="Calibri"/>
                <w:color w:val="000000"/>
                <w:sz w:val="18"/>
                <w:szCs w:val="18"/>
              </w:rPr>
              <w:t>Institut čistých technologií těžby a užití energetických surovin (</w:t>
            </w:r>
            <w:hyperlink r:id="rId116" w:history="1">
              <w:r w:rsidRPr="003D2511">
                <w:rPr>
                  <w:rFonts w:cs="Calibri"/>
                  <w:color w:val="0000FF" w:themeColor="hyperlink"/>
                  <w:sz w:val="18"/>
                  <w:szCs w:val="18"/>
                  <w:u w:val="single"/>
                </w:rPr>
                <w:t>ICT</w:t>
              </w:r>
            </w:hyperlink>
            <w:r w:rsidRPr="003D2511">
              <w:rPr>
                <w:rFonts w:cs="Calibri"/>
                <w:color w:val="000000"/>
                <w:sz w:val="18"/>
                <w:szCs w:val="18"/>
              </w:rPr>
              <w:t>)</w:t>
            </w:r>
          </w:p>
        </w:tc>
        <w:tc>
          <w:tcPr>
            <w:tcW w:w="6095" w:type="dxa"/>
            <w:tcBorders>
              <w:top w:val="single" w:sz="4" w:space="0" w:color="auto"/>
              <w:bottom w:val="single" w:sz="4" w:space="0" w:color="auto"/>
            </w:tcBorders>
            <w:shd w:val="clear" w:color="auto" w:fill="EAF1DD" w:themeFill="accent3" w:themeFillTint="33"/>
          </w:tcPr>
          <w:p w:rsidR="002E78C7" w:rsidRPr="003D2511" w:rsidRDefault="002E78C7" w:rsidP="003D2511">
            <w:pPr>
              <w:autoSpaceDE w:val="0"/>
              <w:autoSpaceDN w:val="0"/>
              <w:adjustRightInd w:val="0"/>
              <w:spacing w:before="40" w:after="40"/>
              <w:jc w:val="left"/>
              <w:rPr>
                <w:rFonts w:cs="Calibri"/>
                <w:color w:val="000000"/>
                <w:sz w:val="18"/>
                <w:szCs w:val="18"/>
              </w:rPr>
            </w:pPr>
            <w:r w:rsidRPr="003D2511">
              <w:rPr>
                <w:rFonts w:cs="Calibri"/>
                <w:color w:val="000000"/>
                <w:sz w:val="18"/>
                <w:szCs w:val="18"/>
              </w:rPr>
              <w:t>Těžba a užití energetických surovin při zajištění udržitelného rozvoje a maximální surovinové soběstačnosti</w:t>
            </w:r>
          </w:p>
        </w:tc>
      </w:tr>
      <w:tr w:rsidR="009B3F47" w:rsidRPr="003D2511" w:rsidTr="003E4814">
        <w:trPr>
          <w:trHeight w:val="165"/>
        </w:trPr>
        <w:tc>
          <w:tcPr>
            <w:tcW w:w="3369" w:type="dxa"/>
            <w:tcBorders>
              <w:top w:val="single" w:sz="4" w:space="0" w:color="auto"/>
              <w:bottom w:val="single" w:sz="4" w:space="0" w:color="auto"/>
            </w:tcBorders>
          </w:tcPr>
          <w:p w:rsidR="009B3F47" w:rsidRPr="003D2511" w:rsidRDefault="009B3F47" w:rsidP="003E4814">
            <w:pPr>
              <w:autoSpaceDE w:val="0"/>
              <w:autoSpaceDN w:val="0"/>
              <w:adjustRightInd w:val="0"/>
              <w:spacing w:before="40" w:after="40"/>
              <w:jc w:val="left"/>
              <w:rPr>
                <w:rFonts w:cs="Calibri"/>
                <w:color w:val="000000"/>
                <w:sz w:val="18"/>
                <w:szCs w:val="18"/>
              </w:rPr>
            </w:pPr>
            <w:r w:rsidRPr="003D2511">
              <w:rPr>
                <w:rFonts w:cs="Calibri"/>
                <w:color w:val="000000"/>
                <w:sz w:val="18"/>
                <w:szCs w:val="18"/>
              </w:rPr>
              <w:t>Centrum rozvoje strojírenského výzkumu Liberec (</w:t>
            </w:r>
            <w:hyperlink r:id="rId117" w:history="1">
              <w:r w:rsidRPr="003D2511">
                <w:rPr>
                  <w:rFonts w:cs="Calibri"/>
                  <w:color w:val="0000FF" w:themeColor="hyperlink"/>
                  <w:sz w:val="18"/>
                  <w:szCs w:val="18"/>
                  <w:u w:val="single"/>
                </w:rPr>
                <w:t>CRSV</w:t>
              </w:r>
            </w:hyperlink>
            <w:r w:rsidRPr="003D2511">
              <w:rPr>
                <w:rFonts w:cs="Calibri"/>
                <w:color w:val="000000"/>
                <w:sz w:val="18"/>
                <w:szCs w:val="18"/>
              </w:rPr>
              <w:t>)</w:t>
            </w:r>
          </w:p>
        </w:tc>
        <w:tc>
          <w:tcPr>
            <w:tcW w:w="6095" w:type="dxa"/>
            <w:tcBorders>
              <w:top w:val="single" w:sz="4" w:space="0" w:color="auto"/>
              <w:bottom w:val="single" w:sz="4" w:space="0" w:color="auto"/>
            </w:tcBorders>
          </w:tcPr>
          <w:p w:rsidR="009B3F47" w:rsidRPr="003D2511" w:rsidRDefault="009B3F47" w:rsidP="003E4814">
            <w:pPr>
              <w:autoSpaceDE w:val="0"/>
              <w:autoSpaceDN w:val="0"/>
              <w:adjustRightInd w:val="0"/>
              <w:spacing w:before="40" w:after="40"/>
              <w:jc w:val="left"/>
              <w:rPr>
                <w:rFonts w:cs="Calibri"/>
                <w:color w:val="000000"/>
                <w:sz w:val="18"/>
                <w:szCs w:val="18"/>
              </w:rPr>
            </w:pPr>
            <w:r w:rsidRPr="003D2511">
              <w:rPr>
                <w:rFonts w:cs="Calibri"/>
                <w:color w:val="000000"/>
                <w:sz w:val="18"/>
                <w:szCs w:val="18"/>
              </w:rPr>
              <w:t>Zařízení pro zpracovatelský průmysl (zvyšování výkonových a produkčních parametrů, snižování energetické spotřeby, aktivní a pasivní bezpečnost provozu, spolehlivost a životnost, ekologické a ergonomické aspekty, automatizace)</w:t>
            </w:r>
          </w:p>
        </w:tc>
      </w:tr>
      <w:tr w:rsidR="009B3F47" w:rsidRPr="003D2511" w:rsidTr="003E4814">
        <w:trPr>
          <w:trHeight w:val="73"/>
        </w:trPr>
        <w:tc>
          <w:tcPr>
            <w:tcW w:w="3369" w:type="dxa"/>
            <w:tcBorders>
              <w:top w:val="single" w:sz="4" w:space="0" w:color="auto"/>
              <w:bottom w:val="single" w:sz="4" w:space="0" w:color="auto"/>
            </w:tcBorders>
          </w:tcPr>
          <w:p w:rsidR="009B3F47" w:rsidRPr="003D2511" w:rsidRDefault="009B3F47" w:rsidP="003E4814">
            <w:pPr>
              <w:autoSpaceDE w:val="0"/>
              <w:autoSpaceDN w:val="0"/>
              <w:adjustRightInd w:val="0"/>
              <w:spacing w:before="40" w:after="40"/>
              <w:jc w:val="left"/>
              <w:rPr>
                <w:rFonts w:cs="Calibri"/>
                <w:color w:val="000000"/>
                <w:sz w:val="18"/>
                <w:szCs w:val="18"/>
              </w:rPr>
            </w:pPr>
            <w:r w:rsidRPr="003D2511">
              <w:rPr>
                <w:rFonts w:cs="Calibri"/>
                <w:color w:val="000000"/>
                <w:sz w:val="18"/>
                <w:szCs w:val="18"/>
              </w:rPr>
              <w:t>Regionální technologický institut (</w:t>
            </w:r>
            <w:hyperlink r:id="rId118" w:history="1">
              <w:r w:rsidRPr="003D2511">
                <w:rPr>
                  <w:rFonts w:cs="Calibri"/>
                  <w:color w:val="0000FF" w:themeColor="hyperlink"/>
                  <w:sz w:val="18"/>
                  <w:szCs w:val="18"/>
                  <w:u w:val="single"/>
                </w:rPr>
                <w:t>RTI</w:t>
              </w:r>
            </w:hyperlink>
            <w:r w:rsidRPr="003D2511">
              <w:rPr>
                <w:rFonts w:cs="Calibri"/>
                <w:color w:val="000000"/>
                <w:sz w:val="18"/>
                <w:szCs w:val="18"/>
              </w:rPr>
              <w:t>)</w:t>
            </w:r>
          </w:p>
        </w:tc>
        <w:tc>
          <w:tcPr>
            <w:tcW w:w="6095" w:type="dxa"/>
            <w:tcBorders>
              <w:top w:val="single" w:sz="4" w:space="0" w:color="auto"/>
              <w:bottom w:val="single" w:sz="4" w:space="0" w:color="auto"/>
            </w:tcBorders>
          </w:tcPr>
          <w:p w:rsidR="009B3F47" w:rsidRPr="003D2511" w:rsidRDefault="009B3F47" w:rsidP="004F74B7">
            <w:pPr>
              <w:numPr>
                <w:ilvl w:val="0"/>
                <w:numId w:val="9"/>
              </w:numPr>
              <w:autoSpaceDE w:val="0"/>
              <w:autoSpaceDN w:val="0"/>
              <w:adjustRightInd w:val="0"/>
              <w:spacing w:before="40" w:after="40"/>
              <w:ind w:left="176" w:hanging="176"/>
              <w:jc w:val="left"/>
              <w:rPr>
                <w:rFonts w:cs="Calibri"/>
                <w:color w:val="000000"/>
                <w:sz w:val="18"/>
                <w:szCs w:val="18"/>
              </w:rPr>
            </w:pPr>
            <w:r w:rsidRPr="003D2511">
              <w:rPr>
                <w:rFonts w:cs="Calibri"/>
                <w:color w:val="000000"/>
                <w:sz w:val="18"/>
                <w:szCs w:val="18"/>
              </w:rPr>
              <w:t>Konstrukce vozidel</w:t>
            </w:r>
          </w:p>
          <w:p w:rsidR="009B3F47" w:rsidRPr="003D2511" w:rsidRDefault="009B3F47" w:rsidP="004F74B7">
            <w:pPr>
              <w:numPr>
                <w:ilvl w:val="0"/>
                <w:numId w:val="9"/>
              </w:numPr>
              <w:autoSpaceDE w:val="0"/>
              <w:autoSpaceDN w:val="0"/>
              <w:adjustRightInd w:val="0"/>
              <w:spacing w:before="40" w:after="40"/>
              <w:ind w:left="176" w:hanging="176"/>
              <w:jc w:val="left"/>
              <w:rPr>
                <w:rFonts w:cs="Calibri"/>
                <w:color w:val="000000"/>
                <w:sz w:val="18"/>
                <w:szCs w:val="18"/>
              </w:rPr>
            </w:pPr>
            <w:r w:rsidRPr="003D2511">
              <w:rPr>
                <w:rFonts w:cs="Calibri"/>
                <w:color w:val="000000"/>
                <w:sz w:val="18"/>
                <w:szCs w:val="18"/>
              </w:rPr>
              <w:t>Výrobní stroje</w:t>
            </w:r>
          </w:p>
          <w:p w:rsidR="009B3F47" w:rsidRPr="003D2511" w:rsidRDefault="009B3F47" w:rsidP="004F74B7">
            <w:pPr>
              <w:numPr>
                <w:ilvl w:val="0"/>
                <w:numId w:val="9"/>
              </w:numPr>
              <w:autoSpaceDE w:val="0"/>
              <w:autoSpaceDN w:val="0"/>
              <w:adjustRightInd w:val="0"/>
              <w:spacing w:before="40" w:after="40"/>
              <w:ind w:left="176" w:hanging="176"/>
              <w:jc w:val="left"/>
              <w:rPr>
                <w:rFonts w:cs="Calibri"/>
                <w:color w:val="000000"/>
                <w:sz w:val="18"/>
                <w:szCs w:val="18"/>
              </w:rPr>
            </w:pPr>
            <w:r w:rsidRPr="003D2511">
              <w:rPr>
                <w:rFonts w:cs="Calibri"/>
                <w:color w:val="000000"/>
                <w:sz w:val="18"/>
                <w:szCs w:val="18"/>
              </w:rPr>
              <w:t>Tvářecí a obráběcí technologie</w:t>
            </w:r>
          </w:p>
        </w:tc>
      </w:tr>
      <w:tr w:rsidR="009666E5" w:rsidRPr="003D2511" w:rsidTr="003E4814">
        <w:trPr>
          <w:trHeight w:val="165"/>
        </w:trPr>
        <w:tc>
          <w:tcPr>
            <w:tcW w:w="3369" w:type="dxa"/>
            <w:tcBorders>
              <w:top w:val="single" w:sz="4" w:space="0" w:color="auto"/>
              <w:bottom w:val="single" w:sz="4" w:space="0" w:color="auto"/>
            </w:tcBorders>
          </w:tcPr>
          <w:p w:rsidR="009666E5" w:rsidRPr="003D2511" w:rsidRDefault="009666E5" w:rsidP="003E4814">
            <w:pPr>
              <w:autoSpaceDE w:val="0"/>
              <w:autoSpaceDN w:val="0"/>
              <w:adjustRightInd w:val="0"/>
              <w:spacing w:before="40" w:after="40"/>
              <w:jc w:val="left"/>
              <w:rPr>
                <w:rFonts w:cs="Calibri"/>
                <w:color w:val="000000"/>
                <w:sz w:val="18"/>
                <w:szCs w:val="18"/>
              </w:rPr>
            </w:pPr>
            <w:r w:rsidRPr="003D2511">
              <w:rPr>
                <w:rFonts w:cs="Calibri"/>
                <w:color w:val="000000"/>
                <w:sz w:val="18"/>
                <w:szCs w:val="18"/>
              </w:rPr>
              <w:t>Ovocnářský výzkumný institut</w:t>
            </w:r>
          </w:p>
        </w:tc>
        <w:tc>
          <w:tcPr>
            <w:tcW w:w="6095" w:type="dxa"/>
            <w:tcBorders>
              <w:top w:val="single" w:sz="4" w:space="0" w:color="auto"/>
              <w:bottom w:val="single" w:sz="4" w:space="0" w:color="auto"/>
            </w:tcBorders>
          </w:tcPr>
          <w:p w:rsidR="009666E5" w:rsidRPr="003D2511" w:rsidRDefault="009666E5" w:rsidP="004F74B7">
            <w:pPr>
              <w:numPr>
                <w:ilvl w:val="0"/>
                <w:numId w:val="9"/>
              </w:numPr>
              <w:autoSpaceDE w:val="0"/>
              <w:autoSpaceDN w:val="0"/>
              <w:adjustRightInd w:val="0"/>
              <w:spacing w:before="40" w:after="40"/>
              <w:ind w:left="176" w:hanging="176"/>
              <w:jc w:val="left"/>
              <w:rPr>
                <w:rFonts w:cs="Calibri"/>
                <w:color w:val="000000"/>
                <w:sz w:val="18"/>
                <w:szCs w:val="18"/>
              </w:rPr>
            </w:pPr>
            <w:r w:rsidRPr="003D2511">
              <w:rPr>
                <w:rFonts w:cs="Calibri"/>
                <w:color w:val="000000"/>
                <w:sz w:val="18"/>
                <w:szCs w:val="18"/>
              </w:rPr>
              <w:t>Genetika a šlechtění</w:t>
            </w:r>
          </w:p>
          <w:p w:rsidR="009666E5" w:rsidRPr="003D2511" w:rsidRDefault="009666E5" w:rsidP="004F74B7">
            <w:pPr>
              <w:numPr>
                <w:ilvl w:val="0"/>
                <w:numId w:val="9"/>
              </w:numPr>
              <w:autoSpaceDE w:val="0"/>
              <w:autoSpaceDN w:val="0"/>
              <w:adjustRightInd w:val="0"/>
              <w:spacing w:before="40" w:after="40"/>
              <w:ind w:left="176" w:hanging="176"/>
              <w:jc w:val="left"/>
              <w:rPr>
                <w:rFonts w:cs="Calibri"/>
                <w:color w:val="000000"/>
                <w:sz w:val="18"/>
                <w:szCs w:val="18"/>
              </w:rPr>
            </w:pPr>
            <w:r w:rsidRPr="003D2511">
              <w:rPr>
                <w:rFonts w:cs="Calibri"/>
                <w:color w:val="000000"/>
                <w:sz w:val="18"/>
                <w:szCs w:val="18"/>
              </w:rPr>
              <w:t>Genofondy</w:t>
            </w:r>
          </w:p>
          <w:p w:rsidR="009666E5" w:rsidRPr="003D2511" w:rsidRDefault="009666E5" w:rsidP="004F74B7">
            <w:pPr>
              <w:numPr>
                <w:ilvl w:val="0"/>
                <w:numId w:val="9"/>
              </w:numPr>
              <w:autoSpaceDE w:val="0"/>
              <w:autoSpaceDN w:val="0"/>
              <w:adjustRightInd w:val="0"/>
              <w:spacing w:before="40" w:after="40"/>
              <w:ind w:left="176" w:hanging="176"/>
              <w:jc w:val="left"/>
              <w:rPr>
                <w:rFonts w:cs="Calibri"/>
                <w:color w:val="000000"/>
                <w:sz w:val="18"/>
                <w:szCs w:val="18"/>
              </w:rPr>
            </w:pPr>
            <w:r w:rsidRPr="003D2511">
              <w:rPr>
                <w:rFonts w:cs="Calibri"/>
                <w:color w:val="000000"/>
                <w:sz w:val="18"/>
                <w:szCs w:val="18"/>
              </w:rPr>
              <w:t>Ochrana rostlin</w:t>
            </w:r>
          </w:p>
        </w:tc>
      </w:tr>
      <w:tr w:rsidR="009666E5" w:rsidRPr="003D2511" w:rsidTr="003E4814">
        <w:trPr>
          <w:trHeight w:val="73"/>
        </w:trPr>
        <w:tc>
          <w:tcPr>
            <w:tcW w:w="3369" w:type="dxa"/>
            <w:tcBorders>
              <w:top w:val="single" w:sz="4" w:space="0" w:color="auto"/>
              <w:bottom w:val="single" w:sz="4" w:space="0" w:color="auto"/>
            </w:tcBorders>
          </w:tcPr>
          <w:p w:rsidR="009666E5" w:rsidRPr="003D2511" w:rsidRDefault="009666E5" w:rsidP="003E4814">
            <w:pPr>
              <w:autoSpaceDE w:val="0"/>
              <w:autoSpaceDN w:val="0"/>
              <w:adjustRightInd w:val="0"/>
              <w:spacing w:before="40" w:after="40"/>
              <w:jc w:val="left"/>
              <w:rPr>
                <w:rFonts w:cs="Calibri"/>
                <w:color w:val="000000"/>
                <w:sz w:val="18"/>
                <w:szCs w:val="18"/>
              </w:rPr>
            </w:pPr>
            <w:r w:rsidRPr="003D2511">
              <w:rPr>
                <w:rFonts w:cs="Calibri"/>
                <w:color w:val="000000"/>
                <w:sz w:val="18"/>
                <w:szCs w:val="18"/>
              </w:rPr>
              <w:t>Národní ústav duševního zdraví (</w:t>
            </w:r>
            <w:hyperlink r:id="rId119" w:history="1">
              <w:r w:rsidRPr="003D2511">
                <w:rPr>
                  <w:rFonts w:cs="Calibri"/>
                  <w:color w:val="0000FF" w:themeColor="hyperlink"/>
                  <w:sz w:val="18"/>
                  <w:szCs w:val="18"/>
                  <w:u w:val="single"/>
                </w:rPr>
                <w:t>NUDZ</w:t>
              </w:r>
            </w:hyperlink>
            <w:r w:rsidRPr="003D2511">
              <w:rPr>
                <w:rFonts w:cs="Calibri"/>
                <w:color w:val="000000"/>
                <w:sz w:val="18"/>
                <w:szCs w:val="18"/>
              </w:rPr>
              <w:t>)</w:t>
            </w:r>
          </w:p>
        </w:tc>
        <w:tc>
          <w:tcPr>
            <w:tcW w:w="6095" w:type="dxa"/>
            <w:tcBorders>
              <w:top w:val="single" w:sz="4" w:space="0" w:color="auto"/>
              <w:bottom w:val="single" w:sz="4" w:space="0" w:color="auto"/>
            </w:tcBorders>
          </w:tcPr>
          <w:p w:rsidR="009666E5" w:rsidRPr="003D2511" w:rsidRDefault="009666E5" w:rsidP="004F74B7">
            <w:pPr>
              <w:numPr>
                <w:ilvl w:val="0"/>
                <w:numId w:val="9"/>
              </w:numPr>
              <w:autoSpaceDE w:val="0"/>
              <w:autoSpaceDN w:val="0"/>
              <w:adjustRightInd w:val="0"/>
              <w:spacing w:before="40" w:after="40"/>
              <w:ind w:left="176" w:hanging="176"/>
              <w:jc w:val="left"/>
              <w:rPr>
                <w:rFonts w:cs="Calibri"/>
                <w:color w:val="000000"/>
                <w:sz w:val="18"/>
                <w:szCs w:val="18"/>
              </w:rPr>
            </w:pPr>
            <w:r w:rsidRPr="003D2511">
              <w:rPr>
                <w:rFonts w:cs="Calibri"/>
                <w:color w:val="000000"/>
                <w:sz w:val="18"/>
                <w:szCs w:val="18"/>
              </w:rPr>
              <w:t>Neurobiologie duševních poruch, stárnutí a demence</w:t>
            </w:r>
          </w:p>
          <w:p w:rsidR="009666E5" w:rsidRPr="003D2511" w:rsidRDefault="009666E5" w:rsidP="004F74B7">
            <w:pPr>
              <w:numPr>
                <w:ilvl w:val="0"/>
                <w:numId w:val="9"/>
              </w:numPr>
              <w:autoSpaceDE w:val="0"/>
              <w:autoSpaceDN w:val="0"/>
              <w:adjustRightInd w:val="0"/>
              <w:spacing w:before="40" w:after="40"/>
              <w:ind w:left="176" w:hanging="176"/>
              <w:jc w:val="left"/>
              <w:rPr>
                <w:rFonts w:cs="Calibri"/>
                <w:color w:val="000000"/>
                <w:sz w:val="18"/>
                <w:szCs w:val="18"/>
              </w:rPr>
            </w:pPr>
            <w:r w:rsidRPr="003D2511">
              <w:rPr>
                <w:rFonts w:cs="Calibri"/>
                <w:color w:val="000000"/>
                <w:sz w:val="18"/>
                <w:szCs w:val="18"/>
              </w:rPr>
              <w:t xml:space="preserve">Biologická podstata závislostí </w:t>
            </w:r>
          </w:p>
          <w:p w:rsidR="009666E5" w:rsidRPr="003D2511" w:rsidRDefault="009666E5" w:rsidP="004F74B7">
            <w:pPr>
              <w:numPr>
                <w:ilvl w:val="0"/>
                <w:numId w:val="9"/>
              </w:numPr>
              <w:autoSpaceDE w:val="0"/>
              <w:autoSpaceDN w:val="0"/>
              <w:adjustRightInd w:val="0"/>
              <w:spacing w:before="40" w:after="40"/>
              <w:ind w:left="176" w:hanging="176"/>
              <w:jc w:val="left"/>
              <w:rPr>
                <w:rFonts w:cs="Calibri"/>
                <w:color w:val="000000"/>
                <w:sz w:val="18"/>
                <w:szCs w:val="18"/>
              </w:rPr>
            </w:pPr>
            <w:r w:rsidRPr="003D2511">
              <w:rPr>
                <w:rFonts w:cs="Calibri"/>
                <w:color w:val="000000"/>
                <w:sz w:val="18"/>
                <w:szCs w:val="18"/>
              </w:rPr>
              <w:t>Epidemiologie duševních poruch</w:t>
            </w:r>
          </w:p>
          <w:p w:rsidR="009666E5" w:rsidRPr="003D2511" w:rsidRDefault="009666E5" w:rsidP="004F74B7">
            <w:pPr>
              <w:numPr>
                <w:ilvl w:val="0"/>
                <w:numId w:val="9"/>
              </w:numPr>
              <w:autoSpaceDE w:val="0"/>
              <w:autoSpaceDN w:val="0"/>
              <w:adjustRightInd w:val="0"/>
              <w:spacing w:before="40" w:after="40"/>
              <w:ind w:left="176" w:hanging="176"/>
              <w:jc w:val="left"/>
              <w:rPr>
                <w:rFonts w:cs="Calibri"/>
                <w:color w:val="000000"/>
                <w:sz w:val="18"/>
                <w:szCs w:val="18"/>
              </w:rPr>
            </w:pPr>
            <w:r w:rsidRPr="003D2511">
              <w:rPr>
                <w:rFonts w:cs="Calibri"/>
                <w:color w:val="000000"/>
                <w:sz w:val="18"/>
                <w:szCs w:val="18"/>
              </w:rPr>
              <w:t>Referenční psychiatrické pracoviště</w:t>
            </w:r>
          </w:p>
        </w:tc>
      </w:tr>
    </w:tbl>
    <w:p w:rsidR="00B51C51" w:rsidRPr="00B51C51" w:rsidRDefault="00B51C51" w:rsidP="00F36975">
      <w:pPr>
        <w:spacing w:before="240"/>
      </w:pPr>
      <w:r w:rsidRPr="00B51C51">
        <w:t xml:space="preserve">Experti se v rámci workshopu rovněž navrhli zaměření nových, v ČR dosud chybějící kapacit s významným potenciálním přínosem pro bezpečnostní výzkum. Mezi navržené kapacity patří (v náhodném pořadí): </w:t>
      </w:r>
    </w:p>
    <w:p w:rsidR="00B51C51" w:rsidRPr="00B51C51" w:rsidRDefault="00B51C51" w:rsidP="00F36975">
      <w:pPr>
        <w:numPr>
          <w:ilvl w:val="0"/>
          <w:numId w:val="24"/>
        </w:numPr>
        <w:spacing w:before="60" w:after="60"/>
        <w:ind w:left="714" w:hanging="357"/>
      </w:pPr>
      <w:r w:rsidRPr="00B51C51">
        <w:t>Analytická ka</w:t>
      </w:r>
      <w:r>
        <w:t>pacita pro hodnocení přínosu BV;</w:t>
      </w:r>
    </w:p>
    <w:p w:rsidR="00B51C51" w:rsidRPr="00B51C51" w:rsidRDefault="00B51C51" w:rsidP="00F36975">
      <w:pPr>
        <w:numPr>
          <w:ilvl w:val="0"/>
          <w:numId w:val="24"/>
        </w:numPr>
        <w:spacing w:before="60" w:after="60"/>
        <w:ind w:left="714" w:hanging="357"/>
      </w:pPr>
      <w:r w:rsidRPr="00B51C51">
        <w:t>Centrum řízení odolnosti společenského systému</w:t>
      </w:r>
      <w:r>
        <w:t>;</w:t>
      </w:r>
    </w:p>
    <w:p w:rsidR="00B51C51" w:rsidRPr="00B51C51" w:rsidRDefault="00B51C51" w:rsidP="00F36975">
      <w:pPr>
        <w:numPr>
          <w:ilvl w:val="0"/>
          <w:numId w:val="24"/>
        </w:numPr>
        <w:spacing w:before="60" w:after="60"/>
        <w:ind w:left="714" w:hanging="357"/>
      </w:pPr>
      <w:r w:rsidRPr="00B51C51">
        <w:t>Centrum pro ochranu energetických a dopravních infrastruktur</w:t>
      </w:r>
      <w:r>
        <w:t>;</w:t>
      </w:r>
    </w:p>
    <w:p w:rsidR="00B51C51" w:rsidRPr="00B51C51" w:rsidRDefault="00B51C51" w:rsidP="00F36975">
      <w:pPr>
        <w:numPr>
          <w:ilvl w:val="0"/>
          <w:numId w:val="24"/>
        </w:numPr>
        <w:spacing w:before="60" w:after="60"/>
        <w:ind w:left="714" w:hanging="357"/>
      </w:pPr>
      <w:r w:rsidRPr="00B51C51">
        <w:t>Centrum pro aplikovaný sociálně-vědní výzkum</w:t>
      </w:r>
      <w:r>
        <w:t>;</w:t>
      </w:r>
    </w:p>
    <w:p w:rsidR="00B51C51" w:rsidRPr="00B51C51" w:rsidRDefault="00B51C51" w:rsidP="00F36975">
      <w:pPr>
        <w:numPr>
          <w:ilvl w:val="0"/>
          <w:numId w:val="24"/>
        </w:numPr>
        <w:spacing w:before="60" w:after="60"/>
        <w:ind w:left="714" w:hanging="357"/>
      </w:pPr>
      <w:r w:rsidRPr="00B51C51">
        <w:t>Centrum pro simulaci operací složek bezpečnostního systému v městském prostředí</w:t>
      </w:r>
      <w:r>
        <w:t>;</w:t>
      </w:r>
    </w:p>
    <w:p w:rsidR="00B51C51" w:rsidRPr="00B51C51" w:rsidRDefault="00B51C51" w:rsidP="00F36975">
      <w:pPr>
        <w:numPr>
          <w:ilvl w:val="0"/>
          <w:numId w:val="24"/>
        </w:numPr>
        <w:spacing w:before="60" w:after="60"/>
        <w:ind w:left="714" w:hanging="357"/>
      </w:pPr>
      <w:r w:rsidRPr="00B51C51">
        <w:t>Centrum pro simulaci reakcí bezpečnostního systému pod zátěží</w:t>
      </w:r>
      <w:r>
        <w:t>;</w:t>
      </w:r>
    </w:p>
    <w:p w:rsidR="00B51C51" w:rsidRDefault="00B51C51" w:rsidP="00F36975">
      <w:pPr>
        <w:numPr>
          <w:ilvl w:val="0"/>
          <w:numId w:val="24"/>
        </w:numPr>
        <w:spacing w:before="60" w:after="60"/>
        <w:ind w:left="714" w:hanging="357"/>
      </w:pPr>
      <w:r w:rsidRPr="00B51C51">
        <w:t>Kapacita pro řešení etických a právních souvislostí BV  (servisní pracoviště pro ostatní centra)</w:t>
      </w:r>
      <w:r>
        <w:t>.</w:t>
      </w:r>
    </w:p>
    <w:p w:rsidR="003D2511" w:rsidRDefault="003D2511" w:rsidP="003033F4">
      <w:pPr>
        <w:pStyle w:val="Nadpis3"/>
        <w:rPr>
          <w:rFonts w:eastAsiaTheme="majorEastAsia"/>
        </w:rPr>
      </w:pPr>
      <w:bookmarkStart w:id="241" w:name="_Toc447722655"/>
      <w:bookmarkStart w:id="242" w:name="_Ref450558733"/>
      <w:bookmarkStart w:id="243" w:name="_Toc459723331"/>
      <w:r w:rsidRPr="003D2511">
        <w:rPr>
          <w:rFonts w:eastAsiaTheme="majorEastAsia"/>
        </w:rPr>
        <w:t>Infrastruktura pro výzkum, vývoj a inovace</w:t>
      </w:r>
      <w:bookmarkEnd w:id="241"/>
      <w:bookmarkEnd w:id="242"/>
      <w:bookmarkEnd w:id="243"/>
    </w:p>
    <w:tbl>
      <w:tblPr>
        <w:tblW w:w="0" w:type="auto"/>
        <w:tblLook w:val="04A0" w:firstRow="1" w:lastRow="0" w:firstColumn="1" w:lastColumn="0" w:noHBand="0" w:noVBand="1"/>
      </w:tblPr>
      <w:tblGrid>
        <w:gridCol w:w="9354"/>
      </w:tblGrid>
      <w:tr w:rsidR="00A509EF" w:rsidTr="001D5000">
        <w:tc>
          <w:tcPr>
            <w:tcW w:w="9354"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A509EF" w:rsidRDefault="00A509EF" w:rsidP="00983FA2">
            <w:pPr>
              <w:rPr>
                <w:lang w:eastAsia="cs-CZ"/>
              </w:rPr>
            </w:pPr>
            <w:r>
              <w:rPr>
                <w:lang w:eastAsia="cs-CZ"/>
              </w:rPr>
              <w:t xml:space="preserve">Potenciál pro BV mají i pracoviště </w:t>
            </w:r>
            <w:r w:rsidRPr="00A509EF">
              <w:rPr>
                <w:lang w:eastAsia="cs-CZ"/>
              </w:rPr>
              <w:t>disponující kvalitní výzkumnou infrastrukturou</w:t>
            </w:r>
            <w:r>
              <w:rPr>
                <w:lang w:eastAsia="cs-CZ"/>
              </w:rPr>
              <w:t xml:space="preserve"> a</w:t>
            </w:r>
            <w:r w:rsidRPr="00A509EF">
              <w:rPr>
                <w:lang w:eastAsia="cs-CZ"/>
              </w:rPr>
              <w:t xml:space="preserve"> experimentálním vybavením</w:t>
            </w:r>
            <w:r>
              <w:rPr>
                <w:lang w:eastAsia="cs-CZ"/>
              </w:rPr>
              <w:t xml:space="preserve">, </w:t>
            </w:r>
            <w:r w:rsidRPr="00A509EF">
              <w:rPr>
                <w:lang w:eastAsia="cs-CZ"/>
              </w:rPr>
              <w:t>která se mohou zapojit do bezpečnostně zaměřeného VaV nebo mohou nabídnout svoji infrastrukturu pro tyto účely</w:t>
            </w:r>
            <w:r>
              <w:rPr>
                <w:lang w:eastAsia="cs-CZ"/>
              </w:rPr>
              <w:t xml:space="preserve">. Nejvýznamnější infrastrukturní zařízení (včetně infrastruktury mezinárodního významu) jsou zařazena v </w:t>
            </w:r>
            <w:r w:rsidRPr="003D2511">
              <w:t>Cestovní map</w:t>
            </w:r>
            <w:r>
              <w:t>ě</w:t>
            </w:r>
            <w:r w:rsidRPr="003D2511">
              <w:t xml:space="preserve"> ČR velkých infrastruktur pro výzkum, experimentální vývoj a inovace</w:t>
            </w:r>
            <w:r>
              <w:t xml:space="preserve"> </w:t>
            </w:r>
            <w:r w:rsidRPr="00254C38">
              <w:t xml:space="preserve">pro léta 2016 </w:t>
            </w:r>
            <w:r>
              <w:t>–</w:t>
            </w:r>
            <w:r w:rsidRPr="00254C38">
              <w:t xml:space="preserve"> 2022</w:t>
            </w:r>
            <w:r>
              <w:t xml:space="preserve">, zpracované MŠMT. Z rozboru </w:t>
            </w:r>
            <w:r w:rsidR="00133C62">
              <w:t xml:space="preserve">jejich zaměření </w:t>
            </w:r>
            <w:r>
              <w:t xml:space="preserve">vyplývá, že z celkového počtu 58 </w:t>
            </w:r>
            <w:r w:rsidR="00133C62">
              <w:t xml:space="preserve">výzkumných infrastruktur uvedených v Cestovní mapě by 17 infrastruktur mělo mít potenciál pro zapojení se do BV. </w:t>
            </w:r>
          </w:p>
        </w:tc>
      </w:tr>
    </w:tbl>
    <w:p w:rsidR="0007746C" w:rsidRDefault="003D2511" w:rsidP="003D2511">
      <w:r w:rsidRPr="003D2511">
        <w:t xml:space="preserve">V ČR působící celá řada </w:t>
      </w:r>
      <w:r w:rsidR="0007746C">
        <w:t>pracovišť</w:t>
      </w:r>
      <w:r w:rsidRPr="003D2511">
        <w:t xml:space="preserve"> disponujících kvalitní výzkumnou infrastrukturou, experimentálním vybavením i kvalifikovanými výzkumnými pracovníky, která se mohou zapojit do bezpečnostně zaměřeného VaV nebo mohou nabídnout svoji infrastrukturu pro tyto účely. </w:t>
      </w:r>
      <w:r w:rsidR="0007746C">
        <w:t>Nejvýznamnější infrastrukturní zařízení jsou zařazena do tzv.</w:t>
      </w:r>
      <w:r w:rsidRPr="003D2511">
        <w:t> Cestovní map</w:t>
      </w:r>
      <w:r w:rsidR="0007746C">
        <w:t>y</w:t>
      </w:r>
      <w:r w:rsidRPr="003D2511">
        <w:t xml:space="preserve"> ČR velkých infrastruktur pro výzkum, experimentální vývoj a inovace</w:t>
      </w:r>
      <w:r w:rsidR="00254C38">
        <w:t xml:space="preserve"> </w:t>
      </w:r>
      <w:r w:rsidR="00254C38" w:rsidRPr="00254C38">
        <w:t>pro léta 2016 - 2022</w:t>
      </w:r>
      <w:r w:rsidRPr="003D2511">
        <w:t xml:space="preserve"> </w:t>
      </w:r>
      <w:r w:rsidR="00D27262">
        <w:fldChar w:fldCharType="begin"/>
      </w:r>
      <w:r w:rsidR="00D27262">
        <w:instrText xml:space="preserve"> REF _Ref450557573 \r \h </w:instrText>
      </w:r>
      <w:r w:rsidR="00D27262">
        <w:fldChar w:fldCharType="separate"/>
      </w:r>
      <w:r w:rsidR="003F08E5">
        <w:t>[24]</w:t>
      </w:r>
      <w:r w:rsidR="00D27262">
        <w:fldChar w:fldCharType="end"/>
      </w:r>
      <w:r w:rsidR="000C599E">
        <w:t xml:space="preserve"> (Cestovní mapa), která byla připravena MŠMT v roce 2015 na základě </w:t>
      </w:r>
      <w:r w:rsidR="000C599E" w:rsidRPr="000C599E">
        <w:t>komplexního mezinárodního hodnocení výzkumných infrastruktur ČR</w:t>
      </w:r>
      <w:r w:rsidR="000C599E">
        <w:t>.</w:t>
      </w:r>
    </w:p>
    <w:p w:rsidR="000C599E" w:rsidRDefault="000C599E" w:rsidP="000C599E">
      <w:r>
        <w:t xml:space="preserve">Za velkou výzkumnou infrastrukturu jsou považována </w:t>
      </w:r>
      <w:r w:rsidRPr="003D2511">
        <w:t>unikátní výzkumn</w:t>
      </w:r>
      <w:r>
        <w:t xml:space="preserve">á zařízení umožňující realizovat náročný VaV zřizovaná jednou VO, kterou mohou pro VaV využívat další VO. Do Cestovní mapy je v současné době zařazeno celkem </w:t>
      </w:r>
      <w:r w:rsidRPr="000C599E">
        <w:t>58 individuálních výzkumných infrastruktur</w:t>
      </w:r>
      <w:r>
        <w:t>, které jsou rozděleny do šesti oborů:</w:t>
      </w:r>
    </w:p>
    <w:p w:rsidR="000C599E" w:rsidRDefault="000C599E" w:rsidP="004F74B7">
      <w:pPr>
        <w:pStyle w:val="Odstavecseseznamem"/>
        <w:numPr>
          <w:ilvl w:val="0"/>
          <w:numId w:val="9"/>
        </w:numPr>
        <w:ind w:left="714" w:hanging="357"/>
        <w:contextualSpacing w:val="0"/>
      </w:pPr>
      <w:r w:rsidRPr="000C599E">
        <w:t>Fyzikální věd</w:t>
      </w:r>
      <w:r>
        <w:t>y</w:t>
      </w:r>
      <w:r w:rsidRPr="000C599E">
        <w:t>;</w:t>
      </w:r>
    </w:p>
    <w:p w:rsidR="000C599E" w:rsidRDefault="000C599E" w:rsidP="004F74B7">
      <w:pPr>
        <w:pStyle w:val="Odstavecseseznamem"/>
        <w:numPr>
          <w:ilvl w:val="0"/>
          <w:numId w:val="9"/>
        </w:numPr>
        <w:ind w:left="714" w:hanging="357"/>
        <w:contextualSpacing w:val="0"/>
      </w:pPr>
      <w:r w:rsidRPr="000C599E">
        <w:t>Energetik</w:t>
      </w:r>
      <w:r>
        <w:t>a</w:t>
      </w:r>
      <w:r w:rsidRPr="000C599E">
        <w:t>;</w:t>
      </w:r>
    </w:p>
    <w:p w:rsidR="000C599E" w:rsidRDefault="000C599E" w:rsidP="004F74B7">
      <w:pPr>
        <w:pStyle w:val="Odstavecseseznamem"/>
        <w:numPr>
          <w:ilvl w:val="0"/>
          <w:numId w:val="9"/>
        </w:numPr>
        <w:ind w:left="714" w:hanging="357"/>
        <w:contextualSpacing w:val="0"/>
      </w:pPr>
      <w:r w:rsidRPr="000C599E">
        <w:t>Environmentální věd</w:t>
      </w:r>
      <w:r>
        <w:t>y</w:t>
      </w:r>
      <w:r w:rsidRPr="000C599E">
        <w:t>;</w:t>
      </w:r>
    </w:p>
    <w:p w:rsidR="000C599E" w:rsidRDefault="000C599E" w:rsidP="004F74B7">
      <w:pPr>
        <w:pStyle w:val="Odstavecseseznamem"/>
        <w:numPr>
          <w:ilvl w:val="0"/>
          <w:numId w:val="9"/>
        </w:numPr>
        <w:ind w:left="714" w:hanging="357"/>
        <w:contextualSpacing w:val="0"/>
      </w:pPr>
      <w:r w:rsidRPr="000C599E">
        <w:t>Biomedicín</w:t>
      </w:r>
      <w:r>
        <w:t>a</w:t>
      </w:r>
      <w:r w:rsidRPr="000C599E">
        <w:t>;</w:t>
      </w:r>
    </w:p>
    <w:p w:rsidR="000C599E" w:rsidRDefault="000C599E" w:rsidP="004F74B7">
      <w:pPr>
        <w:pStyle w:val="Odstavecseseznamem"/>
        <w:numPr>
          <w:ilvl w:val="0"/>
          <w:numId w:val="9"/>
        </w:numPr>
        <w:ind w:left="714" w:hanging="357"/>
        <w:contextualSpacing w:val="0"/>
      </w:pPr>
      <w:r w:rsidRPr="000C599E">
        <w:t>Společensk</w:t>
      </w:r>
      <w:r>
        <w:t>é</w:t>
      </w:r>
      <w:r w:rsidRPr="000C599E">
        <w:t xml:space="preserve"> a humanitní věd</w:t>
      </w:r>
      <w:r>
        <w:t>y;</w:t>
      </w:r>
    </w:p>
    <w:p w:rsidR="000C599E" w:rsidRDefault="000C599E" w:rsidP="004F74B7">
      <w:pPr>
        <w:pStyle w:val="Odstavecseseznamem"/>
        <w:numPr>
          <w:ilvl w:val="0"/>
          <w:numId w:val="9"/>
        </w:numPr>
        <w:ind w:left="714" w:hanging="357"/>
        <w:contextualSpacing w:val="0"/>
      </w:pPr>
      <w:r w:rsidRPr="000C599E">
        <w:t>ICT / e-infrastruktur</w:t>
      </w:r>
      <w:r w:rsidR="0093108F">
        <w:t>y.</w:t>
      </w:r>
    </w:p>
    <w:p w:rsidR="003E4814" w:rsidRDefault="003D2511" w:rsidP="003D2511">
      <w:r w:rsidRPr="003D2511">
        <w:t xml:space="preserve">Nejčastějšími zřizovateli těchto pracovišť jsou VO. Subjekty výzkumné infrastruktury se částečně překrývají s projekty výzkumných center podpořených z OP VaVpI. </w:t>
      </w:r>
      <w:r w:rsidR="00EB3639">
        <w:t xml:space="preserve">Některé infrastruktury jsou také součástí (národní uzly) Cestovní mapy </w:t>
      </w:r>
      <w:r w:rsidR="009C2E88">
        <w:fldChar w:fldCharType="begin"/>
      </w:r>
      <w:r w:rsidR="009C2E88">
        <w:instrText xml:space="preserve"> REF _Ref453683325 \r \h </w:instrText>
      </w:r>
      <w:r w:rsidR="009C2E88">
        <w:fldChar w:fldCharType="separate"/>
      </w:r>
      <w:r w:rsidR="003F08E5">
        <w:t>[25]</w:t>
      </w:r>
      <w:r w:rsidR="009C2E88">
        <w:fldChar w:fldCharType="end"/>
      </w:r>
      <w:r w:rsidR="009C2E88">
        <w:t xml:space="preserve"> </w:t>
      </w:r>
      <w:r w:rsidR="00EB3639">
        <w:t>velkých infrastruktu</w:t>
      </w:r>
      <w:r w:rsidR="009C2E88">
        <w:t>r</w:t>
      </w:r>
      <w:r w:rsidR="00EB3639">
        <w:t xml:space="preserve"> evropské</w:t>
      </w:r>
      <w:r w:rsidR="009C2E88">
        <w:t>ho</w:t>
      </w:r>
      <w:r w:rsidR="00EB3639">
        <w:t xml:space="preserve"> zájmu, kterou zpracovalo Evropské strategické fórum pro výzkumné infrastruktury</w:t>
      </w:r>
      <w:r w:rsidR="00EB3639">
        <w:rPr>
          <w:rStyle w:val="Znakapoznpodarou"/>
        </w:rPr>
        <w:footnoteReference w:id="52"/>
      </w:r>
      <w:r w:rsidR="00EB3639">
        <w:t xml:space="preserve"> (ESFRI).</w:t>
      </w:r>
      <w:r w:rsidR="009C2E88">
        <w:t xml:space="preserve"> </w:t>
      </w:r>
      <w:r w:rsidRPr="003D2511">
        <w:t>Přehled VaV infrastruktur, jejichž vybavení by mohlo přispět k realizaci bezpečnostně zaměřených projektů, je uveden v následující tabulce.</w:t>
      </w:r>
      <w:r w:rsidR="003E4814">
        <w:t xml:space="preserve"> </w:t>
      </w:r>
    </w:p>
    <w:p w:rsidR="00BB1007" w:rsidRDefault="00BB1007" w:rsidP="00BB1007">
      <w:r>
        <w:t xml:space="preserve">Rozvoj a činnost výzkumných infrastruktur byla také podpořena </w:t>
      </w:r>
      <w:r w:rsidRPr="003D2511">
        <w:t xml:space="preserve">v programu MŠMT Projekty velkých infrastruktur pro VaVaI (2010 - 2017) </w:t>
      </w:r>
      <w:r>
        <w:fldChar w:fldCharType="begin"/>
      </w:r>
      <w:r>
        <w:instrText xml:space="preserve"> REF _Ref450557607 \r \h </w:instrText>
      </w:r>
      <w:r>
        <w:fldChar w:fldCharType="separate"/>
      </w:r>
      <w:r w:rsidR="003F08E5">
        <w:t>[26]</w:t>
      </w:r>
      <w:r>
        <w:fldChar w:fldCharType="end"/>
      </w:r>
      <w:r w:rsidRPr="003D2511">
        <w:t>.</w:t>
      </w:r>
      <w:r>
        <w:t xml:space="preserve"> Většina z těchto infrastruktur je však zároveň projekty nebo infrastrukturními zařízeními popsanými v předcházejících kapitolách. Několika projektů, které nebyly zařazeny do již uvedených tabulek, je stručně popsáno v samostatném přílohovém dokumentu.</w:t>
      </w:r>
    </w:p>
    <w:p w:rsidR="00BB1007" w:rsidRDefault="00BB1007" w:rsidP="003D2511"/>
    <w:p w:rsidR="00A4314D" w:rsidRDefault="00A4314D" w:rsidP="00A4314D">
      <w:pPr>
        <w:pStyle w:val="Titulek"/>
        <w:keepNext/>
      </w:pPr>
      <w:r>
        <w:t xml:space="preserve">Tab. </w:t>
      </w:r>
      <w:r w:rsidR="00990E2D">
        <w:fldChar w:fldCharType="begin"/>
      </w:r>
      <w:r w:rsidR="00990E2D">
        <w:instrText xml:space="preserve"> SEQ Tab. \* ARABIC </w:instrText>
      </w:r>
      <w:r w:rsidR="00990E2D">
        <w:fldChar w:fldCharType="separate"/>
      </w:r>
      <w:r w:rsidR="003F08E5">
        <w:rPr>
          <w:noProof/>
        </w:rPr>
        <w:t>67</w:t>
      </w:r>
      <w:r w:rsidR="00990E2D">
        <w:rPr>
          <w:noProof/>
        </w:rPr>
        <w:fldChar w:fldCharType="end"/>
      </w:r>
      <w:r>
        <w:tab/>
      </w:r>
      <w:r w:rsidR="00EB1459">
        <w:t xml:space="preserve">Infrastrukturní zařízení zařazená </w:t>
      </w:r>
      <w:r w:rsidRPr="00A4314D">
        <w:t>v Cestovní map</w:t>
      </w:r>
      <w:r>
        <w:t>ě</w:t>
      </w:r>
      <w:r w:rsidRPr="00A4314D">
        <w:t xml:space="preserve"> ČR velkých infrastruktur pro výzkum, experimentální vývoj a inovace.</w:t>
      </w:r>
      <w:r w:rsidR="00EB1459">
        <w:t xml:space="preserve"> </w:t>
      </w:r>
      <w:r w:rsidRPr="00A4314D">
        <w:t xml:space="preserve"> </w:t>
      </w:r>
      <w:r w:rsidR="00254C38">
        <w:t xml:space="preserve">V tabulce </w:t>
      </w:r>
      <w:r w:rsidR="001E4F7A">
        <w:t>je uveden koordinátor a typ infrastruktury, jejích charakteristika a odkaz na internetové stránky. Do tabulky nejsou zařazeny projekty, které jsou zároveň evropskými centry excelence nebo regionálními VaV centry (tato centra jsou charakterizována v předcházejících tabulkách)</w:t>
      </w:r>
      <w:r w:rsidR="005451A5">
        <w:t xml:space="preserve">, infrastruktury situované v zahraničí </w:t>
      </w:r>
      <w:r w:rsidR="001E4F7A">
        <w:t>a mezinárodní výzkumné organizace, jejichž je ČR členem.</w:t>
      </w:r>
      <w:r w:rsidR="00254C38">
        <w:t xml:space="preserve"> </w:t>
      </w:r>
      <w:r w:rsidRPr="00A4314D">
        <w:t>Zdroj: Cestovní mapa České republiky velkých infrastruktur pro výzkum, experimentální vývoj a inovace</w:t>
      </w:r>
      <w:r w:rsidR="00254C38">
        <w:t xml:space="preserve"> na léta 2016 -2022 </w:t>
      </w:r>
      <w:r w:rsidR="00254C38">
        <w:fldChar w:fldCharType="begin"/>
      </w:r>
      <w:r w:rsidR="00254C38">
        <w:instrText xml:space="preserve"> REF _Ref450557573 \r \h </w:instrText>
      </w:r>
      <w:r w:rsidR="00254C38">
        <w:fldChar w:fldCharType="separate"/>
      </w:r>
      <w:r w:rsidR="003F08E5">
        <w:t>[24]</w:t>
      </w:r>
      <w:r w:rsidR="00254C38">
        <w:fldChar w:fldCharType="end"/>
      </w:r>
      <w:r w:rsidRPr="00A4314D">
        <w:t xml:space="preserve"> a internetové stránky jednotlivých infrastruktur</w:t>
      </w:r>
    </w:p>
    <w:tbl>
      <w:tblPr>
        <w:tblStyle w:val="Mkatabulky13"/>
        <w:tblW w:w="9322" w:type="dxa"/>
        <w:tblBorders>
          <w:top w:val="none" w:sz="0" w:space="0" w:color="auto"/>
          <w:left w:val="none" w:sz="0" w:space="0" w:color="auto"/>
          <w:bottom w:val="none" w:sz="0" w:space="0" w:color="auto"/>
          <w:right w:val="none" w:sz="0" w:space="0" w:color="auto"/>
          <w:insideV w:val="none" w:sz="0" w:space="0" w:color="auto"/>
        </w:tblBorders>
        <w:tblLayout w:type="fixed"/>
        <w:tblLook w:val="04A0" w:firstRow="1" w:lastRow="0" w:firstColumn="1" w:lastColumn="0" w:noHBand="0" w:noVBand="1"/>
      </w:tblPr>
      <w:tblGrid>
        <w:gridCol w:w="1951"/>
        <w:gridCol w:w="2977"/>
        <w:gridCol w:w="4394"/>
      </w:tblGrid>
      <w:tr w:rsidR="00A4314D" w:rsidRPr="00664513" w:rsidTr="00A4314D">
        <w:tc>
          <w:tcPr>
            <w:tcW w:w="1951" w:type="dxa"/>
            <w:tcBorders>
              <w:top w:val="single" w:sz="4" w:space="0" w:color="auto"/>
              <w:bottom w:val="single" w:sz="4" w:space="0" w:color="auto"/>
            </w:tcBorders>
            <w:shd w:val="clear" w:color="auto" w:fill="BFBFBF" w:themeFill="background1" w:themeFillShade="BF"/>
            <w:vAlign w:val="center"/>
          </w:tcPr>
          <w:p w:rsidR="00A4314D" w:rsidRPr="00A4314D" w:rsidRDefault="00A4314D" w:rsidP="00A4314D">
            <w:pPr>
              <w:jc w:val="left"/>
              <w:rPr>
                <w:b/>
                <w:sz w:val="18"/>
              </w:rPr>
            </w:pPr>
            <w:r w:rsidRPr="00A4314D">
              <w:rPr>
                <w:b/>
                <w:sz w:val="18"/>
              </w:rPr>
              <w:t>Název velké infrastruktury</w:t>
            </w:r>
          </w:p>
        </w:tc>
        <w:tc>
          <w:tcPr>
            <w:tcW w:w="2977" w:type="dxa"/>
            <w:tcBorders>
              <w:top w:val="single" w:sz="4" w:space="0" w:color="auto"/>
              <w:bottom w:val="single" w:sz="4" w:space="0" w:color="auto"/>
            </w:tcBorders>
            <w:shd w:val="clear" w:color="auto" w:fill="BFBFBF" w:themeFill="background1" w:themeFillShade="BF"/>
            <w:vAlign w:val="center"/>
          </w:tcPr>
          <w:p w:rsidR="00A4314D" w:rsidRPr="00A4314D" w:rsidRDefault="00A4314D" w:rsidP="00A4314D">
            <w:pPr>
              <w:jc w:val="center"/>
              <w:rPr>
                <w:b/>
                <w:sz w:val="18"/>
              </w:rPr>
            </w:pPr>
            <w:r w:rsidRPr="00A4314D">
              <w:rPr>
                <w:b/>
                <w:sz w:val="18"/>
              </w:rPr>
              <w:t>Národní koordinátor (typ infrastruktury)</w:t>
            </w:r>
          </w:p>
        </w:tc>
        <w:tc>
          <w:tcPr>
            <w:tcW w:w="4394" w:type="dxa"/>
            <w:tcBorders>
              <w:top w:val="single" w:sz="4" w:space="0" w:color="auto"/>
              <w:bottom w:val="single" w:sz="4" w:space="0" w:color="auto"/>
            </w:tcBorders>
            <w:shd w:val="clear" w:color="auto" w:fill="BFBFBF" w:themeFill="background1" w:themeFillShade="BF"/>
            <w:vAlign w:val="center"/>
          </w:tcPr>
          <w:p w:rsidR="00A4314D" w:rsidRDefault="00A4314D" w:rsidP="00A4314D">
            <w:pPr>
              <w:jc w:val="center"/>
            </w:pPr>
            <w:r w:rsidRPr="00A4314D">
              <w:rPr>
                <w:b/>
                <w:sz w:val="18"/>
              </w:rPr>
              <w:t>Charakteristika velké infrastruktury</w:t>
            </w:r>
          </w:p>
        </w:tc>
      </w:tr>
      <w:tr w:rsidR="00A4314D" w:rsidRPr="00A4314D" w:rsidTr="00BE1F9E">
        <w:tblPrEx>
          <w:tblBorders>
            <w:insideH w:val="single" w:sz="2" w:space="0" w:color="auto"/>
          </w:tblBorders>
        </w:tblPrEx>
        <w:tc>
          <w:tcPr>
            <w:tcW w:w="9322" w:type="dxa"/>
            <w:gridSpan w:val="3"/>
            <w:tcBorders>
              <w:top w:val="single" w:sz="2" w:space="0" w:color="auto"/>
              <w:bottom w:val="single" w:sz="2" w:space="0" w:color="auto"/>
            </w:tcBorders>
            <w:shd w:val="clear" w:color="auto" w:fill="F2F2F2" w:themeFill="background1" w:themeFillShade="F2"/>
          </w:tcPr>
          <w:p w:rsidR="00A4314D" w:rsidRPr="00A4314D" w:rsidRDefault="00A4314D" w:rsidP="004860DA">
            <w:pPr>
              <w:jc w:val="left"/>
              <w:rPr>
                <w:b/>
                <w:sz w:val="18"/>
                <w:szCs w:val="18"/>
              </w:rPr>
            </w:pPr>
            <w:r w:rsidRPr="00A4314D">
              <w:rPr>
                <w:b/>
                <w:bCs/>
                <w:sz w:val="18"/>
                <w:szCs w:val="18"/>
              </w:rPr>
              <w:t>Fyzik</w:t>
            </w:r>
            <w:r w:rsidR="004860DA">
              <w:rPr>
                <w:b/>
                <w:bCs/>
                <w:sz w:val="18"/>
                <w:szCs w:val="18"/>
              </w:rPr>
              <w:t>ální vědy</w:t>
            </w:r>
          </w:p>
        </w:tc>
      </w:tr>
      <w:tr w:rsidR="00A4314D" w:rsidRPr="00A4314D" w:rsidTr="00BE1F9E">
        <w:tblPrEx>
          <w:tblBorders>
            <w:insideH w:val="single" w:sz="2" w:space="0" w:color="auto"/>
          </w:tblBorders>
        </w:tblPrEx>
        <w:tc>
          <w:tcPr>
            <w:tcW w:w="1951" w:type="dxa"/>
          </w:tcPr>
          <w:p w:rsidR="00A4314D" w:rsidRPr="00A4314D" w:rsidRDefault="00A4314D" w:rsidP="00A4314D">
            <w:pPr>
              <w:jc w:val="left"/>
              <w:rPr>
                <w:sz w:val="18"/>
                <w:szCs w:val="18"/>
              </w:rPr>
            </w:pPr>
            <w:r w:rsidRPr="00A4314D">
              <w:rPr>
                <w:sz w:val="18"/>
                <w:szCs w:val="18"/>
              </w:rPr>
              <w:t>Prague Asterix Laser System (</w:t>
            </w:r>
            <w:hyperlink r:id="rId120" w:history="1">
              <w:r w:rsidRPr="00A4314D">
                <w:rPr>
                  <w:rStyle w:val="Hypertextovodkaz"/>
                  <w:sz w:val="18"/>
                  <w:szCs w:val="18"/>
                </w:rPr>
                <w:t>PALS</w:t>
              </w:r>
            </w:hyperlink>
            <w:r w:rsidRPr="00A4314D">
              <w:rPr>
                <w:sz w:val="18"/>
                <w:szCs w:val="18"/>
              </w:rPr>
              <w:t>)</w:t>
            </w:r>
          </w:p>
        </w:tc>
        <w:tc>
          <w:tcPr>
            <w:tcW w:w="2977" w:type="dxa"/>
          </w:tcPr>
          <w:p w:rsidR="00A4314D" w:rsidRPr="00A4314D" w:rsidRDefault="00A4314D" w:rsidP="00A4314D">
            <w:pPr>
              <w:jc w:val="left"/>
              <w:rPr>
                <w:sz w:val="18"/>
                <w:szCs w:val="18"/>
              </w:rPr>
            </w:pPr>
            <w:r w:rsidRPr="00A4314D">
              <w:rPr>
                <w:sz w:val="18"/>
                <w:szCs w:val="18"/>
              </w:rPr>
              <w:t>Ústav fyziky plazmatu, Fyzikální ústav AV ČR (národní)</w:t>
            </w:r>
          </w:p>
        </w:tc>
        <w:tc>
          <w:tcPr>
            <w:tcW w:w="4394" w:type="dxa"/>
          </w:tcPr>
          <w:p w:rsidR="00A4314D" w:rsidRPr="00A4314D" w:rsidRDefault="00A4314D" w:rsidP="00A4314D">
            <w:pPr>
              <w:jc w:val="left"/>
              <w:rPr>
                <w:sz w:val="18"/>
                <w:szCs w:val="18"/>
              </w:rPr>
            </w:pPr>
            <w:r w:rsidRPr="00A4314D">
              <w:rPr>
                <w:sz w:val="18"/>
                <w:szCs w:val="18"/>
              </w:rPr>
              <w:t>Uživatelská laboratoř poskytující základnu pro experimentální výzkum v oboru výkonových laserů a fyziky laserem vytvářeného plazmatu.</w:t>
            </w:r>
          </w:p>
        </w:tc>
      </w:tr>
      <w:tr w:rsidR="00A4314D" w:rsidRPr="00A4314D" w:rsidTr="00BE1F9E">
        <w:tblPrEx>
          <w:tblBorders>
            <w:insideH w:val="single" w:sz="2" w:space="0" w:color="auto"/>
          </w:tblBorders>
        </w:tblPrEx>
        <w:tc>
          <w:tcPr>
            <w:tcW w:w="1951" w:type="dxa"/>
          </w:tcPr>
          <w:p w:rsidR="00A4314D" w:rsidRPr="00A4314D" w:rsidRDefault="00A4314D" w:rsidP="00A4314D">
            <w:pPr>
              <w:jc w:val="left"/>
              <w:rPr>
                <w:sz w:val="18"/>
                <w:szCs w:val="18"/>
              </w:rPr>
            </w:pPr>
            <w:r w:rsidRPr="00A4314D">
              <w:rPr>
                <w:sz w:val="18"/>
                <w:szCs w:val="18"/>
              </w:rPr>
              <w:t>Laboratoř nanostruktur a nanomateriálů (</w:t>
            </w:r>
            <w:hyperlink r:id="rId121" w:history="1">
              <w:r w:rsidRPr="00A4314D">
                <w:rPr>
                  <w:rStyle w:val="Hypertextovodkaz"/>
                  <w:sz w:val="18"/>
                  <w:szCs w:val="18"/>
                </w:rPr>
                <w:t>LNSM</w:t>
              </w:r>
            </w:hyperlink>
            <w:r w:rsidRPr="00A4314D">
              <w:rPr>
                <w:sz w:val="18"/>
                <w:szCs w:val="18"/>
              </w:rPr>
              <w:t>)</w:t>
            </w:r>
          </w:p>
        </w:tc>
        <w:tc>
          <w:tcPr>
            <w:tcW w:w="2977" w:type="dxa"/>
          </w:tcPr>
          <w:p w:rsidR="00A4314D" w:rsidRPr="00A4314D" w:rsidRDefault="00A4314D" w:rsidP="00A4314D">
            <w:pPr>
              <w:jc w:val="left"/>
              <w:rPr>
                <w:sz w:val="18"/>
                <w:szCs w:val="18"/>
              </w:rPr>
            </w:pPr>
            <w:r w:rsidRPr="00A4314D">
              <w:rPr>
                <w:sz w:val="18"/>
                <w:szCs w:val="18"/>
              </w:rPr>
              <w:t>Fyzikální ústav AV ČR, v.v.i.(národní)</w:t>
            </w:r>
          </w:p>
        </w:tc>
        <w:tc>
          <w:tcPr>
            <w:tcW w:w="4394" w:type="dxa"/>
          </w:tcPr>
          <w:p w:rsidR="00A4314D" w:rsidRPr="00A4314D" w:rsidRDefault="00A4314D" w:rsidP="00A4314D">
            <w:pPr>
              <w:jc w:val="left"/>
              <w:rPr>
                <w:sz w:val="18"/>
                <w:szCs w:val="18"/>
              </w:rPr>
            </w:pPr>
            <w:r w:rsidRPr="00A4314D">
              <w:rPr>
                <w:sz w:val="18"/>
                <w:szCs w:val="18"/>
              </w:rPr>
              <w:t>Infrastruktura a „know-how“ pro výzkum kovových a polovodičových nanomateriálů a nanostruktur.</w:t>
            </w:r>
          </w:p>
        </w:tc>
      </w:tr>
      <w:tr w:rsidR="00A4314D" w:rsidRPr="00A4314D" w:rsidTr="00BE1F9E">
        <w:tblPrEx>
          <w:tblBorders>
            <w:insideH w:val="single" w:sz="2" w:space="0" w:color="auto"/>
          </w:tblBorders>
        </w:tblPrEx>
        <w:tc>
          <w:tcPr>
            <w:tcW w:w="1951" w:type="dxa"/>
          </w:tcPr>
          <w:p w:rsidR="00A4314D" w:rsidRPr="00A4314D" w:rsidRDefault="00A4314D" w:rsidP="00A4314D">
            <w:pPr>
              <w:jc w:val="left"/>
              <w:rPr>
                <w:sz w:val="18"/>
                <w:szCs w:val="18"/>
              </w:rPr>
            </w:pPr>
            <w:r w:rsidRPr="00A4314D">
              <w:rPr>
                <w:sz w:val="18"/>
                <w:szCs w:val="18"/>
              </w:rPr>
              <w:t>Středisko analýzy funkčních materiálů (</w:t>
            </w:r>
            <w:hyperlink r:id="rId122" w:history="1">
              <w:r w:rsidRPr="00A4314D">
                <w:rPr>
                  <w:rStyle w:val="Hypertextovodkaz"/>
                  <w:sz w:val="18"/>
                  <w:szCs w:val="18"/>
                </w:rPr>
                <w:t>SAFMAT</w:t>
              </w:r>
            </w:hyperlink>
            <w:r w:rsidRPr="00A4314D">
              <w:rPr>
                <w:sz w:val="18"/>
                <w:szCs w:val="18"/>
              </w:rPr>
              <w:t>)</w:t>
            </w:r>
          </w:p>
        </w:tc>
        <w:tc>
          <w:tcPr>
            <w:tcW w:w="2977" w:type="dxa"/>
          </w:tcPr>
          <w:p w:rsidR="00A4314D" w:rsidRPr="00A4314D" w:rsidRDefault="00A4314D" w:rsidP="00A4314D">
            <w:pPr>
              <w:jc w:val="left"/>
              <w:rPr>
                <w:sz w:val="18"/>
                <w:szCs w:val="18"/>
              </w:rPr>
            </w:pPr>
            <w:r w:rsidRPr="00A4314D">
              <w:rPr>
                <w:sz w:val="18"/>
                <w:szCs w:val="18"/>
              </w:rPr>
              <w:t>Fyzikální ústav AV ČR, v.v.i.(národní)</w:t>
            </w:r>
          </w:p>
        </w:tc>
        <w:tc>
          <w:tcPr>
            <w:tcW w:w="4394" w:type="dxa"/>
          </w:tcPr>
          <w:p w:rsidR="00A4314D" w:rsidRPr="00A4314D" w:rsidRDefault="00A4314D" w:rsidP="00A4314D">
            <w:pPr>
              <w:jc w:val="left"/>
              <w:rPr>
                <w:sz w:val="18"/>
                <w:szCs w:val="18"/>
              </w:rPr>
            </w:pPr>
            <w:r w:rsidRPr="00A4314D">
              <w:rPr>
                <w:sz w:val="18"/>
                <w:szCs w:val="18"/>
              </w:rPr>
              <w:t>Rozvoj kapacit přístrojového vybavení ve FZÚ pro výzkum materiálů v oblastech nanotechnologií.</w:t>
            </w:r>
          </w:p>
        </w:tc>
      </w:tr>
      <w:tr w:rsidR="00A4314D" w:rsidRPr="00A4314D" w:rsidTr="00BE1F9E">
        <w:tblPrEx>
          <w:tblBorders>
            <w:insideH w:val="single" w:sz="2" w:space="0" w:color="auto"/>
          </w:tblBorders>
        </w:tblPrEx>
        <w:tc>
          <w:tcPr>
            <w:tcW w:w="1951" w:type="dxa"/>
          </w:tcPr>
          <w:p w:rsidR="00A4314D" w:rsidRPr="00A4314D" w:rsidRDefault="005451A5" w:rsidP="00A4314D">
            <w:pPr>
              <w:jc w:val="left"/>
              <w:rPr>
                <w:sz w:val="18"/>
                <w:szCs w:val="18"/>
              </w:rPr>
            </w:pPr>
            <w:r w:rsidRPr="005451A5">
              <w:rPr>
                <w:sz w:val="18"/>
                <w:szCs w:val="18"/>
              </w:rPr>
              <w:t xml:space="preserve">Centrum urychlovačů a jaderných analytických metod </w:t>
            </w:r>
            <w:r w:rsidR="00A4314D" w:rsidRPr="00A4314D">
              <w:rPr>
                <w:sz w:val="18"/>
                <w:szCs w:val="18"/>
              </w:rPr>
              <w:t>(</w:t>
            </w:r>
            <w:hyperlink r:id="rId123" w:history="1">
              <w:r w:rsidR="00A4314D" w:rsidRPr="00A4314D">
                <w:rPr>
                  <w:rStyle w:val="Hypertextovodkaz"/>
                  <w:sz w:val="18"/>
                  <w:szCs w:val="18"/>
                </w:rPr>
                <w:t>CANAM</w:t>
              </w:r>
            </w:hyperlink>
            <w:r w:rsidR="00A4314D" w:rsidRPr="00A4314D">
              <w:rPr>
                <w:sz w:val="18"/>
                <w:szCs w:val="18"/>
              </w:rPr>
              <w:t>)</w:t>
            </w:r>
          </w:p>
        </w:tc>
        <w:tc>
          <w:tcPr>
            <w:tcW w:w="2977" w:type="dxa"/>
          </w:tcPr>
          <w:p w:rsidR="00A4314D" w:rsidRPr="00A4314D" w:rsidRDefault="00A4314D" w:rsidP="00A4314D">
            <w:pPr>
              <w:jc w:val="left"/>
              <w:rPr>
                <w:sz w:val="18"/>
                <w:szCs w:val="18"/>
              </w:rPr>
            </w:pPr>
            <w:r w:rsidRPr="00A4314D">
              <w:rPr>
                <w:sz w:val="18"/>
                <w:szCs w:val="18"/>
              </w:rPr>
              <w:t>Ústav jaderné fyziky AV ČR, v.v.i. (národní)</w:t>
            </w:r>
          </w:p>
        </w:tc>
        <w:tc>
          <w:tcPr>
            <w:tcW w:w="4394" w:type="dxa"/>
          </w:tcPr>
          <w:p w:rsidR="00A4314D" w:rsidRPr="00A4314D" w:rsidRDefault="00A4314D" w:rsidP="005451A5">
            <w:pPr>
              <w:jc w:val="left"/>
              <w:rPr>
                <w:sz w:val="18"/>
                <w:szCs w:val="18"/>
              </w:rPr>
            </w:pPr>
            <w:r w:rsidRPr="00A4314D">
              <w:rPr>
                <w:sz w:val="18"/>
                <w:szCs w:val="18"/>
              </w:rPr>
              <w:t>Experimentální infrastruktura pro jadernou fyziku a neutronové vědy.</w:t>
            </w:r>
          </w:p>
        </w:tc>
      </w:tr>
      <w:tr w:rsidR="00A4314D" w:rsidRPr="00A4314D" w:rsidTr="00BE1F9E">
        <w:tblPrEx>
          <w:tblBorders>
            <w:insideH w:val="single" w:sz="2" w:space="0" w:color="auto"/>
          </w:tblBorders>
        </w:tblPrEx>
        <w:tc>
          <w:tcPr>
            <w:tcW w:w="1951" w:type="dxa"/>
          </w:tcPr>
          <w:p w:rsidR="00A4314D" w:rsidRPr="00A4314D" w:rsidRDefault="00990E2D" w:rsidP="00A4314D">
            <w:pPr>
              <w:jc w:val="left"/>
              <w:rPr>
                <w:sz w:val="18"/>
                <w:szCs w:val="18"/>
              </w:rPr>
            </w:pPr>
            <w:hyperlink r:id="rId124" w:history="1">
              <w:r w:rsidR="00A4314D" w:rsidRPr="00A4314D">
                <w:rPr>
                  <w:rStyle w:val="Hypertextovodkaz"/>
                  <w:sz w:val="18"/>
                  <w:szCs w:val="18"/>
                </w:rPr>
                <w:t>Van den Graaff</w:t>
              </w:r>
            </w:hyperlink>
          </w:p>
        </w:tc>
        <w:tc>
          <w:tcPr>
            <w:tcW w:w="2977" w:type="dxa"/>
          </w:tcPr>
          <w:p w:rsidR="00A4314D" w:rsidRPr="00A4314D" w:rsidRDefault="00A4314D" w:rsidP="00A4314D">
            <w:pPr>
              <w:jc w:val="left"/>
              <w:rPr>
                <w:sz w:val="18"/>
                <w:szCs w:val="18"/>
              </w:rPr>
            </w:pPr>
            <w:r w:rsidRPr="00A4314D">
              <w:rPr>
                <w:sz w:val="18"/>
                <w:szCs w:val="18"/>
              </w:rPr>
              <w:t>České vysoké učení technické v Praze (národní)</w:t>
            </w:r>
          </w:p>
        </w:tc>
        <w:tc>
          <w:tcPr>
            <w:tcW w:w="4394" w:type="dxa"/>
          </w:tcPr>
          <w:p w:rsidR="00A4314D" w:rsidRPr="00A4314D" w:rsidRDefault="00A4314D" w:rsidP="00A4314D">
            <w:pPr>
              <w:jc w:val="left"/>
              <w:rPr>
                <w:sz w:val="18"/>
                <w:szCs w:val="18"/>
              </w:rPr>
            </w:pPr>
            <w:r w:rsidRPr="00A4314D">
              <w:rPr>
                <w:sz w:val="18"/>
                <w:szCs w:val="18"/>
              </w:rPr>
              <w:t>Elektrostatický urychlovač (například kalibrace a zkoušení nových typů detektorů jaderného záření).</w:t>
            </w:r>
          </w:p>
        </w:tc>
      </w:tr>
      <w:tr w:rsidR="005451A5" w:rsidRPr="00664513" w:rsidTr="00BE1F9E">
        <w:tblPrEx>
          <w:tblBorders>
            <w:top w:val="single" w:sz="4" w:space="0" w:color="auto"/>
            <w:left w:val="single" w:sz="4" w:space="0" w:color="auto"/>
            <w:bottom w:val="single" w:sz="4" w:space="0" w:color="auto"/>
            <w:right w:val="single" w:sz="4" w:space="0" w:color="auto"/>
            <w:insideV w:val="single" w:sz="4" w:space="0" w:color="auto"/>
          </w:tblBorders>
        </w:tblPrEx>
        <w:tc>
          <w:tcPr>
            <w:tcW w:w="9322" w:type="dxa"/>
            <w:gridSpan w:val="3"/>
            <w:tcBorders>
              <w:top w:val="single" w:sz="2" w:space="0" w:color="auto"/>
              <w:left w:val="nil"/>
              <w:bottom w:val="single" w:sz="2" w:space="0" w:color="auto"/>
              <w:right w:val="nil"/>
            </w:tcBorders>
            <w:shd w:val="clear" w:color="auto" w:fill="F2F2F2" w:themeFill="background1" w:themeFillShade="F2"/>
          </w:tcPr>
          <w:p w:rsidR="005451A5" w:rsidRPr="00664513" w:rsidRDefault="005451A5" w:rsidP="00BE1F9E">
            <w:pPr>
              <w:rPr>
                <w:sz w:val="18"/>
                <w:szCs w:val="18"/>
              </w:rPr>
            </w:pPr>
            <w:r w:rsidRPr="00664513">
              <w:rPr>
                <w:b/>
                <w:bCs/>
                <w:sz w:val="18"/>
                <w:szCs w:val="18"/>
              </w:rPr>
              <w:t>Energetika</w:t>
            </w:r>
          </w:p>
        </w:tc>
      </w:tr>
      <w:tr w:rsidR="005451A5" w:rsidRPr="00664513" w:rsidTr="00BE1F9E">
        <w:tblPrEx>
          <w:tblBorders>
            <w:top w:val="single" w:sz="4" w:space="0" w:color="auto"/>
            <w:left w:val="single" w:sz="4" w:space="0" w:color="auto"/>
            <w:bottom w:val="single" w:sz="4" w:space="0" w:color="auto"/>
            <w:right w:val="single" w:sz="4" w:space="0" w:color="auto"/>
            <w:insideV w:val="single" w:sz="4" w:space="0" w:color="auto"/>
          </w:tblBorders>
        </w:tblPrEx>
        <w:tc>
          <w:tcPr>
            <w:tcW w:w="1951" w:type="dxa"/>
            <w:tcBorders>
              <w:top w:val="single" w:sz="2" w:space="0" w:color="auto"/>
              <w:left w:val="nil"/>
              <w:bottom w:val="single" w:sz="2" w:space="0" w:color="auto"/>
              <w:right w:val="nil"/>
            </w:tcBorders>
          </w:tcPr>
          <w:p w:rsidR="005451A5" w:rsidRPr="00664513" w:rsidRDefault="004860DA" w:rsidP="004860DA">
            <w:pPr>
              <w:jc w:val="left"/>
              <w:rPr>
                <w:sz w:val="18"/>
                <w:szCs w:val="18"/>
              </w:rPr>
            </w:pPr>
            <w:r>
              <w:rPr>
                <w:sz w:val="18"/>
                <w:szCs w:val="18"/>
              </w:rPr>
              <w:t>Experimentální jaderné r</w:t>
            </w:r>
            <w:r w:rsidR="005451A5" w:rsidRPr="00664513">
              <w:rPr>
                <w:sz w:val="18"/>
                <w:szCs w:val="18"/>
              </w:rPr>
              <w:t xml:space="preserve">eaktory </w:t>
            </w:r>
            <w:hyperlink r:id="rId125" w:history="1">
              <w:r w:rsidR="005451A5" w:rsidRPr="00664513">
                <w:rPr>
                  <w:color w:val="0000FF" w:themeColor="hyperlink"/>
                  <w:sz w:val="18"/>
                  <w:szCs w:val="18"/>
                  <w:u w:val="single"/>
                </w:rPr>
                <w:t>LVR-15</w:t>
              </w:r>
            </w:hyperlink>
            <w:r w:rsidR="005451A5" w:rsidRPr="00664513">
              <w:rPr>
                <w:sz w:val="18"/>
                <w:szCs w:val="18"/>
              </w:rPr>
              <w:t xml:space="preserve"> a </w:t>
            </w:r>
            <w:hyperlink r:id="rId126" w:history="1">
              <w:r w:rsidR="005451A5" w:rsidRPr="00664513">
                <w:rPr>
                  <w:color w:val="0000FF" w:themeColor="hyperlink"/>
                  <w:sz w:val="18"/>
                  <w:szCs w:val="18"/>
                  <w:u w:val="single"/>
                </w:rPr>
                <w:t>LR-0</w:t>
              </w:r>
            </w:hyperlink>
          </w:p>
        </w:tc>
        <w:tc>
          <w:tcPr>
            <w:tcW w:w="2977" w:type="dxa"/>
            <w:tcBorders>
              <w:top w:val="single" w:sz="2" w:space="0" w:color="auto"/>
              <w:left w:val="nil"/>
              <w:bottom w:val="single" w:sz="2" w:space="0" w:color="auto"/>
              <w:right w:val="nil"/>
            </w:tcBorders>
          </w:tcPr>
          <w:p w:rsidR="005451A5" w:rsidRPr="00664513" w:rsidRDefault="005451A5" w:rsidP="00BE1F9E">
            <w:pPr>
              <w:jc w:val="left"/>
              <w:rPr>
                <w:sz w:val="18"/>
                <w:szCs w:val="18"/>
              </w:rPr>
            </w:pPr>
            <w:r w:rsidRPr="00664513">
              <w:rPr>
                <w:sz w:val="18"/>
                <w:szCs w:val="18"/>
              </w:rPr>
              <w:t>Centrum výzkumu Řež, s.r.o.</w:t>
            </w:r>
            <w:r>
              <w:rPr>
                <w:sz w:val="18"/>
                <w:szCs w:val="18"/>
              </w:rPr>
              <w:t xml:space="preserve"> </w:t>
            </w:r>
            <w:r w:rsidRPr="00664513">
              <w:rPr>
                <w:sz w:val="18"/>
                <w:szCs w:val="18"/>
              </w:rPr>
              <w:t>(národní)</w:t>
            </w:r>
          </w:p>
        </w:tc>
        <w:tc>
          <w:tcPr>
            <w:tcW w:w="4394" w:type="dxa"/>
            <w:tcBorders>
              <w:top w:val="single" w:sz="2" w:space="0" w:color="auto"/>
              <w:left w:val="nil"/>
              <w:bottom w:val="single" w:sz="2" w:space="0" w:color="auto"/>
              <w:right w:val="nil"/>
            </w:tcBorders>
          </w:tcPr>
          <w:p w:rsidR="005451A5" w:rsidRPr="00664513" w:rsidRDefault="005451A5" w:rsidP="00BE1F9E">
            <w:pPr>
              <w:autoSpaceDE w:val="0"/>
              <w:autoSpaceDN w:val="0"/>
              <w:adjustRightInd w:val="0"/>
              <w:spacing w:before="40" w:after="40"/>
              <w:jc w:val="left"/>
              <w:rPr>
                <w:rFonts w:cs="Calibri"/>
                <w:color w:val="000000"/>
                <w:sz w:val="18"/>
                <w:szCs w:val="18"/>
              </w:rPr>
            </w:pPr>
            <w:r>
              <w:rPr>
                <w:rFonts w:cs="Calibri"/>
                <w:color w:val="000000"/>
                <w:sz w:val="18"/>
                <w:szCs w:val="18"/>
              </w:rPr>
              <w:t xml:space="preserve">Lehkovodní reaktory pro </w:t>
            </w:r>
            <w:r w:rsidRPr="00664513">
              <w:rPr>
                <w:rFonts w:cs="Calibri"/>
                <w:color w:val="000000"/>
                <w:sz w:val="18"/>
                <w:szCs w:val="18"/>
              </w:rPr>
              <w:t>materiálový výzkum, korozní zkoušky, vývoj a výroba radiofarmak, ozařovací služby</w:t>
            </w:r>
            <w:r>
              <w:rPr>
                <w:rFonts w:cs="Calibri"/>
                <w:color w:val="000000"/>
                <w:sz w:val="18"/>
                <w:szCs w:val="18"/>
              </w:rPr>
              <w:t>.</w:t>
            </w:r>
          </w:p>
        </w:tc>
      </w:tr>
      <w:tr w:rsidR="004860DA" w:rsidRPr="00664513" w:rsidTr="00BE1F9E">
        <w:tblPrEx>
          <w:tblBorders>
            <w:insideH w:val="single" w:sz="2" w:space="0" w:color="auto"/>
          </w:tblBorders>
        </w:tblPrEx>
        <w:tc>
          <w:tcPr>
            <w:tcW w:w="9322" w:type="dxa"/>
            <w:gridSpan w:val="3"/>
            <w:shd w:val="clear" w:color="auto" w:fill="F2F2F2" w:themeFill="background1" w:themeFillShade="F2"/>
          </w:tcPr>
          <w:p w:rsidR="004860DA" w:rsidRPr="00664513" w:rsidRDefault="004860DA" w:rsidP="00BE1F9E">
            <w:pPr>
              <w:rPr>
                <w:sz w:val="18"/>
                <w:szCs w:val="18"/>
              </w:rPr>
            </w:pPr>
            <w:r>
              <w:rPr>
                <w:b/>
                <w:bCs/>
                <w:sz w:val="18"/>
                <w:szCs w:val="18"/>
              </w:rPr>
              <w:t>Environmentální v</w:t>
            </w:r>
            <w:r w:rsidRPr="00664513">
              <w:rPr>
                <w:b/>
                <w:bCs/>
                <w:sz w:val="18"/>
                <w:szCs w:val="18"/>
              </w:rPr>
              <w:t>ědy</w:t>
            </w:r>
          </w:p>
        </w:tc>
      </w:tr>
      <w:tr w:rsidR="004860DA" w:rsidRPr="00664513" w:rsidTr="00BE1F9E">
        <w:tblPrEx>
          <w:tblBorders>
            <w:insideH w:val="single" w:sz="2" w:space="0" w:color="auto"/>
          </w:tblBorders>
        </w:tblPrEx>
        <w:tc>
          <w:tcPr>
            <w:tcW w:w="1951" w:type="dxa"/>
            <w:shd w:val="clear" w:color="auto" w:fill="auto"/>
          </w:tcPr>
          <w:p w:rsidR="004860DA" w:rsidRPr="00664513" w:rsidRDefault="00990E2D" w:rsidP="00BE1F9E">
            <w:pPr>
              <w:jc w:val="left"/>
              <w:rPr>
                <w:sz w:val="18"/>
                <w:szCs w:val="18"/>
              </w:rPr>
            </w:pPr>
            <w:hyperlink r:id="rId127" w:history="1">
              <w:r w:rsidR="004860DA" w:rsidRPr="00664513">
                <w:rPr>
                  <w:color w:val="0000FF" w:themeColor="hyperlink"/>
                  <w:sz w:val="18"/>
                  <w:szCs w:val="18"/>
                  <w:u w:val="single"/>
                </w:rPr>
                <w:t>CzeCOS/ICOS</w:t>
              </w:r>
            </w:hyperlink>
            <w:r w:rsidR="004860DA" w:rsidRPr="00664513">
              <w:rPr>
                <w:sz w:val="18"/>
                <w:szCs w:val="18"/>
              </w:rPr>
              <w:t xml:space="preserve"> - Národní infrastruktura sledování uhlíku</w:t>
            </w:r>
          </w:p>
        </w:tc>
        <w:tc>
          <w:tcPr>
            <w:tcW w:w="2977" w:type="dxa"/>
            <w:shd w:val="clear" w:color="auto" w:fill="auto"/>
          </w:tcPr>
          <w:p w:rsidR="004860DA" w:rsidRPr="00664513" w:rsidRDefault="004860DA" w:rsidP="00BE1F9E">
            <w:pPr>
              <w:rPr>
                <w:sz w:val="18"/>
                <w:szCs w:val="18"/>
              </w:rPr>
            </w:pPr>
            <w:r w:rsidRPr="00664513">
              <w:rPr>
                <w:sz w:val="18"/>
                <w:szCs w:val="18"/>
              </w:rPr>
              <w:t>Centrum výzkumu globální změny AV ČR, v.v.i.</w:t>
            </w:r>
            <w:r>
              <w:rPr>
                <w:sz w:val="18"/>
                <w:szCs w:val="18"/>
              </w:rPr>
              <w:t xml:space="preserve"> </w:t>
            </w:r>
            <w:r w:rsidRPr="00664513">
              <w:rPr>
                <w:sz w:val="18"/>
                <w:szCs w:val="18"/>
              </w:rPr>
              <w:t>(český uzel ESFRI)</w:t>
            </w:r>
          </w:p>
        </w:tc>
        <w:tc>
          <w:tcPr>
            <w:tcW w:w="4394" w:type="dxa"/>
            <w:shd w:val="clear" w:color="auto" w:fill="auto"/>
          </w:tcPr>
          <w:p w:rsidR="004860DA" w:rsidRPr="00664513" w:rsidRDefault="004860DA" w:rsidP="00BE1F9E">
            <w:pPr>
              <w:autoSpaceDE w:val="0"/>
              <w:autoSpaceDN w:val="0"/>
              <w:adjustRightInd w:val="0"/>
              <w:spacing w:before="40" w:after="40"/>
              <w:jc w:val="left"/>
              <w:rPr>
                <w:sz w:val="18"/>
                <w:szCs w:val="18"/>
              </w:rPr>
            </w:pPr>
            <w:r w:rsidRPr="00664513">
              <w:rPr>
                <w:sz w:val="18"/>
                <w:szCs w:val="18"/>
              </w:rPr>
              <w:t>Národní infrastruktura sledování uhlíkového cyklu a toků energie v ekosystémech ČR ve vztahu k možným dopadům Globální klimatické změny – obs</w:t>
            </w:r>
            <w:r>
              <w:rPr>
                <w:sz w:val="18"/>
                <w:szCs w:val="18"/>
              </w:rPr>
              <w:t>ervační síť a impaktové studie.</w:t>
            </w:r>
          </w:p>
        </w:tc>
      </w:tr>
      <w:tr w:rsidR="004860DA" w:rsidRPr="00664513" w:rsidTr="00BE1F9E">
        <w:tblPrEx>
          <w:tblBorders>
            <w:insideH w:val="single" w:sz="2" w:space="0" w:color="auto"/>
          </w:tblBorders>
        </w:tblPrEx>
        <w:tc>
          <w:tcPr>
            <w:tcW w:w="1951" w:type="dxa"/>
          </w:tcPr>
          <w:p w:rsidR="004860DA" w:rsidRPr="00664513" w:rsidRDefault="00990E2D" w:rsidP="00BE1F9E">
            <w:pPr>
              <w:jc w:val="left"/>
              <w:rPr>
                <w:sz w:val="18"/>
                <w:szCs w:val="18"/>
              </w:rPr>
            </w:pPr>
            <w:hyperlink r:id="rId128" w:history="1">
              <w:r w:rsidR="004860DA" w:rsidRPr="00664513">
                <w:rPr>
                  <w:color w:val="0000FF" w:themeColor="hyperlink"/>
                  <w:sz w:val="18"/>
                  <w:szCs w:val="18"/>
                  <w:u w:val="single"/>
                </w:rPr>
                <w:t>CzechGEO/EPOS</w:t>
              </w:r>
            </w:hyperlink>
          </w:p>
        </w:tc>
        <w:tc>
          <w:tcPr>
            <w:tcW w:w="2977" w:type="dxa"/>
          </w:tcPr>
          <w:p w:rsidR="004860DA" w:rsidRPr="00664513" w:rsidRDefault="004860DA" w:rsidP="00BE1F9E">
            <w:pPr>
              <w:rPr>
                <w:sz w:val="18"/>
                <w:szCs w:val="18"/>
              </w:rPr>
            </w:pPr>
            <w:r w:rsidRPr="00664513">
              <w:rPr>
                <w:sz w:val="18"/>
                <w:szCs w:val="18"/>
              </w:rPr>
              <w:t>Geofyzikální ústav AV ČR, v.v.i.</w:t>
            </w:r>
            <w:r>
              <w:rPr>
                <w:sz w:val="18"/>
                <w:szCs w:val="18"/>
              </w:rPr>
              <w:t xml:space="preserve"> </w:t>
            </w:r>
            <w:r w:rsidRPr="00664513">
              <w:rPr>
                <w:sz w:val="18"/>
                <w:szCs w:val="18"/>
              </w:rPr>
              <w:t>(český uzel ESFRI)</w:t>
            </w:r>
          </w:p>
        </w:tc>
        <w:tc>
          <w:tcPr>
            <w:tcW w:w="4394" w:type="dxa"/>
          </w:tcPr>
          <w:p w:rsidR="004860DA" w:rsidRPr="00664513" w:rsidRDefault="004860DA" w:rsidP="00BE1F9E">
            <w:pPr>
              <w:autoSpaceDE w:val="0"/>
              <w:autoSpaceDN w:val="0"/>
              <w:adjustRightInd w:val="0"/>
              <w:spacing w:before="40" w:after="40"/>
              <w:jc w:val="left"/>
              <w:rPr>
                <w:rFonts w:cs="Calibri"/>
                <w:color w:val="000000"/>
                <w:sz w:val="18"/>
                <w:szCs w:val="18"/>
              </w:rPr>
            </w:pPr>
            <w:r w:rsidRPr="00664513">
              <w:rPr>
                <w:rFonts w:cs="Calibri"/>
                <w:color w:val="000000"/>
                <w:sz w:val="18"/>
                <w:szCs w:val="18"/>
              </w:rPr>
              <w:t xml:space="preserve">Ucelený systém pozorování geofyzikálních polí provozovaný geovědními institucemi České republiky. </w:t>
            </w:r>
          </w:p>
        </w:tc>
      </w:tr>
      <w:tr w:rsidR="004860DA" w:rsidRPr="00664513" w:rsidTr="00BE1F9E">
        <w:tblPrEx>
          <w:tblBorders>
            <w:insideH w:val="single" w:sz="2" w:space="0" w:color="auto"/>
          </w:tblBorders>
        </w:tblPrEx>
        <w:tc>
          <w:tcPr>
            <w:tcW w:w="1951" w:type="dxa"/>
          </w:tcPr>
          <w:p w:rsidR="004860DA" w:rsidRPr="00664513" w:rsidRDefault="004860DA" w:rsidP="00BE1F9E">
            <w:pPr>
              <w:tabs>
                <w:tab w:val="left" w:pos="1065"/>
              </w:tabs>
              <w:jc w:val="left"/>
              <w:rPr>
                <w:sz w:val="18"/>
                <w:szCs w:val="18"/>
              </w:rPr>
            </w:pPr>
            <w:r w:rsidRPr="00664513">
              <w:rPr>
                <w:sz w:val="18"/>
                <w:szCs w:val="18"/>
              </w:rPr>
              <w:t>Centrum pro výzkum toxických látek v prostředí (</w:t>
            </w:r>
            <w:hyperlink r:id="rId129" w:history="1">
              <w:r w:rsidRPr="00664513">
                <w:rPr>
                  <w:color w:val="0000FF" w:themeColor="hyperlink"/>
                  <w:sz w:val="18"/>
                  <w:szCs w:val="18"/>
                  <w:u w:val="single"/>
                </w:rPr>
                <w:t>RECETOX</w:t>
              </w:r>
            </w:hyperlink>
            <w:r w:rsidRPr="00664513">
              <w:rPr>
                <w:sz w:val="18"/>
                <w:szCs w:val="18"/>
              </w:rPr>
              <w:t>)</w:t>
            </w:r>
          </w:p>
        </w:tc>
        <w:tc>
          <w:tcPr>
            <w:tcW w:w="2977" w:type="dxa"/>
          </w:tcPr>
          <w:p w:rsidR="004860DA" w:rsidRPr="00664513" w:rsidRDefault="004860DA" w:rsidP="00BE1F9E">
            <w:pPr>
              <w:rPr>
                <w:sz w:val="18"/>
                <w:szCs w:val="18"/>
              </w:rPr>
            </w:pPr>
            <w:r w:rsidRPr="00664513">
              <w:rPr>
                <w:sz w:val="18"/>
                <w:szCs w:val="18"/>
              </w:rPr>
              <w:t>Masarykova univerzita</w:t>
            </w:r>
            <w:r>
              <w:rPr>
                <w:sz w:val="18"/>
                <w:szCs w:val="18"/>
              </w:rPr>
              <w:t xml:space="preserve"> </w:t>
            </w:r>
            <w:r w:rsidRPr="00664513">
              <w:rPr>
                <w:sz w:val="18"/>
                <w:szCs w:val="18"/>
              </w:rPr>
              <w:t>(národní)</w:t>
            </w:r>
          </w:p>
        </w:tc>
        <w:tc>
          <w:tcPr>
            <w:tcW w:w="4394" w:type="dxa"/>
          </w:tcPr>
          <w:p w:rsidR="004860DA" w:rsidRPr="00664513" w:rsidRDefault="004860DA" w:rsidP="00BE1F9E">
            <w:pPr>
              <w:autoSpaceDE w:val="0"/>
              <w:autoSpaceDN w:val="0"/>
              <w:adjustRightInd w:val="0"/>
              <w:spacing w:before="40" w:after="40"/>
              <w:jc w:val="left"/>
              <w:rPr>
                <w:sz w:val="18"/>
                <w:szCs w:val="18"/>
              </w:rPr>
            </w:pPr>
            <w:r w:rsidRPr="00664513">
              <w:rPr>
                <w:sz w:val="18"/>
                <w:szCs w:val="18"/>
              </w:rPr>
              <w:t>VaV, výuka a expertní činnost v oblasti znečištění prostředí toxickými látkami</w:t>
            </w:r>
            <w:r>
              <w:rPr>
                <w:sz w:val="18"/>
                <w:szCs w:val="18"/>
              </w:rPr>
              <w:t>.</w:t>
            </w:r>
          </w:p>
        </w:tc>
      </w:tr>
      <w:tr w:rsidR="004860DA" w:rsidRPr="00664513" w:rsidTr="00BE1F9E">
        <w:tblPrEx>
          <w:tblBorders>
            <w:top w:val="single" w:sz="4" w:space="0" w:color="auto"/>
            <w:left w:val="single" w:sz="4" w:space="0" w:color="auto"/>
            <w:bottom w:val="single" w:sz="4" w:space="0" w:color="auto"/>
            <w:right w:val="single" w:sz="4" w:space="0" w:color="auto"/>
            <w:insideV w:val="single" w:sz="4" w:space="0" w:color="auto"/>
          </w:tblBorders>
        </w:tblPrEx>
        <w:tc>
          <w:tcPr>
            <w:tcW w:w="9322" w:type="dxa"/>
            <w:gridSpan w:val="3"/>
            <w:tcBorders>
              <w:top w:val="single" w:sz="2" w:space="0" w:color="auto"/>
              <w:left w:val="nil"/>
              <w:bottom w:val="single" w:sz="2" w:space="0" w:color="auto"/>
              <w:right w:val="nil"/>
            </w:tcBorders>
            <w:shd w:val="clear" w:color="auto" w:fill="F2F2F2" w:themeFill="background1" w:themeFillShade="F2"/>
          </w:tcPr>
          <w:p w:rsidR="004860DA" w:rsidRPr="00664513" w:rsidRDefault="004860DA" w:rsidP="00BE1F9E">
            <w:pPr>
              <w:rPr>
                <w:sz w:val="18"/>
                <w:szCs w:val="18"/>
              </w:rPr>
            </w:pPr>
            <w:r w:rsidRPr="00664513">
              <w:rPr>
                <w:b/>
                <w:bCs/>
                <w:sz w:val="18"/>
                <w:szCs w:val="18"/>
              </w:rPr>
              <w:t>Biomedicína</w:t>
            </w:r>
          </w:p>
        </w:tc>
      </w:tr>
      <w:tr w:rsidR="004860DA" w:rsidRPr="00664513" w:rsidTr="00BE1F9E">
        <w:tblPrEx>
          <w:tblBorders>
            <w:top w:val="single" w:sz="4" w:space="0" w:color="auto"/>
            <w:left w:val="single" w:sz="4" w:space="0" w:color="auto"/>
            <w:bottom w:val="single" w:sz="4" w:space="0" w:color="auto"/>
            <w:right w:val="single" w:sz="4" w:space="0" w:color="auto"/>
            <w:insideV w:val="single" w:sz="4" w:space="0" w:color="auto"/>
          </w:tblBorders>
        </w:tblPrEx>
        <w:tc>
          <w:tcPr>
            <w:tcW w:w="1951" w:type="dxa"/>
            <w:tcBorders>
              <w:top w:val="single" w:sz="2" w:space="0" w:color="auto"/>
              <w:left w:val="nil"/>
              <w:bottom w:val="single" w:sz="2" w:space="0" w:color="auto"/>
              <w:right w:val="nil"/>
            </w:tcBorders>
          </w:tcPr>
          <w:p w:rsidR="004860DA" w:rsidRPr="00664513" w:rsidRDefault="00990E2D" w:rsidP="00BE1F9E">
            <w:pPr>
              <w:jc w:val="left"/>
              <w:rPr>
                <w:sz w:val="18"/>
                <w:szCs w:val="18"/>
              </w:rPr>
            </w:pPr>
            <w:hyperlink r:id="rId130" w:history="1">
              <w:r w:rsidR="004860DA" w:rsidRPr="00664513">
                <w:rPr>
                  <w:color w:val="0000FF" w:themeColor="hyperlink"/>
                  <w:sz w:val="18"/>
                  <w:szCs w:val="18"/>
                  <w:u w:val="single"/>
                </w:rPr>
                <w:t>BBMRI_CZ</w:t>
              </w:r>
            </w:hyperlink>
            <w:r w:rsidR="004860DA" w:rsidRPr="00664513">
              <w:rPr>
                <w:sz w:val="18"/>
                <w:szCs w:val="18"/>
              </w:rPr>
              <w:t xml:space="preserve"> (Banka klinických vzorků)</w:t>
            </w:r>
          </w:p>
        </w:tc>
        <w:tc>
          <w:tcPr>
            <w:tcW w:w="2977" w:type="dxa"/>
            <w:tcBorders>
              <w:top w:val="single" w:sz="2" w:space="0" w:color="auto"/>
              <w:left w:val="nil"/>
              <w:bottom w:val="single" w:sz="2" w:space="0" w:color="auto"/>
              <w:right w:val="nil"/>
            </w:tcBorders>
          </w:tcPr>
          <w:p w:rsidR="004860DA" w:rsidRPr="00664513" w:rsidRDefault="004860DA" w:rsidP="00BE1F9E">
            <w:pPr>
              <w:jc w:val="left"/>
              <w:rPr>
                <w:sz w:val="18"/>
                <w:szCs w:val="18"/>
              </w:rPr>
            </w:pPr>
            <w:r w:rsidRPr="00664513">
              <w:rPr>
                <w:sz w:val="18"/>
                <w:szCs w:val="18"/>
              </w:rPr>
              <w:t>Masarykův onkologický ústav</w:t>
            </w:r>
            <w:r>
              <w:rPr>
                <w:sz w:val="18"/>
                <w:szCs w:val="18"/>
              </w:rPr>
              <w:t xml:space="preserve"> </w:t>
            </w:r>
            <w:r w:rsidRPr="00664513">
              <w:rPr>
                <w:sz w:val="18"/>
                <w:szCs w:val="18"/>
              </w:rPr>
              <w:t>(český uzel ESFRI)</w:t>
            </w:r>
          </w:p>
        </w:tc>
        <w:tc>
          <w:tcPr>
            <w:tcW w:w="4394" w:type="dxa"/>
            <w:tcBorders>
              <w:top w:val="single" w:sz="2" w:space="0" w:color="auto"/>
              <w:left w:val="nil"/>
              <w:bottom w:val="single" w:sz="2" w:space="0" w:color="auto"/>
              <w:right w:val="nil"/>
            </w:tcBorders>
          </w:tcPr>
          <w:p w:rsidR="004860DA" w:rsidRPr="00664513" w:rsidRDefault="004860DA" w:rsidP="00BE1F9E">
            <w:pPr>
              <w:rPr>
                <w:sz w:val="18"/>
                <w:szCs w:val="18"/>
              </w:rPr>
            </w:pPr>
            <w:r w:rsidRPr="00664513">
              <w:rPr>
                <w:sz w:val="18"/>
                <w:szCs w:val="18"/>
              </w:rPr>
              <w:t>Infrastruktura funkčně navázaná na projekt OP VaVpI RECAMO</w:t>
            </w:r>
            <w:r>
              <w:rPr>
                <w:sz w:val="18"/>
                <w:szCs w:val="18"/>
              </w:rPr>
              <w:t xml:space="preserve"> (</w:t>
            </w:r>
            <w:r w:rsidRPr="00664513">
              <w:rPr>
                <w:sz w:val="18"/>
                <w:szCs w:val="18"/>
              </w:rPr>
              <w:t>síť biobank v</w:t>
            </w:r>
            <w:r>
              <w:rPr>
                <w:sz w:val="18"/>
                <w:szCs w:val="18"/>
              </w:rPr>
              <w:t> </w:t>
            </w:r>
            <w:r w:rsidRPr="00664513">
              <w:rPr>
                <w:sz w:val="18"/>
                <w:szCs w:val="18"/>
              </w:rPr>
              <w:t>ČR</w:t>
            </w:r>
            <w:r>
              <w:rPr>
                <w:sz w:val="18"/>
                <w:szCs w:val="18"/>
              </w:rPr>
              <w:t>).</w:t>
            </w:r>
          </w:p>
        </w:tc>
      </w:tr>
      <w:tr w:rsidR="004860DA" w:rsidRPr="00664513" w:rsidTr="00BE1F9E">
        <w:tblPrEx>
          <w:tblBorders>
            <w:top w:val="single" w:sz="4" w:space="0" w:color="auto"/>
            <w:left w:val="single" w:sz="4" w:space="0" w:color="auto"/>
            <w:bottom w:val="single" w:sz="4" w:space="0" w:color="auto"/>
            <w:right w:val="single" w:sz="4" w:space="0" w:color="auto"/>
            <w:insideV w:val="single" w:sz="4" w:space="0" w:color="auto"/>
          </w:tblBorders>
        </w:tblPrEx>
        <w:tc>
          <w:tcPr>
            <w:tcW w:w="1951" w:type="dxa"/>
            <w:tcBorders>
              <w:top w:val="single" w:sz="2" w:space="0" w:color="auto"/>
              <w:left w:val="nil"/>
              <w:bottom w:val="single" w:sz="2" w:space="0" w:color="auto"/>
              <w:right w:val="nil"/>
            </w:tcBorders>
          </w:tcPr>
          <w:p w:rsidR="004860DA" w:rsidRPr="00664513" w:rsidRDefault="004860DA" w:rsidP="00BE1F9E">
            <w:pPr>
              <w:jc w:val="left"/>
              <w:rPr>
                <w:sz w:val="18"/>
                <w:szCs w:val="18"/>
              </w:rPr>
            </w:pPr>
            <w:r w:rsidRPr="00664513">
              <w:rPr>
                <w:sz w:val="18"/>
                <w:szCs w:val="18"/>
              </w:rPr>
              <w:t>EATRIS/EATRIS-CZ</w:t>
            </w:r>
          </w:p>
        </w:tc>
        <w:tc>
          <w:tcPr>
            <w:tcW w:w="2977" w:type="dxa"/>
            <w:tcBorders>
              <w:top w:val="single" w:sz="2" w:space="0" w:color="auto"/>
              <w:left w:val="nil"/>
              <w:bottom w:val="single" w:sz="2" w:space="0" w:color="auto"/>
              <w:right w:val="nil"/>
            </w:tcBorders>
          </w:tcPr>
          <w:p w:rsidR="004860DA" w:rsidRPr="00664513" w:rsidRDefault="004860DA" w:rsidP="00BE1F9E">
            <w:pPr>
              <w:jc w:val="left"/>
              <w:rPr>
                <w:sz w:val="18"/>
                <w:szCs w:val="18"/>
              </w:rPr>
            </w:pPr>
            <w:r w:rsidRPr="00664513">
              <w:rPr>
                <w:sz w:val="18"/>
                <w:szCs w:val="18"/>
              </w:rPr>
              <w:t>Univerzita Palackého v</w:t>
            </w:r>
            <w:r>
              <w:rPr>
                <w:sz w:val="18"/>
                <w:szCs w:val="18"/>
              </w:rPr>
              <w:t> </w:t>
            </w:r>
            <w:r w:rsidRPr="00664513">
              <w:rPr>
                <w:sz w:val="18"/>
                <w:szCs w:val="18"/>
              </w:rPr>
              <w:t>Olomouci</w:t>
            </w:r>
            <w:r>
              <w:rPr>
                <w:sz w:val="18"/>
                <w:szCs w:val="18"/>
              </w:rPr>
              <w:t xml:space="preserve"> </w:t>
            </w:r>
            <w:r w:rsidRPr="00664513">
              <w:rPr>
                <w:sz w:val="18"/>
                <w:szCs w:val="18"/>
              </w:rPr>
              <w:t>(český uzel ESFRI)</w:t>
            </w:r>
          </w:p>
        </w:tc>
        <w:tc>
          <w:tcPr>
            <w:tcW w:w="4394" w:type="dxa"/>
            <w:tcBorders>
              <w:top w:val="single" w:sz="2" w:space="0" w:color="auto"/>
              <w:left w:val="nil"/>
              <w:bottom w:val="single" w:sz="2" w:space="0" w:color="auto"/>
              <w:right w:val="nil"/>
            </w:tcBorders>
          </w:tcPr>
          <w:p w:rsidR="004860DA" w:rsidRPr="00664513" w:rsidRDefault="004860DA" w:rsidP="00BE1F9E">
            <w:pPr>
              <w:autoSpaceDE w:val="0"/>
              <w:autoSpaceDN w:val="0"/>
              <w:adjustRightInd w:val="0"/>
              <w:spacing w:before="40" w:after="40"/>
              <w:jc w:val="left"/>
              <w:rPr>
                <w:sz w:val="18"/>
                <w:szCs w:val="18"/>
              </w:rPr>
            </w:pPr>
            <w:r w:rsidRPr="00664513">
              <w:rPr>
                <w:rFonts w:cs="Calibri"/>
                <w:color w:val="000000"/>
                <w:sz w:val="18"/>
                <w:szCs w:val="18"/>
              </w:rPr>
              <w:t>Evropská</w:t>
            </w:r>
            <w:r w:rsidRPr="00664513">
              <w:rPr>
                <w:sz w:val="18"/>
                <w:szCs w:val="18"/>
              </w:rPr>
              <w:t xml:space="preserve"> infrastruktura pro translační medicínu</w:t>
            </w:r>
            <w:r>
              <w:rPr>
                <w:sz w:val="18"/>
                <w:szCs w:val="18"/>
              </w:rPr>
              <w:t xml:space="preserve"> (například </w:t>
            </w:r>
            <w:r w:rsidRPr="00664513">
              <w:rPr>
                <w:rFonts w:cs="Calibri"/>
                <w:color w:val="000000"/>
                <w:sz w:val="18"/>
                <w:szCs w:val="18"/>
              </w:rPr>
              <w:t>patogeneze, léčby nemocí</w:t>
            </w:r>
            <w:r>
              <w:rPr>
                <w:rFonts w:cs="Calibri"/>
                <w:color w:val="000000"/>
                <w:sz w:val="18"/>
                <w:szCs w:val="18"/>
              </w:rPr>
              <w:t xml:space="preserve">, diagnostika, </w:t>
            </w:r>
            <w:r w:rsidRPr="00664513">
              <w:rPr>
                <w:rFonts w:cs="Calibri"/>
                <w:color w:val="000000"/>
                <w:sz w:val="18"/>
                <w:szCs w:val="18"/>
              </w:rPr>
              <w:t>target</w:t>
            </w:r>
            <w:r>
              <w:rPr>
                <w:rFonts w:cs="Calibri"/>
                <w:color w:val="000000"/>
                <w:sz w:val="18"/>
                <w:szCs w:val="18"/>
              </w:rPr>
              <w:t>y</w:t>
            </w:r>
            <w:r w:rsidRPr="00664513">
              <w:rPr>
                <w:rFonts w:cs="Calibri"/>
                <w:color w:val="000000"/>
                <w:sz w:val="18"/>
                <w:szCs w:val="18"/>
              </w:rPr>
              <w:t xml:space="preserve"> a biomarker</w:t>
            </w:r>
            <w:r>
              <w:rPr>
                <w:rFonts w:cs="Calibri"/>
                <w:color w:val="000000"/>
                <w:sz w:val="18"/>
                <w:szCs w:val="18"/>
              </w:rPr>
              <w:t>y</w:t>
            </w:r>
          </w:p>
        </w:tc>
      </w:tr>
      <w:tr w:rsidR="004860DA" w:rsidRPr="00664513" w:rsidTr="00BE1F9E">
        <w:tblPrEx>
          <w:tblBorders>
            <w:top w:val="single" w:sz="4" w:space="0" w:color="auto"/>
            <w:left w:val="single" w:sz="4" w:space="0" w:color="auto"/>
            <w:bottom w:val="single" w:sz="4" w:space="0" w:color="auto"/>
            <w:right w:val="single" w:sz="4" w:space="0" w:color="auto"/>
            <w:insideV w:val="single" w:sz="4" w:space="0" w:color="auto"/>
          </w:tblBorders>
        </w:tblPrEx>
        <w:tc>
          <w:tcPr>
            <w:tcW w:w="1951" w:type="dxa"/>
            <w:tcBorders>
              <w:top w:val="single" w:sz="2" w:space="0" w:color="auto"/>
              <w:left w:val="nil"/>
              <w:bottom w:val="single" w:sz="2" w:space="0" w:color="auto"/>
              <w:right w:val="nil"/>
            </w:tcBorders>
          </w:tcPr>
          <w:p w:rsidR="004860DA" w:rsidRPr="00664513" w:rsidRDefault="00990E2D" w:rsidP="00BE1F9E">
            <w:pPr>
              <w:jc w:val="left"/>
              <w:rPr>
                <w:sz w:val="18"/>
                <w:szCs w:val="18"/>
              </w:rPr>
            </w:pPr>
            <w:hyperlink r:id="rId131" w:history="1">
              <w:r w:rsidR="004860DA" w:rsidRPr="00664513">
                <w:rPr>
                  <w:color w:val="0000FF" w:themeColor="hyperlink"/>
                  <w:sz w:val="18"/>
                  <w:szCs w:val="18"/>
                  <w:u w:val="single"/>
                </w:rPr>
                <w:t>CZ-OPENSCREEN</w:t>
              </w:r>
            </w:hyperlink>
          </w:p>
        </w:tc>
        <w:tc>
          <w:tcPr>
            <w:tcW w:w="2977" w:type="dxa"/>
            <w:tcBorders>
              <w:top w:val="single" w:sz="2" w:space="0" w:color="auto"/>
              <w:left w:val="nil"/>
              <w:bottom w:val="single" w:sz="2" w:space="0" w:color="auto"/>
              <w:right w:val="nil"/>
            </w:tcBorders>
          </w:tcPr>
          <w:p w:rsidR="004860DA" w:rsidRPr="00664513" w:rsidRDefault="004860DA" w:rsidP="00BE1F9E">
            <w:pPr>
              <w:jc w:val="left"/>
              <w:rPr>
                <w:sz w:val="18"/>
                <w:szCs w:val="18"/>
              </w:rPr>
            </w:pPr>
            <w:r w:rsidRPr="00664513">
              <w:rPr>
                <w:sz w:val="18"/>
                <w:szCs w:val="18"/>
              </w:rPr>
              <w:t>Ústav molekulární genetiky AV ČR, v.v.i.</w:t>
            </w:r>
            <w:r>
              <w:rPr>
                <w:sz w:val="18"/>
                <w:szCs w:val="18"/>
              </w:rPr>
              <w:t xml:space="preserve"> </w:t>
            </w:r>
            <w:r w:rsidRPr="00664513">
              <w:rPr>
                <w:sz w:val="18"/>
                <w:szCs w:val="18"/>
              </w:rPr>
              <w:t>(český uzel ESFRI)</w:t>
            </w:r>
          </w:p>
        </w:tc>
        <w:tc>
          <w:tcPr>
            <w:tcW w:w="4394" w:type="dxa"/>
            <w:tcBorders>
              <w:top w:val="single" w:sz="2" w:space="0" w:color="auto"/>
              <w:left w:val="nil"/>
              <w:bottom w:val="single" w:sz="2" w:space="0" w:color="auto"/>
              <w:right w:val="nil"/>
            </w:tcBorders>
          </w:tcPr>
          <w:p w:rsidR="004860DA" w:rsidRPr="00664513" w:rsidRDefault="004860DA" w:rsidP="00BE1F9E">
            <w:pPr>
              <w:autoSpaceDE w:val="0"/>
              <w:autoSpaceDN w:val="0"/>
              <w:adjustRightInd w:val="0"/>
              <w:spacing w:before="40" w:after="40"/>
              <w:jc w:val="left"/>
              <w:rPr>
                <w:rFonts w:cs="Calibri"/>
                <w:color w:val="000000"/>
                <w:sz w:val="18"/>
                <w:szCs w:val="18"/>
              </w:rPr>
            </w:pPr>
            <w:r>
              <w:rPr>
                <w:rFonts w:cs="Calibri"/>
                <w:color w:val="000000"/>
                <w:sz w:val="18"/>
                <w:szCs w:val="18"/>
              </w:rPr>
              <w:t>C</w:t>
            </w:r>
            <w:r w:rsidRPr="00664513">
              <w:rPr>
                <w:rFonts w:cs="Calibri"/>
                <w:color w:val="000000"/>
                <w:sz w:val="18"/>
                <w:szCs w:val="18"/>
              </w:rPr>
              <w:t>hemick</w:t>
            </w:r>
            <w:r>
              <w:rPr>
                <w:rFonts w:cs="Calibri"/>
                <w:color w:val="000000"/>
                <w:sz w:val="18"/>
                <w:szCs w:val="18"/>
              </w:rPr>
              <w:t>á</w:t>
            </w:r>
            <w:r w:rsidRPr="00664513">
              <w:rPr>
                <w:rFonts w:cs="Calibri"/>
                <w:color w:val="000000"/>
                <w:sz w:val="18"/>
                <w:szCs w:val="18"/>
              </w:rPr>
              <w:t xml:space="preserve"> biologie a genetik</w:t>
            </w:r>
            <w:r>
              <w:rPr>
                <w:rFonts w:cs="Calibri"/>
                <w:color w:val="000000"/>
                <w:sz w:val="18"/>
                <w:szCs w:val="18"/>
              </w:rPr>
              <w:t xml:space="preserve">a - </w:t>
            </w:r>
            <w:r w:rsidRPr="00664513">
              <w:rPr>
                <w:rFonts w:cs="Calibri"/>
                <w:color w:val="000000"/>
                <w:sz w:val="18"/>
                <w:szCs w:val="18"/>
              </w:rPr>
              <w:t>identifikace bioaktivních molekul</w:t>
            </w:r>
            <w:r>
              <w:rPr>
                <w:rFonts w:cs="Calibri"/>
                <w:color w:val="000000"/>
                <w:sz w:val="18"/>
                <w:szCs w:val="18"/>
              </w:rPr>
              <w:t xml:space="preserve">, </w:t>
            </w:r>
            <w:r w:rsidRPr="00664513">
              <w:rPr>
                <w:rFonts w:cs="Calibri"/>
                <w:color w:val="000000"/>
                <w:sz w:val="18"/>
                <w:szCs w:val="18"/>
              </w:rPr>
              <w:t>vývoj</w:t>
            </w:r>
            <w:r>
              <w:rPr>
                <w:rFonts w:cs="Calibri"/>
                <w:color w:val="000000"/>
                <w:sz w:val="18"/>
                <w:szCs w:val="18"/>
              </w:rPr>
              <w:t xml:space="preserve"> nových léčiv, </w:t>
            </w:r>
            <w:r w:rsidRPr="00664513">
              <w:rPr>
                <w:rFonts w:cs="Calibri"/>
                <w:color w:val="000000"/>
                <w:sz w:val="18"/>
                <w:szCs w:val="18"/>
              </w:rPr>
              <w:t>vývoj testů, testování</w:t>
            </w:r>
            <w:r>
              <w:rPr>
                <w:rFonts w:cs="Calibri"/>
                <w:color w:val="000000"/>
                <w:sz w:val="18"/>
                <w:szCs w:val="18"/>
              </w:rPr>
              <w:t>,</w:t>
            </w:r>
            <w:r w:rsidRPr="00664513">
              <w:rPr>
                <w:rFonts w:cs="Calibri"/>
                <w:color w:val="000000"/>
                <w:sz w:val="18"/>
                <w:szCs w:val="18"/>
              </w:rPr>
              <w:t xml:space="preserve"> validac</w:t>
            </w:r>
            <w:r>
              <w:rPr>
                <w:rFonts w:cs="Calibri"/>
                <w:color w:val="000000"/>
                <w:sz w:val="18"/>
                <w:szCs w:val="18"/>
              </w:rPr>
              <w:t>e</w:t>
            </w:r>
            <w:r w:rsidRPr="00664513">
              <w:rPr>
                <w:rFonts w:cs="Calibri"/>
                <w:color w:val="000000"/>
                <w:sz w:val="18"/>
                <w:szCs w:val="18"/>
              </w:rPr>
              <w:t xml:space="preserve"> výsledků, optimalizac</w:t>
            </w:r>
            <w:r>
              <w:rPr>
                <w:rFonts w:cs="Calibri"/>
                <w:color w:val="000000"/>
                <w:sz w:val="18"/>
                <w:szCs w:val="18"/>
              </w:rPr>
              <w:t>e</w:t>
            </w:r>
            <w:r w:rsidRPr="00664513">
              <w:rPr>
                <w:rFonts w:cs="Calibri"/>
                <w:color w:val="000000"/>
                <w:sz w:val="18"/>
                <w:szCs w:val="18"/>
              </w:rPr>
              <w:t xml:space="preserve"> chemických sloučenin</w:t>
            </w:r>
            <w:r>
              <w:rPr>
                <w:rFonts w:cs="Calibri"/>
                <w:color w:val="000000"/>
                <w:sz w:val="18"/>
                <w:szCs w:val="18"/>
              </w:rPr>
              <w:t>.</w:t>
            </w:r>
          </w:p>
        </w:tc>
      </w:tr>
      <w:tr w:rsidR="004860DA" w:rsidRPr="00664513" w:rsidTr="00BE1F9E">
        <w:tblPrEx>
          <w:tblBorders>
            <w:top w:val="single" w:sz="4" w:space="0" w:color="auto"/>
            <w:left w:val="single" w:sz="4" w:space="0" w:color="auto"/>
            <w:bottom w:val="single" w:sz="4" w:space="0" w:color="auto"/>
            <w:right w:val="single" w:sz="4" w:space="0" w:color="auto"/>
            <w:insideV w:val="single" w:sz="4" w:space="0" w:color="auto"/>
          </w:tblBorders>
        </w:tblPrEx>
        <w:tc>
          <w:tcPr>
            <w:tcW w:w="1951" w:type="dxa"/>
            <w:tcBorders>
              <w:top w:val="single" w:sz="2" w:space="0" w:color="auto"/>
              <w:left w:val="nil"/>
              <w:bottom w:val="single" w:sz="2" w:space="0" w:color="auto"/>
              <w:right w:val="nil"/>
            </w:tcBorders>
          </w:tcPr>
          <w:p w:rsidR="004860DA" w:rsidRPr="00664513" w:rsidRDefault="004860DA" w:rsidP="00BE1F9E">
            <w:pPr>
              <w:jc w:val="left"/>
              <w:rPr>
                <w:sz w:val="18"/>
                <w:szCs w:val="18"/>
              </w:rPr>
            </w:pPr>
            <w:r w:rsidRPr="00664513">
              <w:rPr>
                <w:sz w:val="18"/>
                <w:szCs w:val="18"/>
              </w:rPr>
              <w:t>Centrum pro systémovou biologii (</w:t>
            </w:r>
            <w:hyperlink r:id="rId132" w:history="1">
              <w:r w:rsidRPr="00664513">
                <w:rPr>
                  <w:color w:val="0000FF" w:themeColor="hyperlink"/>
                  <w:sz w:val="18"/>
                  <w:szCs w:val="18"/>
                  <w:u w:val="single"/>
                </w:rPr>
                <w:t>C4SYS</w:t>
              </w:r>
            </w:hyperlink>
            <w:r w:rsidRPr="00664513">
              <w:rPr>
                <w:sz w:val="18"/>
                <w:szCs w:val="18"/>
              </w:rPr>
              <w:t>)</w:t>
            </w:r>
          </w:p>
        </w:tc>
        <w:tc>
          <w:tcPr>
            <w:tcW w:w="2977" w:type="dxa"/>
            <w:tcBorders>
              <w:top w:val="single" w:sz="2" w:space="0" w:color="auto"/>
              <w:left w:val="nil"/>
              <w:bottom w:val="single" w:sz="2" w:space="0" w:color="auto"/>
              <w:right w:val="nil"/>
            </w:tcBorders>
          </w:tcPr>
          <w:p w:rsidR="004860DA" w:rsidRPr="00664513" w:rsidRDefault="004860DA" w:rsidP="00BE1F9E">
            <w:pPr>
              <w:jc w:val="left"/>
              <w:rPr>
                <w:sz w:val="18"/>
                <w:szCs w:val="18"/>
              </w:rPr>
            </w:pPr>
            <w:r w:rsidRPr="00664513">
              <w:rPr>
                <w:sz w:val="18"/>
                <w:szCs w:val="18"/>
              </w:rPr>
              <w:t>Ústav nanobiologie a strukturní biologie AV ČR</w:t>
            </w:r>
            <w:r>
              <w:rPr>
                <w:sz w:val="18"/>
                <w:szCs w:val="18"/>
              </w:rPr>
              <w:t xml:space="preserve"> </w:t>
            </w:r>
            <w:r w:rsidRPr="00664513">
              <w:rPr>
                <w:sz w:val="18"/>
                <w:szCs w:val="18"/>
              </w:rPr>
              <w:t>(národní)</w:t>
            </w:r>
          </w:p>
        </w:tc>
        <w:tc>
          <w:tcPr>
            <w:tcW w:w="4394" w:type="dxa"/>
            <w:tcBorders>
              <w:top w:val="single" w:sz="2" w:space="0" w:color="auto"/>
              <w:left w:val="nil"/>
              <w:bottom w:val="single" w:sz="2" w:space="0" w:color="auto"/>
              <w:right w:val="nil"/>
            </w:tcBorders>
          </w:tcPr>
          <w:p w:rsidR="004860DA" w:rsidRPr="00664513" w:rsidRDefault="004860DA" w:rsidP="00BE1F9E">
            <w:pPr>
              <w:autoSpaceDE w:val="0"/>
              <w:autoSpaceDN w:val="0"/>
              <w:adjustRightInd w:val="0"/>
              <w:spacing w:before="40" w:after="40"/>
              <w:jc w:val="left"/>
              <w:rPr>
                <w:sz w:val="18"/>
                <w:szCs w:val="18"/>
              </w:rPr>
            </w:pPr>
            <w:r w:rsidRPr="00664513">
              <w:rPr>
                <w:rFonts w:cs="Calibri"/>
                <w:color w:val="000000"/>
                <w:sz w:val="18"/>
                <w:szCs w:val="18"/>
              </w:rPr>
              <w:t>Distribuovaná infrast</w:t>
            </w:r>
            <w:r>
              <w:rPr>
                <w:rFonts w:cs="Calibri"/>
                <w:color w:val="000000"/>
                <w:sz w:val="18"/>
                <w:szCs w:val="18"/>
              </w:rPr>
              <w:t>ruktura pro systémovou biologii (</w:t>
            </w:r>
            <w:r w:rsidRPr="00664513">
              <w:rPr>
                <w:rFonts w:cs="Calibri"/>
                <w:color w:val="000000"/>
                <w:sz w:val="18"/>
                <w:szCs w:val="18"/>
              </w:rPr>
              <w:t>komplexní biologick</w:t>
            </w:r>
            <w:r>
              <w:rPr>
                <w:rFonts w:cs="Calibri"/>
                <w:color w:val="000000"/>
                <w:sz w:val="18"/>
                <w:szCs w:val="18"/>
              </w:rPr>
              <w:t>é</w:t>
            </w:r>
            <w:r w:rsidRPr="00664513">
              <w:rPr>
                <w:rFonts w:cs="Calibri"/>
                <w:color w:val="000000"/>
                <w:sz w:val="18"/>
                <w:szCs w:val="18"/>
              </w:rPr>
              <w:t xml:space="preserve"> systém</w:t>
            </w:r>
            <w:r>
              <w:rPr>
                <w:rFonts w:cs="Calibri"/>
                <w:color w:val="000000"/>
                <w:sz w:val="18"/>
                <w:szCs w:val="18"/>
              </w:rPr>
              <w:t>y)</w:t>
            </w:r>
          </w:p>
        </w:tc>
      </w:tr>
      <w:tr w:rsidR="004860DA" w:rsidRPr="00664513" w:rsidTr="00BE1F9E">
        <w:tblPrEx>
          <w:tblBorders>
            <w:top w:val="single" w:sz="4" w:space="0" w:color="auto"/>
            <w:left w:val="single" w:sz="4" w:space="0" w:color="auto"/>
            <w:bottom w:val="single" w:sz="4" w:space="0" w:color="auto"/>
            <w:right w:val="single" w:sz="4" w:space="0" w:color="auto"/>
            <w:insideV w:val="single" w:sz="4" w:space="0" w:color="auto"/>
          </w:tblBorders>
        </w:tblPrEx>
        <w:tc>
          <w:tcPr>
            <w:tcW w:w="1951" w:type="dxa"/>
            <w:tcBorders>
              <w:top w:val="single" w:sz="2" w:space="0" w:color="auto"/>
              <w:left w:val="nil"/>
              <w:bottom w:val="single" w:sz="2" w:space="0" w:color="auto"/>
              <w:right w:val="nil"/>
            </w:tcBorders>
          </w:tcPr>
          <w:p w:rsidR="004860DA" w:rsidRPr="00664513" w:rsidRDefault="00990E2D" w:rsidP="004860DA">
            <w:pPr>
              <w:jc w:val="left"/>
              <w:rPr>
                <w:sz w:val="18"/>
                <w:szCs w:val="18"/>
              </w:rPr>
            </w:pPr>
            <w:hyperlink r:id="rId133" w:history="1">
              <w:r w:rsidR="004860DA" w:rsidRPr="00664513">
                <w:rPr>
                  <w:color w:val="0000FF" w:themeColor="hyperlink"/>
                  <w:sz w:val="18"/>
                  <w:szCs w:val="18"/>
                  <w:u w:val="single"/>
                </w:rPr>
                <w:t>CZECRIN</w:t>
              </w:r>
            </w:hyperlink>
            <w:r w:rsidR="004860DA" w:rsidRPr="00664513">
              <w:rPr>
                <w:sz w:val="18"/>
                <w:szCs w:val="18"/>
              </w:rPr>
              <w:t xml:space="preserve"> (</w:t>
            </w:r>
            <w:r w:rsidR="004860DA" w:rsidRPr="004860DA">
              <w:rPr>
                <w:sz w:val="18"/>
                <w:szCs w:val="18"/>
              </w:rPr>
              <w:t>Český národní uzel Evropské sítě infrastruktur klinického výzkumu</w:t>
            </w:r>
            <w:r w:rsidR="004860DA" w:rsidRPr="00664513">
              <w:rPr>
                <w:sz w:val="18"/>
                <w:szCs w:val="18"/>
              </w:rPr>
              <w:t>)</w:t>
            </w:r>
          </w:p>
        </w:tc>
        <w:tc>
          <w:tcPr>
            <w:tcW w:w="2977" w:type="dxa"/>
            <w:tcBorders>
              <w:top w:val="single" w:sz="2" w:space="0" w:color="auto"/>
              <w:left w:val="nil"/>
              <w:bottom w:val="single" w:sz="2" w:space="0" w:color="auto"/>
              <w:right w:val="nil"/>
            </w:tcBorders>
          </w:tcPr>
          <w:p w:rsidR="004860DA" w:rsidRPr="00664513" w:rsidRDefault="004860DA" w:rsidP="00BE1F9E">
            <w:pPr>
              <w:jc w:val="left"/>
              <w:rPr>
                <w:sz w:val="18"/>
                <w:szCs w:val="18"/>
              </w:rPr>
            </w:pPr>
            <w:r w:rsidRPr="00664513">
              <w:rPr>
                <w:sz w:val="18"/>
                <w:szCs w:val="18"/>
              </w:rPr>
              <w:t>Masarykova univerzita, FNUSA v</w:t>
            </w:r>
            <w:r>
              <w:rPr>
                <w:sz w:val="18"/>
                <w:szCs w:val="18"/>
              </w:rPr>
              <w:t> </w:t>
            </w:r>
            <w:r w:rsidRPr="00664513">
              <w:rPr>
                <w:sz w:val="18"/>
                <w:szCs w:val="18"/>
              </w:rPr>
              <w:t>Brně</w:t>
            </w:r>
            <w:r>
              <w:rPr>
                <w:sz w:val="18"/>
                <w:szCs w:val="18"/>
              </w:rPr>
              <w:t xml:space="preserve"> </w:t>
            </w:r>
            <w:r w:rsidRPr="00664513">
              <w:rPr>
                <w:sz w:val="18"/>
                <w:szCs w:val="18"/>
              </w:rPr>
              <w:t>(český uzel ESFRI)</w:t>
            </w:r>
          </w:p>
        </w:tc>
        <w:tc>
          <w:tcPr>
            <w:tcW w:w="4394" w:type="dxa"/>
            <w:tcBorders>
              <w:top w:val="single" w:sz="2" w:space="0" w:color="auto"/>
              <w:left w:val="nil"/>
              <w:bottom w:val="single" w:sz="2" w:space="0" w:color="auto"/>
              <w:right w:val="nil"/>
            </w:tcBorders>
          </w:tcPr>
          <w:p w:rsidR="004860DA" w:rsidRPr="00664513" w:rsidRDefault="004860DA" w:rsidP="00BE1F9E">
            <w:pPr>
              <w:autoSpaceDE w:val="0"/>
              <w:autoSpaceDN w:val="0"/>
              <w:adjustRightInd w:val="0"/>
              <w:spacing w:before="40" w:after="40"/>
              <w:jc w:val="left"/>
              <w:rPr>
                <w:sz w:val="18"/>
                <w:szCs w:val="18"/>
              </w:rPr>
            </w:pPr>
            <w:r w:rsidRPr="00664513">
              <w:rPr>
                <w:rFonts w:cs="Calibri"/>
                <w:color w:val="000000"/>
                <w:sz w:val="18"/>
                <w:szCs w:val="18"/>
              </w:rPr>
              <w:t>Národní</w:t>
            </w:r>
            <w:r w:rsidRPr="00664513">
              <w:rPr>
                <w:sz w:val="18"/>
                <w:szCs w:val="18"/>
              </w:rPr>
              <w:t xml:space="preserve"> výzkumná infrastruktura podporujíc</w:t>
            </w:r>
            <w:r>
              <w:rPr>
                <w:sz w:val="18"/>
                <w:szCs w:val="18"/>
              </w:rPr>
              <w:t>í akademická klinická hodnocení.</w:t>
            </w:r>
          </w:p>
        </w:tc>
      </w:tr>
      <w:tr w:rsidR="000E787A" w:rsidRPr="00664513" w:rsidTr="002559A9">
        <w:tc>
          <w:tcPr>
            <w:tcW w:w="9322" w:type="dxa"/>
            <w:gridSpan w:val="3"/>
            <w:tcBorders>
              <w:top w:val="nil"/>
              <w:bottom w:val="single" w:sz="4" w:space="0" w:color="auto"/>
            </w:tcBorders>
            <w:shd w:val="clear" w:color="auto" w:fill="F2F2F2" w:themeFill="background1" w:themeFillShade="F2"/>
          </w:tcPr>
          <w:p w:rsidR="000E787A" w:rsidRPr="00664513" w:rsidRDefault="000E787A" w:rsidP="00664513">
            <w:pPr>
              <w:jc w:val="left"/>
              <w:rPr>
                <w:b/>
                <w:sz w:val="18"/>
                <w:szCs w:val="18"/>
              </w:rPr>
            </w:pPr>
            <w:r w:rsidRPr="00664513">
              <w:rPr>
                <w:b/>
                <w:sz w:val="18"/>
                <w:szCs w:val="18"/>
              </w:rPr>
              <w:t>Společenské a humanitní vědy</w:t>
            </w:r>
          </w:p>
        </w:tc>
      </w:tr>
      <w:tr w:rsidR="000E787A" w:rsidRPr="00664513" w:rsidTr="002559A9">
        <w:tc>
          <w:tcPr>
            <w:tcW w:w="1951" w:type="dxa"/>
            <w:tcBorders>
              <w:bottom w:val="single" w:sz="4" w:space="0" w:color="auto"/>
            </w:tcBorders>
          </w:tcPr>
          <w:p w:rsidR="000E787A" w:rsidRPr="00664513" w:rsidRDefault="00990E2D" w:rsidP="00664513">
            <w:pPr>
              <w:jc w:val="left"/>
              <w:rPr>
                <w:sz w:val="18"/>
                <w:szCs w:val="18"/>
              </w:rPr>
            </w:pPr>
            <w:hyperlink r:id="rId134" w:history="1">
              <w:r w:rsidR="000E787A" w:rsidRPr="00664513">
                <w:rPr>
                  <w:color w:val="0000FF" w:themeColor="hyperlink"/>
                  <w:sz w:val="18"/>
                  <w:szCs w:val="18"/>
                  <w:u w:val="single"/>
                </w:rPr>
                <w:t>SHARE</w:t>
              </w:r>
            </w:hyperlink>
          </w:p>
        </w:tc>
        <w:tc>
          <w:tcPr>
            <w:tcW w:w="2977" w:type="dxa"/>
            <w:tcBorders>
              <w:bottom w:val="single" w:sz="4" w:space="0" w:color="auto"/>
            </w:tcBorders>
          </w:tcPr>
          <w:p w:rsidR="000E787A" w:rsidRPr="00664513" w:rsidRDefault="000E787A" w:rsidP="002559A9">
            <w:pPr>
              <w:jc w:val="left"/>
              <w:rPr>
                <w:sz w:val="18"/>
                <w:szCs w:val="18"/>
              </w:rPr>
            </w:pPr>
            <w:r w:rsidRPr="00664513">
              <w:rPr>
                <w:sz w:val="18"/>
                <w:szCs w:val="18"/>
              </w:rPr>
              <w:t>Národo-hospodářský ústav AV ČR, v.v.i.</w:t>
            </w:r>
            <w:r w:rsidR="002559A9">
              <w:rPr>
                <w:sz w:val="18"/>
                <w:szCs w:val="18"/>
              </w:rPr>
              <w:t xml:space="preserve"> </w:t>
            </w:r>
            <w:r w:rsidRPr="00664513">
              <w:rPr>
                <w:sz w:val="18"/>
                <w:szCs w:val="18"/>
              </w:rPr>
              <w:t>(český uzel ESFRI)</w:t>
            </w:r>
          </w:p>
        </w:tc>
        <w:tc>
          <w:tcPr>
            <w:tcW w:w="4394" w:type="dxa"/>
            <w:tcBorders>
              <w:bottom w:val="single" w:sz="4" w:space="0" w:color="auto"/>
            </w:tcBorders>
          </w:tcPr>
          <w:p w:rsidR="000E787A" w:rsidRPr="00664513" w:rsidRDefault="000E787A" w:rsidP="000E787A">
            <w:pPr>
              <w:autoSpaceDE w:val="0"/>
              <w:autoSpaceDN w:val="0"/>
              <w:adjustRightInd w:val="0"/>
              <w:spacing w:before="40" w:after="40"/>
              <w:jc w:val="left"/>
              <w:rPr>
                <w:sz w:val="18"/>
                <w:szCs w:val="18"/>
              </w:rPr>
            </w:pPr>
            <w:r w:rsidRPr="00664513">
              <w:rPr>
                <w:rFonts w:cs="Calibri"/>
                <w:color w:val="000000"/>
                <w:sz w:val="18"/>
                <w:szCs w:val="18"/>
              </w:rPr>
              <w:t>Multidisciplinární výzkum - demografie a rodina; vzdělání; tělesné a duševní zdraví, zdravotní péče a rizika, kognitivní funkce;</w:t>
            </w:r>
            <w:r w:rsidRPr="00664513">
              <w:rPr>
                <w:sz w:val="18"/>
                <w:szCs w:val="18"/>
              </w:rPr>
              <w:t xml:space="preserve"> </w:t>
            </w:r>
          </w:p>
        </w:tc>
      </w:tr>
      <w:tr w:rsidR="000E787A" w:rsidRPr="00664513" w:rsidTr="002559A9">
        <w:tblPrEx>
          <w:tblBorders>
            <w:top w:val="single" w:sz="4" w:space="0" w:color="auto"/>
            <w:left w:val="single" w:sz="4" w:space="0" w:color="auto"/>
            <w:bottom w:val="single" w:sz="4" w:space="0" w:color="auto"/>
            <w:right w:val="single" w:sz="4" w:space="0" w:color="auto"/>
            <w:insideV w:val="single" w:sz="4" w:space="0" w:color="auto"/>
          </w:tblBorders>
        </w:tblPrEx>
        <w:tc>
          <w:tcPr>
            <w:tcW w:w="9322" w:type="dxa"/>
            <w:gridSpan w:val="3"/>
            <w:tcBorders>
              <w:top w:val="single" w:sz="2" w:space="0" w:color="auto"/>
              <w:left w:val="nil"/>
              <w:bottom w:val="single" w:sz="2" w:space="0" w:color="auto"/>
              <w:right w:val="nil"/>
            </w:tcBorders>
            <w:shd w:val="clear" w:color="auto" w:fill="F2F2F2" w:themeFill="background1" w:themeFillShade="F2"/>
          </w:tcPr>
          <w:p w:rsidR="000E787A" w:rsidRPr="00664513" w:rsidRDefault="000E787A" w:rsidP="00664513">
            <w:pPr>
              <w:rPr>
                <w:sz w:val="18"/>
                <w:szCs w:val="18"/>
              </w:rPr>
            </w:pPr>
            <w:r w:rsidRPr="00664513">
              <w:rPr>
                <w:b/>
                <w:bCs/>
                <w:sz w:val="18"/>
                <w:szCs w:val="18"/>
              </w:rPr>
              <w:t>Informatika/e-infrastruktura</w:t>
            </w:r>
          </w:p>
        </w:tc>
      </w:tr>
      <w:tr w:rsidR="000E787A" w:rsidRPr="00664513" w:rsidTr="00BB1007">
        <w:tblPrEx>
          <w:tblBorders>
            <w:top w:val="single" w:sz="4" w:space="0" w:color="auto"/>
            <w:left w:val="single" w:sz="4" w:space="0" w:color="auto"/>
            <w:bottom w:val="single" w:sz="4" w:space="0" w:color="auto"/>
            <w:right w:val="single" w:sz="4" w:space="0" w:color="auto"/>
            <w:insideV w:val="single" w:sz="4" w:space="0" w:color="auto"/>
          </w:tblBorders>
        </w:tblPrEx>
        <w:tc>
          <w:tcPr>
            <w:tcW w:w="1951" w:type="dxa"/>
            <w:tcBorders>
              <w:top w:val="single" w:sz="2" w:space="0" w:color="auto"/>
              <w:left w:val="nil"/>
              <w:bottom w:val="single" w:sz="2" w:space="0" w:color="auto"/>
              <w:right w:val="nil"/>
            </w:tcBorders>
          </w:tcPr>
          <w:p w:rsidR="000E787A" w:rsidRPr="00664513" w:rsidRDefault="00990E2D" w:rsidP="00664513">
            <w:pPr>
              <w:jc w:val="left"/>
              <w:rPr>
                <w:sz w:val="18"/>
                <w:szCs w:val="18"/>
              </w:rPr>
            </w:pPr>
            <w:hyperlink r:id="rId135" w:history="1">
              <w:r w:rsidR="000E787A" w:rsidRPr="00664513">
                <w:rPr>
                  <w:color w:val="0000FF" w:themeColor="hyperlink"/>
                  <w:sz w:val="18"/>
                  <w:szCs w:val="18"/>
                  <w:u w:val="single"/>
                </w:rPr>
                <w:t>CESNET</w:t>
              </w:r>
            </w:hyperlink>
          </w:p>
        </w:tc>
        <w:tc>
          <w:tcPr>
            <w:tcW w:w="2977" w:type="dxa"/>
            <w:tcBorders>
              <w:top w:val="single" w:sz="2" w:space="0" w:color="auto"/>
              <w:left w:val="nil"/>
              <w:bottom w:val="single" w:sz="2" w:space="0" w:color="auto"/>
              <w:right w:val="nil"/>
            </w:tcBorders>
          </w:tcPr>
          <w:p w:rsidR="000E787A" w:rsidRPr="00664513" w:rsidRDefault="000E787A" w:rsidP="002559A9">
            <w:pPr>
              <w:jc w:val="left"/>
              <w:rPr>
                <w:sz w:val="18"/>
                <w:szCs w:val="18"/>
              </w:rPr>
            </w:pPr>
            <w:r w:rsidRPr="00664513">
              <w:rPr>
                <w:sz w:val="18"/>
                <w:szCs w:val="18"/>
              </w:rPr>
              <w:t>CESNET, z.s.p.o.</w:t>
            </w:r>
            <w:r w:rsidR="002559A9">
              <w:rPr>
                <w:sz w:val="18"/>
                <w:szCs w:val="18"/>
              </w:rPr>
              <w:t xml:space="preserve"> </w:t>
            </w:r>
            <w:r w:rsidRPr="00664513">
              <w:rPr>
                <w:sz w:val="18"/>
                <w:szCs w:val="18"/>
              </w:rPr>
              <w:t>(česká část GÉANT, EGI)</w:t>
            </w:r>
          </w:p>
        </w:tc>
        <w:tc>
          <w:tcPr>
            <w:tcW w:w="4394" w:type="dxa"/>
            <w:tcBorders>
              <w:top w:val="single" w:sz="2" w:space="0" w:color="auto"/>
              <w:left w:val="nil"/>
              <w:bottom w:val="single" w:sz="2" w:space="0" w:color="auto"/>
              <w:right w:val="nil"/>
            </w:tcBorders>
          </w:tcPr>
          <w:p w:rsidR="000E787A" w:rsidRPr="00664513" w:rsidRDefault="002559A9" w:rsidP="002559A9">
            <w:pPr>
              <w:autoSpaceDE w:val="0"/>
              <w:autoSpaceDN w:val="0"/>
              <w:adjustRightInd w:val="0"/>
              <w:spacing w:before="40" w:after="40"/>
              <w:jc w:val="left"/>
              <w:rPr>
                <w:sz w:val="18"/>
                <w:szCs w:val="18"/>
              </w:rPr>
            </w:pPr>
            <w:r>
              <w:rPr>
                <w:rFonts w:cs="Calibri"/>
                <w:color w:val="000000"/>
                <w:sz w:val="18"/>
                <w:szCs w:val="18"/>
              </w:rPr>
              <w:t>ICT (o</w:t>
            </w:r>
            <w:r w:rsidR="000E787A" w:rsidRPr="00664513">
              <w:rPr>
                <w:rFonts w:cs="Calibri"/>
                <w:color w:val="000000"/>
                <w:sz w:val="18"/>
                <w:szCs w:val="18"/>
              </w:rPr>
              <w:t>ptické sítě</w:t>
            </w:r>
            <w:r>
              <w:rPr>
                <w:rFonts w:cs="Calibri"/>
                <w:color w:val="000000"/>
                <w:sz w:val="18"/>
                <w:szCs w:val="18"/>
              </w:rPr>
              <w:t>, monitoring a konfigurace, s</w:t>
            </w:r>
            <w:r w:rsidR="000E787A" w:rsidRPr="00664513">
              <w:rPr>
                <w:rFonts w:cs="Calibri"/>
                <w:color w:val="000000"/>
                <w:sz w:val="18"/>
                <w:szCs w:val="18"/>
              </w:rPr>
              <w:t>ledování provozu</w:t>
            </w:r>
            <w:r>
              <w:rPr>
                <w:rFonts w:cs="Calibri"/>
                <w:color w:val="000000"/>
                <w:sz w:val="18"/>
                <w:szCs w:val="18"/>
              </w:rPr>
              <w:t xml:space="preserve">, </w:t>
            </w:r>
            <w:r w:rsidR="000E787A" w:rsidRPr="00664513">
              <w:rPr>
                <w:rFonts w:cs="Calibri"/>
                <w:color w:val="000000"/>
                <w:sz w:val="18"/>
                <w:szCs w:val="18"/>
              </w:rPr>
              <w:t>síťové aplikace</w:t>
            </w:r>
            <w:r>
              <w:rPr>
                <w:rFonts w:cs="Calibri"/>
                <w:color w:val="000000"/>
                <w:sz w:val="18"/>
                <w:szCs w:val="18"/>
              </w:rPr>
              <w:t>)</w:t>
            </w:r>
          </w:p>
        </w:tc>
      </w:tr>
      <w:tr w:rsidR="000E787A" w:rsidRPr="00664513" w:rsidTr="00BB1007">
        <w:tblPrEx>
          <w:tblBorders>
            <w:top w:val="single" w:sz="4" w:space="0" w:color="auto"/>
            <w:left w:val="single" w:sz="4" w:space="0" w:color="auto"/>
            <w:bottom w:val="single" w:sz="4" w:space="0" w:color="auto"/>
            <w:right w:val="single" w:sz="4" w:space="0" w:color="auto"/>
            <w:insideV w:val="single" w:sz="4" w:space="0" w:color="auto"/>
          </w:tblBorders>
        </w:tblPrEx>
        <w:tc>
          <w:tcPr>
            <w:tcW w:w="1951" w:type="dxa"/>
            <w:tcBorders>
              <w:top w:val="single" w:sz="2" w:space="0" w:color="auto"/>
              <w:left w:val="nil"/>
              <w:bottom w:val="single" w:sz="4" w:space="0" w:color="auto"/>
              <w:right w:val="nil"/>
            </w:tcBorders>
          </w:tcPr>
          <w:p w:rsidR="000E787A" w:rsidRPr="00664513" w:rsidRDefault="000E787A" w:rsidP="00664513">
            <w:pPr>
              <w:jc w:val="left"/>
              <w:rPr>
                <w:sz w:val="18"/>
                <w:szCs w:val="18"/>
              </w:rPr>
            </w:pPr>
            <w:r w:rsidRPr="00664513">
              <w:rPr>
                <w:sz w:val="18"/>
                <w:szCs w:val="18"/>
              </w:rPr>
              <w:t>CERIT Scientific Cloud (</w:t>
            </w:r>
            <w:hyperlink r:id="rId136" w:history="1">
              <w:r w:rsidRPr="00664513">
                <w:rPr>
                  <w:color w:val="0000FF" w:themeColor="hyperlink"/>
                  <w:sz w:val="18"/>
                  <w:szCs w:val="18"/>
                  <w:u w:val="single"/>
                </w:rPr>
                <w:t>CERIT – SC</w:t>
              </w:r>
            </w:hyperlink>
            <w:r w:rsidRPr="00664513">
              <w:rPr>
                <w:sz w:val="18"/>
                <w:szCs w:val="18"/>
              </w:rPr>
              <w:t>)</w:t>
            </w:r>
          </w:p>
        </w:tc>
        <w:tc>
          <w:tcPr>
            <w:tcW w:w="2977" w:type="dxa"/>
            <w:tcBorders>
              <w:top w:val="single" w:sz="2" w:space="0" w:color="auto"/>
              <w:left w:val="nil"/>
              <w:bottom w:val="single" w:sz="4" w:space="0" w:color="auto"/>
              <w:right w:val="nil"/>
            </w:tcBorders>
          </w:tcPr>
          <w:p w:rsidR="000E787A" w:rsidRPr="00664513" w:rsidRDefault="000E787A" w:rsidP="002559A9">
            <w:pPr>
              <w:jc w:val="left"/>
              <w:rPr>
                <w:sz w:val="18"/>
                <w:szCs w:val="18"/>
              </w:rPr>
            </w:pPr>
            <w:r w:rsidRPr="00664513">
              <w:rPr>
                <w:sz w:val="18"/>
                <w:szCs w:val="18"/>
              </w:rPr>
              <w:t>Masarykova univerzita</w:t>
            </w:r>
            <w:r w:rsidR="002559A9">
              <w:rPr>
                <w:sz w:val="18"/>
                <w:szCs w:val="18"/>
              </w:rPr>
              <w:t xml:space="preserve"> </w:t>
            </w:r>
            <w:r w:rsidRPr="00664513">
              <w:rPr>
                <w:sz w:val="18"/>
                <w:szCs w:val="18"/>
              </w:rPr>
              <w:t>(národní)</w:t>
            </w:r>
          </w:p>
        </w:tc>
        <w:tc>
          <w:tcPr>
            <w:tcW w:w="4394" w:type="dxa"/>
            <w:tcBorders>
              <w:top w:val="single" w:sz="2" w:space="0" w:color="auto"/>
              <w:left w:val="nil"/>
              <w:bottom w:val="single" w:sz="4" w:space="0" w:color="auto"/>
              <w:right w:val="nil"/>
            </w:tcBorders>
          </w:tcPr>
          <w:p w:rsidR="000E787A" w:rsidRPr="00664513" w:rsidRDefault="002559A9" w:rsidP="002559A9">
            <w:pPr>
              <w:autoSpaceDE w:val="0"/>
              <w:autoSpaceDN w:val="0"/>
              <w:adjustRightInd w:val="0"/>
              <w:spacing w:before="40" w:after="40"/>
              <w:jc w:val="left"/>
              <w:rPr>
                <w:rFonts w:cs="Calibri"/>
                <w:color w:val="000000"/>
                <w:sz w:val="18"/>
                <w:szCs w:val="18"/>
              </w:rPr>
            </w:pPr>
            <w:r>
              <w:rPr>
                <w:rFonts w:cs="Calibri"/>
                <w:color w:val="000000"/>
                <w:sz w:val="18"/>
                <w:szCs w:val="18"/>
              </w:rPr>
              <w:t>F</w:t>
            </w:r>
            <w:r w:rsidR="000E787A" w:rsidRPr="00664513">
              <w:rPr>
                <w:rFonts w:cs="Calibri"/>
                <w:color w:val="000000"/>
                <w:sz w:val="18"/>
                <w:szCs w:val="18"/>
              </w:rPr>
              <w:t>lexibilní úložné a výpočetní kapacity a související služby, VaV v oblasti flexibilních e-infrastruktur</w:t>
            </w:r>
            <w:r>
              <w:rPr>
                <w:rFonts w:cs="Calibri"/>
                <w:color w:val="000000"/>
                <w:sz w:val="18"/>
                <w:szCs w:val="18"/>
              </w:rPr>
              <w:t xml:space="preserve"> (z</w:t>
            </w:r>
            <w:r w:rsidR="000E787A" w:rsidRPr="00664513">
              <w:rPr>
                <w:rFonts w:cs="Calibri"/>
                <w:color w:val="000000"/>
                <w:sz w:val="18"/>
                <w:szCs w:val="18"/>
              </w:rPr>
              <w:t xml:space="preserve">abezpečení, autentizace, </w:t>
            </w:r>
            <w:r>
              <w:rPr>
                <w:rFonts w:cs="Calibri"/>
                <w:color w:val="000000"/>
                <w:sz w:val="18"/>
                <w:szCs w:val="18"/>
              </w:rPr>
              <w:t>říz</w:t>
            </w:r>
            <w:r w:rsidR="000E787A" w:rsidRPr="00664513">
              <w:rPr>
                <w:rFonts w:cs="Calibri"/>
                <w:color w:val="000000"/>
                <w:sz w:val="18"/>
                <w:szCs w:val="18"/>
              </w:rPr>
              <w:t>ení přístupu k datům, výpočtům i jejich výsledkům).</w:t>
            </w:r>
          </w:p>
        </w:tc>
      </w:tr>
    </w:tbl>
    <w:p w:rsidR="003E4814" w:rsidRDefault="003E4814" w:rsidP="003D2511"/>
    <w:p w:rsidR="00B57C46" w:rsidRDefault="00B57C46" w:rsidP="006E4036">
      <w:pPr>
        <w:pStyle w:val="Nadpis3"/>
        <w:rPr>
          <w:rFonts w:eastAsiaTheme="majorEastAsia"/>
        </w:rPr>
      </w:pPr>
      <w:bookmarkStart w:id="244" w:name="_Ref453765845"/>
      <w:bookmarkStart w:id="245" w:name="_Toc459723332"/>
      <w:bookmarkStart w:id="246" w:name="_Ref447556650"/>
      <w:bookmarkStart w:id="247" w:name="_Toc447722656"/>
      <w:r>
        <w:rPr>
          <w:rFonts w:eastAsiaTheme="majorEastAsia"/>
        </w:rPr>
        <w:t>Další subjekty s potenciálem pro zapojení do bezpečnostního výzkumu</w:t>
      </w:r>
      <w:bookmarkEnd w:id="244"/>
      <w:bookmarkEnd w:id="245"/>
    </w:p>
    <w:tbl>
      <w:tblPr>
        <w:tblW w:w="0" w:type="auto"/>
        <w:tblLook w:val="04A0" w:firstRow="1" w:lastRow="0" w:firstColumn="1" w:lastColumn="0" w:noHBand="0" w:noVBand="1"/>
      </w:tblPr>
      <w:tblGrid>
        <w:gridCol w:w="9354"/>
      </w:tblGrid>
      <w:tr w:rsidR="00133C62" w:rsidTr="001D5000">
        <w:tc>
          <w:tcPr>
            <w:tcW w:w="9354"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133C62" w:rsidRDefault="00133C62" w:rsidP="002B036F">
            <w:pPr>
              <w:rPr>
                <w:lang w:eastAsia="cs-CZ"/>
              </w:rPr>
            </w:pPr>
            <w:r w:rsidRPr="00133C62">
              <w:t xml:space="preserve">Potenciál pro BV mají také </w:t>
            </w:r>
            <w:r>
              <w:t xml:space="preserve">podniky a některé další </w:t>
            </w:r>
            <w:r w:rsidRPr="00133C62">
              <w:t>subjekty působí</w:t>
            </w:r>
            <w:r w:rsidR="006500F4">
              <w:t>cí</w:t>
            </w:r>
            <w:r w:rsidRPr="00133C62">
              <w:t xml:space="preserve"> v oblasti bezpečnosti</w:t>
            </w:r>
            <w:r w:rsidR="006500F4">
              <w:t>,</w:t>
            </w:r>
            <w:r w:rsidRPr="00133C62">
              <w:t xml:space="preserve"> které </w:t>
            </w:r>
            <w:r w:rsidR="006500F4">
              <w:t xml:space="preserve">disponují vhodným </w:t>
            </w:r>
            <w:r w:rsidRPr="00133C62">
              <w:t>výzkumn</w:t>
            </w:r>
            <w:r w:rsidR="006500F4">
              <w:t>ým</w:t>
            </w:r>
            <w:r w:rsidRPr="00133C62">
              <w:t xml:space="preserve"> </w:t>
            </w:r>
            <w:r w:rsidR="006500F4">
              <w:t xml:space="preserve">vybavením a pracovníky, kteří mají </w:t>
            </w:r>
            <w:r w:rsidRPr="00133C62">
              <w:t>zkušenosti s realizací takto zaměřeného VaV.</w:t>
            </w:r>
            <w:r w:rsidR="006500F4">
              <w:t xml:space="preserve"> V ČR také existuje řada asociací, technologických platforem, klastrů a další uskupení, která sdružují subjekty (zejména z podnikového sektoru) aktivní v různ</w:t>
            </w:r>
            <w:r w:rsidR="002B036F">
              <w:t>ých oblastech bezpečnosti.</w:t>
            </w:r>
          </w:p>
        </w:tc>
      </w:tr>
    </w:tbl>
    <w:bookmarkEnd w:id="246"/>
    <w:bookmarkEnd w:id="247"/>
    <w:p w:rsidR="00A510E5" w:rsidRDefault="0059254B" w:rsidP="003D2511">
      <w:r>
        <w:t>Potenciál pro BV mají také subjekty působí</w:t>
      </w:r>
      <w:r w:rsidR="00941039">
        <w:t>cí</w:t>
      </w:r>
      <w:r>
        <w:t xml:space="preserve"> v oblasti bezpečnosti</w:t>
      </w:r>
      <w:r w:rsidR="00941039">
        <w:t>,</w:t>
      </w:r>
      <w:r>
        <w:t xml:space="preserve"> které mají výzkumné kapacity a zkušenosti s realizací takto zaměřeného VaV. Jedná se zejména o </w:t>
      </w:r>
      <w:r w:rsidR="00A510E5">
        <w:t>p</w:t>
      </w:r>
      <w:r>
        <w:t xml:space="preserve">odniky působící </w:t>
      </w:r>
      <w:r w:rsidR="00A510E5">
        <w:t xml:space="preserve">v </w:t>
      </w:r>
      <w:r>
        <w:t>bezpečnostním a obranném průmyslu</w:t>
      </w:r>
      <w:r w:rsidR="00A510E5">
        <w:t xml:space="preserve"> (výrobci zařízení, systémů, komponent a materiálů využitelných v různých oblastech bezpečnosti</w:t>
      </w:r>
      <w:r w:rsidR="00941039">
        <w:t>)</w:t>
      </w:r>
      <w:r w:rsidR="00A510E5">
        <w:t>, kteří zároveň disponují vhodnou výzkumn</w:t>
      </w:r>
      <w:r w:rsidR="00941039">
        <w:t xml:space="preserve">ým </w:t>
      </w:r>
      <w:r w:rsidR="00A510E5">
        <w:t>vybavením a mají zkušenost</w:t>
      </w:r>
      <w:r w:rsidR="00941039">
        <w:t>i</w:t>
      </w:r>
      <w:r w:rsidR="00A510E5">
        <w:t xml:space="preserve"> s takto zaměřeným VaV.</w:t>
      </w:r>
    </w:p>
    <w:p w:rsidR="003D2511" w:rsidRPr="003D2511" w:rsidRDefault="003D2511" w:rsidP="00FD6EAA">
      <w:r w:rsidRPr="003D2511">
        <w:t xml:space="preserve">Pro identifikaci </w:t>
      </w:r>
      <w:r w:rsidR="00B57C46">
        <w:t xml:space="preserve">subjektů s potenciálem pro BV byly využity seznamy členů </w:t>
      </w:r>
      <w:r w:rsidR="00B57C46" w:rsidRPr="003D2511">
        <w:t>asociací a dalších uskupení</w:t>
      </w:r>
      <w:r w:rsidR="00A510E5">
        <w:t xml:space="preserve"> </w:t>
      </w:r>
      <w:r w:rsidR="00B57C46" w:rsidRPr="003D2511">
        <w:t>sdružují</w:t>
      </w:r>
      <w:r w:rsidR="00A510E5">
        <w:t>cích</w:t>
      </w:r>
      <w:r w:rsidR="00B57C46" w:rsidRPr="003D2511">
        <w:t xml:space="preserve"> subjekty s aktivitami v oblasti bezpečnosti</w:t>
      </w:r>
      <w:r w:rsidR="0059254B">
        <w:t xml:space="preserve"> </w:t>
      </w:r>
      <w:r w:rsidR="00B57C46" w:rsidRPr="003D2511">
        <w:t>(</w:t>
      </w:r>
      <w:r w:rsidR="00B57C46">
        <w:t xml:space="preserve">přehled využitých databází je uveden na začátku kap. </w:t>
      </w:r>
      <w:r w:rsidR="00B57C46">
        <w:fldChar w:fldCharType="begin"/>
      </w:r>
      <w:r w:rsidR="00B57C46">
        <w:instrText xml:space="preserve"> REF _Ref450306992 \r \h </w:instrText>
      </w:r>
      <w:r w:rsidR="00B57C46">
        <w:fldChar w:fldCharType="separate"/>
      </w:r>
      <w:r w:rsidR="003F08E5">
        <w:t>5</w:t>
      </w:r>
      <w:r w:rsidR="00B57C46">
        <w:fldChar w:fldCharType="end"/>
      </w:r>
      <w:r w:rsidR="00B57C46">
        <w:t>)</w:t>
      </w:r>
      <w:r w:rsidR="0059254B">
        <w:t xml:space="preserve">. </w:t>
      </w:r>
      <w:r w:rsidR="00D8308E">
        <w:t xml:space="preserve">Za subjekt, který </w:t>
      </w:r>
      <w:r w:rsidR="00FD6EAA">
        <w:t xml:space="preserve">má potenciál pro zapojení do BV byl považován ten, který </w:t>
      </w:r>
      <w:r w:rsidRPr="003D2511">
        <w:t>ve své charakteristice v databázi nebo na svých internetových stránkách explicitně uváděl výzkum nebo vývoj</w:t>
      </w:r>
      <w:r w:rsidR="00FD6EAA">
        <w:t xml:space="preserve"> nebo </w:t>
      </w:r>
      <w:r w:rsidRPr="003D2511">
        <w:t xml:space="preserve">který měl počet alespoň jednoho pracovníka ve VaV podle databáze </w:t>
      </w:r>
      <w:r w:rsidR="008E157C">
        <w:t>Asociace výzkumných organizací (</w:t>
      </w:r>
      <w:r w:rsidRPr="003D2511">
        <w:t>AVO</w:t>
      </w:r>
      <w:r w:rsidR="008E157C">
        <w:t>)</w:t>
      </w:r>
      <w:r w:rsidRPr="003D2511">
        <w:t>.</w:t>
      </w:r>
    </w:p>
    <w:p w:rsidR="00DE686B" w:rsidRDefault="003D2511" w:rsidP="003D2511">
      <w:r w:rsidRPr="003D2511">
        <w:t xml:space="preserve">Přehled </w:t>
      </w:r>
      <w:r w:rsidR="006A1849">
        <w:t>subjektů</w:t>
      </w:r>
      <w:r w:rsidRPr="003D2511">
        <w:t xml:space="preserve">, které </w:t>
      </w:r>
      <w:r w:rsidR="00FD6EAA">
        <w:t>jsou členy relevantních asociací a dalších uskupení a které mají kapacity pro VaV</w:t>
      </w:r>
      <w:r w:rsidRPr="003D2511">
        <w:t>, je uveden v</w:t>
      </w:r>
      <w:r w:rsidR="00DD778B">
        <w:t xml:space="preserve"> </w:t>
      </w:r>
      <w:r w:rsidR="00DD778B">
        <w:fldChar w:fldCharType="begin"/>
      </w:r>
      <w:r w:rsidR="00DD778B">
        <w:instrText xml:space="preserve"> REF  _Ref453527708 \* Lower \h  \* MERGEFORMAT </w:instrText>
      </w:r>
      <w:r w:rsidR="00DD778B">
        <w:fldChar w:fldCharType="separate"/>
      </w:r>
      <w:r w:rsidR="003F08E5">
        <w:t xml:space="preserve">tab. </w:t>
      </w:r>
      <w:r w:rsidR="003F08E5">
        <w:rPr>
          <w:noProof/>
        </w:rPr>
        <w:t>68</w:t>
      </w:r>
      <w:r w:rsidR="00DD778B">
        <w:fldChar w:fldCharType="end"/>
      </w:r>
      <w:r w:rsidR="006A1849">
        <w:t xml:space="preserve"> (v tabulce</w:t>
      </w:r>
      <w:r w:rsidR="00FD6EAA">
        <w:t xml:space="preserve"> nejsou uveden</w:t>
      </w:r>
      <w:r w:rsidR="006A1849">
        <w:t>i</w:t>
      </w:r>
      <w:r w:rsidR="00FD6EAA">
        <w:t xml:space="preserve"> členové asociací a uskupení, kteří byli zapojeni v</w:t>
      </w:r>
      <w:r w:rsidR="006A1849">
        <w:t xml:space="preserve"> programech </w:t>
      </w:r>
      <w:r w:rsidR="00FD6EAA">
        <w:t>BV</w:t>
      </w:r>
      <w:r w:rsidR="006A1849">
        <w:t xml:space="preserve"> nebo v RP)</w:t>
      </w:r>
      <w:r w:rsidR="00FD6EAA">
        <w:t>.</w:t>
      </w:r>
      <w:r w:rsidR="00DE686B">
        <w:t xml:space="preserve"> V přehledu je zároveň u některých subjektů uveden </w:t>
      </w:r>
      <w:r w:rsidR="006A1849">
        <w:t xml:space="preserve">také </w:t>
      </w:r>
      <w:r w:rsidR="00DE686B">
        <w:t>počet výzkumných pracovníků</w:t>
      </w:r>
      <w:r w:rsidR="00B87D4A">
        <w:t xml:space="preserve">, jejich </w:t>
      </w:r>
      <w:r w:rsidR="00DE686B">
        <w:t xml:space="preserve">zapojení v mezinárodních programech a výsledky VaV. Některé ze subjektů uvedených v </w:t>
      </w:r>
      <w:r w:rsidR="00DE686B">
        <w:fldChar w:fldCharType="begin"/>
      </w:r>
      <w:r w:rsidR="00DE686B">
        <w:instrText xml:space="preserve"> REF  _Ref453527708 \* Lower \h  \* MERGEFORMAT </w:instrText>
      </w:r>
      <w:r w:rsidR="00DE686B">
        <w:fldChar w:fldCharType="separate"/>
      </w:r>
      <w:r w:rsidR="003F08E5">
        <w:t xml:space="preserve">tab. </w:t>
      </w:r>
      <w:r w:rsidR="003F08E5">
        <w:rPr>
          <w:noProof/>
        </w:rPr>
        <w:t>68</w:t>
      </w:r>
      <w:r w:rsidR="00DE686B">
        <w:fldChar w:fldCharType="end"/>
      </w:r>
      <w:r w:rsidR="00DE686B">
        <w:t xml:space="preserve"> mají i potenciál pro zkušebnictví a další související aktivity. </w:t>
      </w:r>
      <w:r w:rsidR="006A1849">
        <w:t>Přehled všech subjektů s</w:t>
      </w:r>
      <w:r w:rsidR="00A50000">
        <w:t xml:space="preserve"> potenciálem pro </w:t>
      </w:r>
      <w:r w:rsidR="006A1849">
        <w:t>zkušebnictví</w:t>
      </w:r>
      <w:r w:rsidR="00A50000">
        <w:t xml:space="preserve"> je uveden v další kapitole.</w:t>
      </w:r>
      <w:r w:rsidR="00DE686B">
        <w:t xml:space="preserve"> </w:t>
      </w:r>
    </w:p>
    <w:p w:rsidR="00882948" w:rsidRDefault="00882948" w:rsidP="00882948">
      <w:pPr>
        <w:pStyle w:val="Titulek"/>
        <w:keepNext/>
      </w:pPr>
      <w:bookmarkStart w:id="248" w:name="_Ref453527708"/>
      <w:r>
        <w:t xml:space="preserve">Tab. </w:t>
      </w:r>
      <w:r w:rsidR="00990E2D">
        <w:fldChar w:fldCharType="begin"/>
      </w:r>
      <w:r w:rsidR="00990E2D">
        <w:instrText xml:space="preserve"> SEQ Tab. \* ARABIC </w:instrText>
      </w:r>
      <w:r w:rsidR="00990E2D">
        <w:fldChar w:fldCharType="separate"/>
      </w:r>
      <w:r w:rsidR="003F08E5">
        <w:rPr>
          <w:noProof/>
        </w:rPr>
        <w:t>68</w:t>
      </w:r>
      <w:r w:rsidR="00990E2D">
        <w:rPr>
          <w:noProof/>
        </w:rPr>
        <w:fldChar w:fldCharType="end"/>
      </w:r>
      <w:bookmarkEnd w:id="248"/>
      <w:r>
        <w:tab/>
        <w:t xml:space="preserve">Členové asociací, platforem a dalších uskupení s potenciálem pro zapojení do bezpečnostního VaV. V tabulce jsou uvedeny pouze subjekty, které nebyly zapojeny </w:t>
      </w:r>
      <w:r w:rsidR="00713034">
        <w:t xml:space="preserve">v programech </w:t>
      </w:r>
      <w:r>
        <w:t>BV</w:t>
      </w:r>
      <w:r w:rsidR="00713034">
        <w:t xml:space="preserve">, RP ani </w:t>
      </w:r>
      <w:r>
        <w:t xml:space="preserve">v bezpečnostně zaměřených projektech </w:t>
      </w:r>
      <w:r w:rsidR="00713034">
        <w:t xml:space="preserve">podpořenými v programech </w:t>
      </w:r>
      <w:r>
        <w:t>jiný</w:t>
      </w:r>
      <w:r w:rsidR="00713034">
        <w:t>ch</w:t>
      </w:r>
      <w:r>
        <w:t xml:space="preserve"> poskytovatel</w:t>
      </w:r>
      <w:r w:rsidR="00713034">
        <w:t>ů</w:t>
      </w:r>
      <w:r>
        <w:t xml:space="preserve">. </w:t>
      </w:r>
      <w:r w:rsidR="00DE686B">
        <w:t>Zdroj: internetové stránky uvedených asociací a uskupení, internetové stránky konkrétních subje</w:t>
      </w:r>
      <w:r w:rsidR="00CC0706">
        <w:t>k</w:t>
      </w:r>
      <w:r w:rsidR="00DE686B">
        <w:t>tů.</w:t>
      </w:r>
    </w:p>
    <w:p w:rsidR="00F230F8" w:rsidRPr="003D2511" w:rsidRDefault="00713034" w:rsidP="00F230F8">
      <w:pPr>
        <w:jc w:val="center"/>
      </w:pPr>
      <w:r w:rsidRPr="00713034">
        <w:rPr>
          <w:noProof/>
          <w:lang w:eastAsia="cs-CZ"/>
        </w:rPr>
        <w:drawing>
          <wp:inline distT="0" distB="0" distL="0" distR="0" wp14:anchorId="4501FB5D" wp14:editId="7814E7D6">
            <wp:extent cx="5850890" cy="7593529"/>
            <wp:effectExtent l="0" t="0" r="0" b="7620"/>
            <wp:docPr id="71" name="Obrázek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5850890" cy="7593529"/>
                    </a:xfrm>
                    <a:prstGeom prst="rect">
                      <a:avLst/>
                    </a:prstGeom>
                    <a:noFill/>
                    <a:ln>
                      <a:noFill/>
                    </a:ln>
                  </pic:spPr>
                </pic:pic>
              </a:graphicData>
            </a:graphic>
          </wp:inline>
        </w:drawing>
      </w:r>
    </w:p>
    <w:p w:rsidR="003D2511" w:rsidRDefault="003D2511" w:rsidP="003D2511"/>
    <w:p w:rsidR="003D2511" w:rsidRDefault="003D2511" w:rsidP="003D2511"/>
    <w:p w:rsidR="003D2511" w:rsidRDefault="00713034" w:rsidP="003D2511">
      <w:pPr>
        <w:rPr>
          <w:lang w:eastAsia="cs-CZ"/>
        </w:rPr>
      </w:pPr>
      <w:r w:rsidRPr="00713034">
        <w:rPr>
          <w:noProof/>
          <w:lang w:eastAsia="cs-CZ"/>
        </w:rPr>
        <w:drawing>
          <wp:inline distT="0" distB="0" distL="0" distR="0" wp14:anchorId="550F00C4" wp14:editId="3B9D3B24">
            <wp:extent cx="5850890" cy="3872532"/>
            <wp:effectExtent l="0" t="0" r="0" b="0"/>
            <wp:docPr id="76" name="Obrázek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5850890" cy="3872532"/>
                    </a:xfrm>
                    <a:prstGeom prst="rect">
                      <a:avLst/>
                    </a:prstGeom>
                    <a:noFill/>
                    <a:ln>
                      <a:noFill/>
                    </a:ln>
                  </pic:spPr>
                </pic:pic>
              </a:graphicData>
            </a:graphic>
          </wp:inline>
        </w:drawing>
      </w:r>
    </w:p>
    <w:p w:rsidR="00E51795" w:rsidRDefault="00E51795" w:rsidP="003D2511">
      <w:pPr>
        <w:rPr>
          <w:lang w:eastAsia="cs-CZ"/>
        </w:rPr>
      </w:pPr>
    </w:p>
    <w:p w:rsidR="001171F6" w:rsidRDefault="001171F6" w:rsidP="00594CD0">
      <w:r>
        <w:rPr>
          <w:noProof/>
          <w:lang w:val="en-GB" w:eastAsia="en-GB"/>
        </w:rPr>
        <w:t>V databázích asociací a dalších uskupení využitých pro tyto účely bylo nalezeno více než 230 subjektů, jejichž aktivty souvisejí s problematikou večnosti. Více než polovina z nich (celkem 124 subjketů) splňovalo výše uvedená kritéria pro VaV. Přibližně polovina z těchto subjektů (celkem 64 subjektů) nebylo zapojeno do projektů BV.</w:t>
      </w:r>
    </w:p>
    <w:p w:rsidR="00594CD0" w:rsidRDefault="00594CD0" w:rsidP="00594CD0">
      <w:r>
        <w:t xml:space="preserve">Přehled v </w:t>
      </w:r>
      <w:r w:rsidRPr="003D2511">
        <w:t>tabulce není (a ani nemůže být) úplný, neboť informace (VaV kapacity, charakteristika podniků apod.) byly získány z omezeného počtu databází</w:t>
      </w:r>
      <w:r w:rsidR="001171F6">
        <w:t xml:space="preserve"> a veřejně dostupných informací</w:t>
      </w:r>
      <w:r w:rsidRPr="003D2511">
        <w:t xml:space="preserve"> na internetu. Ze stejného důvodu se mohou v tabulce objevit subjekty, jejichž aktivity se problematiky bezpečnosti týkají jen </w:t>
      </w:r>
      <w:r w:rsidR="002811CB">
        <w:t>okrajov</w:t>
      </w:r>
      <w:r w:rsidRPr="003D2511">
        <w:t>ě nebo které ve skutečnosti VaV kapacitami nedisponují.</w:t>
      </w:r>
    </w:p>
    <w:p w:rsidR="003934E7" w:rsidRPr="003934E7" w:rsidRDefault="003934E7" w:rsidP="003934E7">
      <w:r w:rsidRPr="003934E7">
        <w:t xml:space="preserve">Během workshopu byla experty uvedena další </w:t>
      </w:r>
      <w:r w:rsidR="00256BCF">
        <w:t>VO</w:t>
      </w:r>
      <w:r w:rsidRPr="003934E7">
        <w:t xml:space="preserve"> s významným potenciálem pro BV:</w:t>
      </w:r>
    </w:p>
    <w:p w:rsidR="003934E7" w:rsidRPr="003934E7" w:rsidRDefault="003934E7" w:rsidP="00256BCF">
      <w:pPr>
        <w:numPr>
          <w:ilvl w:val="0"/>
          <w:numId w:val="23"/>
        </w:numPr>
      </w:pPr>
      <w:r w:rsidRPr="003934E7">
        <w:t>Ústa</w:t>
      </w:r>
      <w:r>
        <w:t>v experimentální medicíny AV ČR;</w:t>
      </w:r>
    </w:p>
    <w:p w:rsidR="003934E7" w:rsidRPr="003934E7" w:rsidRDefault="003934E7" w:rsidP="00256BCF">
      <w:pPr>
        <w:numPr>
          <w:ilvl w:val="0"/>
          <w:numId w:val="23"/>
        </w:numPr>
      </w:pPr>
      <w:r w:rsidRPr="003934E7">
        <w:t>Ústav organické chemie a biologie AV ČR</w:t>
      </w:r>
      <w:r>
        <w:t>;</w:t>
      </w:r>
    </w:p>
    <w:p w:rsidR="003934E7" w:rsidRPr="003934E7" w:rsidRDefault="003934E7" w:rsidP="00256BCF">
      <w:pPr>
        <w:numPr>
          <w:ilvl w:val="0"/>
          <w:numId w:val="23"/>
        </w:numPr>
      </w:pPr>
      <w:r>
        <w:t>Mikrobiologický ústav AV ČR;</w:t>
      </w:r>
    </w:p>
    <w:p w:rsidR="003934E7" w:rsidRPr="003934E7" w:rsidRDefault="003934E7" w:rsidP="00256BCF">
      <w:pPr>
        <w:numPr>
          <w:ilvl w:val="0"/>
          <w:numId w:val="23"/>
        </w:numPr>
      </w:pPr>
      <w:r w:rsidRPr="00BD14D8">
        <w:t>C4E</w:t>
      </w:r>
      <w:r w:rsidRPr="003934E7">
        <w:t xml:space="preserve"> – Centrum excelence pro kybernetickou kriminalitu, MU Brno</w:t>
      </w:r>
    </w:p>
    <w:p w:rsidR="003934E7" w:rsidRDefault="003934E7" w:rsidP="00256BCF">
      <w:pPr>
        <w:numPr>
          <w:ilvl w:val="0"/>
          <w:numId w:val="23"/>
        </w:numPr>
      </w:pPr>
      <w:r w:rsidRPr="003934E7">
        <w:t>Ústav technické a experimentální fyziky, ČVUT Praha</w:t>
      </w:r>
      <w:r>
        <w:t>.</w:t>
      </w:r>
    </w:p>
    <w:p w:rsidR="003934E7" w:rsidRPr="003934E7" w:rsidRDefault="003934E7" w:rsidP="003934E7">
      <w:r>
        <w:t>Některá z těchto center jsou již zapojena v programech BV v gesci MV.</w:t>
      </w:r>
    </w:p>
    <w:p w:rsidR="00E51795" w:rsidRDefault="00E51795" w:rsidP="003D2511">
      <w:pPr>
        <w:rPr>
          <w:lang w:eastAsia="cs-CZ"/>
        </w:rPr>
      </w:pPr>
    </w:p>
    <w:p w:rsidR="00C656AC" w:rsidRDefault="003033F4" w:rsidP="001171F6">
      <w:pPr>
        <w:pStyle w:val="Nadpis2"/>
      </w:pPr>
      <w:bookmarkStart w:id="249" w:name="_Toc459723333"/>
      <w:r>
        <w:t>P</w:t>
      </w:r>
      <w:r w:rsidRPr="003033F4">
        <w:t>otenciál subjektů, které působí v oblasti zkušebnictví, analýz, testování, certifikací</w:t>
      </w:r>
      <w:bookmarkEnd w:id="249"/>
    </w:p>
    <w:tbl>
      <w:tblPr>
        <w:tblW w:w="0" w:type="auto"/>
        <w:tblLook w:val="04A0" w:firstRow="1" w:lastRow="0" w:firstColumn="1" w:lastColumn="0" w:noHBand="0" w:noVBand="1"/>
      </w:tblPr>
      <w:tblGrid>
        <w:gridCol w:w="9354"/>
      </w:tblGrid>
      <w:tr w:rsidR="00162C8F" w:rsidTr="001D5000">
        <w:tc>
          <w:tcPr>
            <w:tcW w:w="9354"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162C8F" w:rsidRDefault="000D015C" w:rsidP="001171F6">
            <w:pPr>
              <w:keepNext/>
              <w:rPr>
                <w:lang w:eastAsia="cs-CZ"/>
              </w:rPr>
            </w:pPr>
            <w:r>
              <w:rPr>
                <w:lang w:eastAsia="cs-CZ"/>
              </w:rPr>
              <w:t>V ČR existuje řada subjektů, které sice nemají potenciál pro přímé zapojení do BV, avšak mohou provádět další činnosti, které jsou pro úspěšnou realizaci projektů BV nezbytné nebo které mohou jejich realizaci výrazně napomoci. M</w:t>
            </w:r>
            <w:r w:rsidR="00EE0DBC">
              <w:rPr>
                <w:lang w:eastAsia="cs-CZ"/>
              </w:rPr>
              <w:t>ezi tyto činnosti patří zejména ověřování výsledků BV, jejich certifikace, kalibrace a testování, provádění speciálních analýz, zpracování odborných posudků a stanovisek, realizace zkušebního provozu apod.</w:t>
            </w:r>
          </w:p>
        </w:tc>
      </w:tr>
    </w:tbl>
    <w:p w:rsidR="005F4820" w:rsidRDefault="000F3591" w:rsidP="005F4820">
      <w:pPr>
        <w:rPr>
          <w:lang w:eastAsia="cs-CZ"/>
        </w:rPr>
      </w:pPr>
      <w:r>
        <w:rPr>
          <w:lang w:eastAsia="cs-CZ"/>
        </w:rPr>
        <w:t>V této kapitole je vyhodnocen potenciál pracovišť, jejichž primární činnost není VaV, ale realizace činností, které na VaV navazují nebo s ním souvisejí, jako jsou akreditované laboratoře, zkušební a certifikační ústavy, soudní (soudně-znalecké) ústavy apod.</w:t>
      </w:r>
      <w:r w:rsidR="0014254E">
        <w:rPr>
          <w:lang w:eastAsia="cs-CZ"/>
        </w:rPr>
        <w:t xml:space="preserve"> </w:t>
      </w:r>
      <w:r w:rsidR="005F4820">
        <w:rPr>
          <w:lang w:eastAsia="cs-CZ"/>
        </w:rPr>
        <w:t>Přehled pracovišť</w:t>
      </w:r>
      <w:r w:rsidR="00EF00C7">
        <w:rPr>
          <w:lang w:eastAsia="cs-CZ"/>
        </w:rPr>
        <w:t xml:space="preserve">, která jsou v této kapitole uvedena, </w:t>
      </w:r>
      <w:r w:rsidR="005F4820">
        <w:rPr>
          <w:lang w:eastAsia="cs-CZ"/>
        </w:rPr>
        <w:t xml:space="preserve">vychází z databází asociací, platforem a obdobných uskupení, údajů z internetu a dalších dostupných zdrojů. </w:t>
      </w:r>
      <w:r w:rsidR="0014254E">
        <w:rPr>
          <w:lang w:eastAsia="cs-CZ"/>
        </w:rPr>
        <w:t xml:space="preserve">Některá z těchto pracovišť, která spadají do této skupiny, se také účastní projektů </w:t>
      </w:r>
      <w:r w:rsidR="00EF00C7">
        <w:rPr>
          <w:lang w:eastAsia="cs-CZ"/>
        </w:rPr>
        <w:t>BV</w:t>
      </w:r>
      <w:r w:rsidR="0014254E">
        <w:rPr>
          <w:lang w:eastAsia="cs-CZ"/>
        </w:rPr>
        <w:t xml:space="preserve"> nebo mají potenciál se do bezpečnostně zaměřeného VaV zapojit.</w:t>
      </w:r>
      <w:r w:rsidR="005F4820">
        <w:rPr>
          <w:lang w:eastAsia="cs-CZ"/>
        </w:rPr>
        <w:t xml:space="preserve"> Tyto subjekty jsou zmiňovány v konkrétních souvislostech </w:t>
      </w:r>
      <w:r w:rsidR="0014254E">
        <w:rPr>
          <w:lang w:eastAsia="cs-CZ"/>
        </w:rPr>
        <w:t xml:space="preserve">i </w:t>
      </w:r>
      <w:r w:rsidR="005F4820">
        <w:rPr>
          <w:lang w:eastAsia="cs-CZ"/>
        </w:rPr>
        <w:t xml:space="preserve">v </w:t>
      </w:r>
      <w:r w:rsidR="0014254E">
        <w:rPr>
          <w:lang w:eastAsia="cs-CZ"/>
        </w:rPr>
        <w:t>předcházející</w:t>
      </w:r>
      <w:r w:rsidR="005F4820">
        <w:rPr>
          <w:lang w:eastAsia="cs-CZ"/>
        </w:rPr>
        <w:t>ch částech studie.</w:t>
      </w:r>
    </w:p>
    <w:p w:rsidR="005F4820" w:rsidRDefault="00EF00C7" w:rsidP="005F4820">
      <w:pPr>
        <w:rPr>
          <w:lang w:eastAsia="cs-CZ"/>
        </w:rPr>
      </w:pPr>
      <w:r>
        <w:rPr>
          <w:lang w:eastAsia="cs-CZ"/>
        </w:rPr>
        <w:t>S</w:t>
      </w:r>
      <w:r w:rsidR="005F4820">
        <w:rPr>
          <w:lang w:eastAsia="cs-CZ"/>
        </w:rPr>
        <w:t>ubjekty</w:t>
      </w:r>
      <w:r>
        <w:rPr>
          <w:lang w:eastAsia="cs-CZ"/>
        </w:rPr>
        <w:t xml:space="preserve"> </w:t>
      </w:r>
      <w:r w:rsidRPr="00EF00C7">
        <w:rPr>
          <w:lang w:eastAsia="cs-CZ"/>
        </w:rPr>
        <w:t>působí</w:t>
      </w:r>
      <w:r>
        <w:rPr>
          <w:lang w:eastAsia="cs-CZ"/>
        </w:rPr>
        <w:t>cí</w:t>
      </w:r>
      <w:r w:rsidRPr="00EF00C7">
        <w:rPr>
          <w:lang w:eastAsia="cs-CZ"/>
        </w:rPr>
        <w:t xml:space="preserve"> v oblasti zkušebnictví, analýz, testování, certifikací</w:t>
      </w:r>
      <w:r w:rsidR="005F4820">
        <w:rPr>
          <w:lang w:eastAsia="cs-CZ"/>
        </w:rPr>
        <w:t xml:space="preserve"> </w:t>
      </w:r>
      <w:r>
        <w:rPr>
          <w:lang w:eastAsia="cs-CZ"/>
        </w:rPr>
        <w:t xml:space="preserve">apod. jsou pro přehlednost </w:t>
      </w:r>
      <w:r w:rsidR="005F4820">
        <w:rPr>
          <w:lang w:eastAsia="cs-CZ"/>
        </w:rPr>
        <w:t xml:space="preserve">rozděleny do </w:t>
      </w:r>
      <w:r>
        <w:rPr>
          <w:lang w:eastAsia="cs-CZ"/>
        </w:rPr>
        <w:t>následujících</w:t>
      </w:r>
      <w:r w:rsidR="005F4820">
        <w:rPr>
          <w:lang w:eastAsia="cs-CZ"/>
        </w:rPr>
        <w:t xml:space="preserve"> skupin:</w:t>
      </w:r>
    </w:p>
    <w:p w:rsidR="00BC371E" w:rsidRDefault="00BC371E" w:rsidP="004F74B7">
      <w:pPr>
        <w:pStyle w:val="Odstavecseseznamem"/>
        <w:numPr>
          <w:ilvl w:val="0"/>
          <w:numId w:val="9"/>
        </w:numPr>
        <w:ind w:left="714" w:hanging="357"/>
        <w:contextualSpacing w:val="0"/>
        <w:rPr>
          <w:lang w:eastAsia="cs-CZ"/>
        </w:rPr>
      </w:pPr>
      <w:r w:rsidRPr="00BC371E">
        <w:rPr>
          <w:lang w:eastAsia="cs-CZ"/>
        </w:rPr>
        <w:t>Forenzní pracoviště a laboratoře, soudní a znalecké ústavy apod.</w:t>
      </w:r>
      <w:r w:rsidR="007C28F3">
        <w:rPr>
          <w:lang w:eastAsia="cs-CZ"/>
        </w:rPr>
        <w:t xml:space="preserve"> (kap. </w:t>
      </w:r>
      <w:r w:rsidR="007C28F3">
        <w:rPr>
          <w:lang w:eastAsia="cs-CZ"/>
        </w:rPr>
        <w:fldChar w:fldCharType="begin"/>
      </w:r>
      <w:r w:rsidR="007C28F3">
        <w:rPr>
          <w:lang w:eastAsia="cs-CZ"/>
        </w:rPr>
        <w:instrText xml:space="preserve"> REF _Ref453775139 \r \h </w:instrText>
      </w:r>
      <w:r w:rsidR="007C28F3">
        <w:rPr>
          <w:lang w:eastAsia="cs-CZ"/>
        </w:rPr>
      </w:r>
      <w:r w:rsidR="007C28F3">
        <w:rPr>
          <w:lang w:eastAsia="cs-CZ"/>
        </w:rPr>
        <w:fldChar w:fldCharType="separate"/>
      </w:r>
      <w:r w:rsidR="003F08E5">
        <w:rPr>
          <w:lang w:eastAsia="cs-CZ"/>
        </w:rPr>
        <w:t>5.3.1</w:t>
      </w:r>
      <w:r w:rsidR="007C28F3">
        <w:rPr>
          <w:lang w:eastAsia="cs-CZ"/>
        </w:rPr>
        <w:fldChar w:fldCharType="end"/>
      </w:r>
      <w:r w:rsidR="007C28F3">
        <w:rPr>
          <w:lang w:eastAsia="cs-CZ"/>
        </w:rPr>
        <w:t>)</w:t>
      </w:r>
      <w:r>
        <w:rPr>
          <w:lang w:eastAsia="cs-CZ"/>
        </w:rPr>
        <w:t>;</w:t>
      </w:r>
    </w:p>
    <w:p w:rsidR="00BC371E" w:rsidRDefault="00BC371E" w:rsidP="004F74B7">
      <w:pPr>
        <w:pStyle w:val="Odstavecseseznamem"/>
        <w:numPr>
          <w:ilvl w:val="0"/>
          <w:numId w:val="9"/>
        </w:numPr>
        <w:ind w:left="714" w:hanging="357"/>
        <w:contextualSpacing w:val="0"/>
        <w:rPr>
          <w:lang w:eastAsia="cs-CZ"/>
        </w:rPr>
      </w:pPr>
      <w:r w:rsidRPr="00BC371E">
        <w:rPr>
          <w:lang w:eastAsia="cs-CZ"/>
        </w:rPr>
        <w:t>Státní úřady a jejich součásti, technické a zkušební ústavy, instituce zabývající se problematikou bezpečnosti</w:t>
      </w:r>
      <w:r w:rsidR="007C28F3">
        <w:rPr>
          <w:lang w:eastAsia="cs-CZ"/>
        </w:rPr>
        <w:t xml:space="preserve"> (kap.</w:t>
      </w:r>
      <w:r w:rsidR="000D015C">
        <w:rPr>
          <w:lang w:eastAsia="cs-CZ"/>
        </w:rPr>
        <w:t xml:space="preserve"> </w:t>
      </w:r>
      <w:r w:rsidR="000D015C">
        <w:rPr>
          <w:lang w:eastAsia="cs-CZ"/>
        </w:rPr>
        <w:fldChar w:fldCharType="begin"/>
      </w:r>
      <w:r w:rsidR="000D015C">
        <w:rPr>
          <w:lang w:eastAsia="cs-CZ"/>
        </w:rPr>
        <w:instrText xml:space="preserve"> REF _Ref454181866 \r \h </w:instrText>
      </w:r>
      <w:r w:rsidR="000D015C">
        <w:rPr>
          <w:lang w:eastAsia="cs-CZ"/>
        </w:rPr>
      </w:r>
      <w:r w:rsidR="000D015C">
        <w:rPr>
          <w:lang w:eastAsia="cs-CZ"/>
        </w:rPr>
        <w:fldChar w:fldCharType="separate"/>
      </w:r>
      <w:r w:rsidR="003F08E5">
        <w:rPr>
          <w:lang w:eastAsia="cs-CZ"/>
        </w:rPr>
        <w:t>5.3.2</w:t>
      </w:r>
      <w:r w:rsidR="000D015C">
        <w:rPr>
          <w:lang w:eastAsia="cs-CZ"/>
        </w:rPr>
        <w:fldChar w:fldCharType="end"/>
      </w:r>
      <w:r w:rsidR="007C28F3">
        <w:rPr>
          <w:lang w:eastAsia="cs-CZ"/>
        </w:rPr>
        <w:t>)</w:t>
      </w:r>
      <w:r>
        <w:rPr>
          <w:lang w:eastAsia="cs-CZ"/>
        </w:rPr>
        <w:t>;</w:t>
      </w:r>
    </w:p>
    <w:p w:rsidR="00BC371E" w:rsidRDefault="00BC371E" w:rsidP="004F74B7">
      <w:pPr>
        <w:pStyle w:val="Odstavecseseznamem"/>
        <w:numPr>
          <w:ilvl w:val="0"/>
          <w:numId w:val="9"/>
        </w:numPr>
        <w:ind w:left="714" w:hanging="357"/>
        <w:contextualSpacing w:val="0"/>
        <w:rPr>
          <w:lang w:eastAsia="cs-CZ"/>
        </w:rPr>
      </w:pPr>
      <w:r w:rsidRPr="00BC371E">
        <w:rPr>
          <w:lang w:eastAsia="cs-CZ"/>
        </w:rPr>
        <w:t>Výzkumná pracoviště provádějící služby v oblasti zkušebnictví</w:t>
      </w:r>
      <w:r w:rsidR="007C28F3">
        <w:rPr>
          <w:lang w:eastAsia="cs-CZ"/>
        </w:rPr>
        <w:t xml:space="preserve"> (kap. </w:t>
      </w:r>
      <w:r w:rsidR="007C28F3">
        <w:rPr>
          <w:lang w:eastAsia="cs-CZ"/>
        </w:rPr>
        <w:fldChar w:fldCharType="begin"/>
      </w:r>
      <w:r w:rsidR="007C28F3">
        <w:rPr>
          <w:lang w:eastAsia="cs-CZ"/>
        </w:rPr>
        <w:instrText xml:space="preserve"> REF _Ref453775159 \r \h </w:instrText>
      </w:r>
      <w:r w:rsidR="007C28F3">
        <w:rPr>
          <w:lang w:eastAsia="cs-CZ"/>
        </w:rPr>
      </w:r>
      <w:r w:rsidR="007C28F3">
        <w:rPr>
          <w:lang w:eastAsia="cs-CZ"/>
        </w:rPr>
        <w:fldChar w:fldCharType="separate"/>
      </w:r>
      <w:r w:rsidR="003F08E5">
        <w:rPr>
          <w:lang w:eastAsia="cs-CZ"/>
        </w:rPr>
        <w:t>5.3.3</w:t>
      </w:r>
      <w:r w:rsidR="007C28F3">
        <w:rPr>
          <w:lang w:eastAsia="cs-CZ"/>
        </w:rPr>
        <w:fldChar w:fldCharType="end"/>
      </w:r>
      <w:r w:rsidR="007C28F3">
        <w:rPr>
          <w:lang w:eastAsia="cs-CZ"/>
        </w:rPr>
        <w:t>)</w:t>
      </w:r>
      <w:r>
        <w:rPr>
          <w:lang w:eastAsia="cs-CZ"/>
        </w:rPr>
        <w:t>;</w:t>
      </w:r>
    </w:p>
    <w:p w:rsidR="00BC371E" w:rsidRDefault="00BC371E" w:rsidP="004F74B7">
      <w:pPr>
        <w:pStyle w:val="Odstavecseseznamem"/>
        <w:numPr>
          <w:ilvl w:val="0"/>
          <w:numId w:val="9"/>
        </w:numPr>
        <w:ind w:left="714" w:hanging="357"/>
        <w:contextualSpacing w:val="0"/>
        <w:rPr>
          <w:lang w:eastAsia="cs-CZ"/>
        </w:rPr>
      </w:pPr>
      <w:r w:rsidRPr="00BC371E">
        <w:rPr>
          <w:lang w:eastAsia="cs-CZ"/>
        </w:rPr>
        <w:t>Podniky provádějící služby v oblasti zkušebnictví</w:t>
      </w:r>
      <w:r w:rsidR="007C28F3">
        <w:rPr>
          <w:lang w:eastAsia="cs-CZ"/>
        </w:rPr>
        <w:t xml:space="preserve"> (kap. </w:t>
      </w:r>
      <w:r w:rsidR="007C28F3">
        <w:rPr>
          <w:lang w:eastAsia="cs-CZ"/>
        </w:rPr>
        <w:fldChar w:fldCharType="begin"/>
      </w:r>
      <w:r w:rsidR="007C28F3">
        <w:rPr>
          <w:lang w:eastAsia="cs-CZ"/>
        </w:rPr>
        <w:instrText xml:space="preserve"> REF _Ref453775167 \r \h </w:instrText>
      </w:r>
      <w:r w:rsidR="007C28F3">
        <w:rPr>
          <w:lang w:eastAsia="cs-CZ"/>
        </w:rPr>
      </w:r>
      <w:r w:rsidR="007C28F3">
        <w:rPr>
          <w:lang w:eastAsia="cs-CZ"/>
        </w:rPr>
        <w:fldChar w:fldCharType="separate"/>
      </w:r>
      <w:r w:rsidR="003F08E5">
        <w:rPr>
          <w:lang w:eastAsia="cs-CZ"/>
        </w:rPr>
        <w:t>5.3.4</w:t>
      </w:r>
      <w:r w:rsidR="007C28F3">
        <w:rPr>
          <w:lang w:eastAsia="cs-CZ"/>
        </w:rPr>
        <w:fldChar w:fldCharType="end"/>
      </w:r>
      <w:r w:rsidR="007C28F3">
        <w:rPr>
          <w:lang w:eastAsia="cs-CZ"/>
        </w:rPr>
        <w:t>)</w:t>
      </w:r>
      <w:r>
        <w:rPr>
          <w:lang w:eastAsia="cs-CZ"/>
        </w:rPr>
        <w:t>.</w:t>
      </w:r>
    </w:p>
    <w:p w:rsidR="00BC371E" w:rsidRDefault="005F4820" w:rsidP="000F3591">
      <w:pPr>
        <w:rPr>
          <w:lang w:eastAsia="cs-CZ"/>
        </w:rPr>
      </w:pPr>
      <w:r>
        <w:rPr>
          <w:lang w:eastAsia="cs-CZ"/>
        </w:rPr>
        <w:t>Vzhledem k tomu, že rešerše veřejně dostupných zdrojů nemůže identifikovat všechny subjekty, které se mohou do činností souvisejících se zkušebnictvím, certifikací, evaluací výsledků apod. zapojit, byly získané údaje získané doplněny o informace z</w:t>
      </w:r>
      <w:r w:rsidR="0014254E">
        <w:rPr>
          <w:lang w:eastAsia="cs-CZ"/>
        </w:rPr>
        <w:t> </w:t>
      </w:r>
      <w:r>
        <w:rPr>
          <w:lang w:eastAsia="cs-CZ"/>
        </w:rPr>
        <w:t>dotazníkového</w:t>
      </w:r>
      <w:r w:rsidR="0014254E">
        <w:rPr>
          <w:lang w:eastAsia="cs-CZ"/>
        </w:rPr>
        <w:t xml:space="preserve"> šetření</w:t>
      </w:r>
      <w:r>
        <w:rPr>
          <w:lang w:eastAsia="cs-CZ"/>
        </w:rPr>
        <w:t xml:space="preserve"> a </w:t>
      </w:r>
      <w:r w:rsidR="0014254E">
        <w:rPr>
          <w:lang w:eastAsia="cs-CZ"/>
        </w:rPr>
        <w:t xml:space="preserve">z informací poskytnutých experty během workshopu </w:t>
      </w:r>
      <w:r>
        <w:rPr>
          <w:lang w:eastAsia="cs-CZ"/>
        </w:rPr>
        <w:t xml:space="preserve">(kap. </w:t>
      </w:r>
      <w:r w:rsidR="007C28F3">
        <w:rPr>
          <w:lang w:eastAsia="cs-CZ"/>
        </w:rPr>
        <w:fldChar w:fldCharType="begin"/>
      </w:r>
      <w:r w:rsidR="007C28F3">
        <w:rPr>
          <w:lang w:eastAsia="cs-CZ"/>
        </w:rPr>
        <w:instrText xml:space="preserve"> REF _Ref453775127 \r \h </w:instrText>
      </w:r>
      <w:r w:rsidR="007C28F3">
        <w:rPr>
          <w:lang w:eastAsia="cs-CZ"/>
        </w:rPr>
      </w:r>
      <w:r w:rsidR="007C28F3">
        <w:rPr>
          <w:lang w:eastAsia="cs-CZ"/>
        </w:rPr>
        <w:fldChar w:fldCharType="separate"/>
      </w:r>
      <w:r w:rsidR="003F08E5">
        <w:rPr>
          <w:lang w:eastAsia="cs-CZ"/>
        </w:rPr>
        <w:t>5.3.5</w:t>
      </w:r>
      <w:r w:rsidR="007C28F3">
        <w:rPr>
          <w:lang w:eastAsia="cs-CZ"/>
        </w:rPr>
        <w:fldChar w:fldCharType="end"/>
      </w:r>
      <w:r>
        <w:rPr>
          <w:lang w:eastAsia="cs-CZ"/>
        </w:rPr>
        <w:t>).</w:t>
      </w:r>
      <w:r w:rsidR="0014254E">
        <w:rPr>
          <w:lang w:eastAsia="cs-CZ"/>
        </w:rPr>
        <w:t xml:space="preserve"> </w:t>
      </w:r>
      <w:r w:rsidR="007C28F3">
        <w:rPr>
          <w:lang w:eastAsia="cs-CZ"/>
        </w:rPr>
        <w:t>Detailnější informace o uvedených subjektech lze nalézt v samostatném přílohovém dokumentu.</w:t>
      </w:r>
    </w:p>
    <w:p w:rsidR="0027643D" w:rsidRDefault="0027643D" w:rsidP="006E4036">
      <w:pPr>
        <w:pStyle w:val="Nadpis3"/>
      </w:pPr>
      <w:bookmarkStart w:id="250" w:name="_Ref453775139"/>
      <w:bookmarkStart w:id="251" w:name="_Toc459723334"/>
      <w:r>
        <w:t>Forenzní pracoviště a laboratoře, soudní a znalecké ústavy apod.</w:t>
      </w:r>
      <w:bookmarkEnd w:id="250"/>
      <w:bookmarkEnd w:id="251"/>
    </w:p>
    <w:tbl>
      <w:tblPr>
        <w:tblW w:w="0" w:type="auto"/>
        <w:tblLook w:val="04A0" w:firstRow="1" w:lastRow="0" w:firstColumn="1" w:lastColumn="0" w:noHBand="0" w:noVBand="1"/>
      </w:tblPr>
      <w:tblGrid>
        <w:gridCol w:w="9354"/>
      </w:tblGrid>
      <w:tr w:rsidR="00EE0DBC" w:rsidTr="001D5000">
        <w:tc>
          <w:tcPr>
            <w:tcW w:w="9354"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EE0DBC" w:rsidRDefault="00EE0DBC" w:rsidP="008E29DC">
            <w:pPr>
              <w:rPr>
                <w:lang w:eastAsia="cs-CZ"/>
              </w:rPr>
            </w:pPr>
            <w:r>
              <w:rPr>
                <w:lang w:eastAsia="cs-CZ"/>
              </w:rPr>
              <w:t xml:space="preserve">Významný potenciál pro uvedené účely mají forenzní laboratoře, soudních ústavy a další instituce, jejichž aktivity lze využít pro forenzní účely. S využitím dostupných zdrojů se podařilo nalézt více než </w:t>
            </w:r>
            <w:r w:rsidR="008E29DC">
              <w:rPr>
                <w:lang w:eastAsia="cs-CZ"/>
              </w:rPr>
              <w:t>dvacet</w:t>
            </w:r>
            <w:r>
              <w:rPr>
                <w:lang w:eastAsia="cs-CZ"/>
              </w:rPr>
              <w:t xml:space="preserve"> takto zaměřených pracovišť, které pokrývají široké spektrum obor</w:t>
            </w:r>
            <w:r w:rsidR="008E29DC">
              <w:rPr>
                <w:lang w:eastAsia="cs-CZ"/>
              </w:rPr>
              <w:t>ů</w:t>
            </w:r>
            <w:r>
              <w:rPr>
                <w:lang w:eastAsia="cs-CZ"/>
              </w:rPr>
              <w:t xml:space="preserve">. </w:t>
            </w:r>
            <w:r w:rsidRPr="00EE0DBC">
              <w:rPr>
                <w:lang w:eastAsia="cs-CZ"/>
              </w:rPr>
              <w:t xml:space="preserve">Významný potenciál pro BV má zejména Kriminalistický ústav Policie ČR, který je zapojen do </w:t>
            </w:r>
            <w:r w:rsidR="00741683">
              <w:rPr>
                <w:lang w:eastAsia="cs-CZ"/>
              </w:rPr>
              <w:t>programů BV a</w:t>
            </w:r>
            <w:r w:rsidRPr="00EE0DBC">
              <w:rPr>
                <w:lang w:eastAsia="cs-CZ"/>
              </w:rPr>
              <w:t xml:space="preserve"> zároveň zajišťuje expertízy z širokého spektra oborů.</w:t>
            </w:r>
            <w:r w:rsidR="00741683">
              <w:rPr>
                <w:lang w:eastAsia="cs-CZ"/>
              </w:rPr>
              <w:t xml:space="preserve"> Silně zastoupeným oborem ve forenzních službách jsou lékařské vědy (forenzní genetika, analýzy DNA, soudně-lékařské služby). Forenzní pracoviště působí také v oblasti kybernetiky, informačních technologií i v technických oborech (doprava, </w:t>
            </w:r>
            <w:r w:rsidR="00741683" w:rsidRPr="00F06AFC">
              <w:rPr>
                <w:lang w:eastAsia="cs-CZ"/>
              </w:rPr>
              <w:t>stavebnictví, strojírenství</w:t>
            </w:r>
            <w:r w:rsidR="00741683">
              <w:rPr>
                <w:lang w:eastAsia="cs-CZ"/>
              </w:rPr>
              <w:t>).</w:t>
            </w:r>
          </w:p>
        </w:tc>
      </w:tr>
    </w:tbl>
    <w:p w:rsidR="00C529CE" w:rsidRDefault="004C1A17" w:rsidP="00C529CE">
      <w:pPr>
        <w:rPr>
          <w:lang w:eastAsia="cs-CZ"/>
        </w:rPr>
      </w:pPr>
      <w:r>
        <w:rPr>
          <w:lang w:eastAsia="cs-CZ"/>
        </w:rPr>
        <w:t xml:space="preserve">S využitím dostupných zdrojů se podařilo nalézt </w:t>
      </w:r>
      <w:r w:rsidR="004B59A5">
        <w:rPr>
          <w:lang w:eastAsia="cs-CZ"/>
        </w:rPr>
        <w:t xml:space="preserve">více než 20 forenzních pracovišť, laboratoří, soudních a dalších ústavů, jejichž aktivity lze využít pro forenzní účely. </w:t>
      </w:r>
      <w:r w:rsidR="00337E99">
        <w:rPr>
          <w:lang w:eastAsia="cs-CZ"/>
        </w:rPr>
        <w:t xml:space="preserve">Základní informace o těchto pracovištích a jejich zaměření jsou uvedeny </w:t>
      </w:r>
      <w:r w:rsidR="004B59A5">
        <w:rPr>
          <w:lang w:eastAsia="cs-CZ"/>
        </w:rPr>
        <w:t xml:space="preserve">v </w:t>
      </w:r>
      <w:r w:rsidR="0022657C">
        <w:rPr>
          <w:lang w:eastAsia="cs-CZ"/>
        </w:rPr>
        <w:fldChar w:fldCharType="begin"/>
      </w:r>
      <w:r w:rsidR="0022657C">
        <w:rPr>
          <w:lang w:eastAsia="cs-CZ"/>
        </w:rPr>
        <w:instrText xml:space="preserve"> REF  _Ref453836629 \* Lower \h  \* MERGEFORMAT </w:instrText>
      </w:r>
      <w:r w:rsidR="0022657C">
        <w:rPr>
          <w:lang w:eastAsia="cs-CZ"/>
        </w:rPr>
      </w:r>
      <w:r w:rsidR="0022657C">
        <w:rPr>
          <w:lang w:eastAsia="cs-CZ"/>
        </w:rPr>
        <w:fldChar w:fldCharType="separate"/>
      </w:r>
      <w:r w:rsidR="003F08E5">
        <w:t xml:space="preserve">tab. </w:t>
      </w:r>
      <w:r w:rsidR="003F08E5">
        <w:rPr>
          <w:noProof/>
        </w:rPr>
        <w:t>69</w:t>
      </w:r>
      <w:r w:rsidR="0022657C">
        <w:rPr>
          <w:lang w:eastAsia="cs-CZ"/>
        </w:rPr>
        <w:fldChar w:fldCharType="end"/>
      </w:r>
      <w:r w:rsidR="004B59A5">
        <w:rPr>
          <w:lang w:eastAsia="cs-CZ"/>
        </w:rPr>
        <w:t>.</w:t>
      </w:r>
    </w:p>
    <w:p w:rsidR="0022657C" w:rsidRDefault="007E5F28" w:rsidP="00C529CE">
      <w:pPr>
        <w:rPr>
          <w:lang w:eastAsia="cs-CZ"/>
        </w:rPr>
      </w:pPr>
      <w:r>
        <w:rPr>
          <w:lang w:eastAsia="cs-CZ"/>
        </w:rPr>
        <w:t xml:space="preserve">Významný potenciál pro BV má zejména Kriminalistický ústav Policie ČR, který je </w:t>
      </w:r>
      <w:r w:rsidR="0054347A">
        <w:rPr>
          <w:lang w:eastAsia="cs-CZ"/>
        </w:rPr>
        <w:t>nejenom</w:t>
      </w:r>
      <w:r>
        <w:rPr>
          <w:lang w:eastAsia="cs-CZ"/>
        </w:rPr>
        <w:t xml:space="preserve"> intenzivně zapojen do bezpečnostně zaměřeného VaV v programech M</w:t>
      </w:r>
      <w:r w:rsidR="0054347A">
        <w:rPr>
          <w:lang w:eastAsia="cs-CZ"/>
        </w:rPr>
        <w:t>V</w:t>
      </w:r>
      <w:r>
        <w:rPr>
          <w:lang w:eastAsia="cs-CZ"/>
        </w:rPr>
        <w:t xml:space="preserve"> (viz kap. </w:t>
      </w:r>
      <w:r w:rsidR="001704BE">
        <w:rPr>
          <w:lang w:eastAsia="cs-CZ"/>
        </w:rPr>
        <w:fldChar w:fldCharType="begin"/>
      </w:r>
      <w:r w:rsidR="001704BE">
        <w:rPr>
          <w:lang w:eastAsia="cs-CZ"/>
        </w:rPr>
        <w:instrText xml:space="preserve"> REF _Ref451239755 \r \h </w:instrText>
      </w:r>
      <w:r w:rsidR="001704BE">
        <w:rPr>
          <w:lang w:eastAsia="cs-CZ"/>
        </w:rPr>
      </w:r>
      <w:r w:rsidR="001704BE">
        <w:rPr>
          <w:lang w:eastAsia="cs-CZ"/>
        </w:rPr>
        <w:fldChar w:fldCharType="separate"/>
      </w:r>
      <w:r w:rsidR="003F08E5">
        <w:rPr>
          <w:lang w:eastAsia="cs-CZ"/>
        </w:rPr>
        <w:t>2.2.2.1</w:t>
      </w:r>
      <w:r w:rsidR="001704BE">
        <w:rPr>
          <w:lang w:eastAsia="cs-CZ"/>
        </w:rPr>
        <w:fldChar w:fldCharType="end"/>
      </w:r>
      <w:r>
        <w:rPr>
          <w:lang w:eastAsia="cs-CZ"/>
        </w:rPr>
        <w:t>)</w:t>
      </w:r>
      <w:r w:rsidR="0054347A">
        <w:rPr>
          <w:lang w:eastAsia="cs-CZ"/>
        </w:rPr>
        <w:t xml:space="preserve">, ale zároveň zajišťuje expertízy z širokého spektra oborů. Jak je patrné z </w:t>
      </w:r>
      <w:r w:rsidR="0054347A">
        <w:rPr>
          <w:lang w:eastAsia="cs-CZ"/>
        </w:rPr>
        <w:fldChar w:fldCharType="begin"/>
      </w:r>
      <w:r w:rsidR="0054347A">
        <w:rPr>
          <w:lang w:eastAsia="cs-CZ"/>
        </w:rPr>
        <w:instrText xml:space="preserve"> REF  _Ref453836629 \* Lower \h  \* MERGEFORMAT </w:instrText>
      </w:r>
      <w:r w:rsidR="0054347A">
        <w:rPr>
          <w:lang w:eastAsia="cs-CZ"/>
        </w:rPr>
      </w:r>
      <w:r w:rsidR="0054347A">
        <w:rPr>
          <w:lang w:eastAsia="cs-CZ"/>
        </w:rPr>
        <w:fldChar w:fldCharType="separate"/>
      </w:r>
      <w:r w:rsidR="003F08E5">
        <w:t xml:space="preserve">tab. </w:t>
      </w:r>
      <w:r w:rsidR="003F08E5">
        <w:rPr>
          <w:noProof/>
        </w:rPr>
        <w:t>69</w:t>
      </w:r>
      <w:r w:rsidR="0054347A">
        <w:rPr>
          <w:lang w:eastAsia="cs-CZ"/>
        </w:rPr>
        <w:fldChar w:fldCharType="end"/>
      </w:r>
      <w:r w:rsidR="0054347A">
        <w:rPr>
          <w:lang w:eastAsia="cs-CZ"/>
        </w:rPr>
        <w:t xml:space="preserve">, </w:t>
      </w:r>
      <w:r w:rsidR="001704BE">
        <w:rPr>
          <w:lang w:eastAsia="cs-CZ"/>
        </w:rPr>
        <w:t>silně zastoupeným oborem mezi forenzními pracovišti jsou lékařské vědy, jako je forenzní genetika, analýzy DNA apod. V Č</w:t>
      </w:r>
      <w:r w:rsidR="008E29DC">
        <w:rPr>
          <w:lang w:eastAsia="cs-CZ"/>
        </w:rPr>
        <w:t>R</w:t>
      </w:r>
      <w:r w:rsidR="001704BE">
        <w:rPr>
          <w:lang w:eastAsia="cs-CZ"/>
        </w:rPr>
        <w:t xml:space="preserve"> také existuje celá řada ústavů soudního lékařství (často s regionální působností), které poskytují soudně-lékařské služby, zpracovávají analýzy odebraných vzorků a poskytují expertízy ve svých oborech působnosti.</w:t>
      </w:r>
    </w:p>
    <w:p w:rsidR="001704BE" w:rsidRPr="00C529CE" w:rsidRDefault="00D71017" w:rsidP="00C529CE">
      <w:pPr>
        <w:rPr>
          <w:lang w:eastAsia="cs-CZ"/>
        </w:rPr>
      </w:pPr>
      <w:r>
        <w:rPr>
          <w:lang w:eastAsia="cs-CZ"/>
        </w:rPr>
        <w:t xml:space="preserve">V ČR také působí pracoviště zajištující forenzní služby v oblasti </w:t>
      </w:r>
      <w:r w:rsidR="00F06AFC">
        <w:rPr>
          <w:lang w:eastAsia="cs-CZ"/>
        </w:rPr>
        <w:t xml:space="preserve">kybernetiky a informačních technologií (analýzy událostí, penetrační a zátěžové testy apod.). Zastoupeny jsou i technické obory, jako je doprava, </w:t>
      </w:r>
      <w:r w:rsidR="00F06AFC" w:rsidRPr="00F06AFC">
        <w:rPr>
          <w:lang w:eastAsia="cs-CZ"/>
        </w:rPr>
        <w:t>stavebnictví, strojírenství</w:t>
      </w:r>
      <w:r w:rsidR="00F06AFC">
        <w:rPr>
          <w:lang w:eastAsia="cs-CZ"/>
        </w:rPr>
        <w:t xml:space="preserve"> a další (viz </w:t>
      </w:r>
      <w:r w:rsidR="00F06AFC">
        <w:rPr>
          <w:lang w:eastAsia="cs-CZ"/>
        </w:rPr>
        <w:fldChar w:fldCharType="begin"/>
      </w:r>
      <w:r w:rsidR="00F06AFC">
        <w:rPr>
          <w:lang w:eastAsia="cs-CZ"/>
        </w:rPr>
        <w:instrText xml:space="preserve"> REF  _Ref453836629 \* Lower \h  \* MERGEFORMAT </w:instrText>
      </w:r>
      <w:r w:rsidR="00F06AFC">
        <w:rPr>
          <w:lang w:eastAsia="cs-CZ"/>
        </w:rPr>
      </w:r>
      <w:r w:rsidR="00F06AFC">
        <w:rPr>
          <w:lang w:eastAsia="cs-CZ"/>
        </w:rPr>
        <w:fldChar w:fldCharType="separate"/>
      </w:r>
      <w:r w:rsidR="003F08E5">
        <w:t xml:space="preserve">tab. </w:t>
      </w:r>
      <w:r w:rsidR="003F08E5">
        <w:rPr>
          <w:noProof/>
        </w:rPr>
        <w:t>69</w:t>
      </w:r>
      <w:r w:rsidR="00F06AFC">
        <w:rPr>
          <w:lang w:eastAsia="cs-CZ"/>
        </w:rPr>
        <w:fldChar w:fldCharType="end"/>
      </w:r>
      <w:r w:rsidR="00F06AFC">
        <w:rPr>
          <w:lang w:eastAsia="cs-CZ"/>
        </w:rPr>
        <w:t>).</w:t>
      </w:r>
    </w:p>
    <w:p w:rsidR="00DA6B52" w:rsidRDefault="00DA6B52" w:rsidP="00DA6B52">
      <w:pPr>
        <w:pStyle w:val="Titulek"/>
        <w:keepNext/>
      </w:pPr>
      <w:bookmarkStart w:id="252" w:name="_Ref453836629"/>
      <w:r>
        <w:t xml:space="preserve">Tab. </w:t>
      </w:r>
      <w:r w:rsidR="00990E2D">
        <w:fldChar w:fldCharType="begin"/>
      </w:r>
      <w:r w:rsidR="00990E2D">
        <w:instrText xml:space="preserve"> SEQ Tab. \* ARABIC </w:instrText>
      </w:r>
      <w:r w:rsidR="00990E2D">
        <w:fldChar w:fldCharType="separate"/>
      </w:r>
      <w:r w:rsidR="003F08E5">
        <w:rPr>
          <w:noProof/>
        </w:rPr>
        <w:t>69</w:t>
      </w:r>
      <w:r w:rsidR="00990E2D">
        <w:rPr>
          <w:noProof/>
        </w:rPr>
        <w:fldChar w:fldCharType="end"/>
      </w:r>
      <w:bookmarkEnd w:id="252"/>
      <w:r>
        <w:tab/>
        <w:t xml:space="preserve">Přehled </w:t>
      </w:r>
      <w:r w:rsidR="00C529CE">
        <w:t>f</w:t>
      </w:r>
      <w:r w:rsidR="00C529CE" w:rsidRPr="00C529CE">
        <w:t>orenzní</w:t>
      </w:r>
      <w:r w:rsidR="00C529CE">
        <w:t>ch</w:t>
      </w:r>
      <w:r w:rsidR="00C529CE" w:rsidRPr="00C529CE">
        <w:t xml:space="preserve"> pracoviš</w:t>
      </w:r>
      <w:r w:rsidR="00C529CE">
        <w:t>ť</w:t>
      </w:r>
      <w:r w:rsidR="00C529CE" w:rsidRPr="00C529CE">
        <w:t xml:space="preserve"> a laboratoř</w:t>
      </w:r>
      <w:r w:rsidR="00C529CE">
        <w:t>í</w:t>
      </w:r>
      <w:r w:rsidR="00C529CE" w:rsidRPr="00C529CE">
        <w:t>, soudní</w:t>
      </w:r>
      <w:r w:rsidR="00C529CE">
        <w:t>ch</w:t>
      </w:r>
      <w:r w:rsidR="00C529CE" w:rsidRPr="00C529CE">
        <w:t xml:space="preserve"> a znaleck</w:t>
      </w:r>
      <w:r w:rsidR="00C529CE">
        <w:t>ých</w:t>
      </w:r>
      <w:r w:rsidR="00C529CE" w:rsidRPr="00C529CE">
        <w:t xml:space="preserve"> ústav</w:t>
      </w:r>
      <w:r w:rsidR="00C529CE">
        <w:t>ů</w:t>
      </w:r>
    </w:p>
    <w:tbl>
      <w:tblPr>
        <w:tblW w:w="9464" w:type="dxa"/>
        <w:tblBorders>
          <w:top w:val="nil"/>
          <w:left w:val="nil"/>
          <w:bottom w:val="nil"/>
          <w:right w:val="nil"/>
        </w:tblBorders>
        <w:tblLayout w:type="fixed"/>
        <w:tblLook w:val="0000" w:firstRow="0" w:lastRow="0" w:firstColumn="0" w:lastColumn="0" w:noHBand="0" w:noVBand="0"/>
      </w:tblPr>
      <w:tblGrid>
        <w:gridCol w:w="2518"/>
        <w:gridCol w:w="1842"/>
        <w:gridCol w:w="5104"/>
      </w:tblGrid>
      <w:tr w:rsidR="003A2F99" w:rsidRPr="003A2F99" w:rsidTr="00DA6B52">
        <w:trPr>
          <w:trHeight w:val="165"/>
        </w:trPr>
        <w:tc>
          <w:tcPr>
            <w:tcW w:w="2518" w:type="dxa"/>
            <w:tcBorders>
              <w:top w:val="single" w:sz="4" w:space="0" w:color="auto"/>
              <w:bottom w:val="single" w:sz="4" w:space="0" w:color="auto"/>
            </w:tcBorders>
            <w:shd w:val="clear" w:color="auto" w:fill="D9D9D9" w:themeFill="background1" w:themeFillShade="D9"/>
            <w:vAlign w:val="center"/>
          </w:tcPr>
          <w:p w:rsidR="003A2F99" w:rsidRPr="003A2F99" w:rsidRDefault="003A2F99" w:rsidP="003A2F99">
            <w:pPr>
              <w:autoSpaceDE w:val="0"/>
              <w:autoSpaceDN w:val="0"/>
              <w:adjustRightInd w:val="0"/>
              <w:spacing w:before="80" w:after="80"/>
              <w:jc w:val="center"/>
              <w:rPr>
                <w:rFonts w:cs="Calibri"/>
                <w:b/>
                <w:color w:val="000000"/>
                <w:sz w:val="20"/>
                <w:szCs w:val="18"/>
              </w:rPr>
            </w:pPr>
            <w:r w:rsidRPr="003A2F99">
              <w:rPr>
                <w:rFonts w:cs="Calibri"/>
                <w:b/>
                <w:color w:val="000000"/>
                <w:sz w:val="20"/>
                <w:szCs w:val="18"/>
              </w:rPr>
              <w:t>Název instituce</w:t>
            </w:r>
          </w:p>
        </w:tc>
        <w:tc>
          <w:tcPr>
            <w:tcW w:w="1842" w:type="dxa"/>
            <w:tcBorders>
              <w:top w:val="single" w:sz="4" w:space="0" w:color="auto"/>
              <w:bottom w:val="single" w:sz="4" w:space="0" w:color="auto"/>
            </w:tcBorders>
            <w:shd w:val="clear" w:color="auto" w:fill="D9D9D9" w:themeFill="background1" w:themeFillShade="D9"/>
            <w:vAlign w:val="center"/>
          </w:tcPr>
          <w:p w:rsidR="003A2F99" w:rsidRPr="003A2F99" w:rsidRDefault="003A2F99" w:rsidP="003A2F99">
            <w:pPr>
              <w:autoSpaceDE w:val="0"/>
              <w:autoSpaceDN w:val="0"/>
              <w:adjustRightInd w:val="0"/>
              <w:spacing w:before="80" w:after="80"/>
              <w:jc w:val="center"/>
              <w:rPr>
                <w:rFonts w:cs="Calibri"/>
                <w:b/>
                <w:color w:val="000000"/>
                <w:sz w:val="20"/>
                <w:szCs w:val="18"/>
              </w:rPr>
            </w:pPr>
            <w:r w:rsidRPr="003A2F99">
              <w:rPr>
                <w:rFonts w:cs="Calibri"/>
                <w:b/>
                <w:color w:val="000000"/>
                <w:sz w:val="20"/>
                <w:szCs w:val="18"/>
              </w:rPr>
              <w:t>Zřizovatel / sídlo (region)</w:t>
            </w:r>
          </w:p>
        </w:tc>
        <w:tc>
          <w:tcPr>
            <w:tcW w:w="5104" w:type="dxa"/>
            <w:tcBorders>
              <w:top w:val="single" w:sz="4" w:space="0" w:color="auto"/>
              <w:bottom w:val="single" w:sz="4" w:space="0" w:color="auto"/>
            </w:tcBorders>
            <w:shd w:val="clear" w:color="auto" w:fill="D9D9D9" w:themeFill="background1" w:themeFillShade="D9"/>
            <w:vAlign w:val="center"/>
          </w:tcPr>
          <w:p w:rsidR="003A2F99" w:rsidRPr="003A2F99" w:rsidRDefault="003A2F99" w:rsidP="003A2F99">
            <w:pPr>
              <w:autoSpaceDE w:val="0"/>
              <w:autoSpaceDN w:val="0"/>
              <w:adjustRightInd w:val="0"/>
              <w:spacing w:before="80" w:after="80"/>
              <w:jc w:val="left"/>
              <w:rPr>
                <w:rFonts w:cs="Calibri"/>
                <w:b/>
                <w:color w:val="000000"/>
                <w:sz w:val="20"/>
                <w:szCs w:val="18"/>
              </w:rPr>
            </w:pPr>
            <w:r w:rsidRPr="003A2F99">
              <w:rPr>
                <w:rFonts w:cs="Calibri"/>
                <w:b/>
                <w:color w:val="000000"/>
                <w:sz w:val="20"/>
                <w:szCs w:val="18"/>
              </w:rPr>
              <w:t>Působnost / charakteristika</w:t>
            </w:r>
          </w:p>
        </w:tc>
      </w:tr>
      <w:tr w:rsidR="003A2F99" w:rsidRPr="003A2F99" w:rsidTr="0009220D">
        <w:trPr>
          <w:trHeight w:val="308"/>
        </w:trPr>
        <w:tc>
          <w:tcPr>
            <w:tcW w:w="2518" w:type="dxa"/>
            <w:tcBorders>
              <w:top w:val="single" w:sz="4" w:space="0" w:color="auto"/>
              <w:bottom w:val="single" w:sz="4" w:space="0" w:color="auto"/>
            </w:tcBorders>
          </w:tcPr>
          <w:p w:rsidR="003A2F99" w:rsidRPr="003A2F99" w:rsidRDefault="00990E2D" w:rsidP="003A2F99">
            <w:pPr>
              <w:autoSpaceDE w:val="0"/>
              <w:autoSpaceDN w:val="0"/>
              <w:adjustRightInd w:val="0"/>
              <w:spacing w:before="40" w:after="40"/>
              <w:jc w:val="left"/>
              <w:rPr>
                <w:rFonts w:cs="Calibri"/>
                <w:color w:val="000000"/>
                <w:sz w:val="20"/>
                <w:szCs w:val="18"/>
              </w:rPr>
            </w:pPr>
            <w:hyperlink r:id="rId139" w:history="1">
              <w:r w:rsidR="003A2F99" w:rsidRPr="003A2F99">
                <w:rPr>
                  <w:rFonts w:cs="Calibri"/>
                  <w:color w:val="0000FF" w:themeColor="hyperlink"/>
                  <w:sz w:val="20"/>
                  <w:szCs w:val="18"/>
                  <w:u w:val="single"/>
                </w:rPr>
                <w:t>Kriminalistický ústav Praha Policie České republiky</w:t>
              </w:r>
            </w:hyperlink>
          </w:p>
        </w:tc>
        <w:tc>
          <w:tcPr>
            <w:tcW w:w="1842" w:type="dxa"/>
            <w:tcBorders>
              <w:top w:val="single" w:sz="4" w:space="0" w:color="auto"/>
              <w:bottom w:val="single" w:sz="4" w:space="0" w:color="auto"/>
            </w:tcBorders>
          </w:tcPr>
          <w:p w:rsidR="003A2F99" w:rsidRPr="003A2F99" w:rsidRDefault="003A2F99" w:rsidP="003A2F99">
            <w:pPr>
              <w:autoSpaceDE w:val="0"/>
              <w:autoSpaceDN w:val="0"/>
              <w:adjustRightInd w:val="0"/>
              <w:spacing w:before="40" w:after="40"/>
              <w:rPr>
                <w:rFonts w:cs="Calibri"/>
                <w:color w:val="000000"/>
                <w:sz w:val="20"/>
                <w:szCs w:val="18"/>
              </w:rPr>
            </w:pPr>
            <w:r w:rsidRPr="003A2F99">
              <w:rPr>
                <w:rFonts w:cs="Calibri"/>
                <w:color w:val="000000"/>
                <w:sz w:val="20"/>
                <w:szCs w:val="18"/>
              </w:rPr>
              <w:t>MV</w:t>
            </w:r>
          </w:p>
        </w:tc>
        <w:tc>
          <w:tcPr>
            <w:tcW w:w="5104" w:type="dxa"/>
            <w:tcBorders>
              <w:top w:val="single" w:sz="4" w:space="0" w:color="auto"/>
              <w:bottom w:val="single" w:sz="4" w:space="0" w:color="auto"/>
            </w:tcBorders>
          </w:tcPr>
          <w:p w:rsidR="003A2F99" w:rsidRPr="003A2F99" w:rsidRDefault="003A2F99" w:rsidP="0009220D">
            <w:pPr>
              <w:autoSpaceDE w:val="0"/>
              <w:autoSpaceDN w:val="0"/>
              <w:adjustRightInd w:val="0"/>
              <w:spacing w:before="40" w:after="40"/>
              <w:jc w:val="left"/>
              <w:rPr>
                <w:rFonts w:cs="Calibri"/>
                <w:color w:val="000000"/>
                <w:sz w:val="20"/>
                <w:szCs w:val="20"/>
              </w:rPr>
            </w:pPr>
            <w:r w:rsidRPr="003A2F99">
              <w:rPr>
                <w:rFonts w:cs="Calibri"/>
                <w:color w:val="000000"/>
                <w:sz w:val="20"/>
                <w:szCs w:val="20"/>
              </w:rPr>
              <w:t xml:space="preserve">Kriminalistické expertizní pracoviště ČR </w:t>
            </w:r>
            <w:r>
              <w:rPr>
                <w:rFonts w:cs="Calibri"/>
                <w:color w:val="000000"/>
                <w:sz w:val="20"/>
                <w:szCs w:val="20"/>
              </w:rPr>
              <w:t>(</w:t>
            </w:r>
            <w:r w:rsidRPr="003A2F99">
              <w:rPr>
                <w:rFonts w:cs="Calibri"/>
                <w:color w:val="000000"/>
                <w:sz w:val="20"/>
                <w:szCs w:val="20"/>
              </w:rPr>
              <w:t>elektrotechnika, chemie, kriminalistika, písmoznalectví, strojírenství</w:t>
            </w:r>
            <w:r>
              <w:rPr>
                <w:rFonts w:cs="Calibri"/>
                <w:color w:val="000000"/>
                <w:sz w:val="20"/>
                <w:szCs w:val="20"/>
              </w:rPr>
              <w:t>)</w:t>
            </w:r>
          </w:p>
        </w:tc>
      </w:tr>
      <w:tr w:rsidR="003A2F99" w:rsidRPr="003A2F99" w:rsidTr="00DA6B52">
        <w:trPr>
          <w:trHeight w:val="165"/>
        </w:trPr>
        <w:tc>
          <w:tcPr>
            <w:tcW w:w="2518" w:type="dxa"/>
            <w:tcBorders>
              <w:top w:val="single" w:sz="4" w:space="0" w:color="auto"/>
              <w:bottom w:val="single" w:sz="4" w:space="0" w:color="auto"/>
            </w:tcBorders>
          </w:tcPr>
          <w:p w:rsidR="003A2F99" w:rsidRPr="003A2F99" w:rsidRDefault="00990E2D" w:rsidP="003A2F99">
            <w:pPr>
              <w:autoSpaceDE w:val="0"/>
              <w:autoSpaceDN w:val="0"/>
              <w:adjustRightInd w:val="0"/>
              <w:spacing w:before="40" w:after="40"/>
              <w:jc w:val="left"/>
              <w:rPr>
                <w:rFonts w:cs="Calibri"/>
                <w:color w:val="000000"/>
                <w:sz w:val="20"/>
                <w:szCs w:val="18"/>
              </w:rPr>
            </w:pPr>
            <w:hyperlink r:id="rId140" w:history="1">
              <w:r w:rsidR="003A2F99" w:rsidRPr="003A2F99">
                <w:rPr>
                  <w:rFonts w:cs="Calibri"/>
                  <w:color w:val="0000FF" w:themeColor="hyperlink"/>
                  <w:sz w:val="20"/>
                  <w:szCs w:val="20"/>
                  <w:u w:val="single"/>
                </w:rPr>
                <w:t>Laboratoř forenzní genetiky, spol. s r.o.</w:t>
              </w:r>
            </w:hyperlink>
          </w:p>
        </w:tc>
        <w:tc>
          <w:tcPr>
            <w:tcW w:w="1842" w:type="dxa"/>
            <w:tcBorders>
              <w:top w:val="single" w:sz="4" w:space="0" w:color="auto"/>
              <w:bottom w:val="single" w:sz="4" w:space="0" w:color="auto"/>
            </w:tcBorders>
          </w:tcPr>
          <w:p w:rsidR="003A2F99" w:rsidRPr="003A2F99" w:rsidRDefault="003A2F99" w:rsidP="003A2F99">
            <w:pPr>
              <w:autoSpaceDE w:val="0"/>
              <w:autoSpaceDN w:val="0"/>
              <w:adjustRightInd w:val="0"/>
              <w:spacing w:before="40" w:after="40"/>
              <w:jc w:val="left"/>
              <w:rPr>
                <w:rFonts w:cs="Calibri"/>
                <w:color w:val="000000"/>
                <w:sz w:val="20"/>
                <w:szCs w:val="18"/>
              </w:rPr>
            </w:pPr>
            <w:r w:rsidRPr="003A2F99">
              <w:rPr>
                <w:rFonts w:cs="Calibri"/>
                <w:color w:val="000000"/>
                <w:sz w:val="20"/>
                <w:szCs w:val="18"/>
              </w:rPr>
              <w:t>Soukromá společnost, Brno</w:t>
            </w:r>
          </w:p>
        </w:tc>
        <w:tc>
          <w:tcPr>
            <w:tcW w:w="5104" w:type="dxa"/>
            <w:tcBorders>
              <w:top w:val="single" w:sz="4" w:space="0" w:color="auto"/>
              <w:bottom w:val="single" w:sz="4" w:space="0" w:color="auto"/>
            </w:tcBorders>
          </w:tcPr>
          <w:p w:rsidR="003A2F99" w:rsidRPr="003A2F99" w:rsidRDefault="003A2F99" w:rsidP="003A2F99">
            <w:pPr>
              <w:autoSpaceDE w:val="0"/>
              <w:autoSpaceDN w:val="0"/>
              <w:adjustRightInd w:val="0"/>
              <w:spacing w:before="40" w:after="40"/>
              <w:jc w:val="left"/>
              <w:rPr>
                <w:rFonts w:cs="Calibri"/>
                <w:color w:val="000000"/>
                <w:sz w:val="20"/>
                <w:szCs w:val="20"/>
              </w:rPr>
            </w:pPr>
            <w:r w:rsidRPr="003A2F99">
              <w:rPr>
                <w:rFonts w:cs="Calibri"/>
                <w:color w:val="000000"/>
                <w:sz w:val="20"/>
                <w:szCs w:val="20"/>
              </w:rPr>
              <w:t>Klinická DNA diagnostika</w:t>
            </w:r>
            <w:r>
              <w:rPr>
                <w:rFonts w:cs="Calibri"/>
                <w:color w:val="000000"/>
                <w:sz w:val="20"/>
                <w:szCs w:val="20"/>
              </w:rPr>
              <w:t>,</w:t>
            </w:r>
            <w:r w:rsidRPr="003A2F99">
              <w:rPr>
                <w:rFonts w:cs="Calibri"/>
                <w:color w:val="000000"/>
                <w:sz w:val="20"/>
                <w:szCs w:val="20"/>
              </w:rPr>
              <w:t xml:space="preserve"> </w:t>
            </w:r>
            <w:r>
              <w:rPr>
                <w:rFonts w:cs="Calibri"/>
                <w:color w:val="000000"/>
                <w:sz w:val="20"/>
                <w:szCs w:val="20"/>
              </w:rPr>
              <w:t>k</w:t>
            </w:r>
            <w:r w:rsidRPr="003A2F99">
              <w:rPr>
                <w:rFonts w:cs="Calibri"/>
                <w:color w:val="000000"/>
                <w:sz w:val="20"/>
                <w:szCs w:val="20"/>
              </w:rPr>
              <w:t>omplexní služby v oblasti znaleckého zkoumání</w:t>
            </w:r>
          </w:p>
        </w:tc>
      </w:tr>
      <w:tr w:rsidR="003A2F99" w:rsidRPr="003A2F99" w:rsidTr="00DA6B52">
        <w:trPr>
          <w:trHeight w:val="165"/>
        </w:trPr>
        <w:tc>
          <w:tcPr>
            <w:tcW w:w="2518" w:type="dxa"/>
            <w:tcBorders>
              <w:top w:val="single" w:sz="4" w:space="0" w:color="auto"/>
              <w:bottom w:val="single" w:sz="4" w:space="0" w:color="auto"/>
            </w:tcBorders>
          </w:tcPr>
          <w:p w:rsidR="003A2F99" w:rsidRPr="003A2F99" w:rsidRDefault="00990E2D" w:rsidP="003A2F99">
            <w:pPr>
              <w:autoSpaceDE w:val="0"/>
              <w:autoSpaceDN w:val="0"/>
              <w:adjustRightInd w:val="0"/>
              <w:spacing w:before="40" w:after="40"/>
              <w:jc w:val="left"/>
              <w:rPr>
                <w:rFonts w:cs="Calibri"/>
                <w:color w:val="000000"/>
                <w:sz w:val="20"/>
                <w:szCs w:val="18"/>
              </w:rPr>
            </w:pPr>
            <w:hyperlink r:id="rId141" w:history="1">
              <w:r w:rsidR="003A2F99" w:rsidRPr="003A2F99">
                <w:rPr>
                  <w:rFonts w:cs="Calibri"/>
                  <w:color w:val="0000FF" w:themeColor="hyperlink"/>
                  <w:sz w:val="20"/>
                  <w:szCs w:val="20"/>
                  <w:u w:val="single"/>
                </w:rPr>
                <w:t>DNA centrum Bulovka</w:t>
              </w:r>
            </w:hyperlink>
          </w:p>
        </w:tc>
        <w:tc>
          <w:tcPr>
            <w:tcW w:w="1842" w:type="dxa"/>
            <w:tcBorders>
              <w:top w:val="single" w:sz="4" w:space="0" w:color="auto"/>
              <w:bottom w:val="single" w:sz="4" w:space="0" w:color="auto"/>
            </w:tcBorders>
          </w:tcPr>
          <w:p w:rsidR="003A2F99" w:rsidRPr="003A2F99" w:rsidRDefault="003A2F99" w:rsidP="003A2F99">
            <w:pPr>
              <w:autoSpaceDE w:val="0"/>
              <w:autoSpaceDN w:val="0"/>
              <w:adjustRightInd w:val="0"/>
              <w:spacing w:before="40" w:after="40"/>
              <w:jc w:val="left"/>
              <w:rPr>
                <w:rFonts w:cs="Calibri"/>
                <w:color w:val="000000"/>
                <w:sz w:val="20"/>
                <w:szCs w:val="18"/>
              </w:rPr>
            </w:pPr>
            <w:r w:rsidRPr="003A2F99">
              <w:rPr>
                <w:rFonts w:cs="Calibri"/>
                <w:color w:val="000000"/>
                <w:sz w:val="20"/>
                <w:szCs w:val="18"/>
              </w:rPr>
              <w:t>Nemocnice Na Bulovce</w:t>
            </w:r>
          </w:p>
        </w:tc>
        <w:tc>
          <w:tcPr>
            <w:tcW w:w="5104" w:type="dxa"/>
            <w:tcBorders>
              <w:top w:val="single" w:sz="4" w:space="0" w:color="auto"/>
              <w:bottom w:val="single" w:sz="4" w:space="0" w:color="auto"/>
            </w:tcBorders>
          </w:tcPr>
          <w:p w:rsidR="003A2F99" w:rsidRPr="003A2F99" w:rsidRDefault="003A2F99" w:rsidP="003A2F99">
            <w:pPr>
              <w:autoSpaceDE w:val="0"/>
              <w:autoSpaceDN w:val="0"/>
              <w:adjustRightInd w:val="0"/>
              <w:spacing w:before="40" w:after="40"/>
              <w:jc w:val="left"/>
              <w:rPr>
                <w:rFonts w:cs="Calibri"/>
                <w:color w:val="000000"/>
                <w:sz w:val="20"/>
                <w:szCs w:val="20"/>
              </w:rPr>
            </w:pPr>
            <w:r w:rsidRPr="003A2F99">
              <w:rPr>
                <w:rFonts w:cs="Calibri"/>
                <w:color w:val="000000"/>
                <w:sz w:val="20"/>
                <w:szCs w:val="20"/>
              </w:rPr>
              <w:t xml:space="preserve">Zpracování vzorků a stop, </w:t>
            </w:r>
            <w:r>
              <w:rPr>
                <w:rFonts w:cs="Calibri"/>
                <w:color w:val="000000"/>
                <w:sz w:val="20"/>
                <w:szCs w:val="20"/>
              </w:rPr>
              <w:t>k</w:t>
            </w:r>
            <w:r w:rsidRPr="003A2F99">
              <w:rPr>
                <w:rFonts w:cs="Calibri"/>
                <w:color w:val="000000"/>
                <w:sz w:val="20"/>
                <w:szCs w:val="20"/>
              </w:rPr>
              <w:t>onzultace k p</w:t>
            </w:r>
            <w:r>
              <w:rPr>
                <w:rFonts w:cs="Calibri"/>
                <w:color w:val="000000"/>
                <w:sz w:val="20"/>
                <w:szCs w:val="20"/>
              </w:rPr>
              <w:t xml:space="preserve">řípadům a výjezdy na místo činu, </w:t>
            </w:r>
            <w:r w:rsidRPr="003A2F99">
              <w:rPr>
                <w:rFonts w:cs="Calibri"/>
                <w:color w:val="000000"/>
                <w:sz w:val="20"/>
                <w:szCs w:val="20"/>
              </w:rPr>
              <w:t>forenzní genetik</w:t>
            </w:r>
            <w:r>
              <w:rPr>
                <w:rFonts w:cs="Calibri"/>
                <w:color w:val="000000"/>
                <w:sz w:val="20"/>
                <w:szCs w:val="20"/>
              </w:rPr>
              <w:t>a</w:t>
            </w:r>
            <w:r w:rsidRPr="003A2F99">
              <w:rPr>
                <w:rFonts w:cs="Calibri"/>
                <w:color w:val="000000"/>
                <w:sz w:val="20"/>
                <w:szCs w:val="20"/>
              </w:rPr>
              <w:t>.</w:t>
            </w:r>
          </w:p>
        </w:tc>
      </w:tr>
      <w:tr w:rsidR="003A2F99" w:rsidRPr="003A2F99" w:rsidTr="00DA6B52">
        <w:trPr>
          <w:trHeight w:val="165"/>
        </w:trPr>
        <w:tc>
          <w:tcPr>
            <w:tcW w:w="2518" w:type="dxa"/>
            <w:tcBorders>
              <w:top w:val="single" w:sz="4" w:space="0" w:color="auto"/>
              <w:bottom w:val="single" w:sz="4" w:space="0" w:color="auto"/>
            </w:tcBorders>
          </w:tcPr>
          <w:p w:rsidR="003A2F99" w:rsidRPr="003A2F99" w:rsidRDefault="00990E2D" w:rsidP="003A2F99">
            <w:pPr>
              <w:autoSpaceDE w:val="0"/>
              <w:autoSpaceDN w:val="0"/>
              <w:adjustRightInd w:val="0"/>
              <w:spacing w:before="40" w:after="40"/>
              <w:jc w:val="left"/>
              <w:rPr>
                <w:rFonts w:cs="Calibri"/>
                <w:color w:val="000000"/>
                <w:sz w:val="20"/>
                <w:szCs w:val="18"/>
              </w:rPr>
            </w:pPr>
            <w:hyperlink r:id="rId142" w:history="1">
              <w:r w:rsidR="003A2F99" w:rsidRPr="003A2F99">
                <w:rPr>
                  <w:rFonts w:cs="Calibri"/>
                  <w:color w:val="0000FF" w:themeColor="hyperlink"/>
                  <w:sz w:val="20"/>
                  <w:szCs w:val="18"/>
                  <w:u w:val="single"/>
                </w:rPr>
                <w:t>Forenzní DNA servis, s.r.o.</w:t>
              </w:r>
            </w:hyperlink>
          </w:p>
        </w:tc>
        <w:tc>
          <w:tcPr>
            <w:tcW w:w="1842" w:type="dxa"/>
            <w:tcBorders>
              <w:top w:val="single" w:sz="4" w:space="0" w:color="auto"/>
              <w:bottom w:val="single" w:sz="4" w:space="0" w:color="auto"/>
            </w:tcBorders>
          </w:tcPr>
          <w:p w:rsidR="003A2F99" w:rsidRPr="003A2F99" w:rsidRDefault="003A2F99" w:rsidP="003A2F99">
            <w:pPr>
              <w:autoSpaceDE w:val="0"/>
              <w:autoSpaceDN w:val="0"/>
              <w:adjustRightInd w:val="0"/>
              <w:spacing w:before="40" w:after="40"/>
              <w:jc w:val="left"/>
              <w:rPr>
                <w:rFonts w:cs="Calibri"/>
                <w:color w:val="000000"/>
                <w:sz w:val="20"/>
                <w:szCs w:val="18"/>
              </w:rPr>
            </w:pPr>
            <w:r w:rsidRPr="003A2F99">
              <w:rPr>
                <w:rFonts w:cs="Calibri"/>
                <w:color w:val="000000"/>
                <w:sz w:val="20"/>
                <w:szCs w:val="18"/>
              </w:rPr>
              <w:t>Soukromá společnost, Praha</w:t>
            </w:r>
          </w:p>
        </w:tc>
        <w:tc>
          <w:tcPr>
            <w:tcW w:w="5104" w:type="dxa"/>
            <w:tcBorders>
              <w:top w:val="single" w:sz="4" w:space="0" w:color="auto"/>
              <w:bottom w:val="single" w:sz="4" w:space="0" w:color="auto"/>
            </w:tcBorders>
          </w:tcPr>
          <w:p w:rsidR="003A2F99" w:rsidRPr="003A2F99" w:rsidRDefault="003A2F99" w:rsidP="003A2F99">
            <w:pPr>
              <w:autoSpaceDE w:val="0"/>
              <w:autoSpaceDN w:val="0"/>
              <w:adjustRightInd w:val="0"/>
              <w:spacing w:before="40" w:after="40"/>
              <w:jc w:val="left"/>
              <w:rPr>
                <w:rFonts w:cs="Calibri"/>
                <w:color w:val="000000"/>
                <w:sz w:val="20"/>
                <w:szCs w:val="18"/>
              </w:rPr>
            </w:pPr>
            <w:r w:rsidRPr="003A2F99">
              <w:rPr>
                <w:rFonts w:cs="Calibri"/>
                <w:color w:val="000000"/>
                <w:sz w:val="20"/>
                <w:szCs w:val="20"/>
              </w:rPr>
              <w:t>Určování otcovství, genetická genealogie, znalecké posudky</w:t>
            </w:r>
            <w:r>
              <w:rPr>
                <w:rFonts w:cs="Calibri"/>
                <w:color w:val="000000"/>
                <w:sz w:val="20"/>
                <w:szCs w:val="20"/>
              </w:rPr>
              <w:t>, t</w:t>
            </w:r>
            <w:r w:rsidRPr="003A2F99">
              <w:rPr>
                <w:rFonts w:cs="Calibri"/>
                <w:color w:val="000000"/>
                <w:sz w:val="20"/>
                <w:szCs w:val="18"/>
              </w:rPr>
              <w:t>estování DNA</w:t>
            </w:r>
          </w:p>
        </w:tc>
      </w:tr>
      <w:tr w:rsidR="003A2F99" w:rsidRPr="003A2F99" w:rsidTr="00DA6B52">
        <w:trPr>
          <w:trHeight w:val="165"/>
        </w:trPr>
        <w:tc>
          <w:tcPr>
            <w:tcW w:w="2518" w:type="dxa"/>
            <w:tcBorders>
              <w:top w:val="single" w:sz="4" w:space="0" w:color="auto"/>
              <w:bottom w:val="single" w:sz="4" w:space="0" w:color="auto"/>
            </w:tcBorders>
          </w:tcPr>
          <w:p w:rsidR="003A2F99" w:rsidRPr="003A2F99" w:rsidRDefault="00990E2D" w:rsidP="003A2F99">
            <w:pPr>
              <w:autoSpaceDE w:val="0"/>
              <w:autoSpaceDN w:val="0"/>
              <w:adjustRightInd w:val="0"/>
              <w:spacing w:before="40" w:after="40"/>
              <w:jc w:val="left"/>
              <w:rPr>
                <w:rFonts w:cs="Calibri"/>
                <w:color w:val="000000"/>
                <w:sz w:val="20"/>
                <w:szCs w:val="18"/>
              </w:rPr>
            </w:pPr>
            <w:hyperlink r:id="rId143" w:history="1">
              <w:r w:rsidR="003A2F99" w:rsidRPr="003A2F99">
                <w:rPr>
                  <w:rFonts w:cs="Calibri"/>
                  <w:color w:val="0000FF" w:themeColor="hyperlink"/>
                  <w:sz w:val="20"/>
                  <w:szCs w:val="18"/>
                  <w:u w:val="single"/>
                </w:rPr>
                <w:t>Laboratoř forenzní genetiky, spol. s r.o.</w:t>
              </w:r>
            </w:hyperlink>
          </w:p>
        </w:tc>
        <w:tc>
          <w:tcPr>
            <w:tcW w:w="1842" w:type="dxa"/>
            <w:tcBorders>
              <w:top w:val="single" w:sz="4" w:space="0" w:color="auto"/>
              <w:bottom w:val="single" w:sz="4" w:space="0" w:color="auto"/>
            </w:tcBorders>
          </w:tcPr>
          <w:p w:rsidR="003A2F99" w:rsidRPr="003A2F99" w:rsidRDefault="003A2F99" w:rsidP="003A2F99">
            <w:pPr>
              <w:autoSpaceDE w:val="0"/>
              <w:autoSpaceDN w:val="0"/>
              <w:adjustRightInd w:val="0"/>
              <w:spacing w:before="40" w:after="40"/>
              <w:jc w:val="left"/>
              <w:rPr>
                <w:rFonts w:cs="Calibri"/>
                <w:color w:val="000000"/>
                <w:sz w:val="20"/>
                <w:szCs w:val="18"/>
              </w:rPr>
            </w:pPr>
            <w:r w:rsidRPr="003A2F99">
              <w:rPr>
                <w:rFonts w:cs="Calibri"/>
                <w:color w:val="000000"/>
                <w:sz w:val="20"/>
                <w:szCs w:val="18"/>
              </w:rPr>
              <w:t>MephaCentrum, a.s., Ostrava</w:t>
            </w:r>
          </w:p>
        </w:tc>
        <w:tc>
          <w:tcPr>
            <w:tcW w:w="5104" w:type="dxa"/>
            <w:tcBorders>
              <w:top w:val="single" w:sz="4" w:space="0" w:color="auto"/>
              <w:bottom w:val="single" w:sz="4" w:space="0" w:color="auto"/>
            </w:tcBorders>
          </w:tcPr>
          <w:p w:rsidR="003A2F99" w:rsidRPr="003A2F99" w:rsidRDefault="003A2F99" w:rsidP="003A2F99">
            <w:pPr>
              <w:autoSpaceDE w:val="0"/>
              <w:autoSpaceDN w:val="0"/>
              <w:adjustRightInd w:val="0"/>
              <w:spacing w:before="40" w:after="40"/>
              <w:jc w:val="left"/>
              <w:rPr>
                <w:rFonts w:cs="Calibri"/>
                <w:color w:val="000000"/>
                <w:sz w:val="20"/>
                <w:szCs w:val="18"/>
              </w:rPr>
            </w:pPr>
            <w:r>
              <w:rPr>
                <w:rFonts w:cs="Calibri"/>
                <w:color w:val="000000"/>
                <w:sz w:val="20"/>
                <w:szCs w:val="18"/>
              </w:rPr>
              <w:t>M</w:t>
            </w:r>
            <w:r w:rsidRPr="003A2F99">
              <w:rPr>
                <w:rFonts w:cs="Calibri"/>
                <w:color w:val="000000"/>
                <w:sz w:val="20"/>
                <w:szCs w:val="18"/>
              </w:rPr>
              <w:t xml:space="preserve">olekulární </w:t>
            </w:r>
            <w:r>
              <w:rPr>
                <w:rFonts w:cs="Calibri"/>
                <w:color w:val="000000"/>
                <w:sz w:val="20"/>
                <w:szCs w:val="18"/>
              </w:rPr>
              <w:t>g</w:t>
            </w:r>
            <w:r w:rsidRPr="003A2F99">
              <w:rPr>
                <w:rFonts w:cs="Calibri"/>
                <w:color w:val="000000"/>
                <w:sz w:val="20"/>
                <w:szCs w:val="18"/>
              </w:rPr>
              <w:t>enetik</w:t>
            </w:r>
            <w:r>
              <w:rPr>
                <w:rFonts w:cs="Calibri"/>
                <w:color w:val="000000"/>
                <w:sz w:val="20"/>
                <w:szCs w:val="18"/>
              </w:rPr>
              <w:t>a</w:t>
            </w:r>
            <w:r w:rsidRPr="003A2F99">
              <w:rPr>
                <w:rFonts w:cs="Calibri"/>
                <w:color w:val="000000"/>
                <w:sz w:val="20"/>
                <w:szCs w:val="18"/>
              </w:rPr>
              <w:t>, ústav kvalifikovaný ke znalecké čin</w:t>
            </w:r>
            <w:r>
              <w:rPr>
                <w:rFonts w:cs="Calibri"/>
                <w:color w:val="000000"/>
                <w:sz w:val="20"/>
                <w:szCs w:val="18"/>
              </w:rPr>
              <w:t>nosti v oboru forenzní genetiky.</w:t>
            </w:r>
          </w:p>
        </w:tc>
      </w:tr>
      <w:tr w:rsidR="003A2F99" w:rsidRPr="003A2F99" w:rsidTr="00DA6B52">
        <w:trPr>
          <w:trHeight w:val="165"/>
        </w:trPr>
        <w:tc>
          <w:tcPr>
            <w:tcW w:w="2518" w:type="dxa"/>
            <w:tcBorders>
              <w:top w:val="single" w:sz="4" w:space="0" w:color="auto"/>
              <w:bottom w:val="single" w:sz="4" w:space="0" w:color="auto"/>
            </w:tcBorders>
          </w:tcPr>
          <w:p w:rsidR="003A2F99" w:rsidRPr="003A2F99" w:rsidRDefault="00990E2D" w:rsidP="003A2F99">
            <w:pPr>
              <w:autoSpaceDE w:val="0"/>
              <w:autoSpaceDN w:val="0"/>
              <w:adjustRightInd w:val="0"/>
              <w:spacing w:before="40" w:after="40"/>
              <w:jc w:val="left"/>
              <w:rPr>
                <w:rFonts w:cs="Calibri"/>
                <w:color w:val="000000"/>
                <w:sz w:val="20"/>
                <w:szCs w:val="18"/>
              </w:rPr>
            </w:pPr>
            <w:hyperlink r:id="rId144" w:history="1">
              <w:r w:rsidR="003A2F99" w:rsidRPr="003A2F99">
                <w:rPr>
                  <w:rFonts w:cs="Calibri"/>
                  <w:color w:val="0000FF" w:themeColor="hyperlink"/>
                  <w:sz w:val="20"/>
                  <w:szCs w:val="18"/>
                  <w:u w:val="single"/>
                </w:rPr>
                <w:t>Laboratoř biologicky aktivních látek a forenzní analýzy</w:t>
              </w:r>
            </w:hyperlink>
          </w:p>
        </w:tc>
        <w:tc>
          <w:tcPr>
            <w:tcW w:w="1842" w:type="dxa"/>
            <w:tcBorders>
              <w:top w:val="single" w:sz="4" w:space="0" w:color="auto"/>
              <w:bottom w:val="single" w:sz="4" w:space="0" w:color="auto"/>
            </w:tcBorders>
          </w:tcPr>
          <w:p w:rsidR="003A2F99" w:rsidRPr="003A2F99" w:rsidRDefault="003A2F99" w:rsidP="003A2F99">
            <w:pPr>
              <w:autoSpaceDE w:val="0"/>
              <w:autoSpaceDN w:val="0"/>
              <w:adjustRightInd w:val="0"/>
              <w:spacing w:before="40" w:after="40"/>
              <w:jc w:val="left"/>
              <w:rPr>
                <w:rFonts w:cs="Calibri"/>
                <w:color w:val="000000"/>
                <w:sz w:val="20"/>
                <w:szCs w:val="18"/>
              </w:rPr>
            </w:pPr>
            <w:r w:rsidRPr="003A2F99">
              <w:rPr>
                <w:rFonts w:cs="Calibri"/>
                <w:color w:val="000000"/>
                <w:sz w:val="20"/>
                <w:szCs w:val="18"/>
              </w:rPr>
              <w:t>VŠCHT</w:t>
            </w:r>
          </w:p>
        </w:tc>
        <w:tc>
          <w:tcPr>
            <w:tcW w:w="5104" w:type="dxa"/>
            <w:tcBorders>
              <w:top w:val="single" w:sz="4" w:space="0" w:color="auto"/>
              <w:bottom w:val="single" w:sz="4" w:space="0" w:color="auto"/>
            </w:tcBorders>
          </w:tcPr>
          <w:p w:rsidR="003A2F99" w:rsidRPr="003A2F99" w:rsidRDefault="003A2F99" w:rsidP="003A2F99">
            <w:pPr>
              <w:autoSpaceDE w:val="0"/>
              <w:autoSpaceDN w:val="0"/>
              <w:adjustRightInd w:val="0"/>
              <w:spacing w:before="40" w:after="40"/>
              <w:jc w:val="left"/>
              <w:rPr>
                <w:rFonts w:cs="Calibri"/>
                <w:color w:val="000000"/>
                <w:sz w:val="20"/>
                <w:szCs w:val="18"/>
              </w:rPr>
            </w:pPr>
            <w:r w:rsidRPr="003A2F99">
              <w:rPr>
                <w:rFonts w:cs="Calibri"/>
                <w:color w:val="000000"/>
                <w:sz w:val="20"/>
                <w:szCs w:val="18"/>
              </w:rPr>
              <w:t>Společné pracoviště Ústavu chemie přírodních látek a Ústavu organické chemie VŠCHT Praha zabývající se analýzou i organickou syntézou různých skupin biologicky aktivních látek</w:t>
            </w:r>
          </w:p>
        </w:tc>
      </w:tr>
      <w:tr w:rsidR="003A2F99" w:rsidRPr="003A2F99" w:rsidTr="00DA6B52">
        <w:trPr>
          <w:trHeight w:val="165"/>
        </w:trPr>
        <w:tc>
          <w:tcPr>
            <w:tcW w:w="2518" w:type="dxa"/>
            <w:tcBorders>
              <w:top w:val="single" w:sz="4" w:space="0" w:color="auto"/>
              <w:bottom w:val="single" w:sz="4" w:space="0" w:color="auto"/>
            </w:tcBorders>
          </w:tcPr>
          <w:p w:rsidR="003A2F99" w:rsidRPr="003A2F99" w:rsidRDefault="00990E2D" w:rsidP="003A2F99">
            <w:pPr>
              <w:autoSpaceDE w:val="0"/>
              <w:autoSpaceDN w:val="0"/>
              <w:adjustRightInd w:val="0"/>
              <w:spacing w:before="40" w:after="40"/>
              <w:jc w:val="left"/>
              <w:rPr>
                <w:rFonts w:cs="Calibri"/>
                <w:color w:val="000000"/>
                <w:sz w:val="20"/>
                <w:szCs w:val="18"/>
              </w:rPr>
            </w:pPr>
            <w:hyperlink r:id="rId145" w:history="1">
              <w:r w:rsidR="003A2F99" w:rsidRPr="00D71017">
                <w:rPr>
                  <w:rStyle w:val="Hypertextovodkaz"/>
                  <w:rFonts w:cs="Calibri"/>
                  <w:sz w:val="20"/>
                  <w:szCs w:val="18"/>
                </w:rPr>
                <w:t>Sexuologie a forenzní psychiatrie</w:t>
              </w:r>
            </w:hyperlink>
          </w:p>
        </w:tc>
        <w:tc>
          <w:tcPr>
            <w:tcW w:w="1842" w:type="dxa"/>
            <w:tcBorders>
              <w:top w:val="single" w:sz="4" w:space="0" w:color="auto"/>
              <w:bottom w:val="single" w:sz="4" w:space="0" w:color="auto"/>
            </w:tcBorders>
          </w:tcPr>
          <w:p w:rsidR="003A2F99" w:rsidRPr="003A2F99" w:rsidRDefault="003A2F99" w:rsidP="003A2F99">
            <w:pPr>
              <w:autoSpaceDE w:val="0"/>
              <w:autoSpaceDN w:val="0"/>
              <w:adjustRightInd w:val="0"/>
              <w:spacing w:before="40" w:after="40"/>
              <w:jc w:val="left"/>
              <w:rPr>
                <w:rFonts w:cs="Calibri"/>
                <w:color w:val="000000"/>
                <w:sz w:val="20"/>
                <w:szCs w:val="18"/>
              </w:rPr>
            </w:pPr>
            <w:r w:rsidRPr="00D71017">
              <w:rPr>
                <w:rFonts w:cs="Calibri"/>
                <w:color w:val="000000"/>
                <w:sz w:val="20"/>
                <w:szCs w:val="18"/>
              </w:rPr>
              <w:t>Psychiatrická nemocnice Bohnice</w:t>
            </w:r>
          </w:p>
        </w:tc>
        <w:tc>
          <w:tcPr>
            <w:tcW w:w="5104" w:type="dxa"/>
            <w:tcBorders>
              <w:top w:val="single" w:sz="4" w:space="0" w:color="auto"/>
              <w:bottom w:val="single" w:sz="4" w:space="0" w:color="auto"/>
            </w:tcBorders>
          </w:tcPr>
          <w:p w:rsidR="003A2F99" w:rsidRPr="003A2F99" w:rsidRDefault="004B59A5" w:rsidP="004B59A5">
            <w:pPr>
              <w:autoSpaceDE w:val="0"/>
              <w:autoSpaceDN w:val="0"/>
              <w:adjustRightInd w:val="0"/>
              <w:spacing w:before="40" w:after="40"/>
              <w:jc w:val="left"/>
              <w:rPr>
                <w:rFonts w:cs="Calibri"/>
                <w:color w:val="000000"/>
                <w:sz w:val="20"/>
                <w:szCs w:val="18"/>
              </w:rPr>
            </w:pPr>
            <w:r>
              <w:rPr>
                <w:rFonts w:cs="Calibri"/>
                <w:color w:val="000000"/>
                <w:sz w:val="20"/>
                <w:szCs w:val="18"/>
              </w:rPr>
              <w:t>Sexuologie, psychiatrie</w:t>
            </w:r>
          </w:p>
        </w:tc>
      </w:tr>
      <w:tr w:rsidR="003A2F99" w:rsidRPr="003A2F99" w:rsidTr="00DA6B52">
        <w:trPr>
          <w:trHeight w:val="165"/>
        </w:trPr>
        <w:tc>
          <w:tcPr>
            <w:tcW w:w="2518" w:type="dxa"/>
            <w:tcBorders>
              <w:top w:val="single" w:sz="4" w:space="0" w:color="auto"/>
              <w:bottom w:val="single" w:sz="4" w:space="0" w:color="auto"/>
            </w:tcBorders>
          </w:tcPr>
          <w:p w:rsidR="003A2F99" w:rsidRPr="003A2F99" w:rsidRDefault="00990E2D" w:rsidP="003A2F99">
            <w:pPr>
              <w:autoSpaceDE w:val="0"/>
              <w:autoSpaceDN w:val="0"/>
              <w:adjustRightInd w:val="0"/>
              <w:spacing w:before="40" w:after="40"/>
              <w:jc w:val="left"/>
              <w:rPr>
                <w:rFonts w:cs="Calibri"/>
                <w:color w:val="000000"/>
                <w:sz w:val="20"/>
                <w:szCs w:val="18"/>
              </w:rPr>
            </w:pPr>
            <w:hyperlink r:id="rId146" w:history="1">
              <w:r w:rsidR="003A2F99" w:rsidRPr="003A2F99">
                <w:rPr>
                  <w:rFonts w:cs="Calibri"/>
                  <w:color w:val="0000FF" w:themeColor="hyperlink"/>
                  <w:sz w:val="20"/>
                  <w:szCs w:val="18"/>
                  <w:u w:val="single"/>
                </w:rPr>
                <w:t>Katedra intenzivní medicíny a forenzních oborů</w:t>
              </w:r>
            </w:hyperlink>
          </w:p>
        </w:tc>
        <w:tc>
          <w:tcPr>
            <w:tcW w:w="1842" w:type="dxa"/>
            <w:tcBorders>
              <w:top w:val="single" w:sz="4" w:space="0" w:color="auto"/>
              <w:bottom w:val="single" w:sz="4" w:space="0" w:color="auto"/>
            </w:tcBorders>
          </w:tcPr>
          <w:p w:rsidR="003A2F99" w:rsidRPr="003A2F99" w:rsidRDefault="003A2F99" w:rsidP="003A2F99">
            <w:pPr>
              <w:autoSpaceDE w:val="0"/>
              <w:autoSpaceDN w:val="0"/>
              <w:adjustRightInd w:val="0"/>
              <w:spacing w:before="40" w:after="40"/>
              <w:jc w:val="left"/>
              <w:rPr>
                <w:rFonts w:cs="Calibri"/>
                <w:color w:val="000000"/>
                <w:sz w:val="20"/>
                <w:szCs w:val="18"/>
              </w:rPr>
            </w:pPr>
            <w:r w:rsidRPr="003A2F99">
              <w:rPr>
                <w:rFonts w:cs="Calibri"/>
                <w:color w:val="000000"/>
                <w:sz w:val="20"/>
                <w:szCs w:val="18"/>
              </w:rPr>
              <w:t>OU Ostrava, lékařská fakulta</w:t>
            </w:r>
          </w:p>
        </w:tc>
        <w:tc>
          <w:tcPr>
            <w:tcW w:w="5104" w:type="dxa"/>
            <w:tcBorders>
              <w:top w:val="single" w:sz="4" w:space="0" w:color="auto"/>
              <w:bottom w:val="single" w:sz="4" w:space="0" w:color="auto"/>
            </w:tcBorders>
          </w:tcPr>
          <w:p w:rsidR="003A2F99" w:rsidRPr="003A2F99" w:rsidRDefault="003A2F99" w:rsidP="003A2F99">
            <w:pPr>
              <w:autoSpaceDE w:val="0"/>
              <w:autoSpaceDN w:val="0"/>
              <w:adjustRightInd w:val="0"/>
              <w:spacing w:before="40" w:after="40"/>
              <w:jc w:val="left"/>
              <w:rPr>
                <w:rFonts w:cs="Calibri"/>
                <w:color w:val="000000"/>
                <w:sz w:val="20"/>
                <w:szCs w:val="18"/>
              </w:rPr>
            </w:pPr>
            <w:r w:rsidRPr="003A2F99">
              <w:rPr>
                <w:rFonts w:cs="Calibri"/>
                <w:color w:val="000000"/>
                <w:sz w:val="20"/>
                <w:szCs w:val="18"/>
              </w:rPr>
              <w:t>Pedagogické a výzkumné pracoviště v oboru intenzivní medicíny a ve forenzních oborech.</w:t>
            </w:r>
          </w:p>
        </w:tc>
      </w:tr>
      <w:tr w:rsidR="008C4887" w:rsidRPr="003A2F99" w:rsidTr="00FF755C">
        <w:trPr>
          <w:trHeight w:val="165"/>
        </w:trPr>
        <w:tc>
          <w:tcPr>
            <w:tcW w:w="2518" w:type="dxa"/>
            <w:tcBorders>
              <w:top w:val="single" w:sz="4" w:space="0" w:color="auto"/>
              <w:bottom w:val="single" w:sz="4" w:space="0" w:color="auto"/>
            </w:tcBorders>
          </w:tcPr>
          <w:p w:rsidR="008C4887" w:rsidRPr="003A2F99" w:rsidRDefault="00990E2D" w:rsidP="00FF755C">
            <w:pPr>
              <w:autoSpaceDE w:val="0"/>
              <w:autoSpaceDN w:val="0"/>
              <w:adjustRightInd w:val="0"/>
              <w:spacing w:before="40" w:after="40"/>
              <w:jc w:val="left"/>
              <w:rPr>
                <w:rFonts w:cs="Calibri"/>
                <w:color w:val="000000"/>
                <w:sz w:val="20"/>
                <w:szCs w:val="18"/>
              </w:rPr>
            </w:pPr>
            <w:hyperlink r:id="rId147" w:history="1">
              <w:r w:rsidR="008C4887" w:rsidRPr="003A2F99">
                <w:rPr>
                  <w:rFonts w:cs="Calibri"/>
                  <w:color w:val="0000FF" w:themeColor="hyperlink"/>
                  <w:sz w:val="20"/>
                  <w:szCs w:val="18"/>
                  <w:u w:val="single"/>
                </w:rPr>
                <w:t>Zdravotní ústav se sídlem v Ostravě</w:t>
              </w:r>
            </w:hyperlink>
          </w:p>
        </w:tc>
        <w:tc>
          <w:tcPr>
            <w:tcW w:w="1842" w:type="dxa"/>
            <w:tcBorders>
              <w:top w:val="single" w:sz="4" w:space="0" w:color="auto"/>
              <w:bottom w:val="single" w:sz="4" w:space="0" w:color="auto"/>
            </w:tcBorders>
          </w:tcPr>
          <w:p w:rsidR="008C4887" w:rsidRPr="003A2F99" w:rsidRDefault="008C4887" w:rsidP="00FF755C">
            <w:pPr>
              <w:autoSpaceDE w:val="0"/>
              <w:autoSpaceDN w:val="0"/>
              <w:adjustRightInd w:val="0"/>
              <w:spacing w:before="40" w:after="40"/>
              <w:jc w:val="left"/>
              <w:rPr>
                <w:rFonts w:cs="Calibri"/>
                <w:color w:val="000000"/>
                <w:sz w:val="20"/>
                <w:szCs w:val="18"/>
              </w:rPr>
            </w:pPr>
            <w:r w:rsidRPr="003A2F99">
              <w:rPr>
                <w:rFonts w:cs="Calibri"/>
                <w:color w:val="000000"/>
                <w:sz w:val="20"/>
                <w:szCs w:val="18"/>
              </w:rPr>
              <w:t>Ministerstvo zdravotnictví</w:t>
            </w:r>
          </w:p>
        </w:tc>
        <w:tc>
          <w:tcPr>
            <w:tcW w:w="5104" w:type="dxa"/>
            <w:tcBorders>
              <w:top w:val="single" w:sz="4" w:space="0" w:color="auto"/>
              <w:bottom w:val="single" w:sz="4" w:space="0" w:color="auto"/>
            </w:tcBorders>
          </w:tcPr>
          <w:p w:rsidR="008C4887" w:rsidRPr="003A2F99" w:rsidRDefault="008C4887" w:rsidP="00FF755C">
            <w:pPr>
              <w:autoSpaceDE w:val="0"/>
              <w:autoSpaceDN w:val="0"/>
              <w:adjustRightInd w:val="0"/>
              <w:spacing w:before="40" w:after="40"/>
              <w:jc w:val="left"/>
              <w:rPr>
                <w:rFonts w:cs="Calibri"/>
                <w:color w:val="000000"/>
                <w:sz w:val="20"/>
                <w:szCs w:val="18"/>
              </w:rPr>
            </w:pPr>
            <w:r w:rsidRPr="003A2F99">
              <w:rPr>
                <w:sz w:val="20"/>
                <w:szCs w:val="20"/>
              </w:rPr>
              <w:t xml:space="preserve">Provádění analýz, rozborů, vyšetření, analýz </w:t>
            </w:r>
            <w:r>
              <w:rPr>
                <w:sz w:val="20"/>
                <w:szCs w:val="20"/>
              </w:rPr>
              <w:t>(k</w:t>
            </w:r>
            <w:r w:rsidRPr="003A2F99">
              <w:rPr>
                <w:sz w:val="20"/>
                <w:szCs w:val="20"/>
              </w:rPr>
              <w:t>linick</w:t>
            </w:r>
            <w:r>
              <w:rPr>
                <w:sz w:val="20"/>
                <w:szCs w:val="20"/>
              </w:rPr>
              <w:t>é a h</w:t>
            </w:r>
            <w:r w:rsidRPr="003A2F99">
              <w:rPr>
                <w:sz w:val="20"/>
                <w:szCs w:val="20"/>
              </w:rPr>
              <w:t>ygienick</w:t>
            </w:r>
            <w:r>
              <w:rPr>
                <w:sz w:val="20"/>
                <w:szCs w:val="20"/>
              </w:rPr>
              <w:t>é laboratoře)</w:t>
            </w:r>
          </w:p>
        </w:tc>
      </w:tr>
      <w:tr w:rsidR="008C4887" w:rsidRPr="003A2F99" w:rsidTr="00FF755C">
        <w:trPr>
          <w:trHeight w:val="165"/>
        </w:trPr>
        <w:tc>
          <w:tcPr>
            <w:tcW w:w="2518" w:type="dxa"/>
            <w:tcBorders>
              <w:top w:val="single" w:sz="4" w:space="0" w:color="auto"/>
              <w:bottom w:val="single" w:sz="4" w:space="0" w:color="auto"/>
            </w:tcBorders>
          </w:tcPr>
          <w:p w:rsidR="008C4887" w:rsidRPr="003A2F99" w:rsidRDefault="008C4887" w:rsidP="00FF755C">
            <w:pPr>
              <w:autoSpaceDE w:val="0"/>
              <w:autoSpaceDN w:val="0"/>
              <w:adjustRightInd w:val="0"/>
              <w:spacing w:before="40" w:after="40"/>
              <w:jc w:val="left"/>
              <w:rPr>
                <w:rFonts w:cs="Calibri"/>
                <w:color w:val="000000"/>
                <w:sz w:val="20"/>
                <w:szCs w:val="18"/>
              </w:rPr>
            </w:pPr>
            <w:r w:rsidRPr="003A2F99">
              <w:rPr>
                <w:rFonts w:cs="Calibri"/>
                <w:color w:val="000000"/>
                <w:sz w:val="20"/>
                <w:szCs w:val="18"/>
              </w:rPr>
              <w:t>Laboratoř morfologie a forenzní antropologie (</w:t>
            </w:r>
            <w:hyperlink r:id="rId148" w:history="1">
              <w:r w:rsidRPr="003A2F99">
                <w:rPr>
                  <w:rFonts w:cs="Calibri"/>
                  <w:color w:val="0000FF" w:themeColor="hyperlink"/>
                  <w:sz w:val="20"/>
                  <w:szCs w:val="18"/>
                  <w:u w:val="single"/>
                </w:rPr>
                <w:t>LaMorFA</w:t>
              </w:r>
            </w:hyperlink>
            <w:r w:rsidRPr="003A2F99">
              <w:rPr>
                <w:rFonts w:cs="Calibri"/>
                <w:color w:val="000000"/>
                <w:sz w:val="20"/>
                <w:szCs w:val="18"/>
              </w:rPr>
              <w:t>)</w:t>
            </w:r>
          </w:p>
        </w:tc>
        <w:tc>
          <w:tcPr>
            <w:tcW w:w="1842" w:type="dxa"/>
            <w:tcBorders>
              <w:top w:val="single" w:sz="4" w:space="0" w:color="auto"/>
              <w:bottom w:val="single" w:sz="4" w:space="0" w:color="auto"/>
            </w:tcBorders>
          </w:tcPr>
          <w:p w:rsidR="008C4887" w:rsidRPr="003A2F99" w:rsidRDefault="008C4887" w:rsidP="00FF755C">
            <w:pPr>
              <w:autoSpaceDE w:val="0"/>
              <w:autoSpaceDN w:val="0"/>
              <w:adjustRightInd w:val="0"/>
              <w:spacing w:before="40" w:after="40"/>
              <w:jc w:val="left"/>
              <w:rPr>
                <w:rFonts w:cs="Calibri"/>
                <w:color w:val="000000"/>
                <w:sz w:val="20"/>
                <w:szCs w:val="18"/>
              </w:rPr>
            </w:pPr>
            <w:r w:rsidRPr="003A2F99">
              <w:rPr>
                <w:rFonts w:cs="Calibri"/>
                <w:color w:val="000000"/>
                <w:sz w:val="20"/>
                <w:szCs w:val="18"/>
              </w:rPr>
              <w:t>Ústav antropologie Přírodovědecké fakulty Masarykovy univerzity v Brně</w:t>
            </w:r>
          </w:p>
        </w:tc>
        <w:tc>
          <w:tcPr>
            <w:tcW w:w="5104" w:type="dxa"/>
            <w:tcBorders>
              <w:top w:val="single" w:sz="4" w:space="0" w:color="auto"/>
              <w:bottom w:val="single" w:sz="4" w:space="0" w:color="auto"/>
            </w:tcBorders>
          </w:tcPr>
          <w:p w:rsidR="008C4887" w:rsidRPr="003A2F99" w:rsidRDefault="008C4887" w:rsidP="00FF755C">
            <w:pPr>
              <w:autoSpaceDE w:val="0"/>
              <w:autoSpaceDN w:val="0"/>
              <w:adjustRightInd w:val="0"/>
              <w:spacing w:before="40" w:after="40"/>
              <w:jc w:val="left"/>
              <w:rPr>
                <w:rFonts w:cs="Calibri"/>
                <w:color w:val="000000"/>
                <w:sz w:val="20"/>
                <w:szCs w:val="18"/>
              </w:rPr>
            </w:pPr>
            <w:r w:rsidRPr="003A2F99">
              <w:rPr>
                <w:rFonts w:cs="Calibri"/>
                <w:color w:val="000000"/>
                <w:sz w:val="20"/>
                <w:szCs w:val="18"/>
              </w:rPr>
              <w:t>VaV a výukové pracoviště Oddělení biologické antropologie.</w:t>
            </w:r>
          </w:p>
          <w:p w:rsidR="008C4887" w:rsidRPr="003A2F99" w:rsidRDefault="008C4887" w:rsidP="00FF755C">
            <w:pPr>
              <w:autoSpaceDE w:val="0"/>
              <w:autoSpaceDN w:val="0"/>
              <w:adjustRightInd w:val="0"/>
              <w:spacing w:before="40" w:after="40"/>
              <w:contextualSpacing/>
              <w:jc w:val="left"/>
              <w:rPr>
                <w:rFonts w:cs="Calibri"/>
                <w:color w:val="000000"/>
                <w:sz w:val="20"/>
                <w:szCs w:val="18"/>
              </w:rPr>
            </w:pPr>
          </w:p>
        </w:tc>
      </w:tr>
      <w:tr w:rsidR="008C4887" w:rsidRPr="003A2F99" w:rsidTr="00FF755C">
        <w:trPr>
          <w:trHeight w:val="165"/>
        </w:trPr>
        <w:tc>
          <w:tcPr>
            <w:tcW w:w="2518" w:type="dxa"/>
            <w:tcBorders>
              <w:top w:val="single" w:sz="4" w:space="0" w:color="auto"/>
              <w:bottom w:val="single" w:sz="4" w:space="0" w:color="auto"/>
            </w:tcBorders>
          </w:tcPr>
          <w:p w:rsidR="008C4887" w:rsidRPr="003A2F99" w:rsidRDefault="008C4887" w:rsidP="00FF755C">
            <w:pPr>
              <w:autoSpaceDE w:val="0"/>
              <w:autoSpaceDN w:val="0"/>
              <w:adjustRightInd w:val="0"/>
              <w:spacing w:before="40" w:after="40"/>
              <w:jc w:val="left"/>
              <w:rPr>
                <w:rFonts w:cs="Calibri"/>
                <w:color w:val="000000"/>
                <w:sz w:val="20"/>
                <w:szCs w:val="18"/>
              </w:rPr>
            </w:pPr>
            <w:r w:rsidRPr="003A2F99">
              <w:rPr>
                <w:rFonts w:cs="Calibri"/>
                <w:color w:val="000000"/>
                <w:sz w:val="20"/>
                <w:szCs w:val="20"/>
              </w:rPr>
              <w:t>Tým forenzních IT specialistů (</w:t>
            </w:r>
            <w:hyperlink r:id="rId149" w:history="1">
              <w:r w:rsidRPr="003A2F99">
                <w:rPr>
                  <w:rFonts w:cs="Calibri"/>
                  <w:color w:val="0000FF" w:themeColor="hyperlink"/>
                  <w:sz w:val="20"/>
                  <w:szCs w:val="20"/>
                  <w:u w:val="single"/>
                </w:rPr>
                <w:t>FLAB</w:t>
              </w:r>
            </w:hyperlink>
            <w:r w:rsidRPr="003A2F99">
              <w:rPr>
                <w:rFonts w:cs="Calibri"/>
                <w:color w:val="000000"/>
                <w:sz w:val="20"/>
                <w:szCs w:val="20"/>
              </w:rPr>
              <w:t>)</w:t>
            </w:r>
          </w:p>
        </w:tc>
        <w:tc>
          <w:tcPr>
            <w:tcW w:w="1842" w:type="dxa"/>
            <w:tcBorders>
              <w:top w:val="single" w:sz="4" w:space="0" w:color="auto"/>
              <w:bottom w:val="single" w:sz="4" w:space="0" w:color="auto"/>
            </w:tcBorders>
          </w:tcPr>
          <w:p w:rsidR="008C4887" w:rsidRPr="003A2F99" w:rsidRDefault="008C4887" w:rsidP="00FF755C">
            <w:pPr>
              <w:autoSpaceDE w:val="0"/>
              <w:autoSpaceDN w:val="0"/>
              <w:adjustRightInd w:val="0"/>
              <w:spacing w:before="40" w:after="40"/>
              <w:jc w:val="left"/>
              <w:rPr>
                <w:rFonts w:cs="Calibri"/>
                <w:color w:val="000000"/>
                <w:sz w:val="20"/>
                <w:szCs w:val="18"/>
              </w:rPr>
            </w:pPr>
            <w:r w:rsidRPr="003A2F99">
              <w:rPr>
                <w:rFonts w:cs="Calibri"/>
                <w:color w:val="000000"/>
                <w:sz w:val="20"/>
                <w:szCs w:val="20"/>
              </w:rPr>
              <w:t>CESNET</w:t>
            </w:r>
          </w:p>
        </w:tc>
        <w:tc>
          <w:tcPr>
            <w:tcW w:w="5104" w:type="dxa"/>
            <w:tcBorders>
              <w:top w:val="single" w:sz="4" w:space="0" w:color="auto"/>
              <w:bottom w:val="single" w:sz="4" w:space="0" w:color="auto"/>
            </w:tcBorders>
          </w:tcPr>
          <w:p w:rsidR="008C4887" w:rsidRPr="003A2F99" w:rsidRDefault="008C4887" w:rsidP="00FF755C">
            <w:pPr>
              <w:autoSpaceDE w:val="0"/>
              <w:autoSpaceDN w:val="0"/>
              <w:adjustRightInd w:val="0"/>
              <w:spacing w:before="40" w:after="40"/>
              <w:jc w:val="left"/>
              <w:rPr>
                <w:rFonts w:cs="Calibri"/>
                <w:color w:val="000000"/>
                <w:sz w:val="20"/>
                <w:szCs w:val="20"/>
              </w:rPr>
            </w:pPr>
            <w:r w:rsidRPr="003A2F99">
              <w:rPr>
                <w:rFonts w:cs="Calibri"/>
                <w:color w:val="000000"/>
                <w:sz w:val="20"/>
                <w:szCs w:val="20"/>
              </w:rPr>
              <w:t xml:space="preserve">Analýza událostí, </w:t>
            </w:r>
            <w:r>
              <w:rPr>
                <w:rFonts w:cs="Calibri"/>
                <w:color w:val="000000"/>
                <w:sz w:val="20"/>
                <w:szCs w:val="20"/>
              </w:rPr>
              <w:t>p</w:t>
            </w:r>
            <w:r w:rsidRPr="003A2F99">
              <w:rPr>
                <w:rFonts w:cs="Calibri"/>
                <w:color w:val="000000"/>
                <w:sz w:val="20"/>
                <w:szCs w:val="20"/>
              </w:rPr>
              <w:t xml:space="preserve">enetrační </w:t>
            </w:r>
            <w:r>
              <w:rPr>
                <w:rFonts w:cs="Calibri"/>
                <w:color w:val="000000"/>
                <w:sz w:val="20"/>
                <w:szCs w:val="20"/>
              </w:rPr>
              <w:t xml:space="preserve">a zátěžové </w:t>
            </w:r>
            <w:r w:rsidRPr="003A2F99">
              <w:rPr>
                <w:rFonts w:cs="Calibri"/>
                <w:color w:val="000000"/>
                <w:sz w:val="20"/>
                <w:szCs w:val="20"/>
              </w:rPr>
              <w:t>testy</w:t>
            </w:r>
          </w:p>
        </w:tc>
      </w:tr>
      <w:tr w:rsidR="008C4887" w:rsidRPr="003A2F99" w:rsidTr="00FF755C">
        <w:trPr>
          <w:trHeight w:val="165"/>
        </w:trPr>
        <w:tc>
          <w:tcPr>
            <w:tcW w:w="2518" w:type="dxa"/>
            <w:tcBorders>
              <w:top w:val="single" w:sz="4" w:space="0" w:color="auto"/>
              <w:bottom w:val="single" w:sz="4" w:space="0" w:color="auto"/>
            </w:tcBorders>
          </w:tcPr>
          <w:p w:rsidR="008C4887" w:rsidRPr="003A2F99" w:rsidRDefault="00990E2D" w:rsidP="00FF755C">
            <w:pPr>
              <w:autoSpaceDE w:val="0"/>
              <w:autoSpaceDN w:val="0"/>
              <w:adjustRightInd w:val="0"/>
              <w:spacing w:before="40" w:after="40"/>
              <w:jc w:val="left"/>
              <w:rPr>
                <w:rFonts w:cs="Calibri"/>
                <w:color w:val="000000"/>
                <w:sz w:val="20"/>
                <w:szCs w:val="18"/>
              </w:rPr>
            </w:pPr>
            <w:hyperlink r:id="rId150" w:history="1">
              <w:r w:rsidR="008C4887" w:rsidRPr="003A2F99">
                <w:rPr>
                  <w:rFonts w:cs="Calibri"/>
                  <w:color w:val="0000FF" w:themeColor="hyperlink"/>
                  <w:sz w:val="20"/>
                  <w:szCs w:val="18"/>
                  <w:u w:val="single"/>
                </w:rPr>
                <w:t>Forenzní laboratoř informačních technologií</w:t>
              </w:r>
            </w:hyperlink>
          </w:p>
        </w:tc>
        <w:tc>
          <w:tcPr>
            <w:tcW w:w="1842" w:type="dxa"/>
            <w:tcBorders>
              <w:top w:val="single" w:sz="4" w:space="0" w:color="auto"/>
              <w:bottom w:val="single" w:sz="4" w:space="0" w:color="auto"/>
            </w:tcBorders>
          </w:tcPr>
          <w:p w:rsidR="008C4887" w:rsidRPr="003A2F99" w:rsidRDefault="008C4887" w:rsidP="00FF755C">
            <w:pPr>
              <w:autoSpaceDE w:val="0"/>
              <w:autoSpaceDN w:val="0"/>
              <w:adjustRightInd w:val="0"/>
              <w:spacing w:before="40" w:after="40"/>
              <w:jc w:val="left"/>
              <w:rPr>
                <w:rFonts w:cs="Calibri"/>
                <w:color w:val="000000"/>
                <w:sz w:val="20"/>
                <w:szCs w:val="18"/>
              </w:rPr>
            </w:pPr>
            <w:r w:rsidRPr="003A2F99">
              <w:rPr>
                <w:rFonts w:cs="Calibri"/>
                <w:color w:val="000000"/>
                <w:sz w:val="20"/>
                <w:szCs w:val="18"/>
              </w:rPr>
              <w:t>Znalecký ústav Cetag</w:t>
            </w:r>
          </w:p>
        </w:tc>
        <w:tc>
          <w:tcPr>
            <w:tcW w:w="5104" w:type="dxa"/>
            <w:tcBorders>
              <w:top w:val="single" w:sz="4" w:space="0" w:color="auto"/>
              <w:bottom w:val="single" w:sz="4" w:space="0" w:color="auto"/>
            </w:tcBorders>
          </w:tcPr>
          <w:p w:rsidR="008C4887" w:rsidRPr="003A2F99" w:rsidRDefault="008C4887" w:rsidP="00FF755C">
            <w:pPr>
              <w:autoSpaceDE w:val="0"/>
              <w:autoSpaceDN w:val="0"/>
              <w:adjustRightInd w:val="0"/>
              <w:spacing w:before="40" w:after="40"/>
              <w:jc w:val="left"/>
              <w:rPr>
                <w:rFonts w:cs="Calibri"/>
                <w:color w:val="000000"/>
                <w:sz w:val="20"/>
                <w:szCs w:val="18"/>
              </w:rPr>
            </w:pPr>
            <w:r w:rsidRPr="003A2F99">
              <w:rPr>
                <w:rFonts w:cs="Calibri"/>
                <w:color w:val="000000"/>
                <w:sz w:val="20"/>
                <w:szCs w:val="18"/>
              </w:rPr>
              <w:t>Realizace atestací a odborných rozborů pro znalecký ústav Cetag</w:t>
            </w:r>
            <w:r>
              <w:rPr>
                <w:rFonts w:cs="Calibri"/>
                <w:color w:val="000000"/>
                <w:sz w:val="20"/>
                <w:szCs w:val="18"/>
              </w:rPr>
              <w:t xml:space="preserve"> (</w:t>
            </w:r>
            <w:r w:rsidRPr="003A2F99">
              <w:rPr>
                <w:sz w:val="20"/>
                <w:szCs w:val="20"/>
              </w:rPr>
              <w:t>forenzní laboratoř, znalecká kancelář a validační centrum</w:t>
            </w:r>
            <w:r>
              <w:rPr>
                <w:sz w:val="20"/>
                <w:szCs w:val="20"/>
              </w:rPr>
              <w:t>)</w:t>
            </w:r>
          </w:p>
        </w:tc>
      </w:tr>
      <w:tr w:rsidR="008C4887" w:rsidRPr="003A2F99" w:rsidTr="00FF755C">
        <w:trPr>
          <w:trHeight w:val="165"/>
        </w:trPr>
        <w:tc>
          <w:tcPr>
            <w:tcW w:w="2518" w:type="dxa"/>
            <w:tcBorders>
              <w:top w:val="single" w:sz="4" w:space="0" w:color="auto"/>
              <w:bottom w:val="single" w:sz="4" w:space="0" w:color="auto"/>
            </w:tcBorders>
          </w:tcPr>
          <w:p w:rsidR="008C4887" w:rsidRPr="003A2F99" w:rsidRDefault="00990E2D" w:rsidP="00FF755C">
            <w:pPr>
              <w:autoSpaceDE w:val="0"/>
              <w:autoSpaceDN w:val="0"/>
              <w:adjustRightInd w:val="0"/>
              <w:spacing w:before="40" w:after="40"/>
              <w:jc w:val="left"/>
              <w:rPr>
                <w:rFonts w:cs="Calibri"/>
                <w:color w:val="000000"/>
                <w:sz w:val="20"/>
                <w:szCs w:val="18"/>
              </w:rPr>
            </w:pPr>
            <w:hyperlink r:id="rId151" w:history="1">
              <w:r w:rsidR="008C4887" w:rsidRPr="003A2F99">
                <w:rPr>
                  <w:rFonts w:cs="Calibri"/>
                  <w:color w:val="0000FF" w:themeColor="hyperlink"/>
                  <w:sz w:val="20"/>
                  <w:szCs w:val="18"/>
                  <w:u w:val="single"/>
                </w:rPr>
                <w:t>Školní laboratoř forenzní analýzy</w:t>
              </w:r>
            </w:hyperlink>
          </w:p>
        </w:tc>
        <w:tc>
          <w:tcPr>
            <w:tcW w:w="1842" w:type="dxa"/>
            <w:tcBorders>
              <w:top w:val="single" w:sz="4" w:space="0" w:color="auto"/>
              <w:bottom w:val="single" w:sz="4" w:space="0" w:color="auto"/>
            </w:tcBorders>
          </w:tcPr>
          <w:p w:rsidR="008C4887" w:rsidRPr="003A2F99" w:rsidRDefault="008C4887" w:rsidP="00FF755C">
            <w:pPr>
              <w:autoSpaceDE w:val="0"/>
              <w:autoSpaceDN w:val="0"/>
              <w:adjustRightInd w:val="0"/>
              <w:spacing w:before="40" w:after="40"/>
              <w:jc w:val="left"/>
              <w:rPr>
                <w:rFonts w:cs="Calibri"/>
                <w:color w:val="000000"/>
                <w:sz w:val="20"/>
                <w:szCs w:val="18"/>
              </w:rPr>
            </w:pPr>
            <w:r w:rsidRPr="003A2F99">
              <w:rPr>
                <w:rFonts w:cs="Calibri"/>
                <w:color w:val="000000"/>
                <w:sz w:val="20"/>
                <w:szCs w:val="18"/>
              </w:rPr>
              <w:t>Katedra informatiky, UJEP</w:t>
            </w:r>
          </w:p>
        </w:tc>
        <w:tc>
          <w:tcPr>
            <w:tcW w:w="5104" w:type="dxa"/>
            <w:tcBorders>
              <w:top w:val="single" w:sz="4" w:space="0" w:color="auto"/>
              <w:bottom w:val="single" w:sz="4" w:space="0" w:color="auto"/>
            </w:tcBorders>
          </w:tcPr>
          <w:p w:rsidR="008C4887" w:rsidRPr="003A2F99" w:rsidRDefault="008C4887" w:rsidP="00FF755C">
            <w:pPr>
              <w:autoSpaceDE w:val="0"/>
              <w:autoSpaceDN w:val="0"/>
              <w:adjustRightInd w:val="0"/>
              <w:spacing w:before="40" w:after="40"/>
              <w:contextualSpacing/>
              <w:jc w:val="left"/>
              <w:rPr>
                <w:rFonts w:cs="Calibri"/>
                <w:color w:val="000000"/>
                <w:sz w:val="20"/>
                <w:szCs w:val="18"/>
              </w:rPr>
            </w:pPr>
            <w:r>
              <w:rPr>
                <w:rFonts w:cs="Calibri"/>
                <w:color w:val="000000"/>
                <w:sz w:val="20"/>
                <w:szCs w:val="18"/>
              </w:rPr>
              <w:t>N</w:t>
            </w:r>
            <w:r w:rsidRPr="003A2F99">
              <w:rPr>
                <w:rFonts w:cs="Calibri"/>
                <w:color w:val="000000"/>
                <w:sz w:val="20"/>
                <w:szCs w:val="18"/>
              </w:rPr>
              <w:t>etradiční postup</w:t>
            </w:r>
            <w:r>
              <w:rPr>
                <w:rFonts w:cs="Calibri"/>
                <w:color w:val="000000"/>
                <w:sz w:val="20"/>
                <w:szCs w:val="18"/>
              </w:rPr>
              <w:t>y</w:t>
            </w:r>
            <w:r w:rsidRPr="003A2F99">
              <w:rPr>
                <w:rFonts w:cs="Calibri"/>
                <w:color w:val="000000"/>
                <w:sz w:val="20"/>
                <w:szCs w:val="18"/>
              </w:rPr>
              <w:t>, algoritm</w:t>
            </w:r>
            <w:r>
              <w:rPr>
                <w:rFonts w:cs="Calibri"/>
                <w:color w:val="000000"/>
                <w:sz w:val="20"/>
                <w:szCs w:val="18"/>
              </w:rPr>
              <w:t>y</w:t>
            </w:r>
            <w:r w:rsidRPr="003A2F99">
              <w:rPr>
                <w:rFonts w:cs="Calibri"/>
                <w:color w:val="000000"/>
                <w:sz w:val="20"/>
                <w:szCs w:val="18"/>
              </w:rPr>
              <w:t xml:space="preserve"> a proces</w:t>
            </w:r>
            <w:r>
              <w:rPr>
                <w:rFonts w:cs="Calibri"/>
                <w:color w:val="000000"/>
                <w:sz w:val="20"/>
                <w:szCs w:val="18"/>
              </w:rPr>
              <w:t>y</w:t>
            </w:r>
            <w:r w:rsidRPr="003A2F99">
              <w:rPr>
                <w:rFonts w:cs="Calibri"/>
                <w:color w:val="000000"/>
                <w:sz w:val="20"/>
                <w:szCs w:val="18"/>
              </w:rPr>
              <w:t xml:space="preserve"> pro zajištění jednoznačných výsledků, </w:t>
            </w:r>
            <w:r>
              <w:rPr>
                <w:rFonts w:cs="Calibri"/>
                <w:color w:val="000000"/>
                <w:sz w:val="20"/>
                <w:szCs w:val="18"/>
              </w:rPr>
              <w:t>ř</w:t>
            </w:r>
            <w:r w:rsidRPr="003A2F99">
              <w:rPr>
                <w:rFonts w:cs="Calibri"/>
                <w:color w:val="000000"/>
                <w:sz w:val="20"/>
                <w:szCs w:val="18"/>
              </w:rPr>
              <w:t>ešení bezpečnostních incidentů a k případnému následnému vymáhání škod.</w:t>
            </w:r>
          </w:p>
        </w:tc>
      </w:tr>
      <w:tr w:rsidR="008C4887" w:rsidRPr="003A2F99" w:rsidTr="00FF755C">
        <w:trPr>
          <w:trHeight w:val="165"/>
        </w:trPr>
        <w:tc>
          <w:tcPr>
            <w:tcW w:w="2518" w:type="dxa"/>
            <w:tcBorders>
              <w:top w:val="single" w:sz="4" w:space="0" w:color="auto"/>
              <w:bottom w:val="single" w:sz="4" w:space="0" w:color="auto"/>
            </w:tcBorders>
          </w:tcPr>
          <w:p w:rsidR="008C4887" w:rsidRPr="003A2F99" w:rsidRDefault="00990E2D" w:rsidP="00FF755C">
            <w:pPr>
              <w:autoSpaceDE w:val="0"/>
              <w:autoSpaceDN w:val="0"/>
              <w:adjustRightInd w:val="0"/>
              <w:spacing w:before="40" w:after="40"/>
              <w:jc w:val="left"/>
              <w:rPr>
                <w:rFonts w:cs="Calibri"/>
                <w:color w:val="000000"/>
                <w:sz w:val="20"/>
                <w:szCs w:val="18"/>
              </w:rPr>
            </w:pPr>
            <w:hyperlink r:id="rId152" w:history="1">
              <w:r w:rsidR="008C4887" w:rsidRPr="003A2F99">
                <w:rPr>
                  <w:rFonts w:cs="Calibri"/>
                  <w:color w:val="0000FF" w:themeColor="hyperlink"/>
                  <w:sz w:val="20"/>
                  <w:szCs w:val="18"/>
                  <w:u w:val="single"/>
                </w:rPr>
                <w:t>Forenzní laboratoř</w:t>
              </w:r>
            </w:hyperlink>
          </w:p>
        </w:tc>
        <w:tc>
          <w:tcPr>
            <w:tcW w:w="1842" w:type="dxa"/>
            <w:tcBorders>
              <w:top w:val="single" w:sz="4" w:space="0" w:color="auto"/>
              <w:bottom w:val="single" w:sz="4" w:space="0" w:color="auto"/>
            </w:tcBorders>
          </w:tcPr>
          <w:p w:rsidR="008C4887" w:rsidRPr="003A2F99" w:rsidRDefault="008C4887" w:rsidP="00FF755C">
            <w:pPr>
              <w:autoSpaceDE w:val="0"/>
              <w:autoSpaceDN w:val="0"/>
              <w:adjustRightInd w:val="0"/>
              <w:spacing w:before="40" w:after="40"/>
              <w:jc w:val="left"/>
              <w:rPr>
                <w:rFonts w:cs="Calibri"/>
                <w:color w:val="000000"/>
                <w:sz w:val="20"/>
                <w:szCs w:val="18"/>
              </w:rPr>
            </w:pPr>
            <w:r w:rsidRPr="003A2F99">
              <w:rPr>
                <w:rFonts w:cs="Calibri"/>
                <w:color w:val="000000"/>
                <w:sz w:val="20"/>
                <w:szCs w:val="18"/>
              </w:rPr>
              <w:t>Střední odborná škola ochrany osob a majetku s.r.o.</w:t>
            </w:r>
          </w:p>
        </w:tc>
        <w:tc>
          <w:tcPr>
            <w:tcW w:w="5104" w:type="dxa"/>
            <w:tcBorders>
              <w:top w:val="single" w:sz="4" w:space="0" w:color="auto"/>
              <w:bottom w:val="single" w:sz="4" w:space="0" w:color="auto"/>
            </w:tcBorders>
          </w:tcPr>
          <w:p w:rsidR="008C4887" w:rsidRPr="003A2F99" w:rsidRDefault="008C4887" w:rsidP="00FF755C">
            <w:pPr>
              <w:autoSpaceDE w:val="0"/>
              <w:autoSpaceDN w:val="0"/>
              <w:adjustRightInd w:val="0"/>
              <w:spacing w:before="40" w:after="40"/>
              <w:jc w:val="left"/>
              <w:rPr>
                <w:rFonts w:cs="Calibri"/>
                <w:color w:val="000000"/>
                <w:sz w:val="20"/>
                <w:szCs w:val="18"/>
              </w:rPr>
            </w:pPr>
            <w:r>
              <w:rPr>
                <w:rFonts w:cs="Calibri"/>
                <w:color w:val="000000"/>
                <w:sz w:val="20"/>
                <w:szCs w:val="18"/>
              </w:rPr>
              <w:t>P</w:t>
            </w:r>
            <w:r w:rsidRPr="003A2F99">
              <w:rPr>
                <w:rFonts w:cs="Calibri"/>
                <w:color w:val="000000"/>
                <w:sz w:val="20"/>
                <w:szCs w:val="18"/>
              </w:rPr>
              <w:t>odpora praktického vyučování, vytvoření střediska vlastní praxe (forenzní laboratoř)</w:t>
            </w:r>
          </w:p>
        </w:tc>
      </w:tr>
      <w:tr w:rsidR="00B6304B" w:rsidRPr="003A2F99" w:rsidTr="00B6304B">
        <w:trPr>
          <w:trHeight w:val="165"/>
        </w:trPr>
        <w:tc>
          <w:tcPr>
            <w:tcW w:w="2518" w:type="dxa"/>
            <w:tcBorders>
              <w:top w:val="single" w:sz="4" w:space="0" w:color="auto"/>
              <w:bottom w:val="single" w:sz="4" w:space="0" w:color="auto"/>
            </w:tcBorders>
          </w:tcPr>
          <w:p w:rsidR="00B6304B" w:rsidRPr="003A2F99" w:rsidRDefault="00B6304B" w:rsidP="00B6304B">
            <w:pPr>
              <w:autoSpaceDE w:val="0"/>
              <w:autoSpaceDN w:val="0"/>
              <w:adjustRightInd w:val="0"/>
              <w:spacing w:before="40" w:after="40"/>
              <w:jc w:val="left"/>
              <w:rPr>
                <w:rFonts w:cs="Calibri"/>
                <w:color w:val="000000"/>
                <w:sz w:val="20"/>
                <w:szCs w:val="18"/>
              </w:rPr>
            </w:pPr>
            <w:r w:rsidRPr="003A2F99">
              <w:rPr>
                <w:rFonts w:cs="Calibri"/>
                <w:color w:val="000000"/>
                <w:sz w:val="20"/>
                <w:szCs w:val="18"/>
              </w:rPr>
              <w:t>Ústav soudního lékařství a toxikologie a Národní referenční laboratoř pro forenzní toxikologii (</w:t>
            </w:r>
            <w:hyperlink r:id="rId153" w:history="1">
              <w:r w:rsidRPr="003A2F99">
                <w:rPr>
                  <w:rFonts w:cs="Calibri"/>
                  <w:color w:val="0000FF" w:themeColor="hyperlink"/>
                  <w:sz w:val="20"/>
                  <w:szCs w:val="18"/>
                  <w:u w:val="single"/>
                </w:rPr>
                <w:t>NRLFT</w:t>
              </w:r>
            </w:hyperlink>
            <w:r w:rsidRPr="003A2F99">
              <w:rPr>
                <w:rFonts w:cs="Calibri"/>
                <w:color w:val="000000"/>
                <w:sz w:val="20"/>
                <w:szCs w:val="18"/>
              </w:rPr>
              <w:t>)</w:t>
            </w:r>
          </w:p>
        </w:tc>
        <w:tc>
          <w:tcPr>
            <w:tcW w:w="1842" w:type="dxa"/>
            <w:tcBorders>
              <w:top w:val="single" w:sz="4" w:space="0" w:color="auto"/>
              <w:bottom w:val="single" w:sz="4" w:space="0" w:color="auto"/>
            </w:tcBorders>
          </w:tcPr>
          <w:p w:rsidR="00B6304B" w:rsidRPr="003A2F99" w:rsidRDefault="00B6304B" w:rsidP="00B6304B">
            <w:pPr>
              <w:autoSpaceDE w:val="0"/>
              <w:autoSpaceDN w:val="0"/>
              <w:adjustRightInd w:val="0"/>
              <w:spacing w:before="40" w:after="40"/>
              <w:jc w:val="left"/>
              <w:rPr>
                <w:rFonts w:cs="Calibri"/>
                <w:color w:val="000000"/>
                <w:sz w:val="20"/>
                <w:szCs w:val="18"/>
              </w:rPr>
            </w:pPr>
            <w:r w:rsidRPr="003A2F99">
              <w:rPr>
                <w:rFonts w:cs="Calibri"/>
                <w:color w:val="000000"/>
                <w:sz w:val="20"/>
                <w:szCs w:val="18"/>
              </w:rPr>
              <w:t>VFN v Praze a 1. LF Univerzity Karlovy</w:t>
            </w:r>
          </w:p>
        </w:tc>
        <w:tc>
          <w:tcPr>
            <w:tcW w:w="5104" w:type="dxa"/>
            <w:tcBorders>
              <w:top w:val="single" w:sz="4" w:space="0" w:color="auto"/>
              <w:bottom w:val="single" w:sz="4" w:space="0" w:color="auto"/>
            </w:tcBorders>
          </w:tcPr>
          <w:p w:rsidR="00B6304B" w:rsidRPr="003A2F99" w:rsidRDefault="00B6304B" w:rsidP="00B6304B">
            <w:pPr>
              <w:autoSpaceDE w:val="0"/>
              <w:autoSpaceDN w:val="0"/>
              <w:adjustRightInd w:val="0"/>
              <w:spacing w:before="40" w:after="40"/>
              <w:contextualSpacing/>
              <w:jc w:val="left"/>
              <w:rPr>
                <w:rFonts w:cs="Calibri"/>
                <w:color w:val="000000"/>
                <w:sz w:val="20"/>
                <w:szCs w:val="18"/>
              </w:rPr>
            </w:pPr>
            <w:r w:rsidRPr="003A2F99">
              <w:rPr>
                <w:rFonts w:cs="Calibri"/>
                <w:color w:val="000000"/>
                <w:sz w:val="20"/>
                <w:szCs w:val="18"/>
              </w:rPr>
              <w:t xml:space="preserve">Toxikologická vyšetření, monitorování hladiny toxikologicky významných látek, kontrolní vyšetření, </w:t>
            </w:r>
            <w:r>
              <w:rPr>
                <w:rFonts w:cs="Calibri"/>
                <w:color w:val="000000"/>
                <w:sz w:val="20"/>
                <w:szCs w:val="18"/>
              </w:rPr>
              <w:t>analýzy.</w:t>
            </w:r>
          </w:p>
        </w:tc>
      </w:tr>
      <w:tr w:rsidR="003A2F99" w:rsidRPr="003A2F99" w:rsidTr="00DA6B52">
        <w:trPr>
          <w:trHeight w:val="165"/>
        </w:trPr>
        <w:tc>
          <w:tcPr>
            <w:tcW w:w="2518" w:type="dxa"/>
            <w:tcBorders>
              <w:top w:val="single" w:sz="4" w:space="0" w:color="auto"/>
              <w:bottom w:val="single" w:sz="4" w:space="0" w:color="auto"/>
            </w:tcBorders>
          </w:tcPr>
          <w:p w:rsidR="003A2F99" w:rsidRPr="003A2F99" w:rsidRDefault="00990E2D" w:rsidP="003A2F99">
            <w:pPr>
              <w:autoSpaceDE w:val="0"/>
              <w:autoSpaceDN w:val="0"/>
              <w:adjustRightInd w:val="0"/>
              <w:spacing w:before="40" w:after="40"/>
              <w:jc w:val="left"/>
              <w:rPr>
                <w:rFonts w:cs="Calibri"/>
                <w:color w:val="000000"/>
                <w:sz w:val="20"/>
                <w:szCs w:val="18"/>
              </w:rPr>
            </w:pPr>
            <w:hyperlink r:id="rId154" w:history="1">
              <w:r w:rsidR="003A2F99" w:rsidRPr="003A2F99">
                <w:rPr>
                  <w:rFonts w:cs="Calibri"/>
                  <w:color w:val="0000FF" w:themeColor="hyperlink"/>
                  <w:sz w:val="20"/>
                  <w:szCs w:val="18"/>
                  <w:u w:val="single"/>
                </w:rPr>
                <w:t>Ústav soudního lékařství FN Ostrava</w:t>
              </w:r>
            </w:hyperlink>
          </w:p>
        </w:tc>
        <w:tc>
          <w:tcPr>
            <w:tcW w:w="1842" w:type="dxa"/>
            <w:tcBorders>
              <w:top w:val="single" w:sz="4" w:space="0" w:color="auto"/>
              <w:bottom w:val="single" w:sz="4" w:space="0" w:color="auto"/>
            </w:tcBorders>
          </w:tcPr>
          <w:p w:rsidR="003A2F99" w:rsidRPr="003A2F99" w:rsidRDefault="003A2F99" w:rsidP="003A2F99">
            <w:pPr>
              <w:autoSpaceDE w:val="0"/>
              <w:autoSpaceDN w:val="0"/>
              <w:adjustRightInd w:val="0"/>
              <w:spacing w:before="40" w:after="40"/>
              <w:jc w:val="left"/>
              <w:rPr>
                <w:rFonts w:cs="Calibri"/>
                <w:color w:val="000000"/>
                <w:sz w:val="20"/>
                <w:szCs w:val="18"/>
              </w:rPr>
            </w:pPr>
            <w:r w:rsidRPr="003A2F99">
              <w:rPr>
                <w:rFonts w:cs="Calibri"/>
                <w:color w:val="000000"/>
                <w:sz w:val="20"/>
                <w:szCs w:val="18"/>
              </w:rPr>
              <w:t>FN Ostrava</w:t>
            </w:r>
          </w:p>
        </w:tc>
        <w:tc>
          <w:tcPr>
            <w:tcW w:w="5104" w:type="dxa"/>
            <w:tcBorders>
              <w:top w:val="single" w:sz="4" w:space="0" w:color="auto"/>
              <w:bottom w:val="single" w:sz="4" w:space="0" w:color="auto"/>
            </w:tcBorders>
          </w:tcPr>
          <w:p w:rsidR="003A2F99" w:rsidRPr="003A2F99" w:rsidRDefault="003A2F99" w:rsidP="003A2F99">
            <w:pPr>
              <w:autoSpaceDE w:val="0"/>
              <w:autoSpaceDN w:val="0"/>
              <w:adjustRightInd w:val="0"/>
              <w:spacing w:before="40" w:after="40"/>
              <w:jc w:val="left"/>
              <w:rPr>
                <w:rFonts w:cs="Calibri"/>
                <w:color w:val="000000"/>
                <w:sz w:val="20"/>
                <w:szCs w:val="18"/>
              </w:rPr>
            </w:pPr>
            <w:r w:rsidRPr="003A2F99">
              <w:rPr>
                <w:rFonts w:cs="Calibri"/>
                <w:color w:val="000000"/>
                <w:sz w:val="20"/>
                <w:szCs w:val="18"/>
              </w:rPr>
              <w:t>Soudně-</w:t>
            </w:r>
            <w:r w:rsidRPr="003A2F99">
              <w:rPr>
                <w:sz w:val="20"/>
                <w:szCs w:val="20"/>
              </w:rPr>
              <w:t>lékařský servis (zdravotní pitvy, soudní pitvy, kompletní toxikologický servis</w:t>
            </w:r>
            <w:r>
              <w:rPr>
                <w:sz w:val="20"/>
                <w:szCs w:val="20"/>
              </w:rPr>
              <w:t>), l</w:t>
            </w:r>
            <w:r w:rsidRPr="003A2F99">
              <w:rPr>
                <w:sz w:val="20"/>
                <w:szCs w:val="20"/>
              </w:rPr>
              <w:t>aboratoř forenzní a klinické</w:t>
            </w:r>
            <w:r w:rsidRPr="003A2F99">
              <w:rPr>
                <w:rFonts w:cs="Calibri"/>
                <w:color w:val="000000"/>
                <w:sz w:val="20"/>
                <w:szCs w:val="18"/>
              </w:rPr>
              <w:t xml:space="preserve"> toxikologie - </w:t>
            </w:r>
          </w:p>
        </w:tc>
      </w:tr>
      <w:tr w:rsidR="003A2F99" w:rsidRPr="003A2F99" w:rsidTr="00DA6B52">
        <w:trPr>
          <w:trHeight w:val="165"/>
        </w:trPr>
        <w:tc>
          <w:tcPr>
            <w:tcW w:w="2518" w:type="dxa"/>
            <w:tcBorders>
              <w:top w:val="single" w:sz="4" w:space="0" w:color="auto"/>
              <w:bottom w:val="single" w:sz="4" w:space="0" w:color="auto"/>
            </w:tcBorders>
          </w:tcPr>
          <w:p w:rsidR="003A2F99" w:rsidRPr="003A2F99" w:rsidRDefault="00990E2D" w:rsidP="003A2F99">
            <w:pPr>
              <w:autoSpaceDE w:val="0"/>
              <w:autoSpaceDN w:val="0"/>
              <w:adjustRightInd w:val="0"/>
              <w:spacing w:before="40" w:after="40"/>
              <w:jc w:val="left"/>
              <w:rPr>
                <w:rFonts w:cs="Calibri"/>
                <w:color w:val="000000"/>
                <w:sz w:val="20"/>
                <w:szCs w:val="18"/>
              </w:rPr>
            </w:pPr>
            <w:hyperlink r:id="rId155" w:history="1">
              <w:r w:rsidR="003A2F99" w:rsidRPr="003A2F99">
                <w:rPr>
                  <w:rFonts w:cs="Calibri"/>
                  <w:color w:val="0000FF" w:themeColor="hyperlink"/>
                  <w:sz w:val="20"/>
                  <w:szCs w:val="18"/>
                  <w:u w:val="single"/>
                </w:rPr>
                <w:t>Ústav soudního lékařství a medicínského práva</w:t>
              </w:r>
            </w:hyperlink>
          </w:p>
        </w:tc>
        <w:tc>
          <w:tcPr>
            <w:tcW w:w="1842" w:type="dxa"/>
            <w:tcBorders>
              <w:top w:val="single" w:sz="4" w:space="0" w:color="auto"/>
              <w:bottom w:val="single" w:sz="4" w:space="0" w:color="auto"/>
            </w:tcBorders>
          </w:tcPr>
          <w:p w:rsidR="003A2F99" w:rsidRPr="003A2F99" w:rsidRDefault="003A2F99" w:rsidP="003A2F99">
            <w:pPr>
              <w:autoSpaceDE w:val="0"/>
              <w:autoSpaceDN w:val="0"/>
              <w:adjustRightInd w:val="0"/>
              <w:spacing w:before="40" w:after="40"/>
              <w:jc w:val="left"/>
              <w:rPr>
                <w:rFonts w:cs="Calibri"/>
                <w:color w:val="000000"/>
                <w:sz w:val="20"/>
                <w:szCs w:val="18"/>
              </w:rPr>
            </w:pPr>
            <w:r w:rsidRPr="003A2F99">
              <w:rPr>
                <w:rFonts w:cs="Calibri"/>
                <w:color w:val="000000"/>
                <w:sz w:val="20"/>
                <w:szCs w:val="18"/>
              </w:rPr>
              <w:t>FN Olomouc</w:t>
            </w:r>
          </w:p>
        </w:tc>
        <w:tc>
          <w:tcPr>
            <w:tcW w:w="5104" w:type="dxa"/>
            <w:tcBorders>
              <w:top w:val="single" w:sz="4" w:space="0" w:color="auto"/>
              <w:bottom w:val="single" w:sz="4" w:space="0" w:color="auto"/>
            </w:tcBorders>
          </w:tcPr>
          <w:p w:rsidR="003A2F99" w:rsidRPr="003A2F99" w:rsidRDefault="003A2F99" w:rsidP="006F6ED9">
            <w:pPr>
              <w:autoSpaceDE w:val="0"/>
              <w:autoSpaceDN w:val="0"/>
              <w:adjustRightInd w:val="0"/>
              <w:spacing w:before="40" w:after="40"/>
              <w:jc w:val="left"/>
              <w:rPr>
                <w:rFonts w:cs="Calibri"/>
                <w:color w:val="000000"/>
                <w:sz w:val="20"/>
                <w:szCs w:val="18"/>
              </w:rPr>
            </w:pPr>
            <w:r w:rsidRPr="003A2F99">
              <w:rPr>
                <w:sz w:val="20"/>
                <w:szCs w:val="20"/>
              </w:rPr>
              <w:t>Soudně-lékařské služby pro státní zdravotní správu i pro účely forenzně-medicínské</w:t>
            </w:r>
            <w:r w:rsidR="006F6ED9">
              <w:rPr>
                <w:sz w:val="20"/>
                <w:szCs w:val="20"/>
              </w:rPr>
              <w:t>, s</w:t>
            </w:r>
            <w:r w:rsidRPr="003A2F99">
              <w:rPr>
                <w:sz w:val="20"/>
                <w:szCs w:val="20"/>
              </w:rPr>
              <w:t>lužby klinické toxikologie</w:t>
            </w:r>
            <w:r w:rsidRPr="003A2F99">
              <w:rPr>
                <w:rFonts w:cs="Calibri"/>
                <w:color w:val="000000"/>
                <w:sz w:val="20"/>
                <w:szCs w:val="18"/>
              </w:rPr>
              <w:t xml:space="preserve"> pro FNOL.</w:t>
            </w:r>
          </w:p>
        </w:tc>
      </w:tr>
      <w:tr w:rsidR="003A2F99" w:rsidRPr="003A2F99" w:rsidTr="00DA6B52">
        <w:trPr>
          <w:trHeight w:val="165"/>
        </w:trPr>
        <w:tc>
          <w:tcPr>
            <w:tcW w:w="2518" w:type="dxa"/>
            <w:tcBorders>
              <w:top w:val="single" w:sz="4" w:space="0" w:color="auto"/>
              <w:bottom w:val="single" w:sz="4" w:space="0" w:color="auto"/>
            </w:tcBorders>
          </w:tcPr>
          <w:p w:rsidR="003A2F99" w:rsidRPr="003A2F99" w:rsidRDefault="00990E2D" w:rsidP="003A2F99">
            <w:pPr>
              <w:autoSpaceDE w:val="0"/>
              <w:autoSpaceDN w:val="0"/>
              <w:adjustRightInd w:val="0"/>
              <w:spacing w:before="40" w:after="40"/>
              <w:jc w:val="left"/>
              <w:rPr>
                <w:rFonts w:cs="Calibri"/>
                <w:color w:val="000000"/>
                <w:sz w:val="20"/>
                <w:szCs w:val="18"/>
              </w:rPr>
            </w:pPr>
            <w:hyperlink r:id="rId156" w:history="1">
              <w:r w:rsidR="003A2F99" w:rsidRPr="003A2F99">
                <w:rPr>
                  <w:rFonts w:cs="Calibri"/>
                  <w:color w:val="0000FF" w:themeColor="hyperlink"/>
                  <w:sz w:val="20"/>
                  <w:szCs w:val="18"/>
                  <w:u w:val="single"/>
                </w:rPr>
                <w:t>Ústav soudního lékařství v Hradci Králové</w:t>
              </w:r>
            </w:hyperlink>
          </w:p>
        </w:tc>
        <w:tc>
          <w:tcPr>
            <w:tcW w:w="1842" w:type="dxa"/>
            <w:tcBorders>
              <w:top w:val="single" w:sz="4" w:space="0" w:color="auto"/>
              <w:bottom w:val="single" w:sz="4" w:space="0" w:color="auto"/>
            </w:tcBorders>
          </w:tcPr>
          <w:p w:rsidR="003A2F99" w:rsidRPr="003A2F99" w:rsidRDefault="003A2F99" w:rsidP="003A2F99">
            <w:pPr>
              <w:autoSpaceDE w:val="0"/>
              <w:autoSpaceDN w:val="0"/>
              <w:adjustRightInd w:val="0"/>
              <w:spacing w:before="40" w:after="40"/>
              <w:jc w:val="left"/>
              <w:rPr>
                <w:rFonts w:cs="Calibri"/>
                <w:color w:val="000000"/>
                <w:sz w:val="20"/>
                <w:szCs w:val="18"/>
              </w:rPr>
            </w:pPr>
            <w:r w:rsidRPr="003A2F99">
              <w:rPr>
                <w:rFonts w:cs="Calibri"/>
                <w:color w:val="000000"/>
                <w:sz w:val="20"/>
                <w:szCs w:val="18"/>
              </w:rPr>
              <w:t>LF UK</w:t>
            </w:r>
          </w:p>
        </w:tc>
        <w:tc>
          <w:tcPr>
            <w:tcW w:w="5104" w:type="dxa"/>
            <w:tcBorders>
              <w:top w:val="single" w:sz="4" w:space="0" w:color="auto"/>
              <w:bottom w:val="single" w:sz="4" w:space="0" w:color="auto"/>
            </w:tcBorders>
          </w:tcPr>
          <w:p w:rsidR="003A2F99" w:rsidRPr="003A2F99" w:rsidRDefault="003A2F99" w:rsidP="006F6ED9">
            <w:pPr>
              <w:autoSpaceDE w:val="0"/>
              <w:autoSpaceDN w:val="0"/>
              <w:adjustRightInd w:val="0"/>
              <w:spacing w:before="40" w:after="40"/>
              <w:jc w:val="left"/>
              <w:rPr>
                <w:rFonts w:cs="Calibri"/>
                <w:color w:val="000000"/>
                <w:sz w:val="20"/>
                <w:szCs w:val="18"/>
              </w:rPr>
            </w:pPr>
            <w:r w:rsidRPr="003A2F99">
              <w:rPr>
                <w:sz w:val="20"/>
                <w:szCs w:val="20"/>
              </w:rPr>
              <w:t>Soudně</w:t>
            </w:r>
            <w:r w:rsidR="006F6ED9">
              <w:rPr>
                <w:sz w:val="20"/>
                <w:szCs w:val="20"/>
              </w:rPr>
              <w:t>-</w:t>
            </w:r>
            <w:r w:rsidRPr="003A2F99">
              <w:rPr>
                <w:sz w:val="20"/>
                <w:szCs w:val="20"/>
              </w:rPr>
              <w:t>lékařský servis</w:t>
            </w:r>
            <w:r w:rsidR="006F6ED9">
              <w:rPr>
                <w:sz w:val="20"/>
                <w:szCs w:val="20"/>
              </w:rPr>
              <w:t>, o</w:t>
            </w:r>
            <w:r w:rsidRPr="003A2F99">
              <w:rPr>
                <w:sz w:val="20"/>
                <w:szCs w:val="20"/>
              </w:rPr>
              <w:t>dborná a znalecká činnost pro Policii ČR a ostatní orgány činné v trestním řízení (pitvy, stanovení příčin úmrtí, konzultace apod</w:t>
            </w:r>
            <w:r w:rsidRPr="003A2F99">
              <w:rPr>
                <w:rFonts w:cs="Calibri"/>
                <w:color w:val="000000"/>
                <w:sz w:val="20"/>
                <w:szCs w:val="18"/>
              </w:rPr>
              <w:t>.)</w:t>
            </w:r>
          </w:p>
        </w:tc>
      </w:tr>
      <w:tr w:rsidR="003A2F99" w:rsidRPr="003A2F99" w:rsidTr="00DA6B52">
        <w:trPr>
          <w:trHeight w:val="165"/>
        </w:trPr>
        <w:tc>
          <w:tcPr>
            <w:tcW w:w="2518" w:type="dxa"/>
            <w:tcBorders>
              <w:top w:val="single" w:sz="4" w:space="0" w:color="auto"/>
              <w:bottom w:val="single" w:sz="4" w:space="0" w:color="auto"/>
            </w:tcBorders>
          </w:tcPr>
          <w:p w:rsidR="003A2F99" w:rsidRPr="003A2F99" w:rsidRDefault="00990E2D" w:rsidP="003A2F99">
            <w:pPr>
              <w:autoSpaceDE w:val="0"/>
              <w:autoSpaceDN w:val="0"/>
              <w:adjustRightInd w:val="0"/>
              <w:spacing w:before="40" w:after="40"/>
              <w:jc w:val="left"/>
              <w:rPr>
                <w:rFonts w:cs="Calibri"/>
                <w:color w:val="000000"/>
                <w:sz w:val="20"/>
                <w:szCs w:val="18"/>
              </w:rPr>
            </w:pPr>
            <w:hyperlink r:id="rId157" w:history="1">
              <w:r w:rsidR="003A2F99" w:rsidRPr="003A2F99">
                <w:rPr>
                  <w:rFonts w:cs="Calibri"/>
                  <w:color w:val="0000FF" w:themeColor="hyperlink"/>
                  <w:sz w:val="20"/>
                  <w:szCs w:val="18"/>
                  <w:u w:val="single"/>
                </w:rPr>
                <w:t>Vojenský ústav soudního lékařství</w:t>
              </w:r>
            </w:hyperlink>
          </w:p>
        </w:tc>
        <w:tc>
          <w:tcPr>
            <w:tcW w:w="1842" w:type="dxa"/>
            <w:tcBorders>
              <w:top w:val="single" w:sz="4" w:space="0" w:color="auto"/>
              <w:bottom w:val="single" w:sz="4" w:space="0" w:color="auto"/>
            </w:tcBorders>
          </w:tcPr>
          <w:p w:rsidR="003A2F99" w:rsidRPr="003A2F99" w:rsidRDefault="003A2F99" w:rsidP="003A2F99">
            <w:pPr>
              <w:autoSpaceDE w:val="0"/>
              <w:autoSpaceDN w:val="0"/>
              <w:adjustRightInd w:val="0"/>
              <w:spacing w:before="40" w:after="40"/>
              <w:jc w:val="left"/>
              <w:rPr>
                <w:rFonts w:cs="Calibri"/>
                <w:color w:val="000000"/>
                <w:sz w:val="20"/>
                <w:szCs w:val="18"/>
              </w:rPr>
            </w:pPr>
            <w:r w:rsidRPr="003A2F99">
              <w:rPr>
                <w:rFonts w:cs="Calibri"/>
                <w:color w:val="000000"/>
                <w:sz w:val="20"/>
                <w:szCs w:val="18"/>
              </w:rPr>
              <w:t>ÚVN Praha</w:t>
            </w:r>
          </w:p>
        </w:tc>
        <w:tc>
          <w:tcPr>
            <w:tcW w:w="5104" w:type="dxa"/>
            <w:tcBorders>
              <w:top w:val="single" w:sz="4" w:space="0" w:color="auto"/>
              <w:bottom w:val="single" w:sz="4" w:space="0" w:color="auto"/>
            </w:tcBorders>
          </w:tcPr>
          <w:p w:rsidR="003A2F99" w:rsidRPr="003A2F99" w:rsidRDefault="003A2F99" w:rsidP="006F6ED9">
            <w:pPr>
              <w:autoSpaceDE w:val="0"/>
              <w:autoSpaceDN w:val="0"/>
              <w:adjustRightInd w:val="0"/>
              <w:spacing w:before="40" w:after="40"/>
              <w:jc w:val="left"/>
              <w:rPr>
                <w:rFonts w:cs="Calibri"/>
                <w:color w:val="000000"/>
                <w:sz w:val="20"/>
                <w:szCs w:val="18"/>
              </w:rPr>
            </w:pPr>
            <w:r w:rsidRPr="003A2F99">
              <w:rPr>
                <w:sz w:val="20"/>
                <w:szCs w:val="20"/>
              </w:rPr>
              <w:t>Pitvy u náhlých a násilných úmrtí, pro účely zdravotní i pro potřeby vyšetřování o</w:t>
            </w:r>
            <w:r w:rsidR="006F6ED9">
              <w:rPr>
                <w:sz w:val="20"/>
                <w:szCs w:val="20"/>
              </w:rPr>
              <w:t>rgány činnými v trestním řízení, f</w:t>
            </w:r>
            <w:r w:rsidRPr="003A2F99">
              <w:rPr>
                <w:sz w:val="20"/>
                <w:szCs w:val="20"/>
              </w:rPr>
              <w:t>orenzně toxikologická vyšetření</w:t>
            </w:r>
            <w:r w:rsidR="006F6ED9">
              <w:rPr>
                <w:sz w:val="20"/>
                <w:szCs w:val="20"/>
              </w:rPr>
              <w:t>.</w:t>
            </w:r>
          </w:p>
        </w:tc>
      </w:tr>
      <w:tr w:rsidR="003A2F99" w:rsidRPr="003A2F99" w:rsidTr="00DA6B52">
        <w:trPr>
          <w:trHeight w:val="165"/>
        </w:trPr>
        <w:tc>
          <w:tcPr>
            <w:tcW w:w="2518" w:type="dxa"/>
            <w:tcBorders>
              <w:top w:val="single" w:sz="4" w:space="0" w:color="auto"/>
              <w:bottom w:val="single" w:sz="4" w:space="0" w:color="auto"/>
            </w:tcBorders>
          </w:tcPr>
          <w:p w:rsidR="003A2F99" w:rsidRPr="003A2F99" w:rsidRDefault="00990E2D" w:rsidP="003A2F99">
            <w:pPr>
              <w:autoSpaceDE w:val="0"/>
              <w:autoSpaceDN w:val="0"/>
              <w:adjustRightInd w:val="0"/>
              <w:spacing w:before="40" w:after="40"/>
              <w:jc w:val="left"/>
              <w:rPr>
                <w:rFonts w:cs="Calibri"/>
                <w:color w:val="000000"/>
                <w:sz w:val="20"/>
                <w:szCs w:val="18"/>
              </w:rPr>
            </w:pPr>
            <w:hyperlink r:id="rId158" w:history="1">
              <w:r w:rsidR="003A2F99" w:rsidRPr="003A2F99">
                <w:rPr>
                  <w:rFonts w:cs="Calibri"/>
                  <w:color w:val="0000FF" w:themeColor="hyperlink"/>
                  <w:sz w:val="20"/>
                  <w:szCs w:val="18"/>
                  <w:u w:val="single"/>
                </w:rPr>
                <w:t>Ústav soudního lékařství v Plzni</w:t>
              </w:r>
            </w:hyperlink>
          </w:p>
        </w:tc>
        <w:tc>
          <w:tcPr>
            <w:tcW w:w="1842" w:type="dxa"/>
            <w:tcBorders>
              <w:top w:val="single" w:sz="4" w:space="0" w:color="auto"/>
              <w:bottom w:val="single" w:sz="4" w:space="0" w:color="auto"/>
            </w:tcBorders>
          </w:tcPr>
          <w:p w:rsidR="003A2F99" w:rsidRPr="003A2F99" w:rsidRDefault="003A2F99" w:rsidP="003A2F99">
            <w:pPr>
              <w:autoSpaceDE w:val="0"/>
              <w:autoSpaceDN w:val="0"/>
              <w:adjustRightInd w:val="0"/>
              <w:spacing w:before="40" w:after="40"/>
              <w:jc w:val="left"/>
              <w:rPr>
                <w:rFonts w:cs="Calibri"/>
                <w:color w:val="000000"/>
                <w:sz w:val="20"/>
                <w:szCs w:val="18"/>
              </w:rPr>
            </w:pPr>
            <w:r w:rsidRPr="003A2F99">
              <w:rPr>
                <w:rFonts w:cs="Calibri"/>
                <w:color w:val="000000"/>
                <w:sz w:val="20"/>
                <w:szCs w:val="18"/>
              </w:rPr>
              <w:t>FN Plzeň</w:t>
            </w:r>
          </w:p>
          <w:p w:rsidR="003A2F99" w:rsidRPr="003A2F99" w:rsidRDefault="003A2F99" w:rsidP="003A2F99">
            <w:pPr>
              <w:autoSpaceDE w:val="0"/>
              <w:autoSpaceDN w:val="0"/>
              <w:adjustRightInd w:val="0"/>
              <w:spacing w:before="40" w:after="40"/>
              <w:jc w:val="left"/>
              <w:rPr>
                <w:rFonts w:cs="Calibri"/>
                <w:color w:val="000000"/>
                <w:sz w:val="20"/>
                <w:szCs w:val="18"/>
              </w:rPr>
            </w:pPr>
          </w:p>
        </w:tc>
        <w:tc>
          <w:tcPr>
            <w:tcW w:w="5104" w:type="dxa"/>
            <w:tcBorders>
              <w:top w:val="single" w:sz="4" w:space="0" w:color="auto"/>
              <w:bottom w:val="single" w:sz="4" w:space="0" w:color="auto"/>
            </w:tcBorders>
          </w:tcPr>
          <w:p w:rsidR="003A2F99" w:rsidRPr="003A2F99" w:rsidRDefault="003A2F99" w:rsidP="003A2F99">
            <w:pPr>
              <w:autoSpaceDE w:val="0"/>
              <w:autoSpaceDN w:val="0"/>
              <w:adjustRightInd w:val="0"/>
              <w:spacing w:before="40" w:after="40"/>
              <w:jc w:val="left"/>
              <w:rPr>
                <w:sz w:val="20"/>
                <w:szCs w:val="20"/>
              </w:rPr>
            </w:pPr>
            <w:r w:rsidRPr="003A2F99">
              <w:rPr>
                <w:sz w:val="20"/>
                <w:szCs w:val="20"/>
              </w:rPr>
              <w:t>Soudně lékařské služby (pitvy, příčiny smrti apod.)</w:t>
            </w:r>
            <w:r w:rsidR="006F6ED9">
              <w:rPr>
                <w:sz w:val="20"/>
                <w:szCs w:val="20"/>
              </w:rPr>
              <w:t>, f</w:t>
            </w:r>
            <w:r w:rsidRPr="003A2F99">
              <w:rPr>
                <w:sz w:val="20"/>
                <w:szCs w:val="20"/>
              </w:rPr>
              <w:t>orenzní toxikologie</w:t>
            </w:r>
            <w:r w:rsidR="006F6ED9">
              <w:rPr>
                <w:sz w:val="20"/>
                <w:szCs w:val="20"/>
              </w:rPr>
              <w:t xml:space="preserve"> a </w:t>
            </w:r>
            <w:r w:rsidRPr="003A2F99">
              <w:rPr>
                <w:sz w:val="20"/>
                <w:szCs w:val="20"/>
              </w:rPr>
              <w:t>sérologie</w:t>
            </w:r>
            <w:r w:rsidR="006F6ED9">
              <w:rPr>
                <w:sz w:val="20"/>
                <w:szCs w:val="20"/>
              </w:rPr>
              <w:t>, h</w:t>
            </w:r>
            <w:r w:rsidRPr="003A2F99">
              <w:rPr>
                <w:sz w:val="20"/>
                <w:szCs w:val="20"/>
              </w:rPr>
              <w:t>istologie</w:t>
            </w:r>
          </w:p>
        </w:tc>
      </w:tr>
      <w:tr w:rsidR="003A2F99" w:rsidRPr="003A2F99" w:rsidTr="00DA6B52">
        <w:trPr>
          <w:trHeight w:val="165"/>
        </w:trPr>
        <w:tc>
          <w:tcPr>
            <w:tcW w:w="2518" w:type="dxa"/>
            <w:tcBorders>
              <w:top w:val="single" w:sz="4" w:space="0" w:color="auto"/>
              <w:bottom w:val="single" w:sz="4" w:space="0" w:color="auto"/>
            </w:tcBorders>
          </w:tcPr>
          <w:p w:rsidR="003A2F99" w:rsidRPr="003A2F99" w:rsidRDefault="00990E2D" w:rsidP="003A2F99">
            <w:pPr>
              <w:autoSpaceDE w:val="0"/>
              <w:autoSpaceDN w:val="0"/>
              <w:adjustRightInd w:val="0"/>
              <w:spacing w:before="40" w:after="40"/>
              <w:jc w:val="left"/>
              <w:rPr>
                <w:rFonts w:cs="Calibri"/>
                <w:color w:val="000000"/>
                <w:sz w:val="20"/>
                <w:szCs w:val="18"/>
              </w:rPr>
            </w:pPr>
            <w:hyperlink r:id="rId159" w:history="1">
              <w:r w:rsidR="003A2F99" w:rsidRPr="003A2F99">
                <w:rPr>
                  <w:rFonts w:cs="Calibri"/>
                  <w:color w:val="0000FF" w:themeColor="hyperlink"/>
                  <w:sz w:val="20"/>
                  <w:szCs w:val="18"/>
                  <w:u w:val="single"/>
                </w:rPr>
                <w:t>Ústav soudního inženýrství</w:t>
              </w:r>
            </w:hyperlink>
          </w:p>
        </w:tc>
        <w:tc>
          <w:tcPr>
            <w:tcW w:w="1842" w:type="dxa"/>
            <w:tcBorders>
              <w:top w:val="single" w:sz="4" w:space="0" w:color="auto"/>
              <w:bottom w:val="single" w:sz="4" w:space="0" w:color="auto"/>
            </w:tcBorders>
          </w:tcPr>
          <w:p w:rsidR="003A2F99" w:rsidRPr="003A2F99" w:rsidRDefault="003A2F99" w:rsidP="003A2F99">
            <w:pPr>
              <w:autoSpaceDE w:val="0"/>
              <w:autoSpaceDN w:val="0"/>
              <w:adjustRightInd w:val="0"/>
              <w:spacing w:before="40" w:after="40"/>
              <w:jc w:val="left"/>
              <w:rPr>
                <w:rFonts w:cs="Calibri"/>
                <w:color w:val="000000"/>
                <w:sz w:val="20"/>
                <w:szCs w:val="18"/>
              </w:rPr>
            </w:pPr>
            <w:r w:rsidRPr="003A2F99">
              <w:rPr>
                <w:rFonts w:cs="Calibri"/>
                <w:color w:val="000000"/>
                <w:sz w:val="20"/>
                <w:szCs w:val="18"/>
              </w:rPr>
              <w:t>VUT v Brně</w:t>
            </w:r>
          </w:p>
        </w:tc>
        <w:tc>
          <w:tcPr>
            <w:tcW w:w="5104" w:type="dxa"/>
            <w:tcBorders>
              <w:top w:val="single" w:sz="4" w:space="0" w:color="auto"/>
              <w:bottom w:val="single" w:sz="4" w:space="0" w:color="auto"/>
            </w:tcBorders>
          </w:tcPr>
          <w:p w:rsidR="003A2F99" w:rsidRPr="003A2F99" w:rsidRDefault="003A2F99" w:rsidP="00F06AFC">
            <w:pPr>
              <w:autoSpaceDE w:val="0"/>
              <w:autoSpaceDN w:val="0"/>
              <w:adjustRightInd w:val="0"/>
              <w:spacing w:before="40" w:after="40"/>
              <w:jc w:val="left"/>
              <w:rPr>
                <w:rFonts w:cs="Calibri"/>
                <w:color w:val="000000"/>
                <w:sz w:val="20"/>
                <w:szCs w:val="18"/>
              </w:rPr>
            </w:pPr>
            <w:r w:rsidRPr="003A2F99">
              <w:rPr>
                <w:rFonts w:cs="Calibri"/>
                <w:color w:val="000000"/>
                <w:sz w:val="20"/>
                <w:szCs w:val="18"/>
              </w:rPr>
              <w:t>Znalecká činnost</w:t>
            </w:r>
            <w:r w:rsidR="006F6ED9">
              <w:rPr>
                <w:rFonts w:cs="Calibri"/>
                <w:color w:val="000000"/>
                <w:sz w:val="20"/>
                <w:szCs w:val="18"/>
              </w:rPr>
              <w:t xml:space="preserve"> </w:t>
            </w:r>
            <w:r w:rsidR="00F06AFC">
              <w:rPr>
                <w:rFonts w:cs="Calibri"/>
                <w:color w:val="000000"/>
                <w:sz w:val="20"/>
                <w:szCs w:val="18"/>
              </w:rPr>
              <w:t xml:space="preserve">- </w:t>
            </w:r>
            <w:r w:rsidR="006F6ED9">
              <w:rPr>
                <w:rFonts w:cs="Calibri"/>
                <w:color w:val="000000"/>
                <w:sz w:val="20"/>
                <w:szCs w:val="18"/>
              </w:rPr>
              <w:t>d</w:t>
            </w:r>
            <w:r w:rsidRPr="003A2F99">
              <w:rPr>
                <w:sz w:val="20"/>
                <w:szCs w:val="20"/>
              </w:rPr>
              <w:t>oprava</w:t>
            </w:r>
            <w:r w:rsidR="006F6ED9">
              <w:rPr>
                <w:sz w:val="20"/>
                <w:szCs w:val="20"/>
              </w:rPr>
              <w:t>, e</w:t>
            </w:r>
            <w:r w:rsidRPr="003A2F99">
              <w:rPr>
                <w:sz w:val="20"/>
                <w:szCs w:val="20"/>
              </w:rPr>
              <w:t>konomika</w:t>
            </w:r>
            <w:r w:rsidR="006F6ED9">
              <w:rPr>
                <w:sz w:val="20"/>
                <w:szCs w:val="20"/>
              </w:rPr>
              <w:t>, p</w:t>
            </w:r>
            <w:r w:rsidRPr="003A2F99">
              <w:rPr>
                <w:sz w:val="20"/>
                <w:szCs w:val="20"/>
              </w:rPr>
              <w:t>rojektování</w:t>
            </w:r>
            <w:r w:rsidR="006F6ED9">
              <w:rPr>
                <w:sz w:val="20"/>
                <w:szCs w:val="20"/>
              </w:rPr>
              <w:t>, stavebnictví, s</w:t>
            </w:r>
            <w:r w:rsidRPr="003A2F99">
              <w:rPr>
                <w:sz w:val="20"/>
                <w:szCs w:val="20"/>
              </w:rPr>
              <w:t>trojírenství</w:t>
            </w:r>
            <w:r w:rsidR="006F6ED9">
              <w:rPr>
                <w:sz w:val="20"/>
                <w:szCs w:val="20"/>
              </w:rPr>
              <w:t>, v</w:t>
            </w:r>
            <w:r w:rsidRPr="003A2F99">
              <w:rPr>
                <w:sz w:val="20"/>
                <w:szCs w:val="20"/>
              </w:rPr>
              <w:t>odní hospodářství</w:t>
            </w:r>
            <w:r w:rsidR="006F6ED9">
              <w:rPr>
                <w:sz w:val="20"/>
                <w:szCs w:val="20"/>
              </w:rPr>
              <w:t>, l</w:t>
            </w:r>
            <w:r w:rsidRPr="003A2F99">
              <w:rPr>
                <w:rFonts w:cs="Calibri"/>
                <w:color w:val="000000"/>
                <w:sz w:val="20"/>
                <w:szCs w:val="18"/>
              </w:rPr>
              <w:t xml:space="preserve">aboratoře forenzního inženýrství </w:t>
            </w:r>
            <w:r w:rsidR="006F6ED9">
              <w:rPr>
                <w:rFonts w:cs="Calibri"/>
                <w:color w:val="000000"/>
                <w:sz w:val="20"/>
                <w:szCs w:val="18"/>
              </w:rPr>
              <w:t>(</w:t>
            </w:r>
            <w:r w:rsidRPr="003A2F99">
              <w:rPr>
                <w:rFonts w:cs="Calibri"/>
                <w:color w:val="000000"/>
                <w:sz w:val="20"/>
                <w:szCs w:val="18"/>
              </w:rPr>
              <w:t>forenzní ekotechnika</w:t>
            </w:r>
            <w:r w:rsidR="006F6ED9">
              <w:rPr>
                <w:rFonts w:cs="Calibri"/>
                <w:color w:val="000000"/>
                <w:sz w:val="20"/>
                <w:szCs w:val="18"/>
              </w:rPr>
              <w:t>)</w:t>
            </w:r>
          </w:p>
        </w:tc>
      </w:tr>
      <w:tr w:rsidR="003A2F99" w:rsidRPr="003A2F99" w:rsidTr="00DA6B52">
        <w:trPr>
          <w:trHeight w:val="165"/>
        </w:trPr>
        <w:tc>
          <w:tcPr>
            <w:tcW w:w="2518" w:type="dxa"/>
            <w:tcBorders>
              <w:top w:val="single" w:sz="4" w:space="0" w:color="auto"/>
              <w:bottom w:val="single" w:sz="4" w:space="0" w:color="auto"/>
            </w:tcBorders>
          </w:tcPr>
          <w:p w:rsidR="003A2F99" w:rsidRPr="003A2F99" w:rsidRDefault="00990E2D" w:rsidP="003A2F99">
            <w:pPr>
              <w:autoSpaceDE w:val="0"/>
              <w:autoSpaceDN w:val="0"/>
              <w:adjustRightInd w:val="0"/>
              <w:spacing w:before="40" w:after="40"/>
              <w:jc w:val="left"/>
              <w:rPr>
                <w:rFonts w:cs="Calibri"/>
                <w:color w:val="000000"/>
                <w:sz w:val="20"/>
                <w:szCs w:val="18"/>
              </w:rPr>
            </w:pPr>
            <w:hyperlink r:id="rId160" w:history="1">
              <w:r w:rsidR="003A2F99" w:rsidRPr="003A2F99">
                <w:rPr>
                  <w:rFonts w:cs="Calibri"/>
                  <w:color w:val="0000FF" w:themeColor="hyperlink"/>
                  <w:sz w:val="20"/>
                  <w:szCs w:val="18"/>
                  <w:u w:val="single"/>
                </w:rPr>
                <w:t>Ústav soudního znalectví v dopravě</w:t>
              </w:r>
            </w:hyperlink>
          </w:p>
        </w:tc>
        <w:tc>
          <w:tcPr>
            <w:tcW w:w="1842" w:type="dxa"/>
            <w:tcBorders>
              <w:top w:val="single" w:sz="4" w:space="0" w:color="auto"/>
              <w:bottom w:val="single" w:sz="4" w:space="0" w:color="auto"/>
            </w:tcBorders>
          </w:tcPr>
          <w:p w:rsidR="003A2F99" w:rsidRPr="003A2F99" w:rsidRDefault="003A2F99" w:rsidP="003A2F99">
            <w:pPr>
              <w:autoSpaceDE w:val="0"/>
              <w:autoSpaceDN w:val="0"/>
              <w:adjustRightInd w:val="0"/>
              <w:spacing w:before="40" w:after="40"/>
              <w:jc w:val="left"/>
              <w:rPr>
                <w:rFonts w:cs="Calibri"/>
                <w:color w:val="000000"/>
                <w:sz w:val="20"/>
                <w:szCs w:val="18"/>
              </w:rPr>
            </w:pPr>
            <w:r w:rsidRPr="003A2F99">
              <w:rPr>
                <w:rFonts w:cs="Calibri"/>
                <w:color w:val="000000"/>
                <w:sz w:val="20"/>
                <w:szCs w:val="18"/>
              </w:rPr>
              <w:t>Fakulta dopravní, ČVUT v Praze</w:t>
            </w:r>
          </w:p>
        </w:tc>
        <w:tc>
          <w:tcPr>
            <w:tcW w:w="5104" w:type="dxa"/>
            <w:tcBorders>
              <w:top w:val="single" w:sz="4" w:space="0" w:color="auto"/>
              <w:bottom w:val="single" w:sz="4" w:space="0" w:color="auto"/>
            </w:tcBorders>
          </w:tcPr>
          <w:p w:rsidR="003A2F99" w:rsidRPr="003A2F99" w:rsidRDefault="003A2F99" w:rsidP="006F6ED9">
            <w:pPr>
              <w:autoSpaceDE w:val="0"/>
              <w:autoSpaceDN w:val="0"/>
              <w:adjustRightInd w:val="0"/>
              <w:spacing w:before="40" w:after="40"/>
              <w:jc w:val="left"/>
              <w:rPr>
                <w:rFonts w:cs="Calibri"/>
                <w:color w:val="000000"/>
                <w:sz w:val="20"/>
                <w:szCs w:val="18"/>
              </w:rPr>
            </w:pPr>
            <w:r w:rsidRPr="003A2F99">
              <w:rPr>
                <w:rFonts w:cs="Calibri"/>
                <w:color w:val="000000"/>
                <w:sz w:val="20"/>
                <w:szCs w:val="18"/>
              </w:rPr>
              <w:t xml:space="preserve">Znalecká činnost </w:t>
            </w:r>
            <w:r w:rsidR="006F6ED9">
              <w:rPr>
                <w:rFonts w:cs="Calibri"/>
                <w:color w:val="000000"/>
                <w:sz w:val="20"/>
                <w:szCs w:val="18"/>
              </w:rPr>
              <w:t>(</w:t>
            </w:r>
            <w:r w:rsidRPr="003A2F99">
              <w:rPr>
                <w:rFonts w:cs="Calibri"/>
                <w:color w:val="000000"/>
                <w:sz w:val="20"/>
                <w:szCs w:val="18"/>
              </w:rPr>
              <w:t>doprava a spoje, dopravní nehod</w:t>
            </w:r>
            <w:r w:rsidR="006F6ED9">
              <w:rPr>
                <w:rFonts w:cs="Calibri"/>
                <w:color w:val="000000"/>
                <w:sz w:val="20"/>
                <w:szCs w:val="18"/>
              </w:rPr>
              <w:t>y</w:t>
            </w:r>
            <w:r w:rsidRPr="003A2F99">
              <w:rPr>
                <w:rFonts w:cs="Calibri"/>
                <w:color w:val="000000"/>
                <w:sz w:val="20"/>
                <w:szCs w:val="18"/>
              </w:rPr>
              <w:t>, pozemní komunikac</w:t>
            </w:r>
            <w:r w:rsidR="006F6ED9">
              <w:rPr>
                <w:rFonts w:cs="Calibri"/>
                <w:color w:val="000000"/>
                <w:sz w:val="20"/>
                <w:szCs w:val="18"/>
              </w:rPr>
              <w:t>e</w:t>
            </w:r>
            <w:r w:rsidRPr="003A2F99">
              <w:rPr>
                <w:rFonts w:cs="Calibri"/>
                <w:color w:val="000000"/>
                <w:sz w:val="20"/>
                <w:szCs w:val="18"/>
              </w:rPr>
              <w:t xml:space="preserve"> z hlediska bezpečnosti</w:t>
            </w:r>
            <w:r w:rsidR="006F6ED9">
              <w:rPr>
                <w:rFonts w:cs="Calibri"/>
                <w:color w:val="000000"/>
                <w:sz w:val="20"/>
                <w:szCs w:val="18"/>
              </w:rPr>
              <w:t>,</w:t>
            </w:r>
            <w:r w:rsidRPr="003A2F99">
              <w:rPr>
                <w:rFonts w:cs="Calibri"/>
                <w:color w:val="000000"/>
                <w:sz w:val="20"/>
                <w:szCs w:val="18"/>
              </w:rPr>
              <w:t xml:space="preserve"> technického stav</w:t>
            </w:r>
            <w:r w:rsidR="006F6ED9">
              <w:rPr>
                <w:rFonts w:cs="Calibri"/>
                <w:color w:val="000000"/>
                <w:sz w:val="20"/>
                <w:szCs w:val="18"/>
              </w:rPr>
              <w:t>)</w:t>
            </w:r>
          </w:p>
        </w:tc>
      </w:tr>
      <w:tr w:rsidR="003A2F99" w:rsidRPr="003A2F99" w:rsidTr="00DA6B52">
        <w:trPr>
          <w:trHeight w:val="165"/>
        </w:trPr>
        <w:tc>
          <w:tcPr>
            <w:tcW w:w="2518" w:type="dxa"/>
            <w:tcBorders>
              <w:top w:val="single" w:sz="4" w:space="0" w:color="auto"/>
              <w:bottom w:val="single" w:sz="4" w:space="0" w:color="auto"/>
            </w:tcBorders>
          </w:tcPr>
          <w:p w:rsidR="003A2F99" w:rsidRPr="003A2F99" w:rsidRDefault="00990E2D" w:rsidP="003A2F99">
            <w:pPr>
              <w:rPr>
                <w:sz w:val="20"/>
                <w:szCs w:val="20"/>
              </w:rPr>
            </w:pPr>
            <w:hyperlink r:id="rId161" w:history="1">
              <w:r w:rsidR="003A2F99" w:rsidRPr="0076540D">
                <w:rPr>
                  <w:rStyle w:val="Hypertextovodkaz"/>
                  <w:sz w:val="20"/>
                  <w:szCs w:val="20"/>
                </w:rPr>
                <w:t>Znalecký ústav bezpečnosti a ochrany zdraví</w:t>
              </w:r>
              <w:r w:rsidR="0076540D" w:rsidRPr="0076540D">
                <w:rPr>
                  <w:rStyle w:val="Hypertextovodkaz"/>
                  <w:sz w:val="20"/>
                  <w:szCs w:val="20"/>
                </w:rPr>
                <w:t>, z.ú.</w:t>
              </w:r>
            </w:hyperlink>
          </w:p>
        </w:tc>
        <w:tc>
          <w:tcPr>
            <w:tcW w:w="1842" w:type="dxa"/>
            <w:tcBorders>
              <w:top w:val="single" w:sz="4" w:space="0" w:color="auto"/>
              <w:bottom w:val="single" w:sz="4" w:space="0" w:color="auto"/>
            </w:tcBorders>
          </w:tcPr>
          <w:p w:rsidR="003A2F99" w:rsidRPr="003A2F99" w:rsidRDefault="0076540D" w:rsidP="003A2F99">
            <w:pPr>
              <w:rPr>
                <w:sz w:val="20"/>
                <w:szCs w:val="20"/>
              </w:rPr>
            </w:pPr>
            <w:r>
              <w:rPr>
                <w:sz w:val="20"/>
                <w:szCs w:val="20"/>
              </w:rPr>
              <w:t>Pardubice, Praha</w:t>
            </w:r>
          </w:p>
        </w:tc>
        <w:tc>
          <w:tcPr>
            <w:tcW w:w="5104" w:type="dxa"/>
            <w:tcBorders>
              <w:top w:val="single" w:sz="4" w:space="0" w:color="auto"/>
              <w:bottom w:val="single" w:sz="4" w:space="0" w:color="auto"/>
            </w:tcBorders>
          </w:tcPr>
          <w:p w:rsidR="003A2F99" w:rsidRPr="003A2F99" w:rsidRDefault="003A2F99" w:rsidP="003A2F99">
            <w:pPr>
              <w:rPr>
                <w:sz w:val="20"/>
                <w:szCs w:val="20"/>
              </w:rPr>
            </w:pPr>
            <w:r w:rsidRPr="003A2F99">
              <w:rPr>
                <w:sz w:val="20"/>
                <w:szCs w:val="20"/>
              </w:rPr>
              <w:t>Znalecká činnost - posudky, stanoviska, analýzy, BOZP (ergonomie, požární ochrana, prevence nehod, bezpečnostní inženýrství, management rizik)</w:t>
            </w:r>
          </w:p>
        </w:tc>
      </w:tr>
    </w:tbl>
    <w:p w:rsidR="0027643D" w:rsidRPr="0027643D" w:rsidRDefault="0027643D" w:rsidP="0027643D">
      <w:pPr>
        <w:rPr>
          <w:lang w:eastAsia="cs-CZ"/>
        </w:rPr>
      </w:pPr>
    </w:p>
    <w:p w:rsidR="00D81101" w:rsidRPr="00593611" w:rsidRDefault="007C28F3" w:rsidP="007C28F3">
      <w:pPr>
        <w:pStyle w:val="Nadpis3"/>
      </w:pPr>
      <w:bookmarkStart w:id="253" w:name="_Ref454181866"/>
      <w:bookmarkStart w:id="254" w:name="_Toc459723335"/>
      <w:r w:rsidRPr="007C28F3">
        <w:t>Státní úřady a jejich součásti, technické a zkušební ústavy, zkušební a experimentální polygony, instituce zabývající se problematikou bezpečnosti</w:t>
      </w:r>
      <w:bookmarkEnd w:id="253"/>
      <w:bookmarkEnd w:id="254"/>
    </w:p>
    <w:tbl>
      <w:tblPr>
        <w:tblW w:w="0" w:type="auto"/>
        <w:tblLook w:val="04A0" w:firstRow="1" w:lastRow="0" w:firstColumn="1" w:lastColumn="0" w:noHBand="0" w:noVBand="1"/>
      </w:tblPr>
      <w:tblGrid>
        <w:gridCol w:w="9354"/>
      </w:tblGrid>
      <w:tr w:rsidR="00741683" w:rsidTr="001D5000">
        <w:tc>
          <w:tcPr>
            <w:tcW w:w="9354"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741683" w:rsidRDefault="00741683" w:rsidP="00D6617B">
            <w:r>
              <w:t xml:space="preserve">Vysokým potenciál pro zkušebnictví mají technické a zkušební ústavy, </w:t>
            </w:r>
            <w:r w:rsidR="00D6617B">
              <w:t xml:space="preserve">které provádějí </w:t>
            </w:r>
            <w:r>
              <w:t>speciální měření, zkoušky</w:t>
            </w:r>
            <w:r w:rsidR="00D6617B">
              <w:t>,</w:t>
            </w:r>
            <w:r>
              <w:t xml:space="preserve"> testy a ověřování nových výrobků, technologií a procesů. V ČR existuje i několik zkušebních polygonů, kde je možné provádět náročné testy nezbytné v oblasti bezpečnosti. </w:t>
            </w:r>
          </w:p>
        </w:tc>
      </w:tr>
    </w:tbl>
    <w:p w:rsidR="00D81101" w:rsidRDefault="00AE54C3" w:rsidP="0054347A">
      <w:r>
        <w:t>V</w:t>
      </w:r>
      <w:r w:rsidR="00F06AFC">
        <w:t xml:space="preserve">ysoký potenciál pro </w:t>
      </w:r>
      <w:r>
        <w:t xml:space="preserve">zkušebnictví mají technické a zkušební ústavy, </w:t>
      </w:r>
      <w:r w:rsidR="007810BA">
        <w:t xml:space="preserve">které realizují </w:t>
      </w:r>
      <w:r w:rsidR="003F338A">
        <w:t>speciální</w:t>
      </w:r>
      <w:r w:rsidR="007810BA">
        <w:t>ch</w:t>
      </w:r>
      <w:r w:rsidR="003F338A">
        <w:t xml:space="preserve"> měření, zkouš</w:t>
      </w:r>
      <w:r w:rsidR="007810BA">
        <w:t>ky</w:t>
      </w:r>
      <w:r w:rsidR="003F338A">
        <w:t xml:space="preserve"> a testy a provádě</w:t>
      </w:r>
      <w:r w:rsidR="007810BA">
        <w:t>jí</w:t>
      </w:r>
      <w:r w:rsidR="003F338A">
        <w:t xml:space="preserve"> ověřování nových výrobků, technologií a procesů. Jak je patrné z </w:t>
      </w:r>
      <w:r w:rsidR="0054347A">
        <w:fldChar w:fldCharType="begin"/>
      </w:r>
      <w:r w:rsidR="0054347A">
        <w:instrText xml:space="preserve"> REF  _Ref453837921 \* Lower \h  \* MERGEFORMAT </w:instrText>
      </w:r>
      <w:r w:rsidR="0054347A">
        <w:fldChar w:fldCharType="separate"/>
      </w:r>
      <w:r w:rsidR="003F08E5">
        <w:t xml:space="preserve">tab. </w:t>
      </w:r>
      <w:r w:rsidR="003F08E5">
        <w:rPr>
          <w:noProof/>
        </w:rPr>
        <w:t>70</w:t>
      </w:r>
      <w:r w:rsidR="0054347A">
        <w:fldChar w:fldCharType="end"/>
      </w:r>
      <w:r w:rsidR="003F338A">
        <w:t xml:space="preserve">, v ČR existuje těchto pracovišť značný počet. Několik ústavů se zaměřuje na oblast </w:t>
      </w:r>
      <w:r w:rsidR="00741683">
        <w:t>C</w:t>
      </w:r>
      <w:r w:rsidR="003F338A">
        <w:t>BRN (</w:t>
      </w:r>
      <w:r w:rsidR="003F338A" w:rsidRPr="003F338A">
        <w:t>Státní úřad pro jadernou bezpečnost</w:t>
      </w:r>
      <w:r w:rsidR="003F338A">
        <w:t xml:space="preserve"> a Vojenský zdravotní ústav). Vysoký potenciál pro zkušebnictví má </w:t>
      </w:r>
      <w:r w:rsidR="007810BA">
        <w:t>také</w:t>
      </w:r>
      <w:r w:rsidR="003F338A">
        <w:t>i V</w:t>
      </w:r>
      <w:r w:rsidR="003F338A" w:rsidRPr="003F338A">
        <w:t>ojensk</w:t>
      </w:r>
      <w:r w:rsidR="003F338A">
        <w:t>ý</w:t>
      </w:r>
      <w:r w:rsidR="003F338A" w:rsidRPr="003F338A">
        <w:t xml:space="preserve"> technick</w:t>
      </w:r>
      <w:r w:rsidR="003F338A">
        <w:t>ý ústav</w:t>
      </w:r>
      <w:r w:rsidR="003F338A" w:rsidRPr="003F338A">
        <w:t>,</w:t>
      </w:r>
      <w:r w:rsidR="003F338A">
        <w:t xml:space="preserve"> který kromě z</w:t>
      </w:r>
      <w:r w:rsidR="003F338A" w:rsidRPr="003F338A">
        <w:t xml:space="preserve">ajišťování služeb ve prospěch Ministerstva obrany </w:t>
      </w:r>
      <w:r w:rsidR="003F338A">
        <w:t xml:space="preserve">se může podílet na </w:t>
      </w:r>
      <w:r w:rsidR="008057DA">
        <w:t xml:space="preserve">testování, </w:t>
      </w:r>
      <w:r w:rsidR="003F338A">
        <w:t>ověřování</w:t>
      </w:r>
      <w:r w:rsidR="008057DA">
        <w:t xml:space="preserve"> a certifikaci výsledků bezpečnostně zaměřeného VaV (</w:t>
      </w:r>
      <w:r w:rsidR="008057DA" w:rsidRPr="008057DA">
        <w:t>zbran</w:t>
      </w:r>
      <w:r w:rsidR="008057DA">
        <w:t>ě</w:t>
      </w:r>
      <w:r w:rsidR="008057DA" w:rsidRPr="008057DA">
        <w:t>, munice</w:t>
      </w:r>
      <w:r w:rsidR="008057DA">
        <w:t>, komunikační systémy, průzkumné prostředky, simulátory apod.).</w:t>
      </w:r>
    </w:p>
    <w:p w:rsidR="003F338A" w:rsidRDefault="008057DA" w:rsidP="0054347A">
      <w:r>
        <w:t xml:space="preserve">Několik zkušebně zaměřených pracovišť působí v oblasti kybernetiky. </w:t>
      </w:r>
      <w:r w:rsidR="003F338A">
        <w:t>V ČR také</w:t>
      </w:r>
      <w:r>
        <w:t xml:space="preserve"> </w:t>
      </w:r>
      <w:r w:rsidR="003F338A">
        <w:t>existuje</w:t>
      </w:r>
      <w:r>
        <w:t xml:space="preserve"> </w:t>
      </w:r>
      <w:r w:rsidR="003F338A">
        <w:t xml:space="preserve">několik zkušebních a specializovaných polygonů, kde je možné provádět náročné testy nezbytné v oblasti bezpečnosti (viz </w:t>
      </w:r>
      <w:r w:rsidR="003F338A">
        <w:fldChar w:fldCharType="begin"/>
      </w:r>
      <w:r w:rsidR="003F338A">
        <w:instrText xml:space="preserve"> REF  _Ref453837921 \* Lower \h  \* MERGEFORMAT </w:instrText>
      </w:r>
      <w:r w:rsidR="003F338A">
        <w:fldChar w:fldCharType="separate"/>
      </w:r>
      <w:r w:rsidR="003F08E5">
        <w:t xml:space="preserve">tab. </w:t>
      </w:r>
      <w:r w:rsidR="003F08E5">
        <w:rPr>
          <w:noProof/>
        </w:rPr>
        <w:t>70</w:t>
      </w:r>
      <w:r w:rsidR="003F338A">
        <w:fldChar w:fldCharType="end"/>
      </w:r>
      <w:r w:rsidR="003F338A">
        <w:t>).</w:t>
      </w:r>
    </w:p>
    <w:p w:rsidR="007C28F3" w:rsidRDefault="007C28F3" w:rsidP="007C28F3">
      <w:pPr>
        <w:pStyle w:val="Titulek"/>
        <w:keepNext/>
      </w:pPr>
      <w:bookmarkStart w:id="255" w:name="_Ref453837921"/>
      <w:r>
        <w:t xml:space="preserve">Tab. </w:t>
      </w:r>
      <w:r w:rsidR="00990E2D">
        <w:fldChar w:fldCharType="begin"/>
      </w:r>
      <w:r w:rsidR="00990E2D">
        <w:instrText xml:space="preserve"> SEQ Tab. \* ARABIC </w:instrText>
      </w:r>
      <w:r w:rsidR="00990E2D">
        <w:fldChar w:fldCharType="separate"/>
      </w:r>
      <w:r w:rsidR="003F08E5">
        <w:rPr>
          <w:noProof/>
        </w:rPr>
        <w:t>70</w:t>
      </w:r>
      <w:r w:rsidR="00990E2D">
        <w:rPr>
          <w:noProof/>
        </w:rPr>
        <w:fldChar w:fldCharType="end"/>
      </w:r>
      <w:bookmarkEnd w:id="255"/>
      <w:r>
        <w:tab/>
        <w:t xml:space="preserve">Přehled </w:t>
      </w:r>
      <w:r w:rsidRPr="007C28F3">
        <w:t>úřad</w:t>
      </w:r>
      <w:r>
        <w:t>ů</w:t>
      </w:r>
      <w:r w:rsidRPr="007C28F3">
        <w:t xml:space="preserve"> a jejich součást</w:t>
      </w:r>
      <w:r>
        <w:t>í</w:t>
      </w:r>
      <w:r w:rsidRPr="007C28F3">
        <w:t>, technick</w:t>
      </w:r>
      <w:r>
        <w:t>ých</w:t>
      </w:r>
      <w:r w:rsidRPr="007C28F3">
        <w:t xml:space="preserve"> a zkušební</w:t>
      </w:r>
      <w:r>
        <w:t>ch</w:t>
      </w:r>
      <w:r w:rsidRPr="007C28F3">
        <w:t xml:space="preserve"> ústav</w:t>
      </w:r>
      <w:r>
        <w:t xml:space="preserve">ů, </w:t>
      </w:r>
      <w:r w:rsidRPr="007C28F3">
        <w:t>zkušební</w:t>
      </w:r>
      <w:r>
        <w:t>ch</w:t>
      </w:r>
      <w:r w:rsidRPr="007C28F3">
        <w:t xml:space="preserve"> a experimentální</w:t>
      </w:r>
      <w:r>
        <w:t>ch</w:t>
      </w:r>
      <w:r w:rsidRPr="007C28F3">
        <w:t xml:space="preserve"> polygon</w:t>
      </w:r>
      <w:r>
        <w:t>ů</w:t>
      </w:r>
      <w:r w:rsidRPr="007C28F3">
        <w:t xml:space="preserve"> </w:t>
      </w:r>
      <w:r>
        <w:t>a</w:t>
      </w:r>
      <w:r w:rsidRPr="007C28F3">
        <w:t xml:space="preserve"> instituce zabývající se problematikou bezpečnosti</w:t>
      </w:r>
    </w:p>
    <w:tbl>
      <w:tblPr>
        <w:tblW w:w="9464" w:type="dxa"/>
        <w:tblBorders>
          <w:top w:val="nil"/>
          <w:left w:val="nil"/>
          <w:bottom w:val="nil"/>
          <w:right w:val="nil"/>
        </w:tblBorders>
        <w:tblLayout w:type="fixed"/>
        <w:tblLook w:val="0000" w:firstRow="0" w:lastRow="0" w:firstColumn="0" w:lastColumn="0" w:noHBand="0" w:noVBand="0"/>
      </w:tblPr>
      <w:tblGrid>
        <w:gridCol w:w="2093"/>
        <w:gridCol w:w="2693"/>
        <w:gridCol w:w="4678"/>
      </w:tblGrid>
      <w:tr w:rsidR="00D62D98" w:rsidRPr="00D62D98" w:rsidTr="00236613">
        <w:trPr>
          <w:trHeight w:val="165"/>
        </w:trPr>
        <w:tc>
          <w:tcPr>
            <w:tcW w:w="2093" w:type="dxa"/>
            <w:tcBorders>
              <w:top w:val="single" w:sz="4" w:space="0" w:color="auto"/>
              <w:bottom w:val="single" w:sz="4" w:space="0" w:color="auto"/>
            </w:tcBorders>
            <w:shd w:val="clear" w:color="auto" w:fill="D9D9D9" w:themeFill="background1" w:themeFillShade="D9"/>
            <w:vAlign w:val="center"/>
          </w:tcPr>
          <w:p w:rsidR="00D62D98" w:rsidRPr="00D62D98" w:rsidRDefault="00D62D98" w:rsidP="00D62D98">
            <w:pPr>
              <w:autoSpaceDE w:val="0"/>
              <w:autoSpaceDN w:val="0"/>
              <w:adjustRightInd w:val="0"/>
              <w:spacing w:before="80" w:after="80"/>
              <w:jc w:val="center"/>
              <w:rPr>
                <w:rFonts w:cs="Calibri"/>
                <w:b/>
                <w:color w:val="000000"/>
                <w:sz w:val="20"/>
                <w:szCs w:val="18"/>
              </w:rPr>
            </w:pPr>
            <w:r w:rsidRPr="00D62D98">
              <w:rPr>
                <w:rFonts w:cs="Calibri"/>
                <w:b/>
                <w:color w:val="000000"/>
                <w:sz w:val="20"/>
                <w:szCs w:val="18"/>
              </w:rPr>
              <w:t>Název instituce</w:t>
            </w:r>
          </w:p>
        </w:tc>
        <w:tc>
          <w:tcPr>
            <w:tcW w:w="2693" w:type="dxa"/>
            <w:tcBorders>
              <w:top w:val="single" w:sz="4" w:space="0" w:color="auto"/>
              <w:bottom w:val="single" w:sz="4" w:space="0" w:color="auto"/>
            </w:tcBorders>
            <w:shd w:val="clear" w:color="auto" w:fill="D9D9D9" w:themeFill="background1" w:themeFillShade="D9"/>
            <w:vAlign w:val="center"/>
          </w:tcPr>
          <w:p w:rsidR="00D62D98" w:rsidRPr="00D62D98" w:rsidRDefault="00D62D98" w:rsidP="00D62D98">
            <w:pPr>
              <w:autoSpaceDE w:val="0"/>
              <w:autoSpaceDN w:val="0"/>
              <w:adjustRightInd w:val="0"/>
              <w:spacing w:before="80" w:after="80"/>
              <w:jc w:val="center"/>
              <w:rPr>
                <w:rFonts w:cs="Calibri"/>
                <w:b/>
                <w:color w:val="000000"/>
                <w:sz w:val="20"/>
                <w:szCs w:val="18"/>
              </w:rPr>
            </w:pPr>
            <w:r w:rsidRPr="00D62D98">
              <w:rPr>
                <w:rFonts w:cs="Calibri"/>
                <w:b/>
                <w:color w:val="000000"/>
                <w:sz w:val="20"/>
                <w:szCs w:val="18"/>
              </w:rPr>
              <w:t>Zřizovatel / sídlo (region)</w:t>
            </w:r>
          </w:p>
        </w:tc>
        <w:tc>
          <w:tcPr>
            <w:tcW w:w="4678" w:type="dxa"/>
            <w:tcBorders>
              <w:top w:val="single" w:sz="4" w:space="0" w:color="auto"/>
              <w:bottom w:val="single" w:sz="4" w:space="0" w:color="auto"/>
            </w:tcBorders>
            <w:shd w:val="clear" w:color="auto" w:fill="D9D9D9" w:themeFill="background1" w:themeFillShade="D9"/>
            <w:vAlign w:val="center"/>
          </w:tcPr>
          <w:p w:rsidR="00D62D98" w:rsidRPr="00D62D98" w:rsidRDefault="00D62D98" w:rsidP="00D62D98">
            <w:pPr>
              <w:autoSpaceDE w:val="0"/>
              <w:autoSpaceDN w:val="0"/>
              <w:adjustRightInd w:val="0"/>
              <w:spacing w:before="80" w:after="80"/>
              <w:jc w:val="left"/>
              <w:rPr>
                <w:rFonts w:cs="Calibri"/>
                <w:b/>
                <w:color w:val="000000"/>
                <w:sz w:val="20"/>
                <w:szCs w:val="18"/>
              </w:rPr>
            </w:pPr>
            <w:r w:rsidRPr="00D62D98">
              <w:rPr>
                <w:rFonts w:cs="Calibri"/>
                <w:b/>
                <w:color w:val="000000"/>
                <w:sz w:val="20"/>
                <w:szCs w:val="18"/>
              </w:rPr>
              <w:t>Působnost / charakteristika</w:t>
            </w:r>
          </w:p>
        </w:tc>
      </w:tr>
      <w:tr w:rsidR="00D62D98" w:rsidRPr="00D62D98" w:rsidTr="00236613">
        <w:trPr>
          <w:trHeight w:val="165"/>
        </w:trPr>
        <w:tc>
          <w:tcPr>
            <w:tcW w:w="2093" w:type="dxa"/>
            <w:tcBorders>
              <w:top w:val="single" w:sz="4" w:space="0" w:color="auto"/>
              <w:bottom w:val="single" w:sz="4" w:space="0" w:color="auto"/>
            </w:tcBorders>
          </w:tcPr>
          <w:p w:rsidR="00D62D98" w:rsidRPr="00D62D98" w:rsidRDefault="00990E2D" w:rsidP="00D62D98">
            <w:pPr>
              <w:autoSpaceDE w:val="0"/>
              <w:autoSpaceDN w:val="0"/>
              <w:adjustRightInd w:val="0"/>
              <w:spacing w:before="40" w:after="40"/>
              <w:jc w:val="left"/>
              <w:rPr>
                <w:rFonts w:cs="Calibri"/>
                <w:color w:val="000000"/>
                <w:sz w:val="20"/>
                <w:szCs w:val="18"/>
              </w:rPr>
            </w:pPr>
            <w:hyperlink r:id="rId162" w:history="1">
              <w:r w:rsidR="00D62D98" w:rsidRPr="00D62D98">
                <w:rPr>
                  <w:rFonts w:cs="Calibri"/>
                  <w:color w:val="0000FF" w:themeColor="hyperlink"/>
                  <w:sz w:val="20"/>
                  <w:szCs w:val="18"/>
                  <w:u w:val="single"/>
                </w:rPr>
                <w:t>Technický ústav požární ochrany</w:t>
              </w:r>
            </w:hyperlink>
          </w:p>
        </w:tc>
        <w:tc>
          <w:tcPr>
            <w:tcW w:w="2693" w:type="dxa"/>
            <w:tcBorders>
              <w:top w:val="single" w:sz="4" w:space="0" w:color="auto"/>
              <w:bottom w:val="single" w:sz="4" w:space="0" w:color="auto"/>
            </w:tcBorders>
          </w:tcPr>
          <w:p w:rsidR="00D62D98" w:rsidRPr="00D62D98" w:rsidRDefault="00D62D98" w:rsidP="00D62D98">
            <w:pPr>
              <w:autoSpaceDE w:val="0"/>
              <w:autoSpaceDN w:val="0"/>
              <w:adjustRightInd w:val="0"/>
              <w:spacing w:before="40" w:after="40"/>
              <w:jc w:val="left"/>
              <w:rPr>
                <w:rFonts w:cs="Calibri"/>
                <w:color w:val="000000"/>
                <w:sz w:val="20"/>
                <w:szCs w:val="18"/>
              </w:rPr>
            </w:pPr>
            <w:r w:rsidRPr="00D62D98">
              <w:rPr>
                <w:rFonts w:cs="Calibri"/>
                <w:color w:val="000000"/>
                <w:sz w:val="20"/>
                <w:szCs w:val="18"/>
              </w:rPr>
              <w:t>MV, Hasičský záchranný sbor ČR</w:t>
            </w:r>
          </w:p>
        </w:tc>
        <w:tc>
          <w:tcPr>
            <w:tcW w:w="4678" w:type="dxa"/>
            <w:tcBorders>
              <w:top w:val="single" w:sz="4" w:space="0" w:color="auto"/>
              <w:bottom w:val="single" w:sz="4" w:space="0" w:color="auto"/>
            </w:tcBorders>
          </w:tcPr>
          <w:p w:rsidR="00D62D98" w:rsidRPr="00D62D98" w:rsidRDefault="00D62D98" w:rsidP="00D62D98">
            <w:pPr>
              <w:autoSpaceDE w:val="0"/>
              <w:autoSpaceDN w:val="0"/>
              <w:adjustRightInd w:val="0"/>
              <w:spacing w:before="40" w:after="40"/>
              <w:jc w:val="left"/>
              <w:rPr>
                <w:sz w:val="20"/>
                <w:szCs w:val="20"/>
              </w:rPr>
            </w:pPr>
            <w:r w:rsidRPr="00D62D98">
              <w:rPr>
                <w:sz w:val="20"/>
                <w:szCs w:val="20"/>
              </w:rPr>
              <w:t>Akreditovaná zkušební laboratoř, provádění kalibrací - technické prostředky požární ochrany, požárně technické expertizy</w:t>
            </w:r>
            <w:r>
              <w:rPr>
                <w:sz w:val="20"/>
                <w:szCs w:val="20"/>
              </w:rPr>
              <w:t xml:space="preserve">, </w:t>
            </w:r>
            <w:r w:rsidRPr="00D62D98">
              <w:rPr>
                <w:sz w:val="20"/>
                <w:szCs w:val="20"/>
              </w:rPr>
              <w:t>zjišťování příčin vzniku požárů.</w:t>
            </w:r>
          </w:p>
        </w:tc>
      </w:tr>
      <w:tr w:rsidR="00D62D98" w:rsidRPr="00D62D98" w:rsidTr="00236613">
        <w:trPr>
          <w:trHeight w:val="165"/>
        </w:trPr>
        <w:tc>
          <w:tcPr>
            <w:tcW w:w="2093" w:type="dxa"/>
            <w:tcBorders>
              <w:top w:val="single" w:sz="4" w:space="0" w:color="auto"/>
              <w:bottom w:val="single" w:sz="4" w:space="0" w:color="auto"/>
            </w:tcBorders>
          </w:tcPr>
          <w:p w:rsidR="00D62D98" w:rsidRPr="00D62D98" w:rsidRDefault="00D62D98" w:rsidP="00D62D98">
            <w:pPr>
              <w:autoSpaceDE w:val="0"/>
              <w:autoSpaceDN w:val="0"/>
              <w:adjustRightInd w:val="0"/>
              <w:spacing w:before="40" w:after="40"/>
              <w:jc w:val="left"/>
            </w:pPr>
            <w:r w:rsidRPr="00D62D98">
              <w:rPr>
                <w:sz w:val="20"/>
                <w:szCs w:val="20"/>
              </w:rPr>
              <w:t>Fyzikálně technický zkušební ústav, s.p.</w:t>
            </w:r>
          </w:p>
        </w:tc>
        <w:tc>
          <w:tcPr>
            <w:tcW w:w="2693" w:type="dxa"/>
            <w:tcBorders>
              <w:top w:val="single" w:sz="4" w:space="0" w:color="auto"/>
              <w:bottom w:val="single" w:sz="4" w:space="0" w:color="auto"/>
            </w:tcBorders>
          </w:tcPr>
          <w:p w:rsidR="00D62D98" w:rsidRPr="00D62D98" w:rsidRDefault="00D62D98" w:rsidP="00D62D98">
            <w:pPr>
              <w:autoSpaceDE w:val="0"/>
              <w:autoSpaceDN w:val="0"/>
              <w:adjustRightInd w:val="0"/>
              <w:spacing w:before="40" w:after="40"/>
              <w:jc w:val="left"/>
              <w:rPr>
                <w:rFonts w:cs="Calibri"/>
                <w:color w:val="000000"/>
                <w:sz w:val="20"/>
                <w:szCs w:val="18"/>
              </w:rPr>
            </w:pPr>
          </w:p>
        </w:tc>
        <w:tc>
          <w:tcPr>
            <w:tcW w:w="4678" w:type="dxa"/>
            <w:tcBorders>
              <w:top w:val="single" w:sz="4" w:space="0" w:color="auto"/>
              <w:bottom w:val="single" w:sz="4" w:space="0" w:color="auto"/>
            </w:tcBorders>
          </w:tcPr>
          <w:p w:rsidR="00D62D98" w:rsidRPr="00D62D98" w:rsidRDefault="00D62D98" w:rsidP="00D62D98">
            <w:pPr>
              <w:autoSpaceDE w:val="0"/>
              <w:autoSpaceDN w:val="0"/>
              <w:adjustRightInd w:val="0"/>
              <w:spacing w:before="40" w:after="40"/>
              <w:jc w:val="left"/>
              <w:rPr>
                <w:sz w:val="20"/>
                <w:szCs w:val="20"/>
              </w:rPr>
            </w:pPr>
            <w:r w:rsidRPr="00D62D98">
              <w:rPr>
                <w:sz w:val="20"/>
                <w:szCs w:val="20"/>
              </w:rPr>
              <w:t>Zkoušení zařízení a ochranných systémů do prostředí s nebezpečím výbuchu</w:t>
            </w:r>
          </w:p>
        </w:tc>
      </w:tr>
      <w:tr w:rsidR="00D62D98" w:rsidRPr="00D62D98" w:rsidTr="00236613">
        <w:trPr>
          <w:trHeight w:val="165"/>
        </w:trPr>
        <w:tc>
          <w:tcPr>
            <w:tcW w:w="2093" w:type="dxa"/>
            <w:tcBorders>
              <w:top w:val="single" w:sz="4" w:space="0" w:color="auto"/>
              <w:left w:val="nil"/>
              <w:bottom w:val="single" w:sz="4" w:space="0" w:color="auto"/>
            </w:tcBorders>
          </w:tcPr>
          <w:p w:rsidR="00D62D98" w:rsidRPr="00D62D98" w:rsidRDefault="00990E2D" w:rsidP="00D62D98">
            <w:pPr>
              <w:jc w:val="left"/>
              <w:rPr>
                <w:sz w:val="20"/>
                <w:szCs w:val="20"/>
              </w:rPr>
            </w:pPr>
            <w:hyperlink r:id="rId163" w:history="1">
              <w:r w:rsidR="00D62D98" w:rsidRPr="00D62D98">
                <w:rPr>
                  <w:color w:val="0000FF" w:themeColor="hyperlink"/>
                  <w:sz w:val="20"/>
                  <w:szCs w:val="20"/>
                  <w:u w:val="single"/>
                </w:rPr>
                <w:t>Ústřední kontrolní a zkušební ústav zemědělský</w:t>
              </w:r>
            </w:hyperlink>
          </w:p>
        </w:tc>
        <w:tc>
          <w:tcPr>
            <w:tcW w:w="2693" w:type="dxa"/>
            <w:tcBorders>
              <w:top w:val="single" w:sz="4" w:space="0" w:color="auto"/>
              <w:bottom w:val="single" w:sz="4" w:space="0" w:color="auto"/>
            </w:tcBorders>
          </w:tcPr>
          <w:p w:rsidR="00D62D98" w:rsidRPr="00D62D98" w:rsidRDefault="00D62D98" w:rsidP="00D62D98">
            <w:pPr>
              <w:jc w:val="left"/>
              <w:rPr>
                <w:sz w:val="20"/>
                <w:szCs w:val="20"/>
              </w:rPr>
            </w:pPr>
            <w:r w:rsidRPr="00D62D98">
              <w:rPr>
                <w:sz w:val="20"/>
                <w:szCs w:val="20"/>
              </w:rPr>
              <w:t>Ministerstvo zemědělství</w:t>
            </w:r>
          </w:p>
        </w:tc>
        <w:tc>
          <w:tcPr>
            <w:tcW w:w="4678" w:type="dxa"/>
            <w:tcBorders>
              <w:top w:val="single" w:sz="4" w:space="0" w:color="auto"/>
              <w:bottom w:val="single" w:sz="4" w:space="0" w:color="auto"/>
            </w:tcBorders>
          </w:tcPr>
          <w:p w:rsidR="00D62D98" w:rsidRPr="00D62D98" w:rsidRDefault="00D62D98" w:rsidP="00D62D98">
            <w:pPr>
              <w:autoSpaceDE w:val="0"/>
              <w:autoSpaceDN w:val="0"/>
              <w:adjustRightInd w:val="0"/>
              <w:spacing w:before="40" w:after="40"/>
              <w:jc w:val="left"/>
              <w:rPr>
                <w:sz w:val="20"/>
                <w:szCs w:val="20"/>
              </w:rPr>
            </w:pPr>
            <w:r w:rsidRPr="00D62D98">
              <w:rPr>
                <w:sz w:val="20"/>
                <w:szCs w:val="20"/>
              </w:rPr>
              <w:t>Certifikované zkušební pracoviště pro oblast zemědělství, včetně odrůdového zkušebnictví a ochrany proti škodlivým organismům a v oblasti přípravků na ochranu rostlin</w:t>
            </w:r>
          </w:p>
        </w:tc>
      </w:tr>
      <w:tr w:rsidR="00D62D98" w:rsidRPr="00D62D98" w:rsidTr="00236613">
        <w:trPr>
          <w:trHeight w:val="165"/>
        </w:trPr>
        <w:tc>
          <w:tcPr>
            <w:tcW w:w="2093" w:type="dxa"/>
            <w:tcBorders>
              <w:top w:val="single" w:sz="4" w:space="0" w:color="auto"/>
              <w:bottom w:val="single" w:sz="4" w:space="0" w:color="auto"/>
            </w:tcBorders>
          </w:tcPr>
          <w:p w:rsidR="00D62D98" w:rsidRPr="00D62D98" w:rsidRDefault="00990E2D" w:rsidP="00D62D98">
            <w:pPr>
              <w:autoSpaceDE w:val="0"/>
              <w:autoSpaceDN w:val="0"/>
              <w:adjustRightInd w:val="0"/>
              <w:spacing w:before="40" w:after="40"/>
              <w:jc w:val="left"/>
              <w:rPr>
                <w:rFonts w:cs="Calibri"/>
                <w:color w:val="000000"/>
                <w:sz w:val="20"/>
                <w:szCs w:val="18"/>
              </w:rPr>
            </w:pPr>
            <w:hyperlink r:id="rId164" w:history="1">
              <w:r w:rsidR="00D62D98" w:rsidRPr="00D62D98">
                <w:rPr>
                  <w:rFonts w:cs="Calibri"/>
                  <w:color w:val="0000FF" w:themeColor="hyperlink"/>
                  <w:sz w:val="20"/>
                  <w:szCs w:val="18"/>
                  <w:u w:val="single"/>
                </w:rPr>
                <w:t>Vojenský technický ústav</w:t>
              </w:r>
            </w:hyperlink>
          </w:p>
        </w:tc>
        <w:tc>
          <w:tcPr>
            <w:tcW w:w="2693" w:type="dxa"/>
            <w:tcBorders>
              <w:top w:val="single" w:sz="4" w:space="0" w:color="auto"/>
              <w:bottom w:val="single" w:sz="4" w:space="0" w:color="auto"/>
            </w:tcBorders>
          </w:tcPr>
          <w:p w:rsidR="00D62D98" w:rsidRPr="00D62D98" w:rsidRDefault="00D62D98" w:rsidP="00D62D98">
            <w:pPr>
              <w:autoSpaceDE w:val="0"/>
              <w:autoSpaceDN w:val="0"/>
              <w:adjustRightInd w:val="0"/>
              <w:spacing w:before="40" w:after="40"/>
              <w:jc w:val="left"/>
              <w:rPr>
                <w:rFonts w:cs="Calibri"/>
                <w:color w:val="000000"/>
                <w:sz w:val="20"/>
                <w:szCs w:val="18"/>
              </w:rPr>
            </w:pPr>
            <w:r w:rsidRPr="00D62D98">
              <w:rPr>
                <w:rFonts w:cs="Calibri"/>
                <w:color w:val="000000"/>
                <w:sz w:val="20"/>
                <w:szCs w:val="18"/>
              </w:rPr>
              <w:t>Ministerstvo obrany</w:t>
            </w:r>
          </w:p>
        </w:tc>
        <w:tc>
          <w:tcPr>
            <w:tcW w:w="4678" w:type="dxa"/>
            <w:tcBorders>
              <w:top w:val="single" w:sz="4" w:space="0" w:color="auto"/>
              <w:bottom w:val="single" w:sz="4" w:space="0" w:color="auto"/>
            </w:tcBorders>
          </w:tcPr>
          <w:p w:rsidR="00D62D98" w:rsidRDefault="00D62D98" w:rsidP="00D62D98">
            <w:pPr>
              <w:autoSpaceDE w:val="0"/>
              <w:autoSpaceDN w:val="0"/>
              <w:adjustRightInd w:val="0"/>
              <w:spacing w:before="40" w:after="40"/>
              <w:jc w:val="left"/>
              <w:rPr>
                <w:sz w:val="20"/>
                <w:szCs w:val="20"/>
              </w:rPr>
            </w:pPr>
            <w:r w:rsidRPr="00D62D98">
              <w:rPr>
                <w:sz w:val="20"/>
                <w:szCs w:val="20"/>
              </w:rPr>
              <w:t xml:space="preserve">VaV a zkušebnictví </w:t>
            </w:r>
            <w:r>
              <w:rPr>
                <w:sz w:val="20"/>
                <w:szCs w:val="20"/>
              </w:rPr>
              <w:t xml:space="preserve">- letectvo a </w:t>
            </w:r>
            <w:r w:rsidRPr="00D62D98">
              <w:rPr>
                <w:sz w:val="20"/>
                <w:szCs w:val="20"/>
              </w:rPr>
              <w:t>protivzdušn</w:t>
            </w:r>
            <w:r>
              <w:rPr>
                <w:sz w:val="20"/>
                <w:szCs w:val="20"/>
              </w:rPr>
              <w:t>á</w:t>
            </w:r>
            <w:r w:rsidRPr="00D62D98">
              <w:rPr>
                <w:sz w:val="20"/>
                <w:szCs w:val="20"/>
              </w:rPr>
              <w:t xml:space="preserve"> obran</w:t>
            </w:r>
            <w:r>
              <w:rPr>
                <w:sz w:val="20"/>
                <w:szCs w:val="20"/>
              </w:rPr>
              <w:t xml:space="preserve">a, </w:t>
            </w:r>
            <w:r w:rsidRPr="00D62D98">
              <w:rPr>
                <w:sz w:val="20"/>
                <w:szCs w:val="20"/>
              </w:rPr>
              <w:t>pozemní vojsk</w:t>
            </w:r>
            <w:r>
              <w:rPr>
                <w:sz w:val="20"/>
                <w:szCs w:val="20"/>
              </w:rPr>
              <w:t>o</w:t>
            </w:r>
            <w:r w:rsidRPr="00D62D98">
              <w:rPr>
                <w:sz w:val="20"/>
                <w:szCs w:val="20"/>
              </w:rPr>
              <w:t>,</w:t>
            </w:r>
            <w:r>
              <w:rPr>
                <w:sz w:val="20"/>
                <w:szCs w:val="20"/>
              </w:rPr>
              <w:t xml:space="preserve"> </w:t>
            </w:r>
            <w:r w:rsidRPr="00D62D98">
              <w:rPr>
                <w:sz w:val="20"/>
                <w:szCs w:val="20"/>
              </w:rPr>
              <w:t>výzbroj a munice</w:t>
            </w:r>
            <w:r>
              <w:rPr>
                <w:sz w:val="20"/>
                <w:szCs w:val="20"/>
              </w:rPr>
              <w:t>.</w:t>
            </w:r>
          </w:p>
          <w:p w:rsidR="00D62D98" w:rsidRPr="00D62D98" w:rsidRDefault="00D62D98" w:rsidP="00D62D98">
            <w:pPr>
              <w:autoSpaceDE w:val="0"/>
              <w:autoSpaceDN w:val="0"/>
              <w:adjustRightInd w:val="0"/>
              <w:spacing w:before="40" w:after="40"/>
              <w:jc w:val="left"/>
              <w:rPr>
                <w:rFonts w:cs="Calibri"/>
                <w:color w:val="000000"/>
                <w:sz w:val="20"/>
                <w:szCs w:val="20"/>
              </w:rPr>
            </w:pPr>
            <w:r w:rsidRPr="00D62D98">
              <w:rPr>
                <w:sz w:val="20"/>
                <w:szCs w:val="20"/>
              </w:rPr>
              <w:t>Zkušební střelnice Vojenského technického ústavu (VTÚM), s. p. v Bzenci</w:t>
            </w:r>
          </w:p>
        </w:tc>
      </w:tr>
      <w:tr w:rsidR="00D62D98" w:rsidRPr="00D62D98" w:rsidTr="00236613">
        <w:trPr>
          <w:trHeight w:val="165"/>
        </w:trPr>
        <w:tc>
          <w:tcPr>
            <w:tcW w:w="2093" w:type="dxa"/>
            <w:tcBorders>
              <w:top w:val="single" w:sz="4" w:space="0" w:color="auto"/>
              <w:bottom w:val="single" w:sz="4" w:space="0" w:color="auto"/>
            </w:tcBorders>
          </w:tcPr>
          <w:p w:rsidR="00D62D98" w:rsidRPr="00D62D98" w:rsidRDefault="00990E2D" w:rsidP="00D62D98">
            <w:pPr>
              <w:autoSpaceDE w:val="0"/>
              <w:autoSpaceDN w:val="0"/>
              <w:adjustRightInd w:val="0"/>
              <w:spacing w:before="40" w:after="40"/>
              <w:jc w:val="left"/>
              <w:rPr>
                <w:rFonts w:cs="Calibri"/>
                <w:color w:val="000000"/>
                <w:sz w:val="20"/>
                <w:szCs w:val="18"/>
              </w:rPr>
            </w:pPr>
            <w:hyperlink r:id="rId165" w:history="1">
              <w:r w:rsidR="00D62D98" w:rsidRPr="00D62D98">
                <w:rPr>
                  <w:rFonts w:cs="Calibri"/>
                  <w:color w:val="0000FF" w:themeColor="hyperlink"/>
                  <w:sz w:val="20"/>
                  <w:szCs w:val="18"/>
                  <w:u w:val="single"/>
                </w:rPr>
                <w:t>Vojenský zdravotní ústav</w:t>
              </w:r>
            </w:hyperlink>
          </w:p>
        </w:tc>
        <w:tc>
          <w:tcPr>
            <w:tcW w:w="2693" w:type="dxa"/>
            <w:tcBorders>
              <w:top w:val="single" w:sz="4" w:space="0" w:color="auto"/>
              <w:bottom w:val="single" w:sz="4" w:space="0" w:color="auto"/>
            </w:tcBorders>
          </w:tcPr>
          <w:p w:rsidR="00D62D98" w:rsidRPr="00D62D98" w:rsidRDefault="00D62D98" w:rsidP="00D62D98">
            <w:pPr>
              <w:autoSpaceDE w:val="0"/>
              <w:autoSpaceDN w:val="0"/>
              <w:adjustRightInd w:val="0"/>
              <w:spacing w:before="40" w:after="40"/>
              <w:jc w:val="left"/>
              <w:rPr>
                <w:rFonts w:cs="Calibri"/>
                <w:color w:val="000000"/>
                <w:sz w:val="20"/>
                <w:szCs w:val="18"/>
              </w:rPr>
            </w:pPr>
            <w:r w:rsidRPr="00D62D98">
              <w:rPr>
                <w:rFonts w:cs="Calibri"/>
                <w:color w:val="000000"/>
                <w:sz w:val="20"/>
                <w:szCs w:val="18"/>
              </w:rPr>
              <w:t>MO, Agentura vojenského zdravotnictví Armády ČR / České Budějovice a Těchonín</w:t>
            </w:r>
          </w:p>
        </w:tc>
        <w:tc>
          <w:tcPr>
            <w:tcW w:w="4678" w:type="dxa"/>
            <w:tcBorders>
              <w:top w:val="single" w:sz="4" w:space="0" w:color="auto"/>
              <w:bottom w:val="single" w:sz="4" w:space="0" w:color="auto"/>
            </w:tcBorders>
          </w:tcPr>
          <w:p w:rsidR="007F24F7" w:rsidRDefault="00D62D98" w:rsidP="007F24F7">
            <w:pPr>
              <w:autoSpaceDE w:val="0"/>
              <w:autoSpaceDN w:val="0"/>
              <w:adjustRightInd w:val="0"/>
              <w:spacing w:before="40" w:after="40"/>
              <w:jc w:val="left"/>
              <w:rPr>
                <w:sz w:val="20"/>
                <w:szCs w:val="20"/>
              </w:rPr>
            </w:pPr>
            <w:r w:rsidRPr="00D62D98">
              <w:rPr>
                <w:sz w:val="20"/>
                <w:szCs w:val="20"/>
              </w:rPr>
              <w:t>Systém biologické ochrany Armády ČR</w:t>
            </w:r>
            <w:r w:rsidR="007F24F7">
              <w:rPr>
                <w:sz w:val="20"/>
                <w:szCs w:val="20"/>
              </w:rPr>
              <w:t>:</w:t>
            </w:r>
          </w:p>
          <w:p w:rsidR="007F24F7" w:rsidRDefault="00D62D98" w:rsidP="004F74B7">
            <w:pPr>
              <w:numPr>
                <w:ilvl w:val="0"/>
                <w:numId w:val="15"/>
              </w:numPr>
              <w:autoSpaceDE w:val="0"/>
              <w:autoSpaceDN w:val="0"/>
              <w:adjustRightInd w:val="0"/>
              <w:spacing w:before="40" w:after="40"/>
              <w:ind w:left="175" w:hanging="141"/>
              <w:jc w:val="left"/>
              <w:rPr>
                <w:sz w:val="20"/>
                <w:szCs w:val="20"/>
              </w:rPr>
            </w:pPr>
            <w:r w:rsidRPr="007F24F7">
              <w:rPr>
                <w:sz w:val="20"/>
                <w:szCs w:val="20"/>
              </w:rPr>
              <w:t>detekce a identifikace biologického materiálu</w:t>
            </w:r>
          </w:p>
          <w:p w:rsidR="007F24F7" w:rsidRDefault="007F24F7" w:rsidP="004F74B7">
            <w:pPr>
              <w:numPr>
                <w:ilvl w:val="0"/>
                <w:numId w:val="15"/>
              </w:numPr>
              <w:autoSpaceDE w:val="0"/>
              <w:autoSpaceDN w:val="0"/>
              <w:adjustRightInd w:val="0"/>
              <w:spacing w:before="40" w:after="40"/>
              <w:ind w:left="175" w:hanging="141"/>
              <w:jc w:val="left"/>
              <w:rPr>
                <w:sz w:val="20"/>
                <w:szCs w:val="20"/>
              </w:rPr>
            </w:pPr>
            <w:r w:rsidRPr="007F24F7">
              <w:rPr>
                <w:sz w:val="20"/>
                <w:szCs w:val="20"/>
              </w:rPr>
              <w:t>h</w:t>
            </w:r>
            <w:r w:rsidR="00D62D98" w:rsidRPr="007F24F7">
              <w:rPr>
                <w:sz w:val="20"/>
                <w:szCs w:val="20"/>
              </w:rPr>
              <w:t>ygienické zabezpečení</w:t>
            </w:r>
            <w:r w:rsidRPr="007F24F7">
              <w:rPr>
                <w:sz w:val="20"/>
                <w:szCs w:val="20"/>
              </w:rPr>
              <w:t xml:space="preserve"> (</w:t>
            </w:r>
            <w:r w:rsidR="00D62D98" w:rsidRPr="007F24F7">
              <w:rPr>
                <w:sz w:val="20"/>
                <w:szCs w:val="20"/>
              </w:rPr>
              <w:t>sběr, analýza a vyhodnocování epidemiologických dat, monitorování epidemiologické situace, mikrobiologická laboratorní diagnostika</w:t>
            </w:r>
            <w:r w:rsidRPr="007F24F7">
              <w:rPr>
                <w:sz w:val="20"/>
                <w:szCs w:val="20"/>
              </w:rPr>
              <w:t xml:space="preserve">, </w:t>
            </w:r>
            <w:r w:rsidR="00D62D98" w:rsidRPr="007F24F7">
              <w:rPr>
                <w:sz w:val="20"/>
                <w:szCs w:val="20"/>
              </w:rPr>
              <w:t>monitorování zneužívání návykových látek</w:t>
            </w:r>
            <w:r w:rsidRPr="007F24F7">
              <w:rPr>
                <w:sz w:val="20"/>
                <w:szCs w:val="20"/>
              </w:rPr>
              <w:t xml:space="preserve">, </w:t>
            </w:r>
            <w:r w:rsidR="00D62D98" w:rsidRPr="007F24F7">
              <w:rPr>
                <w:sz w:val="20"/>
                <w:szCs w:val="20"/>
              </w:rPr>
              <w:t>ochrana před zářením, stanovení přítomnosti a koncentrace radionuklidů</w:t>
            </w:r>
            <w:r w:rsidRPr="007F24F7">
              <w:rPr>
                <w:sz w:val="20"/>
                <w:szCs w:val="20"/>
              </w:rPr>
              <w:t>)</w:t>
            </w:r>
          </w:p>
          <w:p w:rsidR="007F24F7" w:rsidRDefault="00D62D98" w:rsidP="004F74B7">
            <w:pPr>
              <w:numPr>
                <w:ilvl w:val="0"/>
                <w:numId w:val="15"/>
              </w:numPr>
              <w:autoSpaceDE w:val="0"/>
              <w:autoSpaceDN w:val="0"/>
              <w:adjustRightInd w:val="0"/>
              <w:spacing w:before="40" w:after="40"/>
              <w:ind w:left="175" w:hanging="141"/>
              <w:jc w:val="left"/>
              <w:rPr>
                <w:sz w:val="20"/>
                <w:szCs w:val="20"/>
              </w:rPr>
            </w:pPr>
            <w:r w:rsidRPr="00D62D98">
              <w:rPr>
                <w:sz w:val="20"/>
                <w:szCs w:val="20"/>
              </w:rPr>
              <w:t xml:space="preserve">preventivní péče </w:t>
            </w:r>
            <w:r w:rsidR="007F24F7">
              <w:rPr>
                <w:sz w:val="20"/>
                <w:szCs w:val="20"/>
              </w:rPr>
              <w:t>(</w:t>
            </w:r>
            <w:r w:rsidRPr="00D62D98">
              <w:rPr>
                <w:sz w:val="20"/>
                <w:szCs w:val="20"/>
              </w:rPr>
              <w:t>laboratorní a expertizní činnost, biologická ochrana</w:t>
            </w:r>
            <w:r w:rsidR="007F24F7">
              <w:rPr>
                <w:sz w:val="20"/>
                <w:szCs w:val="20"/>
              </w:rPr>
              <w:t>)</w:t>
            </w:r>
          </w:p>
          <w:p w:rsidR="007F24F7" w:rsidRPr="00D62D98" w:rsidRDefault="00D62D98" w:rsidP="004F74B7">
            <w:pPr>
              <w:numPr>
                <w:ilvl w:val="0"/>
                <w:numId w:val="9"/>
              </w:numPr>
              <w:autoSpaceDE w:val="0"/>
              <w:autoSpaceDN w:val="0"/>
              <w:adjustRightInd w:val="0"/>
              <w:spacing w:before="40" w:after="40"/>
              <w:ind w:left="176" w:hanging="176"/>
              <w:jc w:val="left"/>
              <w:rPr>
                <w:sz w:val="20"/>
                <w:szCs w:val="20"/>
              </w:rPr>
            </w:pPr>
            <w:r w:rsidRPr="00D62D98">
              <w:rPr>
                <w:sz w:val="20"/>
                <w:szCs w:val="20"/>
              </w:rPr>
              <w:t>biologické ochrany (Těchonín)</w:t>
            </w:r>
            <w:r w:rsidR="007F24F7" w:rsidRPr="007F24F7">
              <w:rPr>
                <w:sz w:val="20"/>
                <w:szCs w:val="20"/>
              </w:rPr>
              <w:t xml:space="preserve"> - </w:t>
            </w:r>
            <w:r w:rsidRPr="00D62D98">
              <w:rPr>
                <w:sz w:val="20"/>
                <w:szCs w:val="20"/>
              </w:rPr>
              <w:t>izolace nositelů nebezpečných nákaz a zabránění riziku šíření nákazy</w:t>
            </w:r>
            <w:r w:rsidR="007F24F7">
              <w:rPr>
                <w:sz w:val="20"/>
                <w:szCs w:val="20"/>
              </w:rPr>
              <w:t xml:space="preserve">, </w:t>
            </w:r>
            <w:r w:rsidRPr="00D62D98">
              <w:rPr>
                <w:sz w:val="20"/>
                <w:szCs w:val="20"/>
              </w:rPr>
              <w:t>opatření, prevence, léčba</w:t>
            </w:r>
            <w:r w:rsidR="007F24F7">
              <w:rPr>
                <w:sz w:val="20"/>
                <w:szCs w:val="20"/>
              </w:rPr>
              <w:t xml:space="preserve"> (</w:t>
            </w:r>
            <w:r w:rsidRPr="00D62D98">
              <w:rPr>
                <w:sz w:val="20"/>
                <w:szCs w:val="20"/>
              </w:rPr>
              <w:t xml:space="preserve">infekční nemocnice pro izolaci a léčení osob </w:t>
            </w:r>
            <w:r w:rsidR="007F24F7">
              <w:rPr>
                <w:sz w:val="20"/>
                <w:szCs w:val="20"/>
              </w:rPr>
              <w:t xml:space="preserve">- </w:t>
            </w:r>
            <w:r w:rsidRPr="00D62D98">
              <w:rPr>
                <w:sz w:val="20"/>
                <w:szCs w:val="20"/>
              </w:rPr>
              <w:t>Biosafety Level 3, 4), laboratoře pro diagnostiku vybraných biologických agens</w:t>
            </w:r>
            <w:r w:rsidR="007F24F7">
              <w:rPr>
                <w:sz w:val="20"/>
                <w:szCs w:val="20"/>
              </w:rPr>
              <w:t>.</w:t>
            </w:r>
          </w:p>
        </w:tc>
      </w:tr>
      <w:tr w:rsidR="007F24F7" w:rsidRPr="009D573C" w:rsidTr="00236613">
        <w:trPr>
          <w:trHeight w:val="165"/>
        </w:trPr>
        <w:tc>
          <w:tcPr>
            <w:tcW w:w="2093" w:type="dxa"/>
            <w:tcBorders>
              <w:top w:val="single" w:sz="4" w:space="0" w:color="auto"/>
              <w:bottom w:val="single" w:sz="4" w:space="0" w:color="auto"/>
            </w:tcBorders>
          </w:tcPr>
          <w:p w:rsidR="007F24F7" w:rsidRPr="009D573C" w:rsidRDefault="007F24F7" w:rsidP="00517B32">
            <w:pPr>
              <w:autoSpaceDE w:val="0"/>
              <w:autoSpaceDN w:val="0"/>
              <w:adjustRightInd w:val="0"/>
              <w:spacing w:before="40" w:after="40"/>
              <w:jc w:val="left"/>
              <w:rPr>
                <w:rFonts w:cs="Calibri"/>
                <w:color w:val="000000"/>
                <w:sz w:val="20"/>
                <w:szCs w:val="18"/>
              </w:rPr>
            </w:pPr>
            <w:r w:rsidRPr="009D573C">
              <w:rPr>
                <w:rFonts w:cs="Calibri"/>
                <w:color w:val="000000"/>
                <w:sz w:val="20"/>
                <w:szCs w:val="18"/>
              </w:rPr>
              <w:t>Kybernetický polygon (</w:t>
            </w:r>
            <w:hyperlink r:id="rId166" w:history="1">
              <w:r w:rsidRPr="009D573C">
                <w:rPr>
                  <w:rFonts w:cs="Calibri"/>
                  <w:color w:val="0000FF" w:themeColor="hyperlink"/>
                  <w:sz w:val="20"/>
                  <w:szCs w:val="18"/>
                  <w:u w:val="single"/>
                </w:rPr>
                <w:t>KYPO</w:t>
              </w:r>
            </w:hyperlink>
            <w:r w:rsidRPr="009D573C">
              <w:rPr>
                <w:rFonts w:cs="Calibri"/>
                <w:color w:val="000000"/>
                <w:sz w:val="20"/>
                <w:szCs w:val="18"/>
              </w:rPr>
              <w:t>)</w:t>
            </w:r>
          </w:p>
        </w:tc>
        <w:tc>
          <w:tcPr>
            <w:tcW w:w="2693" w:type="dxa"/>
            <w:tcBorders>
              <w:top w:val="single" w:sz="4" w:space="0" w:color="auto"/>
              <w:bottom w:val="single" w:sz="4" w:space="0" w:color="auto"/>
            </w:tcBorders>
          </w:tcPr>
          <w:p w:rsidR="007F24F7" w:rsidRPr="009D573C" w:rsidRDefault="007F24F7" w:rsidP="00517B32">
            <w:pPr>
              <w:autoSpaceDE w:val="0"/>
              <w:autoSpaceDN w:val="0"/>
              <w:adjustRightInd w:val="0"/>
              <w:spacing w:before="40" w:after="40"/>
              <w:jc w:val="left"/>
              <w:rPr>
                <w:rFonts w:cs="Calibri"/>
                <w:color w:val="000000"/>
                <w:sz w:val="20"/>
                <w:szCs w:val="18"/>
              </w:rPr>
            </w:pPr>
            <w:r w:rsidRPr="009D573C">
              <w:rPr>
                <w:rFonts w:cs="Calibri"/>
                <w:color w:val="000000"/>
                <w:sz w:val="20"/>
                <w:szCs w:val="18"/>
              </w:rPr>
              <w:t>Ústav výpočetní techniky, Masarykova univerzita v Brně</w:t>
            </w:r>
          </w:p>
        </w:tc>
        <w:tc>
          <w:tcPr>
            <w:tcW w:w="4678" w:type="dxa"/>
            <w:tcBorders>
              <w:top w:val="single" w:sz="4" w:space="0" w:color="auto"/>
              <w:bottom w:val="single" w:sz="4" w:space="0" w:color="auto"/>
            </w:tcBorders>
          </w:tcPr>
          <w:p w:rsidR="007F24F7" w:rsidRPr="009D573C" w:rsidRDefault="007F24F7" w:rsidP="00517B32">
            <w:pPr>
              <w:autoSpaceDE w:val="0"/>
              <w:autoSpaceDN w:val="0"/>
              <w:adjustRightInd w:val="0"/>
              <w:spacing w:before="40" w:after="40"/>
              <w:jc w:val="left"/>
              <w:rPr>
                <w:rFonts w:cs="Calibri"/>
                <w:color w:val="000000"/>
                <w:sz w:val="20"/>
                <w:szCs w:val="20"/>
              </w:rPr>
            </w:pPr>
            <w:r>
              <w:rPr>
                <w:sz w:val="20"/>
                <w:szCs w:val="20"/>
              </w:rPr>
              <w:t>U</w:t>
            </w:r>
            <w:r w:rsidRPr="009D573C">
              <w:rPr>
                <w:sz w:val="20"/>
                <w:szCs w:val="20"/>
              </w:rPr>
              <w:t>nikátní prostředí pro analýzu hrozeb ohrožujících bezpečnost kritických informačních infrastruktur</w:t>
            </w:r>
            <w:r>
              <w:rPr>
                <w:sz w:val="20"/>
                <w:szCs w:val="20"/>
              </w:rPr>
              <w:t xml:space="preserve"> - </w:t>
            </w:r>
            <w:r w:rsidRPr="009D573C">
              <w:rPr>
                <w:sz w:val="20"/>
                <w:szCs w:val="20"/>
              </w:rPr>
              <w:t>vytváření různorodých scénářů</w:t>
            </w:r>
            <w:r>
              <w:rPr>
                <w:sz w:val="20"/>
                <w:szCs w:val="20"/>
              </w:rPr>
              <w:t>;</w:t>
            </w:r>
            <w:r w:rsidRPr="009D573C">
              <w:rPr>
                <w:sz w:val="20"/>
                <w:szCs w:val="20"/>
              </w:rPr>
              <w:t xml:space="preserve"> vznik, šíření a dopad</w:t>
            </w:r>
            <w:r>
              <w:rPr>
                <w:sz w:val="20"/>
                <w:szCs w:val="20"/>
              </w:rPr>
              <w:t>y</w:t>
            </w:r>
            <w:r w:rsidRPr="009D573C">
              <w:rPr>
                <w:sz w:val="20"/>
                <w:szCs w:val="20"/>
              </w:rPr>
              <w:t xml:space="preserve"> kybernetických hrozeb</w:t>
            </w:r>
            <w:r>
              <w:rPr>
                <w:sz w:val="20"/>
                <w:szCs w:val="20"/>
              </w:rPr>
              <w:t xml:space="preserve">, </w:t>
            </w:r>
            <w:r w:rsidRPr="009D573C">
              <w:rPr>
                <w:sz w:val="20"/>
                <w:szCs w:val="20"/>
              </w:rPr>
              <w:t>interaktivní bezpečnostní cvičení.</w:t>
            </w:r>
          </w:p>
        </w:tc>
      </w:tr>
      <w:tr w:rsidR="007F24F7" w:rsidRPr="009D573C" w:rsidTr="00236613">
        <w:trPr>
          <w:trHeight w:val="165"/>
        </w:trPr>
        <w:tc>
          <w:tcPr>
            <w:tcW w:w="2093" w:type="dxa"/>
            <w:tcBorders>
              <w:top w:val="single" w:sz="4" w:space="0" w:color="auto"/>
              <w:bottom w:val="single" w:sz="4" w:space="0" w:color="auto"/>
            </w:tcBorders>
          </w:tcPr>
          <w:p w:rsidR="007F24F7" w:rsidRPr="009D573C" w:rsidRDefault="00990E2D" w:rsidP="00517B32">
            <w:pPr>
              <w:autoSpaceDE w:val="0"/>
              <w:autoSpaceDN w:val="0"/>
              <w:adjustRightInd w:val="0"/>
              <w:spacing w:before="40" w:after="40"/>
              <w:jc w:val="left"/>
              <w:rPr>
                <w:rFonts w:cs="Calibri"/>
                <w:color w:val="000000"/>
                <w:sz w:val="20"/>
                <w:szCs w:val="18"/>
              </w:rPr>
            </w:pPr>
            <w:hyperlink r:id="rId167" w:history="1">
              <w:r w:rsidR="007F24F7" w:rsidRPr="009D573C">
                <w:rPr>
                  <w:rFonts w:cs="Calibri"/>
                  <w:color w:val="0000FF" w:themeColor="hyperlink"/>
                  <w:sz w:val="20"/>
                  <w:szCs w:val="18"/>
                  <w:u w:val="single"/>
                </w:rPr>
                <w:t>Institut ochrany obyvatelstva sídlící v Lázních Bohdaneč</w:t>
              </w:r>
            </w:hyperlink>
            <w:r w:rsidR="007F24F7" w:rsidRPr="009D573C">
              <w:rPr>
                <w:rFonts w:cs="Calibri"/>
                <w:color w:val="000000"/>
                <w:sz w:val="20"/>
                <w:szCs w:val="18"/>
              </w:rPr>
              <w:t xml:space="preserve"> (HZS ČR)</w:t>
            </w:r>
          </w:p>
        </w:tc>
        <w:tc>
          <w:tcPr>
            <w:tcW w:w="2693" w:type="dxa"/>
            <w:tcBorders>
              <w:top w:val="single" w:sz="4" w:space="0" w:color="auto"/>
              <w:bottom w:val="single" w:sz="4" w:space="0" w:color="auto"/>
            </w:tcBorders>
          </w:tcPr>
          <w:p w:rsidR="007F24F7" w:rsidRPr="009D573C" w:rsidRDefault="007F24F7" w:rsidP="00517B32">
            <w:pPr>
              <w:autoSpaceDE w:val="0"/>
              <w:autoSpaceDN w:val="0"/>
              <w:adjustRightInd w:val="0"/>
              <w:spacing w:before="40" w:after="40"/>
              <w:jc w:val="left"/>
              <w:rPr>
                <w:rFonts w:cs="Calibri"/>
                <w:color w:val="000000"/>
                <w:sz w:val="20"/>
                <w:szCs w:val="18"/>
              </w:rPr>
            </w:pPr>
            <w:r w:rsidRPr="009D573C">
              <w:rPr>
                <w:rFonts w:cs="Calibri"/>
                <w:color w:val="000000"/>
                <w:sz w:val="20"/>
                <w:szCs w:val="18"/>
              </w:rPr>
              <w:t>Součást MV - Generálního ředitelství Hasičského záchranného sboru České republiky</w:t>
            </w:r>
          </w:p>
        </w:tc>
        <w:tc>
          <w:tcPr>
            <w:tcW w:w="4678" w:type="dxa"/>
            <w:tcBorders>
              <w:top w:val="single" w:sz="4" w:space="0" w:color="auto"/>
              <w:bottom w:val="single" w:sz="4" w:space="0" w:color="auto"/>
            </w:tcBorders>
          </w:tcPr>
          <w:p w:rsidR="007F24F7" w:rsidRDefault="007F24F7" w:rsidP="00517B32">
            <w:pPr>
              <w:autoSpaceDE w:val="0"/>
              <w:autoSpaceDN w:val="0"/>
              <w:adjustRightInd w:val="0"/>
              <w:spacing w:before="40" w:after="40"/>
              <w:jc w:val="left"/>
              <w:rPr>
                <w:rFonts w:cs="Calibri"/>
                <w:color w:val="000000"/>
                <w:sz w:val="20"/>
                <w:szCs w:val="18"/>
              </w:rPr>
            </w:pPr>
            <w:r w:rsidRPr="009D573C">
              <w:rPr>
                <w:rFonts w:cs="Calibri"/>
                <w:color w:val="000000"/>
                <w:sz w:val="20"/>
                <w:szCs w:val="18"/>
              </w:rPr>
              <w:t>Experimentální polygon Boreček</w:t>
            </w:r>
            <w:r>
              <w:rPr>
                <w:rFonts w:cs="Calibri"/>
                <w:color w:val="000000"/>
                <w:sz w:val="20"/>
                <w:szCs w:val="18"/>
              </w:rPr>
              <w:t xml:space="preserve"> - </w:t>
            </w:r>
            <w:r w:rsidRPr="009D573C">
              <w:rPr>
                <w:rFonts w:cs="Calibri"/>
                <w:color w:val="000000"/>
                <w:sz w:val="20"/>
                <w:szCs w:val="18"/>
              </w:rPr>
              <w:t>zkoušky funkčnosti a technických parametrů prostředků vyhledávání zavalených osob a prostředků vyrozumění a varování obyvatelstva</w:t>
            </w:r>
          </w:p>
          <w:p w:rsidR="007F24F7" w:rsidRPr="009D573C" w:rsidRDefault="007F24F7" w:rsidP="00517B32">
            <w:pPr>
              <w:autoSpaceDE w:val="0"/>
              <w:autoSpaceDN w:val="0"/>
              <w:adjustRightInd w:val="0"/>
              <w:spacing w:before="40" w:after="40"/>
              <w:jc w:val="left"/>
              <w:rPr>
                <w:sz w:val="20"/>
                <w:szCs w:val="20"/>
              </w:rPr>
            </w:pPr>
            <w:r>
              <w:rPr>
                <w:sz w:val="20"/>
                <w:szCs w:val="20"/>
              </w:rPr>
              <w:t>Mobilní chemická laboratoř</w:t>
            </w:r>
          </w:p>
        </w:tc>
      </w:tr>
      <w:tr w:rsidR="007F24F7" w:rsidRPr="009D573C" w:rsidTr="00236613">
        <w:trPr>
          <w:trHeight w:val="165"/>
        </w:trPr>
        <w:tc>
          <w:tcPr>
            <w:tcW w:w="2093" w:type="dxa"/>
            <w:tcBorders>
              <w:top w:val="single" w:sz="4" w:space="0" w:color="auto"/>
              <w:bottom w:val="single" w:sz="4" w:space="0" w:color="auto"/>
            </w:tcBorders>
          </w:tcPr>
          <w:p w:rsidR="007F24F7" w:rsidRPr="009D573C" w:rsidRDefault="00990E2D" w:rsidP="00517B32">
            <w:pPr>
              <w:autoSpaceDE w:val="0"/>
              <w:autoSpaceDN w:val="0"/>
              <w:adjustRightInd w:val="0"/>
              <w:spacing w:before="40" w:after="40"/>
              <w:jc w:val="left"/>
              <w:rPr>
                <w:rFonts w:cs="Calibri"/>
                <w:color w:val="000000"/>
                <w:sz w:val="20"/>
                <w:szCs w:val="18"/>
              </w:rPr>
            </w:pPr>
            <w:hyperlink r:id="rId168" w:history="1">
              <w:r w:rsidR="007F24F7" w:rsidRPr="009D573C">
                <w:rPr>
                  <w:rFonts w:cs="Calibri"/>
                  <w:color w:val="0000FF" w:themeColor="hyperlink"/>
                  <w:sz w:val="20"/>
                  <w:szCs w:val="18"/>
                  <w:u w:val="single"/>
                </w:rPr>
                <w:t>Polygon HZS Zbiroh – hasiči</w:t>
              </w:r>
            </w:hyperlink>
          </w:p>
        </w:tc>
        <w:tc>
          <w:tcPr>
            <w:tcW w:w="2693" w:type="dxa"/>
            <w:tcBorders>
              <w:top w:val="single" w:sz="4" w:space="0" w:color="auto"/>
              <w:bottom w:val="single" w:sz="4" w:space="0" w:color="auto"/>
            </w:tcBorders>
          </w:tcPr>
          <w:p w:rsidR="007F24F7" w:rsidRPr="009D573C" w:rsidRDefault="007F24F7" w:rsidP="00517B32">
            <w:pPr>
              <w:autoSpaceDE w:val="0"/>
              <w:autoSpaceDN w:val="0"/>
              <w:adjustRightInd w:val="0"/>
              <w:spacing w:before="40" w:after="40"/>
              <w:jc w:val="left"/>
              <w:rPr>
                <w:rFonts w:cs="Calibri"/>
                <w:color w:val="000000"/>
                <w:sz w:val="20"/>
                <w:szCs w:val="18"/>
              </w:rPr>
            </w:pPr>
            <w:r>
              <w:rPr>
                <w:rFonts w:cs="Calibri"/>
                <w:color w:val="000000"/>
                <w:sz w:val="20"/>
                <w:szCs w:val="18"/>
              </w:rPr>
              <w:t>MV, Zbiroh</w:t>
            </w:r>
          </w:p>
        </w:tc>
        <w:tc>
          <w:tcPr>
            <w:tcW w:w="4678" w:type="dxa"/>
            <w:tcBorders>
              <w:top w:val="single" w:sz="4" w:space="0" w:color="auto"/>
              <w:bottom w:val="single" w:sz="4" w:space="0" w:color="auto"/>
            </w:tcBorders>
          </w:tcPr>
          <w:p w:rsidR="007F24F7" w:rsidRPr="009D573C" w:rsidRDefault="007F24F7" w:rsidP="00517B32">
            <w:pPr>
              <w:autoSpaceDE w:val="0"/>
              <w:autoSpaceDN w:val="0"/>
              <w:adjustRightInd w:val="0"/>
              <w:spacing w:before="40" w:after="40"/>
              <w:jc w:val="left"/>
              <w:rPr>
                <w:rFonts w:cs="Calibri"/>
                <w:color w:val="000000"/>
                <w:sz w:val="20"/>
                <w:szCs w:val="18"/>
              </w:rPr>
            </w:pPr>
            <w:r w:rsidRPr="009D573C">
              <w:rPr>
                <w:sz w:val="20"/>
                <w:szCs w:val="20"/>
              </w:rPr>
              <w:t>Výcvikový polygon Hasičského záchranného sboru</w:t>
            </w:r>
          </w:p>
        </w:tc>
      </w:tr>
      <w:tr w:rsidR="008265C1" w:rsidRPr="00D62D98" w:rsidTr="00517B32">
        <w:trPr>
          <w:trHeight w:val="165"/>
        </w:trPr>
        <w:tc>
          <w:tcPr>
            <w:tcW w:w="2093" w:type="dxa"/>
            <w:tcBorders>
              <w:top w:val="single" w:sz="4" w:space="0" w:color="auto"/>
              <w:bottom w:val="single" w:sz="4" w:space="0" w:color="auto"/>
            </w:tcBorders>
          </w:tcPr>
          <w:p w:rsidR="008265C1" w:rsidRPr="00D62D98" w:rsidRDefault="008265C1" w:rsidP="00517B32">
            <w:pPr>
              <w:autoSpaceDE w:val="0"/>
              <w:autoSpaceDN w:val="0"/>
              <w:adjustRightInd w:val="0"/>
              <w:spacing w:before="40" w:after="40"/>
              <w:jc w:val="left"/>
              <w:rPr>
                <w:rFonts w:cs="Calibri"/>
                <w:color w:val="000000"/>
                <w:sz w:val="20"/>
                <w:szCs w:val="18"/>
              </w:rPr>
            </w:pPr>
            <w:r w:rsidRPr="00D62D98">
              <w:rPr>
                <w:sz w:val="20"/>
                <w:szCs w:val="20"/>
              </w:rPr>
              <w:t>Státní úřad pro jadernou bezpečnost</w:t>
            </w:r>
          </w:p>
        </w:tc>
        <w:tc>
          <w:tcPr>
            <w:tcW w:w="2693" w:type="dxa"/>
            <w:tcBorders>
              <w:top w:val="single" w:sz="4" w:space="0" w:color="auto"/>
              <w:bottom w:val="single" w:sz="4" w:space="0" w:color="auto"/>
            </w:tcBorders>
          </w:tcPr>
          <w:p w:rsidR="008265C1" w:rsidRPr="00D62D98" w:rsidRDefault="008265C1" w:rsidP="00517B32">
            <w:pPr>
              <w:autoSpaceDE w:val="0"/>
              <w:autoSpaceDN w:val="0"/>
              <w:adjustRightInd w:val="0"/>
              <w:spacing w:before="40" w:after="40"/>
              <w:jc w:val="left"/>
              <w:rPr>
                <w:rFonts w:cs="Calibri"/>
                <w:color w:val="000000"/>
                <w:sz w:val="20"/>
                <w:szCs w:val="18"/>
              </w:rPr>
            </w:pPr>
          </w:p>
        </w:tc>
        <w:tc>
          <w:tcPr>
            <w:tcW w:w="4678" w:type="dxa"/>
            <w:tcBorders>
              <w:top w:val="single" w:sz="4" w:space="0" w:color="auto"/>
              <w:bottom w:val="single" w:sz="4" w:space="0" w:color="auto"/>
            </w:tcBorders>
          </w:tcPr>
          <w:p w:rsidR="008265C1" w:rsidRPr="00D62D98" w:rsidRDefault="008265C1" w:rsidP="00517B32">
            <w:pPr>
              <w:autoSpaceDE w:val="0"/>
              <w:autoSpaceDN w:val="0"/>
              <w:adjustRightInd w:val="0"/>
              <w:spacing w:before="40" w:after="40"/>
              <w:jc w:val="left"/>
              <w:rPr>
                <w:sz w:val="20"/>
                <w:szCs w:val="20"/>
              </w:rPr>
            </w:pPr>
            <w:r w:rsidRPr="00D62D98">
              <w:rPr>
                <w:sz w:val="20"/>
                <w:szCs w:val="20"/>
              </w:rPr>
              <w:t>Státní správa a dozor při využívání jaderné energie a ionizujícího záření, v oblasti radiační ochrany a v oblasti jaderné, chemické a biologické ochrany.</w:t>
            </w:r>
          </w:p>
        </w:tc>
      </w:tr>
      <w:tr w:rsidR="008265C1" w:rsidRPr="00D62D98" w:rsidTr="00517B32">
        <w:trPr>
          <w:trHeight w:val="165"/>
        </w:trPr>
        <w:tc>
          <w:tcPr>
            <w:tcW w:w="2093" w:type="dxa"/>
            <w:tcBorders>
              <w:top w:val="single" w:sz="4" w:space="0" w:color="auto"/>
              <w:bottom w:val="single" w:sz="4" w:space="0" w:color="auto"/>
            </w:tcBorders>
          </w:tcPr>
          <w:p w:rsidR="008265C1" w:rsidRPr="00D62D98" w:rsidRDefault="008265C1" w:rsidP="00517B32">
            <w:pPr>
              <w:autoSpaceDE w:val="0"/>
              <w:autoSpaceDN w:val="0"/>
              <w:adjustRightInd w:val="0"/>
              <w:spacing w:before="40" w:after="40"/>
              <w:jc w:val="left"/>
              <w:rPr>
                <w:rFonts w:cs="Calibri"/>
                <w:color w:val="000000"/>
                <w:sz w:val="20"/>
                <w:szCs w:val="18"/>
              </w:rPr>
            </w:pPr>
            <w:r w:rsidRPr="00D62D98">
              <w:rPr>
                <w:rFonts w:cs="Calibri"/>
                <w:color w:val="000000"/>
                <w:sz w:val="20"/>
                <w:szCs w:val="18"/>
              </w:rPr>
              <w:t>Národní centrum kybernetické bezpečnosti (</w:t>
            </w:r>
            <w:hyperlink r:id="rId169" w:history="1">
              <w:r w:rsidRPr="00D62D98">
                <w:rPr>
                  <w:rFonts w:cs="Calibri"/>
                  <w:color w:val="0000FF" w:themeColor="hyperlink"/>
                  <w:sz w:val="20"/>
                  <w:szCs w:val="18"/>
                  <w:u w:val="single"/>
                </w:rPr>
                <w:t>NCKB</w:t>
              </w:r>
            </w:hyperlink>
            <w:r w:rsidRPr="00D62D98">
              <w:rPr>
                <w:rFonts w:cs="Calibri"/>
                <w:color w:val="000000"/>
                <w:sz w:val="20"/>
                <w:szCs w:val="18"/>
              </w:rPr>
              <w:t>)</w:t>
            </w:r>
          </w:p>
        </w:tc>
        <w:tc>
          <w:tcPr>
            <w:tcW w:w="2693" w:type="dxa"/>
            <w:tcBorders>
              <w:top w:val="single" w:sz="4" w:space="0" w:color="auto"/>
              <w:bottom w:val="single" w:sz="4" w:space="0" w:color="auto"/>
            </w:tcBorders>
          </w:tcPr>
          <w:p w:rsidR="008265C1" w:rsidRPr="00D62D98" w:rsidRDefault="008265C1" w:rsidP="00517B32">
            <w:pPr>
              <w:autoSpaceDE w:val="0"/>
              <w:autoSpaceDN w:val="0"/>
              <w:adjustRightInd w:val="0"/>
              <w:spacing w:before="40" w:after="40"/>
              <w:jc w:val="left"/>
              <w:rPr>
                <w:rFonts w:cs="Calibri"/>
                <w:color w:val="000000"/>
                <w:sz w:val="20"/>
                <w:szCs w:val="18"/>
              </w:rPr>
            </w:pPr>
            <w:r w:rsidRPr="00D62D98">
              <w:rPr>
                <w:rFonts w:cs="Calibri"/>
                <w:color w:val="000000"/>
                <w:sz w:val="20"/>
                <w:szCs w:val="18"/>
              </w:rPr>
              <w:t>Součást Národního bezpečnostního úřadu, se sídlem v Brně</w:t>
            </w:r>
          </w:p>
        </w:tc>
        <w:tc>
          <w:tcPr>
            <w:tcW w:w="4678" w:type="dxa"/>
            <w:tcBorders>
              <w:top w:val="single" w:sz="4" w:space="0" w:color="auto"/>
              <w:bottom w:val="single" w:sz="4" w:space="0" w:color="auto"/>
            </w:tcBorders>
          </w:tcPr>
          <w:p w:rsidR="008265C1" w:rsidRPr="00D62D98" w:rsidRDefault="008265C1" w:rsidP="00517B32">
            <w:pPr>
              <w:autoSpaceDE w:val="0"/>
              <w:autoSpaceDN w:val="0"/>
              <w:adjustRightInd w:val="0"/>
              <w:spacing w:before="40" w:after="40"/>
              <w:jc w:val="left"/>
              <w:rPr>
                <w:rFonts w:cs="Calibri"/>
                <w:color w:val="000000"/>
                <w:sz w:val="20"/>
                <w:szCs w:val="18"/>
              </w:rPr>
            </w:pPr>
            <w:r w:rsidRPr="00D62D98">
              <w:rPr>
                <w:rFonts w:cs="Calibri"/>
                <w:color w:val="000000"/>
                <w:sz w:val="20"/>
                <w:szCs w:val="18"/>
              </w:rPr>
              <w:t>Koordinace spolupráce na národní i mezinárodní úrovni při předcházení kybernetickým útokům i při návrhu a přijímání opatření při řešení incidentů i proti probíhajícím útokům.</w:t>
            </w:r>
          </w:p>
        </w:tc>
      </w:tr>
      <w:tr w:rsidR="00D62D98" w:rsidRPr="00D62D98" w:rsidTr="00236613">
        <w:trPr>
          <w:trHeight w:val="165"/>
        </w:trPr>
        <w:tc>
          <w:tcPr>
            <w:tcW w:w="2093" w:type="dxa"/>
            <w:tcBorders>
              <w:top w:val="single" w:sz="4" w:space="0" w:color="auto"/>
              <w:left w:val="nil"/>
              <w:bottom w:val="single" w:sz="4" w:space="0" w:color="auto"/>
            </w:tcBorders>
          </w:tcPr>
          <w:p w:rsidR="00D62D98" w:rsidRPr="00D62D98" w:rsidRDefault="00D62D98" w:rsidP="00D62D98">
            <w:pPr>
              <w:autoSpaceDE w:val="0"/>
              <w:autoSpaceDN w:val="0"/>
              <w:adjustRightInd w:val="0"/>
              <w:spacing w:before="40" w:after="40"/>
              <w:jc w:val="left"/>
              <w:rPr>
                <w:sz w:val="20"/>
              </w:rPr>
            </w:pPr>
            <w:r w:rsidRPr="00D62D98">
              <w:rPr>
                <w:sz w:val="20"/>
              </w:rPr>
              <w:t>Centrum pro bezpečnostní analýzy a prevenci (</w:t>
            </w:r>
            <w:hyperlink r:id="rId170" w:history="1">
              <w:r w:rsidRPr="007F24F7">
                <w:rPr>
                  <w:color w:val="0000FF" w:themeColor="hyperlink"/>
                  <w:sz w:val="20"/>
                  <w:u w:val="single"/>
                </w:rPr>
                <w:t>CBAP</w:t>
              </w:r>
            </w:hyperlink>
            <w:r w:rsidRPr="00D62D98">
              <w:rPr>
                <w:sz w:val="20"/>
              </w:rPr>
              <w:t>)</w:t>
            </w:r>
          </w:p>
        </w:tc>
        <w:tc>
          <w:tcPr>
            <w:tcW w:w="2693" w:type="dxa"/>
            <w:tcBorders>
              <w:top w:val="single" w:sz="4" w:space="0" w:color="auto"/>
              <w:bottom w:val="single" w:sz="4" w:space="0" w:color="auto"/>
            </w:tcBorders>
          </w:tcPr>
          <w:p w:rsidR="00D62D98" w:rsidRPr="00D62D98" w:rsidRDefault="00D62D98" w:rsidP="00D62D98">
            <w:pPr>
              <w:autoSpaceDE w:val="0"/>
              <w:autoSpaceDN w:val="0"/>
              <w:adjustRightInd w:val="0"/>
              <w:spacing w:before="40" w:after="40"/>
              <w:jc w:val="left"/>
              <w:rPr>
                <w:rFonts w:cs="Calibri"/>
                <w:color w:val="000000"/>
                <w:sz w:val="20"/>
                <w:szCs w:val="18"/>
              </w:rPr>
            </w:pPr>
            <w:r w:rsidRPr="00D62D98">
              <w:rPr>
                <w:rFonts w:cs="Calibri"/>
                <w:color w:val="000000"/>
                <w:sz w:val="20"/>
                <w:szCs w:val="18"/>
              </w:rPr>
              <w:t>Sdružení odborníků z oblasti bezpečnostních složek, managementu, consultingu, právní sféry, poradenství a akademických kruhů (Praha)</w:t>
            </w:r>
          </w:p>
        </w:tc>
        <w:tc>
          <w:tcPr>
            <w:tcW w:w="4678" w:type="dxa"/>
            <w:tcBorders>
              <w:top w:val="single" w:sz="4" w:space="0" w:color="auto"/>
              <w:bottom w:val="single" w:sz="4" w:space="0" w:color="auto"/>
            </w:tcBorders>
          </w:tcPr>
          <w:p w:rsidR="00D62D98" w:rsidRPr="00D62D98" w:rsidRDefault="00D62D98" w:rsidP="007F24F7">
            <w:pPr>
              <w:autoSpaceDE w:val="0"/>
              <w:autoSpaceDN w:val="0"/>
              <w:adjustRightInd w:val="0"/>
              <w:spacing w:before="40" w:after="40"/>
              <w:jc w:val="left"/>
              <w:rPr>
                <w:sz w:val="20"/>
                <w:szCs w:val="20"/>
              </w:rPr>
            </w:pPr>
            <w:r w:rsidRPr="00D62D98">
              <w:rPr>
                <w:sz w:val="20"/>
                <w:szCs w:val="20"/>
              </w:rPr>
              <w:t>Analýzy politických, bezpečnostních a geopolitických trendů</w:t>
            </w:r>
            <w:r w:rsidR="007F24F7">
              <w:rPr>
                <w:sz w:val="20"/>
                <w:szCs w:val="20"/>
              </w:rPr>
              <w:t>, a</w:t>
            </w:r>
            <w:r w:rsidRPr="00D62D98">
              <w:rPr>
                <w:sz w:val="20"/>
                <w:szCs w:val="20"/>
              </w:rPr>
              <w:t>sistenční a konzultační služby v oblasti bezpečnosti organizace</w:t>
            </w:r>
          </w:p>
        </w:tc>
      </w:tr>
      <w:tr w:rsidR="00D62D98" w:rsidRPr="00D62D98" w:rsidTr="00236613">
        <w:trPr>
          <w:trHeight w:val="165"/>
        </w:trPr>
        <w:tc>
          <w:tcPr>
            <w:tcW w:w="2093" w:type="dxa"/>
            <w:tcBorders>
              <w:top w:val="single" w:sz="4" w:space="0" w:color="auto"/>
              <w:left w:val="nil"/>
              <w:bottom w:val="single" w:sz="4" w:space="0" w:color="auto"/>
            </w:tcBorders>
          </w:tcPr>
          <w:p w:rsidR="00D62D98" w:rsidRPr="00D62D98" w:rsidRDefault="00D62D98" w:rsidP="00D62D98">
            <w:pPr>
              <w:autoSpaceDE w:val="0"/>
              <w:autoSpaceDN w:val="0"/>
              <w:adjustRightInd w:val="0"/>
              <w:spacing w:before="40" w:after="40"/>
              <w:jc w:val="left"/>
              <w:rPr>
                <w:sz w:val="20"/>
              </w:rPr>
            </w:pPr>
            <w:r w:rsidRPr="00D62D98">
              <w:rPr>
                <w:sz w:val="20"/>
              </w:rPr>
              <w:t>Informační centrum bezpečnosti potravin (</w:t>
            </w:r>
            <w:hyperlink r:id="rId171" w:history="1">
              <w:r w:rsidRPr="007F24F7">
                <w:rPr>
                  <w:color w:val="0000FF" w:themeColor="hyperlink"/>
                  <w:sz w:val="20"/>
                  <w:u w:val="single"/>
                </w:rPr>
                <w:t>ICBP</w:t>
              </w:r>
            </w:hyperlink>
            <w:r w:rsidRPr="00D62D98">
              <w:rPr>
                <w:sz w:val="20"/>
              </w:rPr>
              <w:t>)</w:t>
            </w:r>
          </w:p>
        </w:tc>
        <w:tc>
          <w:tcPr>
            <w:tcW w:w="2693" w:type="dxa"/>
            <w:tcBorders>
              <w:top w:val="single" w:sz="4" w:space="0" w:color="auto"/>
              <w:bottom w:val="single" w:sz="4" w:space="0" w:color="auto"/>
            </w:tcBorders>
          </w:tcPr>
          <w:p w:rsidR="00D62D98" w:rsidRPr="00D62D98" w:rsidRDefault="00D62D98" w:rsidP="00D62D98">
            <w:pPr>
              <w:autoSpaceDE w:val="0"/>
              <w:autoSpaceDN w:val="0"/>
              <w:adjustRightInd w:val="0"/>
              <w:spacing w:before="40" w:after="40"/>
              <w:jc w:val="left"/>
              <w:rPr>
                <w:rFonts w:cs="Calibri"/>
                <w:color w:val="000000"/>
                <w:sz w:val="20"/>
                <w:szCs w:val="18"/>
              </w:rPr>
            </w:pPr>
            <w:r w:rsidRPr="00D62D98">
              <w:rPr>
                <w:rFonts w:cs="Calibri"/>
                <w:color w:val="000000"/>
                <w:sz w:val="20"/>
                <w:szCs w:val="18"/>
              </w:rPr>
              <w:t>Součástí odboru bezpečnosti potravin Ministerstva zemědělství.</w:t>
            </w:r>
          </w:p>
        </w:tc>
        <w:tc>
          <w:tcPr>
            <w:tcW w:w="4678" w:type="dxa"/>
            <w:tcBorders>
              <w:top w:val="single" w:sz="4" w:space="0" w:color="auto"/>
              <w:bottom w:val="single" w:sz="4" w:space="0" w:color="auto"/>
            </w:tcBorders>
          </w:tcPr>
          <w:p w:rsidR="00D62D98" w:rsidRPr="00D62D98" w:rsidRDefault="00D62D98" w:rsidP="007F24F7">
            <w:pPr>
              <w:autoSpaceDE w:val="0"/>
              <w:autoSpaceDN w:val="0"/>
              <w:adjustRightInd w:val="0"/>
              <w:spacing w:before="40" w:after="40"/>
              <w:jc w:val="left"/>
              <w:rPr>
                <w:sz w:val="20"/>
                <w:szCs w:val="20"/>
              </w:rPr>
            </w:pPr>
            <w:r w:rsidRPr="00D62D98">
              <w:rPr>
                <w:sz w:val="20"/>
                <w:szCs w:val="20"/>
              </w:rPr>
              <w:t xml:space="preserve">Komunikační centrum směrem k veřejnosti </w:t>
            </w:r>
            <w:r w:rsidR="007F24F7">
              <w:rPr>
                <w:sz w:val="20"/>
                <w:szCs w:val="20"/>
              </w:rPr>
              <w:t xml:space="preserve">– </w:t>
            </w:r>
            <w:r w:rsidRPr="00D62D98">
              <w:rPr>
                <w:sz w:val="20"/>
                <w:szCs w:val="20"/>
              </w:rPr>
              <w:t>poskyt</w:t>
            </w:r>
            <w:r w:rsidR="007F24F7">
              <w:rPr>
                <w:sz w:val="20"/>
                <w:szCs w:val="20"/>
              </w:rPr>
              <w:t xml:space="preserve">ování </w:t>
            </w:r>
            <w:r w:rsidRPr="00D62D98">
              <w:rPr>
                <w:sz w:val="20"/>
                <w:szCs w:val="20"/>
              </w:rPr>
              <w:t>informac</w:t>
            </w:r>
            <w:r w:rsidR="007F24F7">
              <w:rPr>
                <w:sz w:val="20"/>
                <w:szCs w:val="20"/>
              </w:rPr>
              <w:t>í</w:t>
            </w:r>
            <w:r w:rsidRPr="00D62D98">
              <w:rPr>
                <w:sz w:val="20"/>
                <w:szCs w:val="20"/>
              </w:rPr>
              <w:t xml:space="preserve"> pokrývající</w:t>
            </w:r>
            <w:r w:rsidR="007F24F7">
              <w:rPr>
                <w:sz w:val="20"/>
                <w:szCs w:val="20"/>
              </w:rPr>
              <w:t>ch</w:t>
            </w:r>
            <w:r w:rsidRPr="00D62D98">
              <w:rPr>
                <w:sz w:val="20"/>
                <w:szCs w:val="20"/>
              </w:rPr>
              <w:t xml:space="preserve"> celý řetězec výroby potravin od farmy ke spotřebiteli.</w:t>
            </w:r>
          </w:p>
        </w:tc>
      </w:tr>
    </w:tbl>
    <w:p w:rsidR="00D62D98" w:rsidRPr="00D62D98" w:rsidRDefault="00D62D98" w:rsidP="00D62D98">
      <w:pPr>
        <w:rPr>
          <w:lang w:eastAsia="cs-CZ"/>
        </w:rPr>
      </w:pPr>
    </w:p>
    <w:p w:rsidR="0027643D" w:rsidRDefault="00FC4EB7" w:rsidP="00FC4EB7">
      <w:pPr>
        <w:pStyle w:val="Nadpis3"/>
      </w:pPr>
      <w:bookmarkStart w:id="256" w:name="_Ref453775159"/>
      <w:bookmarkStart w:id="257" w:name="_Toc459723336"/>
      <w:r w:rsidRPr="00FC4EB7">
        <w:t>Výzkumná pracoviště provádějící služby v oblasti zkušebnictví</w:t>
      </w:r>
      <w:bookmarkEnd w:id="256"/>
      <w:bookmarkEnd w:id="257"/>
    </w:p>
    <w:tbl>
      <w:tblPr>
        <w:tblW w:w="0" w:type="auto"/>
        <w:tblLook w:val="04A0" w:firstRow="1" w:lastRow="0" w:firstColumn="1" w:lastColumn="0" w:noHBand="0" w:noVBand="1"/>
      </w:tblPr>
      <w:tblGrid>
        <w:gridCol w:w="9354"/>
      </w:tblGrid>
      <w:tr w:rsidR="00741683" w:rsidTr="001D5000">
        <w:tc>
          <w:tcPr>
            <w:tcW w:w="9354"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741683" w:rsidRDefault="00971F23" w:rsidP="00B759FC">
            <w:pPr>
              <w:rPr>
                <w:lang w:eastAsia="cs-CZ"/>
              </w:rPr>
            </w:pPr>
            <w:r>
              <w:rPr>
                <w:lang w:eastAsia="cs-CZ"/>
              </w:rPr>
              <w:t>Potenciál pro zkušebnictví má i značný počet výzkumných pracovišť, která disponují vybavením umožňujícím realizovat laboratorní analýzy, kalibrace a certifikace pro potřeby bezpečnosti. Některá z těchto pracovišť mají i akreditované laboratoře a certifikované zkušebny, které umožňují provádět kalibra</w:t>
            </w:r>
            <w:r w:rsidR="00B759FC">
              <w:rPr>
                <w:lang w:eastAsia="cs-CZ"/>
              </w:rPr>
              <w:t>ce a</w:t>
            </w:r>
            <w:r>
              <w:rPr>
                <w:lang w:eastAsia="cs-CZ"/>
              </w:rPr>
              <w:t xml:space="preserve"> certifikovat nové výrobky, technologie a procesy. Nejvyšší potenciál pro BV mají instituce, které mají zkušenosti s BV a zároveň disponují laboratořemi a zkušebnami, kde mohou výsledky VaV ověřovat a certifikovat (například SÚJCHBO, SÚRO a </w:t>
            </w:r>
            <w:r>
              <w:t>Centrum dopravního výzkumu).</w:t>
            </w:r>
          </w:p>
        </w:tc>
      </w:tr>
    </w:tbl>
    <w:p w:rsidR="0027643D" w:rsidRDefault="009B251B" w:rsidP="0027643D">
      <w:pPr>
        <w:rPr>
          <w:lang w:eastAsia="cs-CZ"/>
        </w:rPr>
      </w:pPr>
      <w:r>
        <w:rPr>
          <w:lang w:eastAsia="cs-CZ"/>
        </w:rPr>
        <w:t xml:space="preserve">Také </w:t>
      </w:r>
      <w:r w:rsidR="00273BED">
        <w:rPr>
          <w:lang w:eastAsia="cs-CZ"/>
        </w:rPr>
        <w:t>značný počet</w:t>
      </w:r>
      <w:r>
        <w:rPr>
          <w:lang w:eastAsia="cs-CZ"/>
        </w:rPr>
        <w:t xml:space="preserve"> výzkumných pracovišť disponuje kromě </w:t>
      </w:r>
      <w:r w:rsidR="00273BED">
        <w:rPr>
          <w:lang w:eastAsia="cs-CZ"/>
        </w:rPr>
        <w:t>výzkumné</w:t>
      </w:r>
      <w:r>
        <w:rPr>
          <w:lang w:eastAsia="cs-CZ"/>
        </w:rPr>
        <w:t xml:space="preserve"> infrastruktury zařízením, které umožňuje realizovat laboratorní analýzy, kalibrace a certifikace využitelné v oblasti bezpečnosti. </w:t>
      </w:r>
      <w:r w:rsidR="00177B26">
        <w:rPr>
          <w:lang w:eastAsia="cs-CZ"/>
        </w:rPr>
        <w:t xml:space="preserve">Přehled těchto výzkumně zaměřených pracovišť, která se podařilo z veřejně dostupných zdrojů nalézt, je uveden v  </w:t>
      </w:r>
      <w:r w:rsidR="001B1B25">
        <w:rPr>
          <w:lang w:eastAsia="cs-CZ"/>
        </w:rPr>
        <w:fldChar w:fldCharType="begin"/>
      </w:r>
      <w:r w:rsidR="001B1B25">
        <w:rPr>
          <w:lang w:eastAsia="cs-CZ"/>
        </w:rPr>
        <w:instrText xml:space="preserve"> REF  _Ref453837935 \* Lower \h  \* MERGEFORMAT </w:instrText>
      </w:r>
      <w:r w:rsidR="001B1B25">
        <w:rPr>
          <w:lang w:eastAsia="cs-CZ"/>
        </w:rPr>
      </w:r>
      <w:r w:rsidR="001B1B25">
        <w:rPr>
          <w:lang w:eastAsia="cs-CZ"/>
        </w:rPr>
        <w:fldChar w:fldCharType="separate"/>
      </w:r>
      <w:r w:rsidR="003F08E5">
        <w:t xml:space="preserve">tab. </w:t>
      </w:r>
      <w:r w:rsidR="003F08E5">
        <w:rPr>
          <w:noProof/>
        </w:rPr>
        <w:t>71</w:t>
      </w:r>
      <w:r w:rsidR="001B1B25">
        <w:rPr>
          <w:lang w:eastAsia="cs-CZ"/>
        </w:rPr>
        <w:fldChar w:fldCharType="end"/>
      </w:r>
      <w:r w:rsidR="00177B26">
        <w:rPr>
          <w:lang w:eastAsia="cs-CZ"/>
        </w:rPr>
        <w:t>.</w:t>
      </w:r>
      <w:r w:rsidR="001B1B25">
        <w:rPr>
          <w:lang w:eastAsia="cs-CZ"/>
        </w:rPr>
        <w:t xml:space="preserve"> </w:t>
      </w:r>
      <w:r w:rsidR="00177B26">
        <w:rPr>
          <w:lang w:eastAsia="cs-CZ"/>
        </w:rPr>
        <w:t xml:space="preserve">Jak je patrné z této tabulky, </w:t>
      </w:r>
      <w:r w:rsidR="00273BED">
        <w:rPr>
          <w:lang w:eastAsia="cs-CZ"/>
        </w:rPr>
        <w:t>některá</w:t>
      </w:r>
      <w:r w:rsidR="00177B26">
        <w:rPr>
          <w:lang w:eastAsia="cs-CZ"/>
        </w:rPr>
        <w:t xml:space="preserve"> z</w:t>
      </w:r>
      <w:r w:rsidR="00273BED">
        <w:rPr>
          <w:lang w:eastAsia="cs-CZ"/>
        </w:rPr>
        <w:t> výzkumně zaměřených</w:t>
      </w:r>
      <w:r w:rsidR="00177B26">
        <w:rPr>
          <w:lang w:eastAsia="cs-CZ"/>
        </w:rPr>
        <w:t xml:space="preserve"> pracovišť disponuj</w:t>
      </w:r>
      <w:r w:rsidR="00273BED">
        <w:rPr>
          <w:lang w:eastAsia="cs-CZ"/>
        </w:rPr>
        <w:t>í</w:t>
      </w:r>
      <w:r w:rsidR="00177B26">
        <w:rPr>
          <w:lang w:eastAsia="cs-CZ"/>
        </w:rPr>
        <w:t xml:space="preserve"> i akreditovanými laboratořemi a certifikovanými </w:t>
      </w:r>
      <w:r w:rsidR="00992CAB">
        <w:rPr>
          <w:lang w:eastAsia="cs-CZ"/>
        </w:rPr>
        <w:t xml:space="preserve">zkušebnami, které umožňují provádět měření a analýz využitelné ke kalibračním účelům, certifikovat nové </w:t>
      </w:r>
      <w:r w:rsidR="0042212A">
        <w:rPr>
          <w:lang w:eastAsia="cs-CZ"/>
        </w:rPr>
        <w:t>výrobky</w:t>
      </w:r>
      <w:r w:rsidR="00992CAB">
        <w:rPr>
          <w:lang w:eastAsia="cs-CZ"/>
        </w:rPr>
        <w:t xml:space="preserve">, technologie a </w:t>
      </w:r>
      <w:r w:rsidR="0042212A">
        <w:rPr>
          <w:lang w:eastAsia="cs-CZ"/>
        </w:rPr>
        <w:t>proces</w:t>
      </w:r>
      <w:r w:rsidR="00992CAB">
        <w:rPr>
          <w:lang w:eastAsia="cs-CZ"/>
        </w:rPr>
        <w:t>y apod.</w:t>
      </w:r>
    </w:p>
    <w:p w:rsidR="00992CAB" w:rsidRDefault="0042212A" w:rsidP="0027643D">
      <w:pPr>
        <w:rPr>
          <w:lang w:eastAsia="cs-CZ"/>
        </w:rPr>
      </w:pPr>
      <w:r>
        <w:rPr>
          <w:lang w:eastAsia="cs-CZ"/>
        </w:rPr>
        <w:t>Z</w:t>
      </w:r>
      <w:r w:rsidR="00273BED">
        <w:rPr>
          <w:lang w:eastAsia="cs-CZ"/>
        </w:rPr>
        <w:t>a</w:t>
      </w:r>
      <w:r>
        <w:rPr>
          <w:lang w:eastAsia="cs-CZ"/>
        </w:rPr>
        <w:t xml:space="preserve"> ústavy s vysokým potenciálem pro BV lze považovat zejména ty, které </w:t>
      </w:r>
      <w:r w:rsidR="00273BED">
        <w:rPr>
          <w:lang w:eastAsia="cs-CZ"/>
        </w:rPr>
        <w:t>ma</w:t>
      </w:r>
      <w:r>
        <w:rPr>
          <w:lang w:eastAsia="cs-CZ"/>
        </w:rPr>
        <w:t xml:space="preserve">jí </w:t>
      </w:r>
      <w:r w:rsidR="00273BED">
        <w:rPr>
          <w:lang w:eastAsia="cs-CZ"/>
        </w:rPr>
        <w:t xml:space="preserve">vhodné </w:t>
      </w:r>
      <w:r>
        <w:rPr>
          <w:lang w:eastAsia="cs-CZ"/>
        </w:rPr>
        <w:t>výzkumn</w:t>
      </w:r>
      <w:r w:rsidR="00273BED">
        <w:rPr>
          <w:lang w:eastAsia="cs-CZ"/>
        </w:rPr>
        <w:t>é</w:t>
      </w:r>
      <w:r>
        <w:rPr>
          <w:lang w:eastAsia="cs-CZ"/>
        </w:rPr>
        <w:t xml:space="preserve"> </w:t>
      </w:r>
      <w:r w:rsidR="00273BED">
        <w:rPr>
          <w:lang w:eastAsia="cs-CZ"/>
        </w:rPr>
        <w:t xml:space="preserve">vybavení, </w:t>
      </w:r>
      <w:r>
        <w:rPr>
          <w:lang w:eastAsia="cs-CZ"/>
        </w:rPr>
        <w:t xml:space="preserve">zkušenosti s bezpečnostně zaměřeným VaV a které zároveň </w:t>
      </w:r>
      <w:r w:rsidR="00273BED">
        <w:rPr>
          <w:lang w:eastAsia="cs-CZ"/>
        </w:rPr>
        <w:t>disponují</w:t>
      </w:r>
      <w:r>
        <w:rPr>
          <w:lang w:eastAsia="cs-CZ"/>
        </w:rPr>
        <w:t xml:space="preserve"> laboratoře</w:t>
      </w:r>
      <w:r w:rsidR="00273BED">
        <w:rPr>
          <w:lang w:eastAsia="cs-CZ"/>
        </w:rPr>
        <w:t>mi</w:t>
      </w:r>
      <w:r>
        <w:rPr>
          <w:lang w:eastAsia="cs-CZ"/>
        </w:rPr>
        <w:t xml:space="preserve"> a zkušebn</w:t>
      </w:r>
      <w:r w:rsidR="00273BED">
        <w:rPr>
          <w:lang w:eastAsia="cs-CZ"/>
        </w:rPr>
        <w:t>ami</w:t>
      </w:r>
      <w:r>
        <w:rPr>
          <w:lang w:eastAsia="cs-CZ"/>
        </w:rPr>
        <w:t xml:space="preserve">, kde mohou výsledky VaV ověřovat a certifikovat. Mezi tyto ústavy patří </w:t>
      </w:r>
      <w:r w:rsidR="00273BED">
        <w:rPr>
          <w:lang w:eastAsia="cs-CZ"/>
        </w:rPr>
        <w:t xml:space="preserve">například </w:t>
      </w:r>
      <w:r>
        <w:rPr>
          <w:lang w:eastAsia="cs-CZ"/>
        </w:rPr>
        <w:t xml:space="preserve">SÚJCHBO, SÚRO a </w:t>
      </w:r>
      <w:r>
        <w:t>Centrum dopravního výzkumu</w:t>
      </w:r>
      <w:r>
        <w:rPr>
          <w:lang w:eastAsia="cs-CZ"/>
        </w:rPr>
        <w:t xml:space="preserve">, které se aktivně zapojují do programů BV (viz kap. </w:t>
      </w:r>
      <w:r>
        <w:rPr>
          <w:lang w:eastAsia="cs-CZ"/>
        </w:rPr>
        <w:fldChar w:fldCharType="begin"/>
      </w:r>
      <w:r>
        <w:rPr>
          <w:lang w:eastAsia="cs-CZ"/>
        </w:rPr>
        <w:instrText xml:space="preserve"> REF _Ref451692618 \r \h </w:instrText>
      </w:r>
      <w:r>
        <w:rPr>
          <w:lang w:eastAsia="cs-CZ"/>
        </w:rPr>
      </w:r>
      <w:r>
        <w:rPr>
          <w:lang w:eastAsia="cs-CZ"/>
        </w:rPr>
        <w:fldChar w:fldCharType="separate"/>
      </w:r>
      <w:r w:rsidR="003F08E5">
        <w:rPr>
          <w:lang w:eastAsia="cs-CZ"/>
        </w:rPr>
        <w:t>2.2.2</w:t>
      </w:r>
      <w:r>
        <w:rPr>
          <w:lang w:eastAsia="cs-CZ"/>
        </w:rPr>
        <w:fldChar w:fldCharType="end"/>
      </w:r>
      <w:r>
        <w:rPr>
          <w:lang w:eastAsia="cs-CZ"/>
        </w:rPr>
        <w:t>).</w:t>
      </w:r>
    </w:p>
    <w:p w:rsidR="0042212A" w:rsidRDefault="00273BED" w:rsidP="0027643D">
      <w:pPr>
        <w:rPr>
          <w:lang w:eastAsia="cs-CZ"/>
        </w:rPr>
      </w:pPr>
      <w:r>
        <w:rPr>
          <w:lang w:eastAsia="cs-CZ"/>
        </w:rPr>
        <w:t xml:space="preserve">jak je patrné z </w:t>
      </w:r>
      <w:r>
        <w:rPr>
          <w:lang w:eastAsia="cs-CZ"/>
        </w:rPr>
        <w:fldChar w:fldCharType="begin"/>
      </w:r>
      <w:r>
        <w:rPr>
          <w:lang w:eastAsia="cs-CZ"/>
        </w:rPr>
        <w:instrText xml:space="preserve"> REF  _Ref453837935 \* Lower \h  \* MERGEFORMAT </w:instrText>
      </w:r>
      <w:r>
        <w:rPr>
          <w:lang w:eastAsia="cs-CZ"/>
        </w:rPr>
      </w:r>
      <w:r>
        <w:rPr>
          <w:lang w:eastAsia="cs-CZ"/>
        </w:rPr>
        <w:fldChar w:fldCharType="separate"/>
      </w:r>
      <w:r w:rsidR="003F08E5">
        <w:t xml:space="preserve">tab. </w:t>
      </w:r>
      <w:r w:rsidR="003F08E5">
        <w:rPr>
          <w:noProof/>
        </w:rPr>
        <w:t>71</w:t>
      </w:r>
      <w:r>
        <w:rPr>
          <w:lang w:eastAsia="cs-CZ"/>
        </w:rPr>
        <w:fldChar w:fldCharType="end"/>
      </w:r>
      <w:r>
        <w:rPr>
          <w:lang w:eastAsia="cs-CZ"/>
        </w:rPr>
        <w:t xml:space="preserve">, výzkumná pracoviště nabízející služby v oblasti zkušebnictví </w:t>
      </w:r>
      <w:r w:rsidR="0042212A">
        <w:rPr>
          <w:lang w:eastAsia="cs-CZ"/>
        </w:rPr>
        <w:t>pokrývají řadu oborů. Několik pracovišť disponuje akreditovanými zkušebními laboratořemi pro CBRN</w:t>
      </w:r>
      <w:r w:rsidR="003F338A">
        <w:rPr>
          <w:lang w:eastAsia="cs-CZ"/>
        </w:rPr>
        <w:t>.</w:t>
      </w:r>
      <w:r w:rsidR="0042212A">
        <w:rPr>
          <w:lang w:eastAsia="cs-CZ"/>
        </w:rPr>
        <w:t xml:space="preserve"> V tabulce jsou také uvedena pracoviště pro měření vlastností materiálů a hmot</w:t>
      </w:r>
      <w:r w:rsidR="003A546D">
        <w:rPr>
          <w:lang w:eastAsia="cs-CZ"/>
        </w:rPr>
        <w:t xml:space="preserve"> a</w:t>
      </w:r>
      <w:r w:rsidR="003A546D" w:rsidRPr="003A546D">
        <w:rPr>
          <w:lang w:eastAsia="cs-CZ"/>
        </w:rPr>
        <w:t xml:space="preserve"> </w:t>
      </w:r>
      <w:r w:rsidR="003A546D">
        <w:rPr>
          <w:lang w:eastAsia="cs-CZ"/>
        </w:rPr>
        <w:t>s laboratoře a zkušebny</w:t>
      </w:r>
      <w:r w:rsidR="0042212A">
        <w:rPr>
          <w:lang w:eastAsia="cs-CZ"/>
        </w:rPr>
        <w:t xml:space="preserve"> </w:t>
      </w:r>
      <w:r w:rsidR="003A546D">
        <w:rPr>
          <w:lang w:eastAsia="cs-CZ"/>
        </w:rPr>
        <w:t xml:space="preserve">půspbící v oblasti </w:t>
      </w:r>
      <w:r w:rsidR="0042212A">
        <w:rPr>
          <w:lang w:eastAsia="cs-CZ"/>
        </w:rPr>
        <w:t>elektrotechniky</w:t>
      </w:r>
      <w:r w:rsidR="00C340F5">
        <w:rPr>
          <w:lang w:eastAsia="cs-CZ"/>
        </w:rPr>
        <w:t>, kybernetik</w:t>
      </w:r>
      <w:r w:rsidR="003A546D">
        <w:rPr>
          <w:lang w:eastAsia="cs-CZ"/>
        </w:rPr>
        <w:t>y</w:t>
      </w:r>
      <w:r w:rsidR="00C340F5">
        <w:rPr>
          <w:lang w:eastAsia="cs-CZ"/>
        </w:rPr>
        <w:t xml:space="preserve"> a </w:t>
      </w:r>
      <w:r w:rsidR="003A546D">
        <w:rPr>
          <w:lang w:eastAsia="cs-CZ"/>
        </w:rPr>
        <w:t xml:space="preserve">v </w:t>
      </w:r>
      <w:r w:rsidR="00C340F5">
        <w:rPr>
          <w:lang w:eastAsia="cs-CZ"/>
        </w:rPr>
        <w:t>další</w:t>
      </w:r>
      <w:r w:rsidR="003A546D">
        <w:rPr>
          <w:lang w:eastAsia="cs-CZ"/>
        </w:rPr>
        <w:t>ch</w:t>
      </w:r>
      <w:r w:rsidR="00C340F5">
        <w:rPr>
          <w:lang w:eastAsia="cs-CZ"/>
        </w:rPr>
        <w:t xml:space="preserve"> technick</w:t>
      </w:r>
      <w:r w:rsidR="003A546D">
        <w:rPr>
          <w:lang w:eastAsia="cs-CZ"/>
        </w:rPr>
        <w:t>ých</w:t>
      </w:r>
      <w:r w:rsidR="00C340F5">
        <w:rPr>
          <w:lang w:eastAsia="cs-CZ"/>
        </w:rPr>
        <w:t xml:space="preserve"> obor</w:t>
      </w:r>
      <w:r w:rsidR="003A546D">
        <w:rPr>
          <w:lang w:eastAsia="cs-CZ"/>
        </w:rPr>
        <w:t>ech</w:t>
      </w:r>
      <w:r w:rsidR="00C340F5">
        <w:rPr>
          <w:lang w:eastAsia="cs-CZ"/>
        </w:rPr>
        <w:t>.</w:t>
      </w:r>
    </w:p>
    <w:p w:rsidR="006834EA" w:rsidRDefault="006834EA" w:rsidP="006834EA">
      <w:pPr>
        <w:pStyle w:val="Titulek"/>
        <w:keepNext/>
      </w:pPr>
      <w:bookmarkStart w:id="258" w:name="_Ref453837935"/>
      <w:r>
        <w:t xml:space="preserve">Tab. </w:t>
      </w:r>
      <w:r w:rsidR="00990E2D">
        <w:fldChar w:fldCharType="begin"/>
      </w:r>
      <w:r w:rsidR="00990E2D">
        <w:instrText xml:space="preserve"> SEQ Tab. \* ARABIC </w:instrText>
      </w:r>
      <w:r w:rsidR="00990E2D">
        <w:fldChar w:fldCharType="separate"/>
      </w:r>
      <w:r w:rsidR="003F08E5">
        <w:rPr>
          <w:noProof/>
        </w:rPr>
        <w:t>71</w:t>
      </w:r>
      <w:r w:rsidR="00990E2D">
        <w:rPr>
          <w:noProof/>
        </w:rPr>
        <w:fldChar w:fldCharType="end"/>
      </w:r>
      <w:bookmarkEnd w:id="258"/>
      <w:r>
        <w:tab/>
        <w:t>Výzkumná pracoviště, zkušební ústavy, státní úřady a další obdobné instituce s potenciálem pro zkušebnictví. Zdroj: databáze asociací, internetové stránky subjektů, informace expertů</w:t>
      </w:r>
    </w:p>
    <w:tbl>
      <w:tblPr>
        <w:tblW w:w="9464" w:type="dxa"/>
        <w:tblBorders>
          <w:top w:val="nil"/>
          <w:left w:val="nil"/>
          <w:bottom w:val="nil"/>
          <w:right w:val="nil"/>
        </w:tblBorders>
        <w:tblLayout w:type="fixed"/>
        <w:tblLook w:val="0000" w:firstRow="0" w:lastRow="0" w:firstColumn="0" w:lastColumn="0" w:noHBand="0" w:noVBand="0"/>
      </w:tblPr>
      <w:tblGrid>
        <w:gridCol w:w="2235"/>
        <w:gridCol w:w="7229"/>
      </w:tblGrid>
      <w:tr w:rsidR="002D6570" w:rsidRPr="002D6570" w:rsidTr="00236613">
        <w:trPr>
          <w:trHeight w:val="165"/>
        </w:trPr>
        <w:tc>
          <w:tcPr>
            <w:tcW w:w="2235" w:type="dxa"/>
            <w:tcBorders>
              <w:top w:val="single" w:sz="4" w:space="0" w:color="auto"/>
              <w:bottom w:val="single" w:sz="4" w:space="0" w:color="auto"/>
            </w:tcBorders>
            <w:shd w:val="clear" w:color="auto" w:fill="D9D9D9" w:themeFill="background1" w:themeFillShade="D9"/>
            <w:vAlign w:val="center"/>
          </w:tcPr>
          <w:p w:rsidR="002D6570" w:rsidRPr="002D6570" w:rsidRDefault="002D6570" w:rsidP="006834EA">
            <w:pPr>
              <w:autoSpaceDE w:val="0"/>
              <w:autoSpaceDN w:val="0"/>
              <w:adjustRightInd w:val="0"/>
              <w:spacing w:before="80" w:after="80"/>
              <w:jc w:val="left"/>
              <w:rPr>
                <w:rFonts w:cs="Calibri"/>
                <w:b/>
                <w:color w:val="000000"/>
                <w:sz w:val="20"/>
                <w:szCs w:val="18"/>
              </w:rPr>
            </w:pPr>
            <w:r w:rsidRPr="002D6570">
              <w:rPr>
                <w:rFonts w:cs="Calibri"/>
                <w:b/>
                <w:color w:val="000000"/>
                <w:sz w:val="20"/>
                <w:szCs w:val="18"/>
              </w:rPr>
              <w:t>Název instituce</w:t>
            </w:r>
          </w:p>
        </w:tc>
        <w:tc>
          <w:tcPr>
            <w:tcW w:w="7229" w:type="dxa"/>
            <w:tcBorders>
              <w:top w:val="single" w:sz="4" w:space="0" w:color="auto"/>
              <w:bottom w:val="single" w:sz="4" w:space="0" w:color="auto"/>
            </w:tcBorders>
            <w:shd w:val="clear" w:color="auto" w:fill="D9D9D9" w:themeFill="background1" w:themeFillShade="D9"/>
            <w:vAlign w:val="center"/>
          </w:tcPr>
          <w:p w:rsidR="002D6570" w:rsidRPr="002D6570" w:rsidRDefault="002D6570" w:rsidP="006834EA">
            <w:pPr>
              <w:autoSpaceDE w:val="0"/>
              <w:autoSpaceDN w:val="0"/>
              <w:adjustRightInd w:val="0"/>
              <w:spacing w:before="80" w:after="80"/>
              <w:jc w:val="left"/>
              <w:rPr>
                <w:rFonts w:cs="Calibri"/>
                <w:b/>
                <w:color w:val="000000"/>
                <w:sz w:val="20"/>
                <w:szCs w:val="18"/>
              </w:rPr>
            </w:pPr>
            <w:r w:rsidRPr="002D6570">
              <w:rPr>
                <w:rFonts w:cs="Calibri"/>
                <w:b/>
                <w:color w:val="000000"/>
                <w:sz w:val="20"/>
                <w:szCs w:val="18"/>
              </w:rPr>
              <w:t>Působnost / charakteristika</w:t>
            </w:r>
          </w:p>
        </w:tc>
      </w:tr>
      <w:tr w:rsidR="002D6570" w:rsidRPr="002D6570" w:rsidTr="00236613">
        <w:trPr>
          <w:trHeight w:val="165"/>
        </w:trPr>
        <w:tc>
          <w:tcPr>
            <w:tcW w:w="2235" w:type="dxa"/>
            <w:tcBorders>
              <w:top w:val="single" w:sz="4" w:space="0" w:color="auto"/>
              <w:bottom w:val="single" w:sz="4" w:space="0" w:color="auto"/>
            </w:tcBorders>
          </w:tcPr>
          <w:p w:rsidR="002D6570" w:rsidRPr="002D6570" w:rsidRDefault="002D6570" w:rsidP="002D6570">
            <w:pPr>
              <w:autoSpaceDE w:val="0"/>
              <w:autoSpaceDN w:val="0"/>
              <w:adjustRightInd w:val="0"/>
              <w:spacing w:before="40" w:after="40"/>
              <w:jc w:val="left"/>
              <w:rPr>
                <w:rFonts w:cs="Calibri"/>
                <w:color w:val="000000"/>
                <w:sz w:val="20"/>
                <w:szCs w:val="18"/>
              </w:rPr>
            </w:pPr>
            <w:r w:rsidRPr="002D6570">
              <w:rPr>
                <w:rFonts w:cs="Calibri"/>
                <w:color w:val="000000"/>
                <w:sz w:val="20"/>
                <w:szCs w:val="18"/>
              </w:rPr>
              <w:t>Centrum dopravního výzkumu, v.v.i.</w:t>
            </w:r>
          </w:p>
        </w:tc>
        <w:tc>
          <w:tcPr>
            <w:tcW w:w="7229" w:type="dxa"/>
            <w:tcBorders>
              <w:top w:val="single" w:sz="4" w:space="0" w:color="auto"/>
              <w:bottom w:val="single" w:sz="4" w:space="0" w:color="auto"/>
            </w:tcBorders>
          </w:tcPr>
          <w:p w:rsidR="002D6570" w:rsidRPr="002D6570" w:rsidRDefault="002D6570" w:rsidP="002D6570">
            <w:pPr>
              <w:autoSpaceDE w:val="0"/>
              <w:autoSpaceDN w:val="0"/>
              <w:adjustRightInd w:val="0"/>
              <w:spacing w:before="40" w:after="40"/>
              <w:jc w:val="left"/>
              <w:rPr>
                <w:rFonts w:cs="Calibri"/>
                <w:color w:val="000000"/>
                <w:sz w:val="20"/>
                <w:szCs w:val="18"/>
              </w:rPr>
            </w:pPr>
            <w:r w:rsidRPr="002D6570">
              <w:rPr>
                <w:rFonts w:cs="Calibri"/>
                <w:color w:val="000000"/>
                <w:sz w:val="20"/>
                <w:szCs w:val="18"/>
              </w:rPr>
              <w:t>VaV a expertní činnost s celostátní působností pro všechny obory dopravy, provoz akreditovaných laboratoří</w:t>
            </w:r>
          </w:p>
        </w:tc>
      </w:tr>
      <w:tr w:rsidR="002D6570" w:rsidRPr="002D6570" w:rsidTr="00236613">
        <w:trPr>
          <w:trHeight w:val="165"/>
        </w:trPr>
        <w:tc>
          <w:tcPr>
            <w:tcW w:w="2235" w:type="dxa"/>
            <w:tcBorders>
              <w:top w:val="single" w:sz="4" w:space="0" w:color="auto"/>
              <w:bottom w:val="single" w:sz="4" w:space="0" w:color="auto"/>
            </w:tcBorders>
          </w:tcPr>
          <w:p w:rsidR="002D6570" w:rsidRPr="002D6570" w:rsidRDefault="00990E2D" w:rsidP="002D6570">
            <w:pPr>
              <w:autoSpaceDE w:val="0"/>
              <w:autoSpaceDN w:val="0"/>
              <w:adjustRightInd w:val="0"/>
              <w:spacing w:before="40" w:after="40"/>
              <w:jc w:val="left"/>
              <w:rPr>
                <w:rFonts w:cs="Calibri"/>
                <w:color w:val="000000"/>
                <w:sz w:val="20"/>
                <w:szCs w:val="18"/>
              </w:rPr>
            </w:pPr>
            <w:hyperlink r:id="rId172" w:history="1">
              <w:r w:rsidR="002D6570" w:rsidRPr="002D6570">
                <w:rPr>
                  <w:rFonts w:cs="Calibri"/>
                  <w:color w:val="0000FF" w:themeColor="hyperlink"/>
                  <w:sz w:val="20"/>
                  <w:szCs w:val="18"/>
                  <w:u w:val="single"/>
                </w:rPr>
                <w:t>Letecký ústav FSI Vysokého učení technického v Brně</w:t>
              </w:r>
            </w:hyperlink>
          </w:p>
        </w:tc>
        <w:tc>
          <w:tcPr>
            <w:tcW w:w="7229" w:type="dxa"/>
            <w:tcBorders>
              <w:top w:val="single" w:sz="4" w:space="0" w:color="auto"/>
              <w:bottom w:val="single" w:sz="4" w:space="0" w:color="auto"/>
            </w:tcBorders>
          </w:tcPr>
          <w:p w:rsidR="002D6570" w:rsidRPr="002D6570" w:rsidRDefault="002D6570" w:rsidP="002D6570">
            <w:pPr>
              <w:autoSpaceDE w:val="0"/>
              <w:autoSpaceDN w:val="0"/>
              <w:adjustRightInd w:val="0"/>
              <w:spacing w:before="40" w:after="40"/>
              <w:jc w:val="left"/>
              <w:rPr>
                <w:rFonts w:cs="Calibri"/>
                <w:color w:val="000000"/>
                <w:sz w:val="20"/>
                <w:szCs w:val="18"/>
              </w:rPr>
            </w:pPr>
            <w:r w:rsidRPr="002D6570">
              <w:rPr>
                <w:rFonts w:cs="Calibri"/>
                <w:color w:val="000000"/>
                <w:sz w:val="20"/>
                <w:szCs w:val="18"/>
              </w:rPr>
              <w:t>Certifikovaná zkušebna pro měření dynamických i statických jevů se zaměřením na kompozitové konstrukce.</w:t>
            </w:r>
          </w:p>
        </w:tc>
      </w:tr>
      <w:tr w:rsidR="002D6570" w:rsidRPr="002D6570" w:rsidTr="00236613">
        <w:trPr>
          <w:trHeight w:val="165"/>
        </w:trPr>
        <w:tc>
          <w:tcPr>
            <w:tcW w:w="2235" w:type="dxa"/>
            <w:tcBorders>
              <w:top w:val="single" w:sz="4" w:space="0" w:color="auto"/>
              <w:bottom w:val="single" w:sz="4" w:space="0" w:color="auto"/>
            </w:tcBorders>
          </w:tcPr>
          <w:p w:rsidR="002D6570" w:rsidRPr="002D6570" w:rsidRDefault="00990E2D" w:rsidP="002D6570">
            <w:pPr>
              <w:autoSpaceDE w:val="0"/>
              <w:autoSpaceDN w:val="0"/>
              <w:adjustRightInd w:val="0"/>
              <w:spacing w:before="40" w:after="40"/>
              <w:jc w:val="left"/>
              <w:rPr>
                <w:rFonts w:cs="Calibri"/>
                <w:color w:val="000000"/>
                <w:sz w:val="20"/>
                <w:szCs w:val="18"/>
              </w:rPr>
            </w:pPr>
            <w:hyperlink r:id="rId173" w:history="1">
              <w:r w:rsidR="002D6570" w:rsidRPr="002D6570">
                <w:rPr>
                  <w:rFonts w:cs="Calibri"/>
                  <w:color w:val="0000FF" w:themeColor="hyperlink"/>
                  <w:sz w:val="20"/>
                  <w:szCs w:val="18"/>
                  <w:u w:val="single"/>
                </w:rPr>
                <w:t>Státní ústav jaderné, chemické a biologické ochrany, v.v.i.</w:t>
              </w:r>
            </w:hyperlink>
          </w:p>
        </w:tc>
        <w:tc>
          <w:tcPr>
            <w:tcW w:w="7229" w:type="dxa"/>
            <w:tcBorders>
              <w:top w:val="single" w:sz="4" w:space="0" w:color="auto"/>
              <w:bottom w:val="single" w:sz="4" w:space="0" w:color="auto"/>
            </w:tcBorders>
          </w:tcPr>
          <w:p w:rsidR="002D6570" w:rsidRPr="002D6570" w:rsidRDefault="002D6570" w:rsidP="004F74B7">
            <w:pPr>
              <w:numPr>
                <w:ilvl w:val="0"/>
                <w:numId w:val="15"/>
              </w:numPr>
              <w:autoSpaceDE w:val="0"/>
              <w:autoSpaceDN w:val="0"/>
              <w:adjustRightInd w:val="0"/>
              <w:spacing w:before="40" w:after="40"/>
              <w:ind w:left="175" w:hanging="141"/>
              <w:jc w:val="left"/>
              <w:rPr>
                <w:rFonts w:cs="Calibri"/>
                <w:color w:val="000000"/>
                <w:sz w:val="20"/>
                <w:szCs w:val="18"/>
              </w:rPr>
            </w:pPr>
            <w:r w:rsidRPr="002D6570">
              <w:rPr>
                <w:rFonts w:cs="Calibri"/>
                <w:color w:val="000000"/>
                <w:sz w:val="20"/>
                <w:szCs w:val="18"/>
              </w:rPr>
              <w:t>Akreditovaná centrální laboratoř (se sedmi dílčími laboratořemi) pro identifikaci a kvantifikaci radioaktivních, chemických a biologických látek, hodnocení jejich účinků na člověka a prostředí, včetně hodnocení a vývoje individuálních a kolektivních prostředků ochrany člověka před těmito látkám.</w:t>
            </w:r>
          </w:p>
          <w:p w:rsidR="002D6570" w:rsidRPr="002D6570" w:rsidRDefault="002D6570" w:rsidP="004F74B7">
            <w:pPr>
              <w:numPr>
                <w:ilvl w:val="0"/>
                <w:numId w:val="15"/>
              </w:numPr>
              <w:autoSpaceDE w:val="0"/>
              <w:autoSpaceDN w:val="0"/>
              <w:adjustRightInd w:val="0"/>
              <w:spacing w:before="40" w:after="40"/>
              <w:ind w:left="175" w:hanging="141"/>
              <w:jc w:val="left"/>
              <w:rPr>
                <w:rFonts w:cs="Calibri"/>
                <w:color w:val="000000"/>
                <w:sz w:val="20"/>
                <w:szCs w:val="18"/>
              </w:rPr>
            </w:pPr>
            <w:r w:rsidRPr="002D6570">
              <w:rPr>
                <w:rFonts w:cs="Calibri"/>
                <w:color w:val="000000"/>
                <w:sz w:val="20"/>
                <w:szCs w:val="18"/>
              </w:rPr>
              <w:t>Kalibrační laboratoř provádějící ověřování přístrojů užívaných na měření objemové aktivity radonu a ekvivalentní objemové aktivity radonu ve vzduchu.</w:t>
            </w:r>
          </w:p>
        </w:tc>
      </w:tr>
      <w:tr w:rsidR="002D6570" w:rsidRPr="002D6570" w:rsidTr="00236613">
        <w:trPr>
          <w:trHeight w:val="165"/>
        </w:trPr>
        <w:tc>
          <w:tcPr>
            <w:tcW w:w="2235" w:type="dxa"/>
            <w:tcBorders>
              <w:top w:val="single" w:sz="4" w:space="0" w:color="auto"/>
              <w:bottom w:val="single" w:sz="4" w:space="0" w:color="auto"/>
            </w:tcBorders>
          </w:tcPr>
          <w:p w:rsidR="002D6570" w:rsidRPr="002D6570" w:rsidRDefault="00990E2D" w:rsidP="002D6570">
            <w:pPr>
              <w:autoSpaceDE w:val="0"/>
              <w:autoSpaceDN w:val="0"/>
              <w:adjustRightInd w:val="0"/>
              <w:spacing w:before="40" w:after="40"/>
              <w:jc w:val="left"/>
              <w:rPr>
                <w:rFonts w:cs="Calibri"/>
                <w:color w:val="000000"/>
                <w:sz w:val="20"/>
                <w:szCs w:val="18"/>
              </w:rPr>
            </w:pPr>
            <w:hyperlink r:id="rId174" w:history="1">
              <w:r w:rsidR="002D6570" w:rsidRPr="002D6570">
                <w:rPr>
                  <w:rFonts w:cs="Calibri"/>
                  <w:color w:val="0000FF" w:themeColor="hyperlink"/>
                  <w:sz w:val="20"/>
                  <w:szCs w:val="18"/>
                  <w:u w:val="single"/>
                </w:rPr>
                <w:t>Státní ústav radiační ochrany, v.v.i.</w:t>
              </w:r>
            </w:hyperlink>
          </w:p>
        </w:tc>
        <w:tc>
          <w:tcPr>
            <w:tcW w:w="7229" w:type="dxa"/>
            <w:tcBorders>
              <w:top w:val="single" w:sz="4" w:space="0" w:color="auto"/>
              <w:bottom w:val="single" w:sz="4" w:space="0" w:color="auto"/>
            </w:tcBorders>
          </w:tcPr>
          <w:p w:rsidR="002D6570" w:rsidRPr="002D6570" w:rsidRDefault="002D6570" w:rsidP="004F74B7">
            <w:pPr>
              <w:numPr>
                <w:ilvl w:val="0"/>
                <w:numId w:val="15"/>
              </w:numPr>
              <w:autoSpaceDE w:val="0"/>
              <w:autoSpaceDN w:val="0"/>
              <w:adjustRightInd w:val="0"/>
              <w:spacing w:before="40" w:after="40"/>
              <w:ind w:left="175" w:hanging="141"/>
              <w:jc w:val="left"/>
              <w:rPr>
                <w:rFonts w:cs="Calibri"/>
                <w:color w:val="000000"/>
                <w:sz w:val="20"/>
                <w:szCs w:val="18"/>
              </w:rPr>
            </w:pPr>
            <w:r w:rsidRPr="002D6570">
              <w:rPr>
                <w:rFonts w:cs="Calibri"/>
                <w:color w:val="000000"/>
                <w:sz w:val="20"/>
                <w:szCs w:val="18"/>
              </w:rPr>
              <w:t>Akreditovaná zkušební laboratoř pro měření obsahu radionuklidů ve výrobcích, surovinách, stavebních a odpadních materiálech, vzorcích potravního řetězce, vodě, lidském těle, biologických materiálech a dalších složkách životního prostředí a stanovování dozimetrických veličin a aktivity radonu pro potřeby radiační ochrany</w:t>
            </w:r>
          </w:p>
        </w:tc>
      </w:tr>
      <w:tr w:rsidR="002D6570" w:rsidRPr="002D6570" w:rsidTr="00236613">
        <w:trPr>
          <w:trHeight w:val="165"/>
        </w:trPr>
        <w:tc>
          <w:tcPr>
            <w:tcW w:w="2235" w:type="dxa"/>
            <w:tcBorders>
              <w:top w:val="single" w:sz="4" w:space="0" w:color="auto"/>
              <w:bottom w:val="single" w:sz="4" w:space="0" w:color="auto"/>
            </w:tcBorders>
          </w:tcPr>
          <w:p w:rsidR="002D6570" w:rsidRPr="002D6570" w:rsidRDefault="002D6570" w:rsidP="002D6570">
            <w:pPr>
              <w:autoSpaceDE w:val="0"/>
              <w:autoSpaceDN w:val="0"/>
              <w:adjustRightInd w:val="0"/>
              <w:spacing w:before="40" w:after="40"/>
              <w:jc w:val="left"/>
              <w:rPr>
                <w:rFonts w:cs="Calibri"/>
                <w:color w:val="000000"/>
                <w:sz w:val="20"/>
                <w:szCs w:val="18"/>
              </w:rPr>
            </w:pPr>
            <w:r w:rsidRPr="002D6570">
              <w:rPr>
                <w:rFonts w:cs="Calibri"/>
                <w:color w:val="000000"/>
                <w:sz w:val="20"/>
                <w:szCs w:val="18"/>
              </w:rPr>
              <w:t>SVÚM a.s.</w:t>
            </w:r>
          </w:p>
        </w:tc>
        <w:tc>
          <w:tcPr>
            <w:tcW w:w="7229" w:type="dxa"/>
            <w:tcBorders>
              <w:top w:val="single" w:sz="4" w:space="0" w:color="auto"/>
              <w:bottom w:val="single" w:sz="4" w:space="0" w:color="auto"/>
            </w:tcBorders>
          </w:tcPr>
          <w:p w:rsidR="002D6570" w:rsidRPr="002D6570" w:rsidRDefault="002D6570" w:rsidP="002D6570">
            <w:pPr>
              <w:autoSpaceDE w:val="0"/>
              <w:autoSpaceDN w:val="0"/>
              <w:adjustRightInd w:val="0"/>
              <w:spacing w:before="40" w:after="40"/>
              <w:jc w:val="left"/>
              <w:rPr>
                <w:rFonts w:cs="Calibri"/>
                <w:color w:val="000000"/>
                <w:sz w:val="20"/>
                <w:szCs w:val="18"/>
              </w:rPr>
            </w:pPr>
            <w:r w:rsidRPr="002D6570">
              <w:rPr>
                <w:rFonts w:cs="Calibri"/>
                <w:color w:val="000000"/>
                <w:sz w:val="20"/>
                <w:szCs w:val="18"/>
              </w:rPr>
              <w:t>Výzkum a vývoj, kovy, p</w:t>
            </w:r>
            <w:r w:rsidR="0042212A">
              <w:rPr>
                <w:rFonts w:cs="Calibri"/>
                <w:color w:val="000000"/>
                <w:sz w:val="20"/>
                <w:szCs w:val="18"/>
              </w:rPr>
              <w:t xml:space="preserve">, </w:t>
            </w:r>
            <w:r w:rsidRPr="002D6570">
              <w:rPr>
                <w:rFonts w:cs="Calibri"/>
                <w:color w:val="000000"/>
                <w:sz w:val="20"/>
                <w:szCs w:val="18"/>
              </w:rPr>
              <w:t>lasty, kompozity, expertizy, supervize, zkoušky v akreditovaných laboratořích - mechanické zkoušky pokojová a zvýšená teplota, únava, creep, koroze, vysokoteplotní koroze, opotřebení, zkušební organizace pro svařování, inspekční orgán pro svařované konstrukce a výroba vysoce výkonných permanentních magnetů, korozivzdorné povlaky, výrobky z PTFE a teflonu</w:t>
            </w:r>
          </w:p>
        </w:tc>
      </w:tr>
      <w:tr w:rsidR="002D6570" w:rsidRPr="002D6570" w:rsidTr="00236613">
        <w:trPr>
          <w:trHeight w:val="165"/>
        </w:trPr>
        <w:tc>
          <w:tcPr>
            <w:tcW w:w="2235" w:type="dxa"/>
            <w:tcBorders>
              <w:top w:val="single" w:sz="4" w:space="0" w:color="auto"/>
              <w:bottom w:val="single" w:sz="4" w:space="0" w:color="auto"/>
            </w:tcBorders>
          </w:tcPr>
          <w:p w:rsidR="002D6570" w:rsidRPr="002D6570" w:rsidRDefault="002D6570" w:rsidP="002D6570">
            <w:pPr>
              <w:autoSpaceDE w:val="0"/>
              <w:autoSpaceDN w:val="0"/>
              <w:adjustRightInd w:val="0"/>
              <w:spacing w:before="40" w:after="40"/>
              <w:jc w:val="left"/>
              <w:rPr>
                <w:rFonts w:cs="Calibri"/>
                <w:color w:val="000000"/>
                <w:sz w:val="20"/>
                <w:szCs w:val="18"/>
              </w:rPr>
            </w:pPr>
            <w:r w:rsidRPr="002D6570">
              <w:rPr>
                <w:rFonts w:cs="Calibri"/>
                <w:color w:val="000000"/>
                <w:sz w:val="20"/>
                <w:szCs w:val="18"/>
              </w:rPr>
              <w:t>Ústav jaderného výzkumu Řež, a.s.</w:t>
            </w:r>
          </w:p>
        </w:tc>
        <w:tc>
          <w:tcPr>
            <w:tcW w:w="7229" w:type="dxa"/>
            <w:tcBorders>
              <w:top w:val="single" w:sz="4" w:space="0" w:color="auto"/>
              <w:bottom w:val="single" w:sz="4" w:space="0" w:color="auto"/>
            </w:tcBorders>
          </w:tcPr>
          <w:p w:rsidR="002D6570" w:rsidRPr="002D6570" w:rsidRDefault="002D6570" w:rsidP="002D6570">
            <w:pPr>
              <w:autoSpaceDE w:val="0"/>
              <w:autoSpaceDN w:val="0"/>
              <w:adjustRightInd w:val="0"/>
              <w:spacing w:before="40" w:after="40"/>
              <w:jc w:val="left"/>
              <w:rPr>
                <w:rFonts w:cs="Calibri"/>
                <w:color w:val="000000"/>
                <w:sz w:val="20"/>
                <w:szCs w:val="18"/>
              </w:rPr>
            </w:pPr>
            <w:r w:rsidRPr="002D6570">
              <w:rPr>
                <w:rFonts w:cs="Calibri"/>
                <w:color w:val="000000"/>
                <w:sz w:val="20"/>
                <w:szCs w:val="18"/>
              </w:rPr>
              <w:t>VaV v oborech jaderné energetiky a chemie palivového cyklu jaderné energetiky, jaderná bezpečnost, materiály a integrita komponent jaderné energetiky, ozařovací technologie, radioizotopy a radiofarmaka, zpracování jaderného odpadu</w:t>
            </w:r>
          </w:p>
        </w:tc>
      </w:tr>
      <w:tr w:rsidR="00373CDC" w:rsidRPr="002D6570" w:rsidTr="00236613">
        <w:trPr>
          <w:trHeight w:val="165"/>
        </w:trPr>
        <w:tc>
          <w:tcPr>
            <w:tcW w:w="2235" w:type="dxa"/>
            <w:tcBorders>
              <w:top w:val="single" w:sz="4" w:space="0" w:color="auto"/>
              <w:bottom w:val="single" w:sz="4" w:space="0" w:color="auto"/>
            </w:tcBorders>
          </w:tcPr>
          <w:p w:rsidR="00373CDC" w:rsidRPr="002D6570" w:rsidRDefault="00990E2D" w:rsidP="002D6570">
            <w:pPr>
              <w:autoSpaceDE w:val="0"/>
              <w:autoSpaceDN w:val="0"/>
              <w:adjustRightInd w:val="0"/>
              <w:spacing w:before="40" w:after="40"/>
              <w:jc w:val="left"/>
              <w:rPr>
                <w:sz w:val="20"/>
                <w:szCs w:val="20"/>
              </w:rPr>
            </w:pPr>
            <w:hyperlink r:id="rId175" w:history="1">
              <w:r w:rsidR="00373CDC" w:rsidRPr="00373CDC">
                <w:rPr>
                  <w:rStyle w:val="Hypertextovodkaz"/>
                  <w:sz w:val="20"/>
                  <w:szCs w:val="20"/>
                </w:rPr>
                <w:t>Vojenský výzkumný ústav, s. p.</w:t>
              </w:r>
            </w:hyperlink>
          </w:p>
        </w:tc>
        <w:tc>
          <w:tcPr>
            <w:tcW w:w="7229" w:type="dxa"/>
            <w:tcBorders>
              <w:top w:val="single" w:sz="4" w:space="0" w:color="auto"/>
              <w:bottom w:val="single" w:sz="4" w:space="0" w:color="auto"/>
            </w:tcBorders>
          </w:tcPr>
          <w:p w:rsidR="00373CDC" w:rsidRPr="002D6570" w:rsidRDefault="00373CDC" w:rsidP="00373CDC">
            <w:pPr>
              <w:autoSpaceDE w:val="0"/>
              <w:autoSpaceDN w:val="0"/>
              <w:adjustRightInd w:val="0"/>
              <w:spacing w:before="40" w:after="40"/>
              <w:jc w:val="left"/>
              <w:rPr>
                <w:sz w:val="20"/>
                <w:szCs w:val="20"/>
              </w:rPr>
            </w:pPr>
            <w:r w:rsidRPr="00373CDC">
              <w:rPr>
                <w:sz w:val="20"/>
                <w:szCs w:val="20"/>
              </w:rPr>
              <w:t>VaV pozemní vojenské techniky</w:t>
            </w:r>
            <w:r>
              <w:rPr>
                <w:sz w:val="20"/>
                <w:szCs w:val="20"/>
              </w:rPr>
              <w:t xml:space="preserve"> a</w:t>
            </w:r>
            <w:r w:rsidRPr="00373CDC">
              <w:rPr>
                <w:sz w:val="20"/>
                <w:szCs w:val="20"/>
              </w:rPr>
              <w:t xml:space="preserve"> materiálu</w:t>
            </w:r>
            <w:r>
              <w:rPr>
                <w:sz w:val="20"/>
                <w:szCs w:val="20"/>
              </w:rPr>
              <w:t xml:space="preserve">, </w:t>
            </w:r>
            <w:r w:rsidRPr="00373CDC">
              <w:rPr>
                <w:sz w:val="20"/>
                <w:szCs w:val="20"/>
              </w:rPr>
              <w:t>chemick</w:t>
            </w:r>
            <w:r>
              <w:rPr>
                <w:sz w:val="20"/>
                <w:szCs w:val="20"/>
              </w:rPr>
              <w:t>á</w:t>
            </w:r>
            <w:r w:rsidRPr="00373CDC">
              <w:rPr>
                <w:sz w:val="20"/>
                <w:szCs w:val="20"/>
              </w:rPr>
              <w:t>, biologick</w:t>
            </w:r>
            <w:r>
              <w:rPr>
                <w:sz w:val="20"/>
                <w:szCs w:val="20"/>
              </w:rPr>
              <w:t>á</w:t>
            </w:r>
            <w:r w:rsidRPr="00373CDC">
              <w:rPr>
                <w:sz w:val="20"/>
                <w:szCs w:val="20"/>
              </w:rPr>
              <w:t xml:space="preserve"> a radiační ochran</w:t>
            </w:r>
            <w:r>
              <w:rPr>
                <w:sz w:val="20"/>
                <w:szCs w:val="20"/>
              </w:rPr>
              <w:t>a</w:t>
            </w:r>
            <w:r w:rsidRPr="00373CDC">
              <w:rPr>
                <w:sz w:val="20"/>
                <w:szCs w:val="20"/>
              </w:rPr>
              <w:t xml:space="preserve"> a související obory, senzor</w:t>
            </w:r>
            <w:r>
              <w:rPr>
                <w:sz w:val="20"/>
                <w:szCs w:val="20"/>
              </w:rPr>
              <w:t>y</w:t>
            </w:r>
            <w:r w:rsidRPr="00373CDC">
              <w:rPr>
                <w:sz w:val="20"/>
                <w:szCs w:val="20"/>
              </w:rPr>
              <w:t>, elektronický a kybernetický boj, maskování a klamání, materiály, povrchov</w:t>
            </w:r>
            <w:r>
              <w:rPr>
                <w:sz w:val="20"/>
                <w:szCs w:val="20"/>
              </w:rPr>
              <w:t>á</w:t>
            </w:r>
            <w:r w:rsidRPr="00373CDC">
              <w:rPr>
                <w:sz w:val="20"/>
                <w:szCs w:val="20"/>
              </w:rPr>
              <w:t xml:space="preserve"> ochran</w:t>
            </w:r>
            <w:r>
              <w:rPr>
                <w:sz w:val="20"/>
                <w:szCs w:val="20"/>
              </w:rPr>
              <w:t>a</w:t>
            </w:r>
            <w:r w:rsidRPr="00373CDC">
              <w:rPr>
                <w:sz w:val="20"/>
                <w:szCs w:val="20"/>
              </w:rPr>
              <w:t>, logistik</w:t>
            </w:r>
            <w:r>
              <w:rPr>
                <w:sz w:val="20"/>
                <w:szCs w:val="20"/>
              </w:rPr>
              <w:t>a</w:t>
            </w:r>
            <w:r w:rsidRPr="00373CDC">
              <w:rPr>
                <w:sz w:val="20"/>
                <w:szCs w:val="20"/>
              </w:rPr>
              <w:t>.</w:t>
            </w:r>
          </w:p>
        </w:tc>
      </w:tr>
      <w:tr w:rsidR="002D6570" w:rsidRPr="002D6570" w:rsidTr="00236613">
        <w:trPr>
          <w:trHeight w:val="165"/>
        </w:trPr>
        <w:tc>
          <w:tcPr>
            <w:tcW w:w="2235" w:type="dxa"/>
            <w:tcBorders>
              <w:top w:val="single" w:sz="4" w:space="0" w:color="auto"/>
              <w:bottom w:val="single" w:sz="4" w:space="0" w:color="auto"/>
            </w:tcBorders>
          </w:tcPr>
          <w:p w:rsidR="002D6570" w:rsidRPr="002D6570" w:rsidRDefault="002D6570" w:rsidP="002D6570">
            <w:pPr>
              <w:autoSpaceDE w:val="0"/>
              <w:autoSpaceDN w:val="0"/>
              <w:adjustRightInd w:val="0"/>
              <w:spacing w:before="40" w:after="40"/>
              <w:jc w:val="left"/>
              <w:rPr>
                <w:sz w:val="20"/>
                <w:szCs w:val="20"/>
              </w:rPr>
            </w:pPr>
            <w:r w:rsidRPr="002D6570">
              <w:rPr>
                <w:sz w:val="20"/>
                <w:szCs w:val="20"/>
              </w:rPr>
              <w:t>VÚJE Česká republika, s.r.o.</w:t>
            </w:r>
          </w:p>
        </w:tc>
        <w:tc>
          <w:tcPr>
            <w:tcW w:w="7229" w:type="dxa"/>
            <w:tcBorders>
              <w:top w:val="single" w:sz="4" w:space="0" w:color="auto"/>
              <w:bottom w:val="single" w:sz="4" w:space="0" w:color="auto"/>
            </w:tcBorders>
          </w:tcPr>
          <w:p w:rsidR="002D6570" w:rsidRPr="002D6570" w:rsidRDefault="002D6570" w:rsidP="002D6570">
            <w:pPr>
              <w:jc w:val="left"/>
              <w:rPr>
                <w:sz w:val="20"/>
                <w:szCs w:val="20"/>
              </w:rPr>
            </w:pPr>
            <w:r w:rsidRPr="002D6570">
              <w:rPr>
                <w:sz w:val="20"/>
                <w:szCs w:val="20"/>
              </w:rPr>
              <w:t>Jaderná energetika, VaV, zkoušení a analýzy v oblasti jaderné a klasické energetiky</w:t>
            </w:r>
          </w:p>
        </w:tc>
      </w:tr>
      <w:tr w:rsidR="002D6570" w:rsidRPr="002D6570" w:rsidTr="00236613">
        <w:trPr>
          <w:trHeight w:val="165"/>
        </w:trPr>
        <w:tc>
          <w:tcPr>
            <w:tcW w:w="2235" w:type="dxa"/>
            <w:tcBorders>
              <w:top w:val="single" w:sz="4" w:space="0" w:color="auto"/>
              <w:bottom w:val="single" w:sz="4" w:space="0" w:color="auto"/>
            </w:tcBorders>
          </w:tcPr>
          <w:p w:rsidR="002D6570" w:rsidRPr="002D6570" w:rsidRDefault="002D6570" w:rsidP="002D6570">
            <w:pPr>
              <w:autoSpaceDE w:val="0"/>
              <w:autoSpaceDN w:val="0"/>
              <w:adjustRightInd w:val="0"/>
              <w:spacing w:before="40" w:after="40"/>
              <w:jc w:val="left"/>
              <w:rPr>
                <w:rFonts w:cs="Calibri"/>
                <w:color w:val="000000"/>
                <w:sz w:val="20"/>
                <w:szCs w:val="18"/>
              </w:rPr>
            </w:pPr>
            <w:r w:rsidRPr="002D6570">
              <w:rPr>
                <w:rFonts w:cs="Calibri"/>
                <w:color w:val="000000"/>
                <w:sz w:val="20"/>
                <w:szCs w:val="18"/>
              </w:rPr>
              <w:t>VVUÚ, a. s.</w:t>
            </w:r>
          </w:p>
        </w:tc>
        <w:tc>
          <w:tcPr>
            <w:tcW w:w="7229" w:type="dxa"/>
            <w:tcBorders>
              <w:top w:val="single" w:sz="4" w:space="0" w:color="auto"/>
              <w:bottom w:val="single" w:sz="4" w:space="0" w:color="auto"/>
            </w:tcBorders>
          </w:tcPr>
          <w:p w:rsidR="002D6570" w:rsidRPr="002D6570" w:rsidRDefault="002D6570" w:rsidP="004F74B7">
            <w:pPr>
              <w:numPr>
                <w:ilvl w:val="0"/>
                <w:numId w:val="15"/>
              </w:numPr>
              <w:autoSpaceDE w:val="0"/>
              <w:autoSpaceDN w:val="0"/>
              <w:adjustRightInd w:val="0"/>
              <w:spacing w:before="40" w:after="40"/>
              <w:ind w:left="175" w:hanging="141"/>
              <w:jc w:val="left"/>
              <w:rPr>
                <w:sz w:val="20"/>
                <w:szCs w:val="20"/>
              </w:rPr>
            </w:pPr>
            <w:r w:rsidRPr="002D6570">
              <w:rPr>
                <w:sz w:val="20"/>
                <w:szCs w:val="20"/>
              </w:rPr>
              <w:t>činnost AO a akreditovaných zkušebních laboratoří, certifikačního orgánu na výrobky SMJ, EMS, SMBOZ</w:t>
            </w:r>
          </w:p>
          <w:p w:rsidR="002D6570" w:rsidRPr="002D6570" w:rsidRDefault="002D6570" w:rsidP="004F74B7">
            <w:pPr>
              <w:numPr>
                <w:ilvl w:val="0"/>
                <w:numId w:val="15"/>
              </w:numPr>
              <w:autoSpaceDE w:val="0"/>
              <w:autoSpaceDN w:val="0"/>
              <w:adjustRightInd w:val="0"/>
              <w:spacing w:before="40" w:after="40"/>
              <w:ind w:left="175" w:hanging="141"/>
              <w:jc w:val="left"/>
              <w:rPr>
                <w:sz w:val="20"/>
                <w:szCs w:val="20"/>
              </w:rPr>
            </w:pPr>
            <w:r w:rsidRPr="002D6570">
              <w:rPr>
                <w:sz w:val="20"/>
                <w:szCs w:val="20"/>
              </w:rPr>
              <w:t>výkon inspekčního orgánu</w:t>
            </w:r>
          </w:p>
          <w:p w:rsidR="002D6570" w:rsidRPr="002D6570" w:rsidRDefault="002D6570" w:rsidP="004F74B7">
            <w:pPr>
              <w:numPr>
                <w:ilvl w:val="0"/>
                <w:numId w:val="15"/>
              </w:numPr>
              <w:autoSpaceDE w:val="0"/>
              <w:autoSpaceDN w:val="0"/>
              <w:adjustRightInd w:val="0"/>
              <w:spacing w:before="40" w:after="40"/>
              <w:ind w:left="175" w:hanging="141"/>
              <w:jc w:val="left"/>
              <w:rPr>
                <w:sz w:val="20"/>
                <w:szCs w:val="20"/>
              </w:rPr>
            </w:pPr>
            <w:r w:rsidRPr="002D6570">
              <w:rPr>
                <w:sz w:val="20"/>
                <w:szCs w:val="20"/>
              </w:rPr>
              <w:t>výzkum v oblasti bezpečnosti a hygieny práce v souvislosti s dobýváním surovin</w:t>
            </w:r>
          </w:p>
        </w:tc>
      </w:tr>
      <w:tr w:rsidR="002D6570" w:rsidRPr="002D6570" w:rsidTr="00236613">
        <w:trPr>
          <w:trHeight w:val="165"/>
        </w:trPr>
        <w:tc>
          <w:tcPr>
            <w:tcW w:w="2235" w:type="dxa"/>
            <w:tcBorders>
              <w:top w:val="single" w:sz="4" w:space="0" w:color="auto"/>
              <w:bottom w:val="single" w:sz="4" w:space="0" w:color="auto"/>
            </w:tcBorders>
          </w:tcPr>
          <w:p w:rsidR="002D6570" w:rsidRPr="002D6570" w:rsidRDefault="002D6570" w:rsidP="002D6570">
            <w:pPr>
              <w:autoSpaceDE w:val="0"/>
              <w:autoSpaceDN w:val="0"/>
              <w:adjustRightInd w:val="0"/>
              <w:spacing w:before="40" w:after="40"/>
              <w:jc w:val="left"/>
              <w:rPr>
                <w:rFonts w:cs="Calibri"/>
                <w:color w:val="000000"/>
                <w:sz w:val="20"/>
                <w:szCs w:val="18"/>
              </w:rPr>
            </w:pPr>
            <w:r w:rsidRPr="002D6570">
              <w:rPr>
                <w:rFonts w:cs="Calibri"/>
                <w:color w:val="000000"/>
                <w:sz w:val="20"/>
                <w:szCs w:val="18"/>
              </w:rPr>
              <w:t>Výzkumný ústav stavebních hmot, a.s.</w:t>
            </w:r>
          </w:p>
        </w:tc>
        <w:tc>
          <w:tcPr>
            <w:tcW w:w="7229" w:type="dxa"/>
            <w:tcBorders>
              <w:top w:val="single" w:sz="4" w:space="0" w:color="auto"/>
              <w:bottom w:val="single" w:sz="4" w:space="0" w:color="auto"/>
            </w:tcBorders>
          </w:tcPr>
          <w:p w:rsidR="002D6570" w:rsidRPr="002D6570" w:rsidRDefault="002D6570" w:rsidP="002D6570">
            <w:pPr>
              <w:autoSpaceDE w:val="0"/>
              <w:autoSpaceDN w:val="0"/>
              <w:adjustRightInd w:val="0"/>
              <w:spacing w:before="40" w:after="40"/>
              <w:jc w:val="left"/>
              <w:rPr>
                <w:rFonts w:cs="Calibri"/>
                <w:color w:val="000000"/>
                <w:sz w:val="20"/>
                <w:szCs w:val="18"/>
              </w:rPr>
            </w:pPr>
            <w:r w:rsidRPr="002D6570">
              <w:rPr>
                <w:rFonts w:cs="Calibri"/>
                <w:color w:val="000000"/>
                <w:sz w:val="20"/>
                <w:szCs w:val="18"/>
              </w:rPr>
              <w:t>Stavební hmoty, průmyslové odpady, akreditované laboratoře a technologické zkušebny.</w:t>
            </w:r>
          </w:p>
        </w:tc>
      </w:tr>
      <w:tr w:rsidR="002D6570" w:rsidRPr="002D6570" w:rsidTr="00236613">
        <w:trPr>
          <w:trHeight w:val="165"/>
        </w:trPr>
        <w:tc>
          <w:tcPr>
            <w:tcW w:w="2235" w:type="dxa"/>
            <w:tcBorders>
              <w:top w:val="single" w:sz="4" w:space="0" w:color="auto"/>
              <w:bottom w:val="single" w:sz="4" w:space="0" w:color="auto"/>
            </w:tcBorders>
          </w:tcPr>
          <w:p w:rsidR="002D6570" w:rsidRPr="002D6570" w:rsidRDefault="002D6570" w:rsidP="002D6570">
            <w:pPr>
              <w:autoSpaceDE w:val="0"/>
              <w:autoSpaceDN w:val="0"/>
              <w:adjustRightInd w:val="0"/>
              <w:spacing w:before="40" w:after="40"/>
              <w:jc w:val="left"/>
              <w:rPr>
                <w:rFonts w:cs="Calibri"/>
                <w:color w:val="000000"/>
                <w:sz w:val="20"/>
                <w:szCs w:val="18"/>
              </w:rPr>
            </w:pPr>
            <w:r w:rsidRPr="002D6570">
              <w:rPr>
                <w:rFonts w:cs="Calibri"/>
                <w:color w:val="000000"/>
                <w:sz w:val="20"/>
                <w:szCs w:val="18"/>
              </w:rPr>
              <w:t>Výzkumný a zkušební letecký ústav, a. s.</w:t>
            </w:r>
          </w:p>
        </w:tc>
        <w:tc>
          <w:tcPr>
            <w:tcW w:w="7229" w:type="dxa"/>
            <w:tcBorders>
              <w:top w:val="single" w:sz="4" w:space="0" w:color="auto"/>
              <w:bottom w:val="single" w:sz="4" w:space="0" w:color="auto"/>
            </w:tcBorders>
          </w:tcPr>
          <w:p w:rsidR="002D6570" w:rsidRPr="002D6570" w:rsidRDefault="002D6570" w:rsidP="002D6570">
            <w:pPr>
              <w:autoSpaceDE w:val="0"/>
              <w:autoSpaceDN w:val="0"/>
              <w:adjustRightInd w:val="0"/>
              <w:spacing w:before="40" w:after="40"/>
              <w:jc w:val="left"/>
              <w:rPr>
                <w:rFonts w:cs="Calibri"/>
                <w:color w:val="000000"/>
                <w:sz w:val="20"/>
                <w:szCs w:val="18"/>
              </w:rPr>
            </w:pPr>
            <w:r w:rsidRPr="002D6570">
              <w:rPr>
                <w:rFonts w:cs="Calibri"/>
                <w:color w:val="000000"/>
                <w:sz w:val="20"/>
                <w:szCs w:val="18"/>
              </w:rPr>
              <w:t>VZLU je výzkumný ústav zajišťující široké spektrum výzkumných, vývojových a zkušebních činností potřebných pro vývoj nových letadel nebo modifikace již existujících letadel včetně certifikačních zkoušek.</w:t>
            </w:r>
          </w:p>
        </w:tc>
      </w:tr>
    </w:tbl>
    <w:p w:rsidR="0027643D" w:rsidRDefault="005F2233" w:rsidP="005F2233">
      <w:pPr>
        <w:pStyle w:val="Nadpis3"/>
      </w:pPr>
      <w:bookmarkStart w:id="259" w:name="_Ref453775167"/>
      <w:bookmarkStart w:id="260" w:name="_Toc459723337"/>
      <w:r w:rsidRPr="005F2233">
        <w:t>Podniky provádějící služby v oblasti zkušebnictví</w:t>
      </w:r>
      <w:bookmarkEnd w:id="259"/>
      <w:bookmarkEnd w:id="260"/>
    </w:p>
    <w:tbl>
      <w:tblPr>
        <w:tblW w:w="0" w:type="auto"/>
        <w:tblLook w:val="04A0" w:firstRow="1" w:lastRow="0" w:firstColumn="1" w:lastColumn="0" w:noHBand="0" w:noVBand="1"/>
      </w:tblPr>
      <w:tblGrid>
        <w:gridCol w:w="9354"/>
      </w:tblGrid>
      <w:tr w:rsidR="00971F23" w:rsidTr="001D5000">
        <w:tc>
          <w:tcPr>
            <w:tcW w:w="9354"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971F23" w:rsidRDefault="00971F23" w:rsidP="000A1E52">
            <w:pPr>
              <w:rPr>
                <w:lang w:eastAsia="cs-CZ"/>
              </w:rPr>
            </w:pPr>
            <w:r>
              <w:rPr>
                <w:lang w:eastAsia="cs-CZ"/>
              </w:rPr>
              <w:t>Potenciál pro zkušebnictví mají také některé podniky působící v oblasti bezpečnosti. Aktivity těchto subjektů jsou soustředěny zejména v oblasti technických věd a průmyslových aplikací. Značný význam pro BV mají zejména podniky, které pokrývají všechny činnosti, počínaje realizací VaV, přes testování a ověřování výsledků tohoto výzkumu, až po realizaci</w:t>
            </w:r>
            <w:r w:rsidR="000A1E52">
              <w:rPr>
                <w:lang w:eastAsia="cs-CZ"/>
              </w:rPr>
              <w:t xml:space="preserve"> výsledků VaV.</w:t>
            </w:r>
          </w:p>
        </w:tc>
      </w:tr>
    </w:tbl>
    <w:p w:rsidR="008C364D" w:rsidRDefault="00254513" w:rsidP="00096B86">
      <w:pPr>
        <w:rPr>
          <w:lang w:eastAsia="cs-CZ"/>
        </w:rPr>
      </w:pPr>
      <w:r>
        <w:rPr>
          <w:lang w:eastAsia="cs-CZ"/>
        </w:rPr>
        <w:t>Potenciál pro zkušebnictví m</w:t>
      </w:r>
      <w:r w:rsidR="00096B86">
        <w:rPr>
          <w:lang w:eastAsia="cs-CZ"/>
        </w:rPr>
        <w:t>á také řada podniků</w:t>
      </w:r>
      <w:r>
        <w:rPr>
          <w:lang w:eastAsia="cs-CZ"/>
        </w:rPr>
        <w:t xml:space="preserve"> působících v oblasti bezpečnosti</w:t>
      </w:r>
      <w:r w:rsidR="00F074AB">
        <w:rPr>
          <w:lang w:eastAsia="cs-CZ"/>
        </w:rPr>
        <w:t xml:space="preserve">. </w:t>
      </w:r>
      <w:r w:rsidR="00096B86">
        <w:rPr>
          <w:lang w:eastAsia="cs-CZ"/>
        </w:rPr>
        <w:t xml:space="preserve">Přehled těchto podniků společně s jejich zaměřením a poskytovanými službami, je uveden v </w:t>
      </w:r>
      <w:r w:rsidR="006A44CD">
        <w:rPr>
          <w:lang w:eastAsia="cs-CZ"/>
        </w:rPr>
        <w:fldChar w:fldCharType="begin"/>
      </w:r>
      <w:r w:rsidR="006A44CD">
        <w:rPr>
          <w:lang w:eastAsia="cs-CZ"/>
        </w:rPr>
        <w:instrText xml:space="preserve"> REF  _Ref453766529 \* Lower \h  \* MERGEFORMAT </w:instrText>
      </w:r>
      <w:r w:rsidR="006A44CD">
        <w:rPr>
          <w:lang w:eastAsia="cs-CZ"/>
        </w:rPr>
      </w:r>
      <w:r w:rsidR="006A44CD">
        <w:rPr>
          <w:lang w:eastAsia="cs-CZ"/>
        </w:rPr>
        <w:fldChar w:fldCharType="separate"/>
      </w:r>
      <w:r w:rsidR="003F08E5">
        <w:t xml:space="preserve">tab. </w:t>
      </w:r>
      <w:r w:rsidR="003F08E5">
        <w:rPr>
          <w:noProof/>
        </w:rPr>
        <w:t>72</w:t>
      </w:r>
      <w:r w:rsidR="006A44CD">
        <w:rPr>
          <w:lang w:eastAsia="cs-CZ"/>
        </w:rPr>
        <w:fldChar w:fldCharType="end"/>
      </w:r>
      <w:r w:rsidR="00096B86">
        <w:rPr>
          <w:lang w:eastAsia="cs-CZ"/>
        </w:rPr>
        <w:t>. Většina podniků uvedených v této tabulce je zároveň členy asociací sdružení působících v oblasti bezpečnosti.</w:t>
      </w:r>
    </w:p>
    <w:p w:rsidR="00B845CE" w:rsidRDefault="00096B86" w:rsidP="00096B86">
      <w:pPr>
        <w:rPr>
          <w:lang w:eastAsia="cs-CZ"/>
        </w:rPr>
      </w:pPr>
      <w:r>
        <w:rPr>
          <w:lang w:eastAsia="cs-CZ"/>
        </w:rPr>
        <w:t>Některé z</w:t>
      </w:r>
      <w:r w:rsidR="008C364D">
        <w:rPr>
          <w:lang w:eastAsia="cs-CZ"/>
        </w:rPr>
        <w:t xml:space="preserve"> uvedených podniků </w:t>
      </w:r>
      <w:r>
        <w:rPr>
          <w:lang w:eastAsia="cs-CZ"/>
        </w:rPr>
        <w:t xml:space="preserve">mají </w:t>
      </w:r>
      <w:r w:rsidR="008C364D">
        <w:rPr>
          <w:lang w:eastAsia="cs-CZ"/>
        </w:rPr>
        <w:t xml:space="preserve">také </w:t>
      </w:r>
      <w:r>
        <w:rPr>
          <w:lang w:eastAsia="cs-CZ"/>
        </w:rPr>
        <w:t>VaV kapacity, což zvyšuje jejich potenciál pro zapojení do BV a zkušebnictví</w:t>
      </w:r>
      <w:r w:rsidR="00B845CE">
        <w:rPr>
          <w:lang w:eastAsia="cs-CZ"/>
        </w:rPr>
        <w:t xml:space="preserve">. Některé z nich byly také zapojeny v programech BV a jsou zmíněny v konkrétních souvislostech v předcházejících kapitolách (například v kap. </w:t>
      </w:r>
      <w:r w:rsidR="00B845CE">
        <w:rPr>
          <w:lang w:eastAsia="cs-CZ"/>
        </w:rPr>
        <w:fldChar w:fldCharType="begin"/>
      </w:r>
      <w:r w:rsidR="00B845CE">
        <w:rPr>
          <w:lang w:eastAsia="cs-CZ"/>
        </w:rPr>
        <w:instrText xml:space="preserve"> REF _Ref451692618 \r \h </w:instrText>
      </w:r>
      <w:r w:rsidR="00B845CE">
        <w:rPr>
          <w:lang w:eastAsia="cs-CZ"/>
        </w:rPr>
      </w:r>
      <w:r w:rsidR="00B845CE">
        <w:rPr>
          <w:lang w:eastAsia="cs-CZ"/>
        </w:rPr>
        <w:fldChar w:fldCharType="separate"/>
      </w:r>
      <w:r w:rsidR="003F08E5">
        <w:rPr>
          <w:lang w:eastAsia="cs-CZ"/>
        </w:rPr>
        <w:t>2.2.2</w:t>
      </w:r>
      <w:r w:rsidR="00B845CE">
        <w:rPr>
          <w:lang w:eastAsia="cs-CZ"/>
        </w:rPr>
        <w:fldChar w:fldCharType="end"/>
      </w:r>
      <w:r w:rsidR="00B845CE">
        <w:rPr>
          <w:lang w:eastAsia="cs-CZ"/>
        </w:rPr>
        <w:t>).</w:t>
      </w:r>
    </w:p>
    <w:p w:rsidR="00B845CE" w:rsidRDefault="000A1E52" w:rsidP="00B845CE">
      <w:pPr>
        <w:rPr>
          <w:lang w:eastAsia="cs-CZ"/>
        </w:rPr>
      </w:pPr>
      <w:r>
        <w:rPr>
          <w:lang w:eastAsia="cs-CZ"/>
        </w:rPr>
        <w:t>Největší p</w:t>
      </w:r>
      <w:r w:rsidR="00B845CE">
        <w:rPr>
          <w:lang w:eastAsia="cs-CZ"/>
        </w:rPr>
        <w:t xml:space="preserve">řínos pro BV </w:t>
      </w:r>
      <w:r>
        <w:rPr>
          <w:lang w:eastAsia="cs-CZ"/>
        </w:rPr>
        <w:t>mají podniky, které pokrývaj</w:t>
      </w:r>
      <w:r w:rsidR="00B845CE">
        <w:rPr>
          <w:lang w:eastAsia="cs-CZ"/>
        </w:rPr>
        <w:t xml:space="preserve">í všechny činnosti, počínaje realizací VaV, přes testování a ověřování výsledků tohoto výzkumu, až po realizaci </w:t>
      </w:r>
      <w:r>
        <w:rPr>
          <w:lang w:eastAsia="cs-CZ"/>
        </w:rPr>
        <w:t xml:space="preserve">výsledků </w:t>
      </w:r>
      <w:r w:rsidR="00B845CE">
        <w:rPr>
          <w:lang w:eastAsia="cs-CZ"/>
        </w:rPr>
        <w:t>v aplikacích. Mezi tyto podniky patří například Explosia, Aero Vodochody, Poličské strojírny a Protypa.</w:t>
      </w:r>
    </w:p>
    <w:p w:rsidR="008C364D" w:rsidRDefault="000A1E52" w:rsidP="00096B86">
      <w:pPr>
        <w:rPr>
          <w:lang w:eastAsia="cs-CZ"/>
        </w:rPr>
      </w:pPr>
      <w:r>
        <w:rPr>
          <w:lang w:eastAsia="cs-CZ"/>
        </w:rPr>
        <w:t>Tyto</w:t>
      </w:r>
      <w:r w:rsidR="006C1CC8">
        <w:rPr>
          <w:lang w:eastAsia="cs-CZ"/>
        </w:rPr>
        <w:t xml:space="preserve"> subjekt</w:t>
      </w:r>
      <w:r>
        <w:rPr>
          <w:lang w:eastAsia="cs-CZ"/>
        </w:rPr>
        <w:t xml:space="preserve">y působí </w:t>
      </w:r>
      <w:r w:rsidR="006C1CC8">
        <w:rPr>
          <w:lang w:eastAsia="cs-CZ"/>
        </w:rPr>
        <w:t xml:space="preserve">zejména v oblasti technických věd a průmyslových aplikací, jako jsou materiálové zkoušky, testování konstrukcí a systémů, činnost laboratoří pro měření kontaminací a emisí, zkušebnictví pro letecký průmysl, zbraně a munice, vojenská technika apod. (viz </w:t>
      </w:r>
      <w:r w:rsidR="006C1CC8">
        <w:rPr>
          <w:lang w:eastAsia="cs-CZ"/>
        </w:rPr>
        <w:fldChar w:fldCharType="begin"/>
      </w:r>
      <w:r w:rsidR="006C1CC8">
        <w:rPr>
          <w:lang w:eastAsia="cs-CZ"/>
        </w:rPr>
        <w:instrText xml:space="preserve"> REF  _Ref453766529 \* Lower \h  \* MERGEFORMAT </w:instrText>
      </w:r>
      <w:r w:rsidR="006C1CC8">
        <w:rPr>
          <w:lang w:eastAsia="cs-CZ"/>
        </w:rPr>
      </w:r>
      <w:r w:rsidR="006C1CC8">
        <w:rPr>
          <w:lang w:eastAsia="cs-CZ"/>
        </w:rPr>
        <w:fldChar w:fldCharType="separate"/>
      </w:r>
      <w:r w:rsidR="003F08E5">
        <w:t xml:space="preserve">tab. </w:t>
      </w:r>
      <w:r w:rsidR="003F08E5">
        <w:rPr>
          <w:noProof/>
        </w:rPr>
        <w:t>72</w:t>
      </w:r>
      <w:r w:rsidR="006C1CC8">
        <w:rPr>
          <w:lang w:eastAsia="cs-CZ"/>
        </w:rPr>
        <w:fldChar w:fldCharType="end"/>
      </w:r>
      <w:r w:rsidR="006C1CC8">
        <w:rPr>
          <w:lang w:eastAsia="cs-CZ"/>
        </w:rPr>
        <w:t>).</w:t>
      </w:r>
      <w:r w:rsidR="008C364D">
        <w:rPr>
          <w:lang w:eastAsia="cs-CZ"/>
        </w:rPr>
        <w:t xml:space="preserve"> </w:t>
      </w:r>
    </w:p>
    <w:p w:rsidR="00882948" w:rsidRDefault="00882948" w:rsidP="00882948">
      <w:pPr>
        <w:pStyle w:val="Titulek"/>
        <w:keepNext/>
        <w:jc w:val="both"/>
      </w:pPr>
      <w:bookmarkStart w:id="261" w:name="_Ref453766529"/>
      <w:r>
        <w:t xml:space="preserve">Tab. </w:t>
      </w:r>
      <w:r w:rsidR="00990E2D">
        <w:fldChar w:fldCharType="begin"/>
      </w:r>
      <w:r w:rsidR="00990E2D">
        <w:instrText xml:space="preserve"> SEQ Tab. \* ARABIC </w:instrText>
      </w:r>
      <w:r w:rsidR="00990E2D">
        <w:fldChar w:fldCharType="separate"/>
      </w:r>
      <w:r w:rsidR="003F08E5">
        <w:rPr>
          <w:noProof/>
        </w:rPr>
        <w:t>72</w:t>
      </w:r>
      <w:r w:rsidR="00990E2D">
        <w:rPr>
          <w:noProof/>
        </w:rPr>
        <w:fldChar w:fldCharType="end"/>
      </w:r>
      <w:bookmarkEnd w:id="261"/>
      <w:r>
        <w:tab/>
      </w:r>
      <w:r w:rsidR="00096B86">
        <w:t xml:space="preserve">Podniky s potenciálem pro zkušebnictví </w:t>
      </w:r>
      <w:r w:rsidR="008C364D">
        <w:t xml:space="preserve">(podniky v tabulce jsou seřazeny abecedně). </w:t>
      </w:r>
      <w:r w:rsidR="00096B86">
        <w:t>Zdroj: databáze asociací a uskupení, informace expertů</w:t>
      </w:r>
    </w:p>
    <w:tbl>
      <w:tblPr>
        <w:tblW w:w="9481" w:type="dxa"/>
        <w:jc w:val="center"/>
        <w:tblBorders>
          <w:top w:val="nil"/>
          <w:left w:val="nil"/>
          <w:bottom w:val="nil"/>
          <w:right w:val="nil"/>
        </w:tblBorders>
        <w:tblLayout w:type="fixed"/>
        <w:tblLook w:val="0000" w:firstRow="0" w:lastRow="0" w:firstColumn="0" w:lastColumn="0" w:noHBand="0" w:noVBand="0"/>
      </w:tblPr>
      <w:tblGrid>
        <w:gridCol w:w="1951"/>
        <w:gridCol w:w="7530"/>
      </w:tblGrid>
      <w:tr w:rsidR="00096B86" w:rsidRPr="00096B86" w:rsidTr="008D4C1A">
        <w:trPr>
          <w:trHeight w:val="165"/>
          <w:jc w:val="center"/>
        </w:trPr>
        <w:tc>
          <w:tcPr>
            <w:tcW w:w="1951" w:type="dxa"/>
            <w:tcBorders>
              <w:top w:val="single" w:sz="4" w:space="0" w:color="auto"/>
              <w:bottom w:val="single" w:sz="4" w:space="0" w:color="auto"/>
            </w:tcBorders>
            <w:shd w:val="clear" w:color="auto" w:fill="D9D9D9" w:themeFill="background1" w:themeFillShade="D9"/>
            <w:vAlign w:val="center"/>
          </w:tcPr>
          <w:p w:rsidR="00096B86" w:rsidRPr="00096B86" w:rsidRDefault="00096B86" w:rsidP="00096B86">
            <w:pPr>
              <w:autoSpaceDE w:val="0"/>
              <w:autoSpaceDN w:val="0"/>
              <w:adjustRightInd w:val="0"/>
              <w:jc w:val="left"/>
              <w:rPr>
                <w:rFonts w:cs="Calibri"/>
                <w:b/>
                <w:color w:val="000000"/>
                <w:sz w:val="20"/>
                <w:szCs w:val="20"/>
              </w:rPr>
            </w:pPr>
            <w:r w:rsidRPr="00096B86">
              <w:rPr>
                <w:rFonts w:cs="Calibri"/>
                <w:b/>
                <w:color w:val="000000"/>
                <w:sz w:val="20"/>
                <w:szCs w:val="20"/>
              </w:rPr>
              <w:t>Název instituce</w:t>
            </w:r>
          </w:p>
        </w:tc>
        <w:tc>
          <w:tcPr>
            <w:tcW w:w="7530" w:type="dxa"/>
            <w:tcBorders>
              <w:top w:val="single" w:sz="4" w:space="0" w:color="auto"/>
              <w:bottom w:val="single" w:sz="4" w:space="0" w:color="auto"/>
            </w:tcBorders>
            <w:shd w:val="clear" w:color="auto" w:fill="D9D9D9" w:themeFill="background1" w:themeFillShade="D9"/>
            <w:vAlign w:val="center"/>
          </w:tcPr>
          <w:p w:rsidR="00096B86" w:rsidRPr="00096B86" w:rsidRDefault="00096B86" w:rsidP="00096B86">
            <w:pPr>
              <w:autoSpaceDE w:val="0"/>
              <w:autoSpaceDN w:val="0"/>
              <w:adjustRightInd w:val="0"/>
              <w:jc w:val="left"/>
              <w:rPr>
                <w:rFonts w:cs="Calibri"/>
                <w:b/>
                <w:color w:val="000000"/>
                <w:sz w:val="20"/>
                <w:szCs w:val="20"/>
              </w:rPr>
            </w:pPr>
            <w:r w:rsidRPr="00096B86">
              <w:rPr>
                <w:rFonts w:cs="Calibri"/>
                <w:b/>
                <w:color w:val="000000"/>
                <w:sz w:val="20"/>
                <w:szCs w:val="20"/>
              </w:rPr>
              <w:t>Působnost / charakteristika</w:t>
            </w:r>
          </w:p>
        </w:tc>
      </w:tr>
      <w:tr w:rsidR="00096B86" w:rsidRPr="00096B86" w:rsidTr="008D4C1A">
        <w:trPr>
          <w:trHeight w:val="165"/>
          <w:jc w:val="center"/>
        </w:trPr>
        <w:tc>
          <w:tcPr>
            <w:tcW w:w="1951" w:type="dxa"/>
            <w:tcBorders>
              <w:top w:val="single" w:sz="4" w:space="0" w:color="auto"/>
              <w:bottom w:val="single" w:sz="4" w:space="0" w:color="auto"/>
            </w:tcBorders>
          </w:tcPr>
          <w:p w:rsidR="00096B86" w:rsidRPr="00096B86" w:rsidRDefault="00096B86" w:rsidP="00096B86">
            <w:pPr>
              <w:spacing w:before="40" w:after="40"/>
              <w:jc w:val="left"/>
              <w:rPr>
                <w:sz w:val="20"/>
                <w:szCs w:val="20"/>
              </w:rPr>
            </w:pPr>
            <w:r w:rsidRPr="00096B86">
              <w:rPr>
                <w:sz w:val="20"/>
                <w:szCs w:val="20"/>
              </w:rPr>
              <w:t>5 Points Group, a. s.</w:t>
            </w:r>
          </w:p>
        </w:tc>
        <w:tc>
          <w:tcPr>
            <w:tcW w:w="7530" w:type="dxa"/>
            <w:tcBorders>
              <w:top w:val="single" w:sz="4" w:space="0" w:color="auto"/>
              <w:bottom w:val="single" w:sz="4" w:space="0" w:color="auto"/>
            </w:tcBorders>
          </w:tcPr>
          <w:p w:rsidR="00096B86" w:rsidRPr="00096B86" w:rsidRDefault="00096B86" w:rsidP="00096B86">
            <w:pPr>
              <w:spacing w:before="40" w:after="40"/>
              <w:jc w:val="left"/>
              <w:rPr>
                <w:sz w:val="20"/>
                <w:szCs w:val="20"/>
              </w:rPr>
            </w:pPr>
            <w:r w:rsidRPr="00096B86">
              <w:rPr>
                <w:sz w:val="20"/>
                <w:szCs w:val="20"/>
              </w:rPr>
              <w:t>Bezpečnostní služby - bezpečnostní audity, projekty, ochrana osob a majetku, technické služby k ochraně osob a majetku</w:t>
            </w:r>
          </w:p>
        </w:tc>
      </w:tr>
      <w:tr w:rsidR="00096B86" w:rsidRPr="00096B86" w:rsidTr="008D4C1A">
        <w:trPr>
          <w:trHeight w:val="165"/>
          <w:jc w:val="center"/>
        </w:trPr>
        <w:tc>
          <w:tcPr>
            <w:tcW w:w="1951" w:type="dxa"/>
            <w:tcBorders>
              <w:top w:val="single" w:sz="4" w:space="0" w:color="auto"/>
              <w:bottom w:val="single" w:sz="4" w:space="0" w:color="auto"/>
            </w:tcBorders>
          </w:tcPr>
          <w:p w:rsidR="00096B86" w:rsidRPr="00096B86" w:rsidRDefault="00096B86" w:rsidP="00096B86">
            <w:pPr>
              <w:spacing w:before="40" w:after="40"/>
              <w:jc w:val="left"/>
              <w:rPr>
                <w:sz w:val="20"/>
                <w:szCs w:val="20"/>
              </w:rPr>
            </w:pPr>
            <w:r w:rsidRPr="00096B86">
              <w:rPr>
                <w:sz w:val="20"/>
                <w:szCs w:val="20"/>
              </w:rPr>
              <w:t>AERO Vodochody AEROSPACE a.s.</w:t>
            </w:r>
          </w:p>
        </w:tc>
        <w:tc>
          <w:tcPr>
            <w:tcW w:w="7530" w:type="dxa"/>
            <w:tcBorders>
              <w:top w:val="single" w:sz="4" w:space="0" w:color="auto"/>
              <w:bottom w:val="single" w:sz="4" w:space="0" w:color="auto"/>
            </w:tcBorders>
          </w:tcPr>
          <w:p w:rsidR="00096B86" w:rsidRPr="00096B86" w:rsidRDefault="00096B86" w:rsidP="00096B86">
            <w:pPr>
              <w:spacing w:before="40" w:after="40"/>
              <w:jc w:val="left"/>
              <w:rPr>
                <w:sz w:val="20"/>
                <w:szCs w:val="20"/>
              </w:rPr>
            </w:pPr>
            <w:r w:rsidRPr="00096B86">
              <w:rPr>
                <w:sz w:val="20"/>
                <w:szCs w:val="20"/>
              </w:rPr>
              <w:t>Vývoj, výroba, zkoušení cvičných a bojových vojenských letadel, leteckých dílů a přípravků</w:t>
            </w:r>
          </w:p>
        </w:tc>
      </w:tr>
      <w:tr w:rsidR="00096B86" w:rsidRPr="00096B86" w:rsidTr="008D4C1A">
        <w:trPr>
          <w:trHeight w:val="165"/>
          <w:jc w:val="center"/>
        </w:trPr>
        <w:tc>
          <w:tcPr>
            <w:tcW w:w="1951" w:type="dxa"/>
            <w:tcBorders>
              <w:top w:val="single" w:sz="4" w:space="0" w:color="auto"/>
              <w:bottom w:val="single" w:sz="4" w:space="0" w:color="auto"/>
            </w:tcBorders>
          </w:tcPr>
          <w:p w:rsidR="00096B86" w:rsidRPr="00096B86" w:rsidRDefault="00096B86" w:rsidP="00096B86">
            <w:pPr>
              <w:spacing w:before="40" w:after="40"/>
              <w:jc w:val="left"/>
              <w:rPr>
                <w:sz w:val="20"/>
                <w:szCs w:val="20"/>
              </w:rPr>
            </w:pPr>
            <w:r w:rsidRPr="00096B86">
              <w:rPr>
                <w:sz w:val="20"/>
                <w:szCs w:val="20"/>
              </w:rPr>
              <w:t>ArcelorMittal Ostrava a.s.</w:t>
            </w:r>
          </w:p>
        </w:tc>
        <w:tc>
          <w:tcPr>
            <w:tcW w:w="7530" w:type="dxa"/>
            <w:tcBorders>
              <w:top w:val="single" w:sz="4" w:space="0" w:color="auto"/>
              <w:bottom w:val="single" w:sz="4" w:space="0" w:color="auto"/>
            </w:tcBorders>
          </w:tcPr>
          <w:p w:rsidR="00096B86" w:rsidRPr="00096B86" w:rsidRDefault="00096B86" w:rsidP="004F74B7">
            <w:pPr>
              <w:numPr>
                <w:ilvl w:val="0"/>
                <w:numId w:val="15"/>
              </w:numPr>
              <w:autoSpaceDE w:val="0"/>
              <w:autoSpaceDN w:val="0"/>
              <w:adjustRightInd w:val="0"/>
              <w:spacing w:before="40" w:after="40"/>
              <w:ind w:left="175" w:hanging="141"/>
              <w:jc w:val="left"/>
              <w:rPr>
                <w:sz w:val="20"/>
                <w:szCs w:val="20"/>
              </w:rPr>
            </w:pPr>
            <w:r w:rsidRPr="00096B86">
              <w:rPr>
                <w:sz w:val="20"/>
                <w:szCs w:val="20"/>
              </w:rPr>
              <w:t>nedestruktivní zkoušení (železo, ocel, aglomeráty), ekologie a zpracování odpadů</w:t>
            </w:r>
          </w:p>
          <w:p w:rsidR="00096B86" w:rsidRPr="00096B86" w:rsidRDefault="00096B86" w:rsidP="004F74B7">
            <w:pPr>
              <w:numPr>
                <w:ilvl w:val="0"/>
                <w:numId w:val="15"/>
              </w:numPr>
              <w:autoSpaceDE w:val="0"/>
              <w:autoSpaceDN w:val="0"/>
              <w:adjustRightInd w:val="0"/>
              <w:spacing w:before="40" w:after="40"/>
              <w:ind w:left="175" w:hanging="141"/>
              <w:jc w:val="left"/>
              <w:rPr>
                <w:sz w:val="20"/>
                <w:szCs w:val="20"/>
              </w:rPr>
            </w:pPr>
            <w:r w:rsidRPr="00096B86">
              <w:rPr>
                <w:sz w:val="20"/>
                <w:szCs w:val="20"/>
              </w:rPr>
              <w:t xml:space="preserve">VaV technologie výroby aglomerátů, surového železa a oceli, tváření, tepelné zpracování, nové značky ocelí, </w:t>
            </w:r>
          </w:p>
        </w:tc>
      </w:tr>
      <w:tr w:rsidR="00096B86" w:rsidRPr="00096B86" w:rsidTr="008D4C1A">
        <w:trPr>
          <w:trHeight w:val="165"/>
          <w:jc w:val="center"/>
        </w:trPr>
        <w:tc>
          <w:tcPr>
            <w:tcW w:w="1951" w:type="dxa"/>
            <w:tcBorders>
              <w:top w:val="single" w:sz="4" w:space="0" w:color="auto"/>
              <w:bottom w:val="single" w:sz="4" w:space="0" w:color="auto"/>
            </w:tcBorders>
          </w:tcPr>
          <w:p w:rsidR="00096B86" w:rsidRPr="00096B86" w:rsidRDefault="00096B86" w:rsidP="00096B86">
            <w:pPr>
              <w:spacing w:before="40" w:after="40"/>
              <w:jc w:val="left"/>
              <w:rPr>
                <w:sz w:val="20"/>
                <w:szCs w:val="20"/>
              </w:rPr>
            </w:pPr>
            <w:r w:rsidRPr="00096B86">
              <w:rPr>
                <w:sz w:val="20"/>
                <w:szCs w:val="20"/>
              </w:rPr>
              <w:t>ATG s.r.o.</w:t>
            </w:r>
          </w:p>
        </w:tc>
        <w:tc>
          <w:tcPr>
            <w:tcW w:w="7530" w:type="dxa"/>
            <w:tcBorders>
              <w:top w:val="single" w:sz="4" w:space="0" w:color="auto"/>
              <w:bottom w:val="single" w:sz="4" w:space="0" w:color="auto"/>
            </w:tcBorders>
          </w:tcPr>
          <w:p w:rsidR="00096B86" w:rsidRPr="00096B86" w:rsidRDefault="00096B86" w:rsidP="004F74B7">
            <w:pPr>
              <w:numPr>
                <w:ilvl w:val="0"/>
                <w:numId w:val="15"/>
              </w:numPr>
              <w:autoSpaceDE w:val="0"/>
              <w:autoSpaceDN w:val="0"/>
              <w:adjustRightInd w:val="0"/>
              <w:spacing w:before="40" w:after="40"/>
              <w:ind w:left="175" w:hanging="141"/>
              <w:jc w:val="left"/>
              <w:rPr>
                <w:sz w:val="20"/>
                <w:szCs w:val="20"/>
              </w:rPr>
            </w:pPr>
            <w:r w:rsidRPr="00096B86">
              <w:rPr>
                <w:sz w:val="20"/>
                <w:szCs w:val="20"/>
              </w:rPr>
              <w:t>zkoušení a vyhodnocení kvality materiálu, výrobků a konstrukčních celků</w:t>
            </w:r>
          </w:p>
          <w:p w:rsidR="00096B86" w:rsidRPr="00096B86" w:rsidRDefault="00096B86" w:rsidP="004F74B7">
            <w:pPr>
              <w:numPr>
                <w:ilvl w:val="0"/>
                <w:numId w:val="15"/>
              </w:numPr>
              <w:autoSpaceDE w:val="0"/>
              <w:autoSpaceDN w:val="0"/>
              <w:adjustRightInd w:val="0"/>
              <w:spacing w:before="40" w:after="40"/>
              <w:ind w:left="175" w:hanging="141"/>
              <w:jc w:val="left"/>
              <w:rPr>
                <w:sz w:val="20"/>
                <w:szCs w:val="20"/>
              </w:rPr>
            </w:pPr>
            <w:r w:rsidRPr="00096B86">
              <w:rPr>
                <w:sz w:val="20"/>
                <w:szCs w:val="20"/>
              </w:rPr>
              <w:t xml:space="preserve">vývoj, výroba zařízení a pomůcek pro NDT zkoušení, služby; </w:t>
            </w:r>
          </w:p>
        </w:tc>
      </w:tr>
      <w:tr w:rsidR="00096B86" w:rsidRPr="00096B86" w:rsidTr="008D4C1A">
        <w:trPr>
          <w:trHeight w:val="165"/>
          <w:jc w:val="center"/>
        </w:trPr>
        <w:tc>
          <w:tcPr>
            <w:tcW w:w="1951" w:type="dxa"/>
            <w:tcBorders>
              <w:top w:val="single" w:sz="4" w:space="0" w:color="auto"/>
              <w:bottom w:val="single" w:sz="4" w:space="0" w:color="auto"/>
            </w:tcBorders>
          </w:tcPr>
          <w:p w:rsidR="00096B86" w:rsidRPr="00096B86" w:rsidRDefault="00096B86" w:rsidP="00096B86">
            <w:pPr>
              <w:spacing w:before="40" w:after="40"/>
              <w:jc w:val="left"/>
              <w:rPr>
                <w:sz w:val="20"/>
                <w:szCs w:val="20"/>
              </w:rPr>
            </w:pPr>
            <w:r w:rsidRPr="00096B86">
              <w:rPr>
                <w:sz w:val="20"/>
                <w:szCs w:val="20"/>
              </w:rPr>
              <w:t>BEKO Engineering, spol. s.r.o.</w:t>
            </w:r>
          </w:p>
        </w:tc>
        <w:tc>
          <w:tcPr>
            <w:tcW w:w="7530" w:type="dxa"/>
            <w:tcBorders>
              <w:top w:val="single" w:sz="4" w:space="0" w:color="auto"/>
              <w:bottom w:val="single" w:sz="4" w:space="0" w:color="auto"/>
            </w:tcBorders>
          </w:tcPr>
          <w:p w:rsidR="00096B86" w:rsidRPr="00096B86" w:rsidRDefault="00096B86" w:rsidP="004F74B7">
            <w:pPr>
              <w:numPr>
                <w:ilvl w:val="0"/>
                <w:numId w:val="15"/>
              </w:numPr>
              <w:autoSpaceDE w:val="0"/>
              <w:autoSpaceDN w:val="0"/>
              <w:adjustRightInd w:val="0"/>
              <w:spacing w:before="40" w:after="40"/>
              <w:ind w:left="175" w:hanging="141"/>
              <w:jc w:val="left"/>
              <w:rPr>
                <w:sz w:val="20"/>
                <w:szCs w:val="20"/>
              </w:rPr>
            </w:pPr>
            <w:r w:rsidRPr="00096B86">
              <w:rPr>
                <w:sz w:val="20"/>
                <w:szCs w:val="20"/>
              </w:rPr>
              <w:t>vyhodnocení kvality materiálu, výrobků a konstrukčních celků</w:t>
            </w:r>
          </w:p>
          <w:p w:rsidR="00096B86" w:rsidRPr="00096B86" w:rsidRDefault="00096B86" w:rsidP="004F74B7">
            <w:pPr>
              <w:numPr>
                <w:ilvl w:val="0"/>
                <w:numId w:val="15"/>
              </w:numPr>
              <w:autoSpaceDE w:val="0"/>
              <w:autoSpaceDN w:val="0"/>
              <w:adjustRightInd w:val="0"/>
              <w:spacing w:before="40" w:after="40"/>
              <w:ind w:left="175" w:hanging="141"/>
              <w:jc w:val="left"/>
              <w:rPr>
                <w:sz w:val="20"/>
                <w:szCs w:val="20"/>
              </w:rPr>
            </w:pPr>
            <w:r w:rsidRPr="00096B86">
              <w:rPr>
                <w:sz w:val="20"/>
                <w:szCs w:val="20"/>
              </w:rPr>
              <w:t>komplexní služby v oblasti CAD/CAM/CAE, dodávky a podpora PLM řešení CATIA, ENOVIA, DELMIA, 3DVIA,</w:t>
            </w:r>
          </w:p>
        </w:tc>
      </w:tr>
      <w:tr w:rsidR="00096B86" w:rsidRPr="00096B86" w:rsidTr="008D4C1A">
        <w:trPr>
          <w:trHeight w:val="165"/>
          <w:jc w:val="center"/>
        </w:trPr>
        <w:tc>
          <w:tcPr>
            <w:tcW w:w="1951" w:type="dxa"/>
            <w:tcBorders>
              <w:top w:val="single" w:sz="4" w:space="0" w:color="auto"/>
              <w:bottom w:val="single" w:sz="4" w:space="0" w:color="auto"/>
            </w:tcBorders>
          </w:tcPr>
          <w:p w:rsidR="00096B86" w:rsidRPr="00096B86" w:rsidRDefault="00096B86" w:rsidP="00096B86">
            <w:pPr>
              <w:spacing w:before="40" w:after="40"/>
              <w:jc w:val="left"/>
              <w:rPr>
                <w:sz w:val="20"/>
                <w:szCs w:val="20"/>
              </w:rPr>
            </w:pPr>
            <w:r w:rsidRPr="00096B86">
              <w:rPr>
                <w:sz w:val="20"/>
                <w:szCs w:val="20"/>
              </w:rPr>
              <w:t>ENVIFORM, a.s.</w:t>
            </w:r>
          </w:p>
        </w:tc>
        <w:tc>
          <w:tcPr>
            <w:tcW w:w="7530" w:type="dxa"/>
            <w:tcBorders>
              <w:top w:val="single" w:sz="4" w:space="0" w:color="auto"/>
              <w:bottom w:val="single" w:sz="4" w:space="0" w:color="auto"/>
            </w:tcBorders>
          </w:tcPr>
          <w:p w:rsidR="00096B86" w:rsidRPr="00096B86" w:rsidRDefault="00096B86" w:rsidP="00096B86">
            <w:pPr>
              <w:spacing w:before="40" w:after="40"/>
              <w:jc w:val="left"/>
              <w:rPr>
                <w:sz w:val="20"/>
                <w:szCs w:val="20"/>
              </w:rPr>
            </w:pPr>
            <w:r w:rsidRPr="00096B86">
              <w:rPr>
                <w:sz w:val="20"/>
                <w:szCs w:val="20"/>
              </w:rPr>
              <w:t>Bezpečnost a ochrana zdraví, environment, kvalita, zkušebnictví a činnost laboratoří (akreditace, autorizace a certifikace).</w:t>
            </w:r>
          </w:p>
        </w:tc>
      </w:tr>
      <w:tr w:rsidR="00096B86" w:rsidRPr="00096B86" w:rsidTr="008D4C1A">
        <w:trPr>
          <w:trHeight w:val="165"/>
          <w:jc w:val="center"/>
        </w:trPr>
        <w:tc>
          <w:tcPr>
            <w:tcW w:w="1951" w:type="dxa"/>
            <w:tcBorders>
              <w:top w:val="single" w:sz="4" w:space="0" w:color="auto"/>
              <w:bottom w:val="single" w:sz="4" w:space="0" w:color="auto"/>
            </w:tcBorders>
          </w:tcPr>
          <w:p w:rsidR="00096B86" w:rsidRPr="00096B86" w:rsidRDefault="00096B86" w:rsidP="00096B86">
            <w:pPr>
              <w:spacing w:before="40" w:after="40"/>
              <w:jc w:val="left"/>
              <w:rPr>
                <w:sz w:val="20"/>
                <w:szCs w:val="20"/>
              </w:rPr>
            </w:pPr>
            <w:r w:rsidRPr="00096B86">
              <w:rPr>
                <w:sz w:val="20"/>
                <w:szCs w:val="20"/>
              </w:rPr>
              <w:t>ENVItech Bohemia s.r.o.</w:t>
            </w:r>
          </w:p>
        </w:tc>
        <w:tc>
          <w:tcPr>
            <w:tcW w:w="7530" w:type="dxa"/>
            <w:tcBorders>
              <w:top w:val="single" w:sz="4" w:space="0" w:color="auto"/>
              <w:bottom w:val="single" w:sz="4" w:space="0" w:color="auto"/>
            </w:tcBorders>
          </w:tcPr>
          <w:p w:rsidR="00096B86" w:rsidRPr="00096B86" w:rsidRDefault="00096B86" w:rsidP="00096B86">
            <w:pPr>
              <w:spacing w:before="40" w:after="40"/>
              <w:jc w:val="left"/>
              <w:rPr>
                <w:sz w:val="20"/>
                <w:szCs w:val="20"/>
              </w:rPr>
            </w:pPr>
            <w:r w:rsidRPr="00096B86">
              <w:rPr>
                <w:sz w:val="20"/>
                <w:szCs w:val="20"/>
              </w:rPr>
              <w:t>Monitorovací systémy, systémy kontinuálního měření emisí, kalibrační systém, detekce, zpracování a přenos dat, kurzy a školení</w:t>
            </w:r>
          </w:p>
        </w:tc>
      </w:tr>
      <w:tr w:rsidR="00096B86" w:rsidRPr="00096B86" w:rsidTr="008D4C1A">
        <w:trPr>
          <w:trHeight w:val="165"/>
          <w:jc w:val="center"/>
        </w:trPr>
        <w:tc>
          <w:tcPr>
            <w:tcW w:w="1951" w:type="dxa"/>
            <w:tcBorders>
              <w:top w:val="single" w:sz="4" w:space="0" w:color="auto"/>
              <w:bottom w:val="single" w:sz="4" w:space="0" w:color="auto"/>
            </w:tcBorders>
          </w:tcPr>
          <w:p w:rsidR="00096B86" w:rsidRPr="00096B86" w:rsidRDefault="00096B86" w:rsidP="00096B86">
            <w:pPr>
              <w:spacing w:before="40" w:after="40"/>
              <w:jc w:val="left"/>
              <w:rPr>
                <w:sz w:val="20"/>
                <w:szCs w:val="20"/>
              </w:rPr>
            </w:pPr>
            <w:r w:rsidRPr="00096B86">
              <w:rPr>
                <w:sz w:val="20"/>
                <w:szCs w:val="20"/>
              </w:rPr>
              <w:t>Exova, s.r.o.</w:t>
            </w:r>
          </w:p>
        </w:tc>
        <w:tc>
          <w:tcPr>
            <w:tcW w:w="7530" w:type="dxa"/>
            <w:tcBorders>
              <w:top w:val="single" w:sz="4" w:space="0" w:color="auto"/>
              <w:bottom w:val="single" w:sz="4" w:space="0" w:color="auto"/>
            </w:tcBorders>
          </w:tcPr>
          <w:p w:rsidR="00096B86" w:rsidRPr="00096B86" w:rsidRDefault="00096B86" w:rsidP="00096B86">
            <w:pPr>
              <w:spacing w:before="40" w:after="40"/>
              <w:jc w:val="left"/>
              <w:rPr>
                <w:sz w:val="20"/>
                <w:szCs w:val="20"/>
              </w:rPr>
            </w:pPr>
            <w:r w:rsidRPr="00096B86">
              <w:rPr>
                <w:sz w:val="20"/>
                <w:szCs w:val="20"/>
              </w:rPr>
              <w:t>Specializované zkušebnické a kalibrační služby pro letecký průmysl (elektrické veličiny, RF, geometrie, krouticí moment, síla, teplota, tlak, hmotnost, průtok a další - laboratoře akreditovány dle ISO 17025 a certifikovány dle ISO 9001</w:t>
            </w:r>
          </w:p>
        </w:tc>
      </w:tr>
      <w:tr w:rsidR="00096B86" w:rsidRPr="00096B86" w:rsidTr="008D4C1A">
        <w:trPr>
          <w:trHeight w:val="165"/>
          <w:jc w:val="center"/>
        </w:trPr>
        <w:tc>
          <w:tcPr>
            <w:tcW w:w="1951" w:type="dxa"/>
            <w:tcBorders>
              <w:top w:val="single" w:sz="4" w:space="0" w:color="auto"/>
              <w:bottom w:val="single" w:sz="4" w:space="0" w:color="auto"/>
            </w:tcBorders>
          </w:tcPr>
          <w:p w:rsidR="00096B86" w:rsidRPr="00096B86" w:rsidRDefault="00096B86" w:rsidP="00096B86">
            <w:pPr>
              <w:spacing w:before="40" w:after="40"/>
              <w:jc w:val="left"/>
              <w:rPr>
                <w:sz w:val="20"/>
                <w:szCs w:val="20"/>
              </w:rPr>
            </w:pPr>
            <w:r w:rsidRPr="00096B86">
              <w:rPr>
                <w:sz w:val="20"/>
                <w:szCs w:val="20"/>
              </w:rPr>
              <w:t>Explosia a.s.</w:t>
            </w:r>
          </w:p>
        </w:tc>
        <w:tc>
          <w:tcPr>
            <w:tcW w:w="7530" w:type="dxa"/>
            <w:tcBorders>
              <w:top w:val="single" w:sz="4" w:space="0" w:color="auto"/>
              <w:bottom w:val="single" w:sz="4" w:space="0" w:color="auto"/>
            </w:tcBorders>
          </w:tcPr>
          <w:p w:rsidR="00096B86" w:rsidRPr="00096B86" w:rsidRDefault="00096B86" w:rsidP="004F74B7">
            <w:pPr>
              <w:numPr>
                <w:ilvl w:val="0"/>
                <w:numId w:val="15"/>
              </w:numPr>
              <w:autoSpaceDE w:val="0"/>
              <w:autoSpaceDN w:val="0"/>
              <w:adjustRightInd w:val="0"/>
              <w:spacing w:before="40" w:after="40"/>
              <w:ind w:left="175" w:hanging="141"/>
              <w:jc w:val="left"/>
              <w:rPr>
                <w:sz w:val="20"/>
                <w:szCs w:val="20"/>
              </w:rPr>
            </w:pPr>
            <w:r w:rsidRPr="00096B86">
              <w:rPr>
                <w:sz w:val="20"/>
                <w:szCs w:val="20"/>
              </w:rPr>
              <w:t>detekce, identifikace a zkoušení výbušnin</w:t>
            </w:r>
          </w:p>
          <w:p w:rsidR="00096B86" w:rsidRPr="00096B86" w:rsidRDefault="00096B86" w:rsidP="004F74B7">
            <w:pPr>
              <w:numPr>
                <w:ilvl w:val="0"/>
                <w:numId w:val="15"/>
              </w:numPr>
              <w:autoSpaceDE w:val="0"/>
              <w:autoSpaceDN w:val="0"/>
              <w:adjustRightInd w:val="0"/>
              <w:spacing w:before="40" w:after="40"/>
              <w:ind w:left="175" w:hanging="141"/>
              <w:jc w:val="left"/>
              <w:rPr>
                <w:sz w:val="20"/>
                <w:szCs w:val="20"/>
              </w:rPr>
            </w:pPr>
            <w:r w:rsidRPr="00096B86">
              <w:rPr>
                <w:sz w:val="20"/>
                <w:szCs w:val="20"/>
              </w:rPr>
              <w:t>akreditovaná laboratoř GC/MS a HPLC – přítomnosti stopových množství výbušnin v půdách, vodách a na kontaminovaných předmětech, chemické složení neznámých výbušnin</w:t>
            </w:r>
          </w:p>
          <w:p w:rsidR="00096B86" w:rsidRPr="00096B86" w:rsidRDefault="00096B86" w:rsidP="004F74B7">
            <w:pPr>
              <w:numPr>
                <w:ilvl w:val="0"/>
                <w:numId w:val="15"/>
              </w:numPr>
              <w:autoSpaceDE w:val="0"/>
              <w:autoSpaceDN w:val="0"/>
              <w:adjustRightInd w:val="0"/>
              <w:spacing w:before="40" w:after="40"/>
              <w:ind w:left="175" w:hanging="141"/>
              <w:jc w:val="left"/>
              <w:rPr>
                <w:sz w:val="20"/>
                <w:szCs w:val="20"/>
              </w:rPr>
            </w:pPr>
            <w:r w:rsidRPr="00096B86">
              <w:rPr>
                <w:sz w:val="20"/>
                <w:szCs w:val="20"/>
              </w:rPr>
              <w:t>balistická zkušebna.</w:t>
            </w:r>
          </w:p>
        </w:tc>
      </w:tr>
      <w:tr w:rsidR="00096B86" w:rsidRPr="00096B86" w:rsidTr="008D4C1A">
        <w:trPr>
          <w:trHeight w:val="165"/>
          <w:jc w:val="center"/>
        </w:trPr>
        <w:tc>
          <w:tcPr>
            <w:tcW w:w="1951" w:type="dxa"/>
            <w:tcBorders>
              <w:top w:val="single" w:sz="4" w:space="0" w:color="auto"/>
              <w:bottom w:val="single" w:sz="4" w:space="0" w:color="auto"/>
            </w:tcBorders>
          </w:tcPr>
          <w:p w:rsidR="00096B86" w:rsidRPr="00096B86" w:rsidRDefault="00096B86" w:rsidP="00096B86">
            <w:pPr>
              <w:spacing w:before="40" w:after="40"/>
              <w:jc w:val="left"/>
              <w:rPr>
                <w:sz w:val="20"/>
                <w:szCs w:val="20"/>
              </w:rPr>
            </w:pPr>
            <w:r w:rsidRPr="00096B86">
              <w:rPr>
                <w:sz w:val="20"/>
                <w:szCs w:val="20"/>
              </w:rPr>
              <w:t>Icontio CR s.r.o.</w:t>
            </w:r>
          </w:p>
        </w:tc>
        <w:tc>
          <w:tcPr>
            <w:tcW w:w="7530" w:type="dxa"/>
            <w:tcBorders>
              <w:top w:val="single" w:sz="4" w:space="0" w:color="auto"/>
              <w:bottom w:val="single" w:sz="4" w:space="0" w:color="auto"/>
            </w:tcBorders>
          </w:tcPr>
          <w:p w:rsidR="00096B86" w:rsidRPr="00096B86" w:rsidRDefault="00096B86" w:rsidP="00096B86">
            <w:pPr>
              <w:spacing w:before="40" w:after="40"/>
              <w:jc w:val="left"/>
              <w:rPr>
                <w:sz w:val="20"/>
                <w:szCs w:val="20"/>
              </w:rPr>
            </w:pPr>
            <w:r w:rsidRPr="00096B86">
              <w:rPr>
                <w:sz w:val="20"/>
                <w:szCs w:val="20"/>
              </w:rPr>
              <w:t>Vývoj podnikového softwaru, konzultace, certifikace</w:t>
            </w:r>
          </w:p>
        </w:tc>
      </w:tr>
      <w:tr w:rsidR="00096B86" w:rsidRPr="00096B86" w:rsidTr="008D4C1A">
        <w:trPr>
          <w:trHeight w:val="165"/>
          <w:jc w:val="center"/>
        </w:trPr>
        <w:tc>
          <w:tcPr>
            <w:tcW w:w="1951" w:type="dxa"/>
            <w:tcBorders>
              <w:top w:val="single" w:sz="4" w:space="0" w:color="auto"/>
              <w:bottom w:val="single" w:sz="4" w:space="0" w:color="auto"/>
            </w:tcBorders>
          </w:tcPr>
          <w:p w:rsidR="00096B86" w:rsidRPr="00096B86" w:rsidRDefault="00096B86" w:rsidP="00096B86">
            <w:pPr>
              <w:spacing w:before="40" w:after="40"/>
              <w:jc w:val="left"/>
              <w:rPr>
                <w:sz w:val="20"/>
                <w:szCs w:val="20"/>
              </w:rPr>
            </w:pPr>
            <w:r w:rsidRPr="00096B86">
              <w:rPr>
                <w:sz w:val="20"/>
                <w:szCs w:val="20"/>
              </w:rPr>
              <w:t>IHAS s.r.o.</w:t>
            </w:r>
          </w:p>
        </w:tc>
        <w:tc>
          <w:tcPr>
            <w:tcW w:w="7530" w:type="dxa"/>
            <w:tcBorders>
              <w:top w:val="single" w:sz="4" w:space="0" w:color="auto"/>
              <w:bottom w:val="single" w:sz="4" w:space="0" w:color="auto"/>
            </w:tcBorders>
          </w:tcPr>
          <w:p w:rsidR="00096B86" w:rsidRPr="00096B86" w:rsidRDefault="00096B86" w:rsidP="004F74B7">
            <w:pPr>
              <w:numPr>
                <w:ilvl w:val="0"/>
                <w:numId w:val="15"/>
              </w:numPr>
              <w:autoSpaceDE w:val="0"/>
              <w:autoSpaceDN w:val="0"/>
              <w:adjustRightInd w:val="0"/>
              <w:spacing w:before="40" w:after="40"/>
              <w:ind w:left="175" w:hanging="141"/>
              <w:jc w:val="left"/>
              <w:rPr>
                <w:sz w:val="20"/>
                <w:szCs w:val="20"/>
              </w:rPr>
            </w:pPr>
            <w:r w:rsidRPr="00096B86">
              <w:rPr>
                <w:sz w:val="20"/>
                <w:szCs w:val="20"/>
              </w:rPr>
              <w:t>činnost laboratoří - měření prašnosti, úniků hořlavých plynů, požárně-technické charakteristiky, …</w:t>
            </w:r>
          </w:p>
          <w:p w:rsidR="00096B86" w:rsidRPr="00096B86" w:rsidRDefault="00096B86" w:rsidP="004F74B7">
            <w:pPr>
              <w:numPr>
                <w:ilvl w:val="0"/>
                <w:numId w:val="15"/>
              </w:numPr>
              <w:autoSpaceDE w:val="0"/>
              <w:autoSpaceDN w:val="0"/>
              <w:adjustRightInd w:val="0"/>
              <w:spacing w:before="40" w:after="40"/>
              <w:ind w:left="175" w:hanging="141"/>
              <w:jc w:val="left"/>
              <w:rPr>
                <w:sz w:val="20"/>
                <w:szCs w:val="20"/>
              </w:rPr>
            </w:pPr>
            <w:r w:rsidRPr="00096B86">
              <w:rPr>
                <w:sz w:val="20"/>
                <w:szCs w:val="20"/>
              </w:rPr>
              <w:t xml:space="preserve">činnosti v oblasti bezpečnosti práce, včetně rizik požáru a výbuchu (práce ve výbušných prostředích, protivýbuchové ochrany, legislativa). </w:t>
            </w:r>
          </w:p>
        </w:tc>
      </w:tr>
      <w:tr w:rsidR="00096B86" w:rsidRPr="00096B86" w:rsidTr="008D4C1A">
        <w:trPr>
          <w:trHeight w:val="165"/>
          <w:jc w:val="center"/>
        </w:trPr>
        <w:tc>
          <w:tcPr>
            <w:tcW w:w="1951" w:type="dxa"/>
            <w:tcBorders>
              <w:top w:val="single" w:sz="4" w:space="0" w:color="auto"/>
              <w:bottom w:val="single" w:sz="4" w:space="0" w:color="auto"/>
            </w:tcBorders>
          </w:tcPr>
          <w:p w:rsidR="00096B86" w:rsidRPr="00096B86" w:rsidRDefault="00096B86" w:rsidP="00096B86">
            <w:pPr>
              <w:spacing w:before="40" w:after="40"/>
              <w:jc w:val="left"/>
              <w:rPr>
                <w:sz w:val="20"/>
                <w:szCs w:val="20"/>
              </w:rPr>
            </w:pPr>
            <w:r w:rsidRPr="00096B86">
              <w:rPr>
                <w:sz w:val="20"/>
                <w:szCs w:val="20"/>
              </w:rPr>
              <w:t>Jihlavan a.s.</w:t>
            </w:r>
          </w:p>
        </w:tc>
        <w:tc>
          <w:tcPr>
            <w:tcW w:w="7530" w:type="dxa"/>
            <w:tcBorders>
              <w:top w:val="single" w:sz="4" w:space="0" w:color="auto"/>
              <w:bottom w:val="single" w:sz="4" w:space="0" w:color="auto"/>
            </w:tcBorders>
          </w:tcPr>
          <w:p w:rsidR="00096B86" w:rsidRPr="00096B86" w:rsidRDefault="00096B86" w:rsidP="00096B86">
            <w:pPr>
              <w:spacing w:before="40" w:after="40"/>
              <w:jc w:val="left"/>
              <w:rPr>
                <w:sz w:val="20"/>
                <w:szCs w:val="20"/>
              </w:rPr>
            </w:pPr>
            <w:r w:rsidRPr="00096B86">
              <w:rPr>
                <w:sz w:val="20"/>
                <w:szCs w:val="20"/>
              </w:rPr>
              <w:t>Vývoj a výroba leteckých hydraulických systémů, součástí letadlových motorů a mechanismů dveří, certifikované pracoviště NDT, povrchových úprav</w:t>
            </w:r>
          </w:p>
        </w:tc>
      </w:tr>
      <w:tr w:rsidR="00096B86" w:rsidRPr="00096B86" w:rsidTr="008D4C1A">
        <w:trPr>
          <w:trHeight w:val="165"/>
          <w:jc w:val="center"/>
        </w:trPr>
        <w:tc>
          <w:tcPr>
            <w:tcW w:w="1951" w:type="dxa"/>
            <w:tcBorders>
              <w:top w:val="single" w:sz="4" w:space="0" w:color="auto"/>
              <w:bottom w:val="single" w:sz="4" w:space="0" w:color="auto"/>
            </w:tcBorders>
          </w:tcPr>
          <w:p w:rsidR="00096B86" w:rsidRPr="00096B86" w:rsidRDefault="00096B86" w:rsidP="00096B86">
            <w:pPr>
              <w:spacing w:before="40" w:after="40"/>
              <w:jc w:val="left"/>
              <w:rPr>
                <w:sz w:val="20"/>
                <w:szCs w:val="20"/>
              </w:rPr>
            </w:pPr>
            <w:r w:rsidRPr="00096B86">
              <w:rPr>
                <w:sz w:val="20"/>
                <w:szCs w:val="20"/>
              </w:rPr>
              <w:t>LA Composite, s.r.o.</w:t>
            </w:r>
          </w:p>
        </w:tc>
        <w:tc>
          <w:tcPr>
            <w:tcW w:w="7530" w:type="dxa"/>
            <w:tcBorders>
              <w:top w:val="single" w:sz="4" w:space="0" w:color="auto"/>
              <w:bottom w:val="single" w:sz="4" w:space="0" w:color="auto"/>
            </w:tcBorders>
          </w:tcPr>
          <w:p w:rsidR="00096B86" w:rsidRPr="00096B86" w:rsidRDefault="00096B86" w:rsidP="00096B86">
            <w:pPr>
              <w:spacing w:before="40" w:after="40"/>
              <w:jc w:val="left"/>
              <w:rPr>
                <w:sz w:val="20"/>
                <w:szCs w:val="20"/>
              </w:rPr>
            </w:pPr>
            <w:r w:rsidRPr="00096B86">
              <w:rPr>
                <w:sz w:val="20"/>
                <w:szCs w:val="20"/>
              </w:rPr>
              <w:t>Testování leteckých materiálů, výroba kompozitů sekundární konstrukce a podsestav letadel, návrh, vývoj, testování a sériová výroba</w:t>
            </w:r>
          </w:p>
        </w:tc>
      </w:tr>
      <w:tr w:rsidR="00096B86" w:rsidRPr="00096B86" w:rsidTr="008D4C1A">
        <w:trPr>
          <w:trHeight w:val="165"/>
          <w:jc w:val="center"/>
        </w:trPr>
        <w:tc>
          <w:tcPr>
            <w:tcW w:w="1951" w:type="dxa"/>
            <w:tcBorders>
              <w:top w:val="single" w:sz="4" w:space="0" w:color="auto"/>
              <w:bottom w:val="single" w:sz="4" w:space="0" w:color="auto"/>
            </w:tcBorders>
          </w:tcPr>
          <w:p w:rsidR="00096B86" w:rsidRPr="00096B86" w:rsidRDefault="00096B86" w:rsidP="00096B86">
            <w:pPr>
              <w:spacing w:before="40" w:after="40"/>
              <w:jc w:val="left"/>
              <w:rPr>
                <w:sz w:val="20"/>
                <w:szCs w:val="20"/>
              </w:rPr>
            </w:pPr>
            <w:r w:rsidRPr="00096B86">
              <w:rPr>
                <w:sz w:val="20"/>
                <w:szCs w:val="20"/>
              </w:rPr>
              <w:t>Lloyd’s Register Quality Assurance ČR</w:t>
            </w:r>
          </w:p>
        </w:tc>
        <w:tc>
          <w:tcPr>
            <w:tcW w:w="7530" w:type="dxa"/>
            <w:tcBorders>
              <w:top w:val="single" w:sz="4" w:space="0" w:color="auto"/>
              <w:bottom w:val="single" w:sz="4" w:space="0" w:color="auto"/>
            </w:tcBorders>
          </w:tcPr>
          <w:p w:rsidR="00096B86" w:rsidRPr="00096B86" w:rsidRDefault="00096B86" w:rsidP="00096B86">
            <w:pPr>
              <w:spacing w:before="40" w:after="40"/>
              <w:jc w:val="left"/>
              <w:rPr>
                <w:sz w:val="20"/>
                <w:szCs w:val="20"/>
              </w:rPr>
            </w:pPr>
            <w:r w:rsidRPr="00096B86">
              <w:rPr>
                <w:sz w:val="20"/>
                <w:szCs w:val="20"/>
              </w:rPr>
              <w:t>Certifikační služby, výkonnostní audity a školení (tým leteckých odborníků)</w:t>
            </w:r>
          </w:p>
        </w:tc>
      </w:tr>
      <w:tr w:rsidR="00096B86" w:rsidRPr="00096B86" w:rsidTr="008D4C1A">
        <w:trPr>
          <w:trHeight w:val="165"/>
          <w:jc w:val="center"/>
        </w:trPr>
        <w:tc>
          <w:tcPr>
            <w:tcW w:w="1951" w:type="dxa"/>
            <w:tcBorders>
              <w:top w:val="single" w:sz="4" w:space="0" w:color="auto"/>
              <w:bottom w:val="single" w:sz="4" w:space="0" w:color="auto"/>
            </w:tcBorders>
          </w:tcPr>
          <w:p w:rsidR="00096B86" w:rsidRPr="00096B86" w:rsidRDefault="00096B86" w:rsidP="00096B86">
            <w:pPr>
              <w:spacing w:before="40" w:after="40"/>
              <w:jc w:val="left"/>
              <w:rPr>
                <w:sz w:val="20"/>
                <w:szCs w:val="20"/>
              </w:rPr>
            </w:pPr>
            <w:r w:rsidRPr="00096B86">
              <w:rPr>
                <w:sz w:val="20"/>
                <w:szCs w:val="20"/>
              </w:rPr>
              <w:t>NEW ELTOM Ostrava, s.r.o.</w:t>
            </w:r>
          </w:p>
        </w:tc>
        <w:tc>
          <w:tcPr>
            <w:tcW w:w="7530" w:type="dxa"/>
            <w:tcBorders>
              <w:top w:val="single" w:sz="4" w:space="0" w:color="auto"/>
              <w:bottom w:val="single" w:sz="4" w:space="0" w:color="auto"/>
            </w:tcBorders>
          </w:tcPr>
          <w:p w:rsidR="00096B86" w:rsidRPr="00096B86" w:rsidRDefault="00096B86" w:rsidP="00096B86">
            <w:pPr>
              <w:spacing w:before="40" w:after="40"/>
              <w:jc w:val="left"/>
              <w:rPr>
                <w:sz w:val="20"/>
                <w:szCs w:val="20"/>
              </w:rPr>
            </w:pPr>
            <w:r w:rsidRPr="00096B86">
              <w:rPr>
                <w:sz w:val="20"/>
                <w:szCs w:val="20"/>
              </w:rPr>
              <w:t>Bezpečnost a hygiena práce, krizové řízení, požární ochrana, životní prostředí, revize a kontroly</w:t>
            </w:r>
          </w:p>
        </w:tc>
      </w:tr>
      <w:tr w:rsidR="00096B86" w:rsidRPr="00096B86" w:rsidTr="008D4C1A">
        <w:trPr>
          <w:trHeight w:val="165"/>
          <w:jc w:val="center"/>
        </w:trPr>
        <w:tc>
          <w:tcPr>
            <w:tcW w:w="1951" w:type="dxa"/>
            <w:tcBorders>
              <w:top w:val="single" w:sz="4" w:space="0" w:color="auto"/>
              <w:bottom w:val="single" w:sz="4" w:space="0" w:color="auto"/>
            </w:tcBorders>
          </w:tcPr>
          <w:p w:rsidR="00096B86" w:rsidRPr="00096B86" w:rsidRDefault="00096B86" w:rsidP="00096B86">
            <w:pPr>
              <w:spacing w:before="40" w:after="40"/>
              <w:jc w:val="left"/>
              <w:rPr>
                <w:sz w:val="20"/>
                <w:szCs w:val="20"/>
              </w:rPr>
            </w:pPr>
            <w:r w:rsidRPr="00096B86">
              <w:rPr>
                <w:sz w:val="20"/>
                <w:szCs w:val="20"/>
              </w:rPr>
              <w:t>OKD, HBZS, a. s.</w:t>
            </w:r>
          </w:p>
        </w:tc>
        <w:tc>
          <w:tcPr>
            <w:tcW w:w="7530" w:type="dxa"/>
            <w:tcBorders>
              <w:top w:val="single" w:sz="4" w:space="0" w:color="auto"/>
              <w:bottom w:val="single" w:sz="4" w:space="0" w:color="auto"/>
            </w:tcBorders>
          </w:tcPr>
          <w:p w:rsidR="00096B86" w:rsidRPr="00096B86" w:rsidRDefault="00096B86" w:rsidP="00096B86">
            <w:pPr>
              <w:spacing w:before="40" w:after="40"/>
              <w:jc w:val="left"/>
              <w:rPr>
                <w:sz w:val="20"/>
                <w:szCs w:val="20"/>
              </w:rPr>
            </w:pPr>
            <w:r w:rsidRPr="00096B86">
              <w:rPr>
                <w:sz w:val="20"/>
                <w:szCs w:val="20"/>
              </w:rPr>
              <w:t>Báňská záchranná služba - pohotovost a lékařská služba, školení, servis, opravy, kontroly, zkušebnictví, dokumentace</w:t>
            </w:r>
          </w:p>
        </w:tc>
      </w:tr>
      <w:tr w:rsidR="00096B86" w:rsidRPr="00096B86" w:rsidTr="008D4C1A">
        <w:trPr>
          <w:trHeight w:val="165"/>
          <w:jc w:val="center"/>
        </w:trPr>
        <w:tc>
          <w:tcPr>
            <w:tcW w:w="1951" w:type="dxa"/>
            <w:tcBorders>
              <w:top w:val="single" w:sz="4" w:space="0" w:color="auto"/>
              <w:bottom w:val="single" w:sz="4" w:space="0" w:color="auto"/>
            </w:tcBorders>
          </w:tcPr>
          <w:p w:rsidR="00096B86" w:rsidRPr="00096B86" w:rsidRDefault="00990E2D" w:rsidP="00096B86">
            <w:pPr>
              <w:spacing w:before="40" w:after="40"/>
              <w:jc w:val="left"/>
              <w:rPr>
                <w:sz w:val="20"/>
                <w:szCs w:val="20"/>
              </w:rPr>
            </w:pPr>
            <w:hyperlink r:id="rId176" w:history="1">
              <w:r w:rsidR="00096B86" w:rsidRPr="00096B86">
                <w:rPr>
                  <w:color w:val="0000FF" w:themeColor="hyperlink"/>
                  <w:sz w:val="20"/>
                  <w:szCs w:val="20"/>
                  <w:u w:val="single"/>
                </w:rPr>
                <w:t>Poličské strojírny a.s.</w:t>
              </w:r>
            </w:hyperlink>
          </w:p>
        </w:tc>
        <w:tc>
          <w:tcPr>
            <w:tcW w:w="7530" w:type="dxa"/>
            <w:tcBorders>
              <w:top w:val="single" w:sz="4" w:space="0" w:color="auto"/>
              <w:bottom w:val="single" w:sz="4" w:space="0" w:color="auto"/>
            </w:tcBorders>
          </w:tcPr>
          <w:p w:rsidR="00096B86" w:rsidRPr="00096B86" w:rsidRDefault="00096B86" w:rsidP="004F74B7">
            <w:pPr>
              <w:numPr>
                <w:ilvl w:val="0"/>
                <w:numId w:val="15"/>
              </w:numPr>
              <w:autoSpaceDE w:val="0"/>
              <w:autoSpaceDN w:val="0"/>
              <w:adjustRightInd w:val="0"/>
              <w:spacing w:before="40" w:after="40"/>
              <w:ind w:left="175" w:hanging="141"/>
              <w:jc w:val="left"/>
              <w:rPr>
                <w:sz w:val="20"/>
                <w:szCs w:val="20"/>
              </w:rPr>
            </w:pPr>
            <w:r w:rsidRPr="00096B86">
              <w:rPr>
                <w:sz w:val="20"/>
                <w:szCs w:val="20"/>
              </w:rPr>
              <w:t>Strojírenská výroba, měřicí a čerpací technika, pneumatické prvky</w:t>
            </w:r>
          </w:p>
          <w:p w:rsidR="00096B86" w:rsidRPr="00096B86" w:rsidRDefault="00096B86" w:rsidP="004F74B7">
            <w:pPr>
              <w:numPr>
                <w:ilvl w:val="0"/>
                <w:numId w:val="15"/>
              </w:numPr>
              <w:autoSpaceDE w:val="0"/>
              <w:autoSpaceDN w:val="0"/>
              <w:adjustRightInd w:val="0"/>
              <w:spacing w:before="40" w:after="40"/>
              <w:ind w:left="175" w:hanging="141"/>
              <w:jc w:val="left"/>
              <w:rPr>
                <w:sz w:val="20"/>
                <w:szCs w:val="20"/>
              </w:rPr>
            </w:pPr>
            <w:r w:rsidRPr="00096B86">
              <w:rPr>
                <w:sz w:val="20"/>
                <w:szCs w:val="20"/>
              </w:rPr>
              <w:t>Klimakomora - box pro testování výrobků v extrémních klimatických podmínkách</w:t>
            </w:r>
          </w:p>
          <w:p w:rsidR="00096B86" w:rsidRPr="00096B86" w:rsidRDefault="00096B86" w:rsidP="004F74B7">
            <w:pPr>
              <w:numPr>
                <w:ilvl w:val="0"/>
                <w:numId w:val="15"/>
              </w:numPr>
              <w:autoSpaceDE w:val="0"/>
              <w:autoSpaceDN w:val="0"/>
              <w:adjustRightInd w:val="0"/>
              <w:spacing w:before="40" w:after="40"/>
              <w:ind w:left="175" w:hanging="141"/>
              <w:jc w:val="left"/>
              <w:rPr>
                <w:sz w:val="20"/>
                <w:szCs w:val="20"/>
              </w:rPr>
            </w:pPr>
            <w:r w:rsidRPr="00096B86">
              <w:rPr>
                <w:sz w:val="20"/>
                <w:szCs w:val="20"/>
              </w:rPr>
              <w:t>Zkušebna průtoku kapalin - ověřování výrobků, funkční zkoušky a stanovení maximálních parametrů, zkoušky v oblasti zařízení pro měření a výdej kapalin jiných než voda</w:t>
            </w:r>
          </w:p>
        </w:tc>
      </w:tr>
      <w:tr w:rsidR="00096B86" w:rsidRPr="00096B86" w:rsidTr="008D4C1A">
        <w:trPr>
          <w:trHeight w:val="165"/>
          <w:jc w:val="center"/>
        </w:trPr>
        <w:tc>
          <w:tcPr>
            <w:tcW w:w="1951" w:type="dxa"/>
            <w:tcBorders>
              <w:top w:val="single" w:sz="4" w:space="0" w:color="auto"/>
              <w:bottom w:val="single" w:sz="4" w:space="0" w:color="auto"/>
            </w:tcBorders>
          </w:tcPr>
          <w:p w:rsidR="00096B86" w:rsidRPr="00096B86" w:rsidRDefault="00990E2D" w:rsidP="00096B86">
            <w:pPr>
              <w:spacing w:before="40" w:after="40"/>
              <w:jc w:val="left"/>
              <w:rPr>
                <w:sz w:val="20"/>
                <w:szCs w:val="20"/>
              </w:rPr>
            </w:pPr>
            <w:hyperlink r:id="rId177" w:history="1">
              <w:r w:rsidR="00096B86" w:rsidRPr="00096B86">
                <w:rPr>
                  <w:color w:val="0000FF" w:themeColor="hyperlink"/>
                  <w:sz w:val="20"/>
                  <w:szCs w:val="20"/>
                  <w:u w:val="single"/>
                </w:rPr>
                <w:t>Prototypa-ZM, s.r.o.</w:t>
              </w:r>
            </w:hyperlink>
          </w:p>
        </w:tc>
        <w:tc>
          <w:tcPr>
            <w:tcW w:w="7530" w:type="dxa"/>
            <w:tcBorders>
              <w:top w:val="single" w:sz="4" w:space="0" w:color="auto"/>
              <w:bottom w:val="single" w:sz="4" w:space="0" w:color="auto"/>
            </w:tcBorders>
          </w:tcPr>
          <w:p w:rsidR="00096B86" w:rsidRPr="00096B86" w:rsidRDefault="00096B86" w:rsidP="00096B86">
            <w:pPr>
              <w:spacing w:before="40" w:after="40"/>
              <w:jc w:val="left"/>
              <w:rPr>
                <w:sz w:val="20"/>
                <w:szCs w:val="20"/>
              </w:rPr>
            </w:pPr>
            <w:r w:rsidRPr="00096B86">
              <w:rPr>
                <w:sz w:val="20"/>
                <w:szCs w:val="20"/>
              </w:rPr>
              <w:t>Zkušebna zbraní, střeliva a ochranných prostředků - zkoušky  zbraní, střeliva a munice za ztížených podmínek podle civilních i vojenských předpisů a norem.</w:t>
            </w:r>
          </w:p>
        </w:tc>
      </w:tr>
      <w:tr w:rsidR="00096B86" w:rsidRPr="00096B86" w:rsidTr="008D4C1A">
        <w:trPr>
          <w:trHeight w:val="165"/>
          <w:jc w:val="center"/>
        </w:trPr>
        <w:tc>
          <w:tcPr>
            <w:tcW w:w="1951" w:type="dxa"/>
            <w:tcBorders>
              <w:top w:val="single" w:sz="4" w:space="0" w:color="auto"/>
              <w:bottom w:val="single" w:sz="4" w:space="0" w:color="auto"/>
            </w:tcBorders>
          </w:tcPr>
          <w:p w:rsidR="00096B86" w:rsidRPr="00096B86" w:rsidRDefault="00096B86" w:rsidP="00096B86">
            <w:pPr>
              <w:spacing w:before="40" w:after="40"/>
              <w:jc w:val="left"/>
              <w:rPr>
                <w:sz w:val="20"/>
                <w:szCs w:val="20"/>
              </w:rPr>
            </w:pPr>
            <w:r w:rsidRPr="00096B86">
              <w:rPr>
                <w:sz w:val="20"/>
                <w:szCs w:val="20"/>
              </w:rPr>
              <w:t>SPEEL PRAHA s.r.o.</w:t>
            </w:r>
          </w:p>
        </w:tc>
        <w:tc>
          <w:tcPr>
            <w:tcW w:w="7530" w:type="dxa"/>
            <w:tcBorders>
              <w:top w:val="single" w:sz="4" w:space="0" w:color="auto"/>
              <w:bottom w:val="single" w:sz="4" w:space="0" w:color="auto"/>
            </w:tcBorders>
          </w:tcPr>
          <w:p w:rsidR="00096B86" w:rsidRPr="00096B86" w:rsidRDefault="00096B86" w:rsidP="00096B86">
            <w:pPr>
              <w:spacing w:before="40" w:after="40"/>
              <w:jc w:val="left"/>
              <w:rPr>
                <w:sz w:val="20"/>
                <w:szCs w:val="20"/>
              </w:rPr>
            </w:pPr>
            <w:r w:rsidRPr="00096B86">
              <w:rPr>
                <w:sz w:val="20"/>
                <w:szCs w:val="20"/>
              </w:rPr>
              <w:t>Vývoj, výroba, testování palubních záznamových systémů, automatizace a letecká diagnostika, systémy záznamu dat pro letouny a vrtulníky, vývoj softwaru pro analýzu letových dat</w:t>
            </w:r>
          </w:p>
        </w:tc>
      </w:tr>
      <w:tr w:rsidR="00096B86" w:rsidRPr="00096B86" w:rsidTr="008D4C1A">
        <w:trPr>
          <w:trHeight w:val="165"/>
          <w:jc w:val="center"/>
        </w:trPr>
        <w:tc>
          <w:tcPr>
            <w:tcW w:w="1951" w:type="dxa"/>
            <w:tcBorders>
              <w:top w:val="single" w:sz="4" w:space="0" w:color="auto"/>
              <w:bottom w:val="single" w:sz="4" w:space="0" w:color="auto"/>
            </w:tcBorders>
          </w:tcPr>
          <w:p w:rsidR="00096B86" w:rsidRPr="00096B86" w:rsidRDefault="00096B86" w:rsidP="00096B86">
            <w:pPr>
              <w:spacing w:before="40" w:after="40"/>
              <w:jc w:val="left"/>
              <w:rPr>
                <w:sz w:val="20"/>
                <w:szCs w:val="20"/>
              </w:rPr>
            </w:pPr>
            <w:r w:rsidRPr="00096B86">
              <w:rPr>
                <w:sz w:val="20"/>
                <w:szCs w:val="20"/>
              </w:rPr>
              <w:t>T - CZ, a.s.</w:t>
            </w:r>
          </w:p>
        </w:tc>
        <w:tc>
          <w:tcPr>
            <w:tcW w:w="7530" w:type="dxa"/>
            <w:tcBorders>
              <w:top w:val="single" w:sz="4" w:space="0" w:color="auto"/>
              <w:bottom w:val="single" w:sz="4" w:space="0" w:color="auto"/>
            </w:tcBorders>
          </w:tcPr>
          <w:p w:rsidR="00096B86" w:rsidRPr="00096B86" w:rsidRDefault="00096B86" w:rsidP="00096B86">
            <w:pPr>
              <w:spacing w:before="40" w:after="40"/>
              <w:jc w:val="left"/>
              <w:rPr>
                <w:sz w:val="20"/>
                <w:szCs w:val="20"/>
              </w:rPr>
            </w:pPr>
            <w:r w:rsidRPr="00096B86">
              <w:rPr>
                <w:sz w:val="20"/>
                <w:szCs w:val="20"/>
              </w:rPr>
              <w:t>Výzkum, vývoj, výroba a prodej v oboru spojové techniky, testování, měření a analýzy</w:t>
            </w:r>
          </w:p>
        </w:tc>
      </w:tr>
      <w:tr w:rsidR="00096B86" w:rsidRPr="00096B86" w:rsidTr="008D4C1A">
        <w:trPr>
          <w:trHeight w:val="165"/>
          <w:jc w:val="center"/>
        </w:trPr>
        <w:tc>
          <w:tcPr>
            <w:tcW w:w="1951" w:type="dxa"/>
            <w:tcBorders>
              <w:top w:val="single" w:sz="4" w:space="0" w:color="auto"/>
              <w:bottom w:val="single" w:sz="4" w:space="0" w:color="auto"/>
            </w:tcBorders>
          </w:tcPr>
          <w:p w:rsidR="00096B86" w:rsidRPr="00096B86" w:rsidRDefault="00096B86" w:rsidP="00096B86">
            <w:pPr>
              <w:spacing w:before="40" w:after="40"/>
              <w:jc w:val="left"/>
              <w:rPr>
                <w:sz w:val="20"/>
                <w:szCs w:val="20"/>
              </w:rPr>
            </w:pPr>
            <w:r w:rsidRPr="00096B86">
              <w:rPr>
                <w:sz w:val="20"/>
                <w:szCs w:val="20"/>
              </w:rPr>
              <w:t>TESO OSTRAVA spol. s r. o.</w:t>
            </w:r>
          </w:p>
        </w:tc>
        <w:tc>
          <w:tcPr>
            <w:tcW w:w="7530" w:type="dxa"/>
            <w:tcBorders>
              <w:top w:val="single" w:sz="4" w:space="0" w:color="auto"/>
              <w:bottom w:val="single" w:sz="4" w:space="0" w:color="auto"/>
            </w:tcBorders>
          </w:tcPr>
          <w:p w:rsidR="00096B86" w:rsidRPr="00096B86" w:rsidRDefault="00096B86" w:rsidP="00096B86">
            <w:pPr>
              <w:spacing w:before="40" w:after="40"/>
              <w:jc w:val="left"/>
              <w:rPr>
                <w:sz w:val="20"/>
                <w:szCs w:val="20"/>
              </w:rPr>
            </w:pPr>
            <w:r w:rsidRPr="00096B86">
              <w:rPr>
                <w:sz w:val="20"/>
                <w:szCs w:val="20"/>
              </w:rPr>
              <w:t>Technické služby ochrany ovzduší, posuzování vlivů na prostředí, autorizovaná a technická měření emisí, hluku, odborné posudky, rozptylové studie</w:t>
            </w:r>
          </w:p>
        </w:tc>
      </w:tr>
      <w:tr w:rsidR="00096B86" w:rsidRPr="00096B86" w:rsidTr="008D4C1A">
        <w:trPr>
          <w:trHeight w:val="165"/>
          <w:jc w:val="center"/>
        </w:trPr>
        <w:tc>
          <w:tcPr>
            <w:tcW w:w="1951" w:type="dxa"/>
            <w:tcBorders>
              <w:top w:val="single" w:sz="4" w:space="0" w:color="auto"/>
              <w:bottom w:val="single" w:sz="4" w:space="0" w:color="auto"/>
            </w:tcBorders>
          </w:tcPr>
          <w:p w:rsidR="00096B86" w:rsidRPr="00096B86" w:rsidRDefault="00096B86" w:rsidP="00096B86">
            <w:pPr>
              <w:spacing w:before="40" w:after="40"/>
              <w:jc w:val="left"/>
              <w:rPr>
                <w:sz w:val="20"/>
                <w:szCs w:val="20"/>
              </w:rPr>
            </w:pPr>
            <w:r w:rsidRPr="00096B86">
              <w:rPr>
                <w:sz w:val="20"/>
                <w:szCs w:val="20"/>
              </w:rPr>
              <w:t>UNIS, a.s.</w:t>
            </w:r>
          </w:p>
        </w:tc>
        <w:tc>
          <w:tcPr>
            <w:tcW w:w="7530" w:type="dxa"/>
            <w:tcBorders>
              <w:top w:val="single" w:sz="4" w:space="0" w:color="auto"/>
              <w:bottom w:val="single" w:sz="4" w:space="0" w:color="auto"/>
            </w:tcBorders>
          </w:tcPr>
          <w:p w:rsidR="00096B86" w:rsidRPr="00096B86" w:rsidRDefault="00096B86" w:rsidP="004F74B7">
            <w:pPr>
              <w:numPr>
                <w:ilvl w:val="0"/>
                <w:numId w:val="15"/>
              </w:numPr>
              <w:autoSpaceDE w:val="0"/>
              <w:autoSpaceDN w:val="0"/>
              <w:adjustRightInd w:val="0"/>
              <w:spacing w:before="40" w:after="40"/>
              <w:ind w:left="175" w:hanging="141"/>
              <w:jc w:val="left"/>
              <w:rPr>
                <w:sz w:val="20"/>
                <w:szCs w:val="20"/>
              </w:rPr>
            </w:pPr>
            <w:r w:rsidRPr="00096B86">
              <w:rPr>
                <w:sz w:val="20"/>
                <w:szCs w:val="20"/>
              </w:rPr>
              <w:t>poskytováni služeb v oblasti zkušebnictví - klimatické, vibrační, EMC a HALT / HASS zkoušky</w:t>
            </w:r>
          </w:p>
          <w:p w:rsidR="00096B86" w:rsidRPr="00096B86" w:rsidRDefault="00096B86" w:rsidP="004F74B7">
            <w:pPr>
              <w:numPr>
                <w:ilvl w:val="0"/>
                <w:numId w:val="15"/>
              </w:numPr>
              <w:autoSpaceDE w:val="0"/>
              <w:autoSpaceDN w:val="0"/>
              <w:adjustRightInd w:val="0"/>
              <w:spacing w:before="40" w:after="40"/>
              <w:ind w:left="175" w:hanging="141"/>
              <w:jc w:val="left"/>
              <w:rPr>
                <w:sz w:val="20"/>
                <w:szCs w:val="20"/>
              </w:rPr>
            </w:pPr>
            <w:r w:rsidRPr="00096B86">
              <w:rPr>
                <w:sz w:val="20"/>
                <w:szCs w:val="20"/>
              </w:rPr>
              <w:t>vývoj a výroba speciální avioniky a elektroniky, řídicí systémy pro turbíny.</w:t>
            </w:r>
          </w:p>
        </w:tc>
      </w:tr>
      <w:tr w:rsidR="00096B86" w:rsidRPr="00096B86" w:rsidTr="008D4C1A">
        <w:trPr>
          <w:trHeight w:val="165"/>
          <w:jc w:val="center"/>
        </w:trPr>
        <w:tc>
          <w:tcPr>
            <w:tcW w:w="1951" w:type="dxa"/>
            <w:tcBorders>
              <w:top w:val="single" w:sz="4" w:space="0" w:color="auto"/>
              <w:bottom w:val="single" w:sz="4" w:space="0" w:color="auto"/>
            </w:tcBorders>
          </w:tcPr>
          <w:p w:rsidR="00096B86" w:rsidRPr="00096B86" w:rsidRDefault="00096B86" w:rsidP="00096B86">
            <w:pPr>
              <w:spacing w:before="40" w:after="40"/>
              <w:jc w:val="left"/>
              <w:rPr>
                <w:sz w:val="20"/>
                <w:szCs w:val="20"/>
              </w:rPr>
            </w:pPr>
            <w:r w:rsidRPr="00096B86">
              <w:rPr>
                <w:sz w:val="20"/>
                <w:szCs w:val="20"/>
              </w:rPr>
              <w:t>Vodní zdroje Chrudim, spol. s.r.o.</w:t>
            </w:r>
          </w:p>
        </w:tc>
        <w:tc>
          <w:tcPr>
            <w:tcW w:w="7530" w:type="dxa"/>
            <w:tcBorders>
              <w:top w:val="single" w:sz="4" w:space="0" w:color="auto"/>
              <w:bottom w:val="single" w:sz="4" w:space="0" w:color="auto"/>
            </w:tcBorders>
          </w:tcPr>
          <w:p w:rsidR="00096B86" w:rsidRPr="00096B86" w:rsidRDefault="00096B86" w:rsidP="00096B86">
            <w:pPr>
              <w:spacing w:before="40" w:after="40"/>
              <w:jc w:val="left"/>
              <w:rPr>
                <w:sz w:val="20"/>
                <w:szCs w:val="20"/>
              </w:rPr>
            </w:pPr>
            <w:r w:rsidRPr="00096B86">
              <w:rPr>
                <w:sz w:val="20"/>
                <w:szCs w:val="20"/>
              </w:rPr>
              <w:t>Geologie, nakládání s odpady, výroba strojů a zařízení, software, ICT, návrhy, testování, měření analýzy a kontroly</w:t>
            </w:r>
          </w:p>
        </w:tc>
      </w:tr>
      <w:tr w:rsidR="00096B86" w:rsidRPr="00096B86" w:rsidTr="008D4C1A">
        <w:trPr>
          <w:trHeight w:val="165"/>
          <w:jc w:val="center"/>
        </w:trPr>
        <w:tc>
          <w:tcPr>
            <w:tcW w:w="1951" w:type="dxa"/>
            <w:tcBorders>
              <w:top w:val="single" w:sz="4" w:space="0" w:color="auto"/>
              <w:bottom w:val="single" w:sz="4" w:space="0" w:color="auto"/>
            </w:tcBorders>
          </w:tcPr>
          <w:p w:rsidR="00096B86" w:rsidRPr="00096B86" w:rsidRDefault="00096B86" w:rsidP="00096B86">
            <w:pPr>
              <w:spacing w:before="40" w:after="40"/>
              <w:jc w:val="left"/>
              <w:rPr>
                <w:sz w:val="20"/>
                <w:szCs w:val="20"/>
              </w:rPr>
            </w:pPr>
            <w:r w:rsidRPr="00096B86">
              <w:rPr>
                <w:sz w:val="20"/>
                <w:szCs w:val="20"/>
              </w:rPr>
              <w:t>VOP CZ, s.p.</w:t>
            </w:r>
          </w:p>
        </w:tc>
        <w:tc>
          <w:tcPr>
            <w:tcW w:w="7530" w:type="dxa"/>
            <w:tcBorders>
              <w:top w:val="single" w:sz="4" w:space="0" w:color="auto"/>
              <w:bottom w:val="single" w:sz="4" w:space="0" w:color="auto"/>
            </w:tcBorders>
          </w:tcPr>
          <w:p w:rsidR="00096B86" w:rsidRPr="00096B86" w:rsidRDefault="00096B86" w:rsidP="004F74B7">
            <w:pPr>
              <w:numPr>
                <w:ilvl w:val="0"/>
                <w:numId w:val="15"/>
              </w:numPr>
              <w:autoSpaceDE w:val="0"/>
              <w:autoSpaceDN w:val="0"/>
              <w:adjustRightInd w:val="0"/>
              <w:spacing w:before="40" w:after="40"/>
              <w:ind w:left="175" w:hanging="141"/>
              <w:jc w:val="left"/>
              <w:rPr>
                <w:sz w:val="20"/>
                <w:szCs w:val="20"/>
              </w:rPr>
            </w:pPr>
            <w:r w:rsidRPr="00096B86">
              <w:rPr>
                <w:sz w:val="20"/>
                <w:szCs w:val="20"/>
              </w:rPr>
              <w:t>Servis a zkoušky bojových a ostatních vojenských vozidel</w:t>
            </w:r>
          </w:p>
          <w:p w:rsidR="00096B86" w:rsidRPr="00096B86" w:rsidRDefault="00096B86" w:rsidP="004F74B7">
            <w:pPr>
              <w:numPr>
                <w:ilvl w:val="0"/>
                <w:numId w:val="15"/>
              </w:numPr>
              <w:autoSpaceDE w:val="0"/>
              <w:autoSpaceDN w:val="0"/>
              <w:adjustRightInd w:val="0"/>
              <w:spacing w:before="40" w:after="40"/>
              <w:ind w:left="175" w:hanging="141"/>
              <w:jc w:val="left"/>
              <w:rPr>
                <w:sz w:val="20"/>
                <w:szCs w:val="20"/>
              </w:rPr>
            </w:pPr>
            <w:r w:rsidRPr="00096B86">
              <w:rPr>
                <w:sz w:val="20"/>
                <w:szCs w:val="20"/>
              </w:rPr>
              <w:t>Velkorážové a malorážové zbraně, munice a pozorovací a zaměřovací technika, VOP-026 Šternberk, s.p., divize VTÚVM Slavičín</w:t>
            </w:r>
          </w:p>
        </w:tc>
      </w:tr>
    </w:tbl>
    <w:p w:rsidR="00096B86" w:rsidRDefault="00096B86" w:rsidP="00096B86"/>
    <w:p w:rsidR="004B3F51" w:rsidRDefault="004B3F51" w:rsidP="004B3F51">
      <w:pPr>
        <w:pStyle w:val="Nadpis3"/>
      </w:pPr>
      <w:bookmarkStart w:id="262" w:name="_Ref453775127"/>
      <w:bookmarkStart w:id="263" w:name="_Toc459723338"/>
      <w:r w:rsidRPr="004D016C">
        <w:t>Využití specializovaných kapacit výzkumné a testovací infrastruktury</w:t>
      </w:r>
      <w:bookmarkEnd w:id="262"/>
      <w:bookmarkEnd w:id="263"/>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9354"/>
      </w:tblGrid>
      <w:tr w:rsidR="008C5A8B" w:rsidTr="001D5000">
        <w:tc>
          <w:tcPr>
            <w:tcW w:w="9354" w:type="dxa"/>
            <w:shd w:val="clear" w:color="auto" w:fill="F2F2F2" w:themeFill="background1" w:themeFillShade="F2"/>
          </w:tcPr>
          <w:p w:rsidR="008C5A8B" w:rsidRDefault="001129CF" w:rsidP="001129CF">
            <w:pPr>
              <w:rPr>
                <w:lang w:eastAsia="cs-CZ"/>
              </w:rPr>
            </w:pPr>
            <w:r>
              <w:rPr>
                <w:lang w:eastAsia="cs-CZ"/>
              </w:rPr>
              <w:t xml:space="preserve">Experti účastnící se workshopu potvrdili, že při svých aktivitách využívají konkrétní </w:t>
            </w:r>
            <w:r w:rsidRPr="00E77379">
              <w:rPr>
                <w:lang w:eastAsia="cs-CZ"/>
              </w:rPr>
              <w:t>specializovan</w:t>
            </w:r>
            <w:r>
              <w:rPr>
                <w:lang w:eastAsia="cs-CZ"/>
              </w:rPr>
              <w:t>é</w:t>
            </w:r>
            <w:r w:rsidRPr="00E77379">
              <w:rPr>
                <w:lang w:eastAsia="cs-CZ"/>
              </w:rPr>
              <w:t xml:space="preserve"> kapacit</w:t>
            </w:r>
            <w:r>
              <w:rPr>
                <w:lang w:eastAsia="cs-CZ"/>
              </w:rPr>
              <w:t>y</w:t>
            </w:r>
            <w:r w:rsidRPr="00E77379">
              <w:rPr>
                <w:lang w:eastAsia="cs-CZ"/>
              </w:rPr>
              <w:t xml:space="preserve"> výzkumné a testovací infrastruktury</w:t>
            </w:r>
            <w:r>
              <w:rPr>
                <w:lang w:eastAsia="cs-CZ"/>
              </w:rPr>
              <w:t>. Nejčastěji je v těchto subjektech v</w:t>
            </w:r>
            <w:r w:rsidRPr="001129CF">
              <w:rPr>
                <w:lang w:eastAsia="cs-CZ"/>
              </w:rPr>
              <w:t>yuží</w:t>
            </w:r>
            <w:r>
              <w:rPr>
                <w:lang w:eastAsia="cs-CZ"/>
              </w:rPr>
              <w:t>váno</w:t>
            </w:r>
            <w:r w:rsidRPr="001129CF">
              <w:rPr>
                <w:lang w:eastAsia="cs-CZ"/>
              </w:rPr>
              <w:t xml:space="preserve"> </w:t>
            </w:r>
            <w:r>
              <w:rPr>
                <w:lang w:eastAsia="cs-CZ"/>
              </w:rPr>
              <w:t xml:space="preserve">speciální </w:t>
            </w:r>
            <w:r w:rsidRPr="001129CF">
              <w:rPr>
                <w:lang w:eastAsia="cs-CZ"/>
              </w:rPr>
              <w:t>zařízení</w:t>
            </w:r>
            <w:r>
              <w:rPr>
                <w:lang w:eastAsia="cs-CZ"/>
              </w:rPr>
              <w:t>,</w:t>
            </w:r>
            <w:r w:rsidRPr="001129CF">
              <w:rPr>
                <w:lang w:eastAsia="cs-CZ"/>
              </w:rPr>
              <w:t xml:space="preserve"> přístroj</w:t>
            </w:r>
            <w:r>
              <w:rPr>
                <w:lang w:eastAsia="cs-CZ"/>
              </w:rPr>
              <w:t>e a</w:t>
            </w:r>
            <w:r w:rsidRPr="001129CF">
              <w:rPr>
                <w:lang w:eastAsia="cs-CZ"/>
              </w:rPr>
              <w:t xml:space="preserve"> laboratoř</w:t>
            </w:r>
            <w:r>
              <w:rPr>
                <w:lang w:eastAsia="cs-CZ"/>
              </w:rPr>
              <w:t>e, často je také vyžadována r</w:t>
            </w:r>
            <w:r w:rsidRPr="001129CF">
              <w:rPr>
                <w:lang w:eastAsia="cs-CZ"/>
              </w:rPr>
              <w:t xml:space="preserve">ealizace </w:t>
            </w:r>
            <w:r>
              <w:rPr>
                <w:lang w:eastAsia="cs-CZ"/>
              </w:rPr>
              <w:t xml:space="preserve">konkrétních </w:t>
            </w:r>
            <w:r w:rsidRPr="001129CF">
              <w:rPr>
                <w:lang w:eastAsia="cs-CZ"/>
              </w:rPr>
              <w:t xml:space="preserve">měření, </w:t>
            </w:r>
            <w:r>
              <w:rPr>
                <w:lang w:eastAsia="cs-CZ"/>
              </w:rPr>
              <w:t xml:space="preserve">zpracování </w:t>
            </w:r>
            <w:r w:rsidRPr="001129CF">
              <w:rPr>
                <w:lang w:eastAsia="cs-CZ"/>
              </w:rPr>
              <w:t>analýz</w:t>
            </w:r>
            <w:r>
              <w:rPr>
                <w:lang w:eastAsia="cs-CZ"/>
              </w:rPr>
              <w:t xml:space="preserve"> a</w:t>
            </w:r>
            <w:r w:rsidRPr="001129CF">
              <w:rPr>
                <w:lang w:eastAsia="cs-CZ"/>
              </w:rPr>
              <w:t xml:space="preserve"> testů</w:t>
            </w:r>
            <w:r>
              <w:rPr>
                <w:lang w:eastAsia="cs-CZ"/>
              </w:rPr>
              <w:t xml:space="preserve"> či realizace</w:t>
            </w:r>
            <w:r w:rsidRPr="001129CF">
              <w:rPr>
                <w:lang w:eastAsia="cs-CZ"/>
              </w:rPr>
              <w:t xml:space="preserve"> certifikací</w:t>
            </w:r>
            <w:r>
              <w:rPr>
                <w:lang w:eastAsia="cs-CZ"/>
              </w:rPr>
              <w:t>.</w:t>
            </w:r>
          </w:p>
          <w:p w:rsidR="001129CF" w:rsidRDefault="00FC4951" w:rsidP="00FC4951">
            <w:pPr>
              <w:rPr>
                <w:lang w:eastAsia="cs-CZ"/>
              </w:rPr>
            </w:pPr>
            <w:r>
              <w:rPr>
                <w:lang w:eastAsia="cs-CZ"/>
              </w:rPr>
              <w:t xml:space="preserve">Externě jsou také často zajišťovány služby v oblasti výpočetní techniky a ICT (programátorské služby, provádění speciálních výpočtů). Využívány jsou i speciální prostory nebo zařízení, jako jsou zkušební polygony, střelnice, simulátory apod. Také byla využívána infrastruktura působící ve zdravotnictví. </w:t>
            </w:r>
            <w:r w:rsidR="001129CF">
              <w:rPr>
                <w:lang w:eastAsia="cs-CZ"/>
              </w:rPr>
              <w:t>Pro některé činnosti jsou využívána i zahraniční pracoviště.</w:t>
            </w:r>
          </w:p>
        </w:tc>
      </w:tr>
    </w:tbl>
    <w:p w:rsidR="004B3F51" w:rsidRDefault="008D4C1A" w:rsidP="004B3F51">
      <w:pPr>
        <w:rPr>
          <w:lang w:eastAsia="cs-CZ"/>
        </w:rPr>
      </w:pPr>
      <w:r>
        <w:rPr>
          <w:lang w:eastAsia="cs-CZ"/>
        </w:rPr>
        <w:t>Využívání</w:t>
      </w:r>
      <w:r w:rsidR="00BC67E6">
        <w:rPr>
          <w:lang w:eastAsia="cs-CZ"/>
        </w:rPr>
        <w:t xml:space="preserve"> </w:t>
      </w:r>
      <w:r w:rsidR="00BC67E6" w:rsidRPr="00BC67E6">
        <w:rPr>
          <w:lang w:eastAsia="cs-CZ"/>
        </w:rPr>
        <w:t>specializovaných kapacit výzkumné a testovací infrastruktury</w:t>
      </w:r>
      <w:r w:rsidR="00E77379">
        <w:rPr>
          <w:lang w:eastAsia="cs-CZ"/>
        </w:rPr>
        <w:t xml:space="preserve"> bylo ověřováno v dotazníku zaslaném odborníkům působícím v oblasti BV a bezpečnosti.</w:t>
      </w:r>
      <w:r w:rsidR="00460747">
        <w:rPr>
          <w:lang w:eastAsia="cs-CZ"/>
        </w:rPr>
        <w:t xml:space="preserve"> </w:t>
      </w:r>
      <w:r w:rsidR="00E77379">
        <w:rPr>
          <w:lang w:eastAsia="cs-CZ"/>
        </w:rPr>
        <w:t xml:space="preserve">Oslovení odborníci uváděli, jaké </w:t>
      </w:r>
      <w:r w:rsidR="00E77379" w:rsidRPr="00E77379">
        <w:rPr>
          <w:lang w:eastAsia="cs-CZ"/>
        </w:rPr>
        <w:t>specializovan</w:t>
      </w:r>
      <w:r w:rsidR="00E77379">
        <w:rPr>
          <w:lang w:eastAsia="cs-CZ"/>
        </w:rPr>
        <w:t>é</w:t>
      </w:r>
      <w:r w:rsidR="00E77379" w:rsidRPr="00E77379">
        <w:rPr>
          <w:lang w:eastAsia="cs-CZ"/>
        </w:rPr>
        <w:t xml:space="preserve"> kapacit</w:t>
      </w:r>
      <w:r w:rsidR="008174CD">
        <w:rPr>
          <w:lang w:eastAsia="cs-CZ"/>
        </w:rPr>
        <w:t>y</w:t>
      </w:r>
      <w:r w:rsidR="00E77379" w:rsidRPr="00E77379">
        <w:rPr>
          <w:lang w:eastAsia="cs-CZ"/>
        </w:rPr>
        <w:t xml:space="preserve"> výzkumné a testovací infrastruktury </w:t>
      </w:r>
      <w:r w:rsidR="00E77379">
        <w:rPr>
          <w:lang w:eastAsia="cs-CZ"/>
        </w:rPr>
        <w:t xml:space="preserve">již </w:t>
      </w:r>
      <w:r w:rsidR="00E77379" w:rsidRPr="00E77379">
        <w:rPr>
          <w:lang w:eastAsia="cs-CZ"/>
        </w:rPr>
        <w:t>využili nebo hodlají využít</w:t>
      </w:r>
      <w:r w:rsidR="00413A27">
        <w:rPr>
          <w:lang w:eastAsia="cs-CZ"/>
        </w:rPr>
        <w:t>,</w:t>
      </w:r>
      <w:r w:rsidR="008174CD">
        <w:rPr>
          <w:lang w:eastAsia="cs-CZ"/>
        </w:rPr>
        <w:t xml:space="preserve"> a k jakému účelu</w:t>
      </w:r>
      <w:r w:rsidR="00E77379">
        <w:rPr>
          <w:lang w:eastAsia="cs-CZ"/>
        </w:rPr>
        <w:t xml:space="preserve">. </w:t>
      </w:r>
      <w:r w:rsidR="008174CD">
        <w:rPr>
          <w:lang w:eastAsia="cs-CZ"/>
        </w:rPr>
        <w:t xml:space="preserve">Odpovědi odpovědí jsou přehledně shrnuty v </w:t>
      </w:r>
      <w:r w:rsidR="0054347A">
        <w:rPr>
          <w:lang w:eastAsia="cs-CZ"/>
        </w:rPr>
        <w:fldChar w:fldCharType="begin"/>
      </w:r>
      <w:r w:rsidR="0054347A">
        <w:rPr>
          <w:lang w:eastAsia="cs-CZ"/>
        </w:rPr>
        <w:instrText xml:space="preserve"> REF  _Ref453837959 \* Lower \h  \* MERGEFORMAT </w:instrText>
      </w:r>
      <w:r w:rsidR="0054347A">
        <w:rPr>
          <w:lang w:eastAsia="cs-CZ"/>
        </w:rPr>
      </w:r>
      <w:r w:rsidR="0054347A">
        <w:rPr>
          <w:lang w:eastAsia="cs-CZ"/>
        </w:rPr>
        <w:fldChar w:fldCharType="separate"/>
      </w:r>
      <w:r w:rsidR="003F08E5">
        <w:t>tab. 73</w:t>
      </w:r>
      <w:r w:rsidR="0054347A">
        <w:rPr>
          <w:lang w:eastAsia="cs-CZ"/>
        </w:rPr>
        <w:fldChar w:fldCharType="end"/>
      </w:r>
      <w:r w:rsidR="008174CD">
        <w:rPr>
          <w:lang w:eastAsia="cs-CZ"/>
        </w:rPr>
        <w:t>. Subjekty uvedené experty jsou pro větší přehlednost rozděleny do pěti skupin podle účelu, ke kterému byly využity.</w:t>
      </w:r>
    </w:p>
    <w:p w:rsidR="00195D0C" w:rsidRDefault="008174CD" w:rsidP="004B3F51">
      <w:pPr>
        <w:rPr>
          <w:lang w:eastAsia="cs-CZ"/>
        </w:rPr>
      </w:pPr>
      <w:r>
        <w:rPr>
          <w:lang w:eastAsia="cs-CZ"/>
        </w:rPr>
        <w:t xml:space="preserve">V tabulce se vyskytují jak subjekty účastnící programů BV (zejména SÚRO, SÚJCHBO a další). </w:t>
      </w:r>
      <w:r w:rsidR="00195D0C">
        <w:rPr>
          <w:lang w:eastAsia="cs-CZ"/>
        </w:rPr>
        <w:t>Účastníci šetření často uváděli konkrétní pracoviště VO (fakulty, ústavy), takže není možné provést jednoznačné přiřazení k subjektům účastnícím se programů BV.</w:t>
      </w:r>
    </w:p>
    <w:p w:rsidR="008174CD" w:rsidRDefault="008174CD" w:rsidP="004B3F51">
      <w:pPr>
        <w:rPr>
          <w:lang w:eastAsia="cs-CZ"/>
        </w:rPr>
      </w:pPr>
      <w:r>
        <w:rPr>
          <w:lang w:eastAsia="cs-CZ"/>
        </w:rPr>
        <w:t xml:space="preserve">Jak je patrné z </w:t>
      </w:r>
      <w:r>
        <w:rPr>
          <w:lang w:eastAsia="cs-CZ"/>
        </w:rPr>
        <w:fldChar w:fldCharType="begin"/>
      </w:r>
      <w:r>
        <w:rPr>
          <w:lang w:eastAsia="cs-CZ"/>
        </w:rPr>
        <w:instrText xml:space="preserve"> REF  _Ref453837959 \* Lower \h  \* MERGEFORMAT </w:instrText>
      </w:r>
      <w:r>
        <w:rPr>
          <w:lang w:eastAsia="cs-CZ"/>
        </w:rPr>
      </w:r>
      <w:r>
        <w:rPr>
          <w:lang w:eastAsia="cs-CZ"/>
        </w:rPr>
        <w:fldChar w:fldCharType="separate"/>
      </w:r>
      <w:r w:rsidR="003F08E5">
        <w:t>tab. 73</w:t>
      </w:r>
      <w:r>
        <w:rPr>
          <w:lang w:eastAsia="cs-CZ"/>
        </w:rPr>
        <w:fldChar w:fldCharType="end"/>
      </w:r>
      <w:r>
        <w:rPr>
          <w:lang w:eastAsia="cs-CZ"/>
        </w:rPr>
        <w:t xml:space="preserve">, </w:t>
      </w:r>
      <w:r w:rsidR="00F65E21">
        <w:rPr>
          <w:lang w:eastAsia="cs-CZ"/>
        </w:rPr>
        <w:t xml:space="preserve">nejčastěji byly </w:t>
      </w:r>
      <w:r w:rsidR="00F65E21" w:rsidRPr="00F65E21">
        <w:rPr>
          <w:lang w:eastAsia="cs-CZ"/>
        </w:rPr>
        <w:t>kapacit</w:t>
      </w:r>
      <w:r w:rsidR="00F65E21">
        <w:rPr>
          <w:lang w:eastAsia="cs-CZ"/>
        </w:rPr>
        <w:t>y</w:t>
      </w:r>
      <w:r w:rsidR="00F65E21" w:rsidRPr="00F65E21">
        <w:rPr>
          <w:lang w:eastAsia="cs-CZ"/>
        </w:rPr>
        <w:t xml:space="preserve"> výzkumné a testovací infrastruktury</w:t>
      </w:r>
      <w:r w:rsidR="00F65E21">
        <w:rPr>
          <w:lang w:eastAsia="cs-CZ"/>
        </w:rPr>
        <w:t xml:space="preserve"> využívány pro realizaci měření, analýz a testů, přičemž byly využívány speciální metodiky a přístroje, kterými zřejmě dotazované subjekty nedisponují. Dotazovaní také často využívali služby v oblasti výpočetní techniky a ICT. Zde se jednalo například o software a programátorské služby, provedení speciální numerických výpočtů </w:t>
      </w:r>
      <w:r w:rsidR="00EF4809">
        <w:rPr>
          <w:lang w:eastAsia="cs-CZ"/>
        </w:rPr>
        <w:t xml:space="preserve">apod. </w:t>
      </w:r>
    </w:p>
    <w:p w:rsidR="00EF4809" w:rsidRDefault="00EF4809" w:rsidP="004B3F51">
      <w:pPr>
        <w:rPr>
          <w:lang w:eastAsia="cs-CZ"/>
        </w:rPr>
      </w:pPr>
      <w:r>
        <w:rPr>
          <w:lang w:eastAsia="cs-CZ"/>
        </w:rPr>
        <w:t xml:space="preserve">Dotazované </w:t>
      </w:r>
      <w:r w:rsidR="00FA29A8">
        <w:rPr>
          <w:lang w:eastAsia="cs-CZ"/>
        </w:rPr>
        <w:t xml:space="preserve">subjekty také často využívaly nebo hodlají využívat speciální prostory nebo zařízení, jako jsou zkušební polygony, střelnice, simulátory apod. Také byla využívána infrastruktura působící ve zdravotnictví (viz </w:t>
      </w:r>
      <w:r w:rsidR="00FA29A8">
        <w:rPr>
          <w:lang w:eastAsia="cs-CZ"/>
        </w:rPr>
        <w:fldChar w:fldCharType="begin"/>
      </w:r>
      <w:r w:rsidR="00FA29A8">
        <w:rPr>
          <w:lang w:eastAsia="cs-CZ"/>
        </w:rPr>
        <w:instrText xml:space="preserve"> REF  _Ref453837959 \* Lower \h  \* MERGEFORMAT </w:instrText>
      </w:r>
      <w:r w:rsidR="00FA29A8">
        <w:rPr>
          <w:lang w:eastAsia="cs-CZ"/>
        </w:rPr>
      </w:r>
      <w:r w:rsidR="00FA29A8">
        <w:rPr>
          <w:lang w:eastAsia="cs-CZ"/>
        </w:rPr>
        <w:fldChar w:fldCharType="separate"/>
      </w:r>
      <w:r w:rsidR="003F08E5">
        <w:t>tab. 73</w:t>
      </w:r>
      <w:r w:rsidR="00FA29A8">
        <w:rPr>
          <w:lang w:eastAsia="cs-CZ"/>
        </w:rPr>
        <w:fldChar w:fldCharType="end"/>
      </w:r>
      <w:r w:rsidR="00FA29A8">
        <w:rPr>
          <w:lang w:eastAsia="cs-CZ"/>
        </w:rPr>
        <w:t>).</w:t>
      </w:r>
    </w:p>
    <w:p w:rsidR="00F97497" w:rsidRDefault="00F97497" w:rsidP="004B3F51">
      <w:pPr>
        <w:rPr>
          <w:lang w:eastAsia="cs-CZ"/>
        </w:rPr>
      </w:pPr>
      <w:r>
        <w:rPr>
          <w:lang w:eastAsia="cs-CZ"/>
        </w:rPr>
        <w:t>Subjekty uvedené experty, kter</w:t>
      </w:r>
      <w:r w:rsidR="00523E00">
        <w:rPr>
          <w:lang w:eastAsia="cs-CZ"/>
        </w:rPr>
        <w:t>é</w:t>
      </w:r>
      <w:r>
        <w:rPr>
          <w:lang w:eastAsia="cs-CZ"/>
        </w:rPr>
        <w:t xml:space="preserve"> mají potenciál pro zapojení do zkušebnictví a obdobných aktivit s</w:t>
      </w:r>
      <w:r w:rsidR="00523E00">
        <w:rPr>
          <w:lang w:eastAsia="cs-CZ"/>
        </w:rPr>
        <w:t>ouvisejících s výsledky BV, byly</w:t>
      </w:r>
      <w:r>
        <w:rPr>
          <w:lang w:eastAsia="cs-CZ"/>
        </w:rPr>
        <w:t xml:space="preserve"> zařazeny do tabulek s přehledy subjektů působících v oblasti zkušebnictví, které jsou uvedeny v předcházejících kapitolách. V tabulkách nejsou zařazen</w:t>
      </w:r>
      <w:r w:rsidR="00413A27">
        <w:rPr>
          <w:lang w:eastAsia="cs-CZ"/>
        </w:rPr>
        <w:t>a</w:t>
      </w:r>
      <w:r>
        <w:rPr>
          <w:lang w:eastAsia="cs-CZ"/>
        </w:rPr>
        <w:t xml:space="preserve"> výzkumná pracoviště, kde byla využívána pouze jejich výzkumná infrastruktura a o</w:t>
      </w:r>
      <w:r w:rsidR="00413A27">
        <w:rPr>
          <w:lang w:eastAsia="cs-CZ"/>
        </w:rPr>
        <w:t>dbornosti výzkumných pracovníků a zahraniční subjekty.</w:t>
      </w:r>
    </w:p>
    <w:p w:rsidR="001D34AE" w:rsidRPr="001D34AE" w:rsidRDefault="001D34AE" w:rsidP="001D34AE">
      <w:pPr>
        <w:spacing w:before="0" w:after="0"/>
        <w:rPr>
          <w:sz w:val="16"/>
          <w:lang w:eastAsia="cs-CZ"/>
        </w:rPr>
      </w:pPr>
    </w:p>
    <w:p w:rsidR="003A2F99" w:rsidRDefault="003A2F99" w:rsidP="003A2F99">
      <w:pPr>
        <w:pStyle w:val="Titulek"/>
        <w:keepNext/>
      </w:pPr>
      <w:bookmarkStart w:id="264" w:name="_Ref453837959"/>
      <w:r>
        <w:t xml:space="preserve">Tab. </w:t>
      </w:r>
      <w:r w:rsidR="00990E2D">
        <w:fldChar w:fldCharType="begin"/>
      </w:r>
      <w:r w:rsidR="00990E2D">
        <w:instrText xml:space="preserve"> SEQ Tab. \* ARABIC </w:instrText>
      </w:r>
      <w:r w:rsidR="00990E2D">
        <w:fldChar w:fldCharType="separate"/>
      </w:r>
      <w:r w:rsidR="003F08E5">
        <w:rPr>
          <w:noProof/>
        </w:rPr>
        <w:t>73</w:t>
      </w:r>
      <w:r w:rsidR="00990E2D">
        <w:rPr>
          <w:noProof/>
        </w:rPr>
        <w:fldChar w:fldCharType="end"/>
      </w:r>
      <w:bookmarkEnd w:id="264"/>
      <w:r>
        <w:tab/>
        <w:t>Využívání specializovaných kapacit výzkumné a zkušební infrastruktury. Zdroj: odpovědi v dotaznících</w:t>
      </w:r>
    </w:p>
    <w:tbl>
      <w:tblPr>
        <w:tblW w:w="9371" w:type="dxa"/>
        <w:tblInd w:w="55" w:type="dxa"/>
        <w:tblCellMar>
          <w:left w:w="70" w:type="dxa"/>
          <w:right w:w="70" w:type="dxa"/>
        </w:tblCellMar>
        <w:tblLook w:val="04A0" w:firstRow="1" w:lastRow="0" w:firstColumn="1" w:lastColumn="0" w:noHBand="0" w:noVBand="1"/>
      </w:tblPr>
      <w:tblGrid>
        <w:gridCol w:w="4977"/>
        <w:gridCol w:w="4394"/>
      </w:tblGrid>
      <w:tr w:rsidR="00FF755C" w:rsidRPr="00FF755C" w:rsidTr="00F65E21">
        <w:trPr>
          <w:trHeight w:val="282"/>
        </w:trPr>
        <w:tc>
          <w:tcPr>
            <w:tcW w:w="4977" w:type="dxa"/>
            <w:tcBorders>
              <w:top w:val="single" w:sz="8" w:space="0" w:color="auto"/>
              <w:left w:val="nil"/>
              <w:bottom w:val="single" w:sz="8" w:space="0" w:color="auto"/>
              <w:right w:val="nil"/>
            </w:tcBorders>
            <w:shd w:val="clear" w:color="000000" w:fill="D9D9D9"/>
            <w:vAlign w:val="center"/>
            <w:hideMark/>
          </w:tcPr>
          <w:p w:rsidR="00FF755C" w:rsidRPr="00FF755C" w:rsidRDefault="00FF755C" w:rsidP="00FB3E4C">
            <w:pPr>
              <w:spacing w:before="80" w:after="80"/>
              <w:rPr>
                <w:rFonts w:ascii="Calibri" w:eastAsia="Times New Roman" w:hAnsi="Calibri" w:cs="Times New Roman"/>
                <w:b/>
                <w:bCs/>
                <w:color w:val="000000"/>
                <w:sz w:val="20"/>
                <w:szCs w:val="20"/>
                <w:lang w:eastAsia="cs-CZ"/>
              </w:rPr>
            </w:pPr>
            <w:r w:rsidRPr="00FF755C">
              <w:rPr>
                <w:rFonts w:ascii="Calibri" w:eastAsia="Times New Roman" w:hAnsi="Calibri" w:cs="Times New Roman"/>
                <w:b/>
                <w:bCs/>
                <w:color w:val="000000"/>
                <w:sz w:val="20"/>
                <w:szCs w:val="20"/>
                <w:lang w:eastAsia="cs-CZ"/>
              </w:rPr>
              <w:t xml:space="preserve">Předmět využití </w:t>
            </w:r>
          </w:p>
        </w:tc>
        <w:tc>
          <w:tcPr>
            <w:tcW w:w="4394" w:type="dxa"/>
            <w:tcBorders>
              <w:top w:val="single" w:sz="8" w:space="0" w:color="auto"/>
              <w:left w:val="nil"/>
              <w:bottom w:val="single" w:sz="8" w:space="0" w:color="auto"/>
              <w:right w:val="nil"/>
            </w:tcBorders>
            <w:shd w:val="clear" w:color="000000" w:fill="D9D9D9"/>
            <w:vAlign w:val="center"/>
            <w:hideMark/>
          </w:tcPr>
          <w:p w:rsidR="00FF755C" w:rsidRPr="00FF755C" w:rsidRDefault="00FF755C" w:rsidP="00FB3E4C">
            <w:pPr>
              <w:spacing w:before="80" w:after="80"/>
              <w:rPr>
                <w:rFonts w:ascii="Calibri" w:eastAsia="Times New Roman" w:hAnsi="Calibri" w:cs="Times New Roman"/>
                <w:b/>
                <w:bCs/>
                <w:color w:val="000000"/>
                <w:sz w:val="20"/>
                <w:szCs w:val="20"/>
                <w:lang w:eastAsia="cs-CZ"/>
              </w:rPr>
            </w:pPr>
            <w:r w:rsidRPr="00FF755C">
              <w:rPr>
                <w:rFonts w:ascii="Calibri" w:eastAsia="Times New Roman" w:hAnsi="Calibri" w:cs="Times New Roman"/>
                <w:b/>
                <w:bCs/>
                <w:color w:val="000000"/>
                <w:sz w:val="20"/>
                <w:szCs w:val="20"/>
                <w:lang w:eastAsia="cs-CZ"/>
              </w:rPr>
              <w:t>Instituce disponující požadovanou kapacitou</w:t>
            </w:r>
          </w:p>
        </w:tc>
      </w:tr>
      <w:tr w:rsidR="00FF755C" w:rsidRPr="00FB3E4C" w:rsidTr="00F65E21">
        <w:trPr>
          <w:trHeight w:val="282"/>
        </w:trPr>
        <w:tc>
          <w:tcPr>
            <w:tcW w:w="4977" w:type="dxa"/>
            <w:tcBorders>
              <w:top w:val="single" w:sz="8" w:space="0" w:color="auto"/>
              <w:left w:val="nil"/>
              <w:bottom w:val="single" w:sz="4" w:space="0" w:color="auto"/>
              <w:right w:val="nil"/>
            </w:tcBorders>
            <w:shd w:val="clear" w:color="auto" w:fill="F2F2F2" w:themeFill="background1" w:themeFillShade="F2"/>
            <w:hideMark/>
          </w:tcPr>
          <w:p w:rsidR="00FF755C" w:rsidRPr="00FB3E4C" w:rsidRDefault="00FF755C" w:rsidP="00FF755C">
            <w:pPr>
              <w:spacing w:before="0" w:after="0"/>
              <w:rPr>
                <w:rFonts w:ascii="Calibri" w:eastAsia="Times New Roman" w:hAnsi="Calibri" w:cs="Times New Roman"/>
                <w:b/>
                <w:color w:val="000000"/>
                <w:sz w:val="20"/>
                <w:szCs w:val="20"/>
                <w:lang w:eastAsia="cs-CZ"/>
              </w:rPr>
            </w:pPr>
            <w:r w:rsidRPr="00FB3E4C">
              <w:rPr>
                <w:rFonts w:ascii="Calibri" w:eastAsia="Times New Roman" w:hAnsi="Calibri" w:cs="Times New Roman"/>
                <w:b/>
                <w:color w:val="000000"/>
                <w:sz w:val="20"/>
                <w:szCs w:val="20"/>
                <w:lang w:eastAsia="cs-CZ"/>
              </w:rPr>
              <w:t>Realizace měření, analýz, testů, certifikací</w:t>
            </w:r>
          </w:p>
        </w:tc>
        <w:tc>
          <w:tcPr>
            <w:tcW w:w="4394" w:type="dxa"/>
            <w:tcBorders>
              <w:top w:val="single" w:sz="8" w:space="0" w:color="auto"/>
              <w:left w:val="nil"/>
              <w:bottom w:val="single" w:sz="4" w:space="0" w:color="auto"/>
              <w:right w:val="nil"/>
            </w:tcBorders>
            <w:shd w:val="clear" w:color="auto" w:fill="F2F2F2" w:themeFill="background1" w:themeFillShade="F2"/>
            <w:hideMark/>
          </w:tcPr>
          <w:p w:rsidR="00FF755C" w:rsidRPr="00FB3E4C" w:rsidRDefault="00FF755C" w:rsidP="00FF755C">
            <w:pPr>
              <w:spacing w:before="0" w:after="0"/>
              <w:rPr>
                <w:rFonts w:ascii="Calibri" w:eastAsia="Times New Roman" w:hAnsi="Calibri" w:cs="Times New Roman"/>
                <w:b/>
                <w:color w:val="000000"/>
                <w:sz w:val="20"/>
                <w:szCs w:val="20"/>
                <w:lang w:eastAsia="cs-CZ"/>
              </w:rPr>
            </w:pPr>
            <w:r w:rsidRPr="00FB3E4C">
              <w:rPr>
                <w:rFonts w:ascii="Calibri" w:eastAsia="Times New Roman" w:hAnsi="Calibri" w:cs="Times New Roman"/>
                <w:b/>
                <w:color w:val="000000"/>
                <w:sz w:val="20"/>
                <w:szCs w:val="20"/>
                <w:lang w:eastAsia="cs-CZ"/>
              </w:rPr>
              <w:t> </w:t>
            </w:r>
          </w:p>
        </w:tc>
      </w:tr>
      <w:tr w:rsidR="00FF755C" w:rsidRPr="00FF755C" w:rsidTr="00F65E21">
        <w:trPr>
          <w:trHeight w:val="282"/>
        </w:trPr>
        <w:tc>
          <w:tcPr>
            <w:tcW w:w="4977" w:type="dxa"/>
            <w:tcBorders>
              <w:top w:val="single" w:sz="4" w:space="0" w:color="auto"/>
              <w:left w:val="nil"/>
              <w:bottom w:val="nil"/>
              <w:right w:val="nil"/>
            </w:tcBorders>
            <w:shd w:val="clear" w:color="auto" w:fill="auto"/>
            <w:hideMark/>
          </w:tcPr>
          <w:p w:rsidR="00FF755C" w:rsidRPr="00FF755C" w:rsidRDefault="00FF755C" w:rsidP="00FF755C">
            <w:pPr>
              <w:spacing w:before="0" w:after="0"/>
              <w:rPr>
                <w:rFonts w:ascii="Calibri" w:eastAsia="Times New Roman" w:hAnsi="Calibri" w:cs="Times New Roman"/>
                <w:color w:val="000000"/>
                <w:sz w:val="20"/>
                <w:szCs w:val="20"/>
                <w:lang w:eastAsia="cs-CZ"/>
              </w:rPr>
            </w:pPr>
            <w:r w:rsidRPr="00FF755C">
              <w:rPr>
                <w:rFonts w:ascii="Calibri" w:eastAsia="Times New Roman" w:hAnsi="Calibri" w:cs="Times New Roman"/>
                <w:color w:val="000000"/>
                <w:sz w:val="20"/>
                <w:szCs w:val="20"/>
                <w:lang w:eastAsia="cs-CZ"/>
              </w:rPr>
              <w:t>Analytické služby</w:t>
            </w:r>
          </w:p>
        </w:tc>
        <w:tc>
          <w:tcPr>
            <w:tcW w:w="4394" w:type="dxa"/>
            <w:tcBorders>
              <w:top w:val="single" w:sz="4" w:space="0" w:color="auto"/>
              <w:left w:val="nil"/>
              <w:bottom w:val="nil"/>
              <w:right w:val="nil"/>
            </w:tcBorders>
            <w:shd w:val="clear" w:color="auto" w:fill="auto"/>
            <w:hideMark/>
          </w:tcPr>
          <w:p w:rsidR="00FF755C" w:rsidRPr="00FF755C" w:rsidRDefault="00FF755C" w:rsidP="00FF755C">
            <w:pPr>
              <w:spacing w:before="0" w:after="0"/>
              <w:rPr>
                <w:rFonts w:ascii="Calibri" w:eastAsia="Times New Roman" w:hAnsi="Calibri" w:cs="Times New Roman"/>
                <w:color w:val="000000"/>
                <w:sz w:val="20"/>
                <w:szCs w:val="20"/>
                <w:lang w:eastAsia="cs-CZ"/>
              </w:rPr>
            </w:pPr>
            <w:r w:rsidRPr="00FF755C">
              <w:rPr>
                <w:rFonts w:ascii="Calibri" w:eastAsia="Times New Roman" w:hAnsi="Calibri" w:cs="Times New Roman"/>
                <w:color w:val="000000"/>
                <w:sz w:val="20"/>
                <w:szCs w:val="20"/>
                <w:lang w:eastAsia="cs-CZ"/>
              </w:rPr>
              <w:t>Quinta-Analytica</w:t>
            </w:r>
          </w:p>
        </w:tc>
      </w:tr>
      <w:tr w:rsidR="00FF755C" w:rsidRPr="00FF755C" w:rsidTr="00F65E21">
        <w:trPr>
          <w:trHeight w:val="282"/>
        </w:trPr>
        <w:tc>
          <w:tcPr>
            <w:tcW w:w="4977" w:type="dxa"/>
            <w:tcBorders>
              <w:top w:val="nil"/>
              <w:left w:val="nil"/>
              <w:bottom w:val="nil"/>
              <w:right w:val="nil"/>
            </w:tcBorders>
            <w:shd w:val="clear" w:color="auto" w:fill="auto"/>
            <w:hideMark/>
          </w:tcPr>
          <w:p w:rsidR="00FF755C" w:rsidRPr="00FF755C" w:rsidRDefault="00FF755C" w:rsidP="00FF755C">
            <w:pPr>
              <w:spacing w:before="0" w:after="0"/>
              <w:rPr>
                <w:rFonts w:ascii="Calibri" w:eastAsia="Times New Roman" w:hAnsi="Calibri" w:cs="Times New Roman"/>
                <w:color w:val="000000"/>
                <w:sz w:val="20"/>
                <w:szCs w:val="20"/>
                <w:lang w:eastAsia="cs-CZ"/>
              </w:rPr>
            </w:pPr>
            <w:r w:rsidRPr="00FF755C">
              <w:rPr>
                <w:rFonts w:ascii="Calibri" w:eastAsia="Times New Roman" w:hAnsi="Calibri" w:cs="Times New Roman"/>
                <w:color w:val="000000"/>
                <w:sz w:val="20"/>
                <w:szCs w:val="20"/>
                <w:lang w:eastAsia="cs-CZ"/>
              </w:rPr>
              <w:t>Testy</w:t>
            </w:r>
          </w:p>
        </w:tc>
        <w:tc>
          <w:tcPr>
            <w:tcW w:w="4394" w:type="dxa"/>
            <w:tcBorders>
              <w:top w:val="nil"/>
              <w:left w:val="nil"/>
              <w:bottom w:val="nil"/>
              <w:right w:val="nil"/>
            </w:tcBorders>
            <w:shd w:val="clear" w:color="auto" w:fill="auto"/>
            <w:hideMark/>
          </w:tcPr>
          <w:p w:rsidR="00FF755C" w:rsidRPr="00FF755C" w:rsidRDefault="00FF755C" w:rsidP="00FF755C">
            <w:pPr>
              <w:spacing w:before="0" w:after="0"/>
              <w:rPr>
                <w:rFonts w:ascii="Calibri" w:eastAsia="Times New Roman" w:hAnsi="Calibri" w:cs="Times New Roman"/>
                <w:color w:val="000000"/>
                <w:sz w:val="20"/>
                <w:szCs w:val="20"/>
                <w:lang w:eastAsia="cs-CZ"/>
              </w:rPr>
            </w:pPr>
            <w:r w:rsidRPr="00FF755C">
              <w:rPr>
                <w:rFonts w:ascii="Calibri" w:eastAsia="Times New Roman" w:hAnsi="Calibri" w:cs="Times New Roman"/>
                <w:color w:val="000000"/>
                <w:sz w:val="20"/>
                <w:szCs w:val="20"/>
                <w:lang w:eastAsia="cs-CZ"/>
              </w:rPr>
              <w:t>ÚTEF ČVUT Praha</w:t>
            </w:r>
          </w:p>
        </w:tc>
      </w:tr>
      <w:tr w:rsidR="00FF755C" w:rsidRPr="00FF755C" w:rsidTr="00F65E21">
        <w:trPr>
          <w:trHeight w:val="282"/>
        </w:trPr>
        <w:tc>
          <w:tcPr>
            <w:tcW w:w="4977" w:type="dxa"/>
            <w:tcBorders>
              <w:top w:val="nil"/>
              <w:left w:val="nil"/>
              <w:bottom w:val="nil"/>
              <w:right w:val="nil"/>
            </w:tcBorders>
            <w:shd w:val="clear" w:color="auto" w:fill="auto"/>
            <w:hideMark/>
          </w:tcPr>
          <w:p w:rsidR="00FF755C" w:rsidRPr="00FF755C" w:rsidRDefault="00FF755C" w:rsidP="00FF755C">
            <w:pPr>
              <w:spacing w:before="0" w:after="0"/>
              <w:rPr>
                <w:rFonts w:ascii="Calibri" w:eastAsia="Times New Roman" w:hAnsi="Calibri" w:cs="Times New Roman"/>
                <w:color w:val="000000"/>
                <w:sz w:val="20"/>
                <w:szCs w:val="20"/>
                <w:lang w:eastAsia="cs-CZ"/>
              </w:rPr>
            </w:pPr>
            <w:r w:rsidRPr="00FF755C">
              <w:rPr>
                <w:rFonts w:ascii="Calibri" w:eastAsia="Times New Roman" w:hAnsi="Calibri" w:cs="Times New Roman"/>
                <w:color w:val="000000"/>
                <w:sz w:val="20"/>
                <w:szCs w:val="20"/>
                <w:lang w:eastAsia="cs-CZ"/>
              </w:rPr>
              <w:t>Testy</w:t>
            </w:r>
          </w:p>
        </w:tc>
        <w:tc>
          <w:tcPr>
            <w:tcW w:w="4394" w:type="dxa"/>
            <w:tcBorders>
              <w:top w:val="nil"/>
              <w:left w:val="nil"/>
              <w:bottom w:val="nil"/>
              <w:right w:val="nil"/>
            </w:tcBorders>
            <w:shd w:val="clear" w:color="auto" w:fill="auto"/>
            <w:hideMark/>
          </w:tcPr>
          <w:p w:rsidR="00FF755C" w:rsidRPr="00FF755C" w:rsidRDefault="00FF755C" w:rsidP="00FF755C">
            <w:pPr>
              <w:spacing w:before="0" w:after="0"/>
              <w:rPr>
                <w:rFonts w:ascii="Calibri" w:eastAsia="Times New Roman" w:hAnsi="Calibri" w:cs="Times New Roman"/>
                <w:color w:val="000000"/>
                <w:sz w:val="20"/>
                <w:szCs w:val="20"/>
                <w:lang w:eastAsia="cs-CZ"/>
              </w:rPr>
            </w:pPr>
            <w:r w:rsidRPr="00FF755C">
              <w:rPr>
                <w:rFonts w:ascii="Calibri" w:eastAsia="Times New Roman" w:hAnsi="Calibri" w:cs="Times New Roman"/>
                <w:color w:val="000000"/>
                <w:sz w:val="20"/>
                <w:szCs w:val="20"/>
                <w:lang w:eastAsia="cs-CZ"/>
              </w:rPr>
              <w:t>MFF UK Praha</w:t>
            </w:r>
          </w:p>
        </w:tc>
      </w:tr>
      <w:tr w:rsidR="00FF755C" w:rsidRPr="00FF755C" w:rsidTr="00F65E21">
        <w:trPr>
          <w:trHeight w:val="282"/>
        </w:trPr>
        <w:tc>
          <w:tcPr>
            <w:tcW w:w="4977" w:type="dxa"/>
            <w:tcBorders>
              <w:top w:val="nil"/>
              <w:left w:val="nil"/>
              <w:bottom w:val="nil"/>
              <w:right w:val="nil"/>
            </w:tcBorders>
            <w:shd w:val="clear" w:color="auto" w:fill="auto"/>
            <w:noWrap/>
            <w:hideMark/>
          </w:tcPr>
          <w:p w:rsidR="00FF755C" w:rsidRPr="00FF755C" w:rsidRDefault="00FF755C" w:rsidP="00FF755C">
            <w:pPr>
              <w:spacing w:before="0" w:after="0"/>
              <w:rPr>
                <w:rFonts w:ascii="Calibri" w:eastAsia="Times New Roman" w:hAnsi="Calibri" w:cs="Times New Roman"/>
                <w:color w:val="000000"/>
                <w:sz w:val="20"/>
                <w:szCs w:val="20"/>
                <w:lang w:eastAsia="cs-CZ"/>
              </w:rPr>
            </w:pPr>
            <w:r w:rsidRPr="00FF755C">
              <w:rPr>
                <w:rFonts w:ascii="Calibri" w:eastAsia="Times New Roman" w:hAnsi="Calibri" w:cs="Times New Roman"/>
                <w:color w:val="000000"/>
                <w:sz w:val="20"/>
                <w:szCs w:val="20"/>
                <w:lang w:eastAsia="cs-CZ"/>
              </w:rPr>
              <w:t>Měření aktivity radionuklidů</w:t>
            </w:r>
          </w:p>
        </w:tc>
        <w:tc>
          <w:tcPr>
            <w:tcW w:w="4394" w:type="dxa"/>
            <w:tcBorders>
              <w:top w:val="nil"/>
              <w:left w:val="nil"/>
              <w:bottom w:val="nil"/>
              <w:right w:val="nil"/>
            </w:tcBorders>
            <w:shd w:val="clear" w:color="auto" w:fill="auto"/>
            <w:noWrap/>
            <w:hideMark/>
          </w:tcPr>
          <w:p w:rsidR="00FF755C" w:rsidRPr="00FF755C" w:rsidRDefault="00FF755C" w:rsidP="00FF755C">
            <w:pPr>
              <w:spacing w:before="0" w:after="0"/>
              <w:rPr>
                <w:rFonts w:ascii="Calibri" w:eastAsia="Times New Roman" w:hAnsi="Calibri" w:cs="Times New Roman"/>
                <w:color w:val="000000"/>
                <w:sz w:val="20"/>
                <w:szCs w:val="20"/>
                <w:lang w:eastAsia="cs-CZ"/>
              </w:rPr>
            </w:pPr>
            <w:r w:rsidRPr="00FF755C">
              <w:rPr>
                <w:rFonts w:ascii="Calibri" w:eastAsia="Times New Roman" w:hAnsi="Calibri" w:cs="Times New Roman"/>
                <w:color w:val="000000"/>
                <w:sz w:val="20"/>
                <w:szCs w:val="20"/>
                <w:lang w:eastAsia="cs-CZ"/>
              </w:rPr>
              <w:t>Státní ústav radiační ochrany, v.v.i.</w:t>
            </w:r>
          </w:p>
        </w:tc>
      </w:tr>
      <w:tr w:rsidR="00FF755C" w:rsidRPr="00FF755C" w:rsidTr="00F65E21">
        <w:trPr>
          <w:trHeight w:val="282"/>
        </w:trPr>
        <w:tc>
          <w:tcPr>
            <w:tcW w:w="4977" w:type="dxa"/>
            <w:tcBorders>
              <w:top w:val="nil"/>
              <w:left w:val="nil"/>
              <w:bottom w:val="nil"/>
              <w:right w:val="nil"/>
            </w:tcBorders>
            <w:shd w:val="clear" w:color="auto" w:fill="auto"/>
            <w:hideMark/>
          </w:tcPr>
          <w:p w:rsidR="00FF755C" w:rsidRPr="00FF755C" w:rsidRDefault="00FF755C" w:rsidP="00FF755C">
            <w:pPr>
              <w:spacing w:before="0" w:after="0"/>
              <w:rPr>
                <w:rFonts w:ascii="Calibri" w:eastAsia="Times New Roman" w:hAnsi="Calibri" w:cs="Times New Roman"/>
                <w:color w:val="000000"/>
                <w:sz w:val="20"/>
                <w:szCs w:val="20"/>
                <w:lang w:eastAsia="cs-CZ"/>
              </w:rPr>
            </w:pPr>
            <w:r w:rsidRPr="00FF755C">
              <w:rPr>
                <w:rFonts w:ascii="Calibri" w:eastAsia="Times New Roman" w:hAnsi="Calibri" w:cs="Times New Roman"/>
                <w:color w:val="000000"/>
                <w:sz w:val="20"/>
                <w:szCs w:val="20"/>
                <w:lang w:eastAsia="cs-CZ"/>
              </w:rPr>
              <w:t>Měření distribuce aerosolů</w:t>
            </w:r>
          </w:p>
        </w:tc>
        <w:tc>
          <w:tcPr>
            <w:tcW w:w="4394" w:type="dxa"/>
            <w:tcBorders>
              <w:top w:val="nil"/>
              <w:left w:val="nil"/>
              <w:bottom w:val="nil"/>
              <w:right w:val="nil"/>
            </w:tcBorders>
            <w:shd w:val="clear" w:color="auto" w:fill="auto"/>
            <w:hideMark/>
          </w:tcPr>
          <w:p w:rsidR="00FF755C" w:rsidRPr="00FF755C" w:rsidRDefault="00FF755C" w:rsidP="00FF755C">
            <w:pPr>
              <w:spacing w:before="0" w:after="0"/>
              <w:rPr>
                <w:rFonts w:ascii="Calibri" w:eastAsia="Times New Roman" w:hAnsi="Calibri" w:cs="Times New Roman"/>
                <w:color w:val="000000"/>
                <w:sz w:val="20"/>
                <w:szCs w:val="20"/>
                <w:lang w:eastAsia="cs-CZ"/>
              </w:rPr>
            </w:pPr>
            <w:r w:rsidRPr="00FF755C">
              <w:rPr>
                <w:rFonts w:ascii="Calibri" w:eastAsia="Times New Roman" w:hAnsi="Calibri" w:cs="Times New Roman"/>
                <w:color w:val="000000"/>
                <w:sz w:val="20"/>
                <w:szCs w:val="20"/>
                <w:lang w:eastAsia="cs-CZ"/>
              </w:rPr>
              <w:t>ČVUT Praha</w:t>
            </w:r>
          </w:p>
        </w:tc>
      </w:tr>
      <w:tr w:rsidR="00FF755C" w:rsidRPr="00FF755C" w:rsidTr="00F65E21">
        <w:trPr>
          <w:trHeight w:val="282"/>
        </w:trPr>
        <w:tc>
          <w:tcPr>
            <w:tcW w:w="4977" w:type="dxa"/>
            <w:tcBorders>
              <w:top w:val="nil"/>
              <w:left w:val="nil"/>
              <w:bottom w:val="nil"/>
              <w:right w:val="nil"/>
            </w:tcBorders>
            <w:shd w:val="clear" w:color="auto" w:fill="auto"/>
            <w:hideMark/>
          </w:tcPr>
          <w:p w:rsidR="00FF755C" w:rsidRPr="00FF755C" w:rsidRDefault="00FF755C" w:rsidP="00FF755C">
            <w:pPr>
              <w:spacing w:before="0" w:after="0"/>
              <w:rPr>
                <w:rFonts w:ascii="Calibri" w:eastAsia="Times New Roman" w:hAnsi="Calibri" w:cs="Times New Roman"/>
                <w:color w:val="000000"/>
                <w:sz w:val="20"/>
                <w:szCs w:val="20"/>
                <w:lang w:eastAsia="cs-CZ"/>
              </w:rPr>
            </w:pPr>
            <w:r w:rsidRPr="00FF755C">
              <w:rPr>
                <w:rFonts w:ascii="Calibri" w:eastAsia="Times New Roman" w:hAnsi="Calibri" w:cs="Times New Roman"/>
                <w:color w:val="000000"/>
                <w:sz w:val="20"/>
                <w:szCs w:val="20"/>
                <w:lang w:eastAsia="cs-CZ"/>
              </w:rPr>
              <w:t>Měření v aerodynamickém tunelu</w:t>
            </w:r>
          </w:p>
        </w:tc>
        <w:tc>
          <w:tcPr>
            <w:tcW w:w="4394" w:type="dxa"/>
            <w:tcBorders>
              <w:top w:val="nil"/>
              <w:left w:val="nil"/>
              <w:bottom w:val="nil"/>
              <w:right w:val="nil"/>
            </w:tcBorders>
            <w:shd w:val="clear" w:color="auto" w:fill="auto"/>
            <w:hideMark/>
          </w:tcPr>
          <w:p w:rsidR="00FF755C" w:rsidRPr="00FF755C" w:rsidRDefault="00FF755C" w:rsidP="00FF755C">
            <w:pPr>
              <w:spacing w:before="0" w:after="0"/>
              <w:rPr>
                <w:rFonts w:ascii="Calibri" w:eastAsia="Times New Roman" w:hAnsi="Calibri" w:cs="Times New Roman"/>
                <w:color w:val="000000"/>
                <w:sz w:val="20"/>
                <w:szCs w:val="20"/>
                <w:lang w:eastAsia="cs-CZ"/>
              </w:rPr>
            </w:pPr>
            <w:r w:rsidRPr="00FF755C">
              <w:rPr>
                <w:rFonts w:ascii="Calibri" w:eastAsia="Times New Roman" w:hAnsi="Calibri" w:cs="Times New Roman"/>
                <w:color w:val="000000"/>
                <w:sz w:val="20"/>
                <w:szCs w:val="20"/>
                <w:lang w:eastAsia="cs-CZ"/>
              </w:rPr>
              <w:t>Ústav termomechaniky AV ČR</w:t>
            </w:r>
          </w:p>
        </w:tc>
      </w:tr>
      <w:tr w:rsidR="00FF755C" w:rsidRPr="00FF755C" w:rsidTr="00F65E21">
        <w:trPr>
          <w:trHeight w:val="282"/>
        </w:trPr>
        <w:tc>
          <w:tcPr>
            <w:tcW w:w="4977" w:type="dxa"/>
            <w:tcBorders>
              <w:top w:val="nil"/>
              <w:left w:val="nil"/>
              <w:bottom w:val="nil"/>
              <w:right w:val="nil"/>
            </w:tcBorders>
            <w:shd w:val="clear" w:color="auto" w:fill="auto"/>
            <w:noWrap/>
            <w:hideMark/>
          </w:tcPr>
          <w:p w:rsidR="00FF755C" w:rsidRPr="00FF755C" w:rsidRDefault="00FF755C" w:rsidP="00FF755C">
            <w:pPr>
              <w:spacing w:before="0" w:after="0"/>
              <w:rPr>
                <w:rFonts w:ascii="Calibri" w:eastAsia="Times New Roman" w:hAnsi="Calibri" w:cs="Times New Roman"/>
                <w:color w:val="000000"/>
                <w:sz w:val="20"/>
                <w:szCs w:val="20"/>
                <w:lang w:eastAsia="cs-CZ"/>
              </w:rPr>
            </w:pPr>
            <w:r w:rsidRPr="00FF755C">
              <w:rPr>
                <w:rFonts w:ascii="Calibri" w:eastAsia="Times New Roman" w:hAnsi="Calibri" w:cs="Times New Roman"/>
                <w:color w:val="000000"/>
                <w:sz w:val="20"/>
                <w:szCs w:val="20"/>
                <w:lang w:eastAsia="cs-CZ"/>
              </w:rPr>
              <w:t>Magnetické rezonance a EEG</w:t>
            </w:r>
          </w:p>
        </w:tc>
        <w:tc>
          <w:tcPr>
            <w:tcW w:w="4394" w:type="dxa"/>
            <w:tcBorders>
              <w:top w:val="nil"/>
              <w:left w:val="nil"/>
              <w:bottom w:val="nil"/>
              <w:right w:val="nil"/>
            </w:tcBorders>
            <w:shd w:val="clear" w:color="auto" w:fill="auto"/>
            <w:noWrap/>
            <w:hideMark/>
          </w:tcPr>
          <w:p w:rsidR="00FF755C" w:rsidRPr="00FF755C" w:rsidRDefault="00FF755C" w:rsidP="00FF755C">
            <w:pPr>
              <w:spacing w:before="0" w:after="0"/>
              <w:rPr>
                <w:rFonts w:ascii="Calibri" w:eastAsia="Times New Roman" w:hAnsi="Calibri" w:cs="Times New Roman"/>
                <w:color w:val="000000"/>
                <w:sz w:val="20"/>
                <w:szCs w:val="20"/>
                <w:lang w:eastAsia="cs-CZ"/>
              </w:rPr>
            </w:pPr>
            <w:r w:rsidRPr="00FF755C">
              <w:rPr>
                <w:rFonts w:ascii="Calibri" w:eastAsia="Times New Roman" w:hAnsi="Calibri" w:cs="Times New Roman"/>
                <w:color w:val="000000"/>
                <w:sz w:val="20"/>
                <w:szCs w:val="20"/>
                <w:lang w:eastAsia="cs-CZ"/>
              </w:rPr>
              <w:t>Národní ústav duševního zdraví</w:t>
            </w:r>
          </w:p>
        </w:tc>
      </w:tr>
      <w:tr w:rsidR="00FF755C" w:rsidRPr="00FF755C" w:rsidTr="00F65E21">
        <w:trPr>
          <w:trHeight w:val="282"/>
        </w:trPr>
        <w:tc>
          <w:tcPr>
            <w:tcW w:w="4977" w:type="dxa"/>
            <w:tcBorders>
              <w:top w:val="nil"/>
              <w:left w:val="nil"/>
              <w:bottom w:val="nil"/>
              <w:right w:val="nil"/>
            </w:tcBorders>
            <w:shd w:val="clear" w:color="auto" w:fill="auto"/>
            <w:hideMark/>
          </w:tcPr>
          <w:p w:rsidR="00FF755C" w:rsidRPr="00FF755C" w:rsidRDefault="00FF755C" w:rsidP="00FF755C">
            <w:pPr>
              <w:spacing w:before="0" w:after="0"/>
              <w:rPr>
                <w:rFonts w:ascii="Calibri" w:eastAsia="Times New Roman" w:hAnsi="Calibri" w:cs="Times New Roman"/>
                <w:color w:val="000000"/>
                <w:sz w:val="20"/>
                <w:szCs w:val="20"/>
                <w:lang w:eastAsia="cs-CZ"/>
              </w:rPr>
            </w:pPr>
            <w:r w:rsidRPr="00FF755C">
              <w:rPr>
                <w:rFonts w:ascii="Calibri" w:eastAsia="Times New Roman" w:hAnsi="Calibri" w:cs="Times New Roman"/>
                <w:color w:val="000000"/>
                <w:sz w:val="20"/>
                <w:szCs w:val="20"/>
                <w:lang w:eastAsia="cs-CZ"/>
              </w:rPr>
              <w:t>MALDI (spektrometrie), mikrobiologie</w:t>
            </w:r>
          </w:p>
        </w:tc>
        <w:tc>
          <w:tcPr>
            <w:tcW w:w="4394" w:type="dxa"/>
            <w:tcBorders>
              <w:top w:val="nil"/>
              <w:left w:val="nil"/>
              <w:bottom w:val="nil"/>
              <w:right w:val="nil"/>
            </w:tcBorders>
            <w:shd w:val="clear" w:color="auto" w:fill="auto"/>
            <w:hideMark/>
          </w:tcPr>
          <w:p w:rsidR="00FF755C" w:rsidRPr="00FF755C" w:rsidRDefault="00FF755C" w:rsidP="00FF755C">
            <w:pPr>
              <w:spacing w:before="0" w:after="0"/>
              <w:rPr>
                <w:rFonts w:ascii="Calibri" w:eastAsia="Times New Roman" w:hAnsi="Calibri" w:cs="Times New Roman"/>
                <w:color w:val="000000"/>
                <w:sz w:val="20"/>
                <w:szCs w:val="20"/>
                <w:lang w:eastAsia="cs-CZ"/>
              </w:rPr>
            </w:pPr>
            <w:r w:rsidRPr="00FF755C">
              <w:rPr>
                <w:rFonts w:ascii="Calibri" w:eastAsia="Times New Roman" w:hAnsi="Calibri" w:cs="Times New Roman"/>
                <w:color w:val="000000"/>
                <w:sz w:val="20"/>
                <w:szCs w:val="20"/>
                <w:lang w:eastAsia="cs-CZ"/>
              </w:rPr>
              <w:t>MUNI Brno</w:t>
            </w:r>
          </w:p>
        </w:tc>
      </w:tr>
      <w:tr w:rsidR="00FF755C" w:rsidRPr="00FF755C" w:rsidTr="00F65E21">
        <w:trPr>
          <w:trHeight w:val="282"/>
        </w:trPr>
        <w:tc>
          <w:tcPr>
            <w:tcW w:w="4977" w:type="dxa"/>
            <w:tcBorders>
              <w:top w:val="nil"/>
              <w:left w:val="nil"/>
              <w:bottom w:val="single" w:sz="4" w:space="0" w:color="auto"/>
              <w:right w:val="nil"/>
            </w:tcBorders>
            <w:shd w:val="clear" w:color="auto" w:fill="auto"/>
            <w:noWrap/>
            <w:hideMark/>
          </w:tcPr>
          <w:p w:rsidR="00FF755C" w:rsidRPr="00FF755C" w:rsidRDefault="00FF755C" w:rsidP="00FF755C">
            <w:pPr>
              <w:spacing w:before="0" w:after="0"/>
              <w:rPr>
                <w:rFonts w:ascii="Calibri" w:eastAsia="Times New Roman" w:hAnsi="Calibri" w:cs="Times New Roman"/>
                <w:color w:val="000000"/>
                <w:sz w:val="20"/>
                <w:szCs w:val="20"/>
                <w:lang w:eastAsia="cs-CZ"/>
              </w:rPr>
            </w:pPr>
            <w:r w:rsidRPr="00FF755C">
              <w:rPr>
                <w:rFonts w:ascii="Calibri" w:eastAsia="Times New Roman" w:hAnsi="Calibri" w:cs="Times New Roman"/>
                <w:color w:val="000000"/>
                <w:sz w:val="20"/>
                <w:szCs w:val="20"/>
                <w:lang w:eastAsia="cs-CZ"/>
              </w:rPr>
              <w:t>Měření a posouzení kvality povrchových a podzemních vod</w:t>
            </w:r>
          </w:p>
        </w:tc>
        <w:tc>
          <w:tcPr>
            <w:tcW w:w="4394" w:type="dxa"/>
            <w:tcBorders>
              <w:top w:val="nil"/>
              <w:left w:val="nil"/>
              <w:bottom w:val="single" w:sz="4" w:space="0" w:color="auto"/>
              <w:right w:val="nil"/>
            </w:tcBorders>
            <w:shd w:val="clear" w:color="auto" w:fill="auto"/>
            <w:noWrap/>
            <w:hideMark/>
          </w:tcPr>
          <w:p w:rsidR="00FF755C" w:rsidRPr="00FF755C" w:rsidRDefault="00FF755C" w:rsidP="00FF755C">
            <w:pPr>
              <w:spacing w:before="0" w:after="0"/>
              <w:rPr>
                <w:rFonts w:ascii="Calibri" w:eastAsia="Times New Roman" w:hAnsi="Calibri" w:cs="Times New Roman"/>
                <w:color w:val="000000"/>
                <w:sz w:val="20"/>
                <w:szCs w:val="20"/>
                <w:lang w:eastAsia="cs-CZ"/>
              </w:rPr>
            </w:pPr>
            <w:r w:rsidRPr="00FF755C">
              <w:rPr>
                <w:rFonts w:ascii="Calibri" w:eastAsia="Times New Roman" w:hAnsi="Calibri" w:cs="Times New Roman"/>
                <w:color w:val="000000"/>
                <w:sz w:val="20"/>
                <w:szCs w:val="20"/>
                <w:lang w:eastAsia="cs-CZ"/>
              </w:rPr>
              <w:t>ENKI, o.p.s., Třeboň</w:t>
            </w:r>
          </w:p>
        </w:tc>
      </w:tr>
      <w:tr w:rsidR="00FF755C" w:rsidRPr="00FB3E4C" w:rsidTr="00F65E21">
        <w:trPr>
          <w:trHeight w:val="282"/>
        </w:trPr>
        <w:tc>
          <w:tcPr>
            <w:tcW w:w="4977" w:type="dxa"/>
            <w:tcBorders>
              <w:top w:val="single" w:sz="4" w:space="0" w:color="auto"/>
              <w:left w:val="nil"/>
              <w:bottom w:val="single" w:sz="4" w:space="0" w:color="auto"/>
              <w:right w:val="nil"/>
            </w:tcBorders>
            <w:shd w:val="clear" w:color="auto" w:fill="F2F2F2" w:themeFill="background1" w:themeFillShade="F2"/>
            <w:noWrap/>
            <w:hideMark/>
          </w:tcPr>
          <w:p w:rsidR="00FF755C" w:rsidRPr="00FB3E4C" w:rsidRDefault="00FF755C" w:rsidP="00FF755C">
            <w:pPr>
              <w:spacing w:before="0" w:after="0"/>
              <w:rPr>
                <w:rFonts w:ascii="Calibri" w:eastAsia="Times New Roman" w:hAnsi="Calibri" w:cs="Times New Roman"/>
                <w:b/>
                <w:color w:val="000000"/>
                <w:sz w:val="20"/>
                <w:szCs w:val="20"/>
                <w:lang w:eastAsia="cs-CZ"/>
              </w:rPr>
            </w:pPr>
            <w:r w:rsidRPr="00FB3E4C">
              <w:rPr>
                <w:rFonts w:ascii="Calibri" w:eastAsia="Times New Roman" w:hAnsi="Calibri" w:cs="Times New Roman"/>
                <w:b/>
                <w:color w:val="000000"/>
                <w:sz w:val="20"/>
                <w:szCs w:val="20"/>
                <w:lang w:eastAsia="cs-CZ"/>
              </w:rPr>
              <w:t>Využití zařízení a přístrojů, využití laboratoří</w:t>
            </w:r>
          </w:p>
        </w:tc>
        <w:tc>
          <w:tcPr>
            <w:tcW w:w="4394" w:type="dxa"/>
            <w:tcBorders>
              <w:top w:val="single" w:sz="4" w:space="0" w:color="auto"/>
              <w:left w:val="nil"/>
              <w:bottom w:val="single" w:sz="4" w:space="0" w:color="auto"/>
              <w:right w:val="nil"/>
            </w:tcBorders>
            <w:shd w:val="clear" w:color="auto" w:fill="F2F2F2" w:themeFill="background1" w:themeFillShade="F2"/>
            <w:noWrap/>
            <w:hideMark/>
          </w:tcPr>
          <w:p w:rsidR="00FF755C" w:rsidRPr="00FB3E4C" w:rsidRDefault="00FF755C" w:rsidP="00FF755C">
            <w:pPr>
              <w:spacing w:before="0" w:after="0"/>
              <w:rPr>
                <w:rFonts w:ascii="Calibri" w:eastAsia="Times New Roman" w:hAnsi="Calibri" w:cs="Times New Roman"/>
                <w:b/>
                <w:color w:val="000000"/>
                <w:sz w:val="20"/>
                <w:szCs w:val="20"/>
                <w:lang w:eastAsia="cs-CZ"/>
              </w:rPr>
            </w:pPr>
            <w:r w:rsidRPr="00FB3E4C">
              <w:rPr>
                <w:rFonts w:ascii="Calibri" w:eastAsia="Times New Roman" w:hAnsi="Calibri" w:cs="Times New Roman"/>
                <w:b/>
                <w:color w:val="000000"/>
                <w:sz w:val="20"/>
                <w:szCs w:val="20"/>
                <w:lang w:eastAsia="cs-CZ"/>
              </w:rPr>
              <w:t> </w:t>
            </w:r>
          </w:p>
        </w:tc>
      </w:tr>
      <w:tr w:rsidR="00FF755C" w:rsidRPr="00FF755C" w:rsidTr="00F65E21">
        <w:trPr>
          <w:trHeight w:val="282"/>
        </w:trPr>
        <w:tc>
          <w:tcPr>
            <w:tcW w:w="4977" w:type="dxa"/>
            <w:tcBorders>
              <w:top w:val="single" w:sz="4" w:space="0" w:color="auto"/>
              <w:left w:val="nil"/>
              <w:bottom w:val="nil"/>
              <w:right w:val="nil"/>
            </w:tcBorders>
            <w:shd w:val="clear" w:color="auto" w:fill="auto"/>
            <w:hideMark/>
          </w:tcPr>
          <w:p w:rsidR="00FF755C" w:rsidRPr="00FF755C" w:rsidRDefault="00FF755C" w:rsidP="00FF755C">
            <w:pPr>
              <w:spacing w:before="0" w:after="0"/>
              <w:rPr>
                <w:rFonts w:ascii="Calibri" w:eastAsia="Times New Roman" w:hAnsi="Calibri" w:cs="Times New Roman"/>
                <w:color w:val="000000"/>
                <w:sz w:val="20"/>
                <w:szCs w:val="20"/>
                <w:lang w:eastAsia="cs-CZ"/>
              </w:rPr>
            </w:pPr>
            <w:r w:rsidRPr="00FF755C">
              <w:rPr>
                <w:rFonts w:ascii="Calibri" w:eastAsia="Times New Roman" w:hAnsi="Calibri" w:cs="Times New Roman"/>
                <w:color w:val="000000"/>
                <w:sz w:val="20"/>
                <w:szCs w:val="20"/>
                <w:lang w:eastAsia="cs-CZ"/>
              </w:rPr>
              <w:t>Speciální přístroje</w:t>
            </w:r>
          </w:p>
        </w:tc>
        <w:tc>
          <w:tcPr>
            <w:tcW w:w="4394" w:type="dxa"/>
            <w:tcBorders>
              <w:top w:val="single" w:sz="4" w:space="0" w:color="auto"/>
              <w:left w:val="nil"/>
              <w:bottom w:val="nil"/>
              <w:right w:val="nil"/>
            </w:tcBorders>
            <w:shd w:val="clear" w:color="auto" w:fill="auto"/>
            <w:hideMark/>
          </w:tcPr>
          <w:p w:rsidR="00FF755C" w:rsidRPr="00FF755C" w:rsidRDefault="00FF755C" w:rsidP="00FF755C">
            <w:pPr>
              <w:spacing w:before="0" w:after="0"/>
              <w:rPr>
                <w:rFonts w:ascii="Calibri" w:eastAsia="Times New Roman" w:hAnsi="Calibri" w:cs="Times New Roman"/>
                <w:color w:val="000000"/>
                <w:sz w:val="20"/>
                <w:szCs w:val="20"/>
                <w:lang w:eastAsia="cs-CZ"/>
              </w:rPr>
            </w:pPr>
            <w:r w:rsidRPr="00FF755C">
              <w:rPr>
                <w:rFonts w:ascii="Calibri" w:eastAsia="Times New Roman" w:hAnsi="Calibri" w:cs="Times New Roman"/>
                <w:color w:val="000000"/>
                <w:sz w:val="20"/>
                <w:szCs w:val="20"/>
                <w:lang w:eastAsia="cs-CZ"/>
              </w:rPr>
              <w:t xml:space="preserve">SÚRO </w:t>
            </w:r>
          </w:p>
        </w:tc>
      </w:tr>
      <w:tr w:rsidR="00FF755C" w:rsidRPr="00FF755C" w:rsidTr="00F65E21">
        <w:trPr>
          <w:trHeight w:val="282"/>
        </w:trPr>
        <w:tc>
          <w:tcPr>
            <w:tcW w:w="4977" w:type="dxa"/>
            <w:tcBorders>
              <w:top w:val="nil"/>
              <w:left w:val="nil"/>
              <w:bottom w:val="nil"/>
              <w:right w:val="nil"/>
            </w:tcBorders>
            <w:shd w:val="clear" w:color="auto" w:fill="auto"/>
            <w:hideMark/>
          </w:tcPr>
          <w:p w:rsidR="00FF755C" w:rsidRPr="00FF755C" w:rsidRDefault="00FF755C" w:rsidP="00FF755C">
            <w:pPr>
              <w:spacing w:before="0" w:after="0"/>
              <w:rPr>
                <w:rFonts w:ascii="Calibri" w:eastAsia="Times New Roman" w:hAnsi="Calibri" w:cs="Times New Roman"/>
                <w:color w:val="000000"/>
                <w:sz w:val="20"/>
                <w:szCs w:val="20"/>
                <w:lang w:eastAsia="cs-CZ"/>
              </w:rPr>
            </w:pPr>
            <w:r w:rsidRPr="00FF755C">
              <w:rPr>
                <w:rFonts w:ascii="Calibri" w:eastAsia="Times New Roman" w:hAnsi="Calibri" w:cs="Times New Roman"/>
                <w:color w:val="000000"/>
                <w:sz w:val="20"/>
                <w:szCs w:val="20"/>
                <w:lang w:eastAsia="cs-CZ"/>
              </w:rPr>
              <w:t>Speciální přístroje</w:t>
            </w:r>
          </w:p>
        </w:tc>
        <w:tc>
          <w:tcPr>
            <w:tcW w:w="4394" w:type="dxa"/>
            <w:tcBorders>
              <w:top w:val="nil"/>
              <w:left w:val="nil"/>
              <w:bottom w:val="nil"/>
              <w:right w:val="nil"/>
            </w:tcBorders>
            <w:shd w:val="clear" w:color="auto" w:fill="auto"/>
            <w:hideMark/>
          </w:tcPr>
          <w:p w:rsidR="00FF755C" w:rsidRPr="00FF755C" w:rsidRDefault="00FF755C" w:rsidP="00FF755C">
            <w:pPr>
              <w:spacing w:before="0" w:after="0"/>
              <w:rPr>
                <w:rFonts w:ascii="Calibri" w:eastAsia="Times New Roman" w:hAnsi="Calibri" w:cs="Times New Roman"/>
                <w:color w:val="000000"/>
                <w:sz w:val="20"/>
                <w:szCs w:val="20"/>
                <w:lang w:eastAsia="cs-CZ"/>
              </w:rPr>
            </w:pPr>
            <w:r w:rsidRPr="00FF755C">
              <w:rPr>
                <w:rFonts w:ascii="Calibri" w:eastAsia="Times New Roman" w:hAnsi="Calibri" w:cs="Times New Roman"/>
                <w:color w:val="000000"/>
                <w:sz w:val="20"/>
                <w:szCs w:val="20"/>
                <w:lang w:eastAsia="cs-CZ"/>
              </w:rPr>
              <w:t>ÚOPZHN UNOB</w:t>
            </w:r>
          </w:p>
        </w:tc>
      </w:tr>
      <w:tr w:rsidR="00FF755C" w:rsidRPr="00FF755C" w:rsidTr="00F65E21">
        <w:trPr>
          <w:trHeight w:val="282"/>
        </w:trPr>
        <w:tc>
          <w:tcPr>
            <w:tcW w:w="4977" w:type="dxa"/>
            <w:tcBorders>
              <w:top w:val="nil"/>
              <w:left w:val="nil"/>
              <w:bottom w:val="nil"/>
              <w:right w:val="nil"/>
            </w:tcBorders>
            <w:shd w:val="clear" w:color="auto" w:fill="auto"/>
            <w:hideMark/>
          </w:tcPr>
          <w:p w:rsidR="00FF755C" w:rsidRPr="00FF755C" w:rsidRDefault="00FF755C" w:rsidP="00FF755C">
            <w:pPr>
              <w:spacing w:before="0" w:after="0"/>
              <w:rPr>
                <w:rFonts w:ascii="Calibri" w:eastAsia="Times New Roman" w:hAnsi="Calibri" w:cs="Times New Roman"/>
                <w:color w:val="000000"/>
                <w:sz w:val="20"/>
                <w:szCs w:val="20"/>
                <w:lang w:eastAsia="cs-CZ"/>
              </w:rPr>
            </w:pPr>
            <w:r w:rsidRPr="00FF755C">
              <w:rPr>
                <w:rFonts w:ascii="Calibri" w:eastAsia="Times New Roman" w:hAnsi="Calibri" w:cs="Times New Roman"/>
                <w:color w:val="000000"/>
                <w:sz w:val="20"/>
                <w:szCs w:val="20"/>
                <w:lang w:eastAsia="cs-CZ"/>
              </w:rPr>
              <w:t>Speciální přístroje</w:t>
            </w:r>
          </w:p>
        </w:tc>
        <w:tc>
          <w:tcPr>
            <w:tcW w:w="4394" w:type="dxa"/>
            <w:tcBorders>
              <w:top w:val="nil"/>
              <w:left w:val="nil"/>
              <w:bottom w:val="nil"/>
              <w:right w:val="nil"/>
            </w:tcBorders>
            <w:shd w:val="clear" w:color="auto" w:fill="auto"/>
            <w:hideMark/>
          </w:tcPr>
          <w:p w:rsidR="00FF755C" w:rsidRPr="00FF755C" w:rsidRDefault="00FF755C" w:rsidP="00FF755C">
            <w:pPr>
              <w:spacing w:before="0" w:after="0"/>
              <w:rPr>
                <w:rFonts w:ascii="Calibri" w:eastAsia="Times New Roman" w:hAnsi="Calibri" w:cs="Times New Roman"/>
                <w:color w:val="000000"/>
                <w:sz w:val="20"/>
                <w:szCs w:val="20"/>
                <w:lang w:eastAsia="cs-CZ"/>
              </w:rPr>
            </w:pPr>
            <w:r w:rsidRPr="00FF755C">
              <w:rPr>
                <w:rFonts w:ascii="Calibri" w:eastAsia="Times New Roman" w:hAnsi="Calibri" w:cs="Times New Roman"/>
                <w:color w:val="000000"/>
                <w:sz w:val="20"/>
                <w:szCs w:val="20"/>
                <w:lang w:eastAsia="cs-CZ"/>
              </w:rPr>
              <w:t>Tescan a.s.</w:t>
            </w:r>
          </w:p>
        </w:tc>
      </w:tr>
      <w:tr w:rsidR="00FF755C" w:rsidRPr="00FF755C" w:rsidTr="00F65E21">
        <w:trPr>
          <w:trHeight w:val="282"/>
        </w:trPr>
        <w:tc>
          <w:tcPr>
            <w:tcW w:w="4977" w:type="dxa"/>
            <w:tcBorders>
              <w:top w:val="nil"/>
              <w:left w:val="nil"/>
              <w:bottom w:val="nil"/>
              <w:right w:val="nil"/>
            </w:tcBorders>
            <w:shd w:val="clear" w:color="auto" w:fill="auto"/>
            <w:hideMark/>
          </w:tcPr>
          <w:p w:rsidR="00FF755C" w:rsidRPr="00FF755C" w:rsidRDefault="00FF755C" w:rsidP="00FF755C">
            <w:pPr>
              <w:spacing w:before="0" w:after="0"/>
              <w:rPr>
                <w:rFonts w:ascii="Calibri" w:eastAsia="Times New Roman" w:hAnsi="Calibri" w:cs="Times New Roman"/>
                <w:color w:val="000000"/>
                <w:sz w:val="20"/>
                <w:szCs w:val="20"/>
                <w:lang w:eastAsia="cs-CZ"/>
              </w:rPr>
            </w:pPr>
            <w:r w:rsidRPr="00FF755C">
              <w:rPr>
                <w:rFonts w:ascii="Calibri" w:eastAsia="Times New Roman" w:hAnsi="Calibri" w:cs="Times New Roman"/>
                <w:color w:val="000000"/>
                <w:sz w:val="20"/>
                <w:szCs w:val="20"/>
                <w:lang w:eastAsia="cs-CZ"/>
              </w:rPr>
              <w:t>Speciální přístroje</w:t>
            </w:r>
          </w:p>
        </w:tc>
        <w:tc>
          <w:tcPr>
            <w:tcW w:w="4394" w:type="dxa"/>
            <w:tcBorders>
              <w:top w:val="nil"/>
              <w:left w:val="nil"/>
              <w:bottom w:val="nil"/>
              <w:right w:val="nil"/>
            </w:tcBorders>
            <w:shd w:val="clear" w:color="auto" w:fill="auto"/>
            <w:hideMark/>
          </w:tcPr>
          <w:p w:rsidR="00FF755C" w:rsidRPr="00FF755C" w:rsidRDefault="00FF755C" w:rsidP="00FF755C">
            <w:pPr>
              <w:spacing w:before="0" w:after="0"/>
              <w:rPr>
                <w:rFonts w:ascii="Calibri" w:eastAsia="Times New Roman" w:hAnsi="Calibri" w:cs="Times New Roman"/>
                <w:color w:val="000000"/>
                <w:sz w:val="20"/>
                <w:szCs w:val="20"/>
                <w:lang w:eastAsia="cs-CZ"/>
              </w:rPr>
            </w:pPr>
            <w:r w:rsidRPr="00FF755C">
              <w:rPr>
                <w:rFonts w:ascii="Calibri" w:eastAsia="Times New Roman" w:hAnsi="Calibri" w:cs="Times New Roman"/>
                <w:color w:val="000000"/>
                <w:sz w:val="20"/>
                <w:szCs w:val="20"/>
                <w:lang w:eastAsia="cs-CZ"/>
              </w:rPr>
              <w:t>UK Praha</w:t>
            </w:r>
          </w:p>
        </w:tc>
      </w:tr>
      <w:tr w:rsidR="00FF755C" w:rsidRPr="00FF755C" w:rsidTr="00F65E21">
        <w:trPr>
          <w:trHeight w:val="282"/>
        </w:trPr>
        <w:tc>
          <w:tcPr>
            <w:tcW w:w="4977" w:type="dxa"/>
            <w:tcBorders>
              <w:top w:val="nil"/>
              <w:left w:val="nil"/>
              <w:bottom w:val="nil"/>
              <w:right w:val="nil"/>
            </w:tcBorders>
            <w:shd w:val="clear" w:color="auto" w:fill="auto"/>
            <w:hideMark/>
          </w:tcPr>
          <w:p w:rsidR="00FF755C" w:rsidRPr="00FF755C" w:rsidRDefault="00FF755C" w:rsidP="00FF755C">
            <w:pPr>
              <w:spacing w:before="0" w:after="0"/>
              <w:rPr>
                <w:rFonts w:ascii="Calibri" w:eastAsia="Times New Roman" w:hAnsi="Calibri" w:cs="Times New Roman"/>
                <w:color w:val="000000"/>
                <w:sz w:val="20"/>
                <w:szCs w:val="20"/>
                <w:lang w:eastAsia="cs-CZ"/>
              </w:rPr>
            </w:pPr>
            <w:r w:rsidRPr="00FF755C">
              <w:rPr>
                <w:rFonts w:ascii="Calibri" w:eastAsia="Times New Roman" w:hAnsi="Calibri" w:cs="Times New Roman"/>
                <w:color w:val="000000"/>
                <w:sz w:val="20"/>
                <w:szCs w:val="20"/>
                <w:lang w:eastAsia="cs-CZ"/>
              </w:rPr>
              <w:t>Speciální přístroje</w:t>
            </w:r>
          </w:p>
        </w:tc>
        <w:tc>
          <w:tcPr>
            <w:tcW w:w="4394" w:type="dxa"/>
            <w:tcBorders>
              <w:top w:val="nil"/>
              <w:left w:val="nil"/>
              <w:bottom w:val="nil"/>
              <w:right w:val="nil"/>
            </w:tcBorders>
            <w:shd w:val="clear" w:color="auto" w:fill="auto"/>
            <w:hideMark/>
          </w:tcPr>
          <w:p w:rsidR="00FF755C" w:rsidRPr="00FF755C" w:rsidRDefault="00FF755C" w:rsidP="00FF755C">
            <w:pPr>
              <w:spacing w:before="0" w:after="0"/>
              <w:rPr>
                <w:rFonts w:ascii="Calibri" w:eastAsia="Times New Roman" w:hAnsi="Calibri" w:cs="Times New Roman"/>
                <w:color w:val="000000"/>
                <w:sz w:val="20"/>
                <w:szCs w:val="20"/>
                <w:lang w:eastAsia="cs-CZ"/>
              </w:rPr>
            </w:pPr>
            <w:r w:rsidRPr="00FF755C">
              <w:rPr>
                <w:rFonts w:ascii="Calibri" w:eastAsia="Times New Roman" w:hAnsi="Calibri" w:cs="Times New Roman"/>
                <w:color w:val="000000"/>
                <w:sz w:val="20"/>
                <w:szCs w:val="20"/>
                <w:lang w:eastAsia="cs-CZ"/>
              </w:rPr>
              <w:t>BKA Wiesbaden, Německo</w:t>
            </w:r>
          </w:p>
        </w:tc>
      </w:tr>
      <w:tr w:rsidR="00FF755C" w:rsidRPr="00FF755C" w:rsidTr="00F65E21">
        <w:trPr>
          <w:trHeight w:val="282"/>
        </w:trPr>
        <w:tc>
          <w:tcPr>
            <w:tcW w:w="4977" w:type="dxa"/>
            <w:tcBorders>
              <w:top w:val="nil"/>
              <w:left w:val="nil"/>
              <w:bottom w:val="nil"/>
              <w:right w:val="nil"/>
            </w:tcBorders>
            <w:shd w:val="clear" w:color="auto" w:fill="auto"/>
            <w:hideMark/>
          </w:tcPr>
          <w:p w:rsidR="00FF755C" w:rsidRPr="00FF755C" w:rsidRDefault="00FF755C" w:rsidP="00FF755C">
            <w:pPr>
              <w:spacing w:before="0" w:after="0"/>
              <w:rPr>
                <w:rFonts w:ascii="Calibri" w:eastAsia="Times New Roman" w:hAnsi="Calibri" w:cs="Times New Roman"/>
                <w:color w:val="000000"/>
                <w:sz w:val="20"/>
                <w:szCs w:val="20"/>
                <w:lang w:eastAsia="cs-CZ"/>
              </w:rPr>
            </w:pPr>
            <w:r w:rsidRPr="00FF755C">
              <w:rPr>
                <w:rFonts w:ascii="Calibri" w:eastAsia="Times New Roman" w:hAnsi="Calibri" w:cs="Times New Roman"/>
                <w:color w:val="000000"/>
                <w:sz w:val="20"/>
                <w:szCs w:val="20"/>
                <w:lang w:eastAsia="cs-CZ"/>
              </w:rPr>
              <w:t>Speciální přístroje</w:t>
            </w:r>
          </w:p>
        </w:tc>
        <w:tc>
          <w:tcPr>
            <w:tcW w:w="4394" w:type="dxa"/>
            <w:tcBorders>
              <w:top w:val="nil"/>
              <w:left w:val="nil"/>
              <w:bottom w:val="nil"/>
              <w:right w:val="nil"/>
            </w:tcBorders>
            <w:shd w:val="clear" w:color="auto" w:fill="auto"/>
            <w:hideMark/>
          </w:tcPr>
          <w:p w:rsidR="00FF755C" w:rsidRPr="00FF755C" w:rsidRDefault="00FF755C" w:rsidP="00FF755C">
            <w:pPr>
              <w:spacing w:before="0" w:after="0"/>
              <w:rPr>
                <w:rFonts w:ascii="Calibri" w:eastAsia="Times New Roman" w:hAnsi="Calibri" w:cs="Times New Roman"/>
                <w:color w:val="000000"/>
                <w:sz w:val="20"/>
                <w:szCs w:val="20"/>
                <w:lang w:eastAsia="cs-CZ"/>
              </w:rPr>
            </w:pPr>
            <w:r w:rsidRPr="00FF755C">
              <w:rPr>
                <w:rFonts w:ascii="Calibri" w:eastAsia="Times New Roman" w:hAnsi="Calibri" w:cs="Times New Roman"/>
                <w:color w:val="000000"/>
                <w:sz w:val="20"/>
                <w:szCs w:val="20"/>
                <w:lang w:eastAsia="cs-CZ"/>
              </w:rPr>
              <w:t>Gendarmerie nationale, Francie</w:t>
            </w:r>
          </w:p>
        </w:tc>
      </w:tr>
      <w:tr w:rsidR="00FF755C" w:rsidRPr="00FF755C" w:rsidTr="00F65E21">
        <w:trPr>
          <w:trHeight w:val="282"/>
        </w:trPr>
        <w:tc>
          <w:tcPr>
            <w:tcW w:w="4977" w:type="dxa"/>
            <w:tcBorders>
              <w:top w:val="nil"/>
              <w:left w:val="nil"/>
              <w:bottom w:val="nil"/>
              <w:right w:val="nil"/>
            </w:tcBorders>
            <w:shd w:val="clear" w:color="auto" w:fill="auto"/>
            <w:noWrap/>
            <w:hideMark/>
          </w:tcPr>
          <w:p w:rsidR="00FF755C" w:rsidRPr="00FF755C" w:rsidRDefault="00FF755C" w:rsidP="00FF755C">
            <w:pPr>
              <w:spacing w:before="0" w:after="0"/>
              <w:rPr>
                <w:rFonts w:ascii="Calibri" w:eastAsia="Times New Roman" w:hAnsi="Calibri" w:cs="Times New Roman"/>
                <w:color w:val="000000"/>
                <w:sz w:val="20"/>
                <w:szCs w:val="20"/>
                <w:lang w:eastAsia="cs-CZ"/>
              </w:rPr>
            </w:pPr>
            <w:r w:rsidRPr="00FF755C">
              <w:rPr>
                <w:rFonts w:ascii="Calibri" w:eastAsia="Times New Roman" w:hAnsi="Calibri" w:cs="Times New Roman"/>
                <w:color w:val="000000"/>
                <w:sz w:val="20"/>
                <w:szCs w:val="20"/>
                <w:lang w:eastAsia="cs-CZ"/>
              </w:rPr>
              <w:t>Speciální přístroje</w:t>
            </w:r>
          </w:p>
        </w:tc>
        <w:tc>
          <w:tcPr>
            <w:tcW w:w="4394" w:type="dxa"/>
            <w:tcBorders>
              <w:top w:val="nil"/>
              <w:left w:val="nil"/>
              <w:bottom w:val="nil"/>
              <w:right w:val="nil"/>
            </w:tcBorders>
            <w:shd w:val="clear" w:color="auto" w:fill="auto"/>
            <w:noWrap/>
            <w:hideMark/>
          </w:tcPr>
          <w:p w:rsidR="00FF755C" w:rsidRPr="00FF755C" w:rsidRDefault="00FF755C" w:rsidP="00FF755C">
            <w:pPr>
              <w:spacing w:before="0" w:after="0"/>
              <w:rPr>
                <w:rFonts w:ascii="Calibri" w:eastAsia="Times New Roman" w:hAnsi="Calibri" w:cs="Times New Roman"/>
                <w:color w:val="000000"/>
                <w:sz w:val="20"/>
                <w:szCs w:val="20"/>
                <w:lang w:eastAsia="cs-CZ"/>
              </w:rPr>
            </w:pPr>
            <w:r w:rsidRPr="00FF755C">
              <w:rPr>
                <w:rFonts w:ascii="Calibri" w:eastAsia="Times New Roman" w:hAnsi="Calibri" w:cs="Times New Roman"/>
                <w:color w:val="000000"/>
                <w:sz w:val="20"/>
                <w:szCs w:val="20"/>
                <w:lang w:eastAsia="cs-CZ"/>
              </w:rPr>
              <w:t>CEITEC</w:t>
            </w:r>
          </w:p>
        </w:tc>
      </w:tr>
      <w:tr w:rsidR="00FF755C" w:rsidRPr="00FF755C" w:rsidTr="00F65E21">
        <w:trPr>
          <w:trHeight w:val="282"/>
        </w:trPr>
        <w:tc>
          <w:tcPr>
            <w:tcW w:w="4977" w:type="dxa"/>
            <w:tcBorders>
              <w:top w:val="nil"/>
              <w:left w:val="nil"/>
              <w:bottom w:val="nil"/>
              <w:right w:val="nil"/>
            </w:tcBorders>
            <w:shd w:val="clear" w:color="auto" w:fill="auto"/>
            <w:noWrap/>
            <w:hideMark/>
          </w:tcPr>
          <w:p w:rsidR="00FF755C" w:rsidRPr="00FF755C" w:rsidRDefault="00FF755C" w:rsidP="00FF755C">
            <w:pPr>
              <w:spacing w:before="0" w:after="0"/>
              <w:rPr>
                <w:rFonts w:ascii="Calibri" w:eastAsia="Times New Roman" w:hAnsi="Calibri" w:cs="Times New Roman"/>
                <w:color w:val="000000"/>
                <w:sz w:val="20"/>
                <w:szCs w:val="20"/>
                <w:lang w:eastAsia="cs-CZ"/>
              </w:rPr>
            </w:pPr>
            <w:r w:rsidRPr="00FF755C">
              <w:rPr>
                <w:rFonts w:ascii="Calibri" w:eastAsia="Times New Roman" w:hAnsi="Calibri" w:cs="Times New Roman"/>
                <w:color w:val="000000"/>
                <w:sz w:val="20"/>
                <w:szCs w:val="20"/>
                <w:lang w:eastAsia="cs-CZ"/>
              </w:rPr>
              <w:t>Neutronový zdroj</w:t>
            </w:r>
          </w:p>
        </w:tc>
        <w:tc>
          <w:tcPr>
            <w:tcW w:w="4394" w:type="dxa"/>
            <w:tcBorders>
              <w:top w:val="nil"/>
              <w:left w:val="nil"/>
              <w:bottom w:val="nil"/>
              <w:right w:val="nil"/>
            </w:tcBorders>
            <w:shd w:val="clear" w:color="auto" w:fill="auto"/>
            <w:noWrap/>
            <w:hideMark/>
          </w:tcPr>
          <w:p w:rsidR="00FF755C" w:rsidRPr="00FF755C" w:rsidRDefault="00FF755C" w:rsidP="00FF755C">
            <w:pPr>
              <w:spacing w:before="0" w:after="0"/>
              <w:rPr>
                <w:rFonts w:ascii="Calibri" w:eastAsia="Times New Roman" w:hAnsi="Calibri" w:cs="Times New Roman"/>
                <w:color w:val="000000"/>
                <w:sz w:val="20"/>
                <w:szCs w:val="20"/>
                <w:lang w:eastAsia="cs-CZ"/>
              </w:rPr>
            </w:pPr>
            <w:r w:rsidRPr="00FF755C">
              <w:rPr>
                <w:rFonts w:ascii="Calibri" w:eastAsia="Times New Roman" w:hAnsi="Calibri" w:cs="Times New Roman"/>
                <w:color w:val="000000"/>
                <w:sz w:val="20"/>
                <w:szCs w:val="20"/>
                <w:lang w:eastAsia="cs-CZ"/>
              </w:rPr>
              <w:t>FJFI ČVUT Praha</w:t>
            </w:r>
          </w:p>
        </w:tc>
      </w:tr>
      <w:tr w:rsidR="00FF755C" w:rsidRPr="00FF755C" w:rsidTr="00F65E21">
        <w:trPr>
          <w:trHeight w:val="282"/>
        </w:trPr>
        <w:tc>
          <w:tcPr>
            <w:tcW w:w="4977" w:type="dxa"/>
            <w:tcBorders>
              <w:top w:val="nil"/>
              <w:left w:val="nil"/>
              <w:bottom w:val="nil"/>
              <w:right w:val="nil"/>
            </w:tcBorders>
            <w:shd w:val="clear" w:color="auto" w:fill="auto"/>
            <w:noWrap/>
            <w:hideMark/>
          </w:tcPr>
          <w:p w:rsidR="00FF755C" w:rsidRPr="00FF755C" w:rsidRDefault="00FF755C" w:rsidP="00FF755C">
            <w:pPr>
              <w:spacing w:before="0" w:after="0"/>
              <w:rPr>
                <w:rFonts w:ascii="Calibri" w:eastAsia="Times New Roman" w:hAnsi="Calibri" w:cs="Times New Roman"/>
                <w:color w:val="000000"/>
                <w:sz w:val="20"/>
                <w:szCs w:val="20"/>
                <w:lang w:eastAsia="cs-CZ"/>
              </w:rPr>
            </w:pPr>
            <w:r w:rsidRPr="00FF755C">
              <w:rPr>
                <w:rFonts w:ascii="Calibri" w:eastAsia="Times New Roman" w:hAnsi="Calibri" w:cs="Times New Roman"/>
                <w:color w:val="000000"/>
                <w:sz w:val="20"/>
                <w:szCs w:val="20"/>
                <w:lang w:eastAsia="cs-CZ"/>
              </w:rPr>
              <w:t>Laboratoře, zvířetník</w:t>
            </w:r>
          </w:p>
        </w:tc>
        <w:tc>
          <w:tcPr>
            <w:tcW w:w="4394" w:type="dxa"/>
            <w:tcBorders>
              <w:top w:val="nil"/>
              <w:left w:val="nil"/>
              <w:bottom w:val="nil"/>
              <w:right w:val="nil"/>
            </w:tcBorders>
            <w:shd w:val="clear" w:color="auto" w:fill="auto"/>
            <w:noWrap/>
            <w:hideMark/>
          </w:tcPr>
          <w:p w:rsidR="00FF755C" w:rsidRPr="00FF755C" w:rsidRDefault="00FF755C" w:rsidP="00FF755C">
            <w:pPr>
              <w:spacing w:before="0" w:after="0"/>
              <w:rPr>
                <w:rFonts w:ascii="Calibri" w:eastAsia="Times New Roman" w:hAnsi="Calibri" w:cs="Times New Roman"/>
                <w:color w:val="000000"/>
                <w:sz w:val="20"/>
                <w:szCs w:val="20"/>
                <w:lang w:eastAsia="cs-CZ"/>
              </w:rPr>
            </w:pPr>
            <w:r w:rsidRPr="00FF755C">
              <w:rPr>
                <w:rFonts w:ascii="Calibri" w:eastAsia="Times New Roman" w:hAnsi="Calibri" w:cs="Times New Roman"/>
                <w:color w:val="000000"/>
                <w:sz w:val="20"/>
                <w:szCs w:val="20"/>
                <w:lang w:eastAsia="cs-CZ"/>
              </w:rPr>
              <w:t>Národní ústav duševního zdraví</w:t>
            </w:r>
          </w:p>
        </w:tc>
      </w:tr>
      <w:tr w:rsidR="00FF755C" w:rsidRPr="00FF755C" w:rsidTr="00F65E21">
        <w:trPr>
          <w:trHeight w:val="282"/>
        </w:trPr>
        <w:tc>
          <w:tcPr>
            <w:tcW w:w="4977" w:type="dxa"/>
            <w:tcBorders>
              <w:top w:val="nil"/>
              <w:left w:val="nil"/>
              <w:bottom w:val="nil"/>
              <w:right w:val="nil"/>
            </w:tcBorders>
            <w:shd w:val="clear" w:color="auto" w:fill="auto"/>
            <w:hideMark/>
          </w:tcPr>
          <w:p w:rsidR="00FF755C" w:rsidRPr="00FF755C" w:rsidRDefault="00FF755C" w:rsidP="00FF755C">
            <w:pPr>
              <w:spacing w:before="0" w:after="0"/>
              <w:rPr>
                <w:rFonts w:ascii="Calibri" w:eastAsia="Times New Roman" w:hAnsi="Calibri" w:cs="Times New Roman"/>
                <w:color w:val="000000"/>
                <w:sz w:val="20"/>
                <w:szCs w:val="20"/>
                <w:lang w:eastAsia="cs-CZ"/>
              </w:rPr>
            </w:pPr>
            <w:r w:rsidRPr="00FF755C">
              <w:rPr>
                <w:rFonts w:ascii="Calibri" w:eastAsia="Times New Roman" w:hAnsi="Calibri" w:cs="Times New Roman"/>
                <w:color w:val="000000"/>
                <w:sz w:val="20"/>
                <w:szCs w:val="20"/>
                <w:lang w:eastAsia="cs-CZ"/>
              </w:rPr>
              <w:t>PCR, MALDI (spektrometrie), mikrobiologie</w:t>
            </w:r>
          </w:p>
        </w:tc>
        <w:tc>
          <w:tcPr>
            <w:tcW w:w="4394" w:type="dxa"/>
            <w:tcBorders>
              <w:top w:val="nil"/>
              <w:left w:val="nil"/>
              <w:bottom w:val="nil"/>
              <w:right w:val="nil"/>
            </w:tcBorders>
            <w:shd w:val="clear" w:color="auto" w:fill="auto"/>
            <w:hideMark/>
          </w:tcPr>
          <w:p w:rsidR="00FF755C" w:rsidRPr="00FF755C" w:rsidRDefault="00FF755C" w:rsidP="00FF755C">
            <w:pPr>
              <w:spacing w:before="0" w:after="0"/>
              <w:rPr>
                <w:rFonts w:ascii="Calibri" w:eastAsia="Times New Roman" w:hAnsi="Calibri" w:cs="Times New Roman"/>
                <w:color w:val="000000"/>
                <w:sz w:val="20"/>
                <w:szCs w:val="20"/>
                <w:lang w:eastAsia="cs-CZ"/>
              </w:rPr>
            </w:pPr>
            <w:r w:rsidRPr="00FF755C">
              <w:rPr>
                <w:rFonts w:ascii="Calibri" w:eastAsia="Times New Roman" w:hAnsi="Calibri" w:cs="Times New Roman"/>
                <w:color w:val="000000"/>
                <w:sz w:val="20"/>
                <w:szCs w:val="20"/>
                <w:lang w:eastAsia="cs-CZ"/>
              </w:rPr>
              <w:t>SUJCHBO</w:t>
            </w:r>
          </w:p>
        </w:tc>
      </w:tr>
      <w:tr w:rsidR="00FF755C" w:rsidRPr="00FF755C" w:rsidTr="00F65E21">
        <w:trPr>
          <w:trHeight w:val="282"/>
        </w:trPr>
        <w:tc>
          <w:tcPr>
            <w:tcW w:w="4977" w:type="dxa"/>
            <w:tcBorders>
              <w:top w:val="nil"/>
              <w:left w:val="nil"/>
              <w:bottom w:val="nil"/>
              <w:right w:val="nil"/>
            </w:tcBorders>
            <w:shd w:val="clear" w:color="auto" w:fill="auto"/>
            <w:noWrap/>
            <w:hideMark/>
          </w:tcPr>
          <w:p w:rsidR="00FF755C" w:rsidRPr="00FF755C" w:rsidRDefault="00FF755C" w:rsidP="00FF755C">
            <w:pPr>
              <w:spacing w:before="0" w:after="0"/>
              <w:rPr>
                <w:rFonts w:ascii="Calibri" w:eastAsia="Times New Roman" w:hAnsi="Calibri" w:cs="Times New Roman"/>
                <w:color w:val="000000"/>
                <w:sz w:val="20"/>
                <w:szCs w:val="20"/>
                <w:lang w:eastAsia="cs-CZ"/>
              </w:rPr>
            </w:pPr>
            <w:r w:rsidRPr="00FF755C">
              <w:rPr>
                <w:rFonts w:ascii="Calibri" w:eastAsia="Times New Roman" w:hAnsi="Calibri" w:cs="Times New Roman"/>
                <w:color w:val="000000"/>
                <w:sz w:val="20"/>
                <w:szCs w:val="20"/>
                <w:lang w:eastAsia="cs-CZ"/>
              </w:rPr>
              <w:t>Speciální laboratoře, spolupracující odborníci</w:t>
            </w:r>
          </w:p>
        </w:tc>
        <w:tc>
          <w:tcPr>
            <w:tcW w:w="4394" w:type="dxa"/>
            <w:tcBorders>
              <w:top w:val="nil"/>
              <w:left w:val="nil"/>
              <w:bottom w:val="nil"/>
              <w:right w:val="nil"/>
            </w:tcBorders>
            <w:shd w:val="clear" w:color="auto" w:fill="auto"/>
            <w:noWrap/>
            <w:hideMark/>
          </w:tcPr>
          <w:p w:rsidR="00FF755C" w:rsidRPr="00FF755C" w:rsidRDefault="00FF755C" w:rsidP="00FF755C">
            <w:pPr>
              <w:spacing w:before="0" w:after="0"/>
              <w:rPr>
                <w:rFonts w:ascii="Calibri" w:eastAsia="Times New Roman" w:hAnsi="Calibri" w:cs="Times New Roman"/>
                <w:color w:val="000000"/>
                <w:sz w:val="20"/>
                <w:szCs w:val="20"/>
                <w:lang w:eastAsia="cs-CZ"/>
              </w:rPr>
            </w:pPr>
            <w:r w:rsidRPr="00FF755C">
              <w:rPr>
                <w:rFonts w:ascii="Calibri" w:eastAsia="Times New Roman" w:hAnsi="Calibri" w:cs="Times New Roman"/>
                <w:color w:val="000000"/>
                <w:sz w:val="20"/>
                <w:szCs w:val="20"/>
                <w:lang w:eastAsia="cs-CZ"/>
              </w:rPr>
              <w:t>VUVEL Brno</w:t>
            </w:r>
          </w:p>
        </w:tc>
      </w:tr>
      <w:tr w:rsidR="00FF755C" w:rsidRPr="00FF755C" w:rsidTr="00F65E21">
        <w:trPr>
          <w:trHeight w:val="282"/>
        </w:trPr>
        <w:tc>
          <w:tcPr>
            <w:tcW w:w="4977" w:type="dxa"/>
            <w:tcBorders>
              <w:top w:val="nil"/>
              <w:left w:val="nil"/>
              <w:bottom w:val="nil"/>
              <w:right w:val="nil"/>
            </w:tcBorders>
            <w:shd w:val="clear" w:color="auto" w:fill="auto"/>
            <w:noWrap/>
            <w:hideMark/>
          </w:tcPr>
          <w:p w:rsidR="00FF755C" w:rsidRPr="00FF755C" w:rsidRDefault="00FF755C" w:rsidP="00FF755C">
            <w:pPr>
              <w:spacing w:before="0" w:after="0"/>
              <w:rPr>
                <w:rFonts w:ascii="Calibri" w:eastAsia="Times New Roman" w:hAnsi="Calibri" w:cs="Times New Roman"/>
                <w:color w:val="000000"/>
                <w:sz w:val="20"/>
                <w:szCs w:val="20"/>
                <w:lang w:eastAsia="cs-CZ"/>
              </w:rPr>
            </w:pPr>
            <w:r w:rsidRPr="00FF755C">
              <w:rPr>
                <w:rFonts w:ascii="Calibri" w:eastAsia="Times New Roman" w:hAnsi="Calibri" w:cs="Times New Roman"/>
                <w:color w:val="000000"/>
                <w:sz w:val="20"/>
                <w:szCs w:val="20"/>
                <w:lang w:eastAsia="cs-CZ"/>
              </w:rPr>
              <w:t>Detekce chemických látek a výbušnin</w:t>
            </w:r>
          </w:p>
        </w:tc>
        <w:tc>
          <w:tcPr>
            <w:tcW w:w="4394" w:type="dxa"/>
            <w:tcBorders>
              <w:top w:val="nil"/>
              <w:left w:val="nil"/>
              <w:bottom w:val="nil"/>
              <w:right w:val="nil"/>
            </w:tcBorders>
            <w:shd w:val="clear" w:color="auto" w:fill="auto"/>
            <w:noWrap/>
            <w:hideMark/>
          </w:tcPr>
          <w:p w:rsidR="00FF755C" w:rsidRPr="00FF755C" w:rsidRDefault="00FF755C" w:rsidP="00FF755C">
            <w:pPr>
              <w:spacing w:before="0" w:after="0"/>
              <w:rPr>
                <w:rFonts w:ascii="Calibri" w:eastAsia="Times New Roman" w:hAnsi="Calibri" w:cs="Times New Roman"/>
                <w:color w:val="000000"/>
                <w:sz w:val="20"/>
                <w:szCs w:val="20"/>
                <w:lang w:eastAsia="cs-CZ"/>
              </w:rPr>
            </w:pPr>
            <w:r w:rsidRPr="00FF755C">
              <w:rPr>
                <w:rFonts w:ascii="Calibri" w:eastAsia="Times New Roman" w:hAnsi="Calibri" w:cs="Times New Roman"/>
                <w:color w:val="000000"/>
                <w:sz w:val="20"/>
                <w:szCs w:val="20"/>
                <w:lang w:eastAsia="cs-CZ"/>
              </w:rPr>
              <w:t xml:space="preserve">UIACH AV ČR </w:t>
            </w:r>
          </w:p>
        </w:tc>
      </w:tr>
      <w:tr w:rsidR="00FF755C" w:rsidRPr="00FF755C" w:rsidTr="00F65E21">
        <w:trPr>
          <w:trHeight w:val="282"/>
        </w:trPr>
        <w:tc>
          <w:tcPr>
            <w:tcW w:w="4977" w:type="dxa"/>
            <w:tcBorders>
              <w:top w:val="nil"/>
              <w:left w:val="nil"/>
              <w:bottom w:val="single" w:sz="4" w:space="0" w:color="auto"/>
              <w:right w:val="nil"/>
            </w:tcBorders>
            <w:shd w:val="clear" w:color="auto" w:fill="auto"/>
            <w:noWrap/>
            <w:hideMark/>
          </w:tcPr>
          <w:p w:rsidR="00FF755C" w:rsidRPr="00FF755C" w:rsidRDefault="00FF755C" w:rsidP="00FF755C">
            <w:pPr>
              <w:spacing w:before="0" w:after="0"/>
              <w:rPr>
                <w:rFonts w:ascii="Calibri" w:eastAsia="Times New Roman" w:hAnsi="Calibri" w:cs="Times New Roman"/>
                <w:color w:val="000000"/>
                <w:sz w:val="20"/>
                <w:szCs w:val="20"/>
                <w:lang w:eastAsia="cs-CZ"/>
              </w:rPr>
            </w:pPr>
            <w:r w:rsidRPr="00FF755C">
              <w:rPr>
                <w:rFonts w:ascii="Calibri" w:eastAsia="Times New Roman" w:hAnsi="Calibri" w:cs="Times New Roman"/>
                <w:color w:val="000000"/>
                <w:sz w:val="20"/>
                <w:szCs w:val="20"/>
                <w:lang w:eastAsia="cs-CZ"/>
              </w:rPr>
              <w:t>Certifikace</w:t>
            </w:r>
          </w:p>
        </w:tc>
        <w:tc>
          <w:tcPr>
            <w:tcW w:w="4394" w:type="dxa"/>
            <w:tcBorders>
              <w:top w:val="nil"/>
              <w:left w:val="nil"/>
              <w:bottom w:val="single" w:sz="4" w:space="0" w:color="auto"/>
              <w:right w:val="nil"/>
            </w:tcBorders>
            <w:shd w:val="clear" w:color="auto" w:fill="auto"/>
            <w:noWrap/>
            <w:hideMark/>
          </w:tcPr>
          <w:p w:rsidR="00FF755C" w:rsidRPr="00FF755C" w:rsidRDefault="00FF755C" w:rsidP="00FF755C">
            <w:pPr>
              <w:spacing w:before="0" w:after="0"/>
              <w:rPr>
                <w:rFonts w:ascii="Calibri" w:eastAsia="Times New Roman" w:hAnsi="Calibri" w:cs="Times New Roman"/>
                <w:color w:val="000000"/>
                <w:sz w:val="20"/>
                <w:szCs w:val="20"/>
                <w:lang w:eastAsia="cs-CZ"/>
              </w:rPr>
            </w:pPr>
            <w:r w:rsidRPr="00FF755C">
              <w:rPr>
                <w:rFonts w:ascii="Calibri" w:eastAsia="Times New Roman" w:hAnsi="Calibri" w:cs="Times New Roman"/>
                <w:color w:val="000000"/>
                <w:sz w:val="20"/>
                <w:szCs w:val="20"/>
                <w:lang w:eastAsia="cs-CZ"/>
              </w:rPr>
              <w:t>TÜV, ATSEC, EXIDA</w:t>
            </w:r>
          </w:p>
        </w:tc>
      </w:tr>
      <w:tr w:rsidR="00FF755C" w:rsidRPr="00FB3E4C" w:rsidTr="00F65E21">
        <w:trPr>
          <w:trHeight w:val="282"/>
        </w:trPr>
        <w:tc>
          <w:tcPr>
            <w:tcW w:w="4977" w:type="dxa"/>
            <w:tcBorders>
              <w:top w:val="single" w:sz="4" w:space="0" w:color="auto"/>
              <w:left w:val="nil"/>
              <w:bottom w:val="single" w:sz="4" w:space="0" w:color="auto"/>
              <w:right w:val="nil"/>
            </w:tcBorders>
            <w:shd w:val="clear" w:color="auto" w:fill="F2F2F2" w:themeFill="background1" w:themeFillShade="F2"/>
            <w:noWrap/>
            <w:hideMark/>
          </w:tcPr>
          <w:p w:rsidR="00FF755C" w:rsidRPr="00FB3E4C" w:rsidRDefault="00FF755C" w:rsidP="00FF755C">
            <w:pPr>
              <w:spacing w:before="0" w:after="0"/>
              <w:rPr>
                <w:rFonts w:ascii="Calibri" w:eastAsia="Times New Roman" w:hAnsi="Calibri" w:cs="Times New Roman"/>
                <w:b/>
                <w:color w:val="000000"/>
                <w:sz w:val="20"/>
                <w:szCs w:val="20"/>
                <w:lang w:eastAsia="cs-CZ"/>
              </w:rPr>
            </w:pPr>
            <w:r w:rsidRPr="00FB3E4C">
              <w:rPr>
                <w:rFonts w:ascii="Calibri" w:eastAsia="Times New Roman" w:hAnsi="Calibri" w:cs="Times New Roman"/>
                <w:b/>
                <w:color w:val="000000"/>
                <w:sz w:val="20"/>
                <w:szCs w:val="20"/>
                <w:lang w:eastAsia="cs-CZ"/>
              </w:rPr>
              <w:t>ICT, kybernetika, software, simulace, statistika</w:t>
            </w:r>
          </w:p>
        </w:tc>
        <w:tc>
          <w:tcPr>
            <w:tcW w:w="4394" w:type="dxa"/>
            <w:tcBorders>
              <w:top w:val="single" w:sz="4" w:space="0" w:color="auto"/>
              <w:left w:val="nil"/>
              <w:bottom w:val="single" w:sz="4" w:space="0" w:color="auto"/>
              <w:right w:val="nil"/>
            </w:tcBorders>
            <w:shd w:val="clear" w:color="auto" w:fill="F2F2F2" w:themeFill="background1" w:themeFillShade="F2"/>
            <w:noWrap/>
            <w:hideMark/>
          </w:tcPr>
          <w:p w:rsidR="00FF755C" w:rsidRPr="00FB3E4C" w:rsidRDefault="00FF755C" w:rsidP="00FF755C">
            <w:pPr>
              <w:spacing w:before="0" w:after="0"/>
              <w:jc w:val="left"/>
              <w:rPr>
                <w:rFonts w:ascii="Calibri" w:eastAsia="Times New Roman" w:hAnsi="Calibri" w:cs="Times New Roman"/>
                <w:b/>
                <w:color w:val="000000"/>
                <w:sz w:val="20"/>
                <w:szCs w:val="20"/>
                <w:lang w:eastAsia="cs-CZ"/>
              </w:rPr>
            </w:pPr>
            <w:r w:rsidRPr="00FB3E4C">
              <w:rPr>
                <w:rFonts w:ascii="Calibri" w:eastAsia="Times New Roman" w:hAnsi="Calibri" w:cs="Times New Roman"/>
                <w:b/>
                <w:color w:val="000000"/>
                <w:sz w:val="20"/>
                <w:szCs w:val="20"/>
                <w:lang w:eastAsia="cs-CZ"/>
              </w:rPr>
              <w:t> </w:t>
            </w:r>
          </w:p>
        </w:tc>
      </w:tr>
      <w:tr w:rsidR="00FF755C" w:rsidRPr="00FF755C" w:rsidTr="00F65E21">
        <w:trPr>
          <w:trHeight w:val="282"/>
        </w:trPr>
        <w:tc>
          <w:tcPr>
            <w:tcW w:w="4977" w:type="dxa"/>
            <w:tcBorders>
              <w:top w:val="single" w:sz="4" w:space="0" w:color="auto"/>
              <w:left w:val="nil"/>
              <w:bottom w:val="nil"/>
              <w:right w:val="nil"/>
            </w:tcBorders>
            <w:shd w:val="clear" w:color="auto" w:fill="auto"/>
            <w:noWrap/>
            <w:hideMark/>
          </w:tcPr>
          <w:p w:rsidR="00FF755C" w:rsidRPr="00FF755C" w:rsidRDefault="00FF755C" w:rsidP="00FF755C">
            <w:pPr>
              <w:spacing w:before="0" w:after="0"/>
              <w:rPr>
                <w:rFonts w:ascii="Calibri" w:eastAsia="Times New Roman" w:hAnsi="Calibri" w:cs="Times New Roman"/>
                <w:color w:val="000000"/>
                <w:sz w:val="20"/>
                <w:szCs w:val="20"/>
                <w:lang w:eastAsia="cs-CZ"/>
              </w:rPr>
            </w:pPr>
            <w:r w:rsidRPr="00FF755C">
              <w:rPr>
                <w:rFonts w:ascii="Calibri" w:eastAsia="Times New Roman" w:hAnsi="Calibri" w:cs="Times New Roman"/>
                <w:color w:val="000000"/>
                <w:sz w:val="20"/>
                <w:szCs w:val="20"/>
                <w:lang w:eastAsia="cs-CZ"/>
              </w:rPr>
              <w:t>Výpočetní cluster</w:t>
            </w:r>
          </w:p>
        </w:tc>
        <w:tc>
          <w:tcPr>
            <w:tcW w:w="4394" w:type="dxa"/>
            <w:tcBorders>
              <w:top w:val="single" w:sz="4" w:space="0" w:color="auto"/>
              <w:left w:val="nil"/>
              <w:bottom w:val="nil"/>
              <w:right w:val="nil"/>
            </w:tcBorders>
            <w:shd w:val="clear" w:color="auto" w:fill="auto"/>
            <w:noWrap/>
            <w:hideMark/>
          </w:tcPr>
          <w:p w:rsidR="00FF755C" w:rsidRPr="00FF755C" w:rsidRDefault="00FF755C" w:rsidP="00FF755C">
            <w:pPr>
              <w:spacing w:before="0" w:after="0"/>
              <w:rPr>
                <w:rFonts w:ascii="Calibri" w:eastAsia="Times New Roman" w:hAnsi="Calibri" w:cs="Times New Roman"/>
                <w:color w:val="000000"/>
                <w:sz w:val="20"/>
                <w:szCs w:val="20"/>
                <w:lang w:eastAsia="cs-CZ"/>
              </w:rPr>
            </w:pPr>
            <w:r w:rsidRPr="00FF755C">
              <w:rPr>
                <w:rFonts w:ascii="Calibri" w:eastAsia="Times New Roman" w:hAnsi="Calibri" w:cs="Times New Roman"/>
                <w:color w:val="000000"/>
                <w:sz w:val="20"/>
                <w:szCs w:val="20"/>
                <w:lang w:eastAsia="cs-CZ"/>
              </w:rPr>
              <w:t>CESNET</w:t>
            </w:r>
          </w:p>
        </w:tc>
      </w:tr>
      <w:tr w:rsidR="00FF755C" w:rsidRPr="00FF755C" w:rsidTr="00F65E21">
        <w:trPr>
          <w:trHeight w:val="282"/>
        </w:trPr>
        <w:tc>
          <w:tcPr>
            <w:tcW w:w="4977" w:type="dxa"/>
            <w:tcBorders>
              <w:top w:val="nil"/>
              <w:left w:val="nil"/>
              <w:bottom w:val="nil"/>
              <w:right w:val="nil"/>
            </w:tcBorders>
            <w:shd w:val="clear" w:color="auto" w:fill="auto"/>
            <w:noWrap/>
            <w:hideMark/>
          </w:tcPr>
          <w:p w:rsidR="00FF755C" w:rsidRPr="00FF755C" w:rsidRDefault="00FF755C" w:rsidP="00FF755C">
            <w:pPr>
              <w:spacing w:before="0" w:after="0"/>
              <w:rPr>
                <w:rFonts w:ascii="Calibri" w:eastAsia="Times New Roman" w:hAnsi="Calibri" w:cs="Times New Roman"/>
                <w:color w:val="000000"/>
                <w:sz w:val="20"/>
                <w:szCs w:val="20"/>
                <w:lang w:eastAsia="cs-CZ"/>
              </w:rPr>
            </w:pPr>
            <w:r w:rsidRPr="00FF755C">
              <w:rPr>
                <w:rFonts w:ascii="Calibri" w:eastAsia="Times New Roman" w:hAnsi="Calibri" w:cs="Times New Roman"/>
                <w:color w:val="000000"/>
                <w:sz w:val="20"/>
                <w:szCs w:val="20"/>
                <w:lang w:eastAsia="cs-CZ"/>
              </w:rPr>
              <w:t>Výpočetní kódy</w:t>
            </w:r>
          </w:p>
        </w:tc>
        <w:tc>
          <w:tcPr>
            <w:tcW w:w="4394" w:type="dxa"/>
            <w:tcBorders>
              <w:top w:val="nil"/>
              <w:left w:val="nil"/>
              <w:bottom w:val="nil"/>
              <w:right w:val="nil"/>
            </w:tcBorders>
            <w:shd w:val="clear" w:color="auto" w:fill="auto"/>
            <w:noWrap/>
            <w:hideMark/>
          </w:tcPr>
          <w:p w:rsidR="00FF755C" w:rsidRPr="00FF755C" w:rsidRDefault="00FF755C" w:rsidP="00FF755C">
            <w:pPr>
              <w:spacing w:before="0" w:after="0"/>
              <w:rPr>
                <w:rFonts w:ascii="Calibri" w:eastAsia="Times New Roman" w:hAnsi="Calibri" w:cs="Times New Roman"/>
                <w:color w:val="000000"/>
                <w:sz w:val="20"/>
                <w:szCs w:val="20"/>
                <w:lang w:eastAsia="cs-CZ"/>
              </w:rPr>
            </w:pPr>
            <w:r w:rsidRPr="00FF755C">
              <w:rPr>
                <w:rFonts w:ascii="Calibri" w:eastAsia="Times New Roman" w:hAnsi="Calibri" w:cs="Times New Roman"/>
                <w:color w:val="000000"/>
                <w:sz w:val="20"/>
                <w:szCs w:val="20"/>
                <w:lang w:eastAsia="cs-CZ"/>
              </w:rPr>
              <w:t>zahraniční výzkumné instituce</w:t>
            </w:r>
          </w:p>
        </w:tc>
      </w:tr>
      <w:tr w:rsidR="00FF755C" w:rsidRPr="00FF755C" w:rsidTr="00F65E21">
        <w:trPr>
          <w:trHeight w:val="282"/>
        </w:trPr>
        <w:tc>
          <w:tcPr>
            <w:tcW w:w="4977" w:type="dxa"/>
            <w:tcBorders>
              <w:top w:val="nil"/>
              <w:left w:val="nil"/>
              <w:bottom w:val="nil"/>
              <w:right w:val="nil"/>
            </w:tcBorders>
            <w:shd w:val="clear" w:color="auto" w:fill="auto"/>
            <w:noWrap/>
            <w:hideMark/>
          </w:tcPr>
          <w:p w:rsidR="00FF755C" w:rsidRPr="00FF755C" w:rsidRDefault="00FF755C" w:rsidP="00FF755C">
            <w:pPr>
              <w:spacing w:before="0" w:after="0"/>
              <w:rPr>
                <w:rFonts w:ascii="Calibri" w:eastAsia="Times New Roman" w:hAnsi="Calibri" w:cs="Times New Roman"/>
                <w:color w:val="000000"/>
                <w:sz w:val="20"/>
                <w:szCs w:val="20"/>
                <w:lang w:eastAsia="cs-CZ"/>
              </w:rPr>
            </w:pPr>
            <w:r w:rsidRPr="00FF755C">
              <w:rPr>
                <w:rFonts w:ascii="Calibri" w:eastAsia="Times New Roman" w:hAnsi="Calibri" w:cs="Times New Roman"/>
                <w:color w:val="000000"/>
                <w:sz w:val="20"/>
                <w:szCs w:val="20"/>
                <w:lang w:eastAsia="cs-CZ"/>
              </w:rPr>
              <w:t>Národní superpočítačové centrum</w:t>
            </w:r>
          </w:p>
        </w:tc>
        <w:tc>
          <w:tcPr>
            <w:tcW w:w="4394" w:type="dxa"/>
            <w:tcBorders>
              <w:top w:val="nil"/>
              <w:left w:val="nil"/>
              <w:bottom w:val="nil"/>
              <w:right w:val="nil"/>
            </w:tcBorders>
            <w:shd w:val="clear" w:color="auto" w:fill="auto"/>
            <w:noWrap/>
            <w:hideMark/>
          </w:tcPr>
          <w:p w:rsidR="00FF755C" w:rsidRPr="00FF755C" w:rsidRDefault="00FF755C" w:rsidP="00FF755C">
            <w:pPr>
              <w:spacing w:before="0" w:after="0"/>
              <w:rPr>
                <w:rFonts w:ascii="Calibri" w:eastAsia="Times New Roman" w:hAnsi="Calibri" w:cs="Times New Roman"/>
                <w:color w:val="000000"/>
                <w:sz w:val="20"/>
                <w:szCs w:val="20"/>
                <w:lang w:eastAsia="cs-CZ"/>
              </w:rPr>
            </w:pPr>
            <w:r w:rsidRPr="00FF755C">
              <w:rPr>
                <w:rFonts w:ascii="Calibri" w:eastAsia="Times New Roman" w:hAnsi="Calibri" w:cs="Times New Roman"/>
                <w:color w:val="000000"/>
                <w:sz w:val="20"/>
                <w:szCs w:val="20"/>
                <w:lang w:eastAsia="cs-CZ"/>
              </w:rPr>
              <w:t>VŠB-TU Ostrava</w:t>
            </w:r>
          </w:p>
        </w:tc>
      </w:tr>
      <w:tr w:rsidR="00FF755C" w:rsidRPr="00FF755C" w:rsidTr="00F65E21">
        <w:trPr>
          <w:trHeight w:val="282"/>
        </w:trPr>
        <w:tc>
          <w:tcPr>
            <w:tcW w:w="4977" w:type="dxa"/>
            <w:tcBorders>
              <w:top w:val="nil"/>
              <w:left w:val="nil"/>
              <w:bottom w:val="nil"/>
              <w:right w:val="nil"/>
            </w:tcBorders>
            <w:shd w:val="clear" w:color="auto" w:fill="auto"/>
            <w:noWrap/>
            <w:hideMark/>
          </w:tcPr>
          <w:p w:rsidR="00FF755C" w:rsidRPr="00FF755C" w:rsidRDefault="00FF755C" w:rsidP="00FF755C">
            <w:pPr>
              <w:spacing w:before="0" w:after="0"/>
              <w:rPr>
                <w:rFonts w:ascii="Calibri" w:eastAsia="Times New Roman" w:hAnsi="Calibri" w:cs="Times New Roman"/>
                <w:color w:val="000000"/>
                <w:sz w:val="20"/>
                <w:szCs w:val="20"/>
                <w:lang w:eastAsia="cs-CZ"/>
              </w:rPr>
            </w:pPr>
            <w:r w:rsidRPr="00FF755C">
              <w:rPr>
                <w:rFonts w:ascii="Calibri" w:eastAsia="Times New Roman" w:hAnsi="Calibri" w:cs="Times New Roman"/>
                <w:color w:val="000000"/>
                <w:sz w:val="20"/>
                <w:szCs w:val="20"/>
                <w:lang w:eastAsia="cs-CZ"/>
              </w:rPr>
              <w:t>Numerické simulace</w:t>
            </w:r>
          </w:p>
        </w:tc>
        <w:tc>
          <w:tcPr>
            <w:tcW w:w="4394" w:type="dxa"/>
            <w:tcBorders>
              <w:top w:val="nil"/>
              <w:left w:val="nil"/>
              <w:bottom w:val="nil"/>
              <w:right w:val="nil"/>
            </w:tcBorders>
            <w:shd w:val="clear" w:color="auto" w:fill="auto"/>
            <w:noWrap/>
            <w:hideMark/>
          </w:tcPr>
          <w:p w:rsidR="00FF755C" w:rsidRPr="00FF755C" w:rsidRDefault="00FF755C" w:rsidP="00FF755C">
            <w:pPr>
              <w:spacing w:before="0" w:after="0"/>
              <w:rPr>
                <w:rFonts w:ascii="Calibri" w:eastAsia="Times New Roman" w:hAnsi="Calibri" w:cs="Times New Roman"/>
                <w:color w:val="000000"/>
                <w:sz w:val="20"/>
                <w:szCs w:val="20"/>
                <w:lang w:eastAsia="cs-CZ"/>
              </w:rPr>
            </w:pPr>
            <w:r w:rsidRPr="00FF755C">
              <w:rPr>
                <w:rFonts w:ascii="Calibri" w:eastAsia="Times New Roman" w:hAnsi="Calibri" w:cs="Times New Roman"/>
                <w:color w:val="000000"/>
                <w:sz w:val="20"/>
                <w:szCs w:val="20"/>
                <w:lang w:eastAsia="cs-CZ"/>
              </w:rPr>
              <w:t>SVS FEM, s.r.o.</w:t>
            </w:r>
          </w:p>
        </w:tc>
      </w:tr>
      <w:tr w:rsidR="00FF755C" w:rsidRPr="00FF755C" w:rsidTr="00F65E21">
        <w:trPr>
          <w:trHeight w:val="282"/>
        </w:trPr>
        <w:tc>
          <w:tcPr>
            <w:tcW w:w="4977" w:type="dxa"/>
            <w:tcBorders>
              <w:top w:val="nil"/>
              <w:left w:val="nil"/>
              <w:bottom w:val="nil"/>
              <w:right w:val="nil"/>
            </w:tcBorders>
            <w:shd w:val="clear" w:color="auto" w:fill="auto"/>
            <w:noWrap/>
            <w:hideMark/>
          </w:tcPr>
          <w:p w:rsidR="00FF755C" w:rsidRPr="00FF755C" w:rsidRDefault="00FF755C" w:rsidP="00FF755C">
            <w:pPr>
              <w:spacing w:before="0" w:after="0"/>
              <w:rPr>
                <w:rFonts w:ascii="Calibri" w:eastAsia="Times New Roman" w:hAnsi="Calibri" w:cs="Times New Roman"/>
                <w:color w:val="000000"/>
                <w:sz w:val="20"/>
                <w:szCs w:val="20"/>
                <w:lang w:eastAsia="cs-CZ"/>
              </w:rPr>
            </w:pPr>
            <w:r w:rsidRPr="00FF755C">
              <w:rPr>
                <w:rFonts w:ascii="Calibri" w:eastAsia="Times New Roman" w:hAnsi="Calibri" w:cs="Times New Roman"/>
                <w:color w:val="000000"/>
                <w:sz w:val="20"/>
                <w:szCs w:val="20"/>
                <w:lang w:eastAsia="cs-CZ"/>
              </w:rPr>
              <w:t>Modelování</w:t>
            </w:r>
          </w:p>
        </w:tc>
        <w:tc>
          <w:tcPr>
            <w:tcW w:w="4394" w:type="dxa"/>
            <w:tcBorders>
              <w:top w:val="nil"/>
              <w:left w:val="nil"/>
              <w:bottom w:val="nil"/>
              <w:right w:val="nil"/>
            </w:tcBorders>
            <w:shd w:val="clear" w:color="auto" w:fill="auto"/>
            <w:noWrap/>
            <w:hideMark/>
          </w:tcPr>
          <w:p w:rsidR="00FF755C" w:rsidRPr="00FF755C" w:rsidRDefault="00FF755C" w:rsidP="00FF755C">
            <w:pPr>
              <w:spacing w:before="0" w:after="0"/>
              <w:rPr>
                <w:rFonts w:ascii="Calibri" w:eastAsia="Times New Roman" w:hAnsi="Calibri" w:cs="Times New Roman"/>
                <w:color w:val="000000"/>
                <w:sz w:val="20"/>
                <w:szCs w:val="20"/>
                <w:lang w:eastAsia="cs-CZ"/>
              </w:rPr>
            </w:pPr>
            <w:r w:rsidRPr="00FF755C">
              <w:rPr>
                <w:rFonts w:ascii="Calibri" w:eastAsia="Times New Roman" w:hAnsi="Calibri" w:cs="Times New Roman"/>
                <w:color w:val="000000"/>
                <w:sz w:val="20"/>
                <w:szCs w:val="20"/>
                <w:lang w:eastAsia="cs-CZ"/>
              </w:rPr>
              <w:t>CALS s.r.o.</w:t>
            </w:r>
          </w:p>
        </w:tc>
      </w:tr>
      <w:tr w:rsidR="00FF755C" w:rsidRPr="00FF755C" w:rsidTr="00F65E21">
        <w:trPr>
          <w:trHeight w:val="282"/>
        </w:trPr>
        <w:tc>
          <w:tcPr>
            <w:tcW w:w="4977" w:type="dxa"/>
            <w:tcBorders>
              <w:top w:val="nil"/>
              <w:left w:val="nil"/>
              <w:bottom w:val="nil"/>
              <w:right w:val="nil"/>
            </w:tcBorders>
            <w:shd w:val="clear" w:color="auto" w:fill="auto"/>
            <w:hideMark/>
          </w:tcPr>
          <w:p w:rsidR="00FF755C" w:rsidRPr="00FF755C" w:rsidRDefault="00FF755C" w:rsidP="00FF755C">
            <w:pPr>
              <w:spacing w:before="0" w:after="0"/>
              <w:rPr>
                <w:rFonts w:ascii="Calibri" w:eastAsia="Times New Roman" w:hAnsi="Calibri" w:cs="Times New Roman"/>
                <w:color w:val="000000"/>
                <w:sz w:val="20"/>
                <w:szCs w:val="20"/>
                <w:lang w:eastAsia="cs-CZ"/>
              </w:rPr>
            </w:pPr>
            <w:r w:rsidRPr="00FF755C">
              <w:rPr>
                <w:rFonts w:ascii="Calibri" w:eastAsia="Times New Roman" w:hAnsi="Calibri" w:cs="Times New Roman"/>
                <w:color w:val="000000"/>
                <w:sz w:val="20"/>
                <w:szCs w:val="20"/>
                <w:lang w:eastAsia="cs-CZ"/>
              </w:rPr>
              <w:t>Programátorské služby</w:t>
            </w:r>
          </w:p>
        </w:tc>
        <w:tc>
          <w:tcPr>
            <w:tcW w:w="4394" w:type="dxa"/>
            <w:tcBorders>
              <w:top w:val="nil"/>
              <w:left w:val="nil"/>
              <w:bottom w:val="nil"/>
              <w:right w:val="nil"/>
            </w:tcBorders>
            <w:shd w:val="clear" w:color="auto" w:fill="auto"/>
            <w:hideMark/>
          </w:tcPr>
          <w:p w:rsidR="00FF755C" w:rsidRPr="00FF755C" w:rsidRDefault="00FF755C" w:rsidP="00FF755C">
            <w:pPr>
              <w:spacing w:before="0" w:after="0"/>
              <w:rPr>
                <w:rFonts w:ascii="Calibri" w:eastAsia="Times New Roman" w:hAnsi="Calibri" w:cs="Times New Roman"/>
                <w:color w:val="000000"/>
                <w:sz w:val="20"/>
                <w:szCs w:val="20"/>
                <w:lang w:eastAsia="cs-CZ"/>
              </w:rPr>
            </w:pPr>
            <w:r w:rsidRPr="00FF755C">
              <w:rPr>
                <w:rFonts w:ascii="Calibri" w:eastAsia="Times New Roman" w:hAnsi="Calibri" w:cs="Times New Roman"/>
                <w:color w:val="000000"/>
                <w:sz w:val="20"/>
                <w:szCs w:val="20"/>
                <w:lang w:eastAsia="cs-CZ"/>
              </w:rPr>
              <w:t>AXENTA a.s.</w:t>
            </w:r>
          </w:p>
        </w:tc>
      </w:tr>
      <w:tr w:rsidR="00FF755C" w:rsidRPr="00FF755C" w:rsidTr="00F65E21">
        <w:trPr>
          <w:trHeight w:val="282"/>
        </w:trPr>
        <w:tc>
          <w:tcPr>
            <w:tcW w:w="4977" w:type="dxa"/>
            <w:tcBorders>
              <w:top w:val="nil"/>
              <w:left w:val="nil"/>
              <w:bottom w:val="nil"/>
              <w:right w:val="nil"/>
            </w:tcBorders>
            <w:shd w:val="clear" w:color="auto" w:fill="auto"/>
            <w:noWrap/>
            <w:hideMark/>
          </w:tcPr>
          <w:p w:rsidR="00FF755C" w:rsidRPr="00FF755C" w:rsidRDefault="00FF755C" w:rsidP="00FF755C">
            <w:pPr>
              <w:spacing w:before="0" w:after="0"/>
              <w:rPr>
                <w:rFonts w:ascii="Calibri" w:eastAsia="Times New Roman" w:hAnsi="Calibri" w:cs="Times New Roman"/>
                <w:color w:val="000000"/>
                <w:sz w:val="20"/>
                <w:szCs w:val="20"/>
                <w:lang w:eastAsia="cs-CZ"/>
              </w:rPr>
            </w:pPr>
            <w:r w:rsidRPr="00FF755C">
              <w:rPr>
                <w:rFonts w:ascii="Calibri" w:eastAsia="Times New Roman" w:hAnsi="Calibri" w:cs="Times New Roman"/>
                <w:color w:val="000000"/>
                <w:sz w:val="20"/>
                <w:szCs w:val="20"/>
                <w:lang w:eastAsia="cs-CZ"/>
              </w:rPr>
              <w:t>Statistika</w:t>
            </w:r>
          </w:p>
        </w:tc>
        <w:tc>
          <w:tcPr>
            <w:tcW w:w="4394" w:type="dxa"/>
            <w:tcBorders>
              <w:top w:val="nil"/>
              <w:left w:val="nil"/>
              <w:bottom w:val="nil"/>
              <w:right w:val="nil"/>
            </w:tcBorders>
            <w:shd w:val="clear" w:color="auto" w:fill="auto"/>
            <w:noWrap/>
            <w:hideMark/>
          </w:tcPr>
          <w:p w:rsidR="00FF755C" w:rsidRPr="00FF755C" w:rsidRDefault="00FF755C" w:rsidP="00FF755C">
            <w:pPr>
              <w:spacing w:before="0" w:after="0"/>
              <w:rPr>
                <w:rFonts w:ascii="Calibri" w:eastAsia="Times New Roman" w:hAnsi="Calibri" w:cs="Times New Roman"/>
                <w:color w:val="000000"/>
                <w:sz w:val="20"/>
                <w:szCs w:val="20"/>
                <w:lang w:eastAsia="cs-CZ"/>
              </w:rPr>
            </w:pPr>
            <w:r w:rsidRPr="00FF755C">
              <w:rPr>
                <w:rFonts w:ascii="Calibri" w:eastAsia="Times New Roman" w:hAnsi="Calibri" w:cs="Times New Roman"/>
                <w:color w:val="000000"/>
                <w:sz w:val="20"/>
                <w:szCs w:val="20"/>
                <w:lang w:eastAsia="cs-CZ"/>
              </w:rPr>
              <w:t>VUT Brno</w:t>
            </w:r>
          </w:p>
        </w:tc>
      </w:tr>
      <w:tr w:rsidR="00FF755C" w:rsidRPr="00FF755C" w:rsidTr="00F65E21">
        <w:trPr>
          <w:trHeight w:val="282"/>
        </w:trPr>
        <w:tc>
          <w:tcPr>
            <w:tcW w:w="4977" w:type="dxa"/>
            <w:tcBorders>
              <w:top w:val="nil"/>
              <w:left w:val="nil"/>
              <w:bottom w:val="nil"/>
              <w:right w:val="nil"/>
            </w:tcBorders>
            <w:shd w:val="clear" w:color="auto" w:fill="auto"/>
            <w:noWrap/>
            <w:hideMark/>
          </w:tcPr>
          <w:p w:rsidR="00FF755C" w:rsidRPr="00FF755C" w:rsidRDefault="00FF755C" w:rsidP="00FF755C">
            <w:pPr>
              <w:spacing w:before="0" w:after="0"/>
              <w:rPr>
                <w:rFonts w:ascii="Calibri" w:eastAsia="Times New Roman" w:hAnsi="Calibri" w:cs="Times New Roman"/>
                <w:color w:val="000000"/>
                <w:sz w:val="20"/>
                <w:szCs w:val="20"/>
                <w:lang w:eastAsia="cs-CZ"/>
              </w:rPr>
            </w:pPr>
            <w:r w:rsidRPr="00FF755C">
              <w:rPr>
                <w:rFonts w:ascii="Calibri" w:eastAsia="Times New Roman" w:hAnsi="Calibri" w:cs="Times New Roman"/>
                <w:color w:val="000000"/>
                <w:sz w:val="20"/>
                <w:szCs w:val="20"/>
                <w:lang w:eastAsia="cs-CZ"/>
              </w:rPr>
              <w:t>Tvorba GIS aplikací, zpracování geografických dat</w:t>
            </w:r>
          </w:p>
        </w:tc>
        <w:tc>
          <w:tcPr>
            <w:tcW w:w="4394" w:type="dxa"/>
            <w:tcBorders>
              <w:top w:val="nil"/>
              <w:left w:val="nil"/>
              <w:bottom w:val="nil"/>
              <w:right w:val="nil"/>
            </w:tcBorders>
            <w:shd w:val="clear" w:color="auto" w:fill="auto"/>
            <w:noWrap/>
            <w:hideMark/>
          </w:tcPr>
          <w:p w:rsidR="00FF755C" w:rsidRPr="00FF755C" w:rsidRDefault="00FF755C" w:rsidP="00F65E21">
            <w:pPr>
              <w:spacing w:before="0" w:after="0"/>
              <w:rPr>
                <w:rFonts w:ascii="Calibri" w:eastAsia="Times New Roman" w:hAnsi="Calibri" w:cs="Times New Roman"/>
                <w:color w:val="000000"/>
                <w:sz w:val="20"/>
                <w:szCs w:val="20"/>
                <w:lang w:eastAsia="cs-CZ"/>
              </w:rPr>
            </w:pPr>
            <w:r w:rsidRPr="00FF755C">
              <w:rPr>
                <w:rFonts w:ascii="Calibri" w:eastAsia="Times New Roman" w:hAnsi="Calibri" w:cs="Times New Roman"/>
                <w:color w:val="000000"/>
                <w:sz w:val="20"/>
                <w:szCs w:val="20"/>
                <w:lang w:eastAsia="cs-CZ"/>
              </w:rPr>
              <w:t>Z</w:t>
            </w:r>
            <w:r w:rsidR="00F65E21">
              <w:rPr>
                <w:rFonts w:ascii="Calibri" w:eastAsia="Times New Roman" w:hAnsi="Calibri" w:cs="Times New Roman"/>
                <w:color w:val="000000"/>
                <w:sz w:val="20"/>
                <w:szCs w:val="20"/>
                <w:lang w:eastAsia="cs-CZ"/>
              </w:rPr>
              <w:t>ČU</w:t>
            </w:r>
            <w:r w:rsidRPr="00FF755C">
              <w:rPr>
                <w:rFonts w:ascii="Calibri" w:eastAsia="Times New Roman" w:hAnsi="Calibri" w:cs="Times New Roman"/>
                <w:color w:val="000000"/>
                <w:sz w:val="20"/>
                <w:szCs w:val="20"/>
                <w:lang w:eastAsia="cs-CZ"/>
              </w:rPr>
              <w:t xml:space="preserve"> v Plzni, Fakulta aplikovaných věd</w:t>
            </w:r>
          </w:p>
        </w:tc>
      </w:tr>
      <w:tr w:rsidR="00FF755C" w:rsidRPr="00FF755C" w:rsidTr="00F65E21">
        <w:trPr>
          <w:trHeight w:val="282"/>
        </w:trPr>
        <w:tc>
          <w:tcPr>
            <w:tcW w:w="4977" w:type="dxa"/>
            <w:tcBorders>
              <w:top w:val="nil"/>
              <w:left w:val="nil"/>
              <w:bottom w:val="nil"/>
              <w:right w:val="nil"/>
            </w:tcBorders>
            <w:shd w:val="clear" w:color="auto" w:fill="auto"/>
            <w:noWrap/>
            <w:hideMark/>
          </w:tcPr>
          <w:p w:rsidR="00FF755C" w:rsidRPr="00FF755C" w:rsidRDefault="00FF755C" w:rsidP="00FF755C">
            <w:pPr>
              <w:spacing w:before="0" w:after="0"/>
              <w:rPr>
                <w:rFonts w:ascii="Calibri" w:eastAsia="Times New Roman" w:hAnsi="Calibri" w:cs="Times New Roman"/>
                <w:color w:val="000000"/>
                <w:sz w:val="20"/>
                <w:szCs w:val="20"/>
                <w:lang w:eastAsia="cs-CZ"/>
              </w:rPr>
            </w:pPr>
            <w:r w:rsidRPr="00FF755C">
              <w:rPr>
                <w:rFonts w:ascii="Calibri" w:eastAsia="Times New Roman" w:hAnsi="Calibri" w:cs="Times New Roman"/>
                <w:color w:val="000000"/>
                <w:sz w:val="20"/>
                <w:szCs w:val="20"/>
                <w:lang w:eastAsia="cs-CZ"/>
              </w:rPr>
              <w:t>Testování softwarových aplikací</w:t>
            </w:r>
          </w:p>
        </w:tc>
        <w:tc>
          <w:tcPr>
            <w:tcW w:w="4394" w:type="dxa"/>
            <w:tcBorders>
              <w:top w:val="nil"/>
              <w:left w:val="nil"/>
              <w:bottom w:val="nil"/>
              <w:right w:val="nil"/>
            </w:tcBorders>
            <w:shd w:val="clear" w:color="auto" w:fill="auto"/>
            <w:noWrap/>
            <w:hideMark/>
          </w:tcPr>
          <w:p w:rsidR="00FF755C" w:rsidRPr="00FF755C" w:rsidRDefault="00FF755C" w:rsidP="00FF755C">
            <w:pPr>
              <w:spacing w:before="0" w:after="0"/>
              <w:rPr>
                <w:rFonts w:ascii="Calibri" w:eastAsia="Times New Roman" w:hAnsi="Calibri" w:cs="Times New Roman"/>
                <w:color w:val="000000"/>
                <w:sz w:val="20"/>
                <w:szCs w:val="20"/>
                <w:lang w:eastAsia="cs-CZ"/>
              </w:rPr>
            </w:pPr>
            <w:r w:rsidRPr="00FF755C">
              <w:rPr>
                <w:rFonts w:ascii="Calibri" w:eastAsia="Times New Roman" w:hAnsi="Calibri" w:cs="Times New Roman"/>
                <w:color w:val="000000"/>
                <w:sz w:val="20"/>
                <w:szCs w:val="20"/>
                <w:lang w:eastAsia="cs-CZ"/>
              </w:rPr>
              <w:t>Policejní prezidium ČR</w:t>
            </w:r>
          </w:p>
        </w:tc>
      </w:tr>
      <w:tr w:rsidR="00FF755C" w:rsidRPr="00FF755C" w:rsidTr="00F65E21">
        <w:trPr>
          <w:trHeight w:val="282"/>
        </w:trPr>
        <w:tc>
          <w:tcPr>
            <w:tcW w:w="4977" w:type="dxa"/>
            <w:tcBorders>
              <w:top w:val="nil"/>
              <w:left w:val="nil"/>
              <w:bottom w:val="nil"/>
              <w:right w:val="nil"/>
            </w:tcBorders>
            <w:shd w:val="clear" w:color="auto" w:fill="auto"/>
            <w:hideMark/>
          </w:tcPr>
          <w:p w:rsidR="00FF755C" w:rsidRPr="00FF755C" w:rsidRDefault="00FF755C" w:rsidP="00FF755C">
            <w:pPr>
              <w:spacing w:before="0" w:after="0"/>
              <w:rPr>
                <w:rFonts w:ascii="Calibri" w:eastAsia="Times New Roman" w:hAnsi="Calibri" w:cs="Times New Roman"/>
                <w:color w:val="000000"/>
                <w:sz w:val="20"/>
                <w:szCs w:val="20"/>
                <w:lang w:eastAsia="cs-CZ"/>
              </w:rPr>
            </w:pPr>
            <w:r w:rsidRPr="00FF755C">
              <w:rPr>
                <w:rFonts w:ascii="Calibri" w:eastAsia="Times New Roman" w:hAnsi="Calibri" w:cs="Times New Roman"/>
                <w:color w:val="000000"/>
                <w:sz w:val="20"/>
                <w:szCs w:val="20"/>
                <w:lang w:eastAsia="cs-CZ"/>
              </w:rPr>
              <w:t>Modely, znalosti</w:t>
            </w:r>
          </w:p>
        </w:tc>
        <w:tc>
          <w:tcPr>
            <w:tcW w:w="4394" w:type="dxa"/>
            <w:tcBorders>
              <w:top w:val="nil"/>
              <w:left w:val="nil"/>
              <w:bottom w:val="nil"/>
              <w:right w:val="nil"/>
            </w:tcBorders>
            <w:shd w:val="clear" w:color="auto" w:fill="auto"/>
            <w:hideMark/>
          </w:tcPr>
          <w:p w:rsidR="00FF755C" w:rsidRPr="00FF755C" w:rsidRDefault="00FF755C" w:rsidP="00FF755C">
            <w:pPr>
              <w:spacing w:before="0" w:after="0"/>
              <w:rPr>
                <w:rFonts w:ascii="Calibri" w:eastAsia="Times New Roman" w:hAnsi="Calibri" w:cs="Times New Roman"/>
                <w:color w:val="000000"/>
                <w:sz w:val="20"/>
                <w:szCs w:val="20"/>
                <w:lang w:eastAsia="cs-CZ"/>
              </w:rPr>
            </w:pPr>
            <w:r w:rsidRPr="00FF755C">
              <w:rPr>
                <w:rFonts w:ascii="Calibri" w:eastAsia="Times New Roman" w:hAnsi="Calibri" w:cs="Times New Roman"/>
                <w:color w:val="000000"/>
                <w:sz w:val="20"/>
                <w:szCs w:val="20"/>
                <w:lang w:eastAsia="cs-CZ"/>
              </w:rPr>
              <w:t>Ústav fyziky atmosféry AV ČR</w:t>
            </w:r>
          </w:p>
        </w:tc>
      </w:tr>
      <w:tr w:rsidR="00FF755C" w:rsidRPr="00FB3E4C" w:rsidTr="00F65E21">
        <w:trPr>
          <w:trHeight w:val="282"/>
        </w:trPr>
        <w:tc>
          <w:tcPr>
            <w:tcW w:w="4977" w:type="dxa"/>
            <w:tcBorders>
              <w:top w:val="single" w:sz="4" w:space="0" w:color="auto"/>
              <w:left w:val="nil"/>
              <w:bottom w:val="single" w:sz="4" w:space="0" w:color="auto"/>
              <w:right w:val="nil"/>
            </w:tcBorders>
            <w:shd w:val="clear" w:color="auto" w:fill="F2F2F2" w:themeFill="background1" w:themeFillShade="F2"/>
            <w:noWrap/>
            <w:hideMark/>
          </w:tcPr>
          <w:p w:rsidR="00FF755C" w:rsidRPr="00FB3E4C" w:rsidRDefault="00FF755C" w:rsidP="00FF755C">
            <w:pPr>
              <w:spacing w:before="0" w:after="0"/>
              <w:jc w:val="left"/>
              <w:rPr>
                <w:rFonts w:ascii="Calibri" w:eastAsia="Times New Roman" w:hAnsi="Calibri" w:cs="Times New Roman"/>
                <w:b/>
                <w:color w:val="000000"/>
                <w:sz w:val="20"/>
                <w:szCs w:val="20"/>
                <w:lang w:eastAsia="cs-CZ"/>
              </w:rPr>
            </w:pPr>
            <w:r w:rsidRPr="00FB3E4C">
              <w:rPr>
                <w:rFonts w:ascii="Calibri" w:eastAsia="Times New Roman" w:hAnsi="Calibri" w:cs="Times New Roman"/>
                <w:b/>
                <w:color w:val="000000"/>
                <w:sz w:val="20"/>
                <w:szCs w:val="20"/>
                <w:lang w:eastAsia="cs-CZ"/>
              </w:rPr>
              <w:t>Zdravotnictví</w:t>
            </w:r>
          </w:p>
        </w:tc>
        <w:tc>
          <w:tcPr>
            <w:tcW w:w="4394" w:type="dxa"/>
            <w:tcBorders>
              <w:top w:val="single" w:sz="4" w:space="0" w:color="auto"/>
              <w:left w:val="nil"/>
              <w:bottom w:val="single" w:sz="4" w:space="0" w:color="auto"/>
              <w:right w:val="nil"/>
            </w:tcBorders>
            <w:shd w:val="clear" w:color="auto" w:fill="F2F2F2" w:themeFill="background1" w:themeFillShade="F2"/>
            <w:noWrap/>
            <w:hideMark/>
          </w:tcPr>
          <w:p w:rsidR="00FF755C" w:rsidRPr="00FB3E4C" w:rsidRDefault="00FF755C" w:rsidP="00FF755C">
            <w:pPr>
              <w:spacing w:before="0" w:after="0"/>
              <w:jc w:val="left"/>
              <w:rPr>
                <w:rFonts w:ascii="Calibri" w:eastAsia="Times New Roman" w:hAnsi="Calibri" w:cs="Times New Roman"/>
                <w:b/>
                <w:color w:val="000000"/>
                <w:sz w:val="20"/>
                <w:szCs w:val="20"/>
                <w:lang w:eastAsia="cs-CZ"/>
              </w:rPr>
            </w:pPr>
            <w:r w:rsidRPr="00FB3E4C">
              <w:rPr>
                <w:rFonts w:ascii="Calibri" w:eastAsia="Times New Roman" w:hAnsi="Calibri" w:cs="Times New Roman"/>
                <w:b/>
                <w:color w:val="000000"/>
                <w:sz w:val="20"/>
                <w:szCs w:val="20"/>
                <w:lang w:eastAsia="cs-CZ"/>
              </w:rPr>
              <w:t> </w:t>
            </w:r>
          </w:p>
        </w:tc>
      </w:tr>
      <w:tr w:rsidR="00FF755C" w:rsidRPr="00FF755C" w:rsidTr="00F65E21">
        <w:trPr>
          <w:trHeight w:val="282"/>
        </w:trPr>
        <w:tc>
          <w:tcPr>
            <w:tcW w:w="4977" w:type="dxa"/>
            <w:tcBorders>
              <w:top w:val="single" w:sz="4" w:space="0" w:color="auto"/>
              <w:left w:val="nil"/>
              <w:bottom w:val="nil"/>
              <w:right w:val="nil"/>
            </w:tcBorders>
            <w:shd w:val="clear" w:color="auto" w:fill="auto"/>
            <w:hideMark/>
          </w:tcPr>
          <w:p w:rsidR="00FF755C" w:rsidRPr="00FF755C" w:rsidRDefault="00FF755C" w:rsidP="00FF755C">
            <w:pPr>
              <w:spacing w:before="0" w:after="0"/>
              <w:rPr>
                <w:rFonts w:ascii="Calibri" w:eastAsia="Times New Roman" w:hAnsi="Calibri" w:cs="Times New Roman"/>
                <w:color w:val="000000"/>
                <w:sz w:val="20"/>
                <w:szCs w:val="20"/>
                <w:lang w:eastAsia="cs-CZ"/>
              </w:rPr>
            </w:pPr>
            <w:r w:rsidRPr="00FF755C">
              <w:rPr>
                <w:rFonts w:ascii="Calibri" w:eastAsia="Times New Roman" w:hAnsi="Calibri" w:cs="Times New Roman"/>
                <w:color w:val="000000"/>
                <w:sz w:val="20"/>
                <w:szCs w:val="20"/>
                <w:lang w:eastAsia="cs-CZ"/>
              </w:rPr>
              <w:t>Preklinický výzkum a vývoj</w:t>
            </w:r>
          </w:p>
        </w:tc>
        <w:tc>
          <w:tcPr>
            <w:tcW w:w="4394" w:type="dxa"/>
            <w:tcBorders>
              <w:top w:val="single" w:sz="4" w:space="0" w:color="auto"/>
              <w:left w:val="nil"/>
              <w:bottom w:val="nil"/>
              <w:right w:val="nil"/>
            </w:tcBorders>
            <w:shd w:val="clear" w:color="auto" w:fill="auto"/>
            <w:hideMark/>
          </w:tcPr>
          <w:p w:rsidR="00FF755C" w:rsidRPr="00FF755C" w:rsidRDefault="00FF755C" w:rsidP="00FF755C">
            <w:pPr>
              <w:spacing w:before="0" w:after="0"/>
              <w:rPr>
                <w:rFonts w:ascii="Calibri" w:eastAsia="Times New Roman" w:hAnsi="Calibri" w:cs="Times New Roman"/>
                <w:color w:val="000000"/>
                <w:sz w:val="20"/>
                <w:szCs w:val="20"/>
                <w:lang w:eastAsia="cs-CZ"/>
              </w:rPr>
            </w:pPr>
            <w:r w:rsidRPr="00FF755C">
              <w:rPr>
                <w:rFonts w:ascii="Calibri" w:eastAsia="Times New Roman" w:hAnsi="Calibri" w:cs="Times New Roman"/>
                <w:color w:val="000000"/>
                <w:sz w:val="20"/>
                <w:szCs w:val="20"/>
                <w:lang w:eastAsia="cs-CZ"/>
              </w:rPr>
              <w:t>MediTox</w:t>
            </w:r>
          </w:p>
        </w:tc>
      </w:tr>
      <w:tr w:rsidR="00FF755C" w:rsidRPr="00FF755C" w:rsidTr="00F65E21">
        <w:trPr>
          <w:trHeight w:val="282"/>
        </w:trPr>
        <w:tc>
          <w:tcPr>
            <w:tcW w:w="4977" w:type="dxa"/>
            <w:tcBorders>
              <w:top w:val="nil"/>
              <w:left w:val="nil"/>
              <w:bottom w:val="nil"/>
              <w:right w:val="nil"/>
            </w:tcBorders>
            <w:shd w:val="clear" w:color="auto" w:fill="auto"/>
            <w:noWrap/>
            <w:hideMark/>
          </w:tcPr>
          <w:p w:rsidR="00FF755C" w:rsidRPr="00FF755C" w:rsidRDefault="00FF755C" w:rsidP="00FF755C">
            <w:pPr>
              <w:spacing w:before="0" w:after="0"/>
              <w:rPr>
                <w:rFonts w:ascii="Calibri" w:eastAsia="Times New Roman" w:hAnsi="Calibri" w:cs="Times New Roman"/>
                <w:color w:val="000000"/>
                <w:sz w:val="20"/>
                <w:szCs w:val="20"/>
                <w:lang w:eastAsia="cs-CZ"/>
              </w:rPr>
            </w:pPr>
            <w:r w:rsidRPr="00FF755C">
              <w:rPr>
                <w:rFonts w:ascii="Calibri" w:eastAsia="Times New Roman" w:hAnsi="Calibri" w:cs="Times New Roman"/>
                <w:color w:val="000000"/>
                <w:sz w:val="20"/>
                <w:szCs w:val="20"/>
                <w:lang w:eastAsia="cs-CZ"/>
              </w:rPr>
              <w:t>Psychologové a neu</w:t>
            </w:r>
            <w:r w:rsidR="00F65E21">
              <w:rPr>
                <w:rFonts w:ascii="Calibri" w:eastAsia="Times New Roman" w:hAnsi="Calibri" w:cs="Times New Roman"/>
                <w:color w:val="000000"/>
                <w:sz w:val="20"/>
                <w:szCs w:val="20"/>
                <w:lang w:eastAsia="cs-CZ"/>
              </w:rPr>
              <w:t>r</w:t>
            </w:r>
            <w:r w:rsidRPr="00FF755C">
              <w:rPr>
                <w:rFonts w:ascii="Calibri" w:eastAsia="Times New Roman" w:hAnsi="Calibri" w:cs="Times New Roman"/>
                <w:color w:val="000000"/>
                <w:sz w:val="20"/>
                <w:szCs w:val="20"/>
                <w:lang w:eastAsia="cs-CZ"/>
              </w:rPr>
              <w:t>opsychologové</w:t>
            </w:r>
          </w:p>
        </w:tc>
        <w:tc>
          <w:tcPr>
            <w:tcW w:w="4394" w:type="dxa"/>
            <w:tcBorders>
              <w:top w:val="nil"/>
              <w:left w:val="nil"/>
              <w:bottom w:val="nil"/>
              <w:right w:val="nil"/>
            </w:tcBorders>
            <w:shd w:val="clear" w:color="auto" w:fill="auto"/>
            <w:noWrap/>
            <w:hideMark/>
          </w:tcPr>
          <w:p w:rsidR="00FF755C" w:rsidRPr="00FF755C" w:rsidRDefault="00FF755C" w:rsidP="00FF755C">
            <w:pPr>
              <w:spacing w:before="0" w:after="0"/>
              <w:rPr>
                <w:rFonts w:ascii="Calibri" w:eastAsia="Times New Roman" w:hAnsi="Calibri" w:cs="Times New Roman"/>
                <w:color w:val="000000"/>
                <w:sz w:val="20"/>
                <w:szCs w:val="20"/>
                <w:lang w:eastAsia="cs-CZ"/>
              </w:rPr>
            </w:pPr>
            <w:r w:rsidRPr="00FF755C">
              <w:rPr>
                <w:rFonts w:ascii="Calibri" w:eastAsia="Times New Roman" w:hAnsi="Calibri" w:cs="Times New Roman"/>
                <w:color w:val="000000"/>
                <w:sz w:val="20"/>
                <w:szCs w:val="20"/>
                <w:lang w:eastAsia="cs-CZ"/>
              </w:rPr>
              <w:t>Národní ústav duševního zdraví</w:t>
            </w:r>
          </w:p>
        </w:tc>
      </w:tr>
      <w:tr w:rsidR="00FF755C" w:rsidRPr="00FF755C" w:rsidTr="00F65E21">
        <w:trPr>
          <w:trHeight w:val="282"/>
        </w:trPr>
        <w:tc>
          <w:tcPr>
            <w:tcW w:w="4977" w:type="dxa"/>
            <w:tcBorders>
              <w:top w:val="nil"/>
              <w:left w:val="nil"/>
              <w:bottom w:val="nil"/>
              <w:right w:val="nil"/>
            </w:tcBorders>
            <w:shd w:val="clear" w:color="auto" w:fill="auto"/>
            <w:hideMark/>
          </w:tcPr>
          <w:p w:rsidR="00FF755C" w:rsidRPr="00FF755C" w:rsidRDefault="00FF755C" w:rsidP="00FF755C">
            <w:pPr>
              <w:spacing w:before="0" w:after="0"/>
              <w:rPr>
                <w:rFonts w:ascii="Calibri" w:eastAsia="Times New Roman" w:hAnsi="Calibri" w:cs="Times New Roman"/>
                <w:color w:val="000000"/>
                <w:sz w:val="20"/>
                <w:szCs w:val="20"/>
                <w:lang w:eastAsia="cs-CZ"/>
              </w:rPr>
            </w:pPr>
            <w:r w:rsidRPr="00FF755C">
              <w:rPr>
                <w:rFonts w:ascii="Calibri" w:eastAsia="Times New Roman" w:hAnsi="Calibri" w:cs="Times New Roman"/>
                <w:color w:val="000000"/>
                <w:sz w:val="20"/>
                <w:szCs w:val="20"/>
                <w:lang w:eastAsia="cs-CZ"/>
              </w:rPr>
              <w:t>Simulace pracovní zátěže</w:t>
            </w:r>
          </w:p>
        </w:tc>
        <w:tc>
          <w:tcPr>
            <w:tcW w:w="4394" w:type="dxa"/>
            <w:tcBorders>
              <w:top w:val="nil"/>
              <w:left w:val="nil"/>
              <w:bottom w:val="nil"/>
              <w:right w:val="nil"/>
            </w:tcBorders>
            <w:shd w:val="clear" w:color="auto" w:fill="auto"/>
            <w:hideMark/>
          </w:tcPr>
          <w:p w:rsidR="00FF755C" w:rsidRPr="00FF755C" w:rsidRDefault="00FF755C" w:rsidP="00FF755C">
            <w:pPr>
              <w:spacing w:before="0" w:after="0"/>
              <w:rPr>
                <w:rFonts w:ascii="Calibri" w:eastAsia="Times New Roman" w:hAnsi="Calibri" w:cs="Times New Roman"/>
                <w:color w:val="000000"/>
                <w:sz w:val="20"/>
                <w:szCs w:val="20"/>
                <w:lang w:eastAsia="cs-CZ"/>
              </w:rPr>
            </w:pPr>
            <w:r w:rsidRPr="00FF755C">
              <w:rPr>
                <w:rFonts w:ascii="Calibri" w:eastAsia="Times New Roman" w:hAnsi="Calibri" w:cs="Times New Roman"/>
                <w:color w:val="000000"/>
                <w:sz w:val="20"/>
                <w:szCs w:val="20"/>
                <w:lang w:eastAsia="cs-CZ"/>
              </w:rPr>
              <w:t>HZS ČR</w:t>
            </w:r>
          </w:p>
        </w:tc>
      </w:tr>
      <w:tr w:rsidR="00FF755C" w:rsidRPr="00FF755C" w:rsidTr="00F65E21">
        <w:trPr>
          <w:trHeight w:val="282"/>
        </w:trPr>
        <w:tc>
          <w:tcPr>
            <w:tcW w:w="4977" w:type="dxa"/>
            <w:tcBorders>
              <w:top w:val="nil"/>
              <w:left w:val="nil"/>
              <w:bottom w:val="nil"/>
              <w:right w:val="nil"/>
            </w:tcBorders>
            <w:shd w:val="clear" w:color="auto" w:fill="auto"/>
            <w:hideMark/>
          </w:tcPr>
          <w:p w:rsidR="00FF755C" w:rsidRPr="00FF755C" w:rsidRDefault="00FF755C" w:rsidP="00FF755C">
            <w:pPr>
              <w:spacing w:before="0" w:after="0"/>
              <w:rPr>
                <w:rFonts w:ascii="Calibri" w:eastAsia="Times New Roman" w:hAnsi="Calibri" w:cs="Times New Roman"/>
                <w:color w:val="000000"/>
                <w:sz w:val="20"/>
                <w:szCs w:val="20"/>
                <w:lang w:eastAsia="cs-CZ"/>
              </w:rPr>
            </w:pPr>
            <w:r w:rsidRPr="00FF755C">
              <w:rPr>
                <w:rFonts w:ascii="Calibri" w:eastAsia="Times New Roman" w:hAnsi="Calibri" w:cs="Times New Roman"/>
                <w:color w:val="000000"/>
                <w:sz w:val="20"/>
                <w:szCs w:val="20"/>
                <w:lang w:eastAsia="cs-CZ"/>
              </w:rPr>
              <w:t>Stanovení VDD</w:t>
            </w:r>
          </w:p>
        </w:tc>
        <w:tc>
          <w:tcPr>
            <w:tcW w:w="4394" w:type="dxa"/>
            <w:tcBorders>
              <w:top w:val="nil"/>
              <w:left w:val="nil"/>
              <w:bottom w:val="nil"/>
              <w:right w:val="nil"/>
            </w:tcBorders>
            <w:shd w:val="clear" w:color="auto" w:fill="auto"/>
            <w:hideMark/>
          </w:tcPr>
          <w:p w:rsidR="00FF755C" w:rsidRPr="00FF755C" w:rsidRDefault="00FF755C" w:rsidP="00FF755C">
            <w:pPr>
              <w:spacing w:before="0" w:after="0"/>
              <w:rPr>
                <w:rFonts w:ascii="Calibri" w:eastAsia="Times New Roman" w:hAnsi="Calibri" w:cs="Times New Roman"/>
                <w:color w:val="000000"/>
                <w:sz w:val="20"/>
                <w:szCs w:val="20"/>
                <w:lang w:eastAsia="cs-CZ"/>
              </w:rPr>
            </w:pPr>
            <w:r w:rsidRPr="00FF755C">
              <w:rPr>
                <w:rFonts w:ascii="Calibri" w:eastAsia="Times New Roman" w:hAnsi="Calibri" w:cs="Times New Roman"/>
                <w:color w:val="000000"/>
                <w:sz w:val="20"/>
                <w:szCs w:val="20"/>
                <w:lang w:eastAsia="cs-CZ"/>
              </w:rPr>
              <w:t>3. LF UK Praha</w:t>
            </w:r>
          </w:p>
        </w:tc>
      </w:tr>
      <w:tr w:rsidR="0077254C" w:rsidRPr="00FF755C" w:rsidTr="00C40AB4">
        <w:trPr>
          <w:trHeight w:val="282"/>
        </w:trPr>
        <w:tc>
          <w:tcPr>
            <w:tcW w:w="4977" w:type="dxa"/>
            <w:tcBorders>
              <w:top w:val="nil"/>
              <w:left w:val="nil"/>
              <w:bottom w:val="nil"/>
              <w:right w:val="nil"/>
            </w:tcBorders>
            <w:shd w:val="clear" w:color="auto" w:fill="auto"/>
            <w:hideMark/>
          </w:tcPr>
          <w:p w:rsidR="0077254C" w:rsidRPr="00FF755C" w:rsidRDefault="0077254C" w:rsidP="00C40AB4">
            <w:pPr>
              <w:spacing w:before="0" w:after="0"/>
              <w:rPr>
                <w:rFonts w:ascii="Calibri" w:eastAsia="Times New Roman" w:hAnsi="Calibri" w:cs="Times New Roman"/>
                <w:color w:val="000000"/>
                <w:sz w:val="20"/>
                <w:szCs w:val="20"/>
                <w:lang w:eastAsia="cs-CZ"/>
              </w:rPr>
            </w:pPr>
            <w:r w:rsidRPr="00FF755C">
              <w:rPr>
                <w:rFonts w:ascii="Calibri" w:eastAsia="Times New Roman" w:hAnsi="Calibri" w:cs="Times New Roman"/>
                <w:color w:val="000000"/>
                <w:sz w:val="20"/>
                <w:szCs w:val="20"/>
                <w:lang w:eastAsia="cs-CZ"/>
              </w:rPr>
              <w:t>Zakázková syntéza, klinické studie</w:t>
            </w:r>
          </w:p>
        </w:tc>
        <w:tc>
          <w:tcPr>
            <w:tcW w:w="4394" w:type="dxa"/>
            <w:tcBorders>
              <w:top w:val="nil"/>
              <w:left w:val="nil"/>
              <w:bottom w:val="nil"/>
              <w:right w:val="nil"/>
            </w:tcBorders>
            <w:shd w:val="clear" w:color="auto" w:fill="auto"/>
            <w:hideMark/>
          </w:tcPr>
          <w:p w:rsidR="0077254C" w:rsidRPr="00FF755C" w:rsidRDefault="0077254C" w:rsidP="00C40AB4">
            <w:pPr>
              <w:spacing w:before="0" w:after="0"/>
              <w:rPr>
                <w:rFonts w:ascii="Calibri" w:eastAsia="Times New Roman" w:hAnsi="Calibri" w:cs="Times New Roman"/>
                <w:color w:val="000000"/>
                <w:sz w:val="20"/>
                <w:szCs w:val="20"/>
                <w:lang w:eastAsia="cs-CZ"/>
              </w:rPr>
            </w:pPr>
            <w:r w:rsidRPr="00FF755C">
              <w:rPr>
                <w:rFonts w:ascii="Calibri" w:eastAsia="Times New Roman" w:hAnsi="Calibri" w:cs="Times New Roman"/>
                <w:color w:val="000000"/>
                <w:sz w:val="20"/>
                <w:szCs w:val="20"/>
                <w:lang w:eastAsia="cs-CZ"/>
              </w:rPr>
              <w:t>Apigenex</w:t>
            </w:r>
          </w:p>
        </w:tc>
      </w:tr>
      <w:tr w:rsidR="00FF755C" w:rsidRPr="00FF755C" w:rsidTr="00F65E21">
        <w:trPr>
          <w:trHeight w:val="282"/>
        </w:trPr>
        <w:tc>
          <w:tcPr>
            <w:tcW w:w="4977" w:type="dxa"/>
            <w:tcBorders>
              <w:top w:val="nil"/>
              <w:left w:val="nil"/>
              <w:bottom w:val="single" w:sz="4" w:space="0" w:color="auto"/>
              <w:right w:val="nil"/>
            </w:tcBorders>
            <w:shd w:val="clear" w:color="auto" w:fill="auto"/>
            <w:hideMark/>
          </w:tcPr>
          <w:p w:rsidR="00FF755C" w:rsidRPr="00FF755C" w:rsidRDefault="00FF755C" w:rsidP="00FF755C">
            <w:pPr>
              <w:spacing w:before="0" w:after="0"/>
              <w:rPr>
                <w:rFonts w:ascii="Calibri" w:eastAsia="Times New Roman" w:hAnsi="Calibri" w:cs="Times New Roman"/>
                <w:color w:val="000000"/>
                <w:sz w:val="20"/>
                <w:szCs w:val="20"/>
                <w:lang w:eastAsia="cs-CZ"/>
              </w:rPr>
            </w:pPr>
            <w:r w:rsidRPr="00FF755C">
              <w:rPr>
                <w:rFonts w:ascii="Calibri" w:eastAsia="Times New Roman" w:hAnsi="Calibri" w:cs="Times New Roman"/>
                <w:color w:val="000000"/>
                <w:sz w:val="20"/>
                <w:szCs w:val="20"/>
                <w:lang w:eastAsia="cs-CZ"/>
              </w:rPr>
              <w:t>Farmakologie, toxikologie, diagnostika</w:t>
            </w:r>
          </w:p>
        </w:tc>
        <w:tc>
          <w:tcPr>
            <w:tcW w:w="4394" w:type="dxa"/>
            <w:tcBorders>
              <w:top w:val="nil"/>
              <w:left w:val="nil"/>
              <w:bottom w:val="single" w:sz="4" w:space="0" w:color="auto"/>
              <w:right w:val="nil"/>
            </w:tcBorders>
            <w:shd w:val="clear" w:color="auto" w:fill="auto"/>
            <w:hideMark/>
          </w:tcPr>
          <w:p w:rsidR="00FF755C" w:rsidRPr="00FF755C" w:rsidRDefault="00FF755C" w:rsidP="00FF755C">
            <w:pPr>
              <w:spacing w:before="0" w:after="0"/>
              <w:rPr>
                <w:rFonts w:ascii="Calibri" w:eastAsia="Times New Roman" w:hAnsi="Calibri" w:cs="Times New Roman"/>
                <w:color w:val="000000"/>
                <w:sz w:val="20"/>
                <w:szCs w:val="20"/>
                <w:lang w:eastAsia="cs-CZ"/>
              </w:rPr>
            </w:pPr>
            <w:r w:rsidRPr="00FF755C">
              <w:rPr>
                <w:rFonts w:ascii="Calibri" w:eastAsia="Times New Roman" w:hAnsi="Calibri" w:cs="Times New Roman"/>
                <w:color w:val="000000"/>
                <w:sz w:val="20"/>
                <w:szCs w:val="20"/>
                <w:lang w:eastAsia="cs-CZ"/>
              </w:rPr>
              <w:t>Institute of Molecular and Translational Medicine UP Olomouc</w:t>
            </w:r>
          </w:p>
        </w:tc>
      </w:tr>
      <w:tr w:rsidR="00FF755C" w:rsidRPr="00FB3E4C" w:rsidTr="00F65E21">
        <w:trPr>
          <w:trHeight w:val="282"/>
        </w:trPr>
        <w:tc>
          <w:tcPr>
            <w:tcW w:w="4977" w:type="dxa"/>
            <w:tcBorders>
              <w:top w:val="single" w:sz="4" w:space="0" w:color="auto"/>
              <w:left w:val="nil"/>
              <w:bottom w:val="single" w:sz="4" w:space="0" w:color="auto"/>
              <w:right w:val="nil"/>
            </w:tcBorders>
            <w:shd w:val="clear" w:color="auto" w:fill="F2F2F2" w:themeFill="background1" w:themeFillShade="F2"/>
            <w:noWrap/>
            <w:hideMark/>
          </w:tcPr>
          <w:p w:rsidR="00FF755C" w:rsidRPr="00FB3E4C" w:rsidRDefault="00FF755C" w:rsidP="00FF755C">
            <w:pPr>
              <w:spacing w:before="0" w:after="0"/>
              <w:jc w:val="left"/>
              <w:rPr>
                <w:rFonts w:ascii="Calibri" w:eastAsia="Times New Roman" w:hAnsi="Calibri" w:cs="Times New Roman"/>
                <w:b/>
                <w:color w:val="000000"/>
                <w:sz w:val="20"/>
                <w:szCs w:val="20"/>
                <w:lang w:eastAsia="cs-CZ"/>
              </w:rPr>
            </w:pPr>
            <w:r w:rsidRPr="00FB3E4C">
              <w:rPr>
                <w:rFonts w:ascii="Calibri" w:eastAsia="Times New Roman" w:hAnsi="Calibri" w:cs="Times New Roman"/>
                <w:b/>
                <w:color w:val="000000"/>
                <w:sz w:val="20"/>
                <w:szCs w:val="20"/>
                <w:lang w:eastAsia="cs-CZ"/>
              </w:rPr>
              <w:t>Využití polygonů, speciálních prostor a zařízení</w:t>
            </w:r>
          </w:p>
        </w:tc>
        <w:tc>
          <w:tcPr>
            <w:tcW w:w="4394" w:type="dxa"/>
            <w:tcBorders>
              <w:top w:val="single" w:sz="4" w:space="0" w:color="auto"/>
              <w:left w:val="nil"/>
              <w:bottom w:val="single" w:sz="4" w:space="0" w:color="auto"/>
              <w:right w:val="nil"/>
            </w:tcBorders>
            <w:shd w:val="clear" w:color="auto" w:fill="F2F2F2" w:themeFill="background1" w:themeFillShade="F2"/>
            <w:noWrap/>
            <w:hideMark/>
          </w:tcPr>
          <w:p w:rsidR="00FF755C" w:rsidRPr="00FB3E4C" w:rsidRDefault="00FF755C" w:rsidP="00FF755C">
            <w:pPr>
              <w:spacing w:before="0" w:after="0"/>
              <w:jc w:val="left"/>
              <w:rPr>
                <w:rFonts w:ascii="Calibri" w:eastAsia="Times New Roman" w:hAnsi="Calibri" w:cs="Times New Roman"/>
                <w:b/>
                <w:color w:val="000000"/>
                <w:sz w:val="20"/>
                <w:szCs w:val="20"/>
                <w:lang w:eastAsia="cs-CZ"/>
              </w:rPr>
            </w:pPr>
            <w:r w:rsidRPr="00FB3E4C">
              <w:rPr>
                <w:rFonts w:ascii="Calibri" w:eastAsia="Times New Roman" w:hAnsi="Calibri" w:cs="Times New Roman"/>
                <w:b/>
                <w:color w:val="000000"/>
                <w:sz w:val="20"/>
                <w:szCs w:val="20"/>
                <w:lang w:eastAsia="cs-CZ"/>
              </w:rPr>
              <w:t> </w:t>
            </w:r>
          </w:p>
        </w:tc>
      </w:tr>
      <w:tr w:rsidR="00FF755C" w:rsidRPr="00FF755C" w:rsidTr="00F65E21">
        <w:trPr>
          <w:trHeight w:val="282"/>
        </w:trPr>
        <w:tc>
          <w:tcPr>
            <w:tcW w:w="4977" w:type="dxa"/>
            <w:tcBorders>
              <w:top w:val="single" w:sz="4" w:space="0" w:color="auto"/>
              <w:left w:val="nil"/>
              <w:bottom w:val="nil"/>
              <w:right w:val="nil"/>
            </w:tcBorders>
            <w:shd w:val="clear" w:color="auto" w:fill="auto"/>
            <w:noWrap/>
            <w:hideMark/>
          </w:tcPr>
          <w:p w:rsidR="00FF755C" w:rsidRPr="00FF755C" w:rsidRDefault="00FF755C" w:rsidP="00FF755C">
            <w:pPr>
              <w:spacing w:before="0" w:after="0"/>
              <w:rPr>
                <w:rFonts w:ascii="Calibri" w:eastAsia="Times New Roman" w:hAnsi="Calibri" w:cs="Times New Roman"/>
                <w:color w:val="000000"/>
                <w:sz w:val="20"/>
                <w:szCs w:val="20"/>
                <w:lang w:eastAsia="cs-CZ"/>
              </w:rPr>
            </w:pPr>
            <w:r w:rsidRPr="00FF755C">
              <w:rPr>
                <w:rFonts w:ascii="Calibri" w:eastAsia="Times New Roman" w:hAnsi="Calibri" w:cs="Times New Roman"/>
                <w:color w:val="000000"/>
                <w:sz w:val="20"/>
                <w:szCs w:val="20"/>
                <w:lang w:eastAsia="cs-CZ"/>
              </w:rPr>
              <w:t>Střelecký tunel</w:t>
            </w:r>
          </w:p>
        </w:tc>
        <w:tc>
          <w:tcPr>
            <w:tcW w:w="4394" w:type="dxa"/>
            <w:tcBorders>
              <w:top w:val="single" w:sz="4" w:space="0" w:color="auto"/>
              <w:left w:val="nil"/>
              <w:bottom w:val="nil"/>
              <w:right w:val="nil"/>
            </w:tcBorders>
            <w:shd w:val="clear" w:color="auto" w:fill="auto"/>
            <w:noWrap/>
            <w:hideMark/>
          </w:tcPr>
          <w:p w:rsidR="00FF755C" w:rsidRPr="00FF755C" w:rsidRDefault="00FF755C" w:rsidP="00FF755C">
            <w:pPr>
              <w:spacing w:before="0" w:after="0"/>
              <w:rPr>
                <w:rFonts w:ascii="Calibri" w:eastAsia="Times New Roman" w:hAnsi="Calibri" w:cs="Times New Roman"/>
                <w:color w:val="000000"/>
                <w:sz w:val="20"/>
                <w:szCs w:val="20"/>
                <w:lang w:eastAsia="cs-CZ"/>
              </w:rPr>
            </w:pPr>
            <w:r w:rsidRPr="00FF755C">
              <w:rPr>
                <w:rFonts w:ascii="Calibri" w:eastAsia="Times New Roman" w:hAnsi="Calibri" w:cs="Times New Roman"/>
                <w:color w:val="000000"/>
                <w:sz w:val="20"/>
                <w:szCs w:val="20"/>
                <w:lang w:eastAsia="cs-CZ"/>
              </w:rPr>
              <w:t>Prototypa, a.s.</w:t>
            </w:r>
          </w:p>
        </w:tc>
      </w:tr>
      <w:tr w:rsidR="00FF755C" w:rsidRPr="00FF755C" w:rsidTr="00F65E21">
        <w:trPr>
          <w:trHeight w:val="282"/>
        </w:trPr>
        <w:tc>
          <w:tcPr>
            <w:tcW w:w="4977" w:type="dxa"/>
            <w:tcBorders>
              <w:top w:val="nil"/>
              <w:left w:val="nil"/>
              <w:bottom w:val="nil"/>
              <w:right w:val="nil"/>
            </w:tcBorders>
            <w:shd w:val="clear" w:color="auto" w:fill="auto"/>
            <w:hideMark/>
          </w:tcPr>
          <w:p w:rsidR="00FF755C" w:rsidRPr="00FF755C" w:rsidRDefault="00FF755C" w:rsidP="00FF755C">
            <w:pPr>
              <w:spacing w:before="0" w:after="0"/>
              <w:rPr>
                <w:rFonts w:ascii="Calibri" w:eastAsia="Times New Roman" w:hAnsi="Calibri" w:cs="Times New Roman"/>
                <w:color w:val="000000"/>
                <w:sz w:val="20"/>
                <w:szCs w:val="20"/>
                <w:lang w:eastAsia="cs-CZ"/>
              </w:rPr>
            </w:pPr>
            <w:r w:rsidRPr="00FF755C">
              <w:rPr>
                <w:rFonts w:ascii="Calibri" w:eastAsia="Times New Roman" w:hAnsi="Calibri" w:cs="Times New Roman"/>
                <w:color w:val="000000"/>
                <w:sz w:val="20"/>
                <w:szCs w:val="20"/>
                <w:lang w:eastAsia="cs-CZ"/>
              </w:rPr>
              <w:t>Venkovní střelnice a trhací jáma</w:t>
            </w:r>
          </w:p>
        </w:tc>
        <w:tc>
          <w:tcPr>
            <w:tcW w:w="4394" w:type="dxa"/>
            <w:tcBorders>
              <w:top w:val="nil"/>
              <w:left w:val="nil"/>
              <w:bottom w:val="nil"/>
              <w:right w:val="nil"/>
            </w:tcBorders>
            <w:shd w:val="clear" w:color="auto" w:fill="auto"/>
            <w:hideMark/>
          </w:tcPr>
          <w:p w:rsidR="00FF755C" w:rsidRPr="00FF755C" w:rsidRDefault="00FF755C" w:rsidP="00FF755C">
            <w:pPr>
              <w:spacing w:before="0" w:after="0"/>
              <w:rPr>
                <w:rFonts w:ascii="Calibri" w:eastAsia="Times New Roman" w:hAnsi="Calibri" w:cs="Times New Roman"/>
                <w:color w:val="000000"/>
                <w:sz w:val="20"/>
                <w:szCs w:val="20"/>
                <w:lang w:eastAsia="cs-CZ"/>
              </w:rPr>
            </w:pPr>
            <w:r w:rsidRPr="00FF755C">
              <w:rPr>
                <w:rFonts w:ascii="Calibri" w:eastAsia="Times New Roman" w:hAnsi="Calibri" w:cs="Times New Roman"/>
                <w:color w:val="000000"/>
                <w:sz w:val="20"/>
                <w:szCs w:val="20"/>
                <w:lang w:eastAsia="cs-CZ"/>
              </w:rPr>
              <w:t>STV group. a.s.</w:t>
            </w:r>
          </w:p>
        </w:tc>
      </w:tr>
      <w:tr w:rsidR="00FF755C" w:rsidRPr="00FF755C" w:rsidTr="00F65E21">
        <w:trPr>
          <w:trHeight w:val="282"/>
        </w:trPr>
        <w:tc>
          <w:tcPr>
            <w:tcW w:w="4977" w:type="dxa"/>
            <w:tcBorders>
              <w:top w:val="nil"/>
              <w:left w:val="nil"/>
              <w:bottom w:val="nil"/>
              <w:right w:val="nil"/>
            </w:tcBorders>
            <w:shd w:val="clear" w:color="auto" w:fill="auto"/>
            <w:noWrap/>
            <w:hideMark/>
          </w:tcPr>
          <w:p w:rsidR="00FF755C" w:rsidRPr="00FF755C" w:rsidRDefault="00FF755C" w:rsidP="00FF755C">
            <w:pPr>
              <w:spacing w:before="0" w:after="0"/>
              <w:rPr>
                <w:rFonts w:ascii="Calibri" w:eastAsia="Times New Roman" w:hAnsi="Calibri" w:cs="Times New Roman"/>
                <w:color w:val="000000"/>
                <w:sz w:val="20"/>
                <w:szCs w:val="20"/>
                <w:lang w:eastAsia="cs-CZ"/>
              </w:rPr>
            </w:pPr>
            <w:r w:rsidRPr="00FF755C">
              <w:rPr>
                <w:rFonts w:ascii="Calibri" w:eastAsia="Times New Roman" w:hAnsi="Calibri" w:cs="Times New Roman"/>
                <w:color w:val="000000"/>
                <w:sz w:val="20"/>
                <w:szCs w:val="20"/>
                <w:lang w:eastAsia="cs-CZ"/>
              </w:rPr>
              <w:t>Zkušební střelnice</w:t>
            </w:r>
          </w:p>
        </w:tc>
        <w:tc>
          <w:tcPr>
            <w:tcW w:w="4394" w:type="dxa"/>
            <w:tcBorders>
              <w:top w:val="nil"/>
              <w:left w:val="nil"/>
              <w:bottom w:val="nil"/>
              <w:right w:val="nil"/>
            </w:tcBorders>
            <w:shd w:val="clear" w:color="auto" w:fill="auto"/>
            <w:noWrap/>
            <w:hideMark/>
          </w:tcPr>
          <w:p w:rsidR="00FF755C" w:rsidRPr="00FF755C" w:rsidRDefault="00FF755C" w:rsidP="00FF755C">
            <w:pPr>
              <w:spacing w:before="0" w:after="0"/>
              <w:rPr>
                <w:rFonts w:ascii="Calibri" w:eastAsia="Times New Roman" w:hAnsi="Calibri" w:cs="Times New Roman"/>
                <w:color w:val="000000"/>
                <w:sz w:val="20"/>
                <w:szCs w:val="20"/>
                <w:lang w:eastAsia="cs-CZ"/>
              </w:rPr>
            </w:pPr>
            <w:r w:rsidRPr="00FF755C">
              <w:rPr>
                <w:rFonts w:ascii="Calibri" w:eastAsia="Times New Roman" w:hAnsi="Calibri" w:cs="Times New Roman"/>
                <w:color w:val="000000"/>
                <w:sz w:val="20"/>
                <w:szCs w:val="20"/>
                <w:lang w:eastAsia="cs-CZ"/>
              </w:rPr>
              <w:t>Prototypa a.s.</w:t>
            </w:r>
          </w:p>
        </w:tc>
      </w:tr>
      <w:tr w:rsidR="00FF755C" w:rsidRPr="00FF755C" w:rsidTr="00F65E21">
        <w:trPr>
          <w:trHeight w:val="282"/>
        </w:trPr>
        <w:tc>
          <w:tcPr>
            <w:tcW w:w="4977" w:type="dxa"/>
            <w:tcBorders>
              <w:top w:val="nil"/>
              <w:left w:val="nil"/>
              <w:bottom w:val="nil"/>
              <w:right w:val="nil"/>
            </w:tcBorders>
            <w:shd w:val="clear" w:color="auto" w:fill="auto"/>
            <w:noWrap/>
            <w:hideMark/>
          </w:tcPr>
          <w:p w:rsidR="00FF755C" w:rsidRPr="00FF755C" w:rsidRDefault="00FF755C" w:rsidP="00FF755C">
            <w:pPr>
              <w:spacing w:before="0" w:after="0"/>
              <w:rPr>
                <w:rFonts w:ascii="Calibri" w:eastAsia="Times New Roman" w:hAnsi="Calibri" w:cs="Times New Roman"/>
                <w:color w:val="000000"/>
                <w:sz w:val="20"/>
                <w:szCs w:val="20"/>
                <w:lang w:eastAsia="cs-CZ"/>
              </w:rPr>
            </w:pPr>
            <w:r w:rsidRPr="00FF755C">
              <w:rPr>
                <w:rFonts w:ascii="Calibri" w:eastAsia="Times New Roman" w:hAnsi="Calibri" w:cs="Times New Roman"/>
                <w:color w:val="000000"/>
                <w:sz w:val="20"/>
                <w:szCs w:val="20"/>
                <w:lang w:eastAsia="cs-CZ"/>
              </w:rPr>
              <w:t>Zkušební střelnice</w:t>
            </w:r>
          </w:p>
        </w:tc>
        <w:tc>
          <w:tcPr>
            <w:tcW w:w="4394" w:type="dxa"/>
            <w:tcBorders>
              <w:top w:val="nil"/>
              <w:left w:val="nil"/>
              <w:bottom w:val="nil"/>
              <w:right w:val="nil"/>
            </w:tcBorders>
            <w:shd w:val="clear" w:color="auto" w:fill="auto"/>
            <w:noWrap/>
            <w:hideMark/>
          </w:tcPr>
          <w:p w:rsidR="00FF755C" w:rsidRPr="00FF755C" w:rsidRDefault="00FF755C" w:rsidP="00FF755C">
            <w:pPr>
              <w:spacing w:before="0" w:after="0"/>
              <w:rPr>
                <w:rFonts w:ascii="Calibri" w:eastAsia="Times New Roman" w:hAnsi="Calibri" w:cs="Times New Roman"/>
                <w:color w:val="000000"/>
                <w:sz w:val="20"/>
                <w:szCs w:val="20"/>
                <w:lang w:eastAsia="cs-CZ"/>
              </w:rPr>
            </w:pPr>
            <w:r w:rsidRPr="00FF755C">
              <w:rPr>
                <w:rFonts w:ascii="Calibri" w:eastAsia="Times New Roman" w:hAnsi="Calibri" w:cs="Times New Roman"/>
                <w:color w:val="000000"/>
                <w:sz w:val="20"/>
                <w:szCs w:val="20"/>
                <w:lang w:eastAsia="cs-CZ"/>
              </w:rPr>
              <w:t>Poličské strojírny a.s.</w:t>
            </w:r>
          </w:p>
        </w:tc>
      </w:tr>
      <w:tr w:rsidR="00FF755C" w:rsidRPr="00FF755C" w:rsidTr="00F65E21">
        <w:trPr>
          <w:trHeight w:val="282"/>
        </w:trPr>
        <w:tc>
          <w:tcPr>
            <w:tcW w:w="4977" w:type="dxa"/>
            <w:tcBorders>
              <w:top w:val="nil"/>
              <w:left w:val="nil"/>
              <w:bottom w:val="nil"/>
              <w:right w:val="nil"/>
            </w:tcBorders>
            <w:shd w:val="clear" w:color="auto" w:fill="auto"/>
            <w:noWrap/>
            <w:hideMark/>
          </w:tcPr>
          <w:p w:rsidR="00FF755C" w:rsidRPr="00FF755C" w:rsidRDefault="00FF755C" w:rsidP="00FF755C">
            <w:pPr>
              <w:spacing w:before="0" w:after="0"/>
              <w:rPr>
                <w:rFonts w:ascii="Calibri" w:eastAsia="Times New Roman" w:hAnsi="Calibri" w:cs="Times New Roman"/>
                <w:color w:val="000000"/>
                <w:sz w:val="20"/>
                <w:szCs w:val="20"/>
                <w:lang w:eastAsia="cs-CZ"/>
              </w:rPr>
            </w:pPr>
            <w:r w:rsidRPr="00FF755C">
              <w:rPr>
                <w:rFonts w:ascii="Calibri" w:eastAsia="Times New Roman" w:hAnsi="Calibri" w:cs="Times New Roman"/>
                <w:color w:val="000000"/>
                <w:sz w:val="20"/>
                <w:szCs w:val="20"/>
                <w:lang w:eastAsia="cs-CZ"/>
              </w:rPr>
              <w:t>Ochrana perimetru</w:t>
            </w:r>
          </w:p>
        </w:tc>
        <w:tc>
          <w:tcPr>
            <w:tcW w:w="4394" w:type="dxa"/>
            <w:tcBorders>
              <w:top w:val="nil"/>
              <w:left w:val="nil"/>
              <w:bottom w:val="nil"/>
              <w:right w:val="nil"/>
            </w:tcBorders>
            <w:shd w:val="clear" w:color="auto" w:fill="auto"/>
            <w:noWrap/>
            <w:hideMark/>
          </w:tcPr>
          <w:p w:rsidR="00FF755C" w:rsidRPr="00FF755C" w:rsidRDefault="00FF755C" w:rsidP="00FF755C">
            <w:pPr>
              <w:spacing w:before="0" w:after="0"/>
              <w:rPr>
                <w:rFonts w:ascii="Calibri" w:eastAsia="Times New Roman" w:hAnsi="Calibri" w:cs="Times New Roman"/>
                <w:color w:val="000000"/>
                <w:sz w:val="20"/>
                <w:szCs w:val="20"/>
                <w:lang w:eastAsia="cs-CZ"/>
              </w:rPr>
            </w:pPr>
            <w:r w:rsidRPr="00FF755C">
              <w:rPr>
                <w:rFonts w:ascii="Calibri" w:eastAsia="Times New Roman" w:hAnsi="Calibri" w:cs="Times New Roman"/>
                <w:color w:val="000000"/>
                <w:sz w:val="20"/>
                <w:szCs w:val="20"/>
                <w:lang w:eastAsia="cs-CZ"/>
              </w:rPr>
              <w:t>OPROX a.s.</w:t>
            </w:r>
          </w:p>
        </w:tc>
      </w:tr>
      <w:tr w:rsidR="00FF755C" w:rsidRPr="00FF755C" w:rsidTr="00F65E21">
        <w:trPr>
          <w:trHeight w:val="282"/>
        </w:trPr>
        <w:tc>
          <w:tcPr>
            <w:tcW w:w="4977" w:type="dxa"/>
            <w:tcBorders>
              <w:top w:val="nil"/>
              <w:left w:val="nil"/>
              <w:bottom w:val="nil"/>
              <w:right w:val="nil"/>
            </w:tcBorders>
            <w:shd w:val="clear" w:color="auto" w:fill="auto"/>
            <w:noWrap/>
            <w:hideMark/>
          </w:tcPr>
          <w:p w:rsidR="00FF755C" w:rsidRPr="00FF755C" w:rsidRDefault="00FF755C" w:rsidP="00FF755C">
            <w:pPr>
              <w:spacing w:before="0" w:after="0"/>
              <w:rPr>
                <w:rFonts w:ascii="Calibri" w:eastAsia="Times New Roman" w:hAnsi="Calibri" w:cs="Times New Roman"/>
                <w:color w:val="000000"/>
                <w:sz w:val="20"/>
                <w:szCs w:val="20"/>
                <w:lang w:eastAsia="cs-CZ"/>
              </w:rPr>
            </w:pPr>
            <w:r w:rsidRPr="00FF755C">
              <w:rPr>
                <w:rFonts w:ascii="Calibri" w:eastAsia="Times New Roman" w:hAnsi="Calibri" w:cs="Times New Roman"/>
                <w:color w:val="000000"/>
                <w:sz w:val="20"/>
                <w:szCs w:val="20"/>
                <w:lang w:eastAsia="cs-CZ"/>
              </w:rPr>
              <w:t>Polygony pro in situ experimenty</w:t>
            </w:r>
          </w:p>
        </w:tc>
        <w:tc>
          <w:tcPr>
            <w:tcW w:w="4394" w:type="dxa"/>
            <w:tcBorders>
              <w:top w:val="nil"/>
              <w:left w:val="nil"/>
              <w:bottom w:val="nil"/>
              <w:right w:val="nil"/>
            </w:tcBorders>
            <w:shd w:val="clear" w:color="auto" w:fill="auto"/>
            <w:noWrap/>
            <w:hideMark/>
          </w:tcPr>
          <w:p w:rsidR="00FF755C" w:rsidRPr="00FF755C" w:rsidRDefault="00FF755C" w:rsidP="00FF755C">
            <w:pPr>
              <w:spacing w:before="0" w:after="0"/>
              <w:rPr>
                <w:rFonts w:ascii="Calibri" w:eastAsia="Times New Roman" w:hAnsi="Calibri" w:cs="Times New Roman"/>
                <w:color w:val="000000"/>
                <w:sz w:val="20"/>
                <w:szCs w:val="20"/>
                <w:lang w:eastAsia="cs-CZ"/>
              </w:rPr>
            </w:pPr>
            <w:r w:rsidRPr="00FF755C">
              <w:rPr>
                <w:rFonts w:ascii="Calibri" w:eastAsia="Times New Roman" w:hAnsi="Calibri" w:cs="Times New Roman"/>
                <w:color w:val="000000"/>
                <w:sz w:val="20"/>
                <w:szCs w:val="20"/>
                <w:lang w:eastAsia="cs-CZ"/>
              </w:rPr>
              <w:t>UO, SUJCHBO, vojenské prostory</w:t>
            </w:r>
          </w:p>
        </w:tc>
      </w:tr>
      <w:tr w:rsidR="00FF755C" w:rsidRPr="00F65E21" w:rsidTr="00F65E21">
        <w:trPr>
          <w:trHeight w:val="282"/>
        </w:trPr>
        <w:tc>
          <w:tcPr>
            <w:tcW w:w="4977" w:type="dxa"/>
            <w:tcBorders>
              <w:top w:val="nil"/>
              <w:left w:val="nil"/>
              <w:bottom w:val="nil"/>
              <w:right w:val="nil"/>
            </w:tcBorders>
            <w:shd w:val="clear" w:color="auto" w:fill="auto"/>
            <w:hideMark/>
          </w:tcPr>
          <w:p w:rsidR="00FF755C" w:rsidRPr="00FF755C" w:rsidRDefault="00FF755C" w:rsidP="00FF755C">
            <w:pPr>
              <w:spacing w:before="0" w:after="0"/>
              <w:rPr>
                <w:rFonts w:ascii="Calibri" w:eastAsia="Times New Roman" w:hAnsi="Calibri" w:cs="Times New Roman"/>
                <w:color w:val="000000"/>
                <w:sz w:val="20"/>
                <w:szCs w:val="20"/>
                <w:lang w:eastAsia="cs-CZ"/>
              </w:rPr>
            </w:pPr>
            <w:r w:rsidRPr="00FF755C">
              <w:rPr>
                <w:rFonts w:ascii="Calibri" w:eastAsia="Times New Roman" w:hAnsi="Calibri" w:cs="Times New Roman"/>
                <w:color w:val="000000"/>
                <w:sz w:val="20"/>
                <w:szCs w:val="20"/>
                <w:lang w:eastAsia="cs-CZ"/>
              </w:rPr>
              <w:t>Kynologický areál</w:t>
            </w:r>
          </w:p>
        </w:tc>
        <w:tc>
          <w:tcPr>
            <w:tcW w:w="4394" w:type="dxa"/>
            <w:tcBorders>
              <w:top w:val="nil"/>
              <w:left w:val="nil"/>
              <w:bottom w:val="nil"/>
              <w:right w:val="nil"/>
            </w:tcBorders>
            <w:shd w:val="clear" w:color="auto" w:fill="auto"/>
            <w:hideMark/>
          </w:tcPr>
          <w:p w:rsidR="00FF755C" w:rsidRPr="00FF755C" w:rsidRDefault="00FF755C" w:rsidP="00FF755C">
            <w:pPr>
              <w:spacing w:before="0" w:after="0"/>
              <w:rPr>
                <w:rFonts w:ascii="Calibri" w:eastAsia="Times New Roman" w:hAnsi="Calibri" w:cs="Times New Roman"/>
                <w:color w:val="000000"/>
                <w:sz w:val="20"/>
                <w:szCs w:val="20"/>
                <w:lang w:eastAsia="cs-CZ"/>
              </w:rPr>
            </w:pPr>
            <w:r w:rsidRPr="00FF755C">
              <w:rPr>
                <w:rFonts w:ascii="Calibri" w:eastAsia="Times New Roman" w:hAnsi="Calibri" w:cs="Times New Roman"/>
                <w:color w:val="000000"/>
                <w:sz w:val="20"/>
                <w:szCs w:val="20"/>
                <w:lang w:eastAsia="cs-CZ"/>
              </w:rPr>
              <w:t>ČZU Praha</w:t>
            </w:r>
          </w:p>
        </w:tc>
      </w:tr>
      <w:tr w:rsidR="00FF755C" w:rsidRPr="00F65E21" w:rsidTr="00F65E21">
        <w:trPr>
          <w:trHeight w:val="282"/>
        </w:trPr>
        <w:tc>
          <w:tcPr>
            <w:tcW w:w="4977" w:type="dxa"/>
            <w:tcBorders>
              <w:top w:val="nil"/>
              <w:left w:val="nil"/>
              <w:right w:val="nil"/>
            </w:tcBorders>
            <w:shd w:val="clear" w:color="auto" w:fill="auto"/>
            <w:noWrap/>
            <w:hideMark/>
          </w:tcPr>
          <w:p w:rsidR="00FF755C" w:rsidRPr="00FF755C" w:rsidRDefault="00FF755C" w:rsidP="00FF755C">
            <w:pPr>
              <w:spacing w:before="0" w:after="0"/>
              <w:rPr>
                <w:rFonts w:ascii="Calibri" w:eastAsia="Times New Roman" w:hAnsi="Calibri" w:cs="Times New Roman"/>
                <w:color w:val="000000"/>
                <w:sz w:val="20"/>
                <w:szCs w:val="20"/>
                <w:lang w:eastAsia="cs-CZ"/>
              </w:rPr>
            </w:pPr>
            <w:r w:rsidRPr="00FF755C">
              <w:rPr>
                <w:rFonts w:ascii="Calibri" w:eastAsia="Times New Roman" w:hAnsi="Calibri" w:cs="Times New Roman"/>
                <w:color w:val="000000"/>
                <w:sz w:val="20"/>
                <w:szCs w:val="20"/>
                <w:lang w:eastAsia="cs-CZ"/>
              </w:rPr>
              <w:t>Speciální laboratoře, testovací polygon, speciální přístroje</w:t>
            </w:r>
          </w:p>
        </w:tc>
        <w:tc>
          <w:tcPr>
            <w:tcW w:w="4394" w:type="dxa"/>
            <w:tcBorders>
              <w:top w:val="nil"/>
              <w:left w:val="nil"/>
              <w:right w:val="nil"/>
            </w:tcBorders>
            <w:shd w:val="clear" w:color="auto" w:fill="auto"/>
            <w:noWrap/>
            <w:hideMark/>
          </w:tcPr>
          <w:p w:rsidR="00FF755C" w:rsidRPr="00FF755C" w:rsidRDefault="00FF755C" w:rsidP="00FB3E4C">
            <w:pPr>
              <w:spacing w:before="0" w:after="0"/>
              <w:rPr>
                <w:rFonts w:ascii="Calibri" w:eastAsia="Times New Roman" w:hAnsi="Calibri" w:cs="Times New Roman"/>
                <w:color w:val="000000"/>
                <w:sz w:val="20"/>
                <w:szCs w:val="20"/>
                <w:lang w:eastAsia="cs-CZ"/>
              </w:rPr>
            </w:pPr>
            <w:r w:rsidRPr="00FF755C">
              <w:rPr>
                <w:rFonts w:ascii="Calibri" w:eastAsia="Times New Roman" w:hAnsi="Calibri" w:cs="Times New Roman"/>
                <w:color w:val="000000"/>
                <w:sz w:val="20"/>
                <w:szCs w:val="20"/>
                <w:lang w:eastAsia="cs-CZ"/>
              </w:rPr>
              <w:t>VVÚ, s.p. Brno</w:t>
            </w:r>
            <w:r w:rsidR="004B0379">
              <w:rPr>
                <w:rFonts w:ascii="Calibri" w:eastAsia="Times New Roman" w:hAnsi="Calibri" w:cs="Times New Roman"/>
                <w:color w:val="000000"/>
                <w:sz w:val="20"/>
                <w:szCs w:val="20"/>
                <w:lang w:eastAsia="cs-CZ"/>
              </w:rPr>
              <w:t xml:space="preserve"> </w:t>
            </w:r>
            <w:r w:rsidRPr="00FF755C">
              <w:rPr>
                <w:rFonts w:ascii="Calibri" w:eastAsia="Times New Roman" w:hAnsi="Calibri" w:cs="Times New Roman"/>
                <w:color w:val="000000"/>
                <w:sz w:val="20"/>
                <w:szCs w:val="20"/>
                <w:lang w:eastAsia="cs-CZ"/>
              </w:rPr>
              <w:t>+</w:t>
            </w:r>
            <w:r w:rsidR="004B0379">
              <w:rPr>
                <w:rFonts w:ascii="Calibri" w:eastAsia="Times New Roman" w:hAnsi="Calibri" w:cs="Times New Roman"/>
                <w:color w:val="000000"/>
                <w:sz w:val="20"/>
                <w:szCs w:val="20"/>
                <w:lang w:eastAsia="cs-CZ"/>
              </w:rPr>
              <w:t xml:space="preserve"> </w:t>
            </w:r>
            <w:r w:rsidRPr="00FF755C">
              <w:rPr>
                <w:rFonts w:ascii="Calibri" w:eastAsia="Times New Roman" w:hAnsi="Calibri" w:cs="Times New Roman"/>
                <w:color w:val="000000"/>
                <w:sz w:val="20"/>
                <w:szCs w:val="20"/>
                <w:lang w:eastAsia="cs-CZ"/>
              </w:rPr>
              <w:t>terénní pracoviště KCH Vyškov</w:t>
            </w:r>
          </w:p>
        </w:tc>
      </w:tr>
      <w:tr w:rsidR="00F65E21" w:rsidRPr="00FF755C" w:rsidTr="00C40AB4">
        <w:trPr>
          <w:trHeight w:val="282"/>
        </w:trPr>
        <w:tc>
          <w:tcPr>
            <w:tcW w:w="4977" w:type="dxa"/>
            <w:tcBorders>
              <w:top w:val="nil"/>
              <w:left w:val="nil"/>
              <w:bottom w:val="nil"/>
              <w:right w:val="nil"/>
            </w:tcBorders>
            <w:shd w:val="clear" w:color="auto" w:fill="auto"/>
            <w:hideMark/>
          </w:tcPr>
          <w:p w:rsidR="00F65E21" w:rsidRPr="00FF755C" w:rsidRDefault="00F65E21" w:rsidP="00C40AB4">
            <w:pPr>
              <w:spacing w:before="0" w:after="0"/>
              <w:rPr>
                <w:rFonts w:ascii="Calibri" w:eastAsia="Times New Roman" w:hAnsi="Calibri" w:cs="Times New Roman"/>
                <w:color w:val="000000"/>
                <w:sz w:val="20"/>
                <w:szCs w:val="20"/>
                <w:lang w:eastAsia="cs-CZ"/>
              </w:rPr>
            </w:pPr>
            <w:r w:rsidRPr="00FF755C">
              <w:rPr>
                <w:rFonts w:ascii="Calibri" w:eastAsia="Times New Roman" w:hAnsi="Calibri" w:cs="Times New Roman"/>
                <w:color w:val="000000"/>
                <w:sz w:val="20"/>
                <w:szCs w:val="20"/>
                <w:lang w:eastAsia="cs-CZ"/>
              </w:rPr>
              <w:t>Kybernetický polygon</w:t>
            </w:r>
          </w:p>
        </w:tc>
        <w:tc>
          <w:tcPr>
            <w:tcW w:w="4394" w:type="dxa"/>
            <w:tcBorders>
              <w:top w:val="nil"/>
              <w:left w:val="nil"/>
              <w:bottom w:val="nil"/>
              <w:right w:val="nil"/>
            </w:tcBorders>
            <w:shd w:val="clear" w:color="auto" w:fill="auto"/>
            <w:hideMark/>
          </w:tcPr>
          <w:p w:rsidR="00F65E21" w:rsidRPr="00FF755C" w:rsidRDefault="00F65E21" w:rsidP="00C40AB4">
            <w:pPr>
              <w:spacing w:before="0" w:after="0"/>
              <w:rPr>
                <w:rFonts w:ascii="Calibri" w:eastAsia="Times New Roman" w:hAnsi="Calibri" w:cs="Times New Roman"/>
                <w:color w:val="000000"/>
                <w:sz w:val="20"/>
                <w:szCs w:val="20"/>
                <w:lang w:eastAsia="cs-CZ"/>
              </w:rPr>
            </w:pPr>
            <w:r w:rsidRPr="00FF755C">
              <w:rPr>
                <w:rFonts w:ascii="Calibri" w:eastAsia="Times New Roman" w:hAnsi="Calibri" w:cs="Times New Roman"/>
                <w:color w:val="000000"/>
                <w:sz w:val="20"/>
                <w:szCs w:val="20"/>
                <w:lang w:eastAsia="cs-CZ"/>
              </w:rPr>
              <w:t>Ústav výpočetní techniky MU Brno</w:t>
            </w:r>
          </w:p>
        </w:tc>
      </w:tr>
      <w:tr w:rsidR="00F65E21" w:rsidRPr="00F65E21" w:rsidTr="00F65E21">
        <w:trPr>
          <w:trHeight w:val="282"/>
        </w:trPr>
        <w:tc>
          <w:tcPr>
            <w:tcW w:w="4977" w:type="dxa"/>
            <w:tcBorders>
              <w:top w:val="nil"/>
              <w:left w:val="nil"/>
              <w:right w:val="nil"/>
            </w:tcBorders>
            <w:shd w:val="clear" w:color="auto" w:fill="auto"/>
            <w:noWrap/>
            <w:hideMark/>
          </w:tcPr>
          <w:p w:rsidR="00F65E21" w:rsidRPr="00FF755C" w:rsidRDefault="00F65E21" w:rsidP="00C40AB4">
            <w:pPr>
              <w:spacing w:before="0" w:after="0"/>
              <w:rPr>
                <w:rFonts w:ascii="Calibri" w:eastAsia="Times New Roman" w:hAnsi="Calibri" w:cs="Times New Roman"/>
                <w:color w:val="000000"/>
                <w:sz w:val="20"/>
                <w:szCs w:val="20"/>
                <w:lang w:eastAsia="cs-CZ"/>
              </w:rPr>
            </w:pPr>
            <w:r w:rsidRPr="00FF755C">
              <w:rPr>
                <w:rFonts w:ascii="Calibri" w:eastAsia="Times New Roman" w:hAnsi="Calibri" w:cs="Times New Roman"/>
                <w:color w:val="000000"/>
                <w:sz w:val="20"/>
                <w:szCs w:val="20"/>
                <w:lang w:eastAsia="cs-CZ"/>
              </w:rPr>
              <w:t>Simulátor chování řidičů</w:t>
            </w:r>
          </w:p>
        </w:tc>
        <w:tc>
          <w:tcPr>
            <w:tcW w:w="4394" w:type="dxa"/>
            <w:tcBorders>
              <w:top w:val="nil"/>
              <w:left w:val="nil"/>
              <w:right w:val="nil"/>
            </w:tcBorders>
            <w:shd w:val="clear" w:color="auto" w:fill="auto"/>
            <w:noWrap/>
            <w:hideMark/>
          </w:tcPr>
          <w:p w:rsidR="00F65E21" w:rsidRPr="00FF755C" w:rsidRDefault="00F65E21" w:rsidP="00C40AB4">
            <w:pPr>
              <w:spacing w:before="0" w:after="0"/>
              <w:rPr>
                <w:rFonts w:ascii="Calibri" w:eastAsia="Times New Roman" w:hAnsi="Calibri" w:cs="Times New Roman"/>
                <w:color w:val="000000"/>
                <w:sz w:val="20"/>
                <w:szCs w:val="20"/>
                <w:lang w:eastAsia="cs-CZ"/>
              </w:rPr>
            </w:pPr>
            <w:r w:rsidRPr="00FF755C">
              <w:rPr>
                <w:rFonts w:ascii="Calibri" w:eastAsia="Times New Roman" w:hAnsi="Calibri" w:cs="Times New Roman"/>
                <w:color w:val="000000"/>
                <w:sz w:val="20"/>
                <w:szCs w:val="20"/>
                <w:lang w:eastAsia="cs-CZ"/>
              </w:rPr>
              <w:t>FD ČVUT Praha</w:t>
            </w:r>
          </w:p>
        </w:tc>
      </w:tr>
      <w:tr w:rsidR="00FF755C" w:rsidRPr="00F65E21" w:rsidTr="00F65E21">
        <w:trPr>
          <w:trHeight w:val="282"/>
        </w:trPr>
        <w:tc>
          <w:tcPr>
            <w:tcW w:w="4977" w:type="dxa"/>
            <w:tcBorders>
              <w:left w:val="nil"/>
              <w:bottom w:val="nil"/>
              <w:right w:val="nil"/>
            </w:tcBorders>
            <w:shd w:val="clear" w:color="auto" w:fill="auto"/>
            <w:noWrap/>
            <w:hideMark/>
          </w:tcPr>
          <w:p w:rsidR="00FF755C" w:rsidRPr="00FF755C" w:rsidRDefault="00FF755C" w:rsidP="00FF755C">
            <w:pPr>
              <w:spacing w:before="0" w:after="0"/>
              <w:rPr>
                <w:rFonts w:ascii="Calibri" w:eastAsia="Times New Roman" w:hAnsi="Calibri" w:cs="Times New Roman"/>
                <w:color w:val="000000"/>
                <w:sz w:val="20"/>
                <w:szCs w:val="20"/>
                <w:lang w:eastAsia="cs-CZ"/>
              </w:rPr>
            </w:pPr>
            <w:r w:rsidRPr="00FF755C">
              <w:rPr>
                <w:rFonts w:ascii="Calibri" w:eastAsia="Times New Roman" w:hAnsi="Calibri" w:cs="Times New Roman"/>
                <w:color w:val="000000"/>
                <w:sz w:val="20"/>
                <w:szCs w:val="20"/>
                <w:lang w:eastAsia="cs-CZ"/>
              </w:rPr>
              <w:t>Testovací polygon pro testování řidičů při studii vlivu ovlivnění schopností řídit pod vlivem návykové látky</w:t>
            </w:r>
          </w:p>
        </w:tc>
        <w:tc>
          <w:tcPr>
            <w:tcW w:w="4394" w:type="dxa"/>
            <w:tcBorders>
              <w:left w:val="nil"/>
              <w:bottom w:val="nil"/>
              <w:right w:val="nil"/>
            </w:tcBorders>
            <w:shd w:val="clear" w:color="auto" w:fill="auto"/>
            <w:noWrap/>
            <w:hideMark/>
          </w:tcPr>
          <w:p w:rsidR="00FF755C" w:rsidRPr="00FF755C" w:rsidRDefault="00FF755C" w:rsidP="00FF755C">
            <w:pPr>
              <w:spacing w:before="0" w:after="0"/>
              <w:rPr>
                <w:rFonts w:ascii="Calibri" w:eastAsia="Times New Roman" w:hAnsi="Calibri" w:cs="Times New Roman"/>
                <w:color w:val="000000"/>
                <w:sz w:val="20"/>
                <w:szCs w:val="20"/>
                <w:lang w:eastAsia="cs-CZ"/>
              </w:rPr>
            </w:pPr>
          </w:p>
        </w:tc>
      </w:tr>
      <w:tr w:rsidR="00FF755C" w:rsidRPr="00FF755C" w:rsidTr="00F65E21">
        <w:trPr>
          <w:trHeight w:val="282"/>
        </w:trPr>
        <w:tc>
          <w:tcPr>
            <w:tcW w:w="4977" w:type="dxa"/>
            <w:tcBorders>
              <w:top w:val="nil"/>
              <w:left w:val="nil"/>
              <w:bottom w:val="single" w:sz="4" w:space="0" w:color="auto"/>
              <w:right w:val="nil"/>
            </w:tcBorders>
            <w:shd w:val="clear" w:color="auto" w:fill="auto"/>
            <w:hideMark/>
          </w:tcPr>
          <w:p w:rsidR="00FF755C" w:rsidRPr="00FF755C" w:rsidRDefault="00FF755C" w:rsidP="00FF755C">
            <w:pPr>
              <w:spacing w:before="0" w:after="0"/>
              <w:rPr>
                <w:rFonts w:ascii="Calibri" w:eastAsia="Times New Roman" w:hAnsi="Calibri" w:cs="Times New Roman"/>
                <w:color w:val="000000"/>
                <w:sz w:val="20"/>
                <w:szCs w:val="20"/>
                <w:lang w:eastAsia="cs-CZ"/>
              </w:rPr>
            </w:pPr>
            <w:r w:rsidRPr="00FF755C">
              <w:rPr>
                <w:rFonts w:ascii="Calibri" w:eastAsia="Times New Roman" w:hAnsi="Calibri" w:cs="Times New Roman"/>
                <w:color w:val="000000"/>
                <w:sz w:val="20"/>
                <w:szCs w:val="20"/>
                <w:lang w:eastAsia="cs-CZ"/>
              </w:rPr>
              <w:t>Trhací jáma</w:t>
            </w:r>
          </w:p>
        </w:tc>
        <w:tc>
          <w:tcPr>
            <w:tcW w:w="4394" w:type="dxa"/>
            <w:tcBorders>
              <w:top w:val="nil"/>
              <w:left w:val="nil"/>
              <w:bottom w:val="single" w:sz="4" w:space="0" w:color="auto"/>
              <w:right w:val="nil"/>
            </w:tcBorders>
            <w:shd w:val="clear" w:color="auto" w:fill="auto"/>
            <w:noWrap/>
            <w:hideMark/>
          </w:tcPr>
          <w:p w:rsidR="00FF755C" w:rsidRPr="00FF755C" w:rsidRDefault="00FF755C" w:rsidP="00FF755C">
            <w:pPr>
              <w:spacing w:before="0" w:after="0"/>
              <w:rPr>
                <w:rFonts w:ascii="Calibri" w:eastAsia="Times New Roman" w:hAnsi="Calibri" w:cs="Times New Roman"/>
                <w:color w:val="000000"/>
                <w:sz w:val="20"/>
                <w:szCs w:val="20"/>
                <w:lang w:eastAsia="cs-CZ"/>
              </w:rPr>
            </w:pPr>
          </w:p>
        </w:tc>
      </w:tr>
      <w:tr w:rsidR="00FF755C" w:rsidRPr="00FB3E4C" w:rsidTr="00F65E21">
        <w:trPr>
          <w:trHeight w:val="282"/>
        </w:trPr>
        <w:tc>
          <w:tcPr>
            <w:tcW w:w="4977" w:type="dxa"/>
            <w:tcBorders>
              <w:top w:val="single" w:sz="4" w:space="0" w:color="auto"/>
              <w:left w:val="nil"/>
              <w:bottom w:val="single" w:sz="4" w:space="0" w:color="auto"/>
              <w:right w:val="nil"/>
            </w:tcBorders>
            <w:shd w:val="clear" w:color="auto" w:fill="F2F2F2" w:themeFill="background1" w:themeFillShade="F2"/>
            <w:noWrap/>
            <w:hideMark/>
          </w:tcPr>
          <w:p w:rsidR="00FF755C" w:rsidRPr="00FB3E4C" w:rsidRDefault="00FB3E4C" w:rsidP="00FF755C">
            <w:pPr>
              <w:spacing w:before="0" w:after="0"/>
              <w:rPr>
                <w:rFonts w:ascii="Calibri" w:eastAsia="Times New Roman" w:hAnsi="Calibri" w:cs="Times New Roman"/>
                <w:b/>
                <w:color w:val="000000"/>
                <w:sz w:val="20"/>
                <w:szCs w:val="20"/>
                <w:lang w:eastAsia="cs-CZ"/>
              </w:rPr>
            </w:pPr>
            <w:r>
              <w:rPr>
                <w:rFonts w:ascii="Calibri" w:eastAsia="Times New Roman" w:hAnsi="Calibri" w:cs="Times New Roman"/>
                <w:b/>
                <w:color w:val="000000"/>
                <w:sz w:val="20"/>
                <w:szCs w:val="20"/>
                <w:lang w:eastAsia="cs-CZ"/>
              </w:rPr>
              <w:t>Ostatní</w:t>
            </w:r>
          </w:p>
        </w:tc>
        <w:tc>
          <w:tcPr>
            <w:tcW w:w="4394" w:type="dxa"/>
            <w:tcBorders>
              <w:top w:val="single" w:sz="4" w:space="0" w:color="auto"/>
              <w:left w:val="nil"/>
              <w:bottom w:val="single" w:sz="4" w:space="0" w:color="auto"/>
              <w:right w:val="nil"/>
            </w:tcBorders>
            <w:shd w:val="clear" w:color="auto" w:fill="F2F2F2" w:themeFill="background1" w:themeFillShade="F2"/>
            <w:noWrap/>
            <w:hideMark/>
          </w:tcPr>
          <w:p w:rsidR="00FF755C" w:rsidRPr="00FB3E4C" w:rsidRDefault="00FF755C" w:rsidP="00FF755C">
            <w:pPr>
              <w:spacing w:before="0" w:after="0"/>
              <w:jc w:val="left"/>
              <w:rPr>
                <w:rFonts w:ascii="Calibri" w:eastAsia="Times New Roman" w:hAnsi="Calibri" w:cs="Times New Roman"/>
                <w:b/>
                <w:color w:val="000000"/>
                <w:sz w:val="20"/>
                <w:szCs w:val="20"/>
                <w:lang w:eastAsia="cs-CZ"/>
              </w:rPr>
            </w:pPr>
            <w:r w:rsidRPr="00FB3E4C">
              <w:rPr>
                <w:rFonts w:ascii="Calibri" w:eastAsia="Times New Roman" w:hAnsi="Calibri" w:cs="Times New Roman"/>
                <w:b/>
                <w:color w:val="000000"/>
                <w:sz w:val="20"/>
                <w:szCs w:val="20"/>
                <w:lang w:eastAsia="cs-CZ"/>
              </w:rPr>
              <w:t> </w:t>
            </w:r>
          </w:p>
        </w:tc>
      </w:tr>
      <w:tr w:rsidR="00FF755C" w:rsidRPr="00FF755C" w:rsidTr="00F65E21">
        <w:trPr>
          <w:trHeight w:val="282"/>
        </w:trPr>
        <w:tc>
          <w:tcPr>
            <w:tcW w:w="4977" w:type="dxa"/>
            <w:tcBorders>
              <w:top w:val="single" w:sz="4" w:space="0" w:color="auto"/>
              <w:left w:val="nil"/>
              <w:bottom w:val="nil"/>
              <w:right w:val="nil"/>
            </w:tcBorders>
            <w:shd w:val="clear" w:color="auto" w:fill="auto"/>
            <w:noWrap/>
            <w:hideMark/>
          </w:tcPr>
          <w:p w:rsidR="00FF755C" w:rsidRPr="00FF755C" w:rsidRDefault="00FF755C" w:rsidP="00FF755C">
            <w:pPr>
              <w:spacing w:before="0" w:after="0"/>
              <w:rPr>
                <w:rFonts w:ascii="Calibri" w:eastAsia="Times New Roman" w:hAnsi="Calibri" w:cs="Times New Roman"/>
                <w:color w:val="000000"/>
                <w:sz w:val="20"/>
                <w:szCs w:val="20"/>
                <w:lang w:eastAsia="cs-CZ"/>
              </w:rPr>
            </w:pPr>
            <w:r w:rsidRPr="00FF755C">
              <w:rPr>
                <w:rFonts w:ascii="Calibri" w:eastAsia="Times New Roman" w:hAnsi="Calibri" w:cs="Times New Roman"/>
                <w:color w:val="000000"/>
                <w:sz w:val="20"/>
                <w:szCs w:val="20"/>
                <w:lang w:eastAsia="cs-CZ"/>
              </w:rPr>
              <w:t>Analýzy KI a IZS</w:t>
            </w:r>
          </w:p>
        </w:tc>
        <w:tc>
          <w:tcPr>
            <w:tcW w:w="4394" w:type="dxa"/>
            <w:tcBorders>
              <w:top w:val="single" w:sz="4" w:space="0" w:color="auto"/>
              <w:left w:val="nil"/>
              <w:bottom w:val="nil"/>
              <w:right w:val="nil"/>
            </w:tcBorders>
            <w:shd w:val="clear" w:color="auto" w:fill="auto"/>
            <w:noWrap/>
            <w:hideMark/>
          </w:tcPr>
          <w:p w:rsidR="00FF755C" w:rsidRPr="00FF755C" w:rsidRDefault="00FF755C" w:rsidP="00FF755C">
            <w:pPr>
              <w:spacing w:before="0" w:after="0"/>
              <w:rPr>
                <w:rFonts w:ascii="Calibri" w:eastAsia="Times New Roman" w:hAnsi="Calibri" w:cs="Times New Roman"/>
                <w:color w:val="000000"/>
                <w:sz w:val="20"/>
                <w:szCs w:val="20"/>
                <w:lang w:eastAsia="cs-CZ"/>
              </w:rPr>
            </w:pPr>
            <w:r w:rsidRPr="00FF755C">
              <w:rPr>
                <w:rFonts w:ascii="Calibri" w:eastAsia="Times New Roman" w:hAnsi="Calibri" w:cs="Times New Roman"/>
                <w:color w:val="000000"/>
                <w:sz w:val="20"/>
                <w:szCs w:val="20"/>
                <w:lang w:eastAsia="cs-CZ"/>
              </w:rPr>
              <w:t>IOO MV L. Bohdaneč</w:t>
            </w:r>
          </w:p>
        </w:tc>
      </w:tr>
      <w:tr w:rsidR="00FF755C" w:rsidRPr="00FF755C" w:rsidTr="00F65E21">
        <w:trPr>
          <w:trHeight w:val="282"/>
        </w:trPr>
        <w:tc>
          <w:tcPr>
            <w:tcW w:w="4977" w:type="dxa"/>
            <w:tcBorders>
              <w:top w:val="nil"/>
              <w:left w:val="nil"/>
              <w:bottom w:val="nil"/>
              <w:right w:val="nil"/>
            </w:tcBorders>
            <w:shd w:val="clear" w:color="auto" w:fill="auto"/>
            <w:noWrap/>
            <w:hideMark/>
          </w:tcPr>
          <w:p w:rsidR="00FF755C" w:rsidRPr="00FF755C" w:rsidRDefault="00FF755C" w:rsidP="00FF755C">
            <w:pPr>
              <w:spacing w:before="0" w:after="0"/>
              <w:rPr>
                <w:rFonts w:ascii="Calibri" w:eastAsia="Times New Roman" w:hAnsi="Calibri" w:cs="Times New Roman"/>
                <w:color w:val="000000"/>
                <w:sz w:val="20"/>
                <w:szCs w:val="20"/>
                <w:lang w:eastAsia="cs-CZ"/>
              </w:rPr>
            </w:pPr>
            <w:r w:rsidRPr="00FF755C">
              <w:rPr>
                <w:rFonts w:ascii="Calibri" w:eastAsia="Times New Roman" w:hAnsi="Calibri" w:cs="Times New Roman"/>
                <w:color w:val="000000"/>
                <w:sz w:val="20"/>
                <w:szCs w:val="20"/>
                <w:lang w:eastAsia="cs-CZ"/>
              </w:rPr>
              <w:t>Krizový management</w:t>
            </w:r>
          </w:p>
        </w:tc>
        <w:tc>
          <w:tcPr>
            <w:tcW w:w="4394" w:type="dxa"/>
            <w:tcBorders>
              <w:top w:val="nil"/>
              <w:left w:val="nil"/>
              <w:bottom w:val="nil"/>
              <w:right w:val="nil"/>
            </w:tcBorders>
            <w:shd w:val="clear" w:color="auto" w:fill="auto"/>
            <w:noWrap/>
            <w:hideMark/>
          </w:tcPr>
          <w:p w:rsidR="00FF755C" w:rsidRPr="00FF755C" w:rsidRDefault="00FF755C" w:rsidP="00FF755C">
            <w:pPr>
              <w:spacing w:before="0" w:after="0"/>
              <w:rPr>
                <w:rFonts w:ascii="Calibri" w:eastAsia="Times New Roman" w:hAnsi="Calibri" w:cs="Times New Roman"/>
                <w:color w:val="000000"/>
                <w:sz w:val="20"/>
                <w:szCs w:val="20"/>
                <w:lang w:eastAsia="cs-CZ"/>
              </w:rPr>
            </w:pPr>
            <w:r w:rsidRPr="00FF755C">
              <w:rPr>
                <w:rFonts w:ascii="Calibri" w:eastAsia="Times New Roman" w:hAnsi="Calibri" w:cs="Times New Roman"/>
                <w:color w:val="000000"/>
                <w:sz w:val="20"/>
                <w:szCs w:val="20"/>
                <w:lang w:eastAsia="cs-CZ"/>
              </w:rPr>
              <w:t>UNOB</w:t>
            </w:r>
          </w:p>
        </w:tc>
      </w:tr>
      <w:tr w:rsidR="00FF755C" w:rsidRPr="00FF755C" w:rsidTr="00F65E21">
        <w:trPr>
          <w:trHeight w:val="282"/>
        </w:trPr>
        <w:tc>
          <w:tcPr>
            <w:tcW w:w="4977" w:type="dxa"/>
            <w:tcBorders>
              <w:top w:val="nil"/>
              <w:left w:val="nil"/>
              <w:right w:val="nil"/>
            </w:tcBorders>
            <w:shd w:val="clear" w:color="auto" w:fill="auto"/>
            <w:hideMark/>
          </w:tcPr>
          <w:p w:rsidR="00FF755C" w:rsidRPr="00FF755C" w:rsidRDefault="00FF755C" w:rsidP="00FF755C">
            <w:pPr>
              <w:spacing w:before="0" w:after="0"/>
              <w:rPr>
                <w:rFonts w:ascii="Calibri" w:eastAsia="Times New Roman" w:hAnsi="Calibri" w:cs="Times New Roman"/>
                <w:color w:val="000000"/>
                <w:sz w:val="20"/>
                <w:szCs w:val="20"/>
                <w:lang w:eastAsia="cs-CZ"/>
              </w:rPr>
            </w:pPr>
            <w:r w:rsidRPr="00FF755C">
              <w:rPr>
                <w:rFonts w:ascii="Calibri" w:eastAsia="Times New Roman" w:hAnsi="Calibri" w:cs="Times New Roman"/>
                <w:color w:val="000000"/>
                <w:sz w:val="20"/>
                <w:szCs w:val="20"/>
                <w:lang w:eastAsia="cs-CZ"/>
              </w:rPr>
              <w:t>Znalosti, schopnosti specifické práce</w:t>
            </w:r>
          </w:p>
        </w:tc>
        <w:tc>
          <w:tcPr>
            <w:tcW w:w="4394" w:type="dxa"/>
            <w:tcBorders>
              <w:top w:val="nil"/>
              <w:left w:val="nil"/>
              <w:right w:val="nil"/>
            </w:tcBorders>
            <w:shd w:val="clear" w:color="auto" w:fill="auto"/>
            <w:hideMark/>
          </w:tcPr>
          <w:p w:rsidR="00FF755C" w:rsidRPr="00FF755C" w:rsidRDefault="00FF755C" w:rsidP="00FF755C">
            <w:pPr>
              <w:spacing w:before="0" w:after="0"/>
              <w:rPr>
                <w:rFonts w:ascii="Calibri" w:eastAsia="Times New Roman" w:hAnsi="Calibri" w:cs="Times New Roman"/>
                <w:color w:val="000000"/>
                <w:sz w:val="20"/>
                <w:szCs w:val="20"/>
                <w:lang w:eastAsia="cs-CZ"/>
              </w:rPr>
            </w:pPr>
            <w:r w:rsidRPr="00FF755C">
              <w:rPr>
                <w:rFonts w:ascii="Calibri" w:eastAsia="Times New Roman" w:hAnsi="Calibri" w:cs="Times New Roman"/>
                <w:color w:val="000000"/>
                <w:sz w:val="20"/>
                <w:szCs w:val="20"/>
                <w:lang w:eastAsia="cs-CZ"/>
              </w:rPr>
              <w:t>IOO Lázně Bohdaneč</w:t>
            </w:r>
          </w:p>
        </w:tc>
      </w:tr>
      <w:tr w:rsidR="00FF755C" w:rsidRPr="00FF755C" w:rsidTr="00F65E21">
        <w:trPr>
          <w:trHeight w:val="282"/>
        </w:trPr>
        <w:tc>
          <w:tcPr>
            <w:tcW w:w="4977" w:type="dxa"/>
            <w:tcBorders>
              <w:top w:val="nil"/>
              <w:left w:val="nil"/>
              <w:bottom w:val="single" w:sz="4" w:space="0" w:color="auto"/>
              <w:right w:val="nil"/>
            </w:tcBorders>
            <w:shd w:val="clear" w:color="auto" w:fill="auto"/>
            <w:noWrap/>
            <w:hideMark/>
          </w:tcPr>
          <w:p w:rsidR="00FF755C" w:rsidRPr="00FF755C" w:rsidRDefault="00FF755C" w:rsidP="00FF755C">
            <w:pPr>
              <w:spacing w:before="0" w:after="0"/>
              <w:rPr>
                <w:rFonts w:ascii="Calibri" w:eastAsia="Times New Roman" w:hAnsi="Calibri" w:cs="Times New Roman"/>
                <w:color w:val="000000"/>
                <w:sz w:val="20"/>
                <w:szCs w:val="20"/>
                <w:lang w:eastAsia="cs-CZ"/>
              </w:rPr>
            </w:pPr>
            <w:r w:rsidRPr="00FF755C">
              <w:rPr>
                <w:rFonts w:ascii="Calibri" w:eastAsia="Times New Roman" w:hAnsi="Calibri" w:cs="Times New Roman"/>
                <w:color w:val="000000"/>
                <w:sz w:val="20"/>
                <w:szCs w:val="20"/>
                <w:lang w:eastAsia="cs-CZ"/>
              </w:rPr>
              <w:t>Konzultace, spolupráce s vodárnami</w:t>
            </w:r>
          </w:p>
        </w:tc>
        <w:tc>
          <w:tcPr>
            <w:tcW w:w="4394" w:type="dxa"/>
            <w:tcBorders>
              <w:top w:val="nil"/>
              <w:left w:val="nil"/>
              <w:bottom w:val="single" w:sz="4" w:space="0" w:color="auto"/>
              <w:right w:val="nil"/>
            </w:tcBorders>
            <w:shd w:val="clear" w:color="auto" w:fill="auto"/>
            <w:noWrap/>
            <w:hideMark/>
          </w:tcPr>
          <w:p w:rsidR="00FF755C" w:rsidRPr="00FF755C" w:rsidRDefault="00FF755C" w:rsidP="00FF755C">
            <w:pPr>
              <w:spacing w:before="0" w:after="0"/>
              <w:rPr>
                <w:rFonts w:ascii="Calibri" w:eastAsia="Times New Roman" w:hAnsi="Calibri" w:cs="Times New Roman"/>
                <w:color w:val="000000"/>
                <w:sz w:val="20"/>
                <w:szCs w:val="20"/>
                <w:lang w:eastAsia="cs-CZ"/>
              </w:rPr>
            </w:pPr>
            <w:r w:rsidRPr="00FF755C">
              <w:rPr>
                <w:rFonts w:ascii="Calibri" w:eastAsia="Times New Roman" w:hAnsi="Calibri" w:cs="Times New Roman"/>
                <w:color w:val="000000"/>
                <w:sz w:val="20"/>
                <w:szCs w:val="20"/>
                <w:lang w:eastAsia="cs-CZ"/>
              </w:rPr>
              <w:t>DHI Sweden, DHI Denmark, DHI Austria</w:t>
            </w:r>
          </w:p>
        </w:tc>
      </w:tr>
    </w:tbl>
    <w:p w:rsidR="004B3F51" w:rsidRPr="004D016C" w:rsidRDefault="004B3F51" w:rsidP="004B3F51">
      <w:pPr>
        <w:rPr>
          <w:lang w:eastAsia="cs-CZ"/>
        </w:rPr>
      </w:pPr>
    </w:p>
    <w:p w:rsidR="00236334" w:rsidRDefault="00236334" w:rsidP="00236334">
      <w:pPr>
        <w:pStyle w:val="Nadpis1"/>
        <w:rPr>
          <w:lang w:eastAsia="cs-CZ"/>
        </w:rPr>
      </w:pPr>
      <w:bookmarkStart w:id="265" w:name="_Toc459723339"/>
      <w:r>
        <w:rPr>
          <w:lang w:eastAsia="cs-CZ"/>
        </w:rPr>
        <w:t>Kompetence výzkumných organizací</w:t>
      </w:r>
      <w:bookmarkEnd w:id="265"/>
      <w:r>
        <w:rPr>
          <w:lang w:eastAsia="cs-CZ"/>
        </w:rPr>
        <w:t xml:space="preserve"> </w:t>
      </w:r>
    </w:p>
    <w:p w:rsidR="00236334" w:rsidRDefault="00236334" w:rsidP="00236334">
      <w:pPr>
        <w:rPr>
          <w:lang w:eastAsia="cs-CZ"/>
        </w:rPr>
      </w:pPr>
      <w:r>
        <w:rPr>
          <w:lang w:eastAsia="cs-CZ"/>
        </w:rPr>
        <w:t xml:space="preserve">Cílem </w:t>
      </w:r>
      <w:r w:rsidR="003001B3">
        <w:rPr>
          <w:lang w:eastAsia="cs-CZ"/>
        </w:rPr>
        <w:t xml:space="preserve">této kapitoly </w:t>
      </w:r>
      <w:r>
        <w:rPr>
          <w:lang w:eastAsia="cs-CZ"/>
        </w:rPr>
        <w:t>sekce je zmapovat kompetence výzkumných organizací ve vybraných oblastech jejic</w:t>
      </w:r>
      <w:r w:rsidR="007C38C7">
        <w:rPr>
          <w:lang w:eastAsia="cs-CZ"/>
        </w:rPr>
        <w:t>h činnost</w:t>
      </w:r>
      <w:r w:rsidR="003001B3">
        <w:rPr>
          <w:lang w:eastAsia="cs-CZ"/>
        </w:rPr>
        <w:t>í</w:t>
      </w:r>
      <w:r w:rsidR="007C38C7">
        <w:rPr>
          <w:lang w:eastAsia="cs-CZ"/>
        </w:rPr>
        <w:t xml:space="preserve"> určených zadavatelem.</w:t>
      </w:r>
    </w:p>
    <w:p w:rsidR="00236334" w:rsidRDefault="00236334" w:rsidP="00236334">
      <w:pPr>
        <w:pStyle w:val="Nadpis2"/>
      </w:pPr>
      <w:bookmarkStart w:id="266" w:name="_Toc459723340"/>
      <w:r>
        <w:t>Transfer znalostí</w:t>
      </w:r>
      <w:bookmarkEnd w:id="266"/>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9354"/>
      </w:tblGrid>
      <w:tr w:rsidR="0016485D" w:rsidTr="001D5000">
        <w:tc>
          <w:tcPr>
            <w:tcW w:w="9354" w:type="dxa"/>
            <w:shd w:val="clear" w:color="auto" w:fill="F2F2F2" w:themeFill="background1" w:themeFillShade="F2"/>
          </w:tcPr>
          <w:p w:rsidR="0016485D" w:rsidRDefault="00B56253" w:rsidP="008E5456">
            <w:pPr>
              <w:rPr>
                <w:lang w:eastAsia="cs-CZ"/>
              </w:rPr>
            </w:pPr>
            <w:r>
              <w:rPr>
                <w:lang w:eastAsia="cs-CZ"/>
              </w:rPr>
              <w:t>Z dotazníkového šetření vyplynulo, že téměř dvě třetiny organizací respondentů disponuji v</w:t>
            </w:r>
            <w:r w:rsidRPr="0016485D">
              <w:rPr>
                <w:lang w:eastAsia="cs-CZ"/>
              </w:rPr>
              <w:t>lastní kapacitou pro transfer znalostí</w:t>
            </w:r>
            <w:r>
              <w:rPr>
                <w:lang w:eastAsia="cs-CZ"/>
              </w:rPr>
              <w:t>, prostředníka pro transfer znalostí využívá přibližně 20 % organizací.</w:t>
            </w:r>
            <w:r w:rsidRPr="0016485D">
              <w:rPr>
                <w:lang w:eastAsia="cs-CZ"/>
              </w:rPr>
              <w:t xml:space="preserve"> </w:t>
            </w:r>
            <w:r>
              <w:rPr>
                <w:lang w:eastAsia="cs-CZ"/>
              </w:rPr>
              <w:t>Přibližně polovina respondentů však pociťuje p</w:t>
            </w:r>
            <w:r w:rsidR="0016485D" w:rsidRPr="0016485D">
              <w:rPr>
                <w:lang w:eastAsia="cs-CZ"/>
              </w:rPr>
              <w:t xml:space="preserve">otřebu získání nebo dalšího rozšíření </w:t>
            </w:r>
            <w:r>
              <w:rPr>
                <w:lang w:eastAsia="cs-CZ"/>
              </w:rPr>
              <w:t xml:space="preserve">této </w:t>
            </w:r>
            <w:r w:rsidR="0016485D" w:rsidRPr="0016485D">
              <w:rPr>
                <w:lang w:eastAsia="cs-CZ"/>
              </w:rPr>
              <w:t>kapacity ve své organizaci.</w:t>
            </w:r>
            <w:r>
              <w:rPr>
                <w:lang w:eastAsia="cs-CZ"/>
              </w:rPr>
              <w:t xml:space="preserve"> Více než polovina respondentů považuje přínos transferu znalostí pro uplatnění znalostí za významný. </w:t>
            </w:r>
            <w:r w:rsidR="0016485D" w:rsidRPr="0016485D">
              <w:rPr>
                <w:lang w:eastAsia="cs-CZ"/>
              </w:rPr>
              <w:t>Největší překážky pro rozšíření kapacity pro transfer znalostí v organizacích představují nedostatek finančních zdrojů a nedostatek kvalifikovaných lidských zdrojů pro tuto činnost.</w:t>
            </w:r>
            <w:r>
              <w:rPr>
                <w:lang w:eastAsia="cs-CZ"/>
              </w:rPr>
              <w:t xml:space="preserve"> </w:t>
            </w:r>
          </w:p>
        </w:tc>
      </w:tr>
    </w:tbl>
    <w:p w:rsidR="00A27970" w:rsidRDefault="00A27970" w:rsidP="00236334">
      <w:pPr>
        <w:rPr>
          <w:lang w:eastAsia="cs-CZ"/>
        </w:rPr>
      </w:pPr>
      <w:r>
        <w:rPr>
          <w:lang w:eastAsia="cs-CZ"/>
        </w:rPr>
        <w:t>Kompetentní podpora transferu znalostí je obecně chápána jako jeden z klíčových předpokladů pro úspěšné zhodnocení výsledků výzkumu a vývoje v praxi. V české</w:t>
      </w:r>
      <w:r w:rsidR="00C31351">
        <w:rPr>
          <w:lang w:eastAsia="cs-CZ"/>
        </w:rPr>
        <w:t>m</w:t>
      </w:r>
      <w:r>
        <w:rPr>
          <w:lang w:eastAsia="cs-CZ"/>
        </w:rPr>
        <w:t xml:space="preserve"> prostředí má nicméně tato činnost dlouhodobě některá specifika,</w:t>
      </w:r>
      <w:r w:rsidR="00C31351">
        <w:rPr>
          <w:lang w:eastAsia="cs-CZ"/>
        </w:rPr>
        <w:t xml:space="preserve"> </w:t>
      </w:r>
      <w:r>
        <w:rPr>
          <w:lang w:eastAsia="cs-CZ"/>
        </w:rPr>
        <w:t>na která poukázala již studie realizovaná ve spolupráci TA ČR a Fraunhofer MOEZ v roce 2014</w:t>
      </w:r>
      <w:r w:rsidR="000F5EF2">
        <w:rPr>
          <w:lang w:eastAsia="cs-CZ"/>
        </w:rPr>
        <w:t xml:space="preserve"> </w:t>
      </w:r>
      <w:r w:rsidR="000F5EF2">
        <w:rPr>
          <w:lang w:eastAsia="cs-CZ"/>
        </w:rPr>
        <w:fldChar w:fldCharType="begin"/>
      </w:r>
      <w:r w:rsidR="000F5EF2">
        <w:rPr>
          <w:lang w:eastAsia="cs-CZ"/>
        </w:rPr>
        <w:instrText xml:space="preserve"> REF _Ref454269820 \r \h </w:instrText>
      </w:r>
      <w:r w:rsidR="000F5EF2">
        <w:rPr>
          <w:lang w:eastAsia="cs-CZ"/>
        </w:rPr>
      </w:r>
      <w:r w:rsidR="000F5EF2">
        <w:rPr>
          <w:lang w:eastAsia="cs-CZ"/>
        </w:rPr>
        <w:fldChar w:fldCharType="separate"/>
      </w:r>
      <w:r w:rsidR="003F08E5">
        <w:rPr>
          <w:lang w:eastAsia="cs-CZ"/>
        </w:rPr>
        <w:t>[39]</w:t>
      </w:r>
      <w:r w:rsidR="000F5EF2">
        <w:rPr>
          <w:lang w:eastAsia="cs-CZ"/>
        </w:rPr>
        <w:fldChar w:fldCharType="end"/>
      </w:r>
      <w:r>
        <w:rPr>
          <w:lang w:val="en-US" w:eastAsia="cs-CZ"/>
        </w:rPr>
        <w:t>.</w:t>
      </w:r>
      <w:r w:rsidR="000F5EF2">
        <w:rPr>
          <w:lang w:val="en-US" w:eastAsia="cs-CZ"/>
        </w:rPr>
        <w:t xml:space="preserve"> </w:t>
      </w:r>
      <w:r w:rsidR="00C31351">
        <w:rPr>
          <w:lang w:eastAsia="cs-CZ"/>
        </w:rPr>
        <w:t xml:space="preserve">Závěry této </w:t>
      </w:r>
      <w:r w:rsidR="00DB00BB">
        <w:rPr>
          <w:lang w:eastAsia="cs-CZ"/>
        </w:rPr>
        <w:t xml:space="preserve">analýzy </w:t>
      </w:r>
      <w:r w:rsidR="00C31351">
        <w:rPr>
          <w:lang w:eastAsia="cs-CZ"/>
        </w:rPr>
        <w:t>do značné míry platí i pro oblast bezpečnostního výzkumu</w:t>
      </w:r>
      <w:r w:rsidR="00E37506">
        <w:rPr>
          <w:lang w:eastAsia="cs-CZ"/>
        </w:rPr>
        <w:t>.</w:t>
      </w:r>
    </w:p>
    <w:p w:rsidR="003A5C2E" w:rsidRDefault="003A5C2E" w:rsidP="003A5C2E">
      <w:pPr>
        <w:rPr>
          <w:lang w:eastAsia="cs-CZ"/>
        </w:rPr>
      </w:pPr>
      <w:r>
        <w:rPr>
          <w:lang w:eastAsia="cs-CZ"/>
        </w:rPr>
        <w:t>Instituce s jiným primárním zaměřením, zejména univerzity, si stěžují na vysokou míru zátěže související s transferem znalostí. Výzkumníci na univerzitách naopak upozorňují na nekompetentnost nebo nedostačující kapacitu center transferu na úrovni univerzit zejména ve specializovaných oblastech výzkumu, které se vymykají obvyklému výzkumnému zaměření příslušné instituce. Dále výzkumníci zdůrazňují potřebu nadkritické velikosti center transferu a volají po existenci specializovaných a úzce kooperujících center, která pouze tak mohou poskytovat profesionální služby.</w:t>
      </w:r>
    </w:p>
    <w:p w:rsidR="003A5C2E" w:rsidRPr="00C31351" w:rsidRDefault="003A5C2E" w:rsidP="003A5C2E">
      <w:pPr>
        <w:rPr>
          <w:lang w:eastAsia="cs-CZ"/>
        </w:rPr>
      </w:pPr>
      <w:r>
        <w:rPr>
          <w:lang w:eastAsia="cs-CZ"/>
        </w:rPr>
        <w:t xml:space="preserve">Často se objevují nerealistická očekávání a malé povědomí ohledně možností center transferu ze strany výzkumníků, podniků nebo politiků. Stále je tedy potřeba zvyšovat povědomí odborné veřejnosti o činnosti center a vytvářet pobídky k využívání specializovaných center zejména univerzitami a podniky. </w:t>
      </w:r>
    </w:p>
    <w:p w:rsidR="003A5C2E" w:rsidRDefault="003A5C2E" w:rsidP="003A5C2E">
      <w:pPr>
        <w:rPr>
          <w:lang w:eastAsia="cs-CZ"/>
        </w:rPr>
      </w:pPr>
      <w:r>
        <w:rPr>
          <w:lang w:eastAsia="cs-CZ"/>
        </w:rPr>
        <w:t xml:space="preserve">Bezpečnostní výzkum má navíc ve vztahu k transferu znalostí oproti jiným oborům složitější pozici danou jeho specifickými faktory, zejména důvěrným charakterem výzkumné činnosti, vysokou multidisciplinaritou a obtížným tematickým vymezením. </w:t>
      </w:r>
    </w:p>
    <w:p w:rsidR="0016485D" w:rsidRDefault="00A4348F" w:rsidP="00236334">
      <w:pPr>
        <w:rPr>
          <w:lang w:eastAsia="cs-CZ"/>
        </w:rPr>
      </w:pPr>
      <w:r>
        <w:rPr>
          <w:lang w:eastAsia="cs-CZ"/>
        </w:rPr>
        <w:t>Z dotazníkového šetření vyplývá, že v</w:t>
      </w:r>
      <w:r w:rsidR="0016485D" w:rsidRPr="0016485D">
        <w:rPr>
          <w:lang w:eastAsia="cs-CZ"/>
        </w:rPr>
        <w:t xml:space="preserve">lastní kapacitou pro transfer znalostí disponuje 73 % organizací respondentů. Prostředníka pro transfer znalostí (tj. prostřednictvím spolupráce s jinou organizací) využívá 20 % organizací. Za významný nebo velmi významný pro uplatnění výsledů bezpečnostního výzkumu ve své organizaci považuje přinos schopnosti transferu </w:t>
      </w:r>
      <w:r w:rsidR="000558DF">
        <w:rPr>
          <w:lang w:eastAsia="cs-CZ"/>
        </w:rPr>
        <w:t xml:space="preserve">znalostí 54 % respondentů (viz </w:t>
      </w:r>
      <w:r w:rsidR="000558DF">
        <w:rPr>
          <w:lang w:eastAsia="cs-CZ"/>
        </w:rPr>
        <w:fldChar w:fldCharType="begin"/>
      </w:r>
      <w:r w:rsidR="000558DF">
        <w:rPr>
          <w:lang w:eastAsia="cs-CZ"/>
        </w:rPr>
        <w:instrText xml:space="preserve"> REF  _Ref454196672 \* Lower \h  \* MERGEFORMAT </w:instrText>
      </w:r>
      <w:r w:rsidR="000558DF">
        <w:rPr>
          <w:lang w:eastAsia="cs-CZ"/>
        </w:rPr>
      </w:r>
      <w:r w:rsidR="000558DF">
        <w:rPr>
          <w:lang w:eastAsia="cs-CZ"/>
        </w:rPr>
        <w:fldChar w:fldCharType="separate"/>
      </w:r>
      <w:r w:rsidR="003F08E5">
        <w:t xml:space="preserve">obr. </w:t>
      </w:r>
      <w:r w:rsidR="003F08E5">
        <w:rPr>
          <w:noProof/>
        </w:rPr>
        <w:t>34</w:t>
      </w:r>
      <w:r w:rsidR="000558DF">
        <w:rPr>
          <w:lang w:eastAsia="cs-CZ"/>
        </w:rPr>
        <w:fldChar w:fldCharType="end"/>
      </w:r>
      <w:r w:rsidR="0016485D" w:rsidRPr="0016485D">
        <w:rPr>
          <w:lang w:eastAsia="cs-CZ"/>
        </w:rPr>
        <w:t>).</w:t>
      </w:r>
    </w:p>
    <w:p w:rsidR="00D81F17" w:rsidRDefault="00D81F17" w:rsidP="00D81F17">
      <w:pPr>
        <w:keepNext/>
        <w:jc w:val="center"/>
      </w:pPr>
      <w:r>
        <w:rPr>
          <w:noProof/>
          <w:lang w:eastAsia="cs-CZ"/>
        </w:rPr>
        <w:drawing>
          <wp:inline distT="0" distB="0" distL="0" distR="0" wp14:anchorId="19F2A90D" wp14:editId="0D4C0A74">
            <wp:extent cx="4133850" cy="2447925"/>
            <wp:effectExtent l="0" t="0" r="0" b="9525"/>
            <wp:docPr id="92" name="Obrázek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78">
                      <a:extLst>
                        <a:ext uri="{28A0092B-C50C-407E-A947-70E740481C1C}">
                          <a14:useLocalDpi xmlns:a14="http://schemas.microsoft.com/office/drawing/2010/main" val="0"/>
                        </a:ext>
                      </a:extLst>
                    </a:blip>
                    <a:srcRect/>
                    <a:stretch>
                      <a:fillRect/>
                    </a:stretch>
                  </pic:blipFill>
                  <pic:spPr bwMode="auto">
                    <a:xfrm>
                      <a:off x="0" y="0"/>
                      <a:ext cx="4133850" cy="2447925"/>
                    </a:xfrm>
                    <a:prstGeom prst="rect">
                      <a:avLst/>
                    </a:prstGeom>
                    <a:noFill/>
                  </pic:spPr>
                </pic:pic>
              </a:graphicData>
            </a:graphic>
          </wp:inline>
        </w:drawing>
      </w:r>
    </w:p>
    <w:p w:rsidR="0016485D" w:rsidRDefault="00D81F17" w:rsidP="00D81F17">
      <w:pPr>
        <w:pStyle w:val="Titulek"/>
        <w:jc w:val="both"/>
      </w:pPr>
      <w:bookmarkStart w:id="267" w:name="_Ref454196672"/>
      <w:r>
        <w:t xml:space="preserve">Obr. </w:t>
      </w:r>
      <w:r w:rsidR="00990E2D">
        <w:fldChar w:fldCharType="begin"/>
      </w:r>
      <w:r w:rsidR="00990E2D">
        <w:instrText xml:space="preserve"> SEQ Obr. \* ARABIC </w:instrText>
      </w:r>
      <w:r w:rsidR="00990E2D">
        <w:fldChar w:fldCharType="separate"/>
      </w:r>
      <w:r w:rsidR="003F08E5">
        <w:rPr>
          <w:noProof/>
        </w:rPr>
        <w:t>34</w:t>
      </w:r>
      <w:r w:rsidR="00990E2D">
        <w:rPr>
          <w:noProof/>
        </w:rPr>
        <w:fldChar w:fldCharType="end"/>
      </w:r>
      <w:bookmarkEnd w:id="267"/>
      <w:r>
        <w:tab/>
      </w:r>
      <w:r w:rsidRPr="00D81F17">
        <w:t>Názor respondentů na přínos schopnosti transferu znalostí pro uplatnění výsledků bezpečnostního výzkumu</w:t>
      </w:r>
    </w:p>
    <w:p w:rsidR="003916A7" w:rsidRDefault="003916A7" w:rsidP="003916A7"/>
    <w:p w:rsidR="003916A7" w:rsidRDefault="003916A7" w:rsidP="003916A7">
      <w:r w:rsidRPr="000558DF">
        <w:t>Potřebu získání nebo dalšího rozšíření kapacity pro transfer znalostí ve své organizaci pociťuje 51 % respondentů. Největší překážky pro rozšíření kapacity pro transfer znalostí v organizacích představují nedostatek finančních zdrojů a nedostatek kvalifikovaných lidských zdrojů pro tuto činnost (</w:t>
      </w:r>
      <w:r>
        <w:t xml:space="preserve">viz </w:t>
      </w:r>
      <w:r>
        <w:fldChar w:fldCharType="begin"/>
      </w:r>
      <w:r>
        <w:instrText xml:space="preserve"> REF  _Ref454196816 \* Lower \h  \* MERGEFORMAT </w:instrText>
      </w:r>
      <w:r>
        <w:fldChar w:fldCharType="separate"/>
      </w:r>
      <w:r w:rsidR="003F08E5">
        <w:t xml:space="preserve">obr. </w:t>
      </w:r>
      <w:r w:rsidR="003F08E5">
        <w:rPr>
          <w:noProof/>
        </w:rPr>
        <w:t>35</w:t>
      </w:r>
      <w:r>
        <w:fldChar w:fldCharType="end"/>
      </w:r>
      <w:r w:rsidRPr="000558DF">
        <w:t>).</w:t>
      </w:r>
    </w:p>
    <w:p w:rsidR="003916A7" w:rsidRDefault="003916A7" w:rsidP="003916A7">
      <w:pPr>
        <w:keepNext/>
        <w:jc w:val="center"/>
      </w:pPr>
      <w:r>
        <w:rPr>
          <w:noProof/>
          <w:lang w:eastAsia="cs-CZ"/>
        </w:rPr>
        <w:drawing>
          <wp:inline distT="0" distB="0" distL="0" distR="0" wp14:anchorId="3939B67E" wp14:editId="761ADC02">
            <wp:extent cx="4912555" cy="1943100"/>
            <wp:effectExtent l="0" t="0" r="2540" b="0"/>
            <wp:docPr id="94" name="Obrázek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79">
                      <a:extLst>
                        <a:ext uri="{28A0092B-C50C-407E-A947-70E740481C1C}">
                          <a14:useLocalDpi xmlns:a14="http://schemas.microsoft.com/office/drawing/2010/main" val="0"/>
                        </a:ext>
                      </a:extLst>
                    </a:blip>
                    <a:srcRect/>
                    <a:stretch>
                      <a:fillRect/>
                    </a:stretch>
                  </pic:blipFill>
                  <pic:spPr bwMode="auto">
                    <a:xfrm>
                      <a:off x="0" y="0"/>
                      <a:ext cx="4912555" cy="1943100"/>
                    </a:xfrm>
                    <a:prstGeom prst="rect">
                      <a:avLst/>
                    </a:prstGeom>
                    <a:noFill/>
                  </pic:spPr>
                </pic:pic>
              </a:graphicData>
            </a:graphic>
          </wp:inline>
        </w:drawing>
      </w:r>
    </w:p>
    <w:p w:rsidR="00D81F17" w:rsidRDefault="003916A7" w:rsidP="003916A7">
      <w:pPr>
        <w:pStyle w:val="Titulek"/>
        <w:jc w:val="both"/>
      </w:pPr>
      <w:bookmarkStart w:id="268" w:name="_Ref454196816"/>
      <w:r>
        <w:t xml:space="preserve">Obr. </w:t>
      </w:r>
      <w:r w:rsidR="00990E2D">
        <w:fldChar w:fldCharType="begin"/>
      </w:r>
      <w:r w:rsidR="00990E2D">
        <w:instrText xml:space="preserve"> SEQ Obr. \* ARABIC </w:instrText>
      </w:r>
      <w:r w:rsidR="00990E2D">
        <w:fldChar w:fldCharType="separate"/>
      </w:r>
      <w:r w:rsidR="003F08E5">
        <w:rPr>
          <w:noProof/>
        </w:rPr>
        <w:t>35</w:t>
      </w:r>
      <w:r w:rsidR="00990E2D">
        <w:rPr>
          <w:noProof/>
        </w:rPr>
        <w:fldChar w:fldCharType="end"/>
      </w:r>
      <w:bookmarkEnd w:id="268"/>
      <w:r>
        <w:tab/>
      </w:r>
      <w:r w:rsidRPr="003916A7">
        <w:t>Překážky pro získání nebo rozšíření kapacity pro transfer znalostí v</w:t>
      </w:r>
      <w:r>
        <w:t> </w:t>
      </w:r>
      <w:r w:rsidRPr="003916A7">
        <w:t>organizacích</w:t>
      </w:r>
    </w:p>
    <w:p w:rsidR="003916A7" w:rsidRDefault="003916A7" w:rsidP="003916A7"/>
    <w:p w:rsidR="003916A7" w:rsidRDefault="003916A7" w:rsidP="00D81F17">
      <w:r w:rsidRPr="003916A7">
        <w:t>Mezi dalšími problémy bránícími využívání kapacity pro transfer znalostí v organizacích pro potřeby bezpečnostního výzkumu respondenti uvádějí nadměrnou administrativu a odtržení příslušného centralizovaného útvaru na úrovni vysoké školy od potřeb výzkumníků.</w:t>
      </w:r>
    </w:p>
    <w:p w:rsidR="00336F7E" w:rsidRPr="003916A7" w:rsidRDefault="00336F7E" w:rsidP="00336F7E">
      <w:r>
        <w:rPr>
          <w:lang w:eastAsia="cs-CZ"/>
        </w:rPr>
        <w:t xml:space="preserve">Řada organizací z oblasti bezpečnostního výzkumu si vysoký význam kvalifikovaného transferu znalostí pro praktické uplatnění výsledků svého výzkumu uvědomuje, na druhou stranu však existuje velké procento </w:t>
      </w:r>
      <w:r w:rsidR="00697C6A">
        <w:rPr>
          <w:lang w:eastAsia="cs-CZ"/>
        </w:rPr>
        <w:t>výzkumníků</w:t>
      </w:r>
      <w:r>
        <w:rPr>
          <w:lang w:eastAsia="cs-CZ"/>
        </w:rPr>
        <w:t>, kte</w:t>
      </w:r>
      <w:r w:rsidR="00697C6A">
        <w:rPr>
          <w:lang w:eastAsia="cs-CZ"/>
        </w:rPr>
        <w:t>ří</w:t>
      </w:r>
      <w:r>
        <w:rPr>
          <w:lang w:eastAsia="cs-CZ"/>
        </w:rPr>
        <w:t xml:space="preserve"> považují transfer znalostí za nevýznamný nebo nedokáž</w:t>
      </w:r>
      <w:r w:rsidR="00697C6A">
        <w:rPr>
          <w:lang w:eastAsia="cs-CZ"/>
        </w:rPr>
        <w:t>í</w:t>
      </w:r>
      <w:r>
        <w:rPr>
          <w:lang w:eastAsia="cs-CZ"/>
        </w:rPr>
        <w:t xml:space="preserve"> jeho význam posoudit. </w:t>
      </w:r>
      <w:r w:rsidR="00697C6A">
        <w:rPr>
          <w:lang w:eastAsia="cs-CZ"/>
        </w:rPr>
        <w:t>Správně cílená p</w:t>
      </w:r>
      <w:r>
        <w:rPr>
          <w:lang w:eastAsia="cs-CZ"/>
        </w:rPr>
        <w:t>odpora rozvoje a využívání transferu znalostí zaměřeného na specifické potřeby bezpečnostního výzkumu tak</w:t>
      </w:r>
      <w:r w:rsidR="00697C6A">
        <w:rPr>
          <w:lang w:eastAsia="cs-CZ"/>
        </w:rPr>
        <w:t xml:space="preserve"> skýtá </w:t>
      </w:r>
      <w:r>
        <w:rPr>
          <w:lang w:eastAsia="cs-CZ"/>
        </w:rPr>
        <w:t>nemalý potenciál pro širší využití dosažených výsledků výzkumu a pro jejich</w:t>
      </w:r>
      <w:r w:rsidR="00697C6A">
        <w:rPr>
          <w:lang w:eastAsia="cs-CZ"/>
        </w:rPr>
        <w:t xml:space="preserve"> vyšší</w:t>
      </w:r>
      <w:r>
        <w:rPr>
          <w:lang w:eastAsia="cs-CZ"/>
        </w:rPr>
        <w:t xml:space="preserve"> zúročení v bezpečnostní praxi v ČR i v zahraničí.   </w:t>
      </w:r>
    </w:p>
    <w:p w:rsidR="00336F7E" w:rsidRDefault="00336F7E" w:rsidP="00D81F17"/>
    <w:p w:rsidR="00236334" w:rsidRDefault="00236334" w:rsidP="00236334">
      <w:pPr>
        <w:pStyle w:val="Nadpis2"/>
      </w:pPr>
      <w:bookmarkStart w:id="269" w:name="_Toc459723341"/>
      <w:r>
        <w:t>Využití systému podpory bezpečnostního výzkumu</w:t>
      </w:r>
      <w:bookmarkEnd w:id="269"/>
    </w:p>
    <w:p w:rsidR="00236334" w:rsidRDefault="006D1325" w:rsidP="006D1325">
      <w:pPr>
        <w:pStyle w:val="Nadpis3"/>
      </w:pPr>
      <w:bookmarkStart w:id="270" w:name="_Toc459723342"/>
      <w:r w:rsidRPr="006D1325">
        <w:t>Zjištění z dotazníkového šetření mezi výzkumníky</w:t>
      </w:r>
      <w:bookmarkEnd w:id="270"/>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9354"/>
      </w:tblGrid>
      <w:tr w:rsidR="004D49C3" w:rsidTr="001D5000">
        <w:tc>
          <w:tcPr>
            <w:tcW w:w="9354" w:type="dxa"/>
            <w:shd w:val="clear" w:color="auto" w:fill="F2F2F2" w:themeFill="background1" w:themeFillShade="F2"/>
          </w:tcPr>
          <w:p w:rsidR="004D49C3" w:rsidRDefault="00F81242" w:rsidP="008E5456">
            <w:pPr>
              <w:rPr>
                <w:lang w:eastAsia="cs-CZ"/>
              </w:rPr>
            </w:pPr>
            <w:r>
              <w:rPr>
                <w:lang w:eastAsia="cs-CZ"/>
              </w:rPr>
              <w:t xml:space="preserve">S mírou zapojení své organizace do programů BV je spokojena téměř polovina respondentů </w:t>
            </w:r>
            <w:r w:rsidRPr="004D49C3">
              <w:rPr>
                <w:lang w:eastAsia="cs-CZ"/>
              </w:rPr>
              <w:t>dotazníkového šetření</w:t>
            </w:r>
            <w:r>
              <w:rPr>
                <w:lang w:eastAsia="cs-CZ"/>
              </w:rPr>
              <w:t xml:space="preserve">. </w:t>
            </w:r>
            <w:r w:rsidR="004D49C3" w:rsidRPr="004D49C3">
              <w:rPr>
                <w:lang w:eastAsia="cs-CZ"/>
              </w:rPr>
              <w:t>Mezi vybranými aspekty systému podpory bezpečnostního výzkumu v ČR respondenti nejlépe hodnotili dostupnost informací o možnostech získání a využití podpory, s níž bylo spokojeno 83 % respondentů. Za nejvýznamnější faktor bránící většímu zapojení organizací do programů bezpečnostního výzkumu podporovaných z veřejných zdrojů respondenti považují rostoucí nároky na administrativní činnost spojenou se zapojením do programů (</w:t>
            </w:r>
            <w:r>
              <w:rPr>
                <w:lang w:eastAsia="cs-CZ"/>
              </w:rPr>
              <w:t xml:space="preserve">administrativní náročnost </w:t>
            </w:r>
            <w:r w:rsidR="004D49C3" w:rsidRPr="004D49C3">
              <w:rPr>
                <w:lang w:eastAsia="cs-CZ"/>
              </w:rPr>
              <w:t>vadí 74 % respondentů), na dalším místě se umístilo příliš úzké vymezení bezpečnostního výzkumu</w:t>
            </w:r>
            <w:r>
              <w:rPr>
                <w:lang w:eastAsia="cs-CZ"/>
              </w:rPr>
              <w:t xml:space="preserve"> (úzké vymezení BV negativně hodnotí přibližně</w:t>
            </w:r>
            <w:r w:rsidR="004D49C3" w:rsidRPr="004D49C3">
              <w:rPr>
                <w:lang w:eastAsia="cs-CZ"/>
              </w:rPr>
              <w:t xml:space="preserve"> 58 % respondentů</w:t>
            </w:r>
            <w:r>
              <w:rPr>
                <w:lang w:eastAsia="cs-CZ"/>
              </w:rPr>
              <w:t>)</w:t>
            </w:r>
            <w:r w:rsidR="004D49C3" w:rsidRPr="004D49C3">
              <w:rPr>
                <w:lang w:eastAsia="cs-CZ"/>
              </w:rPr>
              <w:t>.</w:t>
            </w:r>
          </w:p>
        </w:tc>
      </w:tr>
    </w:tbl>
    <w:p w:rsidR="004D49C3" w:rsidRDefault="004D49C3" w:rsidP="004D49C3">
      <w:pPr>
        <w:rPr>
          <w:lang w:eastAsia="cs-CZ"/>
        </w:rPr>
      </w:pPr>
      <w:r>
        <w:rPr>
          <w:lang w:eastAsia="cs-CZ"/>
        </w:rPr>
        <w:t>Celkem 89 % organizací respondentů dotazníkového šetření bylo v období 2010</w:t>
      </w:r>
      <w:r w:rsidR="00F81242">
        <w:rPr>
          <w:lang w:eastAsia="cs-CZ"/>
        </w:rPr>
        <w:t xml:space="preserve"> </w:t>
      </w:r>
      <w:r>
        <w:rPr>
          <w:lang w:eastAsia="cs-CZ"/>
        </w:rPr>
        <w:t>-</w:t>
      </w:r>
      <w:r w:rsidR="00F81242">
        <w:rPr>
          <w:lang w:eastAsia="cs-CZ"/>
        </w:rPr>
        <w:t xml:space="preserve"> </w:t>
      </w:r>
      <w:r>
        <w:rPr>
          <w:lang w:eastAsia="cs-CZ"/>
        </w:rPr>
        <w:t xml:space="preserve">2015 příjemcem finanční podpory na bezpečnostní výzkum. Nejvíce organizací získalo podporu od MV (83 %), dále od TA ČR (17 %) a MPO (10 %). Mezi dalšími domácími poskytovateli finanční podpory respondenti uvedli MZv, MZe NAZV, MŽP, MŠMT, MO a GA ČR. S mírou zapojení své organizace do programů bezpečnostního výzkumu podpořených z veřejných zdrojů je spokojeno 47 % respondentů a naopak nespokojeno 52 % respondentů. </w:t>
      </w:r>
    </w:p>
    <w:p w:rsidR="006D1325" w:rsidRDefault="004D49C3" w:rsidP="004D49C3">
      <w:pPr>
        <w:rPr>
          <w:lang w:eastAsia="cs-CZ"/>
        </w:rPr>
      </w:pPr>
      <w:r>
        <w:rPr>
          <w:lang w:eastAsia="cs-CZ"/>
        </w:rPr>
        <w:t>Mezi vybranými aspekty systému podpory bezpečnostního výzkumu v ČR respondenti nejlépe hodnotili dostupnost informací o možnostech získání a využití podpory, s níž bylo spokojeno 83 % respondentů (</w:t>
      </w:r>
      <w:r w:rsidR="00A71EEC">
        <w:rPr>
          <w:lang w:eastAsia="cs-CZ"/>
        </w:rPr>
        <w:t xml:space="preserve">viz </w:t>
      </w:r>
      <w:r w:rsidR="00A71EEC">
        <w:rPr>
          <w:lang w:eastAsia="cs-CZ"/>
        </w:rPr>
        <w:fldChar w:fldCharType="begin"/>
      </w:r>
      <w:r w:rsidR="00A71EEC">
        <w:rPr>
          <w:lang w:eastAsia="cs-CZ"/>
        </w:rPr>
        <w:instrText xml:space="preserve"> REF  _Ref454199610 \* Lower \h  \* MERGEFORMAT </w:instrText>
      </w:r>
      <w:r w:rsidR="00A71EEC">
        <w:rPr>
          <w:lang w:eastAsia="cs-CZ"/>
        </w:rPr>
      </w:r>
      <w:r w:rsidR="00A71EEC">
        <w:rPr>
          <w:lang w:eastAsia="cs-CZ"/>
        </w:rPr>
        <w:fldChar w:fldCharType="separate"/>
      </w:r>
      <w:r w:rsidR="003F08E5">
        <w:t xml:space="preserve">obr. </w:t>
      </w:r>
      <w:r w:rsidR="003F08E5">
        <w:rPr>
          <w:noProof/>
        </w:rPr>
        <w:t>36</w:t>
      </w:r>
      <w:r w:rsidR="00A71EEC">
        <w:rPr>
          <w:lang w:eastAsia="cs-CZ"/>
        </w:rPr>
        <w:fldChar w:fldCharType="end"/>
      </w:r>
      <w:r>
        <w:rPr>
          <w:lang w:eastAsia="cs-CZ"/>
        </w:rPr>
        <w:t>). Nejvyšší nespokojenost byla naopak s podporou při přípravě a administraci projektů (24 % respondentů). Problematiku podpory v oblasti evaluace, testování a pilotního ověření výsledků výzkumu neumělo posoudit 32 % respondentů, což naznačuje potřebu osvěty a většího přiblížení této problematiky výzkumníkům.</w:t>
      </w:r>
    </w:p>
    <w:p w:rsidR="00F81242" w:rsidRDefault="00F81242" w:rsidP="004D49C3">
      <w:pPr>
        <w:rPr>
          <w:lang w:eastAsia="cs-CZ"/>
        </w:rPr>
      </w:pPr>
    </w:p>
    <w:p w:rsidR="004D49C3" w:rsidRDefault="00A71EEC" w:rsidP="004D49C3">
      <w:pPr>
        <w:keepNext/>
      </w:pPr>
      <w:r>
        <w:rPr>
          <w:noProof/>
          <w:lang w:eastAsia="cs-CZ"/>
        </w:rPr>
        <w:drawing>
          <wp:inline distT="0" distB="0" distL="0" distR="0" wp14:anchorId="7F772991" wp14:editId="19828ECC">
            <wp:extent cx="5857875" cy="2486025"/>
            <wp:effectExtent l="0" t="0" r="9525" b="9525"/>
            <wp:docPr id="97" name="Obrázek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80">
                      <a:extLst>
                        <a:ext uri="{28A0092B-C50C-407E-A947-70E740481C1C}">
                          <a14:useLocalDpi xmlns:a14="http://schemas.microsoft.com/office/drawing/2010/main" val="0"/>
                        </a:ext>
                      </a:extLst>
                    </a:blip>
                    <a:srcRect/>
                    <a:stretch>
                      <a:fillRect/>
                    </a:stretch>
                  </pic:blipFill>
                  <pic:spPr bwMode="auto">
                    <a:xfrm>
                      <a:off x="0" y="0"/>
                      <a:ext cx="5857875" cy="2486025"/>
                    </a:xfrm>
                    <a:prstGeom prst="rect">
                      <a:avLst/>
                    </a:prstGeom>
                    <a:noFill/>
                  </pic:spPr>
                </pic:pic>
              </a:graphicData>
            </a:graphic>
          </wp:inline>
        </w:drawing>
      </w:r>
    </w:p>
    <w:p w:rsidR="004D49C3" w:rsidRDefault="004D49C3" w:rsidP="004D49C3">
      <w:pPr>
        <w:pStyle w:val="Titulek"/>
        <w:jc w:val="both"/>
        <w:rPr>
          <w:lang w:eastAsia="cs-CZ"/>
        </w:rPr>
      </w:pPr>
      <w:bookmarkStart w:id="271" w:name="_Ref454199610"/>
      <w:r>
        <w:t xml:space="preserve">Obr. </w:t>
      </w:r>
      <w:r w:rsidR="00990E2D">
        <w:fldChar w:fldCharType="begin"/>
      </w:r>
      <w:r w:rsidR="00990E2D">
        <w:instrText xml:space="preserve"> SEQ Obr. \* ARABIC </w:instrText>
      </w:r>
      <w:r w:rsidR="00990E2D">
        <w:fldChar w:fldCharType="separate"/>
      </w:r>
      <w:r w:rsidR="003F08E5">
        <w:rPr>
          <w:noProof/>
        </w:rPr>
        <w:t>36</w:t>
      </w:r>
      <w:r w:rsidR="00990E2D">
        <w:rPr>
          <w:noProof/>
        </w:rPr>
        <w:fldChar w:fldCharType="end"/>
      </w:r>
      <w:bookmarkEnd w:id="271"/>
      <w:r>
        <w:tab/>
      </w:r>
      <w:r w:rsidRPr="004D49C3">
        <w:t>Hodnocení vybraných aspektů systému podpory bezpečnostního výzkumu v ČR</w:t>
      </w:r>
    </w:p>
    <w:p w:rsidR="004D49C3" w:rsidRDefault="004D49C3" w:rsidP="004D49C3">
      <w:pPr>
        <w:rPr>
          <w:lang w:eastAsia="cs-CZ"/>
        </w:rPr>
      </w:pPr>
    </w:p>
    <w:p w:rsidR="004D49C3" w:rsidRPr="004D49C3" w:rsidRDefault="004D49C3" w:rsidP="004D49C3">
      <w:pPr>
        <w:rPr>
          <w:lang w:eastAsia="cs-CZ"/>
        </w:rPr>
      </w:pPr>
      <w:r w:rsidRPr="004D49C3">
        <w:rPr>
          <w:lang w:eastAsia="cs-CZ"/>
        </w:rPr>
        <w:t xml:space="preserve">Za nejvýznamnější faktor bránící většímu zapojení organizací do programů bezpečnostního výzkumu podporovaných z veřejných zdrojů respondenti považují rostoucí nároky na administrativní činnost spojenou se zapojením do programů (vadí 74 </w:t>
      </w:r>
      <w:r w:rsidRPr="004D49C3">
        <w:rPr>
          <w:lang w:val="en-US" w:eastAsia="cs-CZ"/>
        </w:rPr>
        <w:t xml:space="preserve">% </w:t>
      </w:r>
      <w:r w:rsidRPr="004D49C3">
        <w:rPr>
          <w:lang w:eastAsia="cs-CZ"/>
        </w:rPr>
        <w:t xml:space="preserve">respondentů), na dalším místě se umístilo příliš úzké vymezení bezpečnostního výzkumu (vadí 58 % respondentů, viz </w:t>
      </w:r>
      <w:r w:rsidR="00A71EEC">
        <w:rPr>
          <w:lang w:eastAsia="cs-CZ"/>
        </w:rPr>
        <w:fldChar w:fldCharType="begin"/>
      </w:r>
      <w:r w:rsidR="00A71EEC">
        <w:rPr>
          <w:lang w:eastAsia="cs-CZ"/>
        </w:rPr>
        <w:instrText xml:space="preserve"> REF  _Ref454199923 \* Lower \h  \* MERGEFORMAT </w:instrText>
      </w:r>
      <w:r w:rsidR="00A71EEC">
        <w:rPr>
          <w:lang w:eastAsia="cs-CZ"/>
        </w:rPr>
      </w:r>
      <w:r w:rsidR="00A71EEC">
        <w:rPr>
          <w:lang w:eastAsia="cs-CZ"/>
        </w:rPr>
        <w:fldChar w:fldCharType="separate"/>
      </w:r>
      <w:r w:rsidR="003F08E5">
        <w:t xml:space="preserve">obr. </w:t>
      </w:r>
      <w:r w:rsidR="003F08E5">
        <w:rPr>
          <w:noProof/>
        </w:rPr>
        <w:t>37</w:t>
      </w:r>
      <w:r w:rsidR="00A71EEC">
        <w:rPr>
          <w:lang w:eastAsia="cs-CZ"/>
        </w:rPr>
        <w:fldChar w:fldCharType="end"/>
      </w:r>
      <w:r w:rsidRPr="004D49C3">
        <w:rPr>
          <w:lang w:eastAsia="cs-CZ"/>
        </w:rPr>
        <w:t>).</w:t>
      </w:r>
    </w:p>
    <w:p w:rsidR="004D49C3" w:rsidRDefault="004D49C3" w:rsidP="004D49C3">
      <w:pPr>
        <w:rPr>
          <w:lang w:eastAsia="cs-CZ"/>
        </w:rPr>
      </w:pPr>
    </w:p>
    <w:p w:rsidR="004D49C3" w:rsidRDefault="00A71EEC" w:rsidP="00A71EEC">
      <w:pPr>
        <w:keepNext/>
        <w:jc w:val="center"/>
      </w:pPr>
      <w:r>
        <w:rPr>
          <w:noProof/>
          <w:lang w:eastAsia="cs-CZ"/>
        </w:rPr>
        <w:drawing>
          <wp:inline distT="0" distB="0" distL="0" distR="0" wp14:anchorId="40ACE9F9" wp14:editId="4498C255">
            <wp:extent cx="5781675" cy="3838575"/>
            <wp:effectExtent l="0" t="0" r="9525" b="9525"/>
            <wp:docPr id="98" name="Obrázek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81">
                      <a:extLst>
                        <a:ext uri="{28A0092B-C50C-407E-A947-70E740481C1C}">
                          <a14:useLocalDpi xmlns:a14="http://schemas.microsoft.com/office/drawing/2010/main" val="0"/>
                        </a:ext>
                      </a:extLst>
                    </a:blip>
                    <a:srcRect/>
                    <a:stretch>
                      <a:fillRect/>
                    </a:stretch>
                  </pic:blipFill>
                  <pic:spPr bwMode="auto">
                    <a:xfrm>
                      <a:off x="0" y="0"/>
                      <a:ext cx="5781675" cy="3838575"/>
                    </a:xfrm>
                    <a:prstGeom prst="rect">
                      <a:avLst/>
                    </a:prstGeom>
                    <a:noFill/>
                  </pic:spPr>
                </pic:pic>
              </a:graphicData>
            </a:graphic>
          </wp:inline>
        </w:drawing>
      </w:r>
    </w:p>
    <w:p w:rsidR="004D49C3" w:rsidRDefault="004D49C3" w:rsidP="004D49C3">
      <w:pPr>
        <w:pStyle w:val="Titulek"/>
        <w:jc w:val="both"/>
      </w:pPr>
      <w:bookmarkStart w:id="272" w:name="_Ref454199923"/>
      <w:r>
        <w:t xml:space="preserve">Obr. </w:t>
      </w:r>
      <w:r w:rsidR="00990E2D">
        <w:fldChar w:fldCharType="begin"/>
      </w:r>
      <w:r w:rsidR="00990E2D">
        <w:instrText xml:space="preserve"> SEQ Obr. \* ARABIC </w:instrText>
      </w:r>
      <w:r w:rsidR="00990E2D">
        <w:fldChar w:fldCharType="separate"/>
      </w:r>
      <w:r w:rsidR="003F08E5">
        <w:rPr>
          <w:noProof/>
        </w:rPr>
        <w:t>37</w:t>
      </w:r>
      <w:r w:rsidR="00990E2D">
        <w:rPr>
          <w:noProof/>
        </w:rPr>
        <w:fldChar w:fldCharType="end"/>
      </w:r>
      <w:bookmarkEnd w:id="272"/>
      <w:r>
        <w:tab/>
      </w:r>
      <w:r w:rsidRPr="004D49C3">
        <w:t>Hodnocení vybraných faktorů, které brání většímu zapojení organizací do programů bezpečnostního výzkumu podporovaných z veřejných zdrojů</w:t>
      </w:r>
    </w:p>
    <w:p w:rsidR="004D49C3" w:rsidRDefault="004D49C3" w:rsidP="004D49C3"/>
    <w:p w:rsidR="004D49C3" w:rsidRDefault="004D49C3" w:rsidP="004D49C3">
      <w:r>
        <w:t>Mezi konkrétními návrhy na vylepšení systému podpory bezpečnostního výzkumu respondenti uvedli v rámci dotazníkového šetření následující:</w:t>
      </w:r>
    </w:p>
    <w:p w:rsidR="004D49C3" w:rsidRPr="00A71EEC" w:rsidRDefault="004D49C3" w:rsidP="004F74B7">
      <w:pPr>
        <w:numPr>
          <w:ilvl w:val="0"/>
          <w:numId w:val="9"/>
        </w:numPr>
        <w:spacing w:before="60" w:after="60"/>
        <w:ind w:left="714" w:hanging="357"/>
      </w:pPr>
      <w:r w:rsidRPr="00A71EEC">
        <w:t>Větší spektrum hlavních výsledků. Zvláště, pokud má několik státních organizací velký zájem o řešení či vyvinutí určitého výsledku a ten není specifikován ve výsledcích zadávací dokumentace, nelze projekt realizovat. Zavést i soubor poznatků jako uznatelný výsledek výzkumu.</w:t>
      </w:r>
    </w:p>
    <w:p w:rsidR="004D49C3" w:rsidRPr="00A71EEC" w:rsidRDefault="004D49C3" w:rsidP="004F74B7">
      <w:pPr>
        <w:numPr>
          <w:ilvl w:val="0"/>
          <w:numId w:val="9"/>
        </w:numPr>
        <w:spacing w:before="60" w:after="60"/>
        <w:ind w:left="714" w:hanging="357"/>
      </w:pPr>
      <w:r w:rsidRPr="00A71EEC">
        <w:t>Marginální snížení administrativy od podání návrhu projektu po vlastní řešení projektu. V případě programu Bezpečnostního výzkumu MV ČR zjednodušení tvorby rozpočtu projektu a pravidel pro jeho čerpání.</w:t>
      </w:r>
    </w:p>
    <w:p w:rsidR="004D49C3" w:rsidRPr="00A71EEC" w:rsidRDefault="004D49C3" w:rsidP="004F74B7">
      <w:pPr>
        <w:numPr>
          <w:ilvl w:val="0"/>
          <w:numId w:val="9"/>
        </w:numPr>
        <w:spacing w:before="60" w:after="60"/>
        <w:ind w:left="714" w:hanging="357"/>
      </w:pPr>
      <w:r w:rsidRPr="00A71EEC">
        <w:t>Vytvoření předpokladů pro intenzivnější zapojení zahraničních partnerů do BV.</w:t>
      </w:r>
    </w:p>
    <w:p w:rsidR="004D49C3" w:rsidRPr="00A71EEC" w:rsidRDefault="004D49C3" w:rsidP="004F74B7">
      <w:pPr>
        <w:numPr>
          <w:ilvl w:val="0"/>
          <w:numId w:val="9"/>
        </w:numPr>
        <w:spacing w:before="60" w:after="60"/>
        <w:ind w:left="714" w:hanging="357"/>
      </w:pPr>
      <w:r w:rsidRPr="00A71EEC">
        <w:t>Zefektivnění certifikačního procesu ve vazbě na počet certifikačních autorit.</w:t>
      </w:r>
    </w:p>
    <w:p w:rsidR="004D49C3" w:rsidRPr="00A71EEC" w:rsidRDefault="004D49C3" w:rsidP="004F74B7">
      <w:pPr>
        <w:numPr>
          <w:ilvl w:val="0"/>
          <w:numId w:val="9"/>
        </w:numPr>
        <w:spacing w:before="60" w:after="60"/>
        <w:ind w:left="714" w:hanging="357"/>
      </w:pPr>
      <w:r w:rsidRPr="00A71EEC">
        <w:t>Výraznější uplatnění možnosti MV označovat příjemce podpory za výzkumnou organizaci.</w:t>
      </w:r>
    </w:p>
    <w:p w:rsidR="004D49C3" w:rsidRPr="00A71EEC" w:rsidRDefault="004D49C3" w:rsidP="004F74B7">
      <w:pPr>
        <w:numPr>
          <w:ilvl w:val="0"/>
          <w:numId w:val="9"/>
        </w:numPr>
        <w:spacing w:before="60" w:after="60"/>
        <w:ind w:left="714" w:hanging="357"/>
      </w:pPr>
      <w:r w:rsidRPr="00A71EEC">
        <w:t>Lepší administrace a informovanost ze strany MV (např. při závěrečných kontrolách projektů).</w:t>
      </w:r>
    </w:p>
    <w:p w:rsidR="004D49C3" w:rsidRPr="00A71EEC" w:rsidRDefault="004D49C3" w:rsidP="004F74B7">
      <w:pPr>
        <w:numPr>
          <w:ilvl w:val="0"/>
          <w:numId w:val="9"/>
        </w:numPr>
        <w:spacing w:before="60" w:after="60"/>
        <w:ind w:left="714" w:hanging="357"/>
      </w:pPr>
      <w:r w:rsidRPr="00A71EEC">
        <w:t>Vyšší zapojení potenciálních uživatelů v průběhu projektu (prezentace / oponentura dílčích výsledků). Prezentace výsledků a podpora transferu znalostní po skončení projektu.</w:t>
      </w:r>
    </w:p>
    <w:p w:rsidR="004D49C3" w:rsidRPr="00A71EEC" w:rsidRDefault="004D49C3" w:rsidP="004F74B7">
      <w:pPr>
        <w:numPr>
          <w:ilvl w:val="0"/>
          <w:numId w:val="9"/>
        </w:numPr>
        <w:spacing w:before="60" w:after="60"/>
        <w:ind w:left="714" w:hanging="357"/>
      </w:pPr>
      <w:r w:rsidRPr="00A71EEC">
        <w:t>Možnost prodloužit úspěšný grant o rok či dva pro uvedení výsledku na trh.</w:t>
      </w:r>
    </w:p>
    <w:p w:rsidR="004D49C3" w:rsidRPr="00A71EEC" w:rsidRDefault="004D49C3" w:rsidP="004F74B7">
      <w:pPr>
        <w:numPr>
          <w:ilvl w:val="0"/>
          <w:numId w:val="9"/>
        </w:numPr>
        <w:spacing w:before="60" w:after="60"/>
        <w:ind w:left="714" w:hanging="357"/>
      </w:pPr>
      <w:r w:rsidRPr="00A71EEC">
        <w:t>Kvalifikovanější hodnocení návrhů projektu - někdy hodnotitel sníží body bez zdůvodnění.</w:t>
      </w:r>
    </w:p>
    <w:p w:rsidR="004D49C3" w:rsidRPr="00A71EEC" w:rsidRDefault="004D49C3" w:rsidP="004F74B7">
      <w:pPr>
        <w:numPr>
          <w:ilvl w:val="0"/>
          <w:numId w:val="9"/>
        </w:numPr>
        <w:spacing w:before="60" w:after="60"/>
        <w:ind w:left="714" w:hanging="357"/>
      </w:pPr>
      <w:r w:rsidRPr="00A71EEC">
        <w:t>Zkvalitnění databáze oponentů.</w:t>
      </w:r>
    </w:p>
    <w:p w:rsidR="004D49C3" w:rsidRPr="00A71EEC" w:rsidRDefault="004D49C3" w:rsidP="004F74B7">
      <w:pPr>
        <w:numPr>
          <w:ilvl w:val="0"/>
          <w:numId w:val="9"/>
        </w:numPr>
        <w:spacing w:before="60" w:after="60"/>
        <w:ind w:left="714" w:hanging="357"/>
      </w:pPr>
      <w:r w:rsidRPr="00A71EEC">
        <w:t>Jasnější definice potřeb u vypisovaných témat, např. možnost navrhnout téma, které poskytovatel po domluvě s navrhovatelem upraví, aby se skutečně vyvíjelo to, co je potřeba a šlo o zacílený výzkum.</w:t>
      </w:r>
    </w:p>
    <w:p w:rsidR="004D49C3" w:rsidRDefault="004D49C3" w:rsidP="004F74B7">
      <w:pPr>
        <w:numPr>
          <w:ilvl w:val="0"/>
          <w:numId w:val="9"/>
        </w:numPr>
        <w:spacing w:before="60" w:after="60"/>
        <w:ind w:left="714" w:hanging="357"/>
      </w:pPr>
      <w:r>
        <w:t>Dát k dispozici i u veřejné soutěže gestora, který by z pohledu poskytovatele směroval projekt pro využití v praxi.</w:t>
      </w:r>
    </w:p>
    <w:p w:rsidR="004D49C3" w:rsidRDefault="004D49C3" w:rsidP="004F74B7">
      <w:pPr>
        <w:numPr>
          <w:ilvl w:val="0"/>
          <w:numId w:val="9"/>
        </w:numPr>
        <w:spacing w:before="60" w:after="60"/>
        <w:ind w:left="714" w:hanging="357"/>
      </w:pPr>
      <w:r>
        <w:t>Podpora delších projektů (ideálně 5 a více let).</w:t>
      </w:r>
    </w:p>
    <w:p w:rsidR="004D49C3" w:rsidRDefault="004D49C3" w:rsidP="004F74B7">
      <w:pPr>
        <w:numPr>
          <w:ilvl w:val="0"/>
          <w:numId w:val="9"/>
        </w:numPr>
        <w:spacing w:before="60" w:after="60"/>
        <w:ind w:left="714" w:hanging="357"/>
      </w:pPr>
      <w:r>
        <w:t>Vyšší podpora mezd odborných pracovníků (popř. umožnit ocenění formou odměn, osobní příplatek, atd.).</w:t>
      </w:r>
    </w:p>
    <w:p w:rsidR="004D49C3" w:rsidRDefault="004D49C3" w:rsidP="004F74B7">
      <w:pPr>
        <w:numPr>
          <w:ilvl w:val="0"/>
          <w:numId w:val="9"/>
        </w:numPr>
        <w:spacing w:before="60" w:after="60"/>
        <w:ind w:left="714" w:hanging="357"/>
      </w:pPr>
      <w:r>
        <w:t>Zlepšení informačního systému pro zadávání projektů, ročních a závěrečných zpráv.</w:t>
      </w:r>
    </w:p>
    <w:p w:rsidR="004D49C3" w:rsidRDefault="004D49C3" w:rsidP="004F74B7">
      <w:pPr>
        <w:numPr>
          <w:ilvl w:val="0"/>
          <w:numId w:val="9"/>
        </w:numPr>
        <w:spacing w:before="60" w:after="60"/>
        <w:ind w:left="714" w:hanging="357"/>
      </w:pPr>
      <w:r>
        <w:t>Zrychlení uvolňování finančních prostředků pro daný rok.</w:t>
      </w:r>
    </w:p>
    <w:p w:rsidR="004D49C3" w:rsidRDefault="004D49C3" w:rsidP="004F74B7">
      <w:pPr>
        <w:numPr>
          <w:ilvl w:val="0"/>
          <w:numId w:val="9"/>
        </w:numPr>
        <w:spacing w:before="60" w:after="60"/>
        <w:ind w:left="714" w:hanging="357"/>
      </w:pPr>
      <w:r>
        <w:t>Zvýšení míry podpory.</w:t>
      </w:r>
    </w:p>
    <w:p w:rsidR="004D49C3" w:rsidRDefault="004D49C3" w:rsidP="004F74B7">
      <w:pPr>
        <w:numPr>
          <w:ilvl w:val="0"/>
          <w:numId w:val="9"/>
        </w:numPr>
        <w:spacing w:before="60" w:after="60"/>
        <w:ind w:left="714" w:hanging="357"/>
      </w:pPr>
      <w:r>
        <w:t>Pilotní programy zadávané státními organizacemi a financované státem.</w:t>
      </w:r>
    </w:p>
    <w:p w:rsidR="004D49C3" w:rsidRDefault="004D49C3" w:rsidP="004F74B7">
      <w:pPr>
        <w:numPr>
          <w:ilvl w:val="0"/>
          <w:numId w:val="9"/>
        </w:numPr>
        <w:spacing w:before="60" w:after="60"/>
        <w:ind w:left="714" w:hanging="357"/>
      </w:pPr>
      <w:r>
        <w:t>Vyšší uplatnění kritéria perspektivnosti a společenské potřebnosti při výběru projektů k řešení.</w:t>
      </w:r>
    </w:p>
    <w:p w:rsidR="004D49C3" w:rsidRDefault="004D49C3" w:rsidP="004F74B7">
      <w:pPr>
        <w:numPr>
          <w:ilvl w:val="0"/>
          <w:numId w:val="9"/>
        </w:numPr>
        <w:spacing w:before="60" w:after="60"/>
        <w:ind w:left="714" w:hanging="357"/>
      </w:pPr>
      <w:r>
        <w:t>Marginální snížení administrativy od podání návrhu projektu po vlastní řešení projektu.</w:t>
      </w:r>
    </w:p>
    <w:p w:rsidR="004D49C3" w:rsidRDefault="004D49C3" w:rsidP="004F74B7">
      <w:pPr>
        <w:numPr>
          <w:ilvl w:val="0"/>
          <w:numId w:val="9"/>
        </w:numPr>
        <w:spacing w:before="60" w:after="60"/>
        <w:ind w:left="714" w:hanging="357"/>
      </w:pPr>
      <w:r>
        <w:t xml:space="preserve">Nedostačující definice cílů projektu ve smlouvě o dílo. Např. je-li cílem certifikovaná metodika, smlouva o dílo by mela obsahovat definici procesu certifikace metodiky. </w:t>
      </w:r>
    </w:p>
    <w:p w:rsidR="004D49C3" w:rsidRDefault="004D49C3" w:rsidP="004F74B7">
      <w:pPr>
        <w:numPr>
          <w:ilvl w:val="0"/>
          <w:numId w:val="9"/>
        </w:numPr>
        <w:spacing w:before="60" w:after="60"/>
        <w:ind w:left="714" w:hanging="357"/>
      </w:pPr>
      <w:r>
        <w:t>Podpora menších projektů s kratší dobou řešení (např. možnost projektů ohraničených max. 500 000 Kč a dobou řešení 18 měsíců).</w:t>
      </w:r>
    </w:p>
    <w:p w:rsidR="004D49C3" w:rsidRDefault="004D49C3" w:rsidP="004F74B7">
      <w:pPr>
        <w:numPr>
          <w:ilvl w:val="0"/>
          <w:numId w:val="9"/>
        </w:numPr>
        <w:spacing w:before="60" w:after="60"/>
        <w:ind w:left="714" w:hanging="357"/>
      </w:pPr>
      <w:r>
        <w:t>Užší specifikace cílů bezpečnostního výzkumu v oblasti dopravy.</w:t>
      </w:r>
    </w:p>
    <w:p w:rsidR="004D49C3" w:rsidRDefault="004D49C3" w:rsidP="004F74B7">
      <w:pPr>
        <w:numPr>
          <w:ilvl w:val="0"/>
          <w:numId w:val="9"/>
        </w:numPr>
        <w:spacing w:before="60" w:after="60"/>
        <w:ind w:left="714" w:hanging="357"/>
      </w:pPr>
      <w:r>
        <w:t>Větší důraz na ekonomické "soft" prvky - data o veřejných zakázkách, insolvencích atp.</w:t>
      </w:r>
    </w:p>
    <w:p w:rsidR="004D49C3" w:rsidRDefault="004D49C3" w:rsidP="004F74B7">
      <w:pPr>
        <w:numPr>
          <w:ilvl w:val="0"/>
          <w:numId w:val="9"/>
        </w:numPr>
        <w:spacing w:before="60" w:after="60"/>
        <w:ind w:left="714" w:hanging="357"/>
      </w:pPr>
      <w:r>
        <w:t>Více zahrnout víceoborovou problematiku BV, zejména rozšíření o možná rizika, která mohou vzniknout kombinací např. technologických havárií velkého rozsahu a extrémních povětrnostních podmínek (povodně, sucho) a posílit aspekty "ekologické bezpečnosti" - tj. zdravého fungování krajiny.</w:t>
      </w:r>
    </w:p>
    <w:p w:rsidR="004D49C3" w:rsidRDefault="004D49C3" w:rsidP="004F74B7">
      <w:pPr>
        <w:numPr>
          <w:ilvl w:val="0"/>
          <w:numId w:val="9"/>
        </w:numPr>
        <w:spacing w:before="60" w:after="60"/>
        <w:ind w:left="714" w:hanging="357"/>
      </w:pPr>
      <w:r>
        <w:t>Témata by měla zahrnovat i analýzy kritické infrastruktury a vývoj nástrojů a metodik pro tyto analýzy (např. jaderných zařízení).</w:t>
      </w:r>
    </w:p>
    <w:p w:rsidR="004D49C3" w:rsidRDefault="004D49C3" w:rsidP="004F74B7">
      <w:pPr>
        <w:numPr>
          <w:ilvl w:val="0"/>
          <w:numId w:val="9"/>
        </w:numPr>
        <w:spacing w:before="60" w:after="60"/>
        <w:ind w:left="714" w:hanging="357"/>
      </w:pPr>
      <w:r>
        <w:t>Nezvyšování nároků na administraci projektů, vyšší finanční alokace na programy bezpečnostního výzkumu.</w:t>
      </w:r>
    </w:p>
    <w:p w:rsidR="004D49C3" w:rsidRDefault="004D49C3" w:rsidP="004D49C3"/>
    <w:p w:rsidR="004D49C3" w:rsidRDefault="004D49C3" w:rsidP="004D49C3">
      <w:pPr>
        <w:pStyle w:val="Nadpis3"/>
      </w:pPr>
      <w:bookmarkStart w:id="273" w:name="_Toc459723343"/>
      <w:r w:rsidRPr="004D49C3">
        <w:t>Zjištění z expertního workshopu</w:t>
      </w:r>
      <w:bookmarkEnd w:id="273"/>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9354"/>
      </w:tblGrid>
      <w:tr w:rsidR="004D49C3" w:rsidTr="001D5000">
        <w:tc>
          <w:tcPr>
            <w:tcW w:w="9354" w:type="dxa"/>
            <w:shd w:val="clear" w:color="auto" w:fill="F2F2F2" w:themeFill="background1" w:themeFillShade="F2"/>
          </w:tcPr>
          <w:p w:rsidR="004D49C3" w:rsidRDefault="004D49C3" w:rsidP="004D49C3">
            <w:pPr>
              <w:rPr>
                <w:lang w:eastAsia="cs-CZ"/>
              </w:rPr>
            </w:pPr>
            <w:r w:rsidRPr="004D49C3">
              <w:rPr>
                <w:lang w:eastAsia="cs-CZ"/>
              </w:rPr>
              <w:t>Experti se v rámci workshopu zabývali hodnocením prospěšnosti návrhů iniciativ zvažovaných MV pro nově připravovanou Meziresortní koncepci bezpečnostního výzkumu pro období 2017+. Mezi nejpotřebnější z těchto iniciativ patří z pohledu expertů vytvoření jednotného informačního zdroje pro bezpečnostní výzkum, dále podpora pilotního nasazení, testování a evaluace výsledků výzkumu u koncových uživatelů a v neposlední řadě také aktivace komunikace mezi výzkumnou a uživatelskou infrastrukturou.</w:t>
            </w:r>
          </w:p>
        </w:tc>
      </w:tr>
    </w:tbl>
    <w:p w:rsidR="004D49C3" w:rsidRDefault="004D49C3" w:rsidP="004D49C3">
      <w:pPr>
        <w:rPr>
          <w:lang w:eastAsia="cs-CZ"/>
        </w:rPr>
      </w:pPr>
      <w:r w:rsidRPr="004D49C3">
        <w:rPr>
          <w:lang w:eastAsia="cs-CZ"/>
        </w:rPr>
        <w:t>Experti se v rámci workshopu zabývali hodnocením prospěšnosti návrhů iniciativ zvažovaných MV pro nově připravovanou Meziresortní koncepci bezpečnostního výzkumu pro období 2017+ (</w:t>
      </w:r>
      <w:r w:rsidR="00A71EEC">
        <w:rPr>
          <w:lang w:eastAsia="cs-CZ"/>
        </w:rPr>
        <w:t xml:space="preserve">viz </w:t>
      </w:r>
      <w:r w:rsidR="00A71EEC">
        <w:rPr>
          <w:lang w:eastAsia="cs-CZ"/>
        </w:rPr>
        <w:fldChar w:fldCharType="begin"/>
      </w:r>
      <w:r w:rsidR="00A71EEC">
        <w:rPr>
          <w:lang w:eastAsia="cs-CZ"/>
        </w:rPr>
        <w:instrText xml:space="preserve"> REF  _Ref454200108 \* Lower \h  \* MERGEFORMAT </w:instrText>
      </w:r>
      <w:r w:rsidR="00A71EEC">
        <w:rPr>
          <w:lang w:eastAsia="cs-CZ"/>
        </w:rPr>
      </w:r>
      <w:r w:rsidR="00A71EEC">
        <w:rPr>
          <w:lang w:eastAsia="cs-CZ"/>
        </w:rPr>
        <w:fldChar w:fldCharType="separate"/>
      </w:r>
      <w:r w:rsidR="003F08E5">
        <w:t xml:space="preserve">obr. </w:t>
      </w:r>
      <w:r w:rsidR="003F08E5">
        <w:rPr>
          <w:noProof/>
        </w:rPr>
        <w:t>38</w:t>
      </w:r>
      <w:r w:rsidR="00A71EEC">
        <w:rPr>
          <w:lang w:eastAsia="cs-CZ"/>
        </w:rPr>
        <w:fldChar w:fldCharType="end"/>
      </w:r>
      <w:r w:rsidRPr="004D49C3">
        <w:rPr>
          <w:lang w:eastAsia="cs-CZ"/>
        </w:rPr>
        <w:t>). Mezi nejpotřebnější z těchto iniciativ patří z pohledu expertů vytvoření jednotného informačního zdroje pro bezpečnostní výzkum, dále podpora pilotního nasazení, testování a evaluace výsledků výzkumu u koncových uživatelů a v neposlední řadě také aktivace komunikace mezi výzkumnou a uživatelskou infrastrukturou.</w:t>
      </w:r>
    </w:p>
    <w:p w:rsidR="004D49C3" w:rsidRDefault="00A71EEC" w:rsidP="00A71EEC">
      <w:pPr>
        <w:keepNext/>
        <w:jc w:val="center"/>
      </w:pPr>
      <w:r>
        <w:rPr>
          <w:noProof/>
          <w:lang w:eastAsia="cs-CZ"/>
        </w:rPr>
        <w:drawing>
          <wp:inline distT="0" distB="0" distL="0" distR="0" wp14:anchorId="33641EA8" wp14:editId="22F8DC77">
            <wp:extent cx="5506357" cy="4191000"/>
            <wp:effectExtent l="0" t="0" r="0" b="0"/>
            <wp:docPr id="99" name="Obrázek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82">
                      <a:extLst>
                        <a:ext uri="{28A0092B-C50C-407E-A947-70E740481C1C}">
                          <a14:useLocalDpi xmlns:a14="http://schemas.microsoft.com/office/drawing/2010/main" val="0"/>
                        </a:ext>
                      </a:extLst>
                    </a:blip>
                    <a:srcRect/>
                    <a:stretch>
                      <a:fillRect/>
                    </a:stretch>
                  </pic:blipFill>
                  <pic:spPr bwMode="auto">
                    <a:xfrm>
                      <a:off x="0" y="0"/>
                      <a:ext cx="5506357" cy="4191000"/>
                    </a:xfrm>
                    <a:prstGeom prst="rect">
                      <a:avLst/>
                    </a:prstGeom>
                    <a:noFill/>
                  </pic:spPr>
                </pic:pic>
              </a:graphicData>
            </a:graphic>
          </wp:inline>
        </w:drawing>
      </w:r>
    </w:p>
    <w:p w:rsidR="004D49C3" w:rsidRDefault="004D49C3" w:rsidP="004D49C3">
      <w:pPr>
        <w:pStyle w:val="Titulek"/>
        <w:jc w:val="both"/>
      </w:pPr>
      <w:bookmarkStart w:id="274" w:name="_Ref454200108"/>
      <w:r>
        <w:t xml:space="preserve">Obr. </w:t>
      </w:r>
      <w:r w:rsidR="00990E2D">
        <w:fldChar w:fldCharType="begin"/>
      </w:r>
      <w:r w:rsidR="00990E2D">
        <w:instrText xml:space="preserve"> SEQ Obr. \* ARABIC </w:instrText>
      </w:r>
      <w:r w:rsidR="00990E2D">
        <w:fldChar w:fldCharType="separate"/>
      </w:r>
      <w:r w:rsidR="003F08E5">
        <w:rPr>
          <w:noProof/>
        </w:rPr>
        <w:t>38</w:t>
      </w:r>
      <w:r w:rsidR="00990E2D">
        <w:rPr>
          <w:noProof/>
        </w:rPr>
        <w:fldChar w:fldCharType="end"/>
      </w:r>
      <w:bookmarkEnd w:id="274"/>
      <w:r>
        <w:tab/>
      </w:r>
      <w:r w:rsidRPr="004D49C3">
        <w:t>Hodnocení prospěšnosti zvažovaných rozvojových iniciativ podpory bezpečnostního výzkumu (počty hlasů účastníků expertního workshopu)</w:t>
      </w:r>
    </w:p>
    <w:p w:rsidR="004D49C3" w:rsidRDefault="004D49C3" w:rsidP="004D49C3">
      <w:pPr>
        <w:rPr>
          <w:lang w:eastAsia="cs-CZ"/>
        </w:rPr>
      </w:pPr>
    </w:p>
    <w:p w:rsidR="004D49C3" w:rsidRDefault="004D49C3" w:rsidP="004D49C3">
      <w:pPr>
        <w:rPr>
          <w:lang w:eastAsia="cs-CZ"/>
        </w:rPr>
      </w:pPr>
      <w:r>
        <w:rPr>
          <w:lang w:eastAsia="cs-CZ"/>
        </w:rPr>
        <w:t>Mezi náměty na rozvoj systému podpory bezpečnostního výzkumu v ČR experti dále uvedli:</w:t>
      </w:r>
    </w:p>
    <w:p w:rsidR="003A5C2E" w:rsidRDefault="003A5C2E" w:rsidP="003A5C2E">
      <w:pPr>
        <w:numPr>
          <w:ilvl w:val="0"/>
          <w:numId w:val="9"/>
        </w:numPr>
        <w:spacing w:before="60" w:after="60"/>
        <w:ind w:left="714" w:hanging="357"/>
      </w:pPr>
      <w:r>
        <w:t xml:space="preserve">Podpora </w:t>
      </w:r>
      <w:r w:rsidRPr="00256BCF">
        <w:rPr>
          <w:i/>
        </w:rPr>
        <w:t>peer review</w:t>
      </w:r>
      <w:r>
        <w:t xml:space="preserve"> hodnocení implementace výsledků po cca 2</w:t>
      </w:r>
      <w:r w:rsidR="00F4341E">
        <w:t xml:space="preserve"> </w:t>
      </w:r>
      <w:r>
        <w:t>-</w:t>
      </w:r>
      <w:r w:rsidR="00F4341E">
        <w:t xml:space="preserve"> </w:t>
      </w:r>
      <w:r>
        <w:t>4 letech po ukončení projektů, s následnou celkovou analýzou úspěšnosti.</w:t>
      </w:r>
    </w:p>
    <w:p w:rsidR="003A5C2E" w:rsidRDefault="003A5C2E" w:rsidP="003A5C2E">
      <w:pPr>
        <w:pStyle w:val="Odstavecseseznamem"/>
        <w:numPr>
          <w:ilvl w:val="0"/>
          <w:numId w:val="9"/>
        </w:numPr>
        <w:spacing w:before="60" w:after="60"/>
      </w:pPr>
      <w:r>
        <w:t xml:space="preserve">Do výběru projektů pro poskytnutí účelové podpory zapojit potenciální uživatele, kteří by korigovali teoretický pohled hodnotitelů z akademické sféry. </w:t>
      </w:r>
    </w:p>
    <w:p w:rsidR="003A5C2E" w:rsidRDefault="003A5C2E" w:rsidP="003A5C2E">
      <w:pPr>
        <w:numPr>
          <w:ilvl w:val="0"/>
          <w:numId w:val="9"/>
        </w:numPr>
        <w:spacing w:before="60" w:after="60"/>
        <w:ind w:left="714" w:hanging="357"/>
      </w:pPr>
      <w:r>
        <w:t xml:space="preserve">Průběžná </w:t>
      </w:r>
      <w:r w:rsidRPr="00256BCF">
        <w:rPr>
          <w:i/>
        </w:rPr>
        <w:t>cost benefit</w:t>
      </w:r>
      <w:r>
        <w:t xml:space="preserve"> analýza bezpečnostních rizik a prováděných opatření k jejich snížení ve společnosti a navazující prioritizace výzkumu (z hlediska nákladnosti a naléhavosti řešení).</w:t>
      </w:r>
    </w:p>
    <w:p w:rsidR="003A5C2E" w:rsidRDefault="003A5C2E" w:rsidP="003A5C2E">
      <w:pPr>
        <w:numPr>
          <w:ilvl w:val="0"/>
          <w:numId w:val="9"/>
        </w:numPr>
        <w:spacing w:before="60" w:after="60"/>
        <w:ind w:left="714" w:hanging="357"/>
      </w:pPr>
      <w:r>
        <w:t>Současné nastavení podmínek vyhovuje výzkumu s průměrnými nebo podprůměrnými výsledky. Zcela chybí formát pro excelentní výzkum resp. pro výzkum na špičkové mezinárodní úrovni.</w:t>
      </w:r>
    </w:p>
    <w:p w:rsidR="003A5C2E" w:rsidRPr="004D49C3" w:rsidRDefault="003A5C2E" w:rsidP="003A5C2E">
      <w:pPr>
        <w:numPr>
          <w:ilvl w:val="0"/>
          <w:numId w:val="9"/>
        </w:numPr>
        <w:spacing w:before="60" w:after="60"/>
        <w:ind w:left="714" w:hanging="357"/>
      </w:pPr>
      <w:r>
        <w:t>Pro využitelnost je klíčová moderace vztahu dvou aktérů - uživatelů a výzkumníků. U prvních je třeba usměrňovat jejich rezistenci vůči určitým druhům změn, zejména těch, u kterých se obávají více práce a zodpovědnosti. U druhých je třeba moderovat tendence vymýšlet věci sice výzkumně zajímavé, ale absolutně nevyužitelné v oblasti bezpečnosti a jen uměle roubované na tuto oblast.</w:t>
      </w:r>
    </w:p>
    <w:p w:rsidR="004D49C3" w:rsidRDefault="004D49C3" w:rsidP="004D49C3">
      <w:pPr>
        <w:rPr>
          <w:lang w:eastAsia="cs-CZ"/>
        </w:rPr>
      </w:pPr>
    </w:p>
    <w:p w:rsidR="004D49C3" w:rsidRPr="006D1325" w:rsidRDefault="004D49C3" w:rsidP="004D49C3">
      <w:pPr>
        <w:rPr>
          <w:lang w:eastAsia="cs-CZ"/>
        </w:rPr>
      </w:pPr>
    </w:p>
    <w:p w:rsidR="00236334" w:rsidRDefault="00236334" w:rsidP="000C7781">
      <w:pPr>
        <w:pStyle w:val="Nadpis1"/>
        <w:pageBreakBefore/>
        <w:spacing w:before="240"/>
        <w:rPr>
          <w:lang w:eastAsia="cs-CZ"/>
        </w:rPr>
      </w:pPr>
      <w:bookmarkStart w:id="275" w:name="_Toc459723344"/>
      <w:r w:rsidRPr="00531D10">
        <w:t>Přehledné</w:t>
      </w:r>
      <w:r>
        <w:rPr>
          <w:lang w:eastAsia="cs-CZ"/>
        </w:rPr>
        <w:t xml:space="preserve"> shrnutí závěrů souhrnné výzkumné zprávy</w:t>
      </w:r>
      <w:bookmarkEnd w:id="275"/>
    </w:p>
    <w:p w:rsidR="00AE6907" w:rsidRDefault="00B97C1E" w:rsidP="00B97C1E">
      <w:pPr>
        <w:rPr>
          <w:lang w:eastAsia="cs-CZ"/>
        </w:rPr>
      </w:pPr>
      <w:r>
        <w:rPr>
          <w:lang w:eastAsia="cs-CZ"/>
        </w:rPr>
        <w:t>V této kapitole jsou shrnuty nejdůležitější závěry z analýzy zpracované v předcházejících kapitolách. Shrnutí je rozděleno do šesti tematických okruhů:</w:t>
      </w:r>
      <w:r w:rsidR="00AE6907">
        <w:rPr>
          <w:lang w:eastAsia="cs-CZ"/>
        </w:rPr>
        <w:t xml:space="preserve"> </w:t>
      </w:r>
    </w:p>
    <w:p w:rsidR="00AE6907" w:rsidRDefault="00AE6907" w:rsidP="00AE6907">
      <w:pPr>
        <w:pStyle w:val="Odstavecseseznamem"/>
        <w:numPr>
          <w:ilvl w:val="0"/>
          <w:numId w:val="26"/>
        </w:numPr>
        <w:ind w:left="714" w:hanging="357"/>
        <w:contextualSpacing w:val="0"/>
      </w:pPr>
      <w:r>
        <w:t>Podpora bezpečnostního systému ČR;</w:t>
      </w:r>
    </w:p>
    <w:p w:rsidR="00AE6907" w:rsidRDefault="00AE6907" w:rsidP="00AE6907">
      <w:pPr>
        <w:pStyle w:val="Odstavecseseznamem"/>
        <w:numPr>
          <w:ilvl w:val="0"/>
          <w:numId w:val="26"/>
        </w:numPr>
        <w:ind w:left="714" w:hanging="357"/>
        <w:contextualSpacing w:val="0"/>
      </w:pPr>
      <w:r>
        <w:t>Výsledky bezpečnostního výzkumu;</w:t>
      </w:r>
    </w:p>
    <w:p w:rsidR="00AE6907" w:rsidRDefault="00AE6907" w:rsidP="00AE6907">
      <w:pPr>
        <w:pStyle w:val="Odstavecseseznamem"/>
        <w:numPr>
          <w:ilvl w:val="0"/>
          <w:numId w:val="26"/>
        </w:numPr>
        <w:ind w:left="714" w:hanging="357"/>
        <w:contextualSpacing w:val="0"/>
      </w:pPr>
      <w:r>
        <w:t xml:space="preserve"> Lidské zdroje pro bezpečnostní výzkum;</w:t>
      </w:r>
    </w:p>
    <w:p w:rsidR="00AE6907" w:rsidRDefault="00AE6907" w:rsidP="00AE6907">
      <w:pPr>
        <w:pStyle w:val="Odstavecseseznamem"/>
        <w:numPr>
          <w:ilvl w:val="0"/>
          <w:numId w:val="26"/>
        </w:numPr>
        <w:ind w:left="714" w:hanging="357"/>
        <w:contextualSpacing w:val="0"/>
      </w:pPr>
      <w:r>
        <w:t>Využívání systému podpory bezpečnostního výzkumu a kompetence výzkumných organizací pro transfer znalostí;</w:t>
      </w:r>
    </w:p>
    <w:p w:rsidR="00AE6907" w:rsidRDefault="00AE6907" w:rsidP="00AE6907">
      <w:pPr>
        <w:pStyle w:val="Odstavecseseznamem"/>
        <w:numPr>
          <w:ilvl w:val="0"/>
          <w:numId w:val="26"/>
        </w:numPr>
        <w:ind w:left="714" w:hanging="357"/>
        <w:contextualSpacing w:val="0"/>
      </w:pPr>
      <w:r>
        <w:t>Mezinárodní spolupráce v bezpečnostně zaměřeném výzkumu;</w:t>
      </w:r>
    </w:p>
    <w:p w:rsidR="00B97C1E" w:rsidRDefault="00AE6907" w:rsidP="00B97C1E">
      <w:pPr>
        <w:pStyle w:val="Odstavecseseznamem"/>
        <w:numPr>
          <w:ilvl w:val="0"/>
          <w:numId w:val="26"/>
        </w:numPr>
        <w:ind w:left="714" w:hanging="357"/>
        <w:contextualSpacing w:val="0"/>
      </w:pPr>
      <w:r>
        <w:t>Potenciál specializovaných výzkumných a zkušebních kapacit v ČR pro zapojení do bezpečnostního výzkumu.</w:t>
      </w:r>
    </w:p>
    <w:p w:rsidR="00B97C1E" w:rsidRPr="00AE6907" w:rsidRDefault="00B97C1E" w:rsidP="00B97C1E">
      <w:r>
        <w:rPr>
          <w:lang w:eastAsia="cs-CZ"/>
        </w:rPr>
        <w:t>V každém tematickém okruhu jsou na závěr uvedeny SWOT analýzy rozděl</w:t>
      </w:r>
      <w:r w:rsidR="00F7254F">
        <w:rPr>
          <w:lang w:eastAsia="cs-CZ"/>
        </w:rPr>
        <w:t>e</w:t>
      </w:r>
      <w:r>
        <w:rPr>
          <w:lang w:eastAsia="cs-CZ"/>
        </w:rPr>
        <w:t>né na část týkající se systém</w:t>
      </w:r>
      <w:r w:rsidR="00F7254F">
        <w:rPr>
          <w:lang w:eastAsia="cs-CZ"/>
        </w:rPr>
        <w:t>u</w:t>
      </w:r>
      <w:r>
        <w:rPr>
          <w:lang w:eastAsia="cs-CZ"/>
        </w:rPr>
        <w:t xml:space="preserve"> bezpečnostního výzkumu a část týkající se programů bezpečnostního výzkumu. Závěry a SWOT analýzy byly využity pro návrh doporučení</w:t>
      </w:r>
      <w:r w:rsidR="00F7254F">
        <w:rPr>
          <w:lang w:eastAsia="cs-CZ"/>
        </w:rPr>
        <w:t xml:space="preserve"> pro </w:t>
      </w:r>
      <w:r w:rsidR="00F7254F" w:rsidRPr="00F7254F">
        <w:rPr>
          <w:lang w:eastAsia="cs-CZ"/>
        </w:rPr>
        <w:t>rozvoj systému bezpečnostního výzkumu a programů bezpečnostního výzkumu pro období po roce 2017</w:t>
      </w:r>
      <w:r w:rsidR="00F7254F">
        <w:rPr>
          <w:lang w:eastAsia="cs-CZ"/>
        </w:rPr>
        <w:t xml:space="preserve">. Navržená doporučení </w:t>
      </w:r>
      <w:r>
        <w:rPr>
          <w:lang w:eastAsia="cs-CZ"/>
        </w:rPr>
        <w:t>j</w:t>
      </w:r>
      <w:r w:rsidR="00F7254F">
        <w:rPr>
          <w:lang w:eastAsia="cs-CZ"/>
        </w:rPr>
        <w:t>sou</w:t>
      </w:r>
      <w:r>
        <w:rPr>
          <w:lang w:eastAsia="cs-CZ"/>
        </w:rPr>
        <w:t xml:space="preserve"> uveden</w:t>
      </w:r>
      <w:r w:rsidR="00F7254F">
        <w:rPr>
          <w:lang w:eastAsia="cs-CZ"/>
        </w:rPr>
        <w:t>a</w:t>
      </w:r>
      <w:r>
        <w:rPr>
          <w:lang w:eastAsia="cs-CZ"/>
        </w:rPr>
        <w:t xml:space="preserve"> v samostatném dokumentu.</w:t>
      </w:r>
    </w:p>
    <w:p w:rsidR="00AE6907" w:rsidRDefault="00AE6907" w:rsidP="00AE6907">
      <w:pPr>
        <w:pStyle w:val="Nadpis2"/>
      </w:pPr>
      <w:bookmarkStart w:id="276" w:name="_Toc454786536"/>
      <w:bookmarkStart w:id="277" w:name="_Toc459723345"/>
      <w:r>
        <w:t>Podpora bezpečnostního výzkumu v ČR</w:t>
      </w:r>
      <w:bookmarkEnd w:id="276"/>
      <w:bookmarkEnd w:id="277"/>
    </w:p>
    <w:p w:rsidR="00AE6907" w:rsidRDefault="00AE6907" w:rsidP="00AE6907">
      <w:r>
        <w:t>Základním strategickým dokumentem pro rozvoj bezpečnostního výzkumu (BV) v ČR v předchozím období byla Meziresortní koncepce bezpečnostního výzkumu a vývoj ČR do roku 2015 (Koncepce 2015), která byla schválená Usnesením vlády České republiky ze dne 27. června 2008 č. 743. Koncepce 2015 stanovuje také priority pro BV, které jsou v souladu s Národními prioritami orientovaného výzkumu, experimentálního vývoje a inovací platné na období do roku 2030.</w:t>
      </w:r>
    </w:p>
    <w:p w:rsidR="00AE6907" w:rsidRDefault="00AE6907" w:rsidP="00AE6907">
      <w:r>
        <w:t>Nejvýznamnější poskytovatelem podpory pro BV je MV, které poskytuje institucionální podporu na rozvoj VO celkem osmi institucím a účelovou podporu prostřednictvím programů BV. V letech 2010 - 2015 byla účelová podpora BV poskytována prostřednictvím následujících pěti programů:</w:t>
      </w:r>
    </w:p>
    <w:p w:rsidR="00AE6907" w:rsidRDefault="00AE6907" w:rsidP="00AE6907">
      <w:pPr>
        <w:pStyle w:val="Odstavecseseznamem"/>
        <w:numPr>
          <w:ilvl w:val="0"/>
          <w:numId w:val="26"/>
        </w:numPr>
        <w:ind w:left="714" w:hanging="357"/>
        <w:contextualSpacing w:val="0"/>
      </w:pPr>
      <w:r>
        <w:t>Program bezpečnostního výzkumu 2006 – 2010 (VD);</w:t>
      </w:r>
    </w:p>
    <w:p w:rsidR="00AE6907" w:rsidRDefault="00AE6907" w:rsidP="00AE6907">
      <w:pPr>
        <w:pStyle w:val="Odstavecseseznamem"/>
        <w:numPr>
          <w:ilvl w:val="0"/>
          <w:numId w:val="26"/>
        </w:numPr>
        <w:ind w:left="714" w:hanging="357"/>
        <w:contextualSpacing w:val="0"/>
      </w:pPr>
      <w:r>
        <w:t>Resortní výzkum a vývoj 2007 – 2011 (VE);</w:t>
      </w:r>
    </w:p>
    <w:p w:rsidR="00AE6907" w:rsidRDefault="00AE6907" w:rsidP="00AE6907">
      <w:pPr>
        <w:pStyle w:val="Odstavecseseznamem"/>
        <w:numPr>
          <w:ilvl w:val="0"/>
          <w:numId w:val="26"/>
        </w:numPr>
        <w:ind w:left="714" w:hanging="357"/>
        <w:contextualSpacing w:val="0"/>
      </w:pPr>
      <w:r>
        <w:t>Bezpečnostní výzkum pro potřeby státu v letech 2010 až 2015 (VF);</w:t>
      </w:r>
    </w:p>
    <w:p w:rsidR="00AE6907" w:rsidRDefault="00AE6907" w:rsidP="00AE6907">
      <w:pPr>
        <w:pStyle w:val="Odstavecseseznamem"/>
        <w:numPr>
          <w:ilvl w:val="0"/>
          <w:numId w:val="26"/>
        </w:numPr>
        <w:ind w:left="714" w:hanging="357"/>
        <w:contextualSpacing w:val="0"/>
      </w:pPr>
      <w:r>
        <w:t>Programu bezpečnostního výzkumu České republiky 2010 – 2015 (VG);</w:t>
      </w:r>
    </w:p>
    <w:p w:rsidR="00AE6907" w:rsidRDefault="00AE6907" w:rsidP="00AE6907">
      <w:pPr>
        <w:pStyle w:val="Odstavecseseznamem"/>
        <w:numPr>
          <w:ilvl w:val="0"/>
          <w:numId w:val="26"/>
        </w:numPr>
        <w:ind w:left="714" w:hanging="357"/>
        <w:contextualSpacing w:val="0"/>
      </w:pPr>
      <w:r>
        <w:t>Bezpečnostní výzkum České republiky 2015-2020 (VI).</w:t>
      </w:r>
    </w:p>
    <w:p w:rsidR="00AE6907" w:rsidRDefault="00AE6907" w:rsidP="00AE6907">
      <w:r>
        <w:t>Celkový rozpočet řešených projektů přesáhl 2,7 mld. Kč. MV na řešení projektů poskytlo téměř 2,5 mld. Kč, zbývající část rozpočtu projektů pocházela z jiných zdrojů. Veřejná podpora z programů MV od roku 2010 strmě narůstala a v roce 2014 dosáhla maxima přibližně 567 mil. Kč. V následujících letech však došlo k poklesu a v roce 2015 se celková účelová podpora MV dostala na úroveň roku 2011.</w:t>
      </w:r>
    </w:p>
    <w:p w:rsidR="00AE6907" w:rsidRDefault="00AE6907" w:rsidP="00AE6907">
      <w:r>
        <w:t>V již ukončených programech (VD, VE, VF, VG) byl nejvíce podporován obor J - Průmysl, následovaný obory A - Společenskovědní obory, kde jejich nejvýznamnější část tvoří obor AQ -  Bezpečnost a ochrana zdraví, člověk – stroj. Dalšími poměrně silně podporovanými obory jsou C - Chemie, D - Vědy o Zemi a I - Informatika. Nejslaběji byl financován obor Fyzika a Matematika (pouze 23,7 mil. Kč ve sledovaném období), avšak je nutno vzít v úvahu, že VaV v oblasti aplikované matematiky může být výzkumníky řazen do oboru Informatika.</w:t>
      </w:r>
    </w:p>
    <w:p w:rsidR="00AE6907" w:rsidRDefault="00AE6907" w:rsidP="00AE6907">
      <w:r>
        <w:t xml:space="preserve">Největší část podpořených projektů tvořily projekty s rozpočtem 10 až 20 mil. Kč, které lze považovat za přijatelně velké umožňující realizovat VaV v dostatečném rozsahu z hlediska splnění výzkumných cílů, včetně technologicky zaměřených projektů. Malé projekty s rozsahem do 5 mil. Kč byly řešeny nejvíce v širším oboru společenských věd (A). Jedná se zpravidla o projekty, ve kterých byly zpracovávány analýzy apod., pro které by tyto částky měly být dostačující. Pouze dva projekty byly v rozsahu 80 až 120 mil Kč, což může znamenat, že pouze výjimečně jsou řešeny projekty většího rozsahu vyžadující náročný VaV. MV v omezené míře využilo program veřejných zakázek ve VaVaI BETA TA ČR, v němž bylo realizováno 13 zakázek v celkovém finančním objemu 5,8 mil. Kč. </w:t>
      </w:r>
    </w:p>
    <w:p w:rsidR="00AE6907" w:rsidRDefault="00AE6907" w:rsidP="00AE6907">
      <w:r w:rsidRPr="003025EA">
        <w:t>Největším příjemcem veřejné podpory z programů B</w:t>
      </w:r>
      <w:r>
        <w:t>V</w:t>
      </w:r>
      <w:r w:rsidRPr="003025EA">
        <w:t xml:space="preserve"> v období 2010 – 2015 bylo MV</w:t>
      </w:r>
      <w:r>
        <w:t>,</w:t>
      </w:r>
      <w:r w:rsidRPr="003025EA">
        <w:t xml:space="preserve"> resp. jeho organizační jednotky, které v tomto období získaly téměř 260 mil. Kč. U některých institucí spadajících pod MV (a pod Ministerstvo obrany) tvoří programy BV významnou část účelové podpory, kterou tyto instituce získávají.</w:t>
      </w:r>
    </w:p>
    <w:p w:rsidR="00AE6907" w:rsidRPr="003025EA" w:rsidRDefault="00AE6907" w:rsidP="00AE6907">
      <w:r>
        <w:t xml:space="preserve">Významnou část podpory poskytnuté v programech BV získaly také VŠ a veřejné výzkumné instituce (VVI). V první dvacítce nejvíce podporovaných institucí, které celkově obdržely přibližně dvě třetiny celkového objemu prostředků v programech BV, je devět veřejných VŠ a pět VVI. Nejvýznamnějšími příjemci podpory z VŠ jsou ČVUT v Praze a VUT v Brně. Z VVI nejvyšší podporu získaly instituce, které získávají </w:t>
      </w:r>
      <w:r w:rsidRPr="003025EA">
        <w:t xml:space="preserve">institucionální podporu z rozpočtové kapitoly MV - Státní ústav jaderné, chemické a biologické ochrany, v.v.i., a Státní ústav radiační ochrany, v.v.i. </w:t>
      </w:r>
    </w:p>
    <w:p w:rsidR="00AE6907" w:rsidRDefault="00AE6907" w:rsidP="00AE6907">
      <w:r>
        <w:t>Účelové veřejné prostředky získalo také přibližně 100 právnických a fyzických osob, avšak přibližně polovina z těchto subjektů neobdržela žádnou jinou účelovou podporu z veřejných zdrojů a byla tak ve svých VaV aktivitách plně závislá na MV. V řadě případů se jednalo o jednotlivé projekty pouze v části sledovaného období, což může indikovat omezenou kontinuitu firemního VaV.</w:t>
      </w:r>
    </w:p>
    <w:p w:rsidR="00AE6907" w:rsidRPr="00934A93" w:rsidRDefault="00AE6907" w:rsidP="00D87F3A">
      <w:pPr>
        <w:spacing w:after="240"/>
      </w:pPr>
      <w:r w:rsidRPr="00934A93">
        <w:t xml:space="preserve">Projekty, </w:t>
      </w:r>
      <w:r>
        <w:t xml:space="preserve">jejichž zaměření se týká bezpečnosti, </w:t>
      </w:r>
      <w:r w:rsidRPr="00934A93">
        <w:t xml:space="preserve">byly podpořeny i v programech jiných poskytovatelů účelové podpory VaV. </w:t>
      </w:r>
      <w:r>
        <w:t>N</w:t>
      </w:r>
      <w:r w:rsidRPr="00934A93">
        <w:t xml:space="preserve">ejvíce takto zaměřených projektů bylo podpořeno v programech ALFA a Centra kompetence realizovaných TA ČR. Dalšími programy, které se tematicky překrývají s programy MV, jsou </w:t>
      </w:r>
      <w:r>
        <w:t xml:space="preserve">zejména programy implementované MO a </w:t>
      </w:r>
      <w:r w:rsidRPr="00934A93">
        <w:t xml:space="preserve">MPO (cca 66 mil. Kč). Z rozpočtové kapitoly MŠMT bylo financováno několik bezpečnostně zaměřených projektů v programech podporujících mezinárodní spolupráci ve VaV (iniciativa </w:t>
      </w:r>
      <w:r w:rsidRPr="005761AB">
        <w:t>EUREKA,</w:t>
      </w:r>
      <w:r w:rsidRPr="00934A93">
        <w:t xml:space="preserve"> programy KONTAKT, COST a další).</w:t>
      </w:r>
      <w:r>
        <w:t xml:space="preserve"> </w:t>
      </w:r>
    </w:p>
    <w:tbl>
      <w:tblPr>
        <w:tblStyle w:val="Mkatabulky"/>
        <w:tblW w:w="0" w:type="auto"/>
        <w:shd w:val="clear" w:color="auto" w:fill="FDE9D9" w:themeFill="accent6" w:themeFillTint="33"/>
        <w:tblLook w:val="04A0" w:firstRow="1" w:lastRow="0" w:firstColumn="1" w:lastColumn="0" w:noHBand="0" w:noVBand="1"/>
      </w:tblPr>
      <w:tblGrid>
        <w:gridCol w:w="9354"/>
      </w:tblGrid>
      <w:tr w:rsidR="00AE6907" w:rsidRPr="004A11C9" w:rsidTr="0036029B">
        <w:tc>
          <w:tcPr>
            <w:tcW w:w="9354" w:type="dxa"/>
            <w:shd w:val="clear" w:color="auto" w:fill="95B3D7" w:themeFill="accent1" w:themeFillTint="99"/>
          </w:tcPr>
          <w:p w:rsidR="00AE6907" w:rsidRPr="004A11C9" w:rsidRDefault="00AE6907" w:rsidP="0036029B">
            <w:pPr>
              <w:spacing w:before="60" w:after="60"/>
              <w:rPr>
                <w:b/>
                <w:sz w:val="20"/>
              </w:rPr>
            </w:pPr>
            <w:r w:rsidRPr="004A11C9">
              <w:rPr>
                <w:b/>
                <w:sz w:val="20"/>
              </w:rPr>
              <w:t>Silné stránky</w:t>
            </w:r>
          </w:p>
        </w:tc>
      </w:tr>
      <w:tr w:rsidR="00AE6907" w:rsidRPr="004A11C9" w:rsidTr="0036029B">
        <w:tc>
          <w:tcPr>
            <w:tcW w:w="9354" w:type="dxa"/>
            <w:shd w:val="clear" w:color="auto" w:fill="C6D9F1" w:themeFill="text2" w:themeFillTint="33"/>
          </w:tcPr>
          <w:p w:rsidR="00AE6907" w:rsidRPr="004A11C9" w:rsidRDefault="00AE6907" w:rsidP="0036029B">
            <w:pPr>
              <w:spacing w:before="60" w:after="60"/>
              <w:rPr>
                <w:b/>
                <w:sz w:val="20"/>
              </w:rPr>
            </w:pPr>
            <w:r w:rsidRPr="004A11C9">
              <w:rPr>
                <w:b/>
                <w:sz w:val="20"/>
              </w:rPr>
              <w:t>Systém bezpečnostního výzkumu</w:t>
            </w:r>
          </w:p>
        </w:tc>
      </w:tr>
      <w:tr w:rsidR="00AE6907" w:rsidRPr="004A11C9" w:rsidTr="0036029B">
        <w:tc>
          <w:tcPr>
            <w:tcW w:w="9354" w:type="dxa"/>
            <w:shd w:val="clear" w:color="auto" w:fill="DBE5F1" w:themeFill="accent1" w:themeFillTint="33"/>
          </w:tcPr>
          <w:p w:rsidR="00AE6907" w:rsidRDefault="00AE6907" w:rsidP="00AE6907">
            <w:pPr>
              <w:numPr>
                <w:ilvl w:val="0"/>
                <w:numId w:val="25"/>
              </w:numPr>
              <w:spacing w:before="60" w:after="60"/>
              <w:ind w:left="426" w:hanging="284"/>
              <w:rPr>
                <w:sz w:val="20"/>
              </w:rPr>
            </w:pPr>
            <w:r>
              <w:rPr>
                <w:sz w:val="20"/>
              </w:rPr>
              <w:t xml:space="preserve">Pro oblast bezpečnosti je MV zpracována </w:t>
            </w:r>
            <w:r w:rsidRPr="003F26C9">
              <w:rPr>
                <w:sz w:val="20"/>
              </w:rPr>
              <w:t>Meziresortní koncepce bezpečnostního výzkumu a vývoj ČR do roku 2015</w:t>
            </w:r>
            <w:r>
              <w:rPr>
                <w:sz w:val="20"/>
              </w:rPr>
              <w:t>, kde jsou také stanoveny priority BV</w:t>
            </w:r>
          </w:p>
          <w:p w:rsidR="00AE6907" w:rsidRDefault="00AE6907" w:rsidP="00AE6907">
            <w:pPr>
              <w:numPr>
                <w:ilvl w:val="0"/>
                <w:numId w:val="25"/>
              </w:numPr>
              <w:spacing w:before="60" w:after="60"/>
              <w:ind w:left="426" w:hanging="284"/>
              <w:rPr>
                <w:sz w:val="20"/>
              </w:rPr>
            </w:pPr>
            <w:r>
              <w:rPr>
                <w:sz w:val="20"/>
              </w:rPr>
              <w:t>MV, které je odpovědné za bezpečnostní politiku, je zároveň v souladu s Reformou poskytovatelem institucionální podpory na rozvoj VO i účelové podpory BV</w:t>
            </w:r>
          </w:p>
          <w:p w:rsidR="00AE6907" w:rsidRDefault="00AE6907" w:rsidP="00AE6907">
            <w:pPr>
              <w:numPr>
                <w:ilvl w:val="0"/>
                <w:numId w:val="25"/>
              </w:numPr>
              <w:spacing w:before="60" w:after="60"/>
              <w:ind w:left="426" w:hanging="284"/>
              <w:rPr>
                <w:sz w:val="20"/>
              </w:rPr>
            </w:pPr>
            <w:r>
              <w:rPr>
                <w:sz w:val="20"/>
              </w:rPr>
              <w:t>Institucionální podpora VaV poskytovaná MV umožňuje VO dlouhodobý koncepční rozvoj a strategické směrování svých výzkumných aktivit</w:t>
            </w:r>
          </w:p>
          <w:p w:rsidR="00AE6907" w:rsidRPr="003F26C9" w:rsidRDefault="00AE6907" w:rsidP="00AE6907">
            <w:pPr>
              <w:numPr>
                <w:ilvl w:val="0"/>
                <w:numId w:val="25"/>
              </w:numPr>
              <w:spacing w:before="60" w:after="60"/>
              <w:ind w:left="426" w:hanging="284"/>
              <w:rPr>
                <w:sz w:val="20"/>
              </w:rPr>
            </w:pPr>
            <w:r w:rsidRPr="004A11C9">
              <w:rPr>
                <w:sz w:val="20"/>
              </w:rPr>
              <w:t xml:space="preserve">Administrace </w:t>
            </w:r>
            <w:r>
              <w:rPr>
                <w:sz w:val="20"/>
              </w:rPr>
              <w:t xml:space="preserve">programů </w:t>
            </w:r>
            <w:r w:rsidRPr="004A11C9">
              <w:rPr>
                <w:sz w:val="20"/>
              </w:rPr>
              <w:t xml:space="preserve">BV umožňuje </w:t>
            </w:r>
            <w:r>
              <w:rPr>
                <w:sz w:val="20"/>
              </w:rPr>
              <w:t xml:space="preserve">MV </w:t>
            </w:r>
            <w:r w:rsidRPr="004A11C9">
              <w:rPr>
                <w:sz w:val="20"/>
              </w:rPr>
              <w:t xml:space="preserve">implementovat </w:t>
            </w:r>
            <w:r>
              <w:rPr>
                <w:sz w:val="20"/>
              </w:rPr>
              <w:t>zacílenou</w:t>
            </w:r>
            <w:r w:rsidRPr="004A11C9">
              <w:rPr>
                <w:sz w:val="20"/>
              </w:rPr>
              <w:t xml:space="preserve"> vědní politiku</w:t>
            </w:r>
          </w:p>
        </w:tc>
      </w:tr>
      <w:tr w:rsidR="00AE6907" w:rsidRPr="004A11C9" w:rsidTr="0036029B">
        <w:tc>
          <w:tcPr>
            <w:tcW w:w="9354" w:type="dxa"/>
            <w:shd w:val="clear" w:color="auto" w:fill="C6D9F1" w:themeFill="text2" w:themeFillTint="33"/>
          </w:tcPr>
          <w:p w:rsidR="00AE6907" w:rsidRPr="004A11C9" w:rsidRDefault="00AE6907" w:rsidP="0036029B">
            <w:pPr>
              <w:spacing w:before="60" w:after="60"/>
              <w:rPr>
                <w:b/>
                <w:sz w:val="20"/>
              </w:rPr>
            </w:pPr>
            <w:r>
              <w:rPr>
                <w:b/>
                <w:sz w:val="20"/>
              </w:rPr>
              <w:t>Programy bezpečnostního výzkumu</w:t>
            </w:r>
          </w:p>
        </w:tc>
      </w:tr>
      <w:tr w:rsidR="00AE6907" w:rsidRPr="004A11C9" w:rsidTr="0036029B">
        <w:tc>
          <w:tcPr>
            <w:tcW w:w="9354" w:type="dxa"/>
            <w:shd w:val="clear" w:color="auto" w:fill="DBE5F1" w:themeFill="accent1" w:themeFillTint="33"/>
          </w:tcPr>
          <w:p w:rsidR="00AE6907" w:rsidRDefault="00AE6907" w:rsidP="00AE6907">
            <w:pPr>
              <w:numPr>
                <w:ilvl w:val="0"/>
                <w:numId w:val="25"/>
              </w:numPr>
              <w:spacing w:before="60" w:after="60"/>
              <w:ind w:left="426" w:hanging="284"/>
              <w:rPr>
                <w:sz w:val="20"/>
              </w:rPr>
            </w:pPr>
            <w:r>
              <w:rPr>
                <w:sz w:val="20"/>
              </w:rPr>
              <w:t xml:space="preserve">Účelová podpora poskytovaná MV prostřednictvím programů je poskytována kontinuálně a mezi lety 2010 a 2014 vzrostla </w:t>
            </w:r>
            <w:r w:rsidRPr="004A11C9">
              <w:rPr>
                <w:sz w:val="20"/>
              </w:rPr>
              <w:t>téměř šestinásobn</w:t>
            </w:r>
            <w:r>
              <w:rPr>
                <w:sz w:val="20"/>
              </w:rPr>
              <w:t>ě</w:t>
            </w:r>
          </w:p>
          <w:p w:rsidR="00AE6907" w:rsidRDefault="00AE6907" w:rsidP="00AE6907">
            <w:pPr>
              <w:numPr>
                <w:ilvl w:val="0"/>
                <w:numId w:val="25"/>
              </w:numPr>
              <w:spacing w:before="60" w:after="60"/>
              <w:ind w:left="426" w:hanging="284"/>
              <w:rPr>
                <w:sz w:val="20"/>
              </w:rPr>
            </w:pPr>
            <w:r>
              <w:rPr>
                <w:sz w:val="20"/>
              </w:rPr>
              <w:t xml:space="preserve">Podpora poskytovaná prostřednictvím programů BV pokrývala </w:t>
            </w:r>
            <w:r w:rsidRPr="004A11C9">
              <w:rPr>
                <w:sz w:val="20"/>
              </w:rPr>
              <w:t>poměrně rovnoměrně širší výzkumné obory</w:t>
            </w:r>
          </w:p>
          <w:p w:rsidR="00AE6907" w:rsidRDefault="00AE6907" w:rsidP="00AE6907">
            <w:pPr>
              <w:numPr>
                <w:ilvl w:val="0"/>
                <w:numId w:val="25"/>
              </w:numPr>
              <w:spacing w:before="60" w:after="60"/>
              <w:ind w:left="426" w:hanging="284"/>
              <w:rPr>
                <w:sz w:val="20"/>
              </w:rPr>
            </w:pPr>
            <w:r>
              <w:rPr>
                <w:sz w:val="20"/>
              </w:rPr>
              <w:t>Do programů BV se zapojuje široké spektrum subjektů z různých sektorů – VO získávající institucionální podporu z rozpočtové kapitoly MV, VŠ, ústavy AV ČR, aplikačně zaměřené výzkumné ústavy i podniky působící v různých oblastech bezpečnosti, které spolupracují v konkrétních projektech, což realizovat projekty pokrývající všechny fáze výzkumu (od základního výzkumu až po realizaci nových poznatků VaV)</w:t>
            </w:r>
          </w:p>
          <w:p w:rsidR="00AE6907" w:rsidRDefault="00AE6907" w:rsidP="00AE6907">
            <w:pPr>
              <w:numPr>
                <w:ilvl w:val="0"/>
                <w:numId w:val="25"/>
              </w:numPr>
              <w:spacing w:before="60" w:after="60"/>
              <w:ind w:left="426" w:hanging="284"/>
              <w:rPr>
                <w:sz w:val="20"/>
              </w:rPr>
            </w:pPr>
            <w:r>
              <w:rPr>
                <w:sz w:val="20"/>
              </w:rPr>
              <w:t>VO realizují VaV řešící některé aspekty bezpečnosti v programech jiných poskytovatelů účelové podpory VaV</w:t>
            </w:r>
          </w:p>
          <w:p w:rsidR="00AE6907" w:rsidRPr="001F52AD" w:rsidRDefault="00AE6907" w:rsidP="00AE6907">
            <w:pPr>
              <w:numPr>
                <w:ilvl w:val="0"/>
                <w:numId w:val="25"/>
              </w:numPr>
              <w:spacing w:before="60" w:after="60"/>
              <w:ind w:left="426" w:hanging="284"/>
              <w:rPr>
                <w:sz w:val="20"/>
              </w:rPr>
            </w:pPr>
            <w:r>
              <w:rPr>
                <w:sz w:val="20"/>
              </w:rPr>
              <w:t>V ČR existuje značný počet subjektů, které sice nebyly zapojeny v programech BV, ale mají potenciál se do BV zapojit v budoucnosti</w:t>
            </w:r>
          </w:p>
        </w:tc>
      </w:tr>
      <w:tr w:rsidR="00AE6907" w:rsidRPr="004A11C9" w:rsidTr="0036029B">
        <w:tc>
          <w:tcPr>
            <w:tcW w:w="9354" w:type="dxa"/>
            <w:shd w:val="clear" w:color="auto" w:fill="FABF8F" w:themeFill="accent6" w:themeFillTint="99"/>
          </w:tcPr>
          <w:p w:rsidR="00AE6907" w:rsidRPr="004A11C9" w:rsidRDefault="00AE6907" w:rsidP="0036029B">
            <w:pPr>
              <w:spacing w:before="60" w:after="60"/>
              <w:rPr>
                <w:b/>
                <w:sz w:val="20"/>
              </w:rPr>
            </w:pPr>
            <w:r w:rsidRPr="004A11C9">
              <w:rPr>
                <w:b/>
                <w:sz w:val="20"/>
              </w:rPr>
              <w:t>Slabé stránky</w:t>
            </w:r>
          </w:p>
        </w:tc>
      </w:tr>
      <w:tr w:rsidR="00AE6907" w:rsidRPr="004A11C9" w:rsidTr="0036029B">
        <w:tc>
          <w:tcPr>
            <w:tcW w:w="9354" w:type="dxa"/>
            <w:shd w:val="clear" w:color="auto" w:fill="FBD4B4" w:themeFill="accent6" w:themeFillTint="66"/>
          </w:tcPr>
          <w:p w:rsidR="00AE6907" w:rsidRPr="004A11C9" w:rsidRDefault="00AE6907" w:rsidP="0036029B">
            <w:pPr>
              <w:spacing w:before="60" w:after="60"/>
              <w:rPr>
                <w:b/>
                <w:sz w:val="20"/>
              </w:rPr>
            </w:pPr>
            <w:r w:rsidRPr="004A11C9">
              <w:rPr>
                <w:b/>
                <w:sz w:val="20"/>
              </w:rPr>
              <w:t>Systém bezpečnostního výzkumu</w:t>
            </w:r>
          </w:p>
        </w:tc>
      </w:tr>
      <w:tr w:rsidR="00AE6907" w:rsidRPr="004A11C9" w:rsidTr="0036029B">
        <w:tc>
          <w:tcPr>
            <w:tcW w:w="9354" w:type="dxa"/>
            <w:shd w:val="clear" w:color="auto" w:fill="FDE9D9" w:themeFill="accent6" w:themeFillTint="33"/>
          </w:tcPr>
          <w:p w:rsidR="00AE6907" w:rsidRDefault="00AE6907" w:rsidP="00AE6907">
            <w:pPr>
              <w:numPr>
                <w:ilvl w:val="0"/>
                <w:numId w:val="25"/>
              </w:numPr>
              <w:spacing w:before="60" w:after="60"/>
              <w:ind w:left="426" w:hanging="284"/>
              <w:rPr>
                <w:sz w:val="20"/>
              </w:rPr>
            </w:pPr>
            <w:r>
              <w:rPr>
                <w:sz w:val="20"/>
              </w:rPr>
              <w:t>Nedostatečná synergie nástrojů, ve kterých je podporován bezpečnostně zaměřený VaV - i když je VaV s výsledky využitelnými v oblasti bezpečnosti podporován i programech jiných poskytovatelů, neexistuje mechanismus, který zajistil synergii</w:t>
            </w:r>
          </w:p>
          <w:p w:rsidR="00AE6907" w:rsidRDefault="00AE6907" w:rsidP="00AE6907">
            <w:pPr>
              <w:numPr>
                <w:ilvl w:val="0"/>
                <w:numId w:val="25"/>
              </w:numPr>
              <w:spacing w:before="60" w:after="60"/>
              <w:ind w:left="426" w:hanging="284"/>
              <w:rPr>
                <w:sz w:val="20"/>
              </w:rPr>
            </w:pPr>
            <w:r w:rsidRPr="004A11C9">
              <w:rPr>
                <w:sz w:val="20"/>
              </w:rPr>
              <w:t xml:space="preserve">Meziročně fluktuující institucionální podpora, která činí strategické plánování rozvoje VO </w:t>
            </w:r>
            <w:r>
              <w:rPr>
                <w:sz w:val="20"/>
              </w:rPr>
              <w:t xml:space="preserve">získávajících tuto podporu </w:t>
            </w:r>
            <w:r w:rsidRPr="004A11C9">
              <w:rPr>
                <w:sz w:val="20"/>
              </w:rPr>
              <w:t>obtížné</w:t>
            </w:r>
          </w:p>
          <w:p w:rsidR="00AE6907" w:rsidRPr="004A11C9" w:rsidRDefault="00AE6907" w:rsidP="00AE6907">
            <w:pPr>
              <w:numPr>
                <w:ilvl w:val="0"/>
                <w:numId w:val="25"/>
              </w:numPr>
              <w:spacing w:before="60" w:after="60"/>
              <w:ind w:left="426" w:hanging="284"/>
              <w:rPr>
                <w:sz w:val="20"/>
              </w:rPr>
            </w:pPr>
            <w:r w:rsidRPr="004A11C9">
              <w:rPr>
                <w:sz w:val="20"/>
              </w:rPr>
              <w:t>Organizační jednotky MV a VO získávající institucionální podporu od MV vykazují sa</w:t>
            </w:r>
            <w:r>
              <w:rPr>
                <w:sz w:val="20"/>
              </w:rPr>
              <w:t>turaci svých výzkumných kapacit</w:t>
            </w:r>
          </w:p>
        </w:tc>
      </w:tr>
      <w:tr w:rsidR="00AE6907" w:rsidRPr="004A11C9" w:rsidTr="0036029B">
        <w:tc>
          <w:tcPr>
            <w:tcW w:w="9354" w:type="dxa"/>
            <w:shd w:val="clear" w:color="auto" w:fill="FBD4B4" w:themeFill="accent6" w:themeFillTint="66"/>
          </w:tcPr>
          <w:p w:rsidR="00AE6907" w:rsidRPr="004A11C9" w:rsidRDefault="00AE6907" w:rsidP="0036029B">
            <w:pPr>
              <w:spacing w:before="60" w:after="60"/>
              <w:rPr>
                <w:b/>
                <w:sz w:val="20"/>
              </w:rPr>
            </w:pPr>
            <w:r>
              <w:rPr>
                <w:b/>
                <w:sz w:val="20"/>
              </w:rPr>
              <w:t>Programy bezpečnostního výzkumu</w:t>
            </w:r>
          </w:p>
        </w:tc>
      </w:tr>
      <w:tr w:rsidR="00AE6907" w:rsidRPr="004A11C9" w:rsidTr="0036029B">
        <w:tc>
          <w:tcPr>
            <w:tcW w:w="9354" w:type="dxa"/>
            <w:shd w:val="clear" w:color="auto" w:fill="FDE9D9" w:themeFill="accent6" w:themeFillTint="33"/>
          </w:tcPr>
          <w:p w:rsidR="00AE6907" w:rsidRDefault="00AE6907" w:rsidP="00AE6907">
            <w:pPr>
              <w:numPr>
                <w:ilvl w:val="0"/>
                <w:numId w:val="25"/>
              </w:numPr>
              <w:spacing w:before="60" w:after="60"/>
              <w:ind w:left="426" w:hanging="284"/>
              <w:rPr>
                <w:sz w:val="20"/>
              </w:rPr>
            </w:pPr>
            <w:r>
              <w:rPr>
                <w:sz w:val="20"/>
              </w:rPr>
              <w:t xml:space="preserve">Programy jiných poskytovatelů účelové podpory, ve kterých byly podpořeny v projekty týkající se bezpečnosti, nejsou koordinovány s programy BV v gesci MV </w:t>
            </w:r>
          </w:p>
          <w:p w:rsidR="00AE6907" w:rsidRPr="004A11C9" w:rsidRDefault="00AE6907" w:rsidP="00AE6907">
            <w:pPr>
              <w:numPr>
                <w:ilvl w:val="0"/>
                <w:numId w:val="25"/>
              </w:numPr>
              <w:spacing w:before="60" w:after="60"/>
              <w:ind w:left="426" w:hanging="284"/>
              <w:rPr>
                <w:sz w:val="20"/>
              </w:rPr>
            </w:pPr>
            <w:r w:rsidRPr="004A11C9">
              <w:rPr>
                <w:sz w:val="20"/>
              </w:rPr>
              <w:t>Organizační jednotky MV jsou v účelové podpoře zcela závislé na mateřské organizaci</w:t>
            </w:r>
          </w:p>
          <w:p w:rsidR="00AE6907" w:rsidRDefault="00AE6907" w:rsidP="00AE6907">
            <w:pPr>
              <w:numPr>
                <w:ilvl w:val="0"/>
                <w:numId w:val="25"/>
              </w:numPr>
              <w:spacing w:before="60" w:after="60"/>
              <w:ind w:left="426" w:hanging="284"/>
              <w:rPr>
                <w:sz w:val="20"/>
              </w:rPr>
            </w:pPr>
            <w:r>
              <w:rPr>
                <w:sz w:val="20"/>
              </w:rPr>
              <w:t>Pro některé subjekty (zejména z podnikového sektoru) představují programy BV jediný zdroj finančních prostředků na VaV</w:t>
            </w:r>
          </w:p>
          <w:p w:rsidR="00AE6907" w:rsidRPr="004A11C9" w:rsidRDefault="00AE6907" w:rsidP="00AE6907">
            <w:pPr>
              <w:numPr>
                <w:ilvl w:val="0"/>
                <w:numId w:val="25"/>
              </w:numPr>
              <w:spacing w:before="60" w:after="60"/>
              <w:ind w:left="426" w:hanging="284"/>
              <w:rPr>
                <w:sz w:val="20"/>
              </w:rPr>
            </w:pPr>
            <w:r>
              <w:rPr>
                <w:sz w:val="20"/>
              </w:rPr>
              <w:t xml:space="preserve">Značný počet podniků byl zapojen pouze v jednom projektu realizovaném v relativně krátkém období a </w:t>
            </w:r>
            <w:r w:rsidRPr="004A11C9">
              <w:rPr>
                <w:sz w:val="20"/>
              </w:rPr>
              <w:t>podnik</w:t>
            </w:r>
            <w:r>
              <w:rPr>
                <w:sz w:val="20"/>
              </w:rPr>
              <w:t>y</w:t>
            </w:r>
            <w:r w:rsidRPr="004A11C9">
              <w:rPr>
                <w:sz w:val="20"/>
              </w:rPr>
              <w:t xml:space="preserve"> se dále do bezpečnostního výzkumu nezapojují</w:t>
            </w:r>
            <w:r>
              <w:rPr>
                <w:sz w:val="20"/>
              </w:rPr>
              <w:t xml:space="preserve"> (není zřejmá kontinuita VaV)</w:t>
            </w:r>
          </w:p>
          <w:p w:rsidR="00AE6907" w:rsidRPr="004A11C9" w:rsidRDefault="00AE6907" w:rsidP="00AE6907">
            <w:pPr>
              <w:numPr>
                <w:ilvl w:val="0"/>
                <w:numId w:val="25"/>
              </w:numPr>
              <w:spacing w:before="60" w:after="60"/>
              <w:ind w:left="426" w:hanging="284"/>
              <w:rPr>
                <w:sz w:val="20"/>
              </w:rPr>
            </w:pPr>
            <w:r w:rsidRPr="004A11C9">
              <w:rPr>
                <w:sz w:val="20"/>
              </w:rPr>
              <w:t>V oblasti růstu lidských zdrojů je BV financovaný MV zcela závislý na</w:t>
            </w:r>
            <w:r>
              <w:rPr>
                <w:sz w:val="20"/>
              </w:rPr>
              <w:t xml:space="preserve"> </w:t>
            </w:r>
            <w:r w:rsidRPr="004A11C9">
              <w:rPr>
                <w:sz w:val="20"/>
              </w:rPr>
              <w:t>„volných kapacitách“ V</w:t>
            </w:r>
            <w:r>
              <w:rPr>
                <w:sz w:val="20"/>
              </w:rPr>
              <w:t>Š a VVI</w:t>
            </w:r>
          </w:p>
        </w:tc>
      </w:tr>
      <w:tr w:rsidR="00AE6907" w:rsidRPr="004A11C9" w:rsidTr="0036029B">
        <w:tc>
          <w:tcPr>
            <w:tcW w:w="9354" w:type="dxa"/>
            <w:shd w:val="clear" w:color="auto" w:fill="92CDDC" w:themeFill="accent5" w:themeFillTint="99"/>
          </w:tcPr>
          <w:p w:rsidR="00AE6907" w:rsidRPr="004A11C9" w:rsidRDefault="00AE6907" w:rsidP="0036029B">
            <w:pPr>
              <w:spacing w:before="60" w:after="60"/>
              <w:rPr>
                <w:b/>
                <w:sz w:val="20"/>
              </w:rPr>
            </w:pPr>
            <w:r w:rsidRPr="004A11C9">
              <w:rPr>
                <w:b/>
                <w:sz w:val="20"/>
              </w:rPr>
              <w:t>Příležitosti</w:t>
            </w:r>
          </w:p>
        </w:tc>
      </w:tr>
      <w:tr w:rsidR="00AE6907" w:rsidRPr="004A11C9" w:rsidTr="0036029B">
        <w:tc>
          <w:tcPr>
            <w:tcW w:w="9354" w:type="dxa"/>
            <w:shd w:val="clear" w:color="auto" w:fill="B6DDE8" w:themeFill="accent5" w:themeFillTint="66"/>
          </w:tcPr>
          <w:p w:rsidR="00AE6907" w:rsidRPr="004A11C9" w:rsidRDefault="00AE6907" w:rsidP="0036029B">
            <w:pPr>
              <w:spacing w:before="60" w:after="60"/>
              <w:rPr>
                <w:b/>
                <w:sz w:val="20"/>
              </w:rPr>
            </w:pPr>
            <w:r w:rsidRPr="004A11C9">
              <w:rPr>
                <w:b/>
                <w:sz w:val="20"/>
              </w:rPr>
              <w:t>Systém bezpečnostního výzkumu</w:t>
            </w:r>
          </w:p>
        </w:tc>
      </w:tr>
      <w:tr w:rsidR="00AE6907" w:rsidRPr="004A11C9" w:rsidTr="0036029B">
        <w:tc>
          <w:tcPr>
            <w:tcW w:w="9354" w:type="dxa"/>
            <w:shd w:val="clear" w:color="auto" w:fill="DAEEF3" w:themeFill="accent5" w:themeFillTint="33"/>
          </w:tcPr>
          <w:p w:rsidR="00AE6907" w:rsidRDefault="00AE6907" w:rsidP="00AE6907">
            <w:pPr>
              <w:numPr>
                <w:ilvl w:val="0"/>
                <w:numId w:val="25"/>
              </w:numPr>
              <w:spacing w:before="60" w:after="60"/>
              <w:ind w:left="426" w:hanging="284"/>
              <w:rPr>
                <w:sz w:val="20"/>
              </w:rPr>
            </w:pPr>
            <w:r>
              <w:rPr>
                <w:sz w:val="20"/>
              </w:rPr>
              <w:t>Stanovení strategického zaměření a priorit BV, které budou odpovídat aktuálním potřebám společnosti v oblasti bezpečnosti a které budou v souladu s prioritami EU v oblasti bezpečnosti, přispěje ke zvýšení bezpečnosti ČR</w:t>
            </w:r>
          </w:p>
          <w:p w:rsidR="00AE6907" w:rsidRPr="004A11C9" w:rsidRDefault="00AE6907" w:rsidP="00AE6907">
            <w:pPr>
              <w:numPr>
                <w:ilvl w:val="0"/>
                <w:numId w:val="25"/>
              </w:numPr>
              <w:spacing w:before="60" w:after="60"/>
              <w:ind w:left="426" w:hanging="284"/>
              <w:rPr>
                <w:sz w:val="20"/>
              </w:rPr>
            </w:pPr>
            <w:r>
              <w:rPr>
                <w:sz w:val="20"/>
              </w:rPr>
              <w:t>Zajištění synergie všech veřejných zdrojů, tj. programů a dalších nástrojů implementovaných všemi poskytovali podpory VaV v ČR, podpory poskytované EK (zejména prostřednictvím rámcových programů a strukturálních fondů) a dalších zahraničních zdrojů (bilaterální programy), pro podporu BV v souladu se stanovenou strategií a prioritami BV přispěje ke zlepšení bezpečnostní situace v ČR a EU</w:t>
            </w:r>
          </w:p>
        </w:tc>
      </w:tr>
      <w:tr w:rsidR="00AE6907" w:rsidRPr="004A11C9" w:rsidTr="0036029B">
        <w:tc>
          <w:tcPr>
            <w:tcW w:w="9354" w:type="dxa"/>
            <w:shd w:val="clear" w:color="auto" w:fill="B6DDE8" w:themeFill="accent5" w:themeFillTint="66"/>
          </w:tcPr>
          <w:p w:rsidR="00AE6907" w:rsidRPr="00382EB8" w:rsidRDefault="00AE6907" w:rsidP="0036029B">
            <w:pPr>
              <w:spacing w:before="60" w:after="60"/>
              <w:rPr>
                <w:b/>
                <w:sz w:val="20"/>
                <w:highlight w:val="red"/>
              </w:rPr>
            </w:pPr>
            <w:r w:rsidRPr="00382EB8">
              <w:rPr>
                <w:b/>
                <w:sz w:val="20"/>
              </w:rPr>
              <w:t>Programy bezpečnostního výzkumu</w:t>
            </w:r>
          </w:p>
        </w:tc>
      </w:tr>
      <w:tr w:rsidR="00AE6907" w:rsidRPr="004A11C9" w:rsidTr="0036029B">
        <w:tc>
          <w:tcPr>
            <w:tcW w:w="9354" w:type="dxa"/>
            <w:shd w:val="clear" w:color="auto" w:fill="DAEEF3" w:themeFill="accent5" w:themeFillTint="33"/>
          </w:tcPr>
          <w:p w:rsidR="00AE6907" w:rsidRDefault="00AE6907" w:rsidP="00AE6907">
            <w:pPr>
              <w:numPr>
                <w:ilvl w:val="0"/>
                <w:numId w:val="25"/>
              </w:numPr>
              <w:spacing w:before="60" w:after="60"/>
              <w:ind w:left="426" w:hanging="284"/>
              <w:rPr>
                <w:sz w:val="20"/>
              </w:rPr>
            </w:pPr>
            <w:r>
              <w:rPr>
                <w:sz w:val="20"/>
              </w:rPr>
              <w:t xml:space="preserve">Větší podpora projektů strategického významu, ve kterých budou spolupracovat špičkové VO se subjekty aplikační sféry, zaměřených na aktuální výzvy v oblasti bezpečnosti, přispěje k řešení aktuálních výzev a zlepší bezpečnostní situaci. </w:t>
            </w:r>
          </w:p>
          <w:p w:rsidR="00AE6907" w:rsidRPr="00652A83" w:rsidRDefault="00AE6907" w:rsidP="00AE6907">
            <w:pPr>
              <w:numPr>
                <w:ilvl w:val="0"/>
                <w:numId w:val="25"/>
              </w:numPr>
              <w:spacing w:before="60" w:after="60"/>
              <w:ind w:left="426" w:hanging="284"/>
              <w:rPr>
                <w:sz w:val="20"/>
              </w:rPr>
            </w:pPr>
            <w:r>
              <w:rPr>
                <w:sz w:val="20"/>
              </w:rPr>
              <w:t xml:space="preserve">Vytvoření programu (resp. úprava pravidel programů), kde se budou lišit požadavky na návrhy projektů podle jejich velikosti (projekty malého rozsahu, „standardní“ projekty, strategické projekty) umožní snížit administrativu a usnadní implementaci programů (zvýšení operativnosti). </w:t>
            </w:r>
          </w:p>
        </w:tc>
      </w:tr>
      <w:tr w:rsidR="00AE6907" w:rsidRPr="004A11C9" w:rsidTr="0036029B">
        <w:tc>
          <w:tcPr>
            <w:tcW w:w="9354" w:type="dxa"/>
            <w:shd w:val="clear" w:color="auto" w:fill="D99594" w:themeFill="accent2" w:themeFillTint="99"/>
          </w:tcPr>
          <w:p w:rsidR="00AE6907" w:rsidRPr="004A11C9" w:rsidRDefault="00AE6907" w:rsidP="0036029B">
            <w:pPr>
              <w:spacing w:before="60" w:after="60"/>
              <w:rPr>
                <w:b/>
                <w:sz w:val="20"/>
              </w:rPr>
            </w:pPr>
            <w:r w:rsidRPr="004A11C9">
              <w:rPr>
                <w:b/>
                <w:sz w:val="20"/>
              </w:rPr>
              <w:t>Hrozby</w:t>
            </w:r>
          </w:p>
        </w:tc>
      </w:tr>
      <w:tr w:rsidR="00AE6907" w:rsidRPr="004A11C9" w:rsidTr="0036029B">
        <w:tc>
          <w:tcPr>
            <w:tcW w:w="9354" w:type="dxa"/>
            <w:shd w:val="clear" w:color="auto" w:fill="E5B8B7" w:themeFill="accent2" w:themeFillTint="66"/>
          </w:tcPr>
          <w:p w:rsidR="00AE6907" w:rsidRPr="004A11C9" w:rsidRDefault="00AE6907" w:rsidP="0036029B">
            <w:pPr>
              <w:spacing w:before="60" w:after="60"/>
              <w:rPr>
                <w:b/>
                <w:sz w:val="20"/>
              </w:rPr>
            </w:pPr>
            <w:r w:rsidRPr="004A11C9">
              <w:rPr>
                <w:b/>
                <w:sz w:val="20"/>
              </w:rPr>
              <w:t>Systém bezpečnostního výzkumu</w:t>
            </w:r>
          </w:p>
        </w:tc>
      </w:tr>
      <w:tr w:rsidR="00AE6907" w:rsidRPr="004A11C9" w:rsidTr="0036029B">
        <w:tc>
          <w:tcPr>
            <w:tcW w:w="9354" w:type="dxa"/>
            <w:shd w:val="clear" w:color="auto" w:fill="F2DBDB" w:themeFill="accent2" w:themeFillTint="33"/>
          </w:tcPr>
          <w:p w:rsidR="00AE6907" w:rsidRDefault="00AE6907" w:rsidP="00AE6907">
            <w:pPr>
              <w:numPr>
                <w:ilvl w:val="0"/>
                <w:numId w:val="25"/>
              </w:numPr>
              <w:spacing w:before="60" w:after="60"/>
              <w:ind w:left="426" w:hanging="284"/>
              <w:rPr>
                <w:sz w:val="20"/>
              </w:rPr>
            </w:pPr>
            <w:r>
              <w:rPr>
                <w:sz w:val="20"/>
              </w:rPr>
              <w:t>Stanovení strategie (priorit BV), které nebudou odpovídat potřebám společnosti v oblasti bezpečnosti, a/nebo její neefektivní implementace neumožní splnit stanovené cíle.</w:t>
            </w:r>
          </w:p>
          <w:p w:rsidR="00AE6907" w:rsidRPr="00021A92" w:rsidRDefault="00AE6907" w:rsidP="00AE6907">
            <w:pPr>
              <w:numPr>
                <w:ilvl w:val="0"/>
                <w:numId w:val="25"/>
              </w:numPr>
              <w:spacing w:before="60" w:after="60"/>
              <w:ind w:left="426" w:hanging="284"/>
              <w:rPr>
                <w:sz w:val="20"/>
              </w:rPr>
            </w:pPr>
            <w:r>
              <w:rPr>
                <w:sz w:val="20"/>
              </w:rPr>
              <w:t>Snížení institucionální podpory (resp. její nestabilita) neumožní ve VO, které tuto podporu získávají, vytvořit podmínky pro strategický rozvoj a povede ke snížení efektivity jejich aktivit</w:t>
            </w:r>
          </w:p>
        </w:tc>
      </w:tr>
      <w:tr w:rsidR="00AE6907" w:rsidRPr="004A11C9" w:rsidTr="0036029B">
        <w:tc>
          <w:tcPr>
            <w:tcW w:w="9354" w:type="dxa"/>
            <w:shd w:val="clear" w:color="auto" w:fill="E5B8B7" w:themeFill="accent2" w:themeFillTint="66"/>
          </w:tcPr>
          <w:p w:rsidR="00AE6907" w:rsidRPr="004A11C9" w:rsidRDefault="00AE6907" w:rsidP="0036029B">
            <w:pPr>
              <w:spacing w:before="60" w:after="60"/>
              <w:rPr>
                <w:b/>
                <w:sz w:val="20"/>
              </w:rPr>
            </w:pPr>
            <w:r>
              <w:rPr>
                <w:b/>
                <w:sz w:val="20"/>
              </w:rPr>
              <w:t>Programy bezpečnostního výzkumu</w:t>
            </w:r>
          </w:p>
        </w:tc>
      </w:tr>
      <w:tr w:rsidR="00AE6907" w:rsidRPr="004A11C9" w:rsidTr="0036029B">
        <w:tc>
          <w:tcPr>
            <w:tcW w:w="9354" w:type="dxa"/>
            <w:shd w:val="clear" w:color="auto" w:fill="F2DBDB" w:themeFill="accent2" w:themeFillTint="33"/>
          </w:tcPr>
          <w:p w:rsidR="00AE6907" w:rsidRDefault="00AE6907" w:rsidP="00AE6907">
            <w:pPr>
              <w:numPr>
                <w:ilvl w:val="0"/>
                <w:numId w:val="25"/>
              </w:numPr>
              <w:spacing w:before="60" w:after="60"/>
              <w:ind w:left="426" w:hanging="284"/>
              <w:rPr>
                <w:sz w:val="20"/>
              </w:rPr>
            </w:pPr>
            <w:r>
              <w:rPr>
                <w:sz w:val="20"/>
              </w:rPr>
              <w:t>P</w:t>
            </w:r>
            <w:r w:rsidRPr="004A11C9">
              <w:rPr>
                <w:sz w:val="20"/>
              </w:rPr>
              <w:t>okud se nezdaří naplnit plán programu VI</w:t>
            </w:r>
            <w:r>
              <w:rPr>
                <w:sz w:val="20"/>
              </w:rPr>
              <w:t>, dojde k p</w:t>
            </w:r>
            <w:r w:rsidRPr="004A11C9">
              <w:rPr>
                <w:sz w:val="20"/>
              </w:rPr>
              <w:t>okles</w:t>
            </w:r>
            <w:r>
              <w:rPr>
                <w:sz w:val="20"/>
              </w:rPr>
              <w:t>u</w:t>
            </w:r>
            <w:r w:rsidRPr="004A11C9">
              <w:rPr>
                <w:sz w:val="20"/>
              </w:rPr>
              <w:t xml:space="preserve"> objemu účelového financování, ke kterému došlo po roce 2013</w:t>
            </w:r>
            <w:r>
              <w:rPr>
                <w:sz w:val="20"/>
              </w:rPr>
              <w:t>,</w:t>
            </w:r>
            <w:r w:rsidRPr="004A11C9">
              <w:rPr>
                <w:sz w:val="20"/>
              </w:rPr>
              <w:t xml:space="preserve"> </w:t>
            </w:r>
            <w:r>
              <w:rPr>
                <w:sz w:val="20"/>
              </w:rPr>
              <w:t>a může dojít k diskontinuitě VaV</w:t>
            </w:r>
          </w:p>
          <w:p w:rsidR="00AE6907" w:rsidRPr="004A11C9" w:rsidRDefault="00AE6907" w:rsidP="00AE6907">
            <w:pPr>
              <w:numPr>
                <w:ilvl w:val="0"/>
                <w:numId w:val="25"/>
              </w:numPr>
              <w:spacing w:before="60" w:after="60"/>
              <w:ind w:left="426" w:hanging="284"/>
              <w:rPr>
                <w:sz w:val="20"/>
              </w:rPr>
            </w:pPr>
            <w:r>
              <w:rPr>
                <w:sz w:val="20"/>
              </w:rPr>
              <w:t>N</w:t>
            </w:r>
            <w:r w:rsidRPr="004A11C9">
              <w:rPr>
                <w:sz w:val="20"/>
              </w:rPr>
              <w:t xml:space="preserve">ízká podpora </w:t>
            </w:r>
            <w:r>
              <w:rPr>
                <w:sz w:val="20"/>
              </w:rPr>
              <w:t xml:space="preserve">BV v </w:t>
            </w:r>
            <w:r w:rsidRPr="004A11C9">
              <w:rPr>
                <w:sz w:val="20"/>
              </w:rPr>
              <w:t>obor</w:t>
            </w:r>
            <w:r>
              <w:rPr>
                <w:sz w:val="20"/>
              </w:rPr>
              <w:t>ech</w:t>
            </w:r>
            <w:r w:rsidRPr="004A11C9">
              <w:rPr>
                <w:sz w:val="20"/>
              </w:rPr>
              <w:t xml:space="preserve"> </w:t>
            </w:r>
            <w:r>
              <w:rPr>
                <w:sz w:val="20"/>
              </w:rPr>
              <w:t>f</w:t>
            </w:r>
            <w:r w:rsidRPr="004A11C9">
              <w:rPr>
                <w:sz w:val="20"/>
              </w:rPr>
              <w:t>yzika a matematika a lékařské vědy</w:t>
            </w:r>
            <w:r>
              <w:rPr>
                <w:sz w:val="20"/>
              </w:rPr>
              <w:t xml:space="preserve"> se může negativně projevit v jiných oborech BV, kde se tyto vědy uplatňují (například </w:t>
            </w:r>
            <w:r w:rsidRPr="004A11C9">
              <w:rPr>
                <w:sz w:val="20"/>
              </w:rPr>
              <w:t>kryptologie, počítačov</w:t>
            </w:r>
            <w:r>
              <w:rPr>
                <w:sz w:val="20"/>
              </w:rPr>
              <w:t>á</w:t>
            </w:r>
            <w:r w:rsidRPr="004A11C9">
              <w:rPr>
                <w:sz w:val="20"/>
              </w:rPr>
              <w:t xml:space="preserve"> bezpečnost, pokročil</w:t>
            </w:r>
            <w:r>
              <w:rPr>
                <w:sz w:val="20"/>
              </w:rPr>
              <w:t>é</w:t>
            </w:r>
            <w:r w:rsidRPr="004A11C9">
              <w:rPr>
                <w:sz w:val="20"/>
              </w:rPr>
              <w:t xml:space="preserve"> senzor</w:t>
            </w:r>
            <w:r>
              <w:rPr>
                <w:sz w:val="20"/>
              </w:rPr>
              <w:t>y</w:t>
            </w:r>
            <w:r w:rsidRPr="004A11C9">
              <w:rPr>
                <w:sz w:val="20"/>
              </w:rPr>
              <w:t xml:space="preserve"> či management rizik bioterorismu</w:t>
            </w:r>
            <w:r>
              <w:rPr>
                <w:sz w:val="20"/>
              </w:rPr>
              <w:t>)</w:t>
            </w:r>
            <w:r w:rsidRPr="004A11C9">
              <w:rPr>
                <w:sz w:val="20"/>
              </w:rPr>
              <w:t>.</w:t>
            </w:r>
          </w:p>
        </w:tc>
      </w:tr>
    </w:tbl>
    <w:p w:rsidR="00AE6907" w:rsidRDefault="00AE6907" w:rsidP="000C7781">
      <w:pPr>
        <w:pStyle w:val="Nadpis2"/>
        <w:spacing w:before="240"/>
        <w:ind w:left="578" w:hanging="578"/>
      </w:pPr>
      <w:bookmarkStart w:id="278" w:name="_Toc454786537"/>
      <w:bookmarkStart w:id="279" w:name="_Toc459723346"/>
      <w:r>
        <w:t>Výsledky bezpečnostního výzkumu</w:t>
      </w:r>
      <w:bookmarkEnd w:id="278"/>
      <w:bookmarkEnd w:id="279"/>
    </w:p>
    <w:p w:rsidR="00AE6907" w:rsidRDefault="00AE6907" w:rsidP="00AE6907">
      <w:r>
        <w:t>V pětiletém období 2010 – 2014 vzniklo v programech BV více než 2,5 tisíce výsledků, které jsou registrovány v Rejstříku informací o výsledcích (RIV) IS VaVaI. Ve výsledcích převažují publikační typy, které tvoří přibližně 60 % všech registrovaných výsledků. Přestože pouze tři projekty z celkového počtu přibližně 200 projektů financovaných v tomto období byly klasifikovány jako základní výzkum, výsledky aplikačního charakteru tvoří pouze menší část z celkového počtu výsledků projektů BV.</w:t>
      </w:r>
    </w:p>
    <w:p w:rsidR="00AE6907" w:rsidRDefault="00AE6907" w:rsidP="00AE6907">
      <w:r>
        <w:t>Nejvyšší počet výsledků byl ve sledovaném období vytvořen v oboru Průmysl. V oboru Průmysl vznikl i nejvyšší počet publikačních výsledků. Druhým nejvýznamnějším oborem v publikačních výstupech je podobor AQ - Bezpečnost a ochrana zdraví, člověk – stroj, do něhož je však řazena tematika, jako je ochrana před ZHN, průmyslová rizika, analýzy rizik ve vztahu k terorismu a podobně. Třetím nejvýznamnějším oborem z hlediska publikačních výstupů jsou Společenské vědy.</w:t>
      </w:r>
    </w:p>
    <w:p w:rsidR="00AE6907" w:rsidRDefault="00AE6907" w:rsidP="00AE6907">
      <w:r>
        <w:t>Relativně nejvyšší kvalita výsledků je v oboru AQ - Bezpečnost a ochrana zdraví, člověk – stroj, které jsou přibližně o čtvrtinu více zastoupeny ve WoS než výsledky z jiných programů. Také obory, jako jsou lékařské vědy a vědy o Zemi, lze považovat za nadprůměrné. Vysokou kvalitu věd o Zemi potvrzuje i jejich světově nadprůměrná citovanost. Citovanost na úrovni světového průměru mají také publikace v chemii.</w:t>
      </w:r>
    </w:p>
    <w:p w:rsidR="00AE6907" w:rsidRDefault="00AE6907" w:rsidP="00AE6907">
      <w:r>
        <w:t>Nejvýznamnějšími tvůrci publikačních výsledků byly ČVUT v Praze, VŠB - TU Ostrava, MV, VUT v Brně, Masarykova univerzita v Brně a Univerzita Karlova v Praze, které vytvořily přes 100 publikací. Z institucí spadajících do rozpočtové kapitoly MV vzniklo nejvíce publikačních výstupů v Institutu ochrany obyvatelstva GŘ HZS a v SÚJCHBO.  Ve výstupech však dominují články v neimpaktovaných periodikách nebo ve sbornících z konferencí, v Institutu ochrany obyvatelstva vznikl také poměrně vysoký počet zpráv obsahujících utajované informace</w:t>
      </w:r>
      <w:r>
        <w:rPr>
          <w:rStyle w:val="Znakapoznpodarou"/>
        </w:rPr>
        <w:footnoteReference w:id="53"/>
      </w:r>
      <w:r>
        <w:t>. V sektoru veřejných výzkumných institucí největší počet publikačních výstupů vznikl v Ústavu analytické chemie AV ČR.</w:t>
      </w:r>
    </w:p>
    <w:p w:rsidR="00AE6907" w:rsidRDefault="00AE6907" w:rsidP="00AE6907">
      <w:r>
        <w:t>Výrazně nejvyšší počet aplikačních výstupů vznikl v oboru Průmysl. Dalšími obory s vyšším počtem aplikačních výstupů jsou Bezpečnost a ochrana zdraví, člověk – stroj a Vojenství. V oboru Průmysl také vznikl největší počet výsledků typu duševního vlastnictví (patent, průmyslové a užitné vzory). Jediným vědním oborem, v kterém vznikl významný počet výsledků typu duševního vlastnictví, je chemie (19 záznamů), v ostatních oborech byl počet výsledků ve sledovaném období na úrovni jednotek. Podle dotazníkového šetření se průměru v praxi uplatní přibližně polovina vytvořených výsledků bezpečnostního výzkumu.</w:t>
      </w:r>
    </w:p>
    <w:p w:rsidR="00AE6907" w:rsidRDefault="00AE6907" w:rsidP="00D87F3A">
      <w:pPr>
        <w:spacing w:after="240"/>
      </w:pPr>
      <w:r>
        <w:t>Kromě výsledků vzniklých v programech BV byly v</w:t>
      </w:r>
      <w:r w:rsidRPr="00021A92">
        <w:t> databázi Thomson Reuters Web of Science (WoS)</w:t>
      </w:r>
      <w:r>
        <w:t xml:space="preserve"> nalezeny další publikace se spoluautory z ČR, které se svým zaměřením týkají problematiky bezpečnosti. </w:t>
      </w:r>
      <w:r w:rsidRPr="00021A92">
        <w:t xml:space="preserve">Nejvyšší počet publikací týkajících se bezpečnosti </w:t>
      </w:r>
      <w:r>
        <w:t xml:space="preserve">byl nalezen v oboru </w:t>
      </w:r>
      <w:r w:rsidRPr="00021A92">
        <w:t>klinick</w:t>
      </w:r>
      <w:r>
        <w:t>á</w:t>
      </w:r>
      <w:r w:rsidRPr="00021A92">
        <w:t xml:space="preserve"> medicín</w:t>
      </w:r>
      <w:r>
        <w:t>a</w:t>
      </w:r>
      <w:r w:rsidRPr="00021A92">
        <w:t>. Dalšími poměrně zastoupenými obory jsou botanika a zoologie, společenské vědy, chemie, technické vědy a vědy o Zemi. V řadě oborů je realizován velmi kvalitní výzkum, jehož výsledky (publikace) jsou ve světovém srovnání nadprůměrně citované</w:t>
      </w:r>
      <w:r>
        <w:t xml:space="preserve"> (jedná se zejména o</w:t>
      </w:r>
      <w:r w:rsidRPr="00021A92">
        <w:t xml:space="preserve"> molekulární biologi</w:t>
      </w:r>
      <w:r>
        <w:t>i</w:t>
      </w:r>
      <w:r w:rsidRPr="00021A92">
        <w:t xml:space="preserve"> a genetik</w:t>
      </w:r>
      <w:r>
        <w:t>u</w:t>
      </w:r>
      <w:r w:rsidRPr="00021A92">
        <w:t>, botanik</w:t>
      </w:r>
      <w:r>
        <w:t>u</w:t>
      </w:r>
      <w:r w:rsidRPr="00021A92">
        <w:t xml:space="preserve"> a zoologi</w:t>
      </w:r>
      <w:r>
        <w:t>i</w:t>
      </w:r>
      <w:r w:rsidRPr="00021A92">
        <w:t xml:space="preserve"> a vědy o Zemi.</w:t>
      </w:r>
    </w:p>
    <w:p w:rsidR="000C7781" w:rsidRDefault="000C7781" w:rsidP="00D87F3A">
      <w:pPr>
        <w:spacing w:after="240"/>
      </w:pPr>
    </w:p>
    <w:tbl>
      <w:tblPr>
        <w:tblStyle w:val="Mkatabulky"/>
        <w:tblW w:w="0" w:type="auto"/>
        <w:shd w:val="clear" w:color="auto" w:fill="FDE9D9" w:themeFill="accent6" w:themeFillTint="33"/>
        <w:tblLook w:val="04A0" w:firstRow="1" w:lastRow="0" w:firstColumn="1" w:lastColumn="0" w:noHBand="0" w:noVBand="1"/>
      </w:tblPr>
      <w:tblGrid>
        <w:gridCol w:w="9354"/>
      </w:tblGrid>
      <w:tr w:rsidR="00AE6907" w:rsidRPr="00362171" w:rsidTr="0036029B">
        <w:tc>
          <w:tcPr>
            <w:tcW w:w="9354" w:type="dxa"/>
            <w:shd w:val="clear" w:color="auto" w:fill="95B3D7" w:themeFill="accent1" w:themeFillTint="99"/>
          </w:tcPr>
          <w:p w:rsidR="00AE6907" w:rsidRPr="00362171" w:rsidRDefault="00AE6907" w:rsidP="0036029B">
            <w:pPr>
              <w:spacing w:before="60" w:after="60"/>
              <w:rPr>
                <w:b/>
                <w:sz w:val="20"/>
              </w:rPr>
            </w:pPr>
            <w:r w:rsidRPr="00362171">
              <w:rPr>
                <w:b/>
                <w:sz w:val="20"/>
              </w:rPr>
              <w:t>Silné stránky</w:t>
            </w:r>
          </w:p>
        </w:tc>
      </w:tr>
      <w:tr w:rsidR="00AE6907" w:rsidRPr="00362171" w:rsidTr="0036029B">
        <w:tc>
          <w:tcPr>
            <w:tcW w:w="9354" w:type="dxa"/>
            <w:shd w:val="clear" w:color="auto" w:fill="C6D9F1" w:themeFill="text2" w:themeFillTint="33"/>
          </w:tcPr>
          <w:p w:rsidR="00AE6907" w:rsidRPr="00362171" w:rsidRDefault="00AE6907" w:rsidP="0036029B">
            <w:pPr>
              <w:spacing w:before="60" w:after="60"/>
              <w:rPr>
                <w:b/>
                <w:sz w:val="20"/>
              </w:rPr>
            </w:pPr>
            <w:r w:rsidRPr="00362171">
              <w:rPr>
                <w:b/>
                <w:sz w:val="20"/>
              </w:rPr>
              <w:t>Systém bezpečnostního výzkumu</w:t>
            </w:r>
          </w:p>
        </w:tc>
      </w:tr>
      <w:tr w:rsidR="00AE6907" w:rsidRPr="00362171" w:rsidTr="0036029B">
        <w:tc>
          <w:tcPr>
            <w:tcW w:w="9354" w:type="dxa"/>
            <w:shd w:val="clear" w:color="auto" w:fill="DBE5F1" w:themeFill="accent1" w:themeFillTint="33"/>
          </w:tcPr>
          <w:p w:rsidR="00AE6907" w:rsidRDefault="00AE6907" w:rsidP="00AE6907">
            <w:pPr>
              <w:numPr>
                <w:ilvl w:val="0"/>
                <w:numId w:val="27"/>
              </w:numPr>
              <w:spacing w:before="60" w:after="60"/>
              <w:ind w:left="426" w:hanging="284"/>
              <w:rPr>
                <w:sz w:val="20"/>
              </w:rPr>
            </w:pPr>
            <w:r>
              <w:rPr>
                <w:sz w:val="20"/>
              </w:rPr>
              <w:t>Je vytvořen Informační systém VaVaI, do kterého jsou VO a dalšími subjekty získávajícími veřejnou podporu vkládány údaje o výsledcích vzniklých v souvislosti s udělenou podporou - existuje přehled o všech výsledcích vzniklých v BV</w:t>
            </w:r>
          </w:p>
          <w:p w:rsidR="00AE6907" w:rsidRPr="00362171" w:rsidRDefault="00AE6907" w:rsidP="00AE6907">
            <w:pPr>
              <w:numPr>
                <w:ilvl w:val="0"/>
                <w:numId w:val="27"/>
              </w:numPr>
              <w:spacing w:before="60" w:after="60"/>
              <w:ind w:left="426" w:hanging="284"/>
              <w:rPr>
                <w:sz w:val="20"/>
              </w:rPr>
            </w:pPr>
            <w:r>
              <w:rPr>
                <w:sz w:val="20"/>
              </w:rPr>
              <w:t>Pro hodnocení VO a přidělování institucionální podpory je vytvořena metodika, která VO získávající veřejnou podporu motivuje vytvářet publikačně i aplikačně zaměřené výsledky</w:t>
            </w:r>
          </w:p>
        </w:tc>
      </w:tr>
      <w:tr w:rsidR="00AE6907" w:rsidRPr="00362171" w:rsidTr="0036029B">
        <w:tc>
          <w:tcPr>
            <w:tcW w:w="9354" w:type="dxa"/>
            <w:shd w:val="clear" w:color="auto" w:fill="C6D9F1" w:themeFill="text2" w:themeFillTint="33"/>
          </w:tcPr>
          <w:p w:rsidR="00AE6907" w:rsidRPr="00362171" w:rsidRDefault="00AE6907" w:rsidP="0036029B">
            <w:pPr>
              <w:spacing w:before="60" w:after="60"/>
              <w:rPr>
                <w:b/>
                <w:sz w:val="20"/>
              </w:rPr>
            </w:pPr>
            <w:r w:rsidRPr="00362171">
              <w:rPr>
                <w:b/>
                <w:sz w:val="20"/>
              </w:rPr>
              <w:t>Programy bezpečnostního výzkumu</w:t>
            </w:r>
          </w:p>
        </w:tc>
      </w:tr>
      <w:tr w:rsidR="00AE6907" w:rsidRPr="00362171" w:rsidTr="0036029B">
        <w:tc>
          <w:tcPr>
            <w:tcW w:w="9354" w:type="dxa"/>
            <w:shd w:val="clear" w:color="auto" w:fill="DBE5F1" w:themeFill="accent1" w:themeFillTint="33"/>
          </w:tcPr>
          <w:p w:rsidR="00AE6907" w:rsidRDefault="00AE6907" w:rsidP="00AE6907">
            <w:pPr>
              <w:numPr>
                <w:ilvl w:val="0"/>
                <w:numId w:val="27"/>
              </w:numPr>
              <w:spacing w:before="60" w:after="60"/>
              <w:ind w:left="426" w:hanging="284"/>
              <w:rPr>
                <w:sz w:val="20"/>
              </w:rPr>
            </w:pPr>
            <w:r>
              <w:rPr>
                <w:sz w:val="20"/>
              </w:rPr>
              <w:t xml:space="preserve">V programech BV v gesci MV je vytvářen značný počet výsledků VaV ve většině vědních disciplín (oborů), </w:t>
            </w:r>
          </w:p>
          <w:p w:rsidR="00AE6907" w:rsidRDefault="00AE6907" w:rsidP="00AE6907">
            <w:pPr>
              <w:numPr>
                <w:ilvl w:val="0"/>
                <w:numId w:val="27"/>
              </w:numPr>
              <w:spacing w:before="60" w:after="60"/>
              <w:ind w:left="426" w:hanging="284"/>
              <w:rPr>
                <w:sz w:val="20"/>
              </w:rPr>
            </w:pPr>
            <w:r>
              <w:rPr>
                <w:sz w:val="20"/>
              </w:rPr>
              <w:t>Výsledky, které souvisejí s problematikou bezpečnosti, vznikají i v projektech podpořených v programech jiných poskytovatelů, včetně programů podporujících mezinárodní spolupráci ve VaV</w:t>
            </w:r>
          </w:p>
          <w:p w:rsidR="00AE6907" w:rsidRDefault="00AE6907" w:rsidP="00AE6907">
            <w:pPr>
              <w:numPr>
                <w:ilvl w:val="0"/>
                <w:numId w:val="27"/>
              </w:numPr>
              <w:spacing w:before="60" w:after="60"/>
              <w:ind w:left="426" w:hanging="284"/>
              <w:rPr>
                <w:sz w:val="20"/>
              </w:rPr>
            </w:pPr>
            <w:r>
              <w:rPr>
                <w:sz w:val="20"/>
              </w:rPr>
              <w:t>Kvalita publikací týkajících se bezpečnosti je v některých oborech světově nadprůměrná, což svědčí o kvalitě VaV realizovaném v těchto oborech</w:t>
            </w:r>
          </w:p>
          <w:p w:rsidR="00AE6907" w:rsidRDefault="00AE6907" w:rsidP="00AE6907">
            <w:pPr>
              <w:numPr>
                <w:ilvl w:val="0"/>
                <w:numId w:val="27"/>
              </w:numPr>
              <w:spacing w:before="60" w:after="60"/>
              <w:ind w:left="426" w:hanging="284"/>
              <w:rPr>
                <w:sz w:val="20"/>
              </w:rPr>
            </w:pPr>
            <w:r>
              <w:rPr>
                <w:sz w:val="20"/>
              </w:rPr>
              <w:t>Výsledky, které mají uplatnění v oblasti bezpečnosti, vznikají i bez veřejné podpory (jedná se o výsledky s průmyslově-právní ochranou)</w:t>
            </w:r>
          </w:p>
          <w:p w:rsidR="00AE6907" w:rsidRPr="00362171" w:rsidRDefault="00AE6907" w:rsidP="00AE6907">
            <w:pPr>
              <w:numPr>
                <w:ilvl w:val="0"/>
                <w:numId w:val="27"/>
              </w:numPr>
              <w:spacing w:before="60" w:after="60"/>
              <w:ind w:left="426" w:hanging="284"/>
              <w:rPr>
                <w:sz w:val="20"/>
              </w:rPr>
            </w:pPr>
            <w:r>
              <w:rPr>
                <w:sz w:val="20"/>
              </w:rPr>
              <w:t>Při tvorbě výsledků (publikací) výzkumné týmy z ČR účastnící si se projektů BV spolupracují se zahraničními výzkumnými pracovníky</w:t>
            </w:r>
          </w:p>
        </w:tc>
      </w:tr>
      <w:tr w:rsidR="00AE6907" w:rsidRPr="00362171" w:rsidTr="0036029B">
        <w:tc>
          <w:tcPr>
            <w:tcW w:w="9354" w:type="dxa"/>
            <w:shd w:val="clear" w:color="auto" w:fill="FABF8F" w:themeFill="accent6" w:themeFillTint="99"/>
          </w:tcPr>
          <w:p w:rsidR="00AE6907" w:rsidRPr="00362171" w:rsidRDefault="00AE6907" w:rsidP="0036029B">
            <w:pPr>
              <w:spacing w:before="60" w:after="60"/>
              <w:rPr>
                <w:b/>
                <w:sz w:val="20"/>
              </w:rPr>
            </w:pPr>
            <w:r w:rsidRPr="00362171">
              <w:rPr>
                <w:b/>
                <w:sz w:val="20"/>
              </w:rPr>
              <w:t>Slabé stránky</w:t>
            </w:r>
          </w:p>
        </w:tc>
      </w:tr>
      <w:tr w:rsidR="00AE6907" w:rsidRPr="00362171" w:rsidTr="0036029B">
        <w:tc>
          <w:tcPr>
            <w:tcW w:w="9354" w:type="dxa"/>
            <w:shd w:val="clear" w:color="auto" w:fill="FBD4B4" w:themeFill="accent6" w:themeFillTint="66"/>
          </w:tcPr>
          <w:p w:rsidR="00AE6907" w:rsidRPr="00362171" w:rsidRDefault="00AE6907" w:rsidP="0036029B">
            <w:pPr>
              <w:spacing w:before="60" w:after="60"/>
              <w:rPr>
                <w:b/>
                <w:sz w:val="20"/>
              </w:rPr>
            </w:pPr>
            <w:r w:rsidRPr="00362171">
              <w:rPr>
                <w:b/>
                <w:sz w:val="20"/>
              </w:rPr>
              <w:t>Systém bezpečnostního výzkumu</w:t>
            </w:r>
          </w:p>
        </w:tc>
      </w:tr>
      <w:tr w:rsidR="00AE6907" w:rsidRPr="00362171" w:rsidTr="0036029B">
        <w:tc>
          <w:tcPr>
            <w:tcW w:w="9354" w:type="dxa"/>
            <w:shd w:val="clear" w:color="auto" w:fill="FDE9D9" w:themeFill="accent6" w:themeFillTint="33"/>
          </w:tcPr>
          <w:p w:rsidR="00AE6907" w:rsidRPr="00FB609E" w:rsidRDefault="00AE6907" w:rsidP="00AE6907">
            <w:pPr>
              <w:numPr>
                <w:ilvl w:val="0"/>
                <w:numId w:val="27"/>
              </w:numPr>
              <w:spacing w:before="60" w:after="60"/>
              <w:ind w:left="426" w:hanging="284"/>
              <w:rPr>
                <w:sz w:val="20"/>
              </w:rPr>
            </w:pPr>
            <w:r>
              <w:rPr>
                <w:sz w:val="20"/>
              </w:rPr>
              <w:t>Současná metodika hodnocení VO („kafemlýnek“) není optimální – metodika motivuje k tvorbě značného počtu publikací (včetně dělení publikací a publikování dílčích výsledků) i ke tvorbě aplikačně zaměřených výsledků, které nemají příliš velké využití v praxi</w:t>
            </w:r>
          </w:p>
        </w:tc>
      </w:tr>
      <w:tr w:rsidR="00AE6907" w:rsidRPr="00362171" w:rsidTr="0036029B">
        <w:tc>
          <w:tcPr>
            <w:tcW w:w="9354" w:type="dxa"/>
            <w:shd w:val="clear" w:color="auto" w:fill="FBD4B4" w:themeFill="accent6" w:themeFillTint="66"/>
          </w:tcPr>
          <w:p w:rsidR="00AE6907" w:rsidRPr="00362171" w:rsidRDefault="00AE6907" w:rsidP="0036029B">
            <w:pPr>
              <w:spacing w:before="60" w:after="60"/>
              <w:rPr>
                <w:b/>
                <w:sz w:val="20"/>
              </w:rPr>
            </w:pPr>
            <w:r w:rsidRPr="00362171">
              <w:rPr>
                <w:b/>
                <w:sz w:val="20"/>
              </w:rPr>
              <w:t>Programy bezpečnostního výzkumu</w:t>
            </w:r>
          </w:p>
        </w:tc>
      </w:tr>
      <w:tr w:rsidR="00AE6907" w:rsidRPr="00362171" w:rsidTr="0036029B">
        <w:tc>
          <w:tcPr>
            <w:tcW w:w="9354" w:type="dxa"/>
            <w:shd w:val="clear" w:color="auto" w:fill="FDE9D9" w:themeFill="accent6" w:themeFillTint="33"/>
          </w:tcPr>
          <w:p w:rsidR="00AE6907" w:rsidRDefault="00AE6907" w:rsidP="00AE6907">
            <w:pPr>
              <w:numPr>
                <w:ilvl w:val="0"/>
                <w:numId w:val="27"/>
              </w:numPr>
              <w:spacing w:before="60" w:after="60"/>
              <w:ind w:left="426" w:hanging="284"/>
              <w:rPr>
                <w:sz w:val="20"/>
              </w:rPr>
            </w:pPr>
            <w:r>
              <w:rPr>
                <w:sz w:val="20"/>
              </w:rPr>
              <w:t>Ačkoli většina projektů podpořených v programech BV je aplikačně zaměřených, výsledkem jsou převáženě publikační typy, a výsledky zaměřené aplikačně tvoří pouze menší část výsledků těchto programů</w:t>
            </w:r>
          </w:p>
          <w:p w:rsidR="00AE6907" w:rsidRPr="00362171" w:rsidRDefault="00AE6907" w:rsidP="00AE6907">
            <w:pPr>
              <w:numPr>
                <w:ilvl w:val="0"/>
                <w:numId w:val="27"/>
              </w:numPr>
              <w:spacing w:before="60" w:after="60"/>
              <w:ind w:left="426" w:hanging="284"/>
              <w:rPr>
                <w:sz w:val="20"/>
              </w:rPr>
            </w:pPr>
            <w:r>
              <w:rPr>
                <w:sz w:val="20"/>
              </w:rPr>
              <w:t>V programech BV vzniká poměrně málo výsledků, které mají zajištěnu průmyslově-právní ochranu</w:t>
            </w:r>
          </w:p>
        </w:tc>
      </w:tr>
      <w:tr w:rsidR="00AE6907" w:rsidRPr="00362171" w:rsidTr="0036029B">
        <w:tc>
          <w:tcPr>
            <w:tcW w:w="9354" w:type="dxa"/>
            <w:shd w:val="clear" w:color="auto" w:fill="92CDDC" w:themeFill="accent5" w:themeFillTint="99"/>
          </w:tcPr>
          <w:p w:rsidR="00AE6907" w:rsidRPr="00362171" w:rsidRDefault="00AE6907" w:rsidP="0036029B">
            <w:pPr>
              <w:spacing w:before="60" w:after="60"/>
              <w:rPr>
                <w:b/>
                <w:sz w:val="20"/>
              </w:rPr>
            </w:pPr>
            <w:r w:rsidRPr="00362171">
              <w:rPr>
                <w:b/>
                <w:sz w:val="20"/>
              </w:rPr>
              <w:t>Příležitosti</w:t>
            </w:r>
          </w:p>
        </w:tc>
      </w:tr>
      <w:tr w:rsidR="00AE6907" w:rsidRPr="00362171" w:rsidTr="0036029B">
        <w:tc>
          <w:tcPr>
            <w:tcW w:w="9354" w:type="dxa"/>
            <w:shd w:val="clear" w:color="auto" w:fill="B6DDE8" w:themeFill="accent5" w:themeFillTint="66"/>
          </w:tcPr>
          <w:p w:rsidR="00AE6907" w:rsidRPr="00362171" w:rsidRDefault="00AE6907" w:rsidP="0036029B">
            <w:pPr>
              <w:spacing w:before="60" w:after="60"/>
              <w:rPr>
                <w:b/>
                <w:sz w:val="20"/>
              </w:rPr>
            </w:pPr>
            <w:r w:rsidRPr="00362171">
              <w:rPr>
                <w:b/>
                <w:sz w:val="20"/>
              </w:rPr>
              <w:t>Systém bezpečnostního výzkumu</w:t>
            </w:r>
          </w:p>
        </w:tc>
      </w:tr>
      <w:tr w:rsidR="00AE6907" w:rsidRPr="00362171" w:rsidTr="0036029B">
        <w:tc>
          <w:tcPr>
            <w:tcW w:w="9354" w:type="dxa"/>
            <w:shd w:val="clear" w:color="auto" w:fill="DAEEF3" w:themeFill="accent5" w:themeFillTint="33"/>
          </w:tcPr>
          <w:p w:rsidR="00AE6907" w:rsidRDefault="00AE6907" w:rsidP="00AE6907">
            <w:pPr>
              <w:numPr>
                <w:ilvl w:val="0"/>
                <w:numId w:val="27"/>
              </w:numPr>
              <w:spacing w:before="60" w:after="60"/>
              <w:ind w:left="426" w:hanging="284"/>
              <w:rPr>
                <w:sz w:val="20"/>
              </w:rPr>
            </w:pPr>
            <w:r>
              <w:rPr>
                <w:sz w:val="20"/>
              </w:rPr>
              <w:t>Využití metodiky, která bude využívat peer review a zohledňovat zaměření VO a jejich misi v systému VaVaI a bude tyto instituce motivovat ke tvorbě požadovaných výsledků, které přispějí ke zlepšení bezpečnostní situace v ČR</w:t>
            </w:r>
          </w:p>
          <w:p w:rsidR="00AE6907" w:rsidRPr="00515997" w:rsidRDefault="00AE6907" w:rsidP="00AE6907">
            <w:pPr>
              <w:numPr>
                <w:ilvl w:val="0"/>
                <w:numId w:val="27"/>
              </w:numPr>
              <w:spacing w:before="60" w:after="60"/>
              <w:ind w:left="426" w:hanging="284"/>
              <w:rPr>
                <w:sz w:val="20"/>
              </w:rPr>
            </w:pPr>
            <w:r>
              <w:rPr>
                <w:sz w:val="20"/>
              </w:rPr>
              <w:t>Zvýšení informovanosti o výsledcích vzniklých v programech BV (zejména o aplikačně zaměřených výsledcích výsledcích) napomůže k jejich větší využitelnosti v praxi a přispěje ke zlepšení bezpečnostní situace v ČR</w:t>
            </w:r>
          </w:p>
        </w:tc>
      </w:tr>
      <w:tr w:rsidR="00AE6907" w:rsidRPr="00362171" w:rsidTr="0036029B">
        <w:tc>
          <w:tcPr>
            <w:tcW w:w="9354" w:type="dxa"/>
            <w:shd w:val="clear" w:color="auto" w:fill="B6DDE8" w:themeFill="accent5" w:themeFillTint="66"/>
          </w:tcPr>
          <w:p w:rsidR="00AE6907" w:rsidRPr="00362171" w:rsidRDefault="00AE6907" w:rsidP="0036029B">
            <w:pPr>
              <w:spacing w:before="60" w:after="60"/>
              <w:rPr>
                <w:b/>
                <w:sz w:val="20"/>
              </w:rPr>
            </w:pPr>
            <w:r w:rsidRPr="00362171">
              <w:rPr>
                <w:b/>
                <w:sz w:val="20"/>
              </w:rPr>
              <w:t>Programy bezpečnostního výzkumu</w:t>
            </w:r>
          </w:p>
        </w:tc>
      </w:tr>
      <w:tr w:rsidR="00AE6907" w:rsidRPr="00362171" w:rsidTr="0036029B">
        <w:tc>
          <w:tcPr>
            <w:tcW w:w="9354" w:type="dxa"/>
            <w:shd w:val="clear" w:color="auto" w:fill="DAEEF3" w:themeFill="accent5" w:themeFillTint="33"/>
          </w:tcPr>
          <w:p w:rsidR="00AE6907" w:rsidRPr="00BB7761" w:rsidRDefault="00AE6907" w:rsidP="00AE6907">
            <w:pPr>
              <w:numPr>
                <w:ilvl w:val="0"/>
                <w:numId w:val="27"/>
              </w:numPr>
              <w:spacing w:before="60" w:after="60"/>
              <w:ind w:left="426" w:hanging="284"/>
              <w:rPr>
                <w:sz w:val="20"/>
              </w:rPr>
            </w:pPr>
            <w:r>
              <w:rPr>
                <w:sz w:val="20"/>
              </w:rPr>
              <w:t xml:space="preserve">Vhodné nastavení pravidel programů účelové podpory BV a jejich </w:t>
            </w:r>
            <w:r w:rsidRPr="00541BBF">
              <w:rPr>
                <w:sz w:val="20"/>
              </w:rPr>
              <w:t xml:space="preserve">ex-ante </w:t>
            </w:r>
            <w:r>
              <w:rPr>
                <w:sz w:val="20"/>
              </w:rPr>
              <w:t>i</w:t>
            </w:r>
            <w:r w:rsidRPr="00541BBF">
              <w:rPr>
                <w:sz w:val="20"/>
              </w:rPr>
              <w:t xml:space="preserve"> ex-post </w:t>
            </w:r>
            <w:r>
              <w:rPr>
                <w:sz w:val="20"/>
              </w:rPr>
              <w:t>hodnocení přispěje ke tvorbě požadovaných výsledků a splnění nastavených cílů</w:t>
            </w:r>
          </w:p>
        </w:tc>
      </w:tr>
      <w:tr w:rsidR="00AE6907" w:rsidRPr="00362171" w:rsidTr="0036029B">
        <w:tc>
          <w:tcPr>
            <w:tcW w:w="9354" w:type="dxa"/>
            <w:shd w:val="clear" w:color="auto" w:fill="D99594" w:themeFill="accent2" w:themeFillTint="99"/>
          </w:tcPr>
          <w:p w:rsidR="00AE6907" w:rsidRPr="00362171" w:rsidRDefault="00AE6907" w:rsidP="0036029B">
            <w:pPr>
              <w:spacing w:before="60" w:after="60"/>
              <w:rPr>
                <w:b/>
                <w:sz w:val="20"/>
              </w:rPr>
            </w:pPr>
            <w:r w:rsidRPr="00362171">
              <w:rPr>
                <w:b/>
                <w:sz w:val="20"/>
              </w:rPr>
              <w:t>Hrozby</w:t>
            </w:r>
          </w:p>
        </w:tc>
      </w:tr>
      <w:tr w:rsidR="00AE6907" w:rsidRPr="00362171" w:rsidTr="0036029B">
        <w:tc>
          <w:tcPr>
            <w:tcW w:w="9354" w:type="dxa"/>
            <w:shd w:val="clear" w:color="auto" w:fill="E5B8B7" w:themeFill="accent2" w:themeFillTint="66"/>
          </w:tcPr>
          <w:p w:rsidR="00AE6907" w:rsidRPr="00362171" w:rsidRDefault="00AE6907" w:rsidP="0036029B">
            <w:pPr>
              <w:spacing w:before="60" w:after="60"/>
              <w:rPr>
                <w:b/>
                <w:sz w:val="20"/>
              </w:rPr>
            </w:pPr>
            <w:r w:rsidRPr="00362171">
              <w:rPr>
                <w:b/>
                <w:sz w:val="20"/>
              </w:rPr>
              <w:t>Systém bezpečnostního výzkumu</w:t>
            </w:r>
          </w:p>
        </w:tc>
      </w:tr>
      <w:tr w:rsidR="00AE6907" w:rsidRPr="00362171" w:rsidTr="0036029B">
        <w:tc>
          <w:tcPr>
            <w:tcW w:w="9354" w:type="dxa"/>
            <w:shd w:val="clear" w:color="auto" w:fill="F2DBDB" w:themeFill="accent2" w:themeFillTint="33"/>
          </w:tcPr>
          <w:p w:rsidR="00AE6907" w:rsidRPr="00227219" w:rsidRDefault="00AE6907" w:rsidP="00AE6907">
            <w:pPr>
              <w:numPr>
                <w:ilvl w:val="0"/>
                <w:numId w:val="27"/>
              </w:numPr>
              <w:spacing w:before="60" w:after="60"/>
              <w:ind w:left="426" w:hanging="284"/>
              <w:rPr>
                <w:sz w:val="20"/>
              </w:rPr>
            </w:pPr>
            <w:r>
              <w:rPr>
                <w:sz w:val="20"/>
              </w:rPr>
              <w:t>Při nezajištění synergie zdrojů pro BV nebudou vznikat výsledky, které výrazným způsobem přispějí k řešení výzev v oblasti bezpečnosti (vznik výsledků, které spolu nesouvisejí)</w:t>
            </w:r>
          </w:p>
        </w:tc>
      </w:tr>
      <w:tr w:rsidR="00AE6907" w:rsidRPr="00362171" w:rsidTr="0036029B">
        <w:tc>
          <w:tcPr>
            <w:tcW w:w="9354" w:type="dxa"/>
            <w:shd w:val="clear" w:color="auto" w:fill="E5B8B7" w:themeFill="accent2" w:themeFillTint="66"/>
          </w:tcPr>
          <w:p w:rsidR="00AE6907" w:rsidRPr="00362171" w:rsidRDefault="00AE6907" w:rsidP="0036029B">
            <w:pPr>
              <w:spacing w:before="60" w:after="60"/>
              <w:rPr>
                <w:b/>
                <w:sz w:val="20"/>
              </w:rPr>
            </w:pPr>
            <w:r w:rsidRPr="00362171">
              <w:rPr>
                <w:b/>
                <w:sz w:val="20"/>
              </w:rPr>
              <w:t>Programy bezpečnostního výzkumu</w:t>
            </w:r>
          </w:p>
        </w:tc>
      </w:tr>
      <w:tr w:rsidR="00AE6907" w:rsidRPr="00362171" w:rsidTr="0036029B">
        <w:tc>
          <w:tcPr>
            <w:tcW w:w="9354" w:type="dxa"/>
            <w:shd w:val="clear" w:color="auto" w:fill="F2DBDB" w:themeFill="accent2" w:themeFillTint="33"/>
          </w:tcPr>
          <w:p w:rsidR="00AE6907" w:rsidRPr="00362171" w:rsidRDefault="00AE6907" w:rsidP="00AE6907">
            <w:pPr>
              <w:numPr>
                <w:ilvl w:val="0"/>
                <w:numId w:val="27"/>
              </w:numPr>
              <w:spacing w:before="60" w:after="60"/>
              <w:ind w:left="426" w:hanging="284"/>
              <w:rPr>
                <w:sz w:val="20"/>
              </w:rPr>
            </w:pPr>
            <w:r>
              <w:rPr>
                <w:sz w:val="20"/>
              </w:rPr>
              <w:t>Stávající metodika hodnocení, kde není zohledněn charakter VaV a role VO v systému VaVaI, povede u některých VO ke tvorbě výsledků, jejichž přínos pro zvýšení bezpečnosti nebude vysoký.</w:t>
            </w:r>
          </w:p>
        </w:tc>
      </w:tr>
    </w:tbl>
    <w:p w:rsidR="00AE6907" w:rsidRDefault="00AE6907" w:rsidP="00AE6907"/>
    <w:p w:rsidR="00AE6907" w:rsidRDefault="00AE6907" w:rsidP="00AE6907">
      <w:pPr>
        <w:pStyle w:val="Nadpis2"/>
      </w:pPr>
      <w:bookmarkStart w:id="280" w:name="_Toc454786538"/>
      <w:bookmarkStart w:id="281" w:name="_Toc459723347"/>
      <w:r>
        <w:t>Lidské zdroje pro bezpečnostní výzkum</w:t>
      </w:r>
      <w:bookmarkEnd w:id="280"/>
      <w:bookmarkEnd w:id="281"/>
    </w:p>
    <w:p w:rsidR="00AE6907" w:rsidRDefault="00AE6907" w:rsidP="00AE6907">
      <w:r>
        <w:t>Do řešení projektů podpořených v programech BV v gesci MV se zapojují výzkumní pracovníci ze všech sektorů. Ročně se na řešení projektů průměrně podílelo více než 300 individuálních řešitelů (výzkumných pracovníků). Počet řešitelů projektů (výzkumných pracovníků) zapojených do řešení projektů narůstal a mezi roky 2010 a 2015 vzrostl přibližně na dvojnásobek. Počty autorů výstupů bezpečnostních programů jsou výrazně vyšší a jejich počet roste strměji než počet řešitelů, což znamená, že do řešení projektů BV (nebo alespoň do tvorby výsledků) se postupně zapojují další výzkumní pracovníci institucí účastnících se v projektech.</w:t>
      </w:r>
    </w:p>
    <w:p w:rsidR="00AE6907" w:rsidRDefault="00AE6907" w:rsidP="00AE6907">
      <w:r>
        <w:t>Z hlediska počtu řešitelů je nejvýznamnější podnikatelský a vysokoškolský sektor, v nichž se dohromady nachází přibližně dvě třetiny řešitelské kapacity. Nejvyšší počet výzkumných pracovníků zapojených do tvorby výsledků (publikací) je ve VŠ, kde působí velké výzkumné týmy s výzkumnými pracovníky z více oborů. Z VŠ je největší kapacita v ČVUT v Praze, VŠB – TU Ostrava, VUT v Brně a Masarykově univerzitě v Brně.</w:t>
      </w:r>
    </w:p>
    <w:p w:rsidR="00AE6907" w:rsidRDefault="00AE6907" w:rsidP="00AE6907">
      <w:r>
        <w:t xml:space="preserve">Zastoupení veřejných výzkumných institucí je přibližně poloviční. Dominantní výzkumnou institucí v resortu MV je Kriminalistický ústav.  Výzkumné týmy v podnicích jsou ve srovnání s VO malé. </w:t>
      </w:r>
    </w:p>
    <w:p w:rsidR="00AE6907" w:rsidRDefault="00AE6907" w:rsidP="00AE6907">
      <w:r>
        <w:t>Podle výsledků šetření mezi výzkumníky se téměř polovina respondentů domnívá, že jejich organizace disponuje dostatečnou kapacitou v oblasti bezpečnostního výzkumu (44 % respondentů), o opaku je přesvědčeno 26 % respondentů. V některých oborech je již pociťován nebo očekáván nedostatek pracovníků. Jedná se zejména o výzkumné pracovníky z oblasti informatiky a ICT, ostatních technických věd, biologie a chemie. Nedostatek v počtu nebo odbornosti výzkumníků řečí organizaci nejčastěji spoluprací s externisty, spoluprací s jinou českou výzkumnou organizací nebo zapojením studentů.</w:t>
      </w:r>
    </w:p>
    <w:p w:rsidR="00AE6907" w:rsidRDefault="00AE6907" w:rsidP="00D87F3A">
      <w:pPr>
        <w:spacing w:before="240"/>
      </w:pPr>
      <w:r>
        <w:t>Mezi respondenty bylo pouze 15 % žen, což je výrazně méně než je průměrný podíl žen ve výzkumných pracovních ČR (přibližně třetinu výzkumných pracovníků ČR tvoří ženy). I když podíl žen stanovený tímto způsobem nemusí být přesný, podíl žen v BV je zřejmě poměrně nízký (což však může souviset i s charakterem tohoto výzkumu).</w:t>
      </w:r>
    </w:p>
    <w:tbl>
      <w:tblPr>
        <w:tblStyle w:val="Mkatabulky"/>
        <w:tblW w:w="0" w:type="auto"/>
        <w:shd w:val="clear" w:color="auto" w:fill="FDE9D9" w:themeFill="accent6" w:themeFillTint="33"/>
        <w:tblLook w:val="04A0" w:firstRow="1" w:lastRow="0" w:firstColumn="1" w:lastColumn="0" w:noHBand="0" w:noVBand="1"/>
      </w:tblPr>
      <w:tblGrid>
        <w:gridCol w:w="9354"/>
      </w:tblGrid>
      <w:tr w:rsidR="00AE6907" w:rsidRPr="00362171" w:rsidTr="0036029B">
        <w:tc>
          <w:tcPr>
            <w:tcW w:w="9354" w:type="dxa"/>
            <w:shd w:val="clear" w:color="auto" w:fill="95B3D7" w:themeFill="accent1" w:themeFillTint="99"/>
          </w:tcPr>
          <w:p w:rsidR="00AE6907" w:rsidRPr="00362171" w:rsidRDefault="00AE6907" w:rsidP="0036029B">
            <w:pPr>
              <w:spacing w:before="60" w:after="60"/>
              <w:rPr>
                <w:b/>
                <w:sz w:val="20"/>
              </w:rPr>
            </w:pPr>
            <w:r w:rsidRPr="00362171">
              <w:rPr>
                <w:b/>
                <w:sz w:val="20"/>
              </w:rPr>
              <w:t>Silné stránky</w:t>
            </w:r>
          </w:p>
        </w:tc>
      </w:tr>
      <w:tr w:rsidR="00AE6907" w:rsidRPr="00362171" w:rsidTr="0036029B">
        <w:tc>
          <w:tcPr>
            <w:tcW w:w="9354" w:type="dxa"/>
            <w:shd w:val="clear" w:color="auto" w:fill="C6D9F1" w:themeFill="text2" w:themeFillTint="33"/>
          </w:tcPr>
          <w:p w:rsidR="00AE6907" w:rsidRPr="00362171" w:rsidRDefault="00AE6907" w:rsidP="0036029B">
            <w:pPr>
              <w:spacing w:before="60" w:after="60"/>
              <w:rPr>
                <w:b/>
                <w:sz w:val="20"/>
              </w:rPr>
            </w:pPr>
            <w:r w:rsidRPr="00362171">
              <w:rPr>
                <w:b/>
                <w:sz w:val="20"/>
              </w:rPr>
              <w:t>Systém bezpečnostního výzkumu</w:t>
            </w:r>
          </w:p>
        </w:tc>
      </w:tr>
      <w:tr w:rsidR="00AE6907" w:rsidRPr="00362171" w:rsidTr="0036029B">
        <w:tc>
          <w:tcPr>
            <w:tcW w:w="9354" w:type="dxa"/>
            <w:shd w:val="clear" w:color="auto" w:fill="DBE5F1" w:themeFill="accent1" w:themeFillTint="33"/>
          </w:tcPr>
          <w:p w:rsidR="00AE6907" w:rsidRPr="00362171" w:rsidRDefault="00AE6907" w:rsidP="00AE6907">
            <w:pPr>
              <w:numPr>
                <w:ilvl w:val="0"/>
                <w:numId w:val="27"/>
              </w:numPr>
              <w:spacing w:before="60" w:after="60"/>
              <w:ind w:left="426" w:hanging="284"/>
              <w:rPr>
                <w:sz w:val="20"/>
              </w:rPr>
            </w:pPr>
            <w:r w:rsidRPr="00362171">
              <w:rPr>
                <w:sz w:val="20"/>
              </w:rPr>
              <w:t>Výzkumné organizace celkově většinou hodnotí kapacitu svých li</w:t>
            </w:r>
            <w:r>
              <w:rPr>
                <w:sz w:val="20"/>
              </w:rPr>
              <w:t>dských zdrojů jako dostatečnou</w:t>
            </w:r>
          </w:p>
          <w:p w:rsidR="00AE6907" w:rsidRPr="00AC2FB0" w:rsidRDefault="00AE6907" w:rsidP="00AE6907">
            <w:pPr>
              <w:numPr>
                <w:ilvl w:val="0"/>
                <w:numId w:val="27"/>
              </w:numPr>
              <w:spacing w:before="60" w:after="60"/>
              <w:ind w:left="426" w:hanging="284"/>
              <w:rPr>
                <w:sz w:val="20"/>
              </w:rPr>
            </w:pPr>
            <w:r w:rsidRPr="00362171">
              <w:rPr>
                <w:sz w:val="20"/>
              </w:rPr>
              <w:t xml:space="preserve">Výzkumníci zapojení do bezpečnostního výzkumu působí v řadě regionálních center výzkumu </w:t>
            </w:r>
            <w:r>
              <w:rPr>
                <w:sz w:val="20"/>
              </w:rPr>
              <w:t>(zejména Praha, Brno, Ostrava)</w:t>
            </w:r>
          </w:p>
        </w:tc>
      </w:tr>
      <w:tr w:rsidR="00AE6907" w:rsidRPr="00362171" w:rsidTr="0036029B">
        <w:tc>
          <w:tcPr>
            <w:tcW w:w="9354" w:type="dxa"/>
            <w:shd w:val="clear" w:color="auto" w:fill="C6D9F1" w:themeFill="text2" w:themeFillTint="33"/>
          </w:tcPr>
          <w:p w:rsidR="00AE6907" w:rsidRPr="00362171" w:rsidRDefault="00AE6907" w:rsidP="0036029B">
            <w:pPr>
              <w:spacing w:before="60" w:after="60"/>
              <w:rPr>
                <w:b/>
                <w:sz w:val="20"/>
              </w:rPr>
            </w:pPr>
            <w:r w:rsidRPr="00362171">
              <w:rPr>
                <w:b/>
                <w:sz w:val="20"/>
              </w:rPr>
              <w:t>Programy bezpečnostního výzkumu</w:t>
            </w:r>
          </w:p>
        </w:tc>
      </w:tr>
      <w:tr w:rsidR="00AE6907" w:rsidRPr="00362171" w:rsidTr="0036029B">
        <w:tc>
          <w:tcPr>
            <w:tcW w:w="9354" w:type="dxa"/>
            <w:shd w:val="clear" w:color="auto" w:fill="DBE5F1" w:themeFill="accent1" w:themeFillTint="33"/>
          </w:tcPr>
          <w:p w:rsidR="00AE6907" w:rsidRPr="00362171" w:rsidRDefault="00AE6907" w:rsidP="00AE6907">
            <w:pPr>
              <w:numPr>
                <w:ilvl w:val="0"/>
                <w:numId w:val="27"/>
              </w:numPr>
              <w:spacing w:before="60" w:after="60"/>
              <w:ind w:left="426" w:hanging="284"/>
              <w:rPr>
                <w:sz w:val="20"/>
              </w:rPr>
            </w:pPr>
            <w:r w:rsidRPr="00362171">
              <w:rPr>
                <w:sz w:val="20"/>
              </w:rPr>
              <w:t>Počet výzkumných pracovníků zapojených do ř</w:t>
            </w:r>
            <w:r>
              <w:rPr>
                <w:sz w:val="20"/>
              </w:rPr>
              <w:t>ešení projektů dlouhodobě roste</w:t>
            </w:r>
          </w:p>
          <w:p w:rsidR="00AE6907" w:rsidRPr="00362171" w:rsidRDefault="00AE6907" w:rsidP="00AE6907">
            <w:pPr>
              <w:numPr>
                <w:ilvl w:val="0"/>
                <w:numId w:val="27"/>
              </w:numPr>
              <w:spacing w:before="60" w:after="60"/>
              <w:ind w:left="426" w:hanging="284"/>
              <w:rPr>
                <w:sz w:val="20"/>
              </w:rPr>
            </w:pPr>
            <w:r w:rsidRPr="00362171">
              <w:rPr>
                <w:sz w:val="20"/>
              </w:rPr>
              <w:t>Do řešení projektů BV se zapojují výzku</w:t>
            </w:r>
            <w:r>
              <w:rPr>
                <w:sz w:val="20"/>
              </w:rPr>
              <w:t>mní pracovníci ze všech sektorů</w:t>
            </w:r>
          </w:p>
        </w:tc>
      </w:tr>
      <w:tr w:rsidR="00AE6907" w:rsidRPr="00362171" w:rsidTr="0036029B">
        <w:tc>
          <w:tcPr>
            <w:tcW w:w="9354" w:type="dxa"/>
            <w:shd w:val="clear" w:color="auto" w:fill="FABF8F" w:themeFill="accent6" w:themeFillTint="99"/>
          </w:tcPr>
          <w:p w:rsidR="00AE6907" w:rsidRPr="00362171" w:rsidRDefault="00AE6907" w:rsidP="0036029B">
            <w:pPr>
              <w:spacing w:before="60" w:after="60"/>
              <w:rPr>
                <w:b/>
                <w:sz w:val="20"/>
              </w:rPr>
            </w:pPr>
            <w:r w:rsidRPr="00362171">
              <w:rPr>
                <w:b/>
                <w:sz w:val="20"/>
              </w:rPr>
              <w:t>Slabé stránky</w:t>
            </w:r>
          </w:p>
        </w:tc>
      </w:tr>
      <w:tr w:rsidR="00AE6907" w:rsidRPr="00362171" w:rsidTr="0036029B">
        <w:tc>
          <w:tcPr>
            <w:tcW w:w="9354" w:type="dxa"/>
            <w:shd w:val="clear" w:color="auto" w:fill="FBD4B4" w:themeFill="accent6" w:themeFillTint="66"/>
          </w:tcPr>
          <w:p w:rsidR="00AE6907" w:rsidRPr="00362171" w:rsidRDefault="00AE6907" w:rsidP="0036029B">
            <w:pPr>
              <w:spacing w:before="60" w:after="60"/>
              <w:rPr>
                <w:b/>
                <w:sz w:val="20"/>
              </w:rPr>
            </w:pPr>
            <w:r w:rsidRPr="00362171">
              <w:rPr>
                <w:b/>
                <w:sz w:val="20"/>
              </w:rPr>
              <w:t>Systém bezpečnostního výzkumu</w:t>
            </w:r>
          </w:p>
        </w:tc>
      </w:tr>
      <w:tr w:rsidR="00AE6907" w:rsidRPr="00362171" w:rsidTr="0036029B">
        <w:tc>
          <w:tcPr>
            <w:tcW w:w="9354" w:type="dxa"/>
            <w:shd w:val="clear" w:color="auto" w:fill="FDE9D9" w:themeFill="accent6" w:themeFillTint="33"/>
          </w:tcPr>
          <w:p w:rsidR="00AE6907" w:rsidRPr="00AC2FB0" w:rsidRDefault="00AE6907" w:rsidP="00AE6907">
            <w:pPr>
              <w:numPr>
                <w:ilvl w:val="0"/>
                <w:numId w:val="27"/>
              </w:numPr>
              <w:spacing w:before="60" w:after="60"/>
              <w:ind w:left="426" w:hanging="284"/>
              <w:rPr>
                <w:sz w:val="20"/>
              </w:rPr>
            </w:pPr>
            <w:r w:rsidRPr="00362171">
              <w:rPr>
                <w:sz w:val="20"/>
              </w:rPr>
              <w:t>Pociťovaný nedostatek výzkumníků pro BV ve vybraných oborech – zejména v informatice, ICT, ostatních techni</w:t>
            </w:r>
            <w:r>
              <w:rPr>
                <w:sz w:val="20"/>
              </w:rPr>
              <w:t>ckých vědách, biologii a chemii</w:t>
            </w:r>
          </w:p>
          <w:p w:rsidR="00AE6907" w:rsidRPr="00362171" w:rsidRDefault="00AE6907" w:rsidP="00AE6907">
            <w:pPr>
              <w:numPr>
                <w:ilvl w:val="0"/>
                <w:numId w:val="27"/>
              </w:numPr>
              <w:spacing w:before="60" w:after="60"/>
              <w:ind w:left="426" w:hanging="284"/>
              <w:rPr>
                <w:sz w:val="20"/>
              </w:rPr>
            </w:pPr>
            <w:r>
              <w:rPr>
                <w:sz w:val="20"/>
              </w:rPr>
              <w:t>Nižší zastoupení žen ve výzkumných pracovnících působících v bezpečnosti</w:t>
            </w:r>
          </w:p>
        </w:tc>
      </w:tr>
      <w:tr w:rsidR="00AE6907" w:rsidRPr="00362171" w:rsidTr="0036029B">
        <w:tc>
          <w:tcPr>
            <w:tcW w:w="9354" w:type="dxa"/>
            <w:shd w:val="clear" w:color="auto" w:fill="FBD4B4" w:themeFill="accent6" w:themeFillTint="66"/>
          </w:tcPr>
          <w:p w:rsidR="00AE6907" w:rsidRPr="00362171" w:rsidRDefault="00AE6907" w:rsidP="0036029B">
            <w:pPr>
              <w:spacing w:before="60" w:after="60"/>
              <w:rPr>
                <w:b/>
                <w:sz w:val="20"/>
              </w:rPr>
            </w:pPr>
            <w:r w:rsidRPr="00362171">
              <w:rPr>
                <w:b/>
                <w:sz w:val="20"/>
              </w:rPr>
              <w:t>Programy bezpečnostního výzkumu</w:t>
            </w:r>
          </w:p>
        </w:tc>
      </w:tr>
      <w:tr w:rsidR="00AE6907" w:rsidRPr="00362171" w:rsidTr="0036029B">
        <w:tc>
          <w:tcPr>
            <w:tcW w:w="9354" w:type="dxa"/>
            <w:shd w:val="clear" w:color="auto" w:fill="FDE9D9" w:themeFill="accent6" w:themeFillTint="33"/>
          </w:tcPr>
          <w:p w:rsidR="00AE6907" w:rsidRPr="00362171" w:rsidRDefault="00AE6907" w:rsidP="00AE6907">
            <w:pPr>
              <w:numPr>
                <w:ilvl w:val="0"/>
                <w:numId w:val="27"/>
              </w:numPr>
              <w:spacing w:before="60" w:after="60"/>
              <w:ind w:left="426" w:hanging="284"/>
              <w:rPr>
                <w:sz w:val="20"/>
              </w:rPr>
            </w:pPr>
            <w:r w:rsidRPr="00362171">
              <w:rPr>
                <w:sz w:val="20"/>
              </w:rPr>
              <w:t>Programy nezajišťují dlouhodobé financování, a tudíž negarantují dlouhodobou udržitelnost výzkumnýc</w:t>
            </w:r>
            <w:r>
              <w:rPr>
                <w:sz w:val="20"/>
              </w:rPr>
              <w:t>h týmů, a to ani těch úspěšných</w:t>
            </w:r>
          </w:p>
        </w:tc>
      </w:tr>
      <w:tr w:rsidR="00AE6907" w:rsidRPr="00362171" w:rsidTr="0036029B">
        <w:tc>
          <w:tcPr>
            <w:tcW w:w="9354" w:type="dxa"/>
            <w:shd w:val="clear" w:color="auto" w:fill="92CDDC" w:themeFill="accent5" w:themeFillTint="99"/>
          </w:tcPr>
          <w:p w:rsidR="00AE6907" w:rsidRPr="00362171" w:rsidRDefault="00AE6907" w:rsidP="0036029B">
            <w:pPr>
              <w:spacing w:before="60" w:after="60"/>
              <w:rPr>
                <w:b/>
                <w:sz w:val="20"/>
              </w:rPr>
            </w:pPr>
            <w:r w:rsidRPr="00362171">
              <w:rPr>
                <w:b/>
                <w:sz w:val="20"/>
              </w:rPr>
              <w:t>Příležitosti</w:t>
            </w:r>
          </w:p>
        </w:tc>
      </w:tr>
      <w:tr w:rsidR="00AE6907" w:rsidRPr="00362171" w:rsidTr="0036029B">
        <w:tc>
          <w:tcPr>
            <w:tcW w:w="9354" w:type="dxa"/>
            <w:shd w:val="clear" w:color="auto" w:fill="B6DDE8" w:themeFill="accent5" w:themeFillTint="66"/>
          </w:tcPr>
          <w:p w:rsidR="00AE6907" w:rsidRPr="00362171" w:rsidRDefault="00AE6907" w:rsidP="0036029B">
            <w:pPr>
              <w:spacing w:before="60" w:after="60"/>
              <w:rPr>
                <w:b/>
                <w:sz w:val="20"/>
              </w:rPr>
            </w:pPr>
            <w:r w:rsidRPr="00362171">
              <w:rPr>
                <w:b/>
                <w:sz w:val="20"/>
              </w:rPr>
              <w:t>Systém bezpečnostního výzkumu</w:t>
            </w:r>
          </w:p>
        </w:tc>
      </w:tr>
      <w:tr w:rsidR="00AE6907" w:rsidRPr="00362171" w:rsidTr="0036029B">
        <w:tc>
          <w:tcPr>
            <w:tcW w:w="9354" w:type="dxa"/>
            <w:shd w:val="clear" w:color="auto" w:fill="DAEEF3" w:themeFill="accent5" w:themeFillTint="33"/>
          </w:tcPr>
          <w:p w:rsidR="00AE6907" w:rsidRPr="00362171" w:rsidRDefault="00AE6907" w:rsidP="00AE6907">
            <w:pPr>
              <w:numPr>
                <w:ilvl w:val="0"/>
                <w:numId w:val="27"/>
              </w:numPr>
              <w:spacing w:before="60" w:after="60"/>
              <w:ind w:left="426" w:hanging="284"/>
              <w:rPr>
                <w:sz w:val="20"/>
              </w:rPr>
            </w:pPr>
            <w:r w:rsidRPr="00362171">
              <w:rPr>
                <w:sz w:val="20"/>
              </w:rPr>
              <w:t>Nedostatek v počtu nebo odbornosti výzkumníků řeší organizace zejména spoluprací s externisty, jinými organizacemi nebo studenty</w:t>
            </w:r>
            <w:r>
              <w:rPr>
                <w:sz w:val="20"/>
              </w:rPr>
              <w:t>,</w:t>
            </w:r>
            <w:r w:rsidRPr="00362171">
              <w:rPr>
                <w:sz w:val="20"/>
              </w:rPr>
              <w:t xml:space="preserve"> </w:t>
            </w:r>
            <w:r>
              <w:rPr>
                <w:sz w:val="20"/>
              </w:rPr>
              <w:t>a v</w:t>
            </w:r>
            <w:r w:rsidRPr="00362171">
              <w:rPr>
                <w:sz w:val="20"/>
              </w:rPr>
              <w:t>zniká tak příležitost pro zapojení nových výzkum</w:t>
            </w:r>
            <w:r>
              <w:rPr>
                <w:sz w:val="20"/>
              </w:rPr>
              <w:t>níků do bezpečnostního výzkumu</w:t>
            </w:r>
          </w:p>
        </w:tc>
      </w:tr>
      <w:tr w:rsidR="00AE6907" w:rsidRPr="00362171" w:rsidTr="0036029B">
        <w:tc>
          <w:tcPr>
            <w:tcW w:w="9354" w:type="dxa"/>
            <w:shd w:val="clear" w:color="auto" w:fill="B6DDE8" w:themeFill="accent5" w:themeFillTint="66"/>
          </w:tcPr>
          <w:p w:rsidR="00AE6907" w:rsidRPr="00362171" w:rsidRDefault="00AE6907" w:rsidP="0036029B">
            <w:pPr>
              <w:spacing w:before="60" w:after="60"/>
              <w:rPr>
                <w:b/>
                <w:sz w:val="20"/>
              </w:rPr>
            </w:pPr>
            <w:r w:rsidRPr="00362171">
              <w:rPr>
                <w:b/>
                <w:sz w:val="20"/>
              </w:rPr>
              <w:t>Programy bezpečnostního výzkumu</w:t>
            </w:r>
          </w:p>
        </w:tc>
      </w:tr>
      <w:tr w:rsidR="00AE6907" w:rsidRPr="00362171" w:rsidTr="0036029B">
        <w:tc>
          <w:tcPr>
            <w:tcW w:w="9354" w:type="dxa"/>
            <w:shd w:val="clear" w:color="auto" w:fill="DAEEF3" w:themeFill="accent5" w:themeFillTint="33"/>
          </w:tcPr>
          <w:p w:rsidR="00AE6907" w:rsidRPr="00362171" w:rsidRDefault="00AE6907" w:rsidP="00AE6907">
            <w:pPr>
              <w:numPr>
                <w:ilvl w:val="0"/>
                <w:numId w:val="27"/>
              </w:numPr>
              <w:spacing w:before="60" w:after="60"/>
              <w:ind w:left="426" w:hanging="284"/>
              <w:rPr>
                <w:sz w:val="20"/>
              </w:rPr>
            </w:pPr>
            <w:r w:rsidRPr="00362171">
              <w:rPr>
                <w:sz w:val="20"/>
              </w:rPr>
              <w:t>Probíhá vtahování nových výzkumník</w:t>
            </w:r>
            <w:r>
              <w:rPr>
                <w:sz w:val="20"/>
              </w:rPr>
              <w:t>ů</w:t>
            </w:r>
            <w:r w:rsidRPr="00362171">
              <w:rPr>
                <w:sz w:val="20"/>
              </w:rPr>
              <w:t xml:space="preserve"> do bezpečnostní problematiky prostřednictvím spoluautorství na pub</w:t>
            </w:r>
            <w:r>
              <w:rPr>
                <w:sz w:val="20"/>
              </w:rPr>
              <w:t>likacích s řešiteli projektů BV</w:t>
            </w:r>
          </w:p>
          <w:p w:rsidR="00AE6907" w:rsidRPr="00362171" w:rsidRDefault="00AE6907" w:rsidP="00AE6907">
            <w:pPr>
              <w:numPr>
                <w:ilvl w:val="0"/>
                <w:numId w:val="27"/>
              </w:numPr>
              <w:spacing w:before="60" w:after="60"/>
              <w:ind w:left="426" w:hanging="284"/>
              <w:rPr>
                <w:sz w:val="20"/>
              </w:rPr>
            </w:pPr>
            <w:r w:rsidRPr="00362171">
              <w:rPr>
                <w:sz w:val="20"/>
              </w:rPr>
              <w:t>Dohromady přibližně 2/3 řešitelské kapacity BV je koncentrováno v podnikatelském a vysokoškolském sektoru</w:t>
            </w:r>
            <w:r>
              <w:rPr>
                <w:sz w:val="20"/>
              </w:rPr>
              <w:t xml:space="preserve"> (</w:t>
            </w:r>
            <w:r w:rsidRPr="00362171">
              <w:rPr>
                <w:sz w:val="20"/>
              </w:rPr>
              <w:t>příležitost pro vytváření smíšených týmů a rozvoj spolupráce mezi podnikatel</w:t>
            </w:r>
            <w:r>
              <w:rPr>
                <w:sz w:val="20"/>
              </w:rPr>
              <w:t>ským a vysokoškolským sektorem)</w:t>
            </w:r>
          </w:p>
        </w:tc>
      </w:tr>
      <w:tr w:rsidR="00AE6907" w:rsidRPr="00362171" w:rsidTr="0036029B">
        <w:tc>
          <w:tcPr>
            <w:tcW w:w="9354" w:type="dxa"/>
            <w:shd w:val="clear" w:color="auto" w:fill="D99594" w:themeFill="accent2" w:themeFillTint="99"/>
          </w:tcPr>
          <w:p w:rsidR="00AE6907" w:rsidRPr="00362171" w:rsidRDefault="00AE6907" w:rsidP="0036029B">
            <w:pPr>
              <w:spacing w:before="60" w:after="60"/>
              <w:rPr>
                <w:b/>
                <w:sz w:val="20"/>
              </w:rPr>
            </w:pPr>
            <w:r w:rsidRPr="00362171">
              <w:rPr>
                <w:b/>
                <w:sz w:val="20"/>
              </w:rPr>
              <w:t>Hrozby</w:t>
            </w:r>
          </w:p>
        </w:tc>
      </w:tr>
      <w:tr w:rsidR="00AE6907" w:rsidRPr="00362171" w:rsidTr="0036029B">
        <w:tc>
          <w:tcPr>
            <w:tcW w:w="9354" w:type="dxa"/>
            <w:shd w:val="clear" w:color="auto" w:fill="E5B8B7" w:themeFill="accent2" w:themeFillTint="66"/>
          </w:tcPr>
          <w:p w:rsidR="00AE6907" w:rsidRPr="00362171" w:rsidRDefault="00AE6907" w:rsidP="0036029B">
            <w:pPr>
              <w:spacing w:before="60" w:after="60"/>
              <w:rPr>
                <w:b/>
                <w:sz w:val="20"/>
              </w:rPr>
            </w:pPr>
            <w:r w:rsidRPr="00362171">
              <w:rPr>
                <w:b/>
                <w:sz w:val="20"/>
              </w:rPr>
              <w:t>Systém bezpečnostního výzkumu</w:t>
            </w:r>
          </w:p>
        </w:tc>
      </w:tr>
      <w:tr w:rsidR="00AE6907" w:rsidRPr="00362171" w:rsidTr="0036029B">
        <w:tc>
          <w:tcPr>
            <w:tcW w:w="9354" w:type="dxa"/>
            <w:shd w:val="clear" w:color="auto" w:fill="F2DBDB" w:themeFill="accent2" w:themeFillTint="33"/>
          </w:tcPr>
          <w:p w:rsidR="00AE6907" w:rsidRPr="00362171" w:rsidRDefault="00AE6907" w:rsidP="00AE6907">
            <w:pPr>
              <w:numPr>
                <w:ilvl w:val="0"/>
                <w:numId w:val="27"/>
              </w:numPr>
              <w:spacing w:before="60" w:after="60"/>
              <w:ind w:left="426" w:hanging="284"/>
              <w:rPr>
                <w:sz w:val="20"/>
              </w:rPr>
            </w:pPr>
            <w:r w:rsidRPr="00362171">
              <w:rPr>
                <w:sz w:val="20"/>
              </w:rPr>
              <w:t>Zvyšování deficitu výzkumníků pro BV ve vybraných oborech – zejména v informatice, ICT, ostatních technických vědách,</w:t>
            </w:r>
            <w:r>
              <w:rPr>
                <w:sz w:val="20"/>
              </w:rPr>
              <w:t xml:space="preserve"> biologii a chemii – neumožní realizovat VaV v potřebném rozsahu (i ve vazbě na očekávané trendy v oblasti bezpečnosti)</w:t>
            </w:r>
          </w:p>
        </w:tc>
      </w:tr>
      <w:tr w:rsidR="00AE6907" w:rsidRPr="00362171" w:rsidTr="0036029B">
        <w:tc>
          <w:tcPr>
            <w:tcW w:w="9354" w:type="dxa"/>
            <w:shd w:val="clear" w:color="auto" w:fill="E5B8B7" w:themeFill="accent2" w:themeFillTint="66"/>
          </w:tcPr>
          <w:p w:rsidR="00AE6907" w:rsidRPr="00362171" w:rsidRDefault="00AE6907" w:rsidP="0036029B">
            <w:pPr>
              <w:spacing w:before="60" w:after="60"/>
              <w:rPr>
                <w:b/>
                <w:sz w:val="20"/>
              </w:rPr>
            </w:pPr>
            <w:r w:rsidRPr="00362171">
              <w:rPr>
                <w:b/>
                <w:sz w:val="20"/>
              </w:rPr>
              <w:t>Programy bezpečnostního výzkumu</w:t>
            </w:r>
          </w:p>
        </w:tc>
      </w:tr>
      <w:tr w:rsidR="00AE6907" w:rsidRPr="00362171" w:rsidTr="0036029B">
        <w:tc>
          <w:tcPr>
            <w:tcW w:w="9354" w:type="dxa"/>
            <w:shd w:val="clear" w:color="auto" w:fill="F2DBDB" w:themeFill="accent2" w:themeFillTint="33"/>
          </w:tcPr>
          <w:p w:rsidR="00AE6907" w:rsidRPr="001D2F06" w:rsidRDefault="00AE6907" w:rsidP="00AE6907">
            <w:pPr>
              <w:numPr>
                <w:ilvl w:val="0"/>
                <w:numId w:val="27"/>
              </w:numPr>
              <w:spacing w:before="60" w:after="60"/>
              <w:ind w:left="426" w:hanging="284"/>
              <w:rPr>
                <w:sz w:val="20"/>
              </w:rPr>
            </w:pPr>
            <w:r w:rsidRPr="00362171">
              <w:rPr>
                <w:sz w:val="20"/>
              </w:rPr>
              <w:t>V resortu MV počet autorů zapoj</w:t>
            </w:r>
            <w:r>
              <w:rPr>
                <w:sz w:val="20"/>
              </w:rPr>
              <w:t>ených do BV dlouhodobě stagnuje, což může být překážkou pro další rozvoj výzkumných aktivit v tomto resortu</w:t>
            </w:r>
          </w:p>
        </w:tc>
      </w:tr>
    </w:tbl>
    <w:p w:rsidR="00AE6907" w:rsidRDefault="00AE6907" w:rsidP="00AE6907"/>
    <w:p w:rsidR="00D87F3A" w:rsidRDefault="00D87F3A" w:rsidP="00AE6907"/>
    <w:p w:rsidR="00AE6907" w:rsidRDefault="00AE6907" w:rsidP="00AE6907">
      <w:pPr>
        <w:pStyle w:val="Nadpis2"/>
      </w:pPr>
      <w:bookmarkStart w:id="282" w:name="_Toc454786539"/>
      <w:bookmarkStart w:id="283" w:name="_Toc459723348"/>
      <w:r>
        <w:t>Využívání systému podpory bezpečnostního výzkumu  a kompetence výzkumných organizací pro transfer znalostí</w:t>
      </w:r>
      <w:bookmarkEnd w:id="282"/>
      <w:bookmarkEnd w:id="283"/>
    </w:p>
    <w:p w:rsidR="00AE6907" w:rsidRDefault="00AE6907" w:rsidP="00AE6907">
      <w:r>
        <w:t>Zkušenosti s využíváním systému podpory BV byly ověřeny v rámci dotazníkového šetření. Jak vyplývá z tohoto šetření, ze strany uživatelů je patrná celková spokojenost s klíčovými aspekty systému podpory BV v ČR. Nejlépe je hodnocena dostupnost informací o možnostech získání a využití podpory, s níž bylo spokojeno více než 80 % respondentů. Více než tři čtvrti příjemců bylo také spokojeno se stanovou výší podpory.</w:t>
      </w:r>
    </w:p>
    <w:p w:rsidR="00AE6907" w:rsidRDefault="00AE6907" w:rsidP="00AE6907">
      <w:r>
        <w:t>Za nejvýznamnější faktor bránící většímu zapojení organizací do programů bezpečnostního výzkumu respondenti považují rostoucí nároky na administrativní činnost spojenou se zapojením do programů (vadí 74 % respondentů). Na druhou stranu je však pozitivně hodnocena podpora ze strany MV při přípravě a administraci projektů BV.</w:t>
      </w:r>
    </w:p>
    <w:p w:rsidR="00AE6907" w:rsidRDefault="00AE6907" w:rsidP="00AE6907">
      <w:r>
        <w:t xml:space="preserve">Méně uspokojivě je hodnocena podpora v oblasti evaluace, testování a pilotního ověření výsledků výzkumu, se kterou je spokojena méně než polovina respondentů. Problematiku podpory v této oblasti neumělo posoudit 32 % respondentů, což naznačuje potřebu osvěty a většího přiblížení této problematiky výzkumníkům. Jako další faktor bránící zapojení do programů BV považuje přibližně 60 % respondentů příliš úzké vymezení bezpečnostního výzkumu. </w:t>
      </w:r>
    </w:p>
    <w:p w:rsidR="00AE6907" w:rsidRDefault="00AE6907" w:rsidP="00AE6907">
      <w:r>
        <w:t>V době zpracování této studie by většina VO již měla mít vytvořena pracoviště, která výzkumným pracovníkům napomáhají transferu nových poznatků do praxe a jejich spolupráci se subjekty z aplikačního sektoru. Z šetření mezi výzkumnými pracovníky však vyplývá, že přibližně polovina respondentů pociťuje potřebu získání nebo dalšího rozšíření kapacity pro transfer znalostí ve své organizaci. Největší překážky pro rozšíření kapacity pro transfer znalostí v organizacích představují nedostatek finančních zdrojů a nedostatek kvalifikovaných lidských zdrojů pro tuto činnost.</w:t>
      </w:r>
    </w:p>
    <w:p w:rsidR="00AE6907" w:rsidRDefault="00AE6907" w:rsidP="00AE6907">
      <w:r>
        <w:t>Instituce s jiným primárním zaměřením, zejména univerzity, si stěžují na vysokou míru zátěže související s transferem znalostí. Výzkumníci na univerzitách naopak upozorňují na nekompetentnost nebo nedostačující kapacitu center transferu na úrovni univerzit zejména ve specializovaných oblastech výzkumu, které se vymykají obvyklému výzkumnému zaměření příslušné instituce. Dále výzkumníci zdůrazňují potřebu nadkritické velikosti center transferu a volají po existenci specializovaných a úzce kooperujících center, která pouze tak mohou poskytovat profesionální služby.</w:t>
      </w:r>
    </w:p>
    <w:p w:rsidR="00AE6907" w:rsidRDefault="00AE6907" w:rsidP="00AE6907">
      <w:r>
        <w:t>Experti se v rámci workshopu zabývali hodnocením prospěšnosti návrhů iniciativ zvažovaných MV pro nově připravovanou Meziresortní koncepci bezpečnostního výzkumu pro období 2017+. Mezi nejpotřebnější z těchto iniciativ patří z pohledu expertů vytvoření jednotného informačního zdroje pro bezpečnostní výzkum, dále podpora pilotního nasazení, testování a evaluace výsledků výzkumu u koncových uživatelů a v neposlední řadě také aktivace komunikace mezi výzkumnou a uživatelskou infrastrukturou.</w:t>
      </w:r>
    </w:p>
    <w:tbl>
      <w:tblPr>
        <w:tblStyle w:val="Mkatabulky"/>
        <w:tblW w:w="0" w:type="auto"/>
        <w:shd w:val="clear" w:color="auto" w:fill="FDE9D9" w:themeFill="accent6" w:themeFillTint="33"/>
        <w:tblLook w:val="04A0" w:firstRow="1" w:lastRow="0" w:firstColumn="1" w:lastColumn="0" w:noHBand="0" w:noVBand="1"/>
      </w:tblPr>
      <w:tblGrid>
        <w:gridCol w:w="9354"/>
      </w:tblGrid>
      <w:tr w:rsidR="00AE6907" w:rsidRPr="003A64C1" w:rsidTr="0036029B">
        <w:tc>
          <w:tcPr>
            <w:tcW w:w="9354" w:type="dxa"/>
            <w:shd w:val="clear" w:color="auto" w:fill="95B3D7" w:themeFill="accent1" w:themeFillTint="99"/>
          </w:tcPr>
          <w:p w:rsidR="00AE6907" w:rsidRPr="003A64C1" w:rsidRDefault="00AE6907" w:rsidP="0036029B">
            <w:pPr>
              <w:spacing w:before="60" w:after="60"/>
              <w:rPr>
                <w:b/>
                <w:sz w:val="20"/>
              </w:rPr>
            </w:pPr>
            <w:r w:rsidRPr="003A64C1">
              <w:rPr>
                <w:b/>
                <w:sz w:val="20"/>
              </w:rPr>
              <w:t>Silné stránky</w:t>
            </w:r>
          </w:p>
        </w:tc>
      </w:tr>
      <w:tr w:rsidR="00AE6907" w:rsidRPr="003A64C1" w:rsidTr="0036029B">
        <w:tc>
          <w:tcPr>
            <w:tcW w:w="9354" w:type="dxa"/>
            <w:shd w:val="clear" w:color="auto" w:fill="C6D9F1" w:themeFill="text2" w:themeFillTint="33"/>
          </w:tcPr>
          <w:p w:rsidR="00AE6907" w:rsidRPr="003A64C1" w:rsidRDefault="00AE6907" w:rsidP="0036029B">
            <w:pPr>
              <w:spacing w:before="60" w:after="60"/>
              <w:rPr>
                <w:b/>
                <w:sz w:val="20"/>
              </w:rPr>
            </w:pPr>
            <w:r w:rsidRPr="003A64C1">
              <w:rPr>
                <w:b/>
                <w:sz w:val="20"/>
              </w:rPr>
              <w:t>Systém bezpečnostního výzkumu</w:t>
            </w:r>
          </w:p>
        </w:tc>
      </w:tr>
      <w:tr w:rsidR="00AE6907" w:rsidRPr="003A64C1" w:rsidTr="0036029B">
        <w:tc>
          <w:tcPr>
            <w:tcW w:w="9354" w:type="dxa"/>
            <w:shd w:val="clear" w:color="auto" w:fill="DBE5F1" w:themeFill="accent1" w:themeFillTint="33"/>
          </w:tcPr>
          <w:p w:rsidR="00AE6907" w:rsidRPr="00100C4E" w:rsidRDefault="00AE6907" w:rsidP="00AE6907">
            <w:pPr>
              <w:numPr>
                <w:ilvl w:val="0"/>
                <w:numId w:val="25"/>
              </w:numPr>
              <w:spacing w:before="60" w:after="60"/>
              <w:ind w:left="426" w:hanging="284"/>
              <w:rPr>
                <w:sz w:val="20"/>
              </w:rPr>
            </w:pPr>
            <w:r w:rsidRPr="00100C4E">
              <w:rPr>
                <w:sz w:val="20"/>
              </w:rPr>
              <w:t>Funkční systém veřejné podpory BV koordinovaný a řízený MV, které zároveň odpovídá za strategii v oblasti bezpečnosti</w:t>
            </w:r>
          </w:p>
          <w:p w:rsidR="00AE6907" w:rsidRPr="00100C4E" w:rsidRDefault="00AE6907" w:rsidP="00AE6907">
            <w:pPr>
              <w:numPr>
                <w:ilvl w:val="0"/>
                <w:numId w:val="25"/>
              </w:numPr>
              <w:spacing w:before="60" w:after="60"/>
              <w:ind w:left="426" w:hanging="284"/>
              <w:rPr>
                <w:sz w:val="20"/>
              </w:rPr>
            </w:pPr>
            <w:r w:rsidRPr="00100C4E">
              <w:rPr>
                <w:sz w:val="20"/>
              </w:rPr>
              <w:t>Výzkumní pracovníci ve VO využívají kapacity svých pracovišť pro transfer znalostí i externí služby</w:t>
            </w:r>
          </w:p>
          <w:p w:rsidR="00AE6907" w:rsidRPr="006D5A22" w:rsidRDefault="00AE6907" w:rsidP="00AE6907">
            <w:pPr>
              <w:numPr>
                <w:ilvl w:val="0"/>
                <w:numId w:val="25"/>
              </w:numPr>
              <w:spacing w:before="60" w:after="60"/>
              <w:ind w:left="426" w:hanging="284"/>
              <w:rPr>
                <w:sz w:val="20"/>
              </w:rPr>
            </w:pPr>
            <w:r w:rsidRPr="00100C4E">
              <w:rPr>
                <w:sz w:val="20"/>
              </w:rPr>
              <w:t>Probíhající dialog mezi aktéry bezpečnostního výzkumu (poradní komise MV pro BV)</w:t>
            </w:r>
          </w:p>
        </w:tc>
      </w:tr>
      <w:tr w:rsidR="00AE6907" w:rsidRPr="003A64C1" w:rsidTr="0036029B">
        <w:tc>
          <w:tcPr>
            <w:tcW w:w="9354" w:type="dxa"/>
            <w:shd w:val="clear" w:color="auto" w:fill="C6D9F1" w:themeFill="text2" w:themeFillTint="33"/>
          </w:tcPr>
          <w:p w:rsidR="00AE6907" w:rsidRPr="003A64C1" w:rsidRDefault="00AE6907" w:rsidP="0036029B">
            <w:pPr>
              <w:spacing w:before="60" w:after="60"/>
              <w:rPr>
                <w:b/>
                <w:sz w:val="20"/>
              </w:rPr>
            </w:pPr>
            <w:r w:rsidRPr="003A64C1">
              <w:rPr>
                <w:b/>
                <w:sz w:val="20"/>
              </w:rPr>
              <w:t>Programy bezpečnostního výzkumu</w:t>
            </w:r>
          </w:p>
        </w:tc>
      </w:tr>
      <w:tr w:rsidR="00AE6907" w:rsidRPr="003A64C1" w:rsidTr="0036029B">
        <w:tc>
          <w:tcPr>
            <w:tcW w:w="9354" w:type="dxa"/>
            <w:shd w:val="clear" w:color="auto" w:fill="DBE5F1" w:themeFill="accent1" w:themeFillTint="33"/>
          </w:tcPr>
          <w:p w:rsidR="00AE6907" w:rsidRPr="003A64C1" w:rsidRDefault="00AE6907" w:rsidP="00AE6907">
            <w:pPr>
              <w:numPr>
                <w:ilvl w:val="0"/>
                <w:numId w:val="25"/>
              </w:numPr>
              <w:spacing w:before="60" w:after="60"/>
              <w:ind w:left="426" w:hanging="284"/>
              <w:rPr>
                <w:sz w:val="20"/>
              </w:rPr>
            </w:pPr>
            <w:r w:rsidRPr="003A64C1">
              <w:rPr>
                <w:sz w:val="20"/>
              </w:rPr>
              <w:t>Dostupnost informací o možnostech získání a využití podpory na BV</w:t>
            </w:r>
          </w:p>
          <w:p w:rsidR="00AE6907" w:rsidRDefault="00AE6907" w:rsidP="00AE6907">
            <w:pPr>
              <w:numPr>
                <w:ilvl w:val="0"/>
                <w:numId w:val="25"/>
              </w:numPr>
              <w:spacing w:before="60" w:after="60"/>
              <w:ind w:left="426" w:hanging="284"/>
              <w:rPr>
                <w:sz w:val="20"/>
              </w:rPr>
            </w:pPr>
            <w:r w:rsidRPr="003A64C1">
              <w:rPr>
                <w:sz w:val="20"/>
              </w:rPr>
              <w:t>Fungující systém hodnocení projektů (tj. nabídek) a poskytování podpory</w:t>
            </w:r>
          </w:p>
          <w:p w:rsidR="00AE6907" w:rsidRPr="003A64C1" w:rsidRDefault="00AE6907" w:rsidP="00AE6907">
            <w:pPr>
              <w:numPr>
                <w:ilvl w:val="0"/>
                <w:numId w:val="25"/>
              </w:numPr>
              <w:spacing w:before="60" w:after="60"/>
              <w:ind w:left="426" w:hanging="284"/>
              <w:rPr>
                <w:sz w:val="20"/>
              </w:rPr>
            </w:pPr>
            <w:r w:rsidRPr="00100C4E">
              <w:rPr>
                <w:sz w:val="20"/>
              </w:rPr>
              <w:t>V projektech řešených v programech BV spolupracují VO a subjekty z aplikačního sektoru, což vytváří podmínky pro využívání výsledků VaV v praxi</w:t>
            </w:r>
          </w:p>
        </w:tc>
      </w:tr>
      <w:tr w:rsidR="00AE6907" w:rsidRPr="003A64C1" w:rsidTr="0036029B">
        <w:tc>
          <w:tcPr>
            <w:tcW w:w="9354" w:type="dxa"/>
            <w:shd w:val="clear" w:color="auto" w:fill="FABF8F" w:themeFill="accent6" w:themeFillTint="99"/>
          </w:tcPr>
          <w:p w:rsidR="00AE6907" w:rsidRPr="003A64C1" w:rsidRDefault="00AE6907" w:rsidP="0036029B">
            <w:pPr>
              <w:spacing w:before="60" w:after="60"/>
              <w:rPr>
                <w:b/>
                <w:sz w:val="20"/>
              </w:rPr>
            </w:pPr>
            <w:r w:rsidRPr="003A64C1">
              <w:rPr>
                <w:b/>
                <w:sz w:val="20"/>
              </w:rPr>
              <w:t>Slabé stránky</w:t>
            </w:r>
          </w:p>
        </w:tc>
      </w:tr>
      <w:tr w:rsidR="00AE6907" w:rsidRPr="003A64C1" w:rsidTr="0036029B">
        <w:tc>
          <w:tcPr>
            <w:tcW w:w="9354" w:type="dxa"/>
            <w:shd w:val="clear" w:color="auto" w:fill="FBD4B4" w:themeFill="accent6" w:themeFillTint="66"/>
          </w:tcPr>
          <w:p w:rsidR="00AE6907" w:rsidRPr="003A64C1" w:rsidRDefault="00AE6907" w:rsidP="0036029B">
            <w:pPr>
              <w:spacing w:before="60" w:after="60"/>
              <w:rPr>
                <w:b/>
                <w:sz w:val="20"/>
              </w:rPr>
            </w:pPr>
            <w:r w:rsidRPr="003A64C1">
              <w:rPr>
                <w:b/>
                <w:sz w:val="20"/>
              </w:rPr>
              <w:t>Systém bezpečnostního výzkumu</w:t>
            </w:r>
          </w:p>
        </w:tc>
      </w:tr>
      <w:tr w:rsidR="00AE6907" w:rsidRPr="003A64C1" w:rsidTr="0036029B">
        <w:tc>
          <w:tcPr>
            <w:tcW w:w="9354" w:type="dxa"/>
            <w:shd w:val="clear" w:color="auto" w:fill="FDE9D9" w:themeFill="accent6" w:themeFillTint="33"/>
          </w:tcPr>
          <w:p w:rsidR="00AE6907" w:rsidRPr="003A64C1" w:rsidRDefault="00AE6907" w:rsidP="00AE6907">
            <w:pPr>
              <w:numPr>
                <w:ilvl w:val="0"/>
                <w:numId w:val="25"/>
              </w:numPr>
              <w:spacing w:before="60" w:after="60"/>
              <w:ind w:left="426" w:hanging="284"/>
              <w:rPr>
                <w:sz w:val="20"/>
              </w:rPr>
            </w:pPr>
            <w:r w:rsidRPr="003A64C1">
              <w:rPr>
                <w:sz w:val="20"/>
              </w:rPr>
              <w:t>Problematické tematické vymezení oblasti bezpečnostního výzkumu</w:t>
            </w:r>
          </w:p>
          <w:p w:rsidR="00AE6907" w:rsidRDefault="00AE6907" w:rsidP="00AE6907">
            <w:pPr>
              <w:numPr>
                <w:ilvl w:val="0"/>
                <w:numId w:val="25"/>
              </w:numPr>
              <w:spacing w:before="60" w:after="60"/>
              <w:ind w:left="426" w:hanging="284"/>
              <w:rPr>
                <w:sz w:val="20"/>
              </w:rPr>
            </w:pPr>
            <w:r w:rsidRPr="003A64C1">
              <w:rPr>
                <w:sz w:val="20"/>
              </w:rPr>
              <w:t>Nedostatek financí a kvalifikovaných lidských zdrojů pro zajištění specifických potřeb transferu znalostí pro oblast BV</w:t>
            </w:r>
          </w:p>
          <w:p w:rsidR="00AE6907" w:rsidRPr="00100C4E" w:rsidRDefault="00AE6907" w:rsidP="00AE6907">
            <w:pPr>
              <w:numPr>
                <w:ilvl w:val="0"/>
                <w:numId w:val="25"/>
              </w:numPr>
              <w:spacing w:before="60" w:after="60"/>
              <w:ind w:left="426" w:hanging="284"/>
              <w:rPr>
                <w:sz w:val="20"/>
              </w:rPr>
            </w:pPr>
            <w:r w:rsidRPr="00100C4E">
              <w:rPr>
                <w:sz w:val="20"/>
              </w:rPr>
              <w:t>Pociťovaný nedostatek kapacit pro transfer znalostí v některých VO a administrativní zátěž pro výzkumníky v souvislosti s transferem znalostí</w:t>
            </w:r>
          </w:p>
          <w:p w:rsidR="00AE6907" w:rsidRPr="003A64C1" w:rsidRDefault="00AE6907" w:rsidP="00AE6907">
            <w:pPr>
              <w:numPr>
                <w:ilvl w:val="0"/>
                <w:numId w:val="25"/>
              </w:numPr>
              <w:spacing w:before="60" w:after="60"/>
              <w:ind w:left="426" w:hanging="284"/>
              <w:rPr>
                <w:sz w:val="20"/>
              </w:rPr>
            </w:pPr>
            <w:r w:rsidRPr="003A64C1">
              <w:rPr>
                <w:sz w:val="20"/>
              </w:rPr>
              <w:t>Nerozvinutá podpora v oblasti evaluace, testování a pilotního ověřování výsledků výzkumu</w:t>
            </w:r>
          </w:p>
        </w:tc>
      </w:tr>
      <w:tr w:rsidR="00AE6907" w:rsidRPr="003A64C1" w:rsidTr="0036029B">
        <w:tc>
          <w:tcPr>
            <w:tcW w:w="9354" w:type="dxa"/>
            <w:shd w:val="clear" w:color="auto" w:fill="FBD4B4" w:themeFill="accent6" w:themeFillTint="66"/>
          </w:tcPr>
          <w:p w:rsidR="00AE6907" w:rsidRPr="003A64C1" w:rsidRDefault="00AE6907" w:rsidP="0036029B">
            <w:pPr>
              <w:spacing w:before="60" w:after="60"/>
              <w:rPr>
                <w:b/>
                <w:sz w:val="20"/>
              </w:rPr>
            </w:pPr>
            <w:r w:rsidRPr="003A64C1">
              <w:rPr>
                <w:b/>
                <w:sz w:val="20"/>
              </w:rPr>
              <w:t>Programy bezpečnostního výzkumu</w:t>
            </w:r>
          </w:p>
        </w:tc>
      </w:tr>
      <w:tr w:rsidR="00AE6907" w:rsidRPr="003A64C1" w:rsidTr="0036029B">
        <w:tc>
          <w:tcPr>
            <w:tcW w:w="9354" w:type="dxa"/>
            <w:shd w:val="clear" w:color="auto" w:fill="FDE9D9" w:themeFill="accent6" w:themeFillTint="33"/>
          </w:tcPr>
          <w:p w:rsidR="00AE6907" w:rsidRPr="003A64C1" w:rsidRDefault="00AE6907" w:rsidP="00AE6907">
            <w:pPr>
              <w:numPr>
                <w:ilvl w:val="0"/>
                <w:numId w:val="25"/>
              </w:numPr>
              <w:spacing w:before="60" w:after="60"/>
              <w:ind w:left="426" w:hanging="284"/>
              <w:rPr>
                <w:sz w:val="20"/>
              </w:rPr>
            </w:pPr>
            <w:r w:rsidRPr="003A64C1">
              <w:rPr>
                <w:sz w:val="20"/>
              </w:rPr>
              <w:t>Vysoké nároky na administrativní činnost spojené se zapojením do výzkumných programů a čerpáním podpory</w:t>
            </w:r>
          </w:p>
          <w:p w:rsidR="00AE6907" w:rsidRPr="003A64C1" w:rsidRDefault="00AE6907" w:rsidP="00AE6907">
            <w:pPr>
              <w:numPr>
                <w:ilvl w:val="0"/>
                <w:numId w:val="25"/>
              </w:numPr>
              <w:spacing w:before="60" w:after="60"/>
              <w:ind w:left="426" w:hanging="284"/>
              <w:rPr>
                <w:sz w:val="20"/>
              </w:rPr>
            </w:pPr>
            <w:r w:rsidRPr="003A64C1">
              <w:rPr>
                <w:sz w:val="20"/>
              </w:rPr>
              <w:t>Problematický systém hodnocení úspěšnosti projektů (problém potřeby delšího časového horizontu)</w:t>
            </w:r>
          </w:p>
        </w:tc>
      </w:tr>
      <w:tr w:rsidR="00AE6907" w:rsidRPr="003A64C1" w:rsidTr="0036029B">
        <w:tc>
          <w:tcPr>
            <w:tcW w:w="9354" w:type="dxa"/>
            <w:shd w:val="clear" w:color="auto" w:fill="92CDDC" w:themeFill="accent5" w:themeFillTint="99"/>
          </w:tcPr>
          <w:p w:rsidR="00AE6907" w:rsidRPr="003A64C1" w:rsidRDefault="00AE6907" w:rsidP="0036029B">
            <w:pPr>
              <w:spacing w:before="60" w:after="60"/>
              <w:rPr>
                <w:b/>
                <w:sz w:val="20"/>
              </w:rPr>
            </w:pPr>
            <w:r w:rsidRPr="003A64C1">
              <w:rPr>
                <w:b/>
                <w:sz w:val="20"/>
              </w:rPr>
              <w:t>Příležitosti</w:t>
            </w:r>
          </w:p>
        </w:tc>
      </w:tr>
      <w:tr w:rsidR="00AE6907" w:rsidRPr="003A64C1" w:rsidTr="0036029B">
        <w:tc>
          <w:tcPr>
            <w:tcW w:w="9354" w:type="dxa"/>
            <w:shd w:val="clear" w:color="auto" w:fill="B6DDE8" w:themeFill="accent5" w:themeFillTint="66"/>
          </w:tcPr>
          <w:p w:rsidR="00AE6907" w:rsidRPr="003A64C1" w:rsidRDefault="00AE6907" w:rsidP="0036029B">
            <w:pPr>
              <w:spacing w:before="60" w:after="60"/>
              <w:rPr>
                <w:b/>
                <w:sz w:val="20"/>
              </w:rPr>
            </w:pPr>
            <w:r w:rsidRPr="003A64C1">
              <w:rPr>
                <w:b/>
                <w:sz w:val="20"/>
              </w:rPr>
              <w:t>Systém bezpečnostního výzkumu</w:t>
            </w:r>
          </w:p>
        </w:tc>
      </w:tr>
      <w:tr w:rsidR="00AE6907" w:rsidRPr="003A64C1" w:rsidTr="0036029B">
        <w:tc>
          <w:tcPr>
            <w:tcW w:w="9354" w:type="dxa"/>
            <w:shd w:val="clear" w:color="auto" w:fill="DAEEF3" w:themeFill="accent5" w:themeFillTint="33"/>
          </w:tcPr>
          <w:p w:rsidR="00AE6907" w:rsidRPr="003A64C1" w:rsidRDefault="00AE6907" w:rsidP="00AE6907">
            <w:pPr>
              <w:numPr>
                <w:ilvl w:val="0"/>
                <w:numId w:val="25"/>
              </w:numPr>
              <w:spacing w:before="60" w:after="60"/>
              <w:ind w:left="426" w:hanging="284"/>
              <w:rPr>
                <w:sz w:val="20"/>
              </w:rPr>
            </w:pPr>
            <w:r w:rsidRPr="003A64C1">
              <w:rPr>
                <w:sz w:val="20"/>
              </w:rPr>
              <w:t>Rozvoj podpory v oblasti evaluace, testování a pilotn</w:t>
            </w:r>
            <w:r>
              <w:rPr>
                <w:sz w:val="20"/>
              </w:rPr>
              <w:t>ího ověřování výsledků výzkumu přispěje k lepšímu využívání poznatků v praxi</w:t>
            </w:r>
          </w:p>
          <w:p w:rsidR="00AE6907" w:rsidRPr="00100C4E" w:rsidRDefault="00AE6907" w:rsidP="00AE6907">
            <w:pPr>
              <w:numPr>
                <w:ilvl w:val="0"/>
                <w:numId w:val="25"/>
              </w:numPr>
              <w:spacing w:before="60" w:after="60"/>
              <w:ind w:left="426" w:hanging="284"/>
              <w:rPr>
                <w:sz w:val="20"/>
              </w:rPr>
            </w:pPr>
            <w:r w:rsidRPr="00100C4E">
              <w:rPr>
                <w:sz w:val="20"/>
              </w:rPr>
              <w:t>Rozšíření specializovaných kapacit pro transfer znalostí zaměřených na oblast BV napomůže realizaci výsledků VaV v praxi</w:t>
            </w:r>
          </w:p>
          <w:p w:rsidR="00AE6907" w:rsidRPr="00655E54" w:rsidRDefault="00AE6907" w:rsidP="00AE6907">
            <w:pPr>
              <w:numPr>
                <w:ilvl w:val="0"/>
                <w:numId w:val="25"/>
              </w:numPr>
              <w:spacing w:before="60" w:after="60"/>
              <w:ind w:left="426" w:hanging="284"/>
              <w:rPr>
                <w:sz w:val="20"/>
              </w:rPr>
            </w:pPr>
            <w:r w:rsidRPr="00655E54">
              <w:rPr>
                <w:sz w:val="20"/>
              </w:rPr>
              <w:t>Posílení komunikace a spolupráce mezi výzkumnou a uživatelskou sférou v oblasti BV</w:t>
            </w:r>
          </w:p>
          <w:p w:rsidR="00AE6907" w:rsidRPr="00100C4E" w:rsidRDefault="00AE6907" w:rsidP="00AE6907">
            <w:pPr>
              <w:numPr>
                <w:ilvl w:val="0"/>
                <w:numId w:val="25"/>
              </w:numPr>
              <w:spacing w:before="60" w:after="60"/>
              <w:ind w:left="426" w:hanging="284"/>
              <w:rPr>
                <w:sz w:val="20"/>
              </w:rPr>
            </w:pPr>
            <w:r w:rsidRPr="00100C4E">
              <w:rPr>
                <w:sz w:val="20"/>
              </w:rPr>
              <w:t>Nový způsob vymezení problematiky bezpečnostního výzkumu založený na hrozbách v oblasti bezpečnosti a kompetencích uživatelů, nikoli na výzkumných oborech (tj. přejít o oborového k funkčnímu vymezení problematiky BV), umožní lépe reagovat na aktuální potřeby společnosti a přispěje ke zlepšení bezpečnostní situace</w:t>
            </w:r>
          </w:p>
          <w:p w:rsidR="00AE6907" w:rsidRPr="003A64C1" w:rsidRDefault="00AE6907" w:rsidP="00AE6907">
            <w:pPr>
              <w:numPr>
                <w:ilvl w:val="0"/>
                <w:numId w:val="25"/>
              </w:numPr>
              <w:spacing w:before="60" w:after="60"/>
              <w:ind w:left="426" w:hanging="284"/>
              <w:rPr>
                <w:sz w:val="20"/>
              </w:rPr>
            </w:pPr>
            <w:r w:rsidRPr="003A64C1">
              <w:rPr>
                <w:sz w:val="20"/>
              </w:rPr>
              <w:t>Větší zapojení veřejnosti do sběru dat ohledně potřeb a fungování bezpečnosti (bezpečnostní incidenty, bezpečnostní aspekty používání technologií atd.)</w:t>
            </w:r>
            <w:r>
              <w:rPr>
                <w:sz w:val="20"/>
              </w:rPr>
              <w:t xml:space="preserve"> napomůže realizaci VaV podle potřeb uživatelů a společnosti (lepší využívání výsledků VaV v bezpečnostní oblasti)</w:t>
            </w:r>
          </w:p>
          <w:p w:rsidR="00AE6907" w:rsidRPr="003A64C1" w:rsidRDefault="00AE6907" w:rsidP="00AE6907">
            <w:pPr>
              <w:numPr>
                <w:ilvl w:val="0"/>
                <w:numId w:val="25"/>
              </w:numPr>
              <w:spacing w:before="60" w:after="60"/>
              <w:ind w:left="426" w:hanging="284"/>
              <w:rPr>
                <w:sz w:val="20"/>
              </w:rPr>
            </w:pPr>
            <w:r w:rsidRPr="003A64C1">
              <w:rPr>
                <w:sz w:val="20"/>
              </w:rPr>
              <w:t>Realizace průběžné cost</w:t>
            </w:r>
            <w:r>
              <w:rPr>
                <w:sz w:val="20"/>
              </w:rPr>
              <w:t>/</w:t>
            </w:r>
            <w:r w:rsidRPr="003A64C1">
              <w:rPr>
                <w:sz w:val="20"/>
              </w:rPr>
              <w:t>benefit analýzy bezpečnostních rizik a možných opatření k jejich eliminaci</w:t>
            </w:r>
          </w:p>
        </w:tc>
      </w:tr>
      <w:tr w:rsidR="00AE6907" w:rsidRPr="003A64C1" w:rsidTr="0036029B">
        <w:tc>
          <w:tcPr>
            <w:tcW w:w="9354" w:type="dxa"/>
            <w:shd w:val="clear" w:color="auto" w:fill="B6DDE8" w:themeFill="accent5" w:themeFillTint="66"/>
          </w:tcPr>
          <w:p w:rsidR="00AE6907" w:rsidRPr="003A64C1" w:rsidRDefault="00AE6907" w:rsidP="0036029B">
            <w:pPr>
              <w:spacing w:before="60" w:after="60"/>
              <w:rPr>
                <w:b/>
                <w:sz w:val="20"/>
              </w:rPr>
            </w:pPr>
            <w:r w:rsidRPr="003A64C1">
              <w:rPr>
                <w:b/>
                <w:sz w:val="20"/>
              </w:rPr>
              <w:t>Programy bezpečnostního výzkumu</w:t>
            </w:r>
          </w:p>
        </w:tc>
      </w:tr>
      <w:tr w:rsidR="00AE6907" w:rsidRPr="003A64C1" w:rsidTr="0036029B">
        <w:tc>
          <w:tcPr>
            <w:tcW w:w="9354" w:type="dxa"/>
            <w:shd w:val="clear" w:color="auto" w:fill="DAEEF3" w:themeFill="accent5" w:themeFillTint="33"/>
          </w:tcPr>
          <w:p w:rsidR="00AE6907" w:rsidRPr="003A64C1" w:rsidRDefault="00AE6907" w:rsidP="00AE6907">
            <w:pPr>
              <w:numPr>
                <w:ilvl w:val="0"/>
                <w:numId w:val="25"/>
              </w:numPr>
              <w:spacing w:before="60" w:after="60"/>
              <w:ind w:left="426" w:hanging="284"/>
              <w:rPr>
                <w:sz w:val="20"/>
              </w:rPr>
            </w:pPr>
            <w:r w:rsidRPr="003A64C1">
              <w:rPr>
                <w:sz w:val="20"/>
              </w:rPr>
              <w:t>Změna systému hodnocení úspěšnosti projektů (zavedení systému respektujícího specifika bezpečnostního výzkumu)</w:t>
            </w:r>
          </w:p>
          <w:p w:rsidR="00AE6907" w:rsidRPr="003A64C1" w:rsidRDefault="00AE6907" w:rsidP="00AE6907">
            <w:pPr>
              <w:numPr>
                <w:ilvl w:val="0"/>
                <w:numId w:val="25"/>
              </w:numPr>
              <w:spacing w:before="60" w:after="60"/>
              <w:ind w:left="426" w:hanging="284"/>
              <w:rPr>
                <w:sz w:val="20"/>
              </w:rPr>
            </w:pPr>
            <w:r w:rsidRPr="003A64C1">
              <w:rPr>
                <w:sz w:val="20"/>
              </w:rPr>
              <w:t>Větší zapojení potenciálních uživatelů (zejména bezpečnostních sborů) do hodnocení projektů (nabídek)</w:t>
            </w:r>
            <w:r>
              <w:rPr>
                <w:sz w:val="20"/>
              </w:rPr>
              <w:t xml:space="preserve"> </w:t>
            </w:r>
          </w:p>
          <w:p w:rsidR="00AE6907" w:rsidRPr="003A64C1" w:rsidRDefault="00AE6907" w:rsidP="00AE6907">
            <w:pPr>
              <w:numPr>
                <w:ilvl w:val="0"/>
                <w:numId w:val="25"/>
              </w:numPr>
              <w:spacing w:before="60" w:after="60"/>
              <w:ind w:left="426" w:hanging="284"/>
              <w:rPr>
                <w:sz w:val="20"/>
              </w:rPr>
            </w:pPr>
            <w:r w:rsidRPr="003A64C1">
              <w:rPr>
                <w:sz w:val="20"/>
              </w:rPr>
              <w:t>Zjednodušení administrativ</w:t>
            </w:r>
            <w:r>
              <w:rPr>
                <w:sz w:val="20"/>
              </w:rPr>
              <w:t>y</w:t>
            </w:r>
            <w:r w:rsidRPr="003A64C1">
              <w:rPr>
                <w:sz w:val="20"/>
              </w:rPr>
              <w:t xml:space="preserve"> spojen</w:t>
            </w:r>
            <w:r>
              <w:rPr>
                <w:sz w:val="20"/>
              </w:rPr>
              <w:t>é</w:t>
            </w:r>
            <w:r w:rsidRPr="003A64C1">
              <w:rPr>
                <w:sz w:val="20"/>
              </w:rPr>
              <w:t xml:space="preserve"> s účastí v programech </w:t>
            </w:r>
            <w:r>
              <w:rPr>
                <w:sz w:val="20"/>
              </w:rPr>
              <w:t xml:space="preserve">a </w:t>
            </w:r>
            <w:r w:rsidRPr="003A64C1">
              <w:rPr>
                <w:sz w:val="20"/>
              </w:rPr>
              <w:t>čerpáním podpory</w:t>
            </w:r>
            <w:r>
              <w:rPr>
                <w:sz w:val="20"/>
              </w:rPr>
              <w:t xml:space="preserve"> a poskytovaní</w:t>
            </w:r>
            <w:r w:rsidRPr="003A64C1">
              <w:rPr>
                <w:sz w:val="20"/>
              </w:rPr>
              <w:t xml:space="preserve"> efektivní podpor</w:t>
            </w:r>
            <w:r>
              <w:rPr>
                <w:sz w:val="20"/>
              </w:rPr>
              <w:t xml:space="preserve">y výzkumníkům </w:t>
            </w:r>
            <w:r w:rsidRPr="003A64C1">
              <w:rPr>
                <w:sz w:val="20"/>
              </w:rPr>
              <w:t>v a</w:t>
            </w:r>
            <w:r>
              <w:rPr>
                <w:sz w:val="20"/>
              </w:rPr>
              <w:t>dministrativních záležitostech zlepší realizaci projektů BV</w:t>
            </w:r>
          </w:p>
          <w:p w:rsidR="00AE6907" w:rsidRPr="003A64C1" w:rsidRDefault="00AE6907" w:rsidP="00AE6907">
            <w:pPr>
              <w:numPr>
                <w:ilvl w:val="0"/>
                <w:numId w:val="25"/>
              </w:numPr>
              <w:spacing w:before="60" w:after="60"/>
              <w:ind w:left="426" w:hanging="284"/>
              <w:rPr>
                <w:sz w:val="20"/>
              </w:rPr>
            </w:pPr>
            <w:r w:rsidRPr="003A64C1">
              <w:rPr>
                <w:sz w:val="20"/>
              </w:rPr>
              <w:t xml:space="preserve">Vypisování tematických programů na základě formulace objektivních potřeb v oblasti bezpečnosti </w:t>
            </w:r>
          </w:p>
        </w:tc>
      </w:tr>
      <w:tr w:rsidR="00AE6907" w:rsidRPr="003A64C1" w:rsidTr="0036029B">
        <w:tc>
          <w:tcPr>
            <w:tcW w:w="9354" w:type="dxa"/>
            <w:shd w:val="clear" w:color="auto" w:fill="D99594" w:themeFill="accent2" w:themeFillTint="99"/>
          </w:tcPr>
          <w:p w:rsidR="00AE6907" w:rsidRPr="003A64C1" w:rsidRDefault="00AE6907" w:rsidP="0036029B">
            <w:pPr>
              <w:spacing w:before="60" w:after="60"/>
              <w:rPr>
                <w:b/>
                <w:sz w:val="20"/>
              </w:rPr>
            </w:pPr>
            <w:r w:rsidRPr="003A64C1">
              <w:rPr>
                <w:b/>
                <w:sz w:val="20"/>
              </w:rPr>
              <w:t>Hrozby</w:t>
            </w:r>
          </w:p>
        </w:tc>
      </w:tr>
      <w:tr w:rsidR="00AE6907" w:rsidRPr="003A64C1" w:rsidTr="0036029B">
        <w:tc>
          <w:tcPr>
            <w:tcW w:w="9354" w:type="dxa"/>
            <w:shd w:val="clear" w:color="auto" w:fill="E5B8B7" w:themeFill="accent2" w:themeFillTint="66"/>
          </w:tcPr>
          <w:p w:rsidR="00AE6907" w:rsidRPr="003A64C1" w:rsidRDefault="00AE6907" w:rsidP="0036029B">
            <w:pPr>
              <w:spacing w:before="60" w:after="60"/>
              <w:rPr>
                <w:b/>
                <w:sz w:val="20"/>
              </w:rPr>
            </w:pPr>
            <w:r w:rsidRPr="003A64C1">
              <w:rPr>
                <w:b/>
                <w:sz w:val="20"/>
              </w:rPr>
              <w:t>Systém bezpečnostního výzkumu</w:t>
            </w:r>
          </w:p>
        </w:tc>
      </w:tr>
      <w:tr w:rsidR="00AE6907" w:rsidRPr="003A64C1" w:rsidTr="0036029B">
        <w:tc>
          <w:tcPr>
            <w:tcW w:w="9354" w:type="dxa"/>
            <w:shd w:val="clear" w:color="auto" w:fill="F2DBDB" w:themeFill="accent2" w:themeFillTint="33"/>
          </w:tcPr>
          <w:p w:rsidR="00AE6907" w:rsidRPr="00EA51E6" w:rsidRDefault="00AE6907" w:rsidP="00AE6907">
            <w:pPr>
              <w:numPr>
                <w:ilvl w:val="0"/>
                <w:numId w:val="25"/>
              </w:numPr>
              <w:spacing w:before="60" w:after="60"/>
              <w:ind w:left="426" w:hanging="284"/>
              <w:rPr>
                <w:sz w:val="20"/>
              </w:rPr>
            </w:pPr>
            <w:r w:rsidRPr="00EA51E6">
              <w:rPr>
                <w:sz w:val="20"/>
              </w:rPr>
              <w:t>Nefunkční kapacity pro transfer znalostí ve VO pro oblast bezpečnostního výzkumu nebudou napomáhat využívání výsledků v praxi a rozvoji spolupráce VO s aplikačním sektorem</w:t>
            </w:r>
          </w:p>
          <w:p w:rsidR="00AE6907" w:rsidRPr="00EA51E6" w:rsidRDefault="00AE6907" w:rsidP="00AE6907">
            <w:pPr>
              <w:numPr>
                <w:ilvl w:val="0"/>
                <w:numId w:val="25"/>
              </w:numPr>
              <w:spacing w:before="60" w:after="60"/>
              <w:ind w:left="426" w:hanging="284"/>
              <w:rPr>
                <w:sz w:val="20"/>
              </w:rPr>
            </w:pPr>
            <w:r w:rsidRPr="00EA51E6">
              <w:rPr>
                <w:sz w:val="20"/>
              </w:rPr>
              <w:t>Rozpad spolupráce a komunikace mezi výzkumníky a uživateli výsledků výzkumu</w:t>
            </w:r>
          </w:p>
        </w:tc>
      </w:tr>
      <w:tr w:rsidR="00AE6907" w:rsidRPr="003A64C1" w:rsidTr="0036029B">
        <w:tc>
          <w:tcPr>
            <w:tcW w:w="9354" w:type="dxa"/>
            <w:shd w:val="clear" w:color="auto" w:fill="E5B8B7" w:themeFill="accent2" w:themeFillTint="66"/>
          </w:tcPr>
          <w:p w:rsidR="00AE6907" w:rsidRPr="003A64C1" w:rsidRDefault="00AE6907" w:rsidP="0036029B">
            <w:pPr>
              <w:spacing w:before="60" w:after="60"/>
              <w:rPr>
                <w:b/>
                <w:sz w:val="20"/>
              </w:rPr>
            </w:pPr>
            <w:r w:rsidRPr="003A64C1">
              <w:rPr>
                <w:b/>
                <w:sz w:val="20"/>
              </w:rPr>
              <w:t>Programy bezpečnostního výzkumu</w:t>
            </w:r>
          </w:p>
        </w:tc>
      </w:tr>
      <w:tr w:rsidR="00AE6907" w:rsidRPr="003A64C1" w:rsidTr="0036029B">
        <w:tc>
          <w:tcPr>
            <w:tcW w:w="9354" w:type="dxa"/>
            <w:shd w:val="clear" w:color="auto" w:fill="F2DBDB" w:themeFill="accent2" w:themeFillTint="33"/>
          </w:tcPr>
          <w:p w:rsidR="00AE6907" w:rsidRPr="00951402" w:rsidRDefault="00AE6907" w:rsidP="00AE6907">
            <w:pPr>
              <w:numPr>
                <w:ilvl w:val="0"/>
                <w:numId w:val="25"/>
              </w:numPr>
              <w:spacing w:before="60" w:after="60"/>
              <w:ind w:left="426" w:hanging="284"/>
              <w:rPr>
                <w:sz w:val="20"/>
              </w:rPr>
            </w:pPr>
            <w:r w:rsidRPr="00951402">
              <w:rPr>
                <w:sz w:val="20"/>
              </w:rPr>
              <w:t>Rozpad spolupráce mezi výzkumníky, potenciálním uživateli a poskytovateli podpory při přípravě programů a hodnocení nabídek projektů</w:t>
            </w:r>
            <w:r>
              <w:rPr>
                <w:sz w:val="20"/>
              </w:rPr>
              <w:t xml:space="preserve"> může způsobit, že budou podporovány nekvalitní projekty nebo projekty, které nereagují na potřeby společnosti v oblasti bezpečnosti</w:t>
            </w:r>
          </w:p>
          <w:p w:rsidR="00AE6907" w:rsidRPr="003A64C1" w:rsidRDefault="00AE6907" w:rsidP="00AE6907">
            <w:pPr>
              <w:numPr>
                <w:ilvl w:val="0"/>
                <w:numId w:val="25"/>
              </w:numPr>
              <w:spacing w:before="60" w:after="60"/>
              <w:ind w:left="426" w:hanging="284"/>
              <w:rPr>
                <w:sz w:val="20"/>
              </w:rPr>
            </w:pPr>
            <w:r w:rsidRPr="00951402">
              <w:rPr>
                <w:sz w:val="20"/>
              </w:rPr>
              <w:t>Ne</w:t>
            </w:r>
            <w:r>
              <w:rPr>
                <w:sz w:val="20"/>
              </w:rPr>
              <w:t xml:space="preserve">efektivní </w:t>
            </w:r>
            <w:r w:rsidRPr="00951402">
              <w:rPr>
                <w:sz w:val="20"/>
              </w:rPr>
              <w:t>systém hodnocení výsledků výzkumných projektů</w:t>
            </w:r>
            <w:r>
              <w:rPr>
                <w:sz w:val="20"/>
              </w:rPr>
              <w:t xml:space="preserve"> a</w:t>
            </w:r>
            <w:r w:rsidRPr="00951402">
              <w:rPr>
                <w:sz w:val="20"/>
              </w:rPr>
              <w:t xml:space="preserve"> programů</w:t>
            </w:r>
            <w:r>
              <w:rPr>
                <w:sz w:val="20"/>
              </w:rPr>
              <w:t xml:space="preserve"> ohrozí dosažení očekávaných přínosů a nevytvoří dostatečné podklady pro tvorbu dalších programů.</w:t>
            </w:r>
          </w:p>
        </w:tc>
      </w:tr>
    </w:tbl>
    <w:p w:rsidR="00AE6907" w:rsidRDefault="00AE6907" w:rsidP="00AE6907"/>
    <w:p w:rsidR="00AE6907" w:rsidRDefault="00AE6907" w:rsidP="00AE6907">
      <w:pPr>
        <w:pStyle w:val="Nadpis2"/>
      </w:pPr>
      <w:bookmarkStart w:id="284" w:name="_Toc454786540"/>
      <w:bookmarkStart w:id="285" w:name="_Toc459723349"/>
      <w:r>
        <w:t>Mezinárodní spolupráce v bezpečnostně zaměřeném výzkumu</w:t>
      </w:r>
      <w:bookmarkEnd w:id="284"/>
      <w:bookmarkEnd w:id="285"/>
    </w:p>
    <w:p w:rsidR="00AE6907" w:rsidRDefault="00AE6907" w:rsidP="00AE6907">
      <w:r>
        <w:t>Klíčovou roli v podpoře bezpečnostně zaměřeného VaV na úrovni EU v současné době hraje Horizont 2020 - rámcový program pro výzkum a inovace, který je realizován v letech 2014 – 2020. Bezpečnostním výzkumem se zabývá jeho podprogram Bezpečné společnosti – ochrana svobody a bezpečnosti Evropy a jejích obyvatel. Řešená témata jsou implementací evropských politik pro civilní bezpečnost. Témata bezpečnostního výzkumu jsou obsažena i v dalších částech programu H2020.</w:t>
      </w:r>
    </w:p>
    <w:p w:rsidR="00AE6907" w:rsidRDefault="00AE6907" w:rsidP="00AE6907">
      <w:r>
        <w:t>ČR se aktivně zapojuje do bezpečnostně zaměřených projektů řešených v rámcových programech EU. V uplynulém 7. rámcovém programu (7. RP) byly subjekty z ČR zapojeny v řešení 58 takto zaměřených projektů, což je více než 7 % z celkového počtu bezpečnostně zaměřených projektů, které byly financovány v 7. RP. To je podstatně více, než činil podíl projektů s účastí ČR v celém 7. RP, kde týmy z ČR byly členy řešitelských konsorcií ve 4,5 % projektů. V dosavadním průběhu H2020 byly subjekty z ČR zapojeny v řešení 15 projektů, což je přibližně 4,5 % z celkového počtu takto zaměřených projektů.</w:t>
      </w:r>
    </w:p>
    <w:p w:rsidR="00AE6907" w:rsidRDefault="00AE6907" w:rsidP="00AE6907">
      <w:r>
        <w:t>Subjekty z ČR jsou zejména aktivní v prioritě Bezpečnost 7. RP. Vyšší počet projektů s účastí ČR týkajících se bezpečnosti byl také financován v programu Informační a komunikační technologie (ICT). V některých programech 7. RP sice bylo financováno poměrně málo bezpečnostně zaměřených projektů, ale ČR byla zapojena v jejich významné části (Nanovědy a nanotechnologie, Kosmický výzkum a Výzkumné infrastruktury).</w:t>
      </w:r>
    </w:p>
    <w:p w:rsidR="00AE6907" w:rsidRDefault="00AE6907" w:rsidP="00AE6907">
      <w:r>
        <w:t>Přibližně polovinu účastníků tvoří soukromé subjekty (podniky), které se do bezpečnostně zaměřených projektů zapojují více než podniky ze zahraničí. ČR při řešení projektů nejvíce spolupracuje s velkými zeměmi EU-15, jako je Spojené království, Německo, Itálie, Francie a Španělsko, které patří mezi jádro bezpečnostního výzkumu v Evropě.</w:t>
      </w:r>
    </w:p>
    <w:p w:rsidR="00AE6907" w:rsidRDefault="00AE6907" w:rsidP="00AE6907">
      <w:r>
        <w:t>Úspěšnost návrhů projektů týkajících se problematiky bezpečnosti podaných účastníky z ČR byla v 7. RP poměrně vysoká, neboť přibližně 13 % návrhů podaných do 7. RP bylo úspěšných. Velmi nízkou úspěšnost však mají projekty koordinované účastníkem z ČR, kde z více než 40 návrhů projektů podaných do 7. RP byl pro financování vybrán pouze jeden projekt.</w:t>
      </w:r>
    </w:p>
    <w:p w:rsidR="00AE6907" w:rsidRDefault="00AE6907" w:rsidP="00AE6907">
      <w:r>
        <w:t>Jak vyplývá z dotazníkového šetření mezi výzkumnými pracovníky, s mezinárodní výzkumnou spoluprací má nějakou zkušenost přibližně polovina organizací, ze kterých pocházejí respondenti. Nevyšší míru zahraniční spolupráce vykazují výzkumníci v oblasti krizového řízení, dále v oblastech ochrana kyberprostoru a detekce a ochrana proti CBRN prostředkům. Jako nejvýznamnější motivační faktory pro mezinárodní spolupráci výzkumníci uvádějí rozvoj znalostí v rámci spolupráce a možnost získání finanční podpory. Největší překážkou je obava z administrativní náročnosti mezinárodní spolupráce.</w:t>
      </w:r>
    </w:p>
    <w:p w:rsidR="00AE6907" w:rsidRDefault="00AE6907" w:rsidP="00AE6907">
      <w:r>
        <w:t>Také v programech na podporu mezinárodní spolupráce ve VaV v gesci MŠMT byla řešena řada projektů týkajících se problematiky bezpečnosti. Nejvíce projektů bylo podpořeno v iniciativě EUREKA. Vysoký počet projektů byl také podpořen v programu Kontakt, kde jsou podporovány projekty základního a aplikovaného VaV s institucemi z nečlenských států EU. Podpořené projekty byly zaměřeny zejména na obory technických a přírodních věd. Největší část projektů byla zaměřena na elektroniku, optoelektroniku a elektrotechniku, poměrně vysokou podporu také získaly projekty z oblasti informatiky. Oborové zaměření projektů souvisí s tím, že většina nalezených projektů s bezpečnostní tematikou byla podpořena v programu EUREKA, jejímž cílem je VaV nových produktů, procesů a služeb a zvyšování konkurenceschopnosti podniků.</w:t>
      </w:r>
    </w:p>
    <w:p w:rsidR="00AE6907" w:rsidRPr="00720EBD" w:rsidRDefault="00AE6907" w:rsidP="00D87F3A">
      <w:pPr>
        <w:spacing w:after="240"/>
        <w:rPr>
          <w:b/>
        </w:rPr>
      </w:pPr>
      <w:r>
        <w:t>Výzkumné týmy z ČR spolupracují se zahraničními výzkumnými týmy i při zpracování publikačních výstupů vznikajících v programech BV v gesci MV, neboť přibližně 13 % z celkového počtu publikací  v RIV, které se podařilo propojit z WoS, má alespoň jednoho spoluautora ze zahraničí. Podobně jako v rámcových programech týmy z ČR na publikacích nejvíce spolupracují s výzkumnými týmy z Německa, Španělska, Francie a Spojeného království. Poměrně vysoký počet publikací vzniklých v mezinárodní spolupráci může souviset i s tím, že na těchto pracovištích působí výzkumní pracovníci ze zahraničí.</w:t>
      </w:r>
    </w:p>
    <w:tbl>
      <w:tblPr>
        <w:tblStyle w:val="Mkatabulky"/>
        <w:tblW w:w="0" w:type="auto"/>
        <w:shd w:val="clear" w:color="auto" w:fill="FDE9D9" w:themeFill="accent6" w:themeFillTint="33"/>
        <w:tblLook w:val="04A0" w:firstRow="1" w:lastRow="0" w:firstColumn="1" w:lastColumn="0" w:noHBand="0" w:noVBand="1"/>
      </w:tblPr>
      <w:tblGrid>
        <w:gridCol w:w="9354"/>
      </w:tblGrid>
      <w:tr w:rsidR="00AE6907" w:rsidRPr="00362171" w:rsidTr="0036029B">
        <w:tc>
          <w:tcPr>
            <w:tcW w:w="9354" w:type="dxa"/>
            <w:shd w:val="clear" w:color="auto" w:fill="95B3D7" w:themeFill="accent1" w:themeFillTint="99"/>
          </w:tcPr>
          <w:p w:rsidR="00AE6907" w:rsidRPr="00362171" w:rsidRDefault="00AE6907" w:rsidP="0036029B">
            <w:pPr>
              <w:spacing w:before="60" w:after="60"/>
              <w:rPr>
                <w:b/>
                <w:sz w:val="20"/>
              </w:rPr>
            </w:pPr>
            <w:r w:rsidRPr="00362171">
              <w:rPr>
                <w:b/>
                <w:sz w:val="20"/>
              </w:rPr>
              <w:t>Silné stránky</w:t>
            </w:r>
          </w:p>
        </w:tc>
      </w:tr>
      <w:tr w:rsidR="00AE6907" w:rsidRPr="00362171" w:rsidTr="0036029B">
        <w:tc>
          <w:tcPr>
            <w:tcW w:w="9354" w:type="dxa"/>
            <w:shd w:val="clear" w:color="auto" w:fill="C6D9F1" w:themeFill="text2" w:themeFillTint="33"/>
          </w:tcPr>
          <w:p w:rsidR="00AE6907" w:rsidRPr="00362171" w:rsidRDefault="00AE6907" w:rsidP="0036029B">
            <w:pPr>
              <w:spacing w:before="60" w:after="60"/>
              <w:rPr>
                <w:b/>
                <w:sz w:val="20"/>
              </w:rPr>
            </w:pPr>
            <w:r w:rsidRPr="00362171">
              <w:rPr>
                <w:b/>
                <w:sz w:val="20"/>
              </w:rPr>
              <w:t>Systém bezpečnostního výzkumu</w:t>
            </w:r>
          </w:p>
        </w:tc>
      </w:tr>
      <w:tr w:rsidR="00AE6907" w:rsidRPr="00362171" w:rsidTr="0036029B">
        <w:tc>
          <w:tcPr>
            <w:tcW w:w="9354" w:type="dxa"/>
            <w:shd w:val="clear" w:color="auto" w:fill="DBE5F1" w:themeFill="accent1" w:themeFillTint="33"/>
          </w:tcPr>
          <w:p w:rsidR="00AE6907" w:rsidRPr="00362171" w:rsidRDefault="00AE6907" w:rsidP="00AE6907">
            <w:pPr>
              <w:pStyle w:val="Odstavecseseznamem"/>
              <w:numPr>
                <w:ilvl w:val="0"/>
                <w:numId w:val="25"/>
              </w:numPr>
              <w:spacing w:before="60" w:after="60"/>
              <w:ind w:left="426" w:hanging="284"/>
              <w:contextualSpacing w:val="0"/>
              <w:rPr>
                <w:sz w:val="20"/>
              </w:rPr>
            </w:pPr>
            <w:r w:rsidRPr="00362171">
              <w:rPr>
                <w:sz w:val="20"/>
              </w:rPr>
              <w:t>Existující vazby mezi výzkumnými pracovišti v ČR a v zahraniční v oblasti BV, které se projevují ve značném počtu publikací řešících problematiku bezpečnosti vzniklých v mezinárodní spolupr</w:t>
            </w:r>
            <w:r>
              <w:rPr>
                <w:sz w:val="20"/>
              </w:rPr>
              <w:t>áci</w:t>
            </w:r>
          </w:p>
          <w:p w:rsidR="00AE6907" w:rsidRPr="00362171" w:rsidRDefault="00AE6907" w:rsidP="00AE6907">
            <w:pPr>
              <w:pStyle w:val="Odstavecseseznamem"/>
              <w:numPr>
                <w:ilvl w:val="0"/>
                <w:numId w:val="25"/>
              </w:numPr>
              <w:spacing w:before="60" w:after="60"/>
              <w:ind w:left="426" w:hanging="284"/>
              <w:contextualSpacing w:val="0"/>
              <w:rPr>
                <w:sz w:val="20"/>
              </w:rPr>
            </w:pPr>
            <w:r w:rsidRPr="00362171">
              <w:rPr>
                <w:sz w:val="20"/>
              </w:rPr>
              <w:t xml:space="preserve">V mezinárodní spolupráci v oblasti BV dominují země, které představují jádro BV v EU – Německo, </w:t>
            </w:r>
            <w:r w:rsidRPr="00BB6FF9">
              <w:rPr>
                <w:sz w:val="20"/>
              </w:rPr>
              <w:t>Spojené království</w:t>
            </w:r>
            <w:r>
              <w:rPr>
                <w:sz w:val="20"/>
              </w:rPr>
              <w:t xml:space="preserve">, </w:t>
            </w:r>
            <w:r w:rsidRPr="00BB6FF9">
              <w:rPr>
                <w:sz w:val="20"/>
              </w:rPr>
              <w:t>Itálie, Francie a Španělsko</w:t>
            </w:r>
          </w:p>
        </w:tc>
      </w:tr>
      <w:tr w:rsidR="00AE6907" w:rsidRPr="00362171" w:rsidTr="0036029B">
        <w:tc>
          <w:tcPr>
            <w:tcW w:w="9354" w:type="dxa"/>
            <w:shd w:val="clear" w:color="auto" w:fill="C6D9F1" w:themeFill="text2" w:themeFillTint="33"/>
          </w:tcPr>
          <w:p w:rsidR="00AE6907" w:rsidRPr="00362171" w:rsidRDefault="00AE6907" w:rsidP="0036029B">
            <w:pPr>
              <w:spacing w:before="60" w:after="60"/>
              <w:rPr>
                <w:b/>
                <w:sz w:val="20"/>
              </w:rPr>
            </w:pPr>
            <w:r>
              <w:rPr>
                <w:b/>
                <w:sz w:val="20"/>
              </w:rPr>
              <w:t>Programy bezpečnostního výzkumu</w:t>
            </w:r>
          </w:p>
        </w:tc>
      </w:tr>
      <w:tr w:rsidR="00AE6907" w:rsidRPr="00362171" w:rsidTr="0036029B">
        <w:tc>
          <w:tcPr>
            <w:tcW w:w="9354" w:type="dxa"/>
            <w:shd w:val="clear" w:color="auto" w:fill="DBE5F1" w:themeFill="accent1" w:themeFillTint="33"/>
          </w:tcPr>
          <w:p w:rsidR="00AE6907" w:rsidRPr="00362171" w:rsidRDefault="00AE6907" w:rsidP="00AE6907">
            <w:pPr>
              <w:pStyle w:val="Odstavecseseznamem"/>
              <w:numPr>
                <w:ilvl w:val="0"/>
                <w:numId w:val="25"/>
              </w:numPr>
              <w:spacing w:before="60" w:after="60"/>
              <w:ind w:left="426" w:hanging="284"/>
              <w:contextualSpacing w:val="0"/>
              <w:rPr>
                <w:sz w:val="20"/>
              </w:rPr>
            </w:pPr>
            <w:r w:rsidRPr="00362171">
              <w:rPr>
                <w:sz w:val="20"/>
              </w:rPr>
              <w:t>Výzkumné týmy z ČR se do bezpečnostně zaměřených projektů v RP zapojují aktivněji než do projektů v ostatních oblastech RP</w:t>
            </w:r>
          </w:p>
          <w:p w:rsidR="00AE6907" w:rsidRPr="00362171" w:rsidRDefault="00AE6907" w:rsidP="00AE6907">
            <w:pPr>
              <w:pStyle w:val="Odstavecseseznamem"/>
              <w:numPr>
                <w:ilvl w:val="0"/>
                <w:numId w:val="25"/>
              </w:numPr>
              <w:spacing w:before="60" w:after="60"/>
              <w:ind w:left="426" w:hanging="284"/>
              <w:contextualSpacing w:val="0"/>
              <w:rPr>
                <w:sz w:val="20"/>
              </w:rPr>
            </w:pPr>
            <w:r w:rsidRPr="00362171">
              <w:rPr>
                <w:sz w:val="20"/>
              </w:rPr>
              <w:t>Poměrně vysoká úspěšnost návrhů projektů řešících problematiku bezpečnosti podaných do RP svědčí o kvalitě výzkumných týmů účastnících se RP</w:t>
            </w:r>
          </w:p>
          <w:p w:rsidR="00AE6907" w:rsidRPr="00362171" w:rsidRDefault="00AE6907" w:rsidP="00AE6907">
            <w:pPr>
              <w:pStyle w:val="Odstavecseseznamem"/>
              <w:numPr>
                <w:ilvl w:val="0"/>
                <w:numId w:val="25"/>
              </w:numPr>
              <w:spacing w:before="60" w:after="60"/>
              <w:ind w:left="426" w:hanging="284"/>
              <w:contextualSpacing w:val="0"/>
              <w:rPr>
                <w:sz w:val="20"/>
              </w:rPr>
            </w:pPr>
            <w:r w:rsidRPr="00362171">
              <w:rPr>
                <w:sz w:val="20"/>
              </w:rPr>
              <w:t xml:space="preserve">Mezinárodní projekty VaV řešící problematiku bezpečnosti jsou podporovány v iniciativě </w:t>
            </w:r>
            <w:r>
              <w:rPr>
                <w:sz w:val="20"/>
              </w:rPr>
              <w:t>EUREKA</w:t>
            </w:r>
            <w:r w:rsidRPr="00362171">
              <w:rPr>
                <w:sz w:val="20"/>
              </w:rPr>
              <w:t>, programu MŠMT Kontakt a v dalších programech, kde je poskytována podpora pro projekty VaV řešené v mezinárodní spolupráci</w:t>
            </w:r>
          </w:p>
        </w:tc>
      </w:tr>
      <w:tr w:rsidR="00AE6907" w:rsidRPr="00362171" w:rsidTr="0036029B">
        <w:tc>
          <w:tcPr>
            <w:tcW w:w="9354" w:type="dxa"/>
            <w:shd w:val="clear" w:color="auto" w:fill="FABF8F" w:themeFill="accent6" w:themeFillTint="99"/>
          </w:tcPr>
          <w:p w:rsidR="00AE6907" w:rsidRPr="00362171" w:rsidRDefault="00AE6907" w:rsidP="0036029B">
            <w:pPr>
              <w:spacing w:before="60" w:after="60"/>
              <w:rPr>
                <w:b/>
                <w:sz w:val="20"/>
              </w:rPr>
            </w:pPr>
            <w:r w:rsidRPr="00362171">
              <w:rPr>
                <w:b/>
                <w:sz w:val="20"/>
              </w:rPr>
              <w:t>Slabé stránky</w:t>
            </w:r>
          </w:p>
        </w:tc>
      </w:tr>
      <w:tr w:rsidR="00AE6907" w:rsidRPr="00362171" w:rsidTr="0036029B">
        <w:tc>
          <w:tcPr>
            <w:tcW w:w="9354" w:type="dxa"/>
            <w:shd w:val="clear" w:color="auto" w:fill="FBD4B4" w:themeFill="accent6" w:themeFillTint="66"/>
          </w:tcPr>
          <w:p w:rsidR="00AE6907" w:rsidRPr="00362171" w:rsidRDefault="00AE6907" w:rsidP="0036029B">
            <w:pPr>
              <w:spacing w:before="60" w:after="60"/>
              <w:rPr>
                <w:b/>
                <w:sz w:val="20"/>
              </w:rPr>
            </w:pPr>
            <w:r w:rsidRPr="00362171">
              <w:rPr>
                <w:b/>
                <w:sz w:val="20"/>
              </w:rPr>
              <w:t>Systém bezpečnostního výzkumu</w:t>
            </w:r>
          </w:p>
        </w:tc>
      </w:tr>
      <w:tr w:rsidR="00AE6907" w:rsidRPr="00362171" w:rsidTr="0036029B">
        <w:tc>
          <w:tcPr>
            <w:tcW w:w="9354" w:type="dxa"/>
            <w:shd w:val="clear" w:color="auto" w:fill="FDE9D9" w:themeFill="accent6" w:themeFillTint="33"/>
          </w:tcPr>
          <w:p w:rsidR="00AE6907" w:rsidRPr="00362171" w:rsidRDefault="00AE6907" w:rsidP="00AE6907">
            <w:pPr>
              <w:pStyle w:val="Odstavecseseznamem"/>
              <w:numPr>
                <w:ilvl w:val="0"/>
                <w:numId w:val="25"/>
              </w:numPr>
              <w:spacing w:before="60" w:after="60"/>
              <w:ind w:left="426" w:hanging="284"/>
              <w:contextualSpacing w:val="0"/>
              <w:rPr>
                <w:sz w:val="20"/>
              </w:rPr>
            </w:pPr>
            <w:r w:rsidRPr="00362171">
              <w:rPr>
                <w:sz w:val="20"/>
              </w:rPr>
              <w:t>Nedostatek pracovníků s potřebnou úrovní znalostí v subjektech zapojených v BV</w:t>
            </w:r>
          </w:p>
          <w:p w:rsidR="00AE6907" w:rsidRPr="00362171" w:rsidRDefault="00AE6907" w:rsidP="00AE6907">
            <w:pPr>
              <w:pStyle w:val="Odstavecseseznamem"/>
              <w:numPr>
                <w:ilvl w:val="0"/>
                <w:numId w:val="25"/>
              </w:numPr>
              <w:spacing w:before="60" w:after="60"/>
              <w:ind w:left="426" w:hanging="284"/>
              <w:contextualSpacing w:val="0"/>
              <w:rPr>
                <w:sz w:val="20"/>
              </w:rPr>
            </w:pPr>
            <w:r w:rsidRPr="00362171">
              <w:rPr>
                <w:sz w:val="20"/>
              </w:rPr>
              <w:t>Nedostatek informací o možnostech mezinárodní spolupráce</w:t>
            </w:r>
          </w:p>
        </w:tc>
      </w:tr>
      <w:tr w:rsidR="00AE6907" w:rsidRPr="00362171" w:rsidTr="0036029B">
        <w:tc>
          <w:tcPr>
            <w:tcW w:w="9354" w:type="dxa"/>
            <w:shd w:val="clear" w:color="auto" w:fill="FBD4B4" w:themeFill="accent6" w:themeFillTint="66"/>
          </w:tcPr>
          <w:p w:rsidR="00AE6907" w:rsidRPr="00362171" w:rsidRDefault="00AE6907" w:rsidP="0036029B">
            <w:pPr>
              <w:spacing w:before="60" w:after="60"/>
              <w:rPr>
                <w:b/>
                <w:sz w:val="20"/>
              </w:rPr>
            </w:pPr>
            <w:r>
              <w:rPr>
                <w:b/>
                <w:sz w:val="20"/>
              </w:rPr>
              <w:t>Programy bezpečnostního výzkumu</w:t>
            </w:r>
          </w:p>
        </w:tc>
      </w:tr>
      <w:tr w:rsidR="00AE6907" w:rsidRPr="00362171" w:rsidTr="0036029B">
        <w:tc>
          <w:tcPr>
            <w:tcW w:w="9354" w:type="dxa"/>
            <w:shd w:val="clear" w:color="auto" w:fill="FDE9D9" w:themeFill="accent6" w:themeFillTint="33"/>
          </w:tcPr>
          <w:p w:rsidR="00AE6907" w:rsidRPr="00362171" w:rsidRDefault="00AE6907" w:rsidP="00AE6907">
            <w:pPr>
              <w:pStyle w:val="Odstavecseseznamem"/>
              <w:numPr>
                <w:ilvl w:val="0"/>
                <w:numId w:val="25"/>
              </w:numPr>
              <w:spacing w:before="60" w:after="60"/>
              <w:ind w:left="426" w:hanging="284"/>
              <w:contextualSpacing w:val="0"/>
              <w:rPr>
                <w:sz w:val="20"/>
              </w:rPr>
            </w:pPr>
            <w:r w:rsidRPr="00362171">
              <w:rPr>
                <w:sz w:val="20"/>
              </w:rPr>
              <w:t xml:space="preserve">Nízká úspěšnost návrhů projektů s koordinátorem z ČR svědčí o tom, že výzkumné týmy z ČR </w:t>
            </w:r>
            <w:r>
              <w:rPr>
                <w:sz w:val="20"/>
              </w:rPr>
              <w:t xml:space="preserve">zatím </w:t>
            </w:r>
            <w:r w:rsidRPr="00362171">
              <w:rPr>
                <w:sz w:val="20"/>
              </w:rPr>
              <w:t>nedokáží připravit dostatečně kvalitní návrhy nebo že v ČR neexistují subjekty (pracovníci), které by byly schopné tyto návrhy zpracovat pro výzkumné týmy.</w:t>
            </w:r>
          </w:p>
          <w:p w:rsidR="00AE6907" w:rsidRPr="00362171" w:rsidRDefault="00AE6907" w:rsidP="00AE6907">
            <w:pPr>
              <w:pStyle w:val="Odstavecseseznamem"/>
              <w:numPr>
                <w:ilvl w:val="0"/>
                <w:numId w:val="25"/>
              </w:numPr>
              <w:spacing w:before="60" w:after="60"/>
              <w:ind w:left="426" w:hanging="284"/>
              <w:contextualSpacing w:val="0"/>
              <w:rPr>
                <w:sz w:val="20"/>
              </w:rPr>
            </w:pPr>
            <w:r w:rsidRPr="00362171">
              <w:rPr>
                <w:sz w:val="20"/>
              </w:rPr>
              <w:t>Úroveň BV v některých vědních disciplínách (technologických oblastech) zřejmě nevytváří podmínky pro zapojení do BV na mezinárodní úrovni</w:t>
            </w:r>
          </w:p>
          <w:p w:rsidR="00AE6907" w:rsidRDefault="00AE6907" w:rsidP="00AE6907">
            <w:pPr>
              <w:pStyle w:val="Odstavecseseznamem"/>
              <w:numPr>
                <w:ilvl w:val="0"/>
                <w:numId w:val="25"/>
              </w:numPr>
              <w:spacing w:before="60" w:after="60"/>
              <w:ind w:left="426" w:hanging="284"/>
              <w:contextualSpacing w:val="0"/>
              <w:rPr>
                <w:sz w:val="20"/>
              </w:rPr>
            </w:pPr>
            <w:r w:rsidRPr="00362171">
              <w:rPr>
                <w:sz w:val="20"/>
              </w:rPr>
              <w:t>Výzkumné týmy z ČR získávají z rozpočtů projektů poměrně malé částky, což znamená, že jejich role v projektech není významná</w:t>
            </w:r>
          </w:p>
          <w:p w:rsidR="00AE6907" w:rsidRPr="00105475" w:rsidRDefault="00AE6907" w:rsidP="00AE6907">
            <w:pPr>
              <w:pStyle w:val="Odstavecseseznamem"/>
              <w:numPr>
                <w:ilvl w:val="0"/>
                <w:numId w:val="25"/>
              </w:numPr>
              <w:spacing w:before="60" w:after="60"/>
              <w:ind w:left="426" w:hanging="284"/>
              <w:contextualSpacing w:val="0"/>
              <w:rPr>
                <w:sz w:val="20"/>
              </w:rPr>
            </w:pPr>
            <w:r w:rsidRPr="00362171">
              <w:rPr>
                <w:sz w:val="20"/>
              </w:rPr>
              <w:t xml:space="preserve">Nedostatečné materiální vybavení </w:t>
            </w:r>
            <w:r>
              <w:rPr>
                <w:sz w:val="20"/>
              </w:rPr>
              <w:t xml:space="preserve">některých </w:t>
            </w:r>
            <w:r w:rsidRPr="00362171">
              <w:rPr>
                <w:sz w:val="20"/>
              </w:rPr>
              <w:t>subjektů, které mají zájem se zapojit do RP</w:t>
            </w:r>
          </w:p>
          <w:p w:rsidR="00AE6907" w:rsidRPr="00362171" w:rsidRDefault="00AE6907" w:rsidP="00AE6907">
            <w:pPr>
              <w:pStyle w:val="Odstavecseseznamem"/>
              <w:numPr>
                <w:ilvl w:val="0"/>
                <w:numId w:val="25"/>
              </w:numPr>
              <w:spacing w:before="60" w:after="60"/>
              <w:ind w:left="426" w:hanging="284"/>
              <w:contextualSpacing w:val="0"/>
              <w:rPr>
                <w:sz w:val="20"/>
              </w:rPr>
            </w:pPr>
            <w:r>
              <w:rPr>
                <w:sz w:val="20"/>
              </w:rPr>
              <w:t>P</w:t>
            </w:r>
            <w:r w:rsidRPr="00362171">
              <w:rPr>
                <w:sz w:val="20"/>
              </w:rPr>
              <w:t>odniky účastníc</w:t>
            </w:r>
            <w:r>
              <w:rPr>
                <w:sz w:val="20"/>
              </w:rPr>
              <w:t>í</w:t>
            </w:r>
            <w:r w:rsidRPr="00362171">
              <w:rPr>
                <w:sz w:val="20"/>
              </w:rPr>
              <w:t xml:space="preserve"> se aktivně RP nejsou zapojeny v programech BV</w:t>
            </w:r>
          </w:p>
        </w:tc>
      </w:tr>
      <w:tr w:rsidR="00AE6907" w:rsidRPr="00362171" w:rsidTr="0036029B">
        <w:tc>
          <w:tcPr>
            <w:tcW w:w="9354" w:type="dxa"/>
            <w:shd w:val="clear" w:color="auto" w:fill="92CDDC" w:themeFill="accent5" w:themeFillTint="99"/>
          </w:tcPr>
          <w:p w:rsidR="00AE6907" w:rsidRPr="00362171" w:rsidRDefault="00AE6907" w:rsidP="0036029B">
            <w:pPr>
              <w:spacing w:before="60" w:after="60"/>
              <w:rPr>
                <w:b/>
                <w:sz w:val="20"/>
              </w:rPr>
            </w:pPr>
            <w:r w:rsidRPr="00362171">
              <w:rPr>
                <w:b/>
                <w:sz w:val="20"/>
              </w:rPr>
              <w:t>Příležitosti</w:t>
            </w:r>
          </w:p>
        </w:tc>
      </w:tr>
      <w:tr w:rsidR="00AE6907" w:rsidRPr="00362171" w:rsidTr="0036029B">
        <w:tc>
          <w:tcPr>
            <w:tcW w:w="9354" w:type="dxa"/>
            <w:shd w:val="clear" w:color="auto" w:fill="B6DDE8" w:themeFill="accent5" w:themeFillTint="66"/>
          </w:tcPr>
          <w:p w:rsidR="00AE6907" w:rsidRPr="00362171" w:rsidRDefault="00AE6907" w:rsidP="0036029B">
            <w:pPr>
              <w:spacing w:before="60" w:after="60"/>
              <w:rPr>
                <w:b/>
                <w:sz w:val="20"/>
              </w:rPr>
            </w:pPr>
            <w:r w:rsidRPr="00362171">
              <w:rPr>
                <w:b/>
                <w:sz w:val="20"/>
              </w:rPr>
              <w:t>Systém bezpečnostního výzkumu</w:t>
            </w:r>
          </w:p>
        </w:tc>
      </w:tr>
      <w:tr w:rsidR="00AE6907" w:rsidRPr="00362171" w:rsidTr="0036029B">
        <w:tc>
          <w:tcPr>
            <w:tcW w:w="9354" w:type="dxa"/>
            <w:shd w:val="clear" w:color="auto" w:fill="DAEEF3" w:themeFill="accent5" w:themeFillTint="33"/>
          </w:tcPr>
          <w:p w:rsidR="00AE6907" w:rsidRPr="00362171" w:rsidRDefault="00AE6907" w:rsidP="00AE6907">
            <w:pPr>
              <w:pStyle w:val="Odstavecseseznamem"/>
              <w:numPr>
                <w:ilvl w:val="0"/>
                <w:numId w:val="25"/>
              </w:numPr>
              <w:spacing w:before="60" w:after="60"/>
              <w:ind w:left="426" w:hanging="284"/>
              <w:contextualSpacing w:val="0"/>
              <w:rPr>
                <w:sz w:val="20"/>
              </w:rPr>
            </w:pPr>
            <w:r w:rsidRPr="00362171">
              <w:rPr>
                <w:sz w:val="20"/>
              </w:rPr>
              <w:t>Vytvoření informačního systému bezpečnostního výzkumu, kde budou také uváděny aktuální možnosti zapojení do RP a dalších mezinárodních programů a inciativ</w:t>
            </w:r>
          </w:p>
          <w:p w:rsidR="00AE6907" w:rsidRPr="00362171" w:rsidRDefault="00AE6907" w:rsidP="00AE6907">
            <w:pPr>
              <w:pStyle w:val="Odstavecseseznamem"/>
              <w:numPr>
                <w:ilvl w:val="0"/>
                <w:numId w:val="25"/>
              </w:numPr>
              <w:spacing w:before="60" w:after="60"/>
              <w:ind w:left="426" w:hanging="284"/>
              <w:contextualSpacing w:val="0"/>
              <w:rPr>
                <w:sz w:val="20"/>
              </w:rPr>
            </w:pPr>
            <w:r w:rsidRPr="00362171">
              <w:rPr>
                <w:sz w:val="20"/>
              </w:rPr>
              <w:t>Vytvoření administrativního zázemí ve VO pro přípravu projektů a jejich administraci (řízení, řešení smluv, právní záležitosti, finanční záležitosti apod.)</w:t>
            </w:r>
          </w:p>
          <w:p w:rsidR="00AE6907" w:rsidRPr="00362171" w:rsidRDefault="00AE6907" w:rsidP="00AE6907">
            <w:pPr>
              <w:pStyle w:val="Odstavecseseznamem"/>
              <w:numPr>
                <w:ilvl w:val="0"/>
                <w:numId w:val="25"/>
              </w:numPr>
              <w:spacing w:before="60" w:after="60"/>
              <w:ind w:left="426" w:hanging="284"/>
              <w:contextualSpacing w:val="0"/>
              <w:rPr>
                <w:sz w:val="20"/>
              </w:rPr>
            </w:pPr>
            <w:r w:rsidRPr="00362171">
              <w:rPr>
                <w:sz w:val="20"/>
              </w:rPr>
              <w:t>Využití styčné kanceláře C</w:t>
            </w:r>
            <w:r>
              <w:rPr>
                <w:sz w:val="20"/>
              </w:rPr>
              <w:t>ZELO</w:t>
            </w:r>
            <w:r w:rsidRPr="00362171">
              <w:rPr>
                <w:sz w:val="20"/>
              </w:rPr>
              <w:t xml:space="preserve"> v Bruselu pro aktivnější zapojení v RP (nabídky spolupráce, nalezení partnerů, lobování)</w:t>
            </w:r>
          </w:p>
        </w:tc>
      </w:tr>
      <w:tr w:rsidR="00AE6907" w:rsidRPr="00362171" w:rsidTr="0036029B">
        <w:tc>
          <w:tcPr>
            <w:tcW w:w="9354" w:type="dxa"/>
            <w:shd w:val="clear" w:color="auto" w:fill="B6DDE8" w:themeFill="accent5" w:themeFillTint="66"/>
          </w:tcPr>
          <w:p w:rsidR="00AE6907" w:rsidRPr="00362171" w:rsidRDefault="00AE6907" w:rsidP="0036029B">
            <w:pPr>
              <w:spacing w:before="60" w:after="60"/>
              <w:rPr>
                <w:b/>
                <w:sz w:val="20"/>
              </w:rPr>
            </w:pPr>
            <w:r>
              <w:rPr>
                <w:b/>
                <w:sz w:val="20"/>
              </w:rPr>
              <w:t>Programy bezpečnostního výzkumu</w:t>
            </w:r>
          </w:p>
        </w:tc>
      </w:tr>
      <w:tr w:rsidR="00AE6907" w:rsidRPr="00362171" w:rsidTr="0036029B">
        <w:tc>
          <w:tcPr>
            <w:tcW w:w="9354" w:type="dxa"/>
            <w:shd w:val="clear" w:color="auto" w:fill="DAEEF3" w:themeFill="accent5" w:themeFillTint="33"/>
          </w:tcPr>
          <w:p w:rsidR="00AE6907" w:rsidRPr="00362171" w:rsidRDefault="00AE6907" w:rsidP="00AE6907">
            <w:pPr>
              <w:pStyle w:val="Odstavecseseznamem"/>
              <w:numPr>
                <w:ilvl w:val="0"/>
                <w:numId w:val="25"/>
              </w:numPr>
              <w:spacing w:before="60" w:after="60"/>
              <w:ind w:left="426" w:hanging="284"/>
              <w:contextualSpacing w:val="0"/>
              <w:rPr>
                <w:sz w:val="20"/>
              </w:rPr>
            </w:pPr>
            <w:r w:rsidRPr="00362171">
              <w:rPr>
                <w:sz w:val="20"/>
              </w:rPr>
              <w:t>Aktivizace subjektů z ČR, které zatím nejsou zapojeny v mezinárodních programech řešících problematiku bezpečnosti, avšak mají zkušenosti s BV (na národní úrovni) nebo jsou zapojeny do jiných mezinárodních programů</w:t>
            </w:r>
          </w:p>
          <w:p w:rsidR="00AE6907" w:rsidRPr="00362171" w:rsidRDefault="00AE6907" w:rsidP="00AE6907">
            <w:pPr>
              <w:pStyle w:val="Odstavecseseznamem"/>
              <w:numPr>
                <w:ilvl w:val="0"/>
                <w:numId w:val="25"/>
              </w:numPr>
              <w:spacing w:before="60" w:after="60"/>
              <w:ind w:left="426" w:hanging="284"/>
              <w:contextualSpacing w:val="0"/>
              <w:rPr>
                <w:sz w:val="20"/>
              </w:rPr>
            </w:pPr>
            <w:r w:rsidRPr="00362171">
              <w:rPr>
                <w:sz w:val="20"/>
              </w:rPr>
              <w:t>Využití příležitostí RP a dalších mezinárodních projektů a inciativ pro řešení klíčových výzev evropské společnosti v oblasti bezpečnosti</w:t>
            </w:r>
          </w:p>
          <w:p w:rsidR="00AE6907" w:rsidRPr="00362171" w:rsidRDefault="00AE6907" w:rsidP="00AE6907">
            <w:pPr>
              <w:pStyle w:val="Odstavecseseznamem"/>
              <w:numPr>
                <w:ilvl w:val="0"/>
                <w:numId w:val="25"/>
              </w:numPr>
              <w:spacing w:before="60" w:after="60"/>
              <w:ind w:left="426" w:hanging="284"/>
              <w:contextualSpacing w:val="0"/>
              <w:rPr>
                <w:sz w:val="20"/>
              </w:rPr>
            </w:pPr>
            <w:r w:rsidRPr="00362171">
              <w:rPr>
                <w:sz w:val="20"/>
              </w:rPr>
              <w:t>Využití mezinárodní programů VaV (RP) pro řešení náročného VaV, který není možné řešit na národní úrovni</w:t>
            </w:r>
          </w:p>
          <w:p w:rsidR="00AE6907" w:rsidRPr="00362171" w:rsidRDefault="00AE6907" w:rsidP="00AE6907">
            <w:pPr>
              <w:pStyle w:val="Odstavecseseznamem"/>
              <w:numPr>
                <w:ilvl w:val="0"/>
                <w:numId w:val="25"/>
              </w:numPr>
              <w:spacing w:before="60" w:after="60"/>
              <w:ind w:left="426" w:hanging="284"/>
              <w:contextualSpacing w:val="0"/>
              <w:rPr>
                <w:sz w:val="20"/>
              </w:rPr>
            </w:pPr>
            <w:r w:rsidRPr="00362171">
              <w:rPr>
                <w:sz w:val="20"/>
              </w:rPr>
              <w:t>Získání finančních prostředků pro realizaci VaV, které by nebylo možné realizovat s využitím národních zdrojů (omezený rozpočet pro VaV)</w:t>
            </w:r>
          </w:p>
        </w:tc>
      </w:tr>
      <w:tr w:rsidR="00AE6907" w:rsidRPr="00362171" w:rsidTr="0036029B">
        <w:tc>
          <w:tcPr>
            <w:tcW w:w="9354" w:type="dxa"/>
            <w:shd w:val="clear" w:color="auto" w:fill="D99594" w:themeFill="accent2" w:themeFillTint="99"/>
          </w:tcPr>
          <w:p w:rsidR="00AE6907" w:rsidRPr="00362171" w:rsidRDefault="00AE6907" w:rsidP="0036029B">
            <w:pPr>
              <w:spacing w:before="60" w:after="60"/>
              <w:rPr>
                <w:b/>
                <w:sz w:val="20"/>
              </w:rPr>
            </w:pPr>
            <w:r w:rsidRPr="00362171">
              <w:rPr>
                <w:b/>
                <w:sz w:val="20"/>
              </w:rPr>
              <w:t>Hrozby</w:t>
            </w:r>
          </w:p>
        </w:tc>
      </w:tr>
      <w:tr w:rsidR="00AE6907" w:rsidRPr="00362171" w:rsidTr="0036029B">
        <w:tc>
          <w:tcPr>
            <w:tcW w:w="9354" w:type="dxa"/>
            <w:shd w:val="clear" w:color="auto" w:fill="E5B8B7" w:themeFill="accent2" w:themeFillTint="66"/>
          </w:tcPr>
          <w:p w:rsidR="00AE6907" w:rsidRPr="00362171" w:rsidRDefault="00AE6907" w:rsidP="0036029B">
            <w:pPr>
              <w:spacing w:before="60" w:after="60"/>
              <w:rPr>
                <w:b/>
                <w:sz w:val="20"/>
              </w:rPr>
            </w:pPr>
            <w:r w:rsidRPr="00362171">
              <w:rPr>
                <w:b/>
                <w:sz w:val="20"/>
              </w:rPr>
              <w:t>Systém bezpečnostního výzkumu</w:t>
            </w:r>
          </w:p>
        </w:tc>
      </w:tr>
      <w:tr w:rsidR="00AE6907" w:rsidRPr="00362171" w:rsidTr="0036029B">
        <w:tc>
          <w:tcPr>
            <w:tcW w:w="9354" w:type="dxa"/>
            <w:shd w:val="clear" w:color="auto" w:fill="F2DBDB" w:themeFill="accent2" w:themeFillTint="33"/>
          </w:tcPr>
          <w:p w:rsidR="00AE6907" w:rsidRPr="00E5650E" w:rsidRDefault="00AE6907" w:rsidP="00AE6907">
            <w:pPr>
              <w:pStyle w:val="Odstavecseseznamem"/>
              <w:numPr>
                <w:ilvl w:val="0"/>
                <w:numId w:val="25"/>
              </w:numPr>
              <w:spacing w:before="60" w:after="60"/>
              <w:ind w:left="426" w:hanging="284"/>
              <w:contextualSpacing w:val="0"/>
              <w:rPr>
                <w:sz w:val="20"/>
              </w:rPr>
            </w:pPr>
            <w:r w:rsidRPr="00E5650E">
              <w:rPr>
                <w:sz w:val="20"/>
              </w:rPr>
              <w:t xml:space="preserve">Nedostatečná synergie mezi národními prioritami </w:t>
            </w:r>
            <w:r>
              <w:rPr>
                <w:sz w:val="20"/>
              </w:rPr>
              <w:t xml:space="preserve">BV </w:t>
            </w:r>
            <w:r w:rsidRPr="00E5650E">
              <w:rPr>
                <w:sz w:val="20"/>
              </w:rPr>
              <w:t>a výzkumem financovaným Rámcovými programy neumožní využít synergie národních zdrojů se zdroji zahraničními při řešení náročných projektů, které je nutné realizovat v mezinárodní spolupráci</w:t>
            </w:r>
          </w:p>
          <w:p w:rsidR="00AE6907" w:rsidRPr="00362171" w:rsidRDefault="00AE6907" w:rsidP="00AE6907">
            <w:pPr>
              <w:pStyle w:val="Odstavecseseznamem"/>
              <w:numPr>
                <w:ilvl w:val="0"/>
                <w:numId w:val="25"/>
              </w:numPr>
              <w:spacing w:before="60" w:after="60"/>
              <w:ind w:left="426" w:hanging="284"/>
              <w:contextualSpacing w:val="0"/>
              <w:rPr>
                <w:sz w:val="20"/>
              </w:rPr>
            </w:pPr>
            <w:r w:rsidRPr="00362171">
              <w:rPr>
                <w:sz w:val="20"/>
              </w:rPr>
              <w:t>Nedostatečná zkušenost VO s mezinárodním VaV bude překážkou jejich dalšího odborného rozvoje</w:t>
            </w:r>
          </w:p>
        </w:tc>
      </w:tr>
      <w:tr w:rsidR="00AE6907" w:rsidRPr="00362171" w:rsidTr="0036029B">
        <w:tc>
          <w:tcPr>
            <w:tcW w:w="9354" w:type="dxa"/>
            <w:shd w:val="clear" w:color="auto" w:fill="E5B8B7" w:themeFill="accent2" w:themeFillTint="66"/>
          </w:tcPr>
          <w:p w:rsidR="00AE6907" w:rsidRPr="00362171" w:rsidRDefault="00AE6907" w:rsidP="0036029B">
            <w:pPr>
              <w:spacing w:before="60" w:after="60"/>
              <w:rPr>
                <w:b/>
                <w:sz w:val="20"/>
              </w:rPr>
            </w:pPr>
            <w:r>
              <w:rPr>
                <w:b/>
                <w:sz w:val="20"/>
              </w:rPr>
              <w:t>Programy bezpečnostního výzkumu</w:t>
            </w:r>
          </w:p>
        </w:tc>
      </w:tr>
      <w:tr w:rsidR="00AE6907" w:rsidRPr="00362171" w:rsidTr="0036029B">
        <w:tc>
          <w:tcPr>
            <w:tcW w:w="9354" w:type="dxa"/>
            <w:shd w:val="clear" w:color="auto" w:fill="F2DBDB" w:themeFill="accent2" w:themeFillTint="33"/>
          </w:tcPr>
          <w:p w:rsidR="00AE6907" w:rsidRPr="00362171" w:rsidRDefault="00AE6907" w:rsidP="00AE6907">
            <w:pPr>
              <w:pStyle w:val="Odstavecseseznamem"/>
              <w:numPr>
                <w:ilvl w:val="0"/>
                <w:numId w:val="25"/>
              </w:numPr>
              <w:spacing w:before="60" w:after="60"/>
              <w:ind w:left="426" w:hanging="284"/>
              <w:contextualSpacing w:val="0"/>
              <w:rPr>
                <w:sz w:val="20"/>
              </w:rPr>
            </w:pPr>
            <w:r w:rsidRPr="00362171">
              <w:rPr>
                <w:sz w:val="20"/>
              </w:rPr>
              <w:t>Nedostatečné zohlednění mezinárodní spolupráce ve VaV v metodice hodnocení VO a snazší dostupnost národních zdrojů nebude výzkumné týmy motivovat do zapojení mezinárodních výzkumných programů</w:t>
            </w:r>
          </w:p>
          <w:p w:rsidR="00AE6907" w:rsidRPr="00362171" w:rsidRDefault="00AE6907" w:rsidP="00AE6907">
            <w:pPr>
              <w:pStyle w:val="Odstavecseseznamem"/>
              <w:numPr>
                <w:ilvl w:val="0"/>
                <w:numId w:val="25"/>
              </w:numPr>
              <w:spacing w:before="60" w:after="60"/>
              <w:ind w:left="426" w:hanging="284"/>
              <w:contextualSpacing w:val="0"/>
              <w:rPr>
                <w:sz w:val="20"/>
              </w:rPr>
            </w:pPr>
            <w:r w:rsidRPr="00362171">
              <w:rPr>
                <w:sz w:val="20"/>
              </w:rPr>
              <w:t>Nezájem/neochota subjektů z ČR se zapojit do mezinárodních programů VaV (zejména RP) neumožní se zapojit do řešení výzev společnosti v oblasti bezpečnosti nebo využít mezinárodní spolupráci pro realizaci náročného VaV, který není možné řešit na národní úrovni.</w:t>
            </w:r>
          </w:p>
        </w:tc>
      </w:tr>
    </w:tbl>
    <w:p w:rsidR="00AE6907" w:rsidRDefault="00AE6907" w:rsidP="00AE6907"/>
    <w:p w:rsidR="00AE6907" w:rsidRDefault="00AE6907" w:rsidP="00AE6907">
      <w:pPr>
        <w:pStyle w:val="Nadpis2"/>
      </w:pPr>
      <w:bookmarkStart w:id="286" w:name="_Toc454786541"/>
      <w:bookmarkStart w:id="287" w:name="_Toc459723350"/>
      <w:r>
        <w:t>Potenciál specializovaných kapacit výzkumných a zkušebních kapacit v ČR pro zapojení do bezpečnostního výzkumu</w:t>
      </w:r>
      <w:bookmarkEnd w:id="286"/>
      <w:bookmarkEnd w:id="287"/>
    </w:p>
    <w:p w:rsidR="00AE6907" w:rsidRDefault="00AE6907" w:rsidP="00AE6907">
      <w:r>
        <w:t>V ČR působí značný počet subjektů, které se mohou zapojit do bezpečnostního výzkumu (BV). Vysoký potenciál pro zapojení do BV mají zejména VO, jako jsou VŠ a veřejné výzkumné instituce (ústavy AV ČR a další ústavy). VŠ disponují kvalitním a často i unikátním experimentálním vybavením a působí v nich i nejširší výzkumné týmy zahrnující výzkumné pracovníky s expertízou v řadě vědních disciplín i technické a odborné pracovníky nezbytné k realizaci dalších činností souvisejících s VaV. VŠ tak mohou realizovat VaV širokém spektru oborů a mohou se zapojit do náročných multidisciplinárních projektů. Potenciál VŠ pro BV je zejména v počátečních fázích, kde vznikají nové znalosti (základní a aplikovaný výzkum). Širší jádro BV tvoří několik velkých VŠ, mezi které patří zejména ČVUT v Praze, VUT v Brně, VŠCHT v Praze a VŠB - TU Ostrava.</w:t>
      </w:r>
    </w:p>
    <w:p w:rsidR="00AE6907" w:rsidRDefault="00AE6907" w:rsidP="00AE6907">
      <w:r>
        <w:t>Z veřejných výzkumných institucí mají nejvyšší potenciál ústavy, které získávají institucionální podporu z rozpočtové kapitoly MV – SÚRO a SÚCHJBO. Potenciál některých ústavů (zejména ústavů AV ČR) pro BV bude podobný jako u VŠ. Některé ústavy, jako jsou zejména resortní ústavy a ústavy z podnikatelského sektoru, budou realizovat spíše VaV podle svého zaměření (tj. v dané technologické oblasti) a jejich potenciál bude zejména v oblasti aplikovaného VaV a zavádění výsledků do praxe. VO  mají potenciál pro zapojení do mezinárodního výzkumu a mohou se zapojit i do významných projektů řešících klíčové výzvy evropské společnosti.</w:t>
      </w:r>
    </w:p>
    <w:p w:rsidR="00AE6907" w:rsidRDefault="00AE6907" w:rsidP="00AE6907">
      <w:r>
        <w:t>Klíčovými institucemi pro BV jsou také organizační jednotky MV, které realizuji VaV v souladu se svou misí. Tyto instituce zároveň získávají od MV institucionální podporu na rozvoj VO. Potenciál těchto institucí pro zapojení do výzkumných aktivit řešících různé aspekty bezpečnosti je velmi vysoký.</w:t>
      </w:r>
    </w:p>
    <w:p w:rsidR="00AE6907" w:rsidRDefault="00AE6907" w:rsidP="00AE6907">
      <w:r>
        <w:t>Potenciál pro BV má i značný počet podniků disponujících VaV infrastrukturou (vybavením) a výzkumnými pracovníky, kteří jsou schopni takto zaměřený VaV realizovat. Podniky sice tvoří většinu účastníků programů MV, avšak zpravidla disponují relativně malými výzkumnými týmy s omezeným počtem pracovníků. Podniky zatím (až na výjimky) nemají příliš velké ambice zapojit se do mezinárodních VaV projektů v rámcových programech. Potenciál podniků je tak zejména pro realizaci projektů aplikovaného VaV, které jsou zaměřeny na konkrétní obor nebo technologii, a jako partnerů VO v náročnějších VaV projektech.</w:t>
      </w:r>
    </w:p>
    <w:p w:rsidR="00AE6907" w:rsidRDefault="00AE6907" w:rsidP="00AE6907">
      <w:r>
        <w:t>V letech 2007 – 2013 došlo s využitím finančních prostředků Operačního programu Výzkum a vývoj pro inovace k výraznému posílení výzkumné infrastruktury v ČR. S podporou OP VaVpI byl v tomto období podpořen vznik osmi evropských center excelence, které budou disponovat unikátní výzkumnou infrastrukturou a 40 regionálních VaV center působících v různých regionech ČR. Většina z nových výzkumných center má také potenciál pro zapojení do BV. Podle názorů expertů největší potenciál má národní superpočítačové centrum excelence IT4Innovations, které by se mělo uplatnit zejména v oblasti využití IT a kybernetické bezpečnosti. Další centrem excelence s vysokým potenciálem pro BV je NTIS - Nové technologie pro informační společnost. Potenciál evropských center excelence je zejména v oblasti pokročilého základního výzkumu.</w:t>
      </w:r>
    </w:p>
    <w:p w:rsidR="00AE6907" w:rsidRDefault="00AE6907" w:rsidP="00AE6907">
      <w:r>
        <w:t>Také většina regionálních VaV center má potenciál pro zapojení do BV. Podle expertů má největší potenciál Centrum pro nanomateriály, pokročilé technologie a inovace, Centrum pro výzkum toxických látek v prostředí (CETOCOEN) a Centrum bezpečnostních, informačních a pokročilých technologií (CEBIA). Potenciál regionálních VaV center je zejména v oblasti aplikovaného VaV a realizace nových poznatků VaV v praxi ve spolupráci s aplikační sférou. Potenciál pro BV mají i některá infrastrukturní zařízení zařazená v Cestovní mapě ČR velkých infrastruktur pro výzkum, experimentální vývoj a inovace pro léta 2016 – 2022 zpracované MŠMT.</w:t>
      </w:r>
    </w:p>
    <w:p w:rsidR="00AE6907" w:rsidRDefault="00AE6907" w:rsidP="00AE6907">
      <w:r>
        <w:t>V ČR existuje řada subjektů, které sice nemají potenciál pro přímé zapojení do BV, avšak mohou provádět další činnosti, které jsou pro úspěšnou realizaci projektů BV nezbytné nebo které mohou jejich realizaci výrazně napomoci. Mezi tyto činnosti patří zejména ověřování výsledků BV, jejich certifikace, kalibrace a testování, provádění speciálních analýz, zpracování odborných posudků a stanovisek, realizace zkušebního provozu apod.</w:t>
      </w:r>
    </w:p>
    <w:p w:rsidR="00AE6907" w:rsidRDefault="00AE6907" w:rsidP="00AE6907">
      <w:r>
        <w:t xml:space="preserve">Významný potenciál pro uvedené účely mají forenzní laboratoře a pracoviště, soudních ústavy a další instituce, jejichž aktivity lze využít pro forenzní účely. Vysoký potenciál pro zkušebnictví mají technické a zkušební ústavy. Potenciál pro zkušebnictví má i značný počet výzkumných pracovišť, která disponují vybavením umožňujícím realizovat laboratorní analýzy, kalibrace a certifikace pro potřeby bezpečnosti. Některá z těchto pracovišť mají i akreditované laboratoře a certifikované zkušebny, kalibrace, certifikace apod. Potenciál pro zkušebnictví mají také některé podniky působících v oblasti bezpečnosti. </w:t>
      </w:r>
    </w:p>
    <w:p w:rsidR="00AE6907" w:rsidRDefault="00AE6907" w:rsidP="00D87F3A">
      <w:pPr>
        <w:spacing w:after="240"/>
      </w:pPr>
      <w:r>
        <w:t>Potenciál subjektů, které se zapojují nebo mohou zapojit do programů BV, není dosud plně využit. Ze zpracovaných analýz vyplývá, že v ČR existuje značný počet VO (VŠ, VVI i dalších ústavů), které nejsou dosud zapojeny v programech BV, avšak realizuji VaV, jehož zaměření souvisí s problematikou bezpečnosti nebo jehož výsledky jsou využitelné v oblasti bezpečnosti. Poměrně málo je využit potenciál ústavů AV ČR. Prostor pro rozvoj BV je zejména v oborech jako jsou klinická medicína, botanika a zoologie, společenské vědy, chemie, technické vědy a vědy o Zemi.</w:t>
      </w:r>
    </w:p>
    <w:tbl>
      <w:tblPr>
        <w:tblStyle w:val="Mkatabulky"/>
        <w:tblW w:w="0" w:type="auto"/>
        <w:shd w:val="clear" w:color="auto" w:fill="FDE9D9" w:themeFill="accent6" w:themeFillTint="33"/>
        <w:tblLook w:val="04A0" w:firstRow="1" w:lastRow="0" w:firstColumn="1" w:lastColumn="0" w:noHBand="0" w:noVBand="1"/>
      </w:tblPr>
      <w:tblGrid>
        <w:gridCol w:w="9354"/>
      </w:tblGrid>
      <w:tr w:rsidR="00AE6907" w:rsidRPr="00362171" w:rsidTr="0036029B">
        <w:tc>
          <w:tcPr>
            <w:tcW w:w="9354" w:type="dxa"/>
            <w:shd w:val="clear" w:color="auto" w:fill="95B3D7" w:themeFill="accent1" w:themeFillTint="99"/>
          </w:tcPr>
          <w:p w:rsidR="00AE6907" w:rsidRPr="00362171" w:rsidRDefault="00AE6907" w:rsidP="0036029B">
            <w:pPr>
              <w:spacing w:before="60" w:after="60"/>
              <w:rPr>
                <w:b/>
                <w:sz w:val="20"/>
              </w:rPr>
            </w:pPr>
            <w:r w:rsidRPr="00362171">
              <w:rPr>
                <w:b/>
                <w:sz w:val="20"/>
              </w:rPr>
              <w:t>Silné stránky</w:t>
            </w:r>
          </w:p>
        </w:tc>
      </w:tr>
      <w:tr w:rsidR="00AE6907" w:rsidRPr="00362171" w:rsidTr="0036029B">
        <w:tc>
          <w:tcPr>
            <w:tcW w:w="9354" w:type="dxa"/>
            <w:shd w:val="clear" w:color="auto" w:fill="C6D9F1" w:themeFill="text2" w:themeFillTint="33"/>
          </w:tcPr>
          <w:p w:rsidR="00AE6907" w:rsidRPr="00362171" w:rsidRDefault="00AE6907" w:rsidP="0036029B">
            <w:pPr>
              <w:spacing w:before="60" w:after="60"/>
              <w:rPr>
                <w:b/>
                <w:sz w:val="20"/>
              </w:rPr>
            </w:pPr>
            <w:r w:rsidRPr="00362171">
              <w:rPr>
                <w:b/>
                <w:sz w:val="20"/>
              </w:rPr>
              <w:t>Systém bezpečnostního výzkumu</w:t>
            </w:r>
          </w:p>
        </w:tc>
      </w:tr>
      <w:tr w:rsidR="00AE6907" w:rsidRPr="00362171" w:rsidTr="0036029B">
        <w:tc>
          <w:tcPr>
            <w:tcW w:w="9354" w:type="dxa"/>
            <w:shd w:val="clear" w:color="auto" w:fill="DBE5F1" w:themeFill="accent1" w:themeFillTint="33"/>
          </w:tcPr>
          <w:p w:rsidR="00AE6907" w:rsidRDefault="00AE6907" w:rsidP="00AE6907">
            <w:pPr>
              <w:pStyle w:val="Odstavecseseznamem"/>
              <w:numPr>
                <w:ilvl w:val="0"/>
                <w:numId w:val="25"/>
              </w:numPr>
              <w:spacing w:before="60" w:after="60"/>
              <w:ind w:left="426" w:hanging="284"/>
              <w:contextualSpacing w:val="0"/>
              <w:rPr>
                <w:sz w:val="20"/>
              </w:rPr>
            </w:pPr>
            <w:r w:rsidRPr="00362171">
              <w:rPr>
                <w:sz w:val="20"/>
              </w:rPr>
              <w:t>Existence VO (zejména VŠ, VVI a dalších výzkumných ústavů), které disponují kvalitním vybavením a velkými výzkumnými týmy zahrnujícími pracovníky z řady vědních disciplín</w:t>
            </w:r>
          </w:p>
          <w:p w:rsidR="00AE6907" w:rsidRPr="00362171" w:rsidRDefault="00AE6907" w:rsidP="00AE6907">
            <w:pPr>
              <w:pStyle w:val="Odstavecseseznamem"/>
              <w:numPr>
                <w:ilvl w:val="0"/>
                <w:numId w:val="25"/>
              </w:numPr>
              <w:spacing w:before="60" w:after="60"/>
              <w:ind w:left="426" w:hanging="284"/>
              <w:contextualSpacing w:val="0"/>
              <w:rPr>
                <w:sz w:val="20"/>
              </w:rPr>
            </w:pPr>
            <w:r w:rsidRPr="00362171">
              <w:rPr>
                <w:sz w:val="20"/>
              </w:rPr>
              <w:t>Existence VO specializujících na bezpečnostní výzkum získávajících institucionální podporu VaV z rozpočtové kapitoly MV, která vytváří podmínky pro jejich dlouhodobý strategický rozvoj</w:t>
            </w:r>
          </w:p>
          <w:p w:rsidR="00AE6907" w:rsidRPr="00362171" w:rsidRDefault="00AE6907" w:rsidP="00AE6907">
            <w:pPr>
              <w:pStyle w:val="Odstavecseseznamem"/>
              <w:numPr>
                <w:ilvl w:val="0"/>
                <w:numId w:val="25"/>
              </w:numPr>
              <w:spacing w:before="60" w:after="60"/>
              <w:ind w:left="426" w:hanging="284"/>
              <w:contextualSpacing w:val="0"/>
              <w:rPr>
                <w:sz w:val="20"/>
              </w:rPr>
            </w:pPr>
            <w:r w:rsidRPr="00362171">
              <w:rPr>
                <w:sz w:val="20"/>
              </w:rPr>
              <w:t>Existence podniků působících v bezpečnostním a obranném průmyslu, které disponují vlastními VaV kapacitami a které se zapojují do programů bezpečnostního výzkumu</w:t>
            </w:r>
          </w:p>
          <w:p w:rsidR="00AE6907" w:rsidRPr="00362171" w:rsidRDefault="00AE6907" w:rsidP="00AE6907">
            <w:pPr>
              <w:pStyle w:val="Odstavecseseznamem"/>
              <w:numPr>
                <w:ilvl w:val="0"/>
                <w:numId w:val="25"/>
              </w:numPr>
              <w:spacing w:before="60" w:after="60"/>
              <w:ind w:left="426" w:hanging="284"/>
              <w:contextualSpacing w:val="0"/>
              <w:rPr>
                <w:sz w:val="20"/>
              </w:rPr>
            </w:pPr>
            <w:r w:rsidRPr="00362171">
              <w:rPr>
                <w:sz w:val="20"/>
              </w:rPr>
              <w:t>Existence moderní a kvalitní výzkumné infrastruktury (zejména výzkumná centra vybudovaná s využitím prostředků OP VaVpI), kterou lze využít pro realizaci bezpečnostně zaměřeného VaV</w:t>
            </w:r>
          </w:p>
          <w:p w:rsidR="00AE6907" w:rsidRPr="005F6976" w:rsidRDefault="00AE6907" w:rsidP="00AE6907">
            <w:pPr>
              <w:pStyle w:val="Odstavecseseznamem"/>
              <w:numPr>
                <w:ilvl w:val="0"/>
                <w:numId w:val="25"/>
              </w:numPr>
              <w:spacing w:before="60" w:after="60"/>
              <w:ind w:left="426" w:hanging="284"/>
              <w:contextualSpacing w:val="0"/>
              <w:rPr>
                <w:sz w:val="20"/>
              </w:rPr>
            </w:pPr>
            <w:r w:rsidRPr="00362171">
              <w:rPr>
                <w:sz w:val="20"/>
              </w:rPr>
              <w:t>Existence značného počtu zkušebních, testovacích a dalších kapacit, které působí v oblasti bezpečnosti nebo se zabývají různými aspekty bezpečnostní problematiky (forenzní pracoviště, zkušební ústavy apod.)</w:t>
            </w:r>
          </w:p>
        </w:tc>
      </w:tr>
      <w:tr w:rsidR="00AE6907" w:rsidRPr="00362171" w:rsidTr="0036029B">
        <w:tc>
          <w:tcPr>
            <w:tcW w:w="9354" w:type="dxa"/>
            <w:shd w:val="clear" w:color="auto" w:fill="C6D9F1" w:themeFill="text2" w:themeFillTint="33"/>
          </w:tcPr>
          <w:p w:rsidR="00AE6907" w:rsidRPr="00362171" w:rsidRDefault="00AE6907" w:rsidP="0036029B">
            <w:pPr>
              <w:spacing w:before="60" w:after="60"/>
              <w:rPr>
                <w:b/>
                <w:sz w:val="20"/>
              </w:rPr>
            </w:pPr>
            <w:r>
              <w:rPr>
                <w:b/>
                <w:sz w:val="20"/>
              </w:rPr>
              <w:t>Programy bezpečnostního výzkumu</w:t>
            </w:r>
          </w:p>
        </w:tc>
      </w:tr>
      <w:tr w:rsidR="00AE6907" w:rsidRPr="00362171" w:rsidTr="0036029B">
        <w:tc>
          <w:tcPr>
            <w:tcW w:w="9354" w:type="dxa"/>
            <w:shd w:val="clear" w:color="auto" w:fill="DBE5F1" w:themeFill="accent1" w:themeFillTint="33"/>
          </w:tcPr>
          <w:p w:rsidR="00AE6907" w:rsidRPr="00362171" w:rsidRDefault="00AE6907" w:rsidP="00AE6907">
            <w:pPr>
              <w:pStyle w:val="Odstavecseseznamem"/>
              <w:numPr>
                <w:ilvl w:val="0"/>
                <w:numId w:val="25"/>
              </w:numPr>
              <w:spacing w:before="60" w:after="60"/>
              <w:ind w:left="426" w:hanging="284"/>
              <w:contextualSpacing w:val="0"/>
              <w:rPr>
                <w:sz w:val="20"/>
              </w:rPr>
            </w:pPr>
            <w:r w:rsidRPr="00362171">
              <w:rPr>
                <w:sz w:val="20"/>
              </w:rPr>
              <w:t>Existence značného počtu su</w:t>
            </w:r>
            <w:r>
              <w:rPr>
                <w:sz w:val="20"/>
              </w:rPr>
              <w:t>bjektů působících v různých</w:t>
            </w:r>
            <w:r w:rsidRPr="00362171">
              <w:rPr>
                <w:sz w:val="20"/>
              </w:rPr>
              <w:t xml:space="preserve"> vědních oblastech, které nejsou dosud zapojeny do programů BV a které se do těchto programů mohou zapojit v budoucnosti, včetně multidisciplinárních projektů pokrývajících všechny fáze výzkumu.</w:t>
            </w:r>
          </w:p>
        </w:tc>
      </w:tr>
      <w:tr w:rsidR="00AE6907" w:rsidRPr="00362171" w:rsidTr="0036029B">
        <w:tc>
          <w:tcPr>
            <w:tcW w:w="9354" w:type="dxa"/>
            <w:shd w:val="clear" w:color="auto" w:fill="FABF8F" w:themeFill="accent6" w:themeFillTint="99"/>
          </w:tcPr>
          <w:p w:rsidR="00AE6907" w:rsidRPr="00362171" w:rsidRDefault="00AE6907" w:rsidP="0036029B">
            <w:pPr>
              <w:spacing w:before="60" w:after="60"/>
              <w:rPr>
                <w:b/>
                <w:sz w:val="20"/>
              </w:rPr>
            </w:pPr>
            <w:r w:rsidRPr="00362171">
              <w:rPr>
                <w:b/>
                <w:sz w:val="20"/>
              </w:rPr>
              <w:t>Slabé stránky</w:t>
            </w:r>
          </w:p>
        </w:tc>
      </w:tr>
      <w:tr w:rsidR="00AE6907" w:rsidRPr="00362171" w:rsidTr="0036029B">
        <w:tc>
          <w:tcPr>
            <w:tcW w:w="9354" w:type="dxa"/>
            <w:shd w:val="clear" w:color="auto" w:fill="FBD4B4" w:themeFill="accent6" w:themeFillTint="66"/>
          </w:tcPr>
          <w:p w:rsidR="00AE6907" w:rsidRPr="00362171" w:rsidRDefault="00AE6907" w:rsidP="0036029B">
            <w:pPr>
              <w:spacing w:before="60" w:after="60"/>
              <w:rPr>
                <w:b/>
                <w:sz w:val="20"/>
              </w:rPr>
            </w:pPr>
            <w:r w:rsidRPr="00362171">
              <w:rPr>
                <w:b/>
                <w:sz w:val="20"/>
              </w:rPr>
              <w:t>Systém bezpečnostního výzkumu</w:t>
            </w:r>
          </w:p>
        </w:tc>
      </w:tr>
      <w:tr w:rsidR="00AE6907" w:rsidRPr="00362171" w:rsidTr="0036029B">
        <w:tc>
          <w:tcPr>
            <w:tcW w:w="9354" w:type="dxa"/>
            <w:shd w:val="clear" w:color="auto" w:fill="FDE9D9" w:themeFill="accent6" w:themeFillTint="33"/>
          </w:tcPr>
          <w:p w:rsidR="00AE6907" w:rsidRPr="00362171" w:rsidRDefault="00AE6907" w:rsidP="00AE6907">
            <w:pPr>
              <w:pStyle w:val="Odstavecseseznamem"/>
              <w:numPr>
                <w:ilvl w:val="0"/>
                <w:numId w:val="25"/>
              </w:numPr>
              <w:spacing w:before="60" w:after="60"/>
              <w:ind w:left="426" w:hanging="284"/>
              <w:contextualSpacing w:val="0"/>
              <w:rPr>
                <w:sz w:val="20"/>
              </w:rPr>
            </w:pPr>
            <w:r w:rsidRPr="00362171">
              <w:rPr>
                <w:sz w:val="20"/>
              </w:rPr>
              <w:t>Omezené personální kapacity pro VaV v podnicích působících v oblasti bezpečnosti</w:t>
            </w:r>
          </w:p>
          <w:p w:rsidR="00AE6907" w:rsidRPr="00362171" w:rsidRDefault="00AE6907" w:rsidP="00AE6907">
            <w:pPr>
              <w:pStyle w:val="Odstavecseseznamem"/>
              <w:numPr>
                <w:ilvl w:val="0"/>
                <w:numId w:val="25"/>
              </w:numPr>
              <w:spacing w:before="60" w:after="60"/>
              <w:ind w:left="426" w:hanging="284"/>
              <w:contextualSpacing w:val="0"/>
              <w:rPr>
                <w:sz w:val="20"/>
              </w:rPr>
            </w:pPr>
            <w:r w:rsidRPr="00362171">
              <w:rPr>
                <w:sz w:val="20"/>
              </w:rPr>
              <w:t>Nedostatečně využitý potenciál VO a dalších subjektů pro BV</w:t>
            </w:r>
          </w:p>
          <w:p w:rsidR="00AE6907" w:rsidRPr="00362171" w:rsidRDefault="00AE6907" w:rsidP="00AE6907">
            <w:pPr>
              <w:pStyle w:val="Odstavecseseznamem"/>
              <w:numPr>
                <w:ilvl w:val="0"/>
                <w:numId w:val="25"/>
              </w:numPr>
              <w:spacing w:before="60" w:after="60"/>
              <w:ind w:left="426" w:hanging="284"/>
              <w:contextualSpacing w:val="0"/>
              <w:rPr>
                <w:sz w:val="20"/>
              </w:rPr>
            </w:pPr>
            <w:r w:rsidRPr="00362171">
              <w:rPr>
                <w:sz w:val="20"/>
              </w:rPr>
              <w:t>Nedostatečně využitý potenciál subjektů působících v oblasti zkušebnictví, testování, kalibrací a dalších oblastech, které mohou přispět k realizaci výsledků bezpečnostního výzkumu</w:t>
            </w:r>
          </w:p>
        </w:tc>
      </w:tr>
      <w:tr w:rsidR="00AE6907" w:rsidRPr="00362171" w:rsidTr="0036029B">
        <w:tc>
          <w:tcPr>
            <w:tcW w:w="9354" w:type="dxa"/>
            <w:shd w:val="clear" w:color="auto" w:fill="FBD4B4" w:themeFill="accent6" w:themeFillTint="66"/>
          </w:tcPr>
          <w:p w:rsidR="00AE6907" w:rsidRPr="00362171" w:rsidRDefault="00AE6907" w:rsidP="0036029B">
            <w:pPr>
              <w:spacing w:before="60" w:after="60"/>
              <w:rPr>
                <w:b/>
                <w:sz w:val="20"/>
              </w:rPr>
            </w:pPr>
            <w:r>
              <w:rPr>
                <w:b/>
                <w:sz w:val="20"/>
              </w:rPr>
              <w:t>Programy bezpečnostního výzkumu</w:t>
            </w:r>
          </w:p>
        </w:tc>
      </w:tr>
      <w:tr w:rsidR="00AE6907" w:rsidRPr="00362171" w:rsidTr="0036029B">
        <w:tc>
          <w:tcPr>
            <w:tcW w:w="9354" w:type="dxa"/>
            <w:shd w:val="clear" w:color="auto" w:fill="FDE9D9" w:themeFill="accent6" w:themeFillTint="33"/>
          </w:tcPr>
          <w:p w:rsidR="00AE6907" w:rsidRPr="00D70F1F" w:rsidRDefault="00AE6907" w:rsidP="00AE6907">
            <w:pPr>
              <w:pStyle w:val="Odstavecseseznamem"/>
              <w:numPr>
                <w:ilvl w:val="0"/>
                <w:numId w:val="25"/>
              </w:numPr>
              <w:spacing w:before="60" w:after="60"/>
              <w:ind w:left="426" w:hanging="284"/>
              <w:contextualSpacing w:val="0"/>
              <w:rPr>
                <w:sz w:val="20"/>
              </w:rPr>
            </w:pPr>
            <w:r w:rsidRPr="00D70F1F">
              <w:rPr>
                <w:sz w:val="20"/>
              </w:rPr>
              <w:t>Zatím omezený potenciál podniků pro řešení rozsáhlejších projektů bezpečnostního výzkumu řešících klíčové výzvy v oblasti bezpečnosti (podniky se zapojují často do projektů VŠ, ze kterých zpravidla získávají malé části rozpočtů a realizují spíše dílčí aktivity)</w:t>
            </w:r>
          </w:p>
          <w:p w:rsidR="00AE6907" w:rsidRPr="00362171" w:rsidRDefault="00AE6907" w:rsidP="00AE6907">
            <w:pPr>
              <w:pStyle w:val="Odstavecseseznamem"/>
              <w:numPr>
                <w:ilvl w:val="0"/>
                <w:numId w:val="25"/>
              </w:numPr>
              <w:spacing w:before="60" w:after="60"/>
              <w:ind w:left="426" w:hanging="284"/>
              <w:contextualSpacing w:val="0"/>
              <w:rPr>
                <w:sz w:val="20"/>
              </w:rPr>
            </w:pPr>
            <w:r w:rsidRPr="00362171">
              <w:rPr>
                <w:sz w:val="20"/>
              </w:rPr>
              <w:t>Nedostatečný potenciál některých subjektů z ČR (z výzkumného i podnikatelského sektoru) pro zapojení do mezinárodního výzkumu řešícího problematiku bezpečnosti</w:t>
            </w:r>
          </w:p>
        </w:tc>
      </w:tr>
      <w:tr w:rsidR="00AE6907" w:rsidRPr="00362171" w:rsidTr="0036029B">
        <w:tc>
          <w:tcPr>
            <w:tcW w:w="9354" w:type="dxa"/>
            <w:shd w:val="clear" w:color="auto" w:fill="92CDDC" w:themeFill="accent5" w:themeFillTint="99"/>
          </w:tcPr>
          <w:p w:rsidR="00AE6907" w:rsidRPr="00362171" w:rsidRDefault="00AE6907" w:rsidP="0036029B">
            <w:pPr>
              <w:spacing w:before="60" w:after="60"/>
              <w:rPr>
                <w:b/>
                <w:sz w:val="20"/>
              </w:rPr>
            </w:pPr>
            <w:r w:rsidRPr="00362171">
              <w:rPr>
                <w:b/>
                <w:sz w:val="20"/>
              </w:rPr>
              <w:t>Příležitosti</w:t>
            </w:r>
          </w:p>
        </w:tc>
      </w:tr>
      <w:tr w:rsidR="00AE6907" w:rsidRPr="00362171" w:rsidTr="0036029B">
        <w:tc>
          <w:tcPr>
            <w:tcW w:w="9354" w:type="dxa"/>
            <w:shd w:val="clear" w:color="auto" w:fill="B6DDE8" w:themeFill="accent5" w:themeFillTint="66"/>
          </w:tcPr>
          <w:p w:rsidR="00AE6907" w:rsidRPr="00362171" w:rsidRDefault="00AE6907" w:rsidP="0036029B">
            <w:pPr>
              <w:spacing w:before="60" w:after="60"/>
              <w:rPr>
                <w:b/>
                <w:sz w:val="20"/>
              </w:rPr>
            </w:pPr>
            <w:r w:rsidRPr="00362171">
              <w:rPr>
                <w:b/>
                <w:sz w:val="20"/>
              </w:rPr>
              <w:t>Systém bezpečnostního výzkumu</w:t>
            </w:r>
          </w:p>
        </w:tc>
      </w:tr>
      <w:tr w:rsidR="00AE6907" w:rsidRPr="00362171" w:rsidTr="0036029B">
        <w:tc>
          <w:tcPr>
            <w:tcW w:w="9354" w:type="dxa"/>
            <w:shd w:val="clear" w:color="auto" w:fill="DAEEF3" w:themeFill="accent5" w:themeFillTint="33"/>
          </w:tcPr>
          <w:p w:rsidR="00AE6907" w:rsidRPr="00362171" w:rsidRDefault="00AE6907" w:rsidP="00AE6907">
            <w:pPr>
              <w:pStyle w:val="Odstavecseseznamem"/>
              <w:numPr>
                <w:ilvl w:val="0"/>
                <w:numId w:val="25"/>
              </w:numPr>
              <w:spacing w:before="60" w:after="60"/>
              <w:ind w:left="426" w:hanging="284"/>
              <w:contextualSpacing w:val="0"/>
              <w:rPr>
                <w:sz w:val="20"/>
              </w:rPr>
            </w:pPr>
            <w:r w:rsidRPr="00362171">
              <w:rPr>
                <w:sz w:val="20"/>
              </w:rPr>
              <w:t>Vyšší zapojení (aktivizace) subjektů působících v oblasti bezpečnosti do mezinárodního výzkumu umožní řešit klíčové společenské výzvy v oblasti bezpečnosti</w:t>
            </w:r>
          </w:p>
          <w:p w:rsidR="00AE6907" w:rsidRPr="00362171" w:rsidRDefault="00AE6907" w:rsidP="00AE6907">
            <w:pPr>
              <w:pStyle w:val="Odstavecseseznamem"/>
              <w:numPr>
                <w:ilvl w:val="0"/>
                <w:numId w:val="25"/>
              </w:numPr>
              <w:spacing w:before="60" w:after="60"/>
              <w:ind w:left="426" w:hanging="284"/>
              <w:contextualSpacing w:val="0"/>
              <w:rPr>
                <w:sz w:val="20"/>
              </w:rPr>
            </w:pPr>
            <w:r w:rsidRPr="00362171">
              <w:rPr>
                <w:sz w:val="20"/>
              </w:rPr>
              <w:t>Aktivizace center transferu technologií a systémů pro komercializaci ve VO zlepší využívání nových poznatků VaV v praxi a ke spolupráci VO s aplikační sférou</w:t>
            </w:r>
          </w:p>
        </w:tc>
      </w:tr>
      <w:tr w:rsidR="00AE6907" w:rsidRPr="00362171" w:rsidTr="0036029B">
        <w:tc>
          <w:tcPr>
            <w:tcW w:w="9354" w:type="dxa"/>
            <w:shd w:val="clear" w:color="auto" w:fill="B6DDE8" w:themeFill="accent5" w:themeFillTint="66"/>
          </w:tcPr>
          <w:p w:rsidR="00AE6907" w:rsidRPr="00362171" w:rsidRDefault="00AE6907" w:rsidP="0036029B">
            <w:pPr>
              <w:spacing w:before="60" w:after="60"/>
              <w:rPr>
                <w:b/>
                <w:sz w:val="20"/>
              </w:rPr>
            </w:pPr>
            <w:r>
              <w:rPr>
                <w:b/>
                <w:sz w:val="20"/>
              </w:rPr>
              <w:t>Programy bezpečnostního výzkumu</w:t>
            </w:r>
          </w:p>
        </w:tc>
      </w:tr>
      <w:tr w:rsidR="00AE6907" w:rsidRPr="00362171" w:rsidTr="0036029B">
        <w:tc>
          <w:tcPr>
            <w:tcW w:w="9354" w:type="dxa"/>
            <w:shd w:val="clear" w:color="auto" w:fill="DAEEF3" w:themeFill="accent5" w:themeFillTint="33"/>
          </w:tcPr>
          <w:p w:rsidR="00AE6907" w:rsidRPr="00362171" w:rsidRDefault="00AE6907" w:rsidP="00AE6907">
            <w:pPr>
              <w:pStyle w:val="Odstavecseseznamem"/>
              <w:numPr>
                <w:ilvl w:val="0"/>
                <w:numId w:val="25"/>
              </w:numPr>
              <w:spacing w:before="60" w:after="60"/>
              <w:ind w:left="426" w:hanging="284"/>
              <w:contextualSpacing w:val="0"/>
              <w:rPr>
                <w:sz w:val="20"/>
              </w:rPr>
            </w:pPr>
            <w:r w:rsidRPr="00362171">
              <w:rPr>
                <w:sz w:val="20"/>
              </w:rPr>
              <w:t xml:space="preserve">Zvýšení rozpočtu programů BV umožní zapojení subjektů, které se do řešení nezapojovaly (využití potenciálu pracovišť, které nejsou v BV zatím zapojena), a odrazí se ve zvýšení bezpečnosti ČR a zároveň přispěje k nárůstu kapacit </w:t>
            </w:r>
            <w:r>
              <w:rPr>
                <w:sz w:val="20"/>
              </w:rPr>
              <w:t>pro BV v ČR</w:t>
            </w:r>
          </w:p>
          <w:p w:rsidR="00AE6907" w:rsidRPr="00362171" w:rsidRDefault="00AE6907" w:rsidP="00AE6907">
            <w:pPr>
              <w:pStyle w:val="Odstavecseseznamem"/>
              <w:numPr>
                <w:ilvl w:val="0"/>
                <w:numId w:val="25"/>
              </w:numPr>
              <w:spacing w:before="60" w:after="60"/>
              <w:ind w:left="426" w:hanging="284"/>
              <w:contextualSpacing w:val="0"/>
              <w:rPr>
                <w:sz w:val="20"/>
              </w:rPr>
            </w:pPr>
            <w:r w:rsidRPr="00362171">
              <w:rPr>
                <w:sz w:val="20"/>
              </w:rPr>
              <w:t>Vyšší zapojení (aktivizace)</w:t>
            </w:r>
            <w:r>
              <w:rPr>
                <w:sz w:val="20"/>
              </w:rPr>
              <w:t xml:space="preserve"> </w:t>
            </w:r>
            <w:r w:rsidRPr="00362171">
              <w:rPr>
                <w:sz w:val="20"/>
              </w:rPr>
              <w:t>subjektů působících v oblasti zkušebnictví, testování, kalibrací, servisu apod. přispěje k vyšší efektivitě programů BV a k lepšímu využívání nových poznatků VaV v praxi</w:t>
            </w:r>
          </w:p>
        </w:tc>
      </w:tr>
      <w:tr w:rsidR="00AE6907" w:rsidRPr="00362171" w:rsidTr="0036029B">
        <w:tc>
          <w:tcPr>
            <w:tcW w:w="9354" w:type="dxa"/>
            <w:shd w:val="clear" w:color="auto" w:fill="D99594" w:themeFill="accent2" w:themeFillTint="99"/>
          </w:tcPr>
          <w:p w:rsidR="00AE6907" w:rsidRPr="00362171" w:rsidRDefault="00AE6907" w:rsidP="0036029B">
            <w:pPr>
              <w:spacing w:before="60" w:after="60"/>
              <w:rPr>
                <w:b/>
                <w:sz w:val="20"/>
              </w:rPr>
            </w:pPr>
            <w:r w:rsidRPr="00362171">
              <w:rPr>
                <w:b/>
                <w:sz w:val="20"/>
              </w:rPr>
              <w:t>Hrozby</w:t>
            </w:r>
          </w:p>
        </w:tc>
      </w:tr>
      <w:tr w:rsidR="00AE6907" w:rsidRPr="00362171" w:rsidTr="0036029B">
        <w:tc>
          <w:tcPr>
            <w:tcW w:w="9354" w:type="dxa"/>
            <w:shd w:val="clear" w:color="auto" w:fill="E5B8B7" w:themeFill="accent2" w:themeFillTint="66"/>
          </w:tcPr>
          <w:p w:rsidR="00AE6907" w:rsidRPr="00362171" w:rsidRDefault="00AE6907" w:rsidP="0036029B">
            <w:pPr>
              <w:spacing w:before="60" w:after="60"/>
              <w:rPr>
                <w:b/>
                <w:sz w:val="20"/>
              </w:rPr>
            </w:pPr>
            <w:r w:rsidRPr="00362171">
              <w:rPr>
                <w:b/>
                <w:sz w:val="20"/>
              </w:rPr>
              <w:t>Systém bezpečnostního výzkumu</w:t>
            </w:r>
          </w:p>
        </w:tc>
      </w:tr>
      <w:tr w:rsidR="00AE6907" w:rsidRPr="00362171" w:rsidTr="0036029B">
        <w:tc>
          <w:tcPr>
            <w:tcW w:w="9354" w:type="dxa"/>
            <w:shd w:val="clear" w:color="auto" w:fill="F2DBDB" w:themeFill="accent2" w:themeFillTint="33"/>
          </w:tcPr>
          <w:p w:rsidR="00AE6907" w:rsidRPr="00362171" w:rsidRDefault="00AE6907" w:rsidP="00AE6907">
            <w:pPr>
              <w:pStyle w:val="Odstavecseseznamem"/>
              <w:numPr>
                <w:ilvl w:val="0"/>
                <w:numId w:val="25"/>
              </w:numPr>
              <w:spacing w:before="60" w:after="60"/>
              <w:ind w:left="426" w:hanging="284"/>
              <w:contextualSpacing w:val="0"/>
              <w:rPr>
                <w:sz w:val="20"/>
              </w:rPr>
            </w:pPr>
            <w:r w:rsidRPr="00362171">
              <w:rPr>
                <w:sz w:val="20"/>
              </w:rPr>
              <w:t>Nedostatečný potenciál (zejména personální kapacity) v podnikovém sektoru se odrazí na nedostatečném využívání nových poznatků VaV v praxi</w:t>
            </w:r>
          </w:p>
          <w:p w:rsidR="00AE6907" w:rsidRPr="00362171" w:rsidRDefault="00AE6907" w:rsidP="00AE6907">
            <w:pPr>
              <w:pStyle w:val="Odstavecseseznamem"/>
              <w:numPr>
                <w:ilvl w:val="0"/>
                <w:numId w:val="25"/>
              </w:numPr>
              <w:spacing w:before="60" w:after="60"/>
              <w:ind w:left="426" w:hanging="284"/>
              <w:contextualSpacing w:val="0"/>
              <w:rPr>
                <w:sz w:val="20"/>
              </w:rPr>
            </w:pPr>
            <w:r w:rsidRPr="00362171">
              <w:rPr>
                <w:sz w:val="20"/>
              </w:rPr>
              <w:t>Omezené kapacity v některých technologických oblastech a vědních disciplínách neumožní řešit klíčové výzvy v oblasti bezpečnosti společnosti ČR a EU</w:t>
            </w:r>
          </w:p>
        </w:tc>
      </w:tr>
      <w:tr w:rsidR="00AE6907" w:rsidRPr="00362171" w:rsidTr="0036029B">
        <w:tc>
          <w:tcPr>
            <w:tcW w:w="9354" w:type="dxa"/>
            <w:shd w:val="clear" w:color="auto" w:fill="E5B8B7" w:themeFill="accent2" w:themeFillTint="66"/>
          </w:tcPr>
          <w:p w:rsidR="00AE6907" w:rsidRPr="00362171" w:rsidRDefault="00AE6907" w:rsidP="0036029B">
            <w:pPr>
              <w:spacing w:before="60" w:after="60"/>
              <w:rPr>
                <w:b/>
                <w:sz w:val="20"/>
              </w:rPr>
            </w:pPr>
            <w:r>
              <w:rPr>
                <w:b/>
                <w:sz w:val="20"/>
              </w:rPr>
              <w:t>Programy bezpečnostního výzkumu</w:t>
            </w:r>
          </w:p>
        </w:tc>
      </w:tr>
      <w:tr w:rsidR="00AE6907" w:rsidRPr="00362171" w:rsidTr="0036029B">
        <w:tc>
          <w:tcPr>
            <w:tcW w:w="9354" w:type="dxa"/>
            <w:shd w:val="clear" w:color="auto" w:fill="F2DBDB" w:themeFill="accent2" w:themeFillTint="33"/>
          </w:tcPr>
          <w:p w:rsidR="00AE6907" w:rsidRPr="00362171" w:rsidRDefault="00AE6907" w:rsidP="00AE6907">
            <w:pPr>
              <w:pStyle w:val="Odstavecseseznamem"/>
              <w:numPr>
                <w:ilvl w:val="0"/>
                <w:numId w:val="25"/>
              </w:numPr>
              <w:spacing w:before="60" w:after="60"/>
              <w:ind w:left="426" w:hanging="284"/>
              <w:contextualSpacing w:val="0"/>
              <w:rPr>
                <w:sz w:val="20"/>
              </w:rPr>
            </w:pPr>
            <w:r w:rsidRPr="00362171">
              <w:rPr>
                <w:sz w:val="20"/>
              </w:rPr>
              <w:t>Nedostatečný potenciál subjektů z ČR pro zapojení do mezinárodního bezpečnostně zaměřeného výzkumu neumožní řešit klíčové výzvy evropské společnosti</w:t>
            </w:r>
          </w:p>
        </w:tc>
      </w:tr>
    </w:tbl>
    <w:p w:rsidR="00AE6907" w:rsidRDefault="00AE6907" w:rsidP="00AE6907"/>
    <w:p w:rsidR="00AE6907" w:rsidRPr="00AE6907" w:rsidRDefault="00AE6907" w:rsidP="00AE6907">
      <w:pPr>
        <w:rPr>
          <w:lang w:eastAsia="cs-CZ"/>
        </w:rPr>
      </w:pPr>
    </w:p>
    <w:p w:rsidR="00CC1B04" w:rsidRDefault="00202B89" w:rsidP="00F26942">
      <w:pPr>
        <w:pStyle w:val="Nadpis1"/>
        <w:pageBreakBefore/>
        <w:rPr>
          <w:lang w:eastAsia="cs-CZ"/>
        </w:rPr>
      </w:pPr>
      <w:bookmarkStart w:id="288" w:name="_Toc459723351"/>
      <w:r>
        <w:rPr>
          <w:lang w:eastAsia="cs-CZ"/>
        </w:rPr>
        <w:t>Hlavní informační zdroje</w:t>
      </w:r>
      <w:bookmarkEnd w:id="288"/>
    </w:p>
    <w:p w:rsidR="00655D52" w:rsidRDefault="00655D52" w:rsidP="00655D52">
      <w:pPr>
        <w:pStyle w:val="Citace1"/>
      </w:pPr>
      <w:bookmarkStart w:id="289" w:name="_Ref450057705"/>
      <w:bookmarkStart w:id="290" w:name="_Ref447276724"/>
      <w:bookmarkStart w:id="291" w:name="_Ref449961043"/>
      <w:r w:rsidRPr="00215E04">
        <w:t>Meziresortní koncepce bezpečnostního výzkumu a vývoje ČR do roku 2015</w:t>
      </w:r>
      <w:r>
        <w:t xml:space="preserve">. Ministerstvo vnitra. </w:t>
      </w:r>
      <w:hyperlink r:id="rId183" w:history="1">
        <w:r w:rsidRPr="00411C17">
          <w:rPr>
            <w:rStyle w:val="Hypertextovodkaz"/>
          </w:rPr>
          <w:t>http://www.mvcr.cz/clanek/meziresortni-koncepce-bezpecnostniho-vyzkumu-a-vyvoje-cr-do-roku-2015.aspx</w:t>
        </w:r>
      </w:hyperlink>
      <w:bookmarkEnd w:id="289"/>
      <w:r>
        <w:t xml:space="preserve"> </w:t>
      </w:r>
    </w:p>
    <w:p w:rsidR="00AC0A09" w:rsidRDefault="00AC0A09" w:rsidP="00AC0A09">
      <w:pPr>
        <w:pStyle w:val="Citace1"/>
      </w:pPr>
      <w:bookmarkStart w:id="292" w:name="_Ref450222326"/>
      <w:r w:rsidRPr="00AC0A09">
        <w:t>Reforma systému výzkumu, vývoje a inovací v České republice</w:t>
      </w:r>
      <w:r>
        <w:t xml:space="preserve">. Rada pro výzkum, vývoj a inovace (2008). </w:t>
      </w:r>
      <w:hyperlink r:id="rId184" w:history="1">
        <w:r w:rsidRPr="0045201A">
          <w:rPr>
            <w:rStyle w:val="Hypertextovodkaz"/>
          </w:rPr>
          <w:t>http://www.vyzkum.cz/FrontClanek.aspx?idsekce=495405</w:t>
        </w:r>
      </w:hyperlink>
      <w:bookmarkEnd w:id="292"/>
      <w:r>
        <w:t xml:space="preserve"> </w:t>
      </w:r>
    </w:p>
    <w:p w:rsidR="00655D52" w:rsidRDefault="00655D52" w:rsidP="00655D52">
      <w:pPr>
        <w:pStyle w:val="Citace1"/>
      </w:pPr>
      <w:bookmarkStart w:id="293" w:name="_Ref451705319"/>
      <w:r>
        <w:t xml:space="preserve">Meeting the challenge: the European Security Research Agenda. A report from the European Security Research Advisory Board. </w:t>
      </w:r>
      <w:r w:rsidRPr="00655D52">
        <w:t xml:space="preserve">European Communities, </w:t>
      </w:r>
      <w:r>
        <w:t xml:space="preserve">September 2006. </w:t>
      </w:r>
      <w:hyperlink r:id="rId185" w:history="1">
        <w:r w:rsidRPr="00D7793A">
          <w:rPr>
            <w:rStyle w:val="Hypertextovodkaz"/>
          </w:rPr>
          <w:t>http://ec.europa.eu/dgs/home-affairs/e-library/documents/policies/security/pdf/esrab_report_en.pdf</w:t>
        </w:r>
      </w:hyperlink>
      <w:bookmarkEnd w:id="293"/>
      <w:r>
        <w:t xml:space="preserve"> </w:t>
      </w:r>
    </w:p>
    <w:p w:rsidR="00362A64" w:rsidRDefault="00362A64" w:rsidP="00362A64">
      <w:pPr>
        <w:pStyle w:val="Citace1"/>
      </w:pPr>
      <w:bookmarkStart w:id="294" w:name="_Ref450221179"/>
      <w:r w:rsidRPr="00362A64">
        <w:t xml:space="preserve">Národní priority </w:t>
      </w:r>
      <w:r w:rsidR="00867FEB">
        <w:t xml:space="preserve">orientovaného </w:t>
      </w:r>
      <w:r w:rsidRPr="00362A64">
        <w:t>výzkumu, experimentálního vývoje a inovací</w:t>
      </w:r>
      <w:r>
        <w:t xml:space="preserve">. Rada pro výzkum, vývoj a inovace (2012). </w:t>
      </w:r>
      <w:hyperlink r:id="rId186" w:history="1">
        <w:r w:rsidRPr="0045201A">
          <w:rPr>
            <w:rStyle w:val="Hypertextovodkaz"/>
          </w:rPr>
          <w:t>http://www.vyzkum.cz/FrontClanek.aspx?idsekce=605116</w:t>
        </w:r>
      </w:hyperlink>
      <w:bookmarkEnd w:id="294"/>
      <w:r>
        <w:t xml:space="preserve"> </w:t>
      </w:r>
    </w:p>
    <w:p w:rsidR="00F71BBC" w:rsidRDefault="00F71BBC" w:rsidP="00F71BBC">
      <w:pPr>
        <w:pStyle w:val="Citace1"/>
      </w:pPr>
      <w:bookmarkStart w:id="295" w:name="_Ref451706810"/>
      <w:r>
        <w:t xml:space="preserve">Program bezpečnostního výzkumu 2006 – 2010. </w:t>
      </w:r>
      <w:hyperlink r:id="rId187" w:history="1">
        <w:r w:rsidRPr="00D7793A">
          <w:rPr>
            <w:rStyle w:val="Hypertextovodkaz"/>
          </w:rPr>
          <w:t>http://www.isvav.cz/programmeDetail.do?rowId=VD</w:t>
        </w:r>
      </w:hyperlink>
      <w:bookmarkEnd w:id="295"/>
      <w:r>
        <w:t xml:space="preserve"> </w:t>
      </w:r>
    </w:p>
    <w:p w:rsidR="00F71BBC" w:rsidRDefault="00F71BBC" w:rsidP="00F71BBC">
      <w:pPr>
        <w:pStyle w:val="Citace1"/>
      </w:pPr>
      <w:bookmarkStart w:id="296" w:name="_Ref451706820"/>
      <w:r>
        <w:t xml:space="preserve">Resortní výzkum a vývoj 2007 – 2011. </w:t>
      </w:r>
      <w:hyperlink r:id="rId188" w:history="1">
        <w:r w:rsidRPr="00D7793A">
          <w:rPr>
            <w:rStyle w:val="Hypertextovodkaz"/>
          </w:rPr>
          <w:t>http://www.isvav.cz/programmeDetail.do?rowId=VE</w:t>
        </w:r>
      </w:hyperlink>
      <w:bookmarkEnd w:id="296"/>
      <w:r>
        <w:t xml:space="preserve"> </w:t>
      </w:r>
    </w:p>
    <w:p w:rsidR="00F71BBC" w:rsidRDefault="00F71BBC" w:rsidP="00F71BBC">
      <w:pPr>
        <w:pStyle w:val="Citace1"/>
      </w:pPr>
      <w:bookmarkStart w:id="297" w:name="_Ref451706827"/>
      <w:r>
        <w:t xml:space="preserve">Bezpečnostní výzkum pro potřeby státu v letech 2010 až 2015. </w:t>
      </w:r>
      <w:hyperlink r:id="rId189" w:history="1">
        <w:r w:rsidRPr="00D7793A">
          <w:rPr>
            <w:rStyle w:val="Hypertextovodkaz"/>
          </w:rPr>
          <w:t>https://www.isvav.cz/programmeDetail.do?rowId=VF</w:t>
        </w:r>
      </w:hyperlink>
      <w:bookmarkEnd w:id="297"/>
      <w:r>
        <w:t xml:space="preserve"> </w:t>
      </w:r>
    </w:p>
    <w:p w:rsidR="00F71BBC" w:rsidRDefault="00F71BBC" w:rsidP="00F71BBC">
      <w:pPr>
        <w:pStyle w:val="Citace1"/>
      </w:pPr>
      <w:bookmarkStart w:id="298" w:name="_Ref451706837"/>
      <w:r>
        <w:t xml:space="preserve">Program bezpečnostního výzkumu České republiky 2010 – 2015. </w:t>
      </w:r>
      <w:hyperlink r:id="rId190" w:history="1">
        <w:r w:rsidRPr="00D7793A">
          <w:rPr>
            <w:rStyle w:val="Hypertextovodkaz"/>
          </w:rPr>
          <w:t>https://www.isvav.cz/programmeDetail.do?rowId=VG</w:t>
        </w:r>
      </w:hyperlink>
      <w:bookmarkEnd w:id="298"/>
      <w:r>
        <w:t xml:space="preserve"> </w:t>
      </w:r>
    </w:p>
    <w:p w:rsidR="00F71BBC" w:rsidRDefault="00F71BBC" w:rsidP="00F71BBC">
      <w:pPr>
        <w:pStyle w:val="Citace1"/>
      </w:pPr>
      <w:bookmarkStart w:id="299" w:name="_Ref451706843"/>
      <w:r>
        <w:t xml:space="preserve">Bezpečnostní výzkum České republiky 2015-2020. </w:t>
      </w:r>
      <w:hyperlink r:id="rId191" w:history="1">
        <w:r w:rsidRPr="00D7793A">
          <w:rPr>
            <w:rStyle w:val="Hypertextovodkaz"/>
          </w:rPr>
          <w:t>https://www.isvav.cz/programmeDetail.do?rowId=VI</w:t>
        </w:r>
      </w:hyperlink>
      <w:bookmarkEnd w:id="299"/>
      <w:r>
        <w:t xml:space="preserve"> </w:t>
      </w:r>
    </w:p>
    <w:p w:rsidR="009427C5" w:rsidRDefault="009427C5" w:rsidP="009427C5">
      <w:pPr>
        <w:pStyle w:val="Citace1"/>
      </w:pPr>
      <w:bookmarkStart w:id="300" w:name="_Ref450056553"/>
      <w:bookmarkEnd w:id="290"/>
      <w:r w:rsidRPr="00CC1B04">
        <w:t>Informační systém výzkumu, experimentálního vývoje a inovací</w:t>
      </w:r>
      <w:r>
        <w:t xml:space="preserve">. Rada pro výzkum, vývoj a inovace. </w:t>
      </w:r>
      <w:hyperlink r:id="rId192" w:history="1">
        <w:r w:rsidRPr="00404B07">
          <w:rPr>
            <w:rStyle w:val="Hypertextovodkaz"/>
          </w:rPr>
          <w:t>http://www.vyzkum.cz/FrontClanek.aspx?idsekce=610</w:t>
        </w:r>
      </w:hyperlink>
      <w:bookmarkEnd w:id="300"/>
      <w:r>
        <w:t xml:space="preserve"> </w:t>
      </w:r>
    </w:p>
    <w:p w:rsidR="00123BBA" w:rsidRDefault="00123BBA" w:rsidP="00123BBA">
      <w:pPr>
        <w:pStyle w:val="Citace1"/>
      </w:pPr>
      <w:bookmarkStart w:id="301" w:name="_Ref450314189"/>
      <w:r w:rsidRPr="00123BBA">
        <w:t>Program veřejných zakázek ve výzkumu, experimentálním vývoji a inovacích pro potřeby státní správy „BETA“</w:t>
      </w:r>
      <w:r>
        <w:t xml:space="preserve">. Technologická agentura ČR (2011). </w:t>
      </w:r>
      <w:hyperlink r:id="rId193" w:history="1">
        <w:r w:rsidRPr="00E26CB6">
          <w:rPr>
            <w:rStyle w:val="Hypertextovodkaz"/>
          </w:rPr>
          <w:t>https://www.tacr.cz/index.php/cz/programy/program-beta.html</w:t>
        </w:r>
      </w:hyperlink>
      <w:bookmarkEnd w:id="301"/>
      <w:r>
        <w:t xml:space="preserve"> </w:t>
      </w:r>
    </w:p>
    <w:p w:rsidR="00423455" w:rsidRDefault="00423455" w:rsidP="00123BBA">
      <w:pPr>
        <w:pStyle w:val="Citace1"/>
      </w:pPr>
      <w:r>
        <w:t>Varianty rozvoje systému bezpečnostního výzkumu pro období po roce 2017. MV 2016</w:t>
      </w:r>
    </w:p>
    <w:p w:rsidR="00E12276" w:rsidRDefault="00E12276" w:rsidP="00E12276">
      <w:pPr>
        <w:pStyle w:val="Citace1"/>
      </w:pPr>
      <w:bookmarkStart w:id="302" w:name="_Ref451764765"/>
      <w:r w:rsidRPr="00E12276">
        <w:t>Rejstřík informací o výsledcích</w:t>
      </w:r>
      <w:r>
        <w:t xml:space="preserve">. Rada pro výzkum, vývoj a inovace. </w:t>
      </w:r>
      <w:hyperlink r:id="rId194" w:history="1">
        <w:r w:rsidRPr="00C77C4E">
          <w:rPr>
            <w:rStyle w:val="Hypertextovodkaz"/>
          </w:rPr>
          <w:t>http://www.vyzkum.cz/FrontClanek.aspx?idsekce=986</w:t>
        </w:r>
      </w:hyperlink>
      <w:bookmarkEnd w:id="302"/>
      <w:r>
        <w:t xml:space="preserve"> </w:t>
      </w:r>
    </w:p>
    <w:p w:rsidR="00704F23" w:rsidRDefault="00704F23" w:rsidP="00704F23">
      <w:pPr>
        <w:pStyle w:val="Citace1"/>
      </w:pPr>
      <w:bookmarkStart w:id="303" w:name="_Ref452478026"/>
      <w:r>
        <w:t xml:space="preserve">Metodika hodnocení výsledků výzkumných organizací a hodnocení výsledků ukončených programů (platná pro léta 2013 až 2016). Rada pro výzkum, vývoj a inovace (2015). </w:t>
      </w:r>
      <w:hyperlink r:id="rId195" w:history="1">
        <w:r w:rsidRPr="00F13DFD">
          <w:rPr>
            <w:rStyle w:val="Hypertextovodkaz"/>
          </w:rPr>
          <w:t>http://vyzkum.cz/FrontClanek.aspx?idsekce=754005</w:t>
        </w:r>
      </w:hyperlink>
      <w:bookmarkEnd w:id="303"/>
      <w:r>
        <w:t xml:space="preserve"> </w:t>
      </w:r>
    </w:p>
    <w:p w:rsidR="004B4CE2" w:rsidRDefault="004B4CE2" w:rsidP="004B4CE2">
      <w:pPr>
        <w:pStyle w:val="Citace1"/>
      </w:pPr>
      <w:bookmarkStart w:id="304" w:name="_Ref454266834"/>
      <w:r w:rsidRPr="004B4CE2">
        <w:t xml:space="preserve">Sdělení </w:t>
      </w:r>
      <w:r>
        <w:t>K</w:t>
      </w:r>
      <w:r w:rsidR="00F86A75">
        <w:t>omise</w:t>
      </w:r>
      <w:r>
        <w:t xml:space="preserve"> </w:t>
      </w:r>
      <w:r w:rsidR="00F86A75">
        <w:t>E</w:t>
      </w:r>
      <w:r w:rsidRPr="004B4CE2">
        <w:t xml:space="preserve">vropskému </w:t>
      </w:r>
      <w:r w:rsidR="00F86A75">
        <w:t>p</w:t>
      </w:r>
      <w:r w:rsidRPr="004B4CE2">
        <w:t xml:space="preserve">arlamentu, </w:t>
      </w:r>
      <w:r>
        <w:t>R</w:t>
      </w:r>
      <w:r w:rsidRPr="004B4CE2">
        <w:t xml:space="preserve">adě, </w:t>
      </w:r>
      <w:r>
        <w:t>E</w:t>
      </w:r>
      <w:r w:rsidRPr="004B4CE2">
        <w:t xml:space="preserve">vropskému hospodářskému a sociálnímu výboru a </w:t>
      </w:r>
      <w:r>
        <w:t>V</w:t>
      </w:r>
      <w:r w:rsidRPr="004B4CE2">
        <w:t xml:space="preserve">ýboru regionů </w:t>
      </w:r>
      <w:r>
        <w:t xml:space="preserve">- </w:t>
      </w:r>
      <w:r w:rsidRPr="004B4CE2">
        <w:t>Evropský program pro bezpečnost</w:t>
      </w:r>
      <w:r>
        <w:t xml:space="preserve">. </w:t>
      </w:r>
      <w:r w:rsidRPr="004B4CE2">
        <w:t>COM(2015) 185 final</w:t>
      </w:r>
      <w:r>
        <w:t xml:space="preserve">. </w:t>
      </w:r>
      <w:hyperlink r:id="rId196" w:history="1">
        <w:r w:rsidRPr="00F64134">
          <w:rPr>
            <w:rStyle w:val="Hypertextovodkaz"/>
          </w:rPr>
          <w:t>http://eur-lex.europa.eu/legal-content/CS/TXT/?uri=CELEX:52015DC0185</w:t>
        </w:r>
      </w:hyperlink>
      <w:r>
        <w:t xml:space="preserve"> (tisková zpráva - </w:t>
      </w:r>
      <w:hyperlink r:id="rId197" w:history="1">
        <w:r w:rsidRPr="004B4CE2">
          <w:rPr>
            <w:rStyle w:val="Hypertextovodkaz"/>
            <w:bCs/>
            <w:lang w:val="en-GB"/>
          </w:rPr>
          <w:t>http://europa.eu/rapid/press-release_IP-15-4865_en.htm</w:t>
        </w:r>
      </w:hyperlink>
      <w:r>
        <w:t>)</w:t>
      </w:r>
      <w:bookmarkEnd w:id="304"/>
    </w:p>
    <w:p w:rsidR="00F86A75" w:rsidRDefault="00F86A75" w:rsidP="00F86A75">
      <w:pPr>
        <w:pStyle w:val="Citace1"/>
      </w:pPr>
      <w:bookmarkStart w:id="305" w:name="_Ref454266323"/>
      <w:r w:rsidRPr="004B4CE2">
        <w:t xml:space="preserve">Sdělení </w:t>
      </w:r>
      <w:r>
        <w:t>Komise E</w:t>
      </w:r>
      <w:r w:rsidRPr="004B4CE2">
        <w:t xml:space="preserve">vropskému </w:t>
      </w:r>
      <w:r>
        <w:t>p</w:t>
      </w:r>
      <w:r w:rsidRPr="004B4CE2">
        <w:t xml:space="preserve">arlamentu, </w:t>
      </w:r>
      <w:r>
        <w:t>R</w:t>
      </w:r>
      <w:r w:rsidRPr="004B4CE2">
        <w:t xml:space="preserve">adě, </w:t>
      </w:r>
      <w:r>
        <w:t>E</w:t>
      </w:r>
      <w:r w:rsidRPr="004B4CE2">
        <w:t xml:space="preserve">vropskému hospodářskému a sociálnímu výboru a </w:t>
      </w:r>
      <w:r>
        <w:t>V</w:t>
      </w:r>
      <w:r w:rsidRPr="004B4CE2">
        <w:t>ýboru regionů</w:t>
      </w:r>
      <w:r>
        <w:t xml:space="preserve"> - Otevřená a bezpečná Evropa: cesta k realizaci. </w:t>
      </w:r>
      <w:r w:rsidRPr="00F86A75">
        <w:t>COM(2014) 154 final</w:t>
      </w:r>
      <w:r>
        <w:t xml:space="preserve">. </w:t>
      </w:r>
      <w:hyperlink r:id="rId198" w:history="1">
        <w:r w:rsidRPr="00F64134">
          <w:rPr>
            <w:rStyle w:val="Hypertextovodkaz"/>
          </w:rPr>
          <w:t>http://ec.europa.eu/dgs/home-affairs/e-library/documents/basic-documents/docs/an_open_and_secure_europe_-_making_it_happen_cs.pdf</w:t>
        </w:r>
      </w:hyperlink>
      <w:bookmarkEnd w:id="305"/>
      <w:r>
        <w:t xml:space="preserve"> </w:t>
      </w:r>
    </w:p>
    <w:p w:rsidR="00F86A75" w:rsidRDefault="00545844" w:rsidP="00B247D7">
      <w:pPr>
        <w:pStyle w:val="Citace1"/>
      </w:pPr>
      <w:bookmarkStart w:id="306" w:name="_Ref454266780"/>
      <w:r w:rsidRPr="004B4CE2">
        <w:t xml:space="preserve">Sdělení </w:t>
      </w:r>
      <w:r>
        <w:t>Komise E</w:t>
      </w:r>
      <w:r w:rsidRPr="004B4CE2">
        <w:t xml:space="preserve">vropskému </w:t>
      </w:r>
      <w:r>
        <w:t>p</w:t>
      </w:r>
      <w:r w:rsidRPr="004B4CE2">
        <w:t xml:space="preserve">arlamentu, </w:t>
      </w:r>
      <w:r>
        <w:t>R</w:t>
      </w:r>
      <w:r w:rsidRPr="004B4CE2">
        <w:t xml:space="preserve">adě, </w:t>
      </w:r>
      <w:r>
        <w:t>E</w:t>
      </w:r>
      <w:r w:rsidRPr="004B4CE2">
        <w:t>vropskému hospodářskému a sociálnímu výboru</w:t>
      </w:r>
      <w:r w:rsidR="00B247D7">
        <w:t xml:space="preserve">: Security Industrial Policy. Action Plan for an innovative and competitive Security Industry. </w:t>
      </w:r>
      <w:r w:rsidR="00B247D7" w:rsidRPr="00B247D7">
        <w:t>COM(2012) 417 final</w:t>
      </w:r>
      <w:r w:rsidR="00B247D7">
        <w:t xml:space="preserve">. </w:t>
      </w:r>
      <w:hyperlink r:id="rId199" w:history="1">
        <w:r w:rsidR="00B247D7" w:rsidRPr="00F64134">
          <w:rPr>
            <w:rStyle w:val="Hypertextovodkaz"/>
          </w:rPr>
          <w:t>http://eur-lex.europa.eu/LexUriServ/LexUriServ.do?uri=COM:2012:0417:FIN:EN:PDF</w:t>
        </w:r>
      </w:hyperlink>
      <w:bookmarkEnd w:id="306"/>
      <w:r w:rsidR="00B247D7">
        <w:t xml:space="preserve"> </w:t>
      </w:r>
    </w:p>
    <w:p w:rsidR="00F86A75" w:rsidRDefault="00545844" w:rsidP="00545844">
      <w:pPr>
        <w:pStyle w:val="Citace1"/>
      </w:pPr>
      <w:bookmarkStart w:id="307" w:name="_Ref454266999"/>
      <w:r>
        <w:t xml:space="preserve">Společné sdělení Evropskému parlamentu, Radě, Evropskému hospodářskému a sociálnímu výboru a Výboru regionů: Strategie kybernetické bezpečnosti Evropské unie: Otevřený, bezpečný a chráněný kyberprostor. JOIN(2013) 01 final. </w:t>
      </w:r>
      <w:hyperlink r:id="rId200" w:history="1">
        <w:r w:rsidRPr="00F64134">
          <w:rPr>
            <w:rStyle w:val="Hypertextovodkaz"/>
          </w:rPr>
          <w:t>http://eur-lex.europa.eu/legal-content/CS/TXT/?uri=CELEX:52013JC0001</w:t>
        </w:r>
      </w:hyperlink>
      <w:bookmarkEnd w:id="307"/>
      <w:r>
        <w:t xml:space="preserve"> </w:t>
      </w:r>
    </w:p>
    <w:p w:rsidR="00545844" w:rsidRDefault="00545844" w:rsidP="00576F59">
      <w:pPr>
        <w:pStyle w:val="Citace1"/>
      </w:pPr>
      <w:bookmarkStart w:id="308" w:name="_Ref454267281"/>
      <w:r>
        <w:t xml:space="preserve">Proposal for a </w:t>
      </w:r>
      <w:r w:rsidR="00576F59">
        <w:t xml:space="preserve">directive of the European Parliament and of the Council </w:t>
      </w:r>
      <w:r>
        <w:t>concerning measures to ensure a high common level of network and information</w:t>
      </w:r>
      <w:r w:rsidR="00576F59">
        <w:t xml:space="preserve"> </w:t>
      </w:r>
      <w:r>
        <w:t>security across the Union</w:t>
      </w:r>
      <w:r w:rsidR="00576F59">
        <w:t xml:space="preserve">. </w:t>
      </w:r>
      <w:r w:rsidR="00576F59" w:rsidRPr="00576F59">
        <w:t>COM(2013) 48 final</w:t>
      </w:r>
      <w:r w:rsidR="00576F59">
        <w:t xml:space="preserve">. </w:t>
      </w:r>
      <w:hyperlink r:id="rId201" w:history="1">
        <w:r w:rsidR="00576F59" w:rsidRPr="00F64134">
          <w:rPr>
            <w:rStyle w:val="Hypertextovodkaz"/>
          </w:rPr>
          <w:t>http://eeas.europa.eu/policies/eu-cyber-security/cybsec_directive_en.pdf</w:t>
        </w:r>
      </w:hyperlink>
      <w:bookmarkEnd w:id="308"/>
    </w:p>
    <w:p w:rsidR="004C4B66" w:rsidRDefault="004C4B66" w:rsidP="004C4B66">
      <w:pPr>
        <w:pStyle w:val="Citace1"/>
      </w:pPr>
      <w:bookmarkStart w:id="309" w:name="_Ref454268045"/>
      <w:r>
        <w:t>Council decision 3 December 2013 establishing the specific programme implementing Horizon 2020 - the Framework Programme for Research and Innovation (2014-2020) and repealing Decisions 2006/971/EC, 2006/972/EC, 2006/973/EC, 2006/974/EC and 2006/975/EC</w:t>
      </w:r>
      <w:r w:rsidRPr="004C4B66">
        <w:t xml:space="preserve"> (2013/743/EU)</w:t>
      </w:r>
      <w:r>
        <w:t xml:space="preserve">. </w:t>
      </w:r>
      <w:hyperlink r:id="rId202" w:history="1">
        <w:r w:rsidRPr="00F64134">
          <w:rPr>
            <w:rStyle w:val="Hypertextovodkaz"/>
          </w:rPr>
          <w:t>http://ec.europa.eu/research/participants/data/ref/h2020/legal_basis/sp/h2020-sp_en.pdf</w:t>
        </w:r>
      </w:hyperlink>
      <w:bookmarkEnd w:id="309"/>
      <w:r>
        <w:t xml:space="preserve"> </w:t>
      </w:r>
    </w:p>
    <w:p w:rsidR="004C4B66" w:rsidRDefault="004C4B66" w:rsidP="004C4B66">
      <w:pPr>
        <w:pStyle w:val="Citace1"/>
      </w:pPr>
      <w:bookmarkStart w:id="310" w:name="_Ref450557753"/>
      <w:r w:rsidRPr="00715F3A">
        <w:t>Horizont 2020 - rámcový program pro výzkum a inovace</w:t>
      </w:r>
      <w:r>
        <w:t>. S</w:t>
      </w:r>
      <w:r w:rsidRPr="00715F3A">
        <w:t xml:space="preserve">dělení </w:t>
      </w:r>
      <w:r>
        <w:t>K</w:t>
      </w:r>
      <w:r w:rsidRPr="00715F3A">
        <w:t xml:space="preserve">omise </w:t>
      </w:r>
      <w:r>
        <w:t>E</w:t>
      </w:r>
      <w:r w:rsidRPr="00715F3A">
        <w:t xml:space="preserve">vropskému parlamentu, </w:t>
      </w:r>
      <w:r>
        <w:t>R</w:t>
      </w:r>
      <w:r w:rsidRPr="00715F3A">
        <w:t xml:space="preserve">adě, Evropskému hospodářskému a sociálnímu výboru a </w:t>
      </w:r>
      <w:r>
        <w:t>V</w:t>
      </w:r>
      <w:r w:rsidRPr="00715F3A">
        <w:t>ýboru regionů</w:t>
      </w:r>
      <w:r>
        <w:t xml:space="preserve">. </w:t>
      </w:r>
      <w:r w:rsidRPr="00715F3A">
        <w:t>KOM/2011/0808 v konečném znění</w:t>
      </w:r>
      <w:r>
        <w:t xml:space="preserve">. </w:t>
      </w:r>
      <w:hyperlink r:id="rId203" w:history="1">
        <w:r w:rsidRPr="00E6038D">
          <w:rPr>
            <w:rStyle w:val="Hypertextovodkaz"/>
          </w:rPr>
          <w:t>http://eur-lex.europa.eu/legal-content/CS/TXT/HTML/?uri=CELEX:52011DC0808&amp;from=EN</w:t>
        </w:r>
      </w:hyperlink>
      <w:bookmarkEnd w:id="310"/>
      <w:r>
        <w:t xml:space="preserve"> </w:t>
      </w:r>
    </w:p>
    <w:p w:rsidR="00AF601F" w:rsidRDefault="00AF601F" w:rsidP="00AF601F">
      <w:pPr>
        <w:pStyle w:val="Citace1"/>
      </w:pPr>
      <w:bookmarkStart w:id="311" w:name="_Ref449967613"/>
      <w:r>
        <w:t>Council decision of 19 December 2006 concerning the Specific Programme "Cooperation" implementing the Seventh Framework Programme of the European Community for research, technological development and demonstration activities (2007 to 2013).</w:t>
      </w:r>
      <w:bookmarkEnd w:id="311"/>
      <w:r>
        <w:t xml:space="preserve"> </w:t>
      </w:r>
    </w:p>
    <w:p w:rsidR="00630E8E" w:rsidRDefault="00630E8E" w:rsidP="00630E8E">
      <w:pPr>
        <w:pStyle w:val="Citace1"/>
      </w:pPr>
      <w:bookmarkStart w:id="312" w:name="_Ref450557521"/>
      <w:bookmarkEnd w:id="291"/>
      <w:r>
        <w:t xml:space="preserve">Operační program Výzkum a vývoj pro inovace (OP VaVpI). </w:t>
      </w:r>
      <w:hyperlink r:id="rId204" w:history="1">
        <w:r w:rsidRPr="005A1021">
          <w:rPr>
            <w:rStyle w:val="Hypertextovodkaz"/>
          </w:rPr>
          <w:t>http://www.opvavpi.cz/</w:t>
        </w:r>
      </w:hyperlink>
      <w:bookmarkEnd w:id="312"/>
      <w:r>
        <w:t xml:space="preserve">   </w:t>
      </w:r>
    </w:p>
    <w:p w:rsidR="00AD48DC" w:rsidRDefault="00630E8E" w:rsidP="00BC0A7D">
      <w:pPr>
        <w:pStyle w:val="Citace1"/>
      </w:pPr>
      <w:bookmarkStart w:id="313" w:name="_Ref450557573"/>
      <w:r w:rsidRPr="00630E8E">
        <w:t>Cestovní mapa České republiky velkých infrastruktur pro výzkum, experimentální vývoj a inovace</w:t>
      </w:r>
      <w:r w:rsidR="00BC0A7D">
        <w:t xml:space="preserve"> pro léta 2016 - 2022</w:t>
      </w:r>
      <w:r w:rsidRPr="00630E8E">
        <w:t>. Ministerstvo školství, mládeže a tělovýchovy (201</w:t>
      </w:r>
      <w:r w:rsidR="00EB1459">
        <w:t>5</w:t>
      </w:r>
      <w:r w:rsidRPr="00630E8E">
        <w:t xml:space="preserve">). </w:t>
      </w:r>
      <w:bookmarkEnd w:id="313"/>
      <w:r w:rsidR="00BC0A7D">
        <w:fldChar w:fldCharType="begin"/>
      </w:r>
      <w:r w:rsidR="00BC0A7D">
        <w:instrText xml:space="preserve"> HYPERLINK "</w:instrText>
      </w:r>
      <w:r w:rsidR="00BC0A7D" w:rsidRPr="00BC0A7D">
        <w:instrText>http://www.msmt.cz/vyzkum-a-vyvoj-2/cestovni-mapa-cr-velkych-infrastruktur-pro-vyzkum</w:instrText>
      </w:r>
      <w:r w:rsidR="00BC0A7D">
        <w:instrText xml:space="preserve">" </w:instrText>
      </w:r>
      <w:r w:rsidR="00BC0A7D">
        <w:fldChar w:fldCharType="separate"/>
      </w:r>
      <w:r w:rsidR="00BC0A7D" w:rsidRPr="00C12525">
        <w:rPr>
          <w:rStyle w:val="Hypertextovodkaz"/>
        </w:rPr>
        <w:t>http://www.msmt.cz/vyzkum-a-vyvoj-2/cestovni-mapa-cr-velkych-infrastruktur-pro-vyzkum</w:t>
      </w:r>
      <w:r w:rsidR="00BC0A7D">
        <w:fldChar w:fldCharType="end"/>
      </w:r>
      <w:r w:rsidR="00BC0A7D">
        <w:t xml:space="preserve"> </w:t>
      </w:r>
      <w:r>
        <w:t xml:space="preserve"> </w:t>
      </w:r>
    </w:p>
    <w:p w:rsidR="00EB3639" w:rsidRDefault="00EB3639" w:rsidP="00EB3639">
      <w:pPr>
        <w:pStyle w:val="Citace1"/>
      </w:pPr>
      <w:bookmarkStart w:id="314" w:name="_Ref453683325"/>
      <w:r>
        <w:t xml:space="preserve">Strategy Report on Research Infrastructures. </w:t>
      </w:r>
      <w:r w:rsidRPr="00EB3639">
        <w:t>European Strategy Forum on Research Infrastructures</w:t>
      </w:r>
      <w:r>
        <w:t xml:space="preserve"> (2016). </w:t>
      </w:r>
      <w:hyperlink r:id="rId205" w:history="1">
        <w:r w:rsidRPr="00C12525">
          <w:rPr>
            <w:rStyle w:val="Hypertextovodkaz"/>
          </w:rPr>
          <w:t>http://www.esfri.eu/roadmap-2016</w:t>
        </w:r>
      </w:hyperlink>
      <w:bookmarkEnd w:id="314"/>
      <w:r>
        <w:t xml:space="preserve"> </w:t>
      </w:r>
    </w:p>
    <w:p w:rsidR="00630E8E" w:rsidRDefault="00630E8E" w:rsidP="00630E8E">
      <w:pPr>
        <w:pStyle w:val="Citace1"/>
      </w:pPr>
      <w:bookmarkStart w:id="315" w:name="_Ref450557607"/>
      <w:r>
        <w:t xml:space="preserve">LM - Projekty velkých infrastruktur pro VaVaI (2010-2017). Informační systém výzkumu, experimentálního vývoje a inovací. </w:t>
      </w:r>
      <w:hyperlink r:id="rId206" w:history="1">
        <w:r w:rsidRPr="005A1021">
          <w:rPr>
            <w:rStyle w:val="Hypertextovodkaz"/>
          </w:rPr>
          <w:t>https://www.isvav.cz/programmeDetail.do?rowId=LM</w:t>
        </w:r>
      </w:hyperlink>
      <w:bookmarkEnd w:id="315"/>
      <w:r>
        <w:t xml:space="preserve"> </w:t>
      </w:r>
    </w:p>
    <w:p w:rsidR="00630E8E" w:rsidRDefault="00630E8E" w:rsidP="00630E8E">
      <w:pPr>
        <w:pStyle w:val="Citace1"/>
      </w:pPr>
      <w:bookmarkStart w:id="316" w:name="_Ref450557687"/>
      <w:r>
        <w:t xml:space="preserve">Asociace výzkumných organizací. </w:t>
      </w:r>
      <w:hyperlink r:id="rId207" w:history="1">
        <w:r w:rsidRPr="005A1021">
          <w:rPr>
            <w:rStyle w:val="Hypertextovodkaz"/>
          </w:rPr>
          <w:t>http://avo.cz/</w:t>
        </w:r>
      </w:hyperlink>
      <w:bookmarkEnd w:id="316"/>
    </w:p>
    <w:p w:rsidR="00630E8E" w:rsidRDefault="00630E8E" w:rsidP="00630E8E">
      <w:pPr>
        <w:pStyle w:val="Citace1"/>
      </w:pPr>
      <w:bookmarkStart w:id="317" w:name="_Ref450557823"/>
      <w:r>
        <w:t xml:space="preserve">7. rámcový program pro výzkum a technologický rozvoj. </w:t>
      </w:r>
      <w:hyperlink r:id="rId208" w:history="1">
        <w:r w:rsidRPr="005A1021">
          <w:rPr>
            <w:rStyle w:val="Hypertextovodkaz"/>
          </w:rPr>
          <w:t>http://www.evropskyvyzkum.cz/cs/nastroje-spoluprace/ramcove-programy/fp7</w:t>
        </w:r>
      </w:hyperlink>
      <w:bookmarkEnd w:id="317"/>
      <w:r>
        <w:t xml:space="preserve"> </w:t>
      </w:r>
    </w:p>
    <w:p w:rsidR="00630E8E" w:rsidRDefault="00630E8E" w:rsidP="00630E8E">
      <w:pPr>
        <w:pStyle w:val="Citace1"/>
      </w:pPr>
      <w:bookmarkStart w:id="318" w:name="_Ref450557834"/>
      <w:r>
        <w:t xml:space="preserve">Horizont 2020 – rámcový program pro výzkum a inovace. </w:t>
      </w:r>
      <w:hyperlink r:id="rId209" w:history="1">
        <w:r w:rsidRPr="005A1021">
          <w:rPr>
            <w:rStyle w:val="Hypertextovodkaz"/>
          </w:rPr>
          <w:t>http://www.evropskyvyzkum.cz/cs/nastroje-spoluprace/ramcove-programy/horizont2020</w:t>
        </w:r>
      </w:hyperlink>
      <w:bookmarkEnd w:id="318"/>
      <w:r>
        <w:t xml:space="preserve"> </w:t>
      </w:r>
    </w:p>
    <w:p w:rsidR="002365BE" w:rsidRDefault="002365BE" w:rsidP="002365BE">
      <w:pPr>
        <w:pStyle w:val="Citace1"/>
      </w:pPr>
      <w:bookmarkStart w:id="319" w:name="_Ref451158369"/>
      <w:r w:rsidRPr="002365BE">
        <w:t>Frank</w:t>
      </w:r>
      <w:r>
        <w:t xml:space="preserve"> D.</w:t>
      </w:r>
      <w:r w:rsidRPr="002365BE">
        <w:t>, Albrecht</w:t>
      </w:r>
      <w:r>
        <w:t xml:space="preserve"> Vl.: </w:t>
      </w:r>
      <w:r w:rsidRPr="002365BE">
        <w:t>Šestá průběžná zpráva o účasti ČR v 7. </w:t>
      </w:r>
      <w:r>
        <w:t xml:space="preserve">RP. Příloha časopisu Echo, č. </w:t>
      </w:r>
      <w:r w:rsidRPr="002365BE">
        <w:t>5</w:t>
      </w:r>
      <w:r>
        <w:t> </w:t>
      </w:r>
      <w:r w:rsidRPr="002365BE">
        <w:t>-</w:t>
      </w:r>
      <w:r>
        <w:t> </w:t>
      </w:r>
      <w:r w:rsidRPr="002365BE">
        <w:t>6</w:t>
      </w:r>
      <w:r>
        <w:t xml:space="preserve"> (</w:t>
      </w:r>
      <w:r w:rsidRPr="002365BE">
        <w:t>2014</w:t>
      </w:r>
      <w:r>
        <w:t xml:space="preserve">). </w:t>
      </w:r>
      <w:hyperlink r:id="rId210" w:history="1">
        <w:r w:rsidRPr="00FA583D">
          <w:rPr>
            <w:rStyle w:val="Hypertextovodkaz"/>
          </w:rPr>
          <w:t>http://www.tc.cz/cs/publikace/periodika/seznam-periodik/echo/5-6-2014</w:t>
        </w:r>
      </w:hyperlink>
      <w:bookmarkEnd w:id="319"/>
      <w:r>
        <w:t xml:space="preserve"> </w:t>
      </w:r>
    </w:p>
    <w:p w:rsidR="00E93D14" w:rsidRDefault="00E93D14" w:rsidP="00E93D14">
      <w:pPr>
        <w:pStyle w:val="Citace1"/>
      </w:pPr>
      <w:bookmarkStart w:id="320" w:name="_Ref451158724"/>
      <w:r w:rsidRPr="002365BE">
        <w:t>Frank</w:t>
      </w:r>
      <w:r>
        <w:t xml:space="preserve"> D.</w:t>
      </w:r>
      <w:r w:rsidRPr="002365BE">
        <w:t>, Albrecht</w:t>
      </w:r>
      <w:r>
        <w:t xml:space="preserve"> Vl.: Účast ČR v H2020 a v programu EURATOM v období leden 2014 – červenec 2015. P</w:t>
      </w:r>
      <w:r w:rsidRPr="00E93D14">
        <w:t xml:space="preserve">říloha </w:t>
      </w:r>
      <w:r>
        <w:t xml:space="preserve">časopisu Echo, č. </w:t>
      </w:r>
      <w:r w:rsidRPr="00E93D14">
        <w:t>5</w:t>
      </w:r>
      <w:r>
        <w:t> – </w:t>
      </w:r>
      <w:r w:rsidRPr="00E93D14">
        <w:t>6</w:t>
      </w:r>
      <w:r>
        <w:t xml:space="preserve"> (</w:t>
      </w:r>
      <w:r w:rsidRPr="00E93D14">
        <w:t>2015</w:t>
      </w:r>
      <w:r>
        <w:t xml:space="preserve">). </w:t>
      </w:r>
      <w:hyperlink r:id="rId211" w:history="1">
        <w:r w:rsidRPr="00FA583D">
          <w:rPr>
            <w:rStyle w:val="Hypertextovodkaz"/>
          </w:rPr>
          <w:t>http://www.tc.cz/cs/publikace/periodika/seznam-periodik/echo/5-6-2015</w:t>
        </w:r>
      </w:hyperlink>
      <w:bookmarkEnd w:id="320"/>
      <w:r>
        <w:t xml:space="preserve"> </w:t>
      </w:r>
    </w:p>
    <w:p w:rsidR="00630E8E" w:rsidRDefault="00630E8E" w:rsidP="00630E8E">
      <w:pPr>
        <w:pStyle w:val="Citace1"/>
      </w:pPr>
      <w:bookmarkStart w:id="321" w:name="_Ref450557921"/>
      <w:r>
        <w:t xml:space="preserve">Thomson Reuters Web of Science. </w:t>
      </w:r>
      <w:hyperlink r:id="rId212" w:history="1">
        <w:r w:rsidRPr="005A1021">
          <w:rPr>
            <w:rStyle w:val="Hypertextovodkaz"/>
          </w:rPr>
          <w:t>http://thomsonreuters.com/en.html</w:t>
        </w:r>
      </w:hyperlink>
      <w:bookmarkEnd w:id="321"/>
      <w:r>
        <w:t xml:space="preserve"> </w:t>
      </w:r>
    </w:p>
    <w:p w:rsidR="00630E8E" w:rsidRDefault="00630E8E" w:rsidP="00630E8E">
      <w:pPr>
        <w:pStyle w:val="Citace1"/>
      </w:pPr>
      <w:bookmarkStart w:id="322" w:name="_Ref450558075"/>
      <w:r>
        <w:t xml:space="preserve">EPO Worldwide Patent Statistical Database. European Patent Office. </w:t>
      </w:r>
      <w:hyperlink r:id="rId213" w:history="1">
        <w:r w:rsidRPr="005A1021">
          <w:rPr>
            <w:rStyle w:val="Hypertextovodkaz"/>
          </w:rPr>
          <w:t>http://www.epo.org/searching/subscription/patstat-online.html</w:t>
        </w:r>
      </w:hyperlink>
      <w:bookmarkEnd w:id="322"/>
      <w:r>
        <w:t xml:space="preserve"> </w:t>
      </w:r>
    </w:p>
    <w:p w:rsidR="00D27262" w:rsidRDefault="00D27262" w:rsidP="00D27262">
      <w:pPr>
        <w:pStyle w:val="Citace1"/>
      </w:pPr>
      <w:bookmarkStart w:id="323" w:name="_Ref450558140"/>
      <w:r>
        <w:t xml:space="preserve">Asociace obranného a bezpečnostního průmyslu. </w:t>
      </w:r>
      <w:hyperlink r:id="rId214" w:history="1">
        <w:r w:rsidRPr="005A1021">
          <w:rPr>
            <w:rStyle w:val="Hypertextovodkaz"/>
          </w:rPr>
          <w:t>http://www.aobp.cz/</w:t>
        </w:r>
      </w:hyperlink>
      <w:bookmarkEnd w:id="323"/>
      <w:r>
        <w:t xml:space="preserve">  </w:t>
      </w:r>
    </w:p>
    <w:p w:rsidR="00D27262" w:rsidRDefault="00D27262" w:rsidP="00630E8E">
      <w:pPr>
        <w:pStyle w:val="Citace1"/>
      </w:pPr>
      <w:bookmarkStart w:id="324" w:name="_Ref450558156"/>
      <w:r>
        <w:t xml:space="preserve">Asociace leteckých výrobců ČR (ALV ČR). </w:t>
      </w:r>
      <w:hyperlink r:id="rId215" w:history="1">
        <w:r w:rsidRPr="005A1021">
          <w:rPr>
            <w:rStyle w:val="Hypertextovodkaz"/>
          </w:rPr>
          <w:t>http://www.alv-cr.cz/</w:t>
        </w:r>
      </w:hyperlink>
      <w:bookmarkEnd w:id="324"/>
      <w:r>
        <w:t xml:space="preserve"> </w:t>
      </w:r>
    </w:p>
    <w:p w:rsidR="00D27262" w:rsidRDefault="00D27262" w:rsidP="00630E8E">
      <w:pPr>
        <w:pStyle w:val="Citace1"/>
      </w:pPr>
      <w:bookmarkStart w:id="325" w:name="_Ref450558166"/>
      <w:r>
        <w:t xml:space="preserve">Databáze Svazu českého leteckého průmyslu (SČLP). </w:t>
      </w:r>
      <w:hyperlink r:id="rId216" w:history="1">
        <w:r w:rsidRPr="005A1021">
          <w:rPr>
            <w:rStyle w:val="Hypertextovodkaz"/>
          </w:rPr>
          <w:t>http://www.sclp.cz/</w:t>
        </w:r>
      </w:hyperlink>
      <w:bookmarkEnd w:id="325"/>
      <w:r>
        <w:t xml:space="preserve"> </w:t>
      </w:r>
    </w:p>
    <w:p w:rsidR="00715F3A" w:rsidRPr="00DE2064" w:rsidRDefault="00C51B03" w:rsidP="00C51B03">
      <w:pPr>
        <w:pStyle w:val="Citace1"/>
        <w:rPr>
          <w:rStyle w:val="Hypertextovodkaz"/>
          <w:color w:val="auto"/>
          <w:u w:val="none"/>
        </w:rPr>
      </w:pPr>
      <w:bookmarkStart w:id="326" w:name="_Ref451428560"/>
      <w:r w:rsidRPr="00C51B03">
        <w:t>VOSviewer</w:t>
      </w:r>
      <w:r w:rsidR="009331A4">
        <w:t>:</w:t>
      </w:r>
      <w:r>
        <w:t xml:space="preserve"> Nees Jan van Eck, Ludo Waltman,</w:t>
      </w:r>
      <w:r w:rsidRPr="00C51B03">
        <w:t xml:space="preserve"> CWTS</w:t>
      </w:r>
      <w:r>
        <w:t xml:space="preserve">, University Leiden </w:t>
      </w:r>
      <w:hyperlink r:id="rId217" w:history="1">
        <w:r w:rsidRPr="00CC5F03">
          <w:rPr>
            <w:rStyle w:val="Hypertextovodkaz"/>
          </w:rPr>
          <w:t>http://www.vosviewer.com/</w:t>
        </w:r>
      </w:hyperlink>
      <w:bookmarkEnd w:id="326"/>
    </w:p>
    <w:p w:rsidR="00DE2064" w:rsidRDefault="00DE2064" w:rsidP="0068499C">
      <w:pPr>
        <w:pStyle w:val="Citace1"/>
      </w:pPr>
      <w:bookmarkStart w:id="327" w:name="_Ref453664469"/>
      <w:r>
        <w:t xml:space="preserve">Analýza stavu výzkumu, vývoje a inovací v České republice a jejich srovnání se zahraničím v roce 2013. Úřad vlády České republiky, Rada pro výzkum, vývoj a inovace, leden 2014. </w:t>
      </w:r>
      <w:hyperlink r:id="rId218" w:history="1">
        <w:r w:rsidR="0068499C" w:rsidRPr="00C12525">
          <w:rPr>
            <w:rStyle w:val="Hypertextovodkaz"/>
          </w:rPr>
          <w:t>http://www.vyzkum.cz/FrontClanek.aspx?idsekce=711241</w:t>
        </w:r>
      </w:hyperlink>
      <w:bookmarkEnd w:id="327"/>
      <w:r w:rsidR="0068499C">
        <w:t xml:space="preserve"> </w:t>
      </w:r>
    </w:p>
    <w:p w:rsidR="00A27970" w:rsidRDefault="00A27970" w:rsidP="0068499C">
      <w:pPr>
        <w:pStyle w:val="Citace1"/>
      </w:pPr>
      <w:bookmarkStart w:id="328" w:name="_Ref454269820"/>
      <w:r>
        <w:t>Motives, Barriers, and Services regarding Technology Transfer in the Czech Republic – an analysis of the TA CR Survey 2014. TA CR, Fraungofer MOEZ, October 2014.</w:t>
      </w:r>
      <w:bookmarkEnd w:id="328"/>
    </w:p>
    <w:p w:rsidR="00C51B03" w:rsidRDefault="00990E2D" w:rsidP="00C51B03">
      <w:pPr>
        <w:pStyle w:val="Citace1"/>
        <w:numPr>
          <w:ilvl w:val="0"/>
          <w:numId w:val="0"/>
        </w:numPr>
        <w:ind w:left="567"/>
      </w:pPr>
      <w:hyperlink r:id="rId219" w:history="1">
        <w:r w:rsidR="00A27970" w:rsidRPr="00345DEF">
          <w:rPr>
            <w:rStyle w:val="Hypertextovodkaz"/>
          </w:rPr>
          <w:t>http://docplayer.net/14880689-Motives-barriers-and-services-regarding-technology-transfer-in-the-czech-republic-an-analysis-of-the-ta-cr-survey-2014.html</w:t>
        </w:r>
      </w:hyperlink>
    </w:p>
    <w:p w:rsidR="00A27970" w:rsidRDefault="00A27970" w:rsidP="00A42657">
      <w:pPr>
        <w:pStyle w:val="Citace1"/>
        <w:numPr>
          <w:ilvl w:val="0"/>
          <w:numId w:val="0"/>
        </w:numPr>
        <w:ind w:left="567" w:hanging="567"/>
      </w:pPr>
    </w:p>
    <w:p w:rsidR="00904930" w:rsidRPr="00CC789A" w:rsidRDefault="00904930" w:rsidP="00904930">
      <w:pPr>
        <w:rPr>
          <w:i/>
          <w:lang w:eastAsia="cs-CZ"/>
        </w:rPr>
      </w:pPr>
      <w:r w:rsidRPr="00CC789A">
        <w:rPr>
          <w:i/>
          <w:lang w:eastAsia="cs-CZ"/>
        </w:rPr>
        <w:t>Odkazy na internetové stránky byly platné v době zpracování studie.</w:t>
      </w:r>
    </w:p>
    <w:p w:rsidR="00904930" w:rsidRPr="00715F3A" w:rsidRDefault="00904930" w:rsidP="00A42657">
      <w:pPr>
        <w:pStyle w:val="Citace1"/>
        <w:numPr>
          <w:ilvl w:val="0"/>
          <w:numId w:val="0"/>
        </w:numPr>
        <w:ind w:left="567" w:hanging="567"/>
      </w:pPr>
    </w:p>
    <w:sectPr w:rsidR="00904930" w:rsidRPr="00715F3A" w:rsidSect="00107BA8">
      <w:pgSz w:w="11906" w:h="16838"/>
      <w:pgMar w:top="1134" w:right="1274" w:bottom="1418"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90E2D" w:rsidRDefault="00990E2D" w:rsidP="00D07982">
      <w:pPr>
        <w:spacing w:before="0" w:after="0"/>
      </w:pPr>
      <w:r>
        <w:separator/>
      </w:r>
    </w:p>
  </w:endnote>
  <w:endnote w:type="continuationSeparator" w:id="0">
    <w:p w:rsidR="00990E2D" w:rsidRDefault="00990E2D" w:rsidP="00D07982">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EE"/>
    <w:family w:val="swiss"/>
    <w:pitch w:val="variable"/>
    <w:sig w:usb0="E00002FF" w:usb1="4000ACFF" w:usb2="00000001" w:usb3="00000000" w:csb0="0000019F"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Batang">
    <w:altName w:val="바탕"/>
    <w:panose1 w:val="02030600000101010101"/>
    <w:charset w:val="81"/>
    <w:family w:val="roman"/>
    <w:pitch w:val="variable"/>
    <w:sig w:usb0="B00002AF" w:usb1="69D77CFB" w:usb2="00000030" w:usb3="00000000" w:csb0="0008009F" w:csb1="00000000"/>
  </w:font>
  <w:font w:name="Arial">
    <w:panose1 w:val="020B0604020202020204"/>
    <w:charset w:val="EE"/>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D5DFB" w:rsidRDefault="008D5DFB" w:rsidP="00AD7CEC">
    <w:pPr>
      <w:pStyle w:val="Zpat"/>
      <w:framePr w:wrap="around" w:vAnchor="text" w:hAnchor="margin" w:xAlign="center" w:y="1"/>
      <w:rPr>
        <w:rStyle w:val="slostrnky"/>
      </w:rPr>
    </w:pPr>
    <w:r>
      <w:rPr>
        <w:rStyle w:val="slostrnky"/>
      </w:rPr>
      <w:fldChar w:fldCharType="begin"/>
    </w:r>
    <w:r>
      <w:rPr>
        <w:rStyle w:val="slostrnky"/>
      </w:rPr>
      <w:instrText xml:space="preserve">PAGE  </w:instrText>
    </w:r>
    <w:r>
      <w:rPr>
        <w:rStyle w:val="slostrnky"/>
      </w:rPr>
      <w:fldChar w:fldCharType="separate"/>
    </w:r>
    <w:r>
      <w:rPr>
        <w:rStyle w:val="slostrnky"/>
        <w:noProof/>
      </w:rPr>
      <w:t>2</w:t>
    </w:r>
    <w:r>
      <w:rPr>
        <w:rStyle w:val="slostrnky"/>
      </w:rPr>
      <w:fldChar w:fldCharType="end"/>
    </w:r>
  </w:p>
  <w:p w:rsidR="008D5DFB" w:rsidRDefault="008D5DFB">
    <w:pPr>
      <w:pStyle w:val="Zpa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34942543"/>
      <w:docPartObj>
        <w:docPartGallery w:val="Page Numbers (Bottom of Page)"/>
        <w:docPartUnique/>
      </w:docPartObj>
    </w:sdtPr>
    <w:sdtEndPr/>
    <w:sdtContent>
      <w:p w:rsidR="008D5DFB" w:rsidRDefault="008D5DFB">
        <w:pPr>
          <w:pStyle w:val="Zpat"/>
          <w:jc w:val="center"/>
        </w:pPr>
        <w:r>
          <w:fldChar w:fldCharType="begin"/>
        </w:r>
        <w:r>
          <w:instrText>PAGE   \* MERGEFORMAT</w:instrText>
        </w:r>
        <w:r>
          <w:fldChar w:fldCharType="separate"/>
        </w:r>
        <w:r w:rsidR="00E224CD">
          <w:rPr>
            <w:noProof/>
          </w:rPr>
          <w:t>7</w:t>
        </w:r>
        <w:r>
          <w:fldChar w:fldCharType="end"/>
        </w:r>
      </w:p>
    </w:sdtContent>
  </w:sdt>
  <w:p w:rsidR="008D5DFB" w:rsidRDefault="008D5DFB">
    <w:pPr>
      <w:pStyle w:val="Zpat"/>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D5DFB" w:rsidRDefault="008D5DFB">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90E2D" w:rsidRDefault="00990E2D" w:rsidP="00D07982">
      <w:pPr>
        <w:spacing w:before="0" w:after="0"/>
      </w:pPr>
      <w:r>
        <w:separator/>
      </w:r>
    </w:p>
  </w:footnote>
  <w:footnote w:type="continuationSeparator" w:id="0">
    <w:p w:rsidR="00990E2D" w:rsidRDefault="00990E2D" w:rsidP="00D07982">
      <w:pPr>
        <w:spacing w:before="0" w:after="0"/>
      </w:pPr>
      <w:r>
        <w:continuationSeparator/>
      </w:r>
    </w:p>
  </w:footnote>
  <w:footnote w:id="1">
    <w:p w:rsidR="008D5DFB" w:rsidRDefault="008D5DFB">
      <w:pPr>
        <w:pStyle w:val="Textpoznpodarou"/>
      </w:pPr>
      <w:r>
        <w:rPr>
          <w:rStyle w:val="Znakapoznpodarou"/>
        </w:rPr>
        <w:footnoteRef/>
      </w:r>
      <w:r>
        <w:t xml:space="preserve"> </w:t>
      </w:r>
      <w:r w:rsidRPr="00725616">
        <w:t>Microsoft Excel</w:t>
      </w:r>
    </w:p>
  </w:footnote>
  <w:footnote w:id="2">
    <w:p w:rsidR="008D5DFB" w:rsidRDefault="008D5DFB" w:rsidP="002E13C9">
      <w:pPr>
        <w:pStyle w:val="Textpoznpodarou"/>
      </w:pPr>
      <w:r>
        <w:rPr>
          <w:rStyle w:val="Znakapoznpodarou"/>
        </w:rPr>
        <w:footnoteRef/>
      </w:r>
      <w:r>
        <w:t xml:space="preserve"> Podle údajů z internetových stránek MV (</w:t>
      </w:r>
      <w:hyperlink r:id="rId1" w:history="1">
        <w:r w:rsidRPr="002D0C52">
          <w:rPr>
            <w:rStyle w:val="Hypertextovodkaz"/>
          </w:rPr>
          <w:t>http://www.mvcr.cz/clanek/institucionalni-podpora-ministerstva-vnitra.aspx</w:t>
        </w:r>
      </w:hyperlink>
      <w:r>
        <w:t xml:space="preserve">) </w:t>
      </w:r>
    </w:p>
  </w:footnote>
  <w:footnote w:id="3">
    <w:p w:rsidR="008D5DFB" w:rsidRDefault="008D5DFB">
      <w:pPr>
        <w:pStyle w:val="Textpoznpodarou"/>
      </w:pPr>
      <w:r>
        <w:rPr>
          <w:rStyle w:val="Znakapoznpodarou"/>
        </w:rPr>
        <w:footnoteRef/>
      </w:r>
      <w:r>
        <w:t xml:space="preserve"> Neveřejné zdroje, jako vlastní zdroje, zdroje ze zahraničí apod.</w:t>
      </w:r>
    </w:p>
  </w:footnote>
  <w:footnote w:id="4">
    <w:p w:rsidR="008D5DFB" w:rsidRDefault="008D5DFB">
      <w:pPr>
        <w:pStyle w:val="Textpoznpodarou"/>
      </w:pPr>
      <w:r>
        <w:rPr>
          <w:rStyle w:val="Znakapoznpodarou"/>
        </w:rPr>
        <w:footnoteRef/>
      </w:r>
      <w:r>
        <w:t xml:space="preserve"> Souhrn pro všechny projekty, které končily v roce 2010 a později, v nichž měly organizační jednotky MV libovolnou roli.</w:t>
      </w:r>
    </w:p>
  </w:footnote>
  <w:footnote w:id="5">
    <w:p w:rsidR="008D5DFB" w:rsidRDefault="008D5DFB">
      <w:pPr>
        <w:pStyle w:val="Textpoznpodarou"/>
      </w:pPr>
      <w:r>
        <w:rPr>
          <w:rStyle w:val="Znakapoznpodarou"/>
        </w:rPr>
        <w:footnoteRef/>
      </w:r>
      <w:r>
        <w:t xml:space="preserve"> </w:t>
      </w:r>
      <w:hyperlink r:id="rId2" w:history="1">
        <w:r w:rsidRPr="002D0C52">
          <w:rPr>
            <w:rStyle w:val="Hypertextovodkaz"/>
          </w:rPr>
          <w:t>http://www.vyzkum.cz/FrontClanek.aspx?idsekce=973</w:t>
        </w:r>
      </w:hyperlink>
      <w:r>
        <w:t xml:space="preserve"> </w:t>
      </w:r>
    </w:p>
  </w:footnote>
  <w:footnote w:id="6">
    <w:p w:rsidR="008D5DFB" w:rsidRDefault="008D5DFB">
      <w:pPr>
        <w:pStyle w:val="Textpoznpodarou"/>
      </w:pPr>
      <w:r>
        <w:rPr>
          <w:rStyle w:val="Znakapoznpodarou"/>
        </w:rPr>
        <w:footnoteRef/>
      </w:r>
      <w:r>
        <w:t xml:space="preserve"> Metodická poznámka: Údaje jsou k datu udělení veřejné podpory, nikoliv k roku zahájení projektu. Z tohoto důvodu jsou zahrnuty dva projekty končícího programu VD a 49 projektů programu VI </w:t>
      </w:r>
      <w:r w:rsidRPr="00CB4251">
        <w:t xml:space="preserve">(viz příloha </w:t>
      </w:r>
      <w:r w:rsidRPr="00CB4251">
        <w:rPr>
          <w:i/>
        </w:rPr>
        <w:t>P 7</w:t>
      </w:r>
      <w:r w:rsidRPr="00CB4251">
        <w:t>).</w:t>
      </w:r>
    </w:p>
  </w:footnote>
  <w:footnote w:id="7">
    <w:p w:rsidR="008D5DFB" w:rsidRDefault="008D5DFB" w:rsidP="00A179B1">
      <w:pPr>
        <w:pStyle w:val="Textpoznpodarou"/>
      </w:pPr>
      <w:r>
        <w:rPr>
          <w:rStyle w:val="Znakapoznpodarou"/>
        </w:rPr>
        <w:footnoteRef/>
      </w:r>
      <w:r>
        <w:t xml:space="preserve"> 60% podíl bezpečnostních programů na financování VFU Brno je s největší pravděpodobností chybou v databázi CEP, kde je bezpečnostní výzkum formálně přiřazen „rektorátu“ univerzity.</w:t>
      </w:r>
    </w:p>
  </w:footnote>
  <w:footnote w:id="8">
    <w:p w:rsidR="008D5DFB" w:rsidRDefault="008D5DFB">
      <w:pPr>
        <w:pStyle w:val="Textpoznpodarou"/>
      </w:pPr>
      <w:r>
        <w:rPr>
          <w:rStyle w:val="Znakapoznpodarou"/>
        </w:rPr>
        <w:footnoteRef/>
      </w:r>
      <w:r>
        <w:t xml:space="preserve"> </w:t>
      </w:r>
      <w:hyperlink r:id="rId3" w:history="1">
        <w:r w:rsidRPr="0005630E">
          <w:rPr>
            <w:rStyle w:val="Hypertextovodkaz"/>
          </w:rPr>
          <w:t>https://www.tacr.cz/sites/default/files/shared/program_beta/program_beta_2013.pdf</w:t>
        </w:r>
      </w:hyperlink>
      <w:r>
        <w:t xml:space="preserve"> </w:t>
      </w:r>
    </w:p>
  </w:footnote>
  <w:footnote w:id="9">
    <w:p w:rsidR="008D5DFB" w:rsidRDefault="008D5DFB" w:rsidP="00B73885">
      <w:pPr>
        <w:pStyle w:val="Textpoznpodarou"/>
      </w:pPr>
      <w:r>
        <w:rPr>
          <w:rStyle w:val="Znakapoznpodarou"/>
        </w:rPr>
        <w:footnoteRef/>
      </w:r>
      <w:r>
        <w:t xml:space="preserve"> Z 220 projektů soubor klíčových slov detekoval 211. Kontrola zbývajících devíti projektů ukázala,že jejich anglické anotace byly chybné.</w:t>
      </w:r>
    </w:p>
  </w:footnote>
  <w:footnote w:id="10">
    <w:p w:rsidR="008D5DFB" w:rsidRDefault="008D5DFB" w:rsidP="00B73885">
      <w:pPr>
        <w:pStyle w:val="Textpoznpodarou"/>
      </w:pPr>
      <w:r>
        <w:rPr>
          <w:rStyle w:val="Znakapoznpodarou"/>
        </w:rPr>
        <w:footnoteRef/>
      </w:r>
      <w:r>
        <w:t xml:space="preserve"> Například sousloví „risk assessment“, „emergency“, „risk management“, „epidemy“, „pandemy“, „crisis management“, „biological agent“</w:t>
      </w:r>
    </w:p>
  </w:footnote>
  <w:footnote w:id="11">
    <w:p w:rsidR="008D5DFB" w:rsidRDefault="008D5DFB">
      <w:pPr>
        <w:pStyle w:val="Textpoznpodarou"/>
      </w:pPr>
      <w:r>
        <w:rPr>
          <w:rStyle w:val="Znakapoznpodarou"/>
        </w:rPr>
        <w:footnoteRef/>
      </w:r>
      <w:r>
        <w:t xml:space="preserve"> </w:t>
      </w:r>
      <w:hyperlink r:id="rId4" w:history="1">
        <w:r w:rsidRPr="00F40166">
          <w:rPr>
            <w:rStyle w:val="Hypertextovodkaz"/>
          </w:rPr>
          <w:t>https://www.it4i.cz/</w:t>
        </w:r>
      </w:hyperlink>
      <w:r>
        <w:t xml:space="preserve"> </w:t>
      </w:r>
    </w:p>
  </w:footnote>
  <w:footnote w:id="12">
    <w:p w:rsidR="008D5DFB" w:rsidRDefault="008D5DFB">
      <w:pPr>
        <w:pStyle w:val="Textpoznpodarou"/>
      </w:pPr>
      <w:r>
        <w:rPr>
          <w:rStyle w:val="Znakapoznpodarou"/>
        </w:rPr>
        <w:footnoteRef/>
      </w:r>
      <w:r>
        <w:t xml:space="preserve"> Publikační výsledky jsou v programech VF a VG klasifikovány pouze jako vedlejší (doplňkové) výsledky</w:t>
      </w:r>
    </w:p>
  </w:footnote>
  <w:footnote w:id="13">
    <w:p w:rsidR="008D5DFB" w:rsidRDefault="008D5DFB" w:rsidP="00770AE4">
      <w:pPr>
        <w:pStyle w:val="Textpoznpodarou"/>
        <w:jc w:val="left"/>
      </w:pPr>
      <w:r>
        <w:rPr>
          <w:rStyle w:val="Znakapoznpodarou"/>
        </w:rPr>
        <w:footnoteRef/>
      </w:r>
      <w:r>
        <w:t xml:space="preserve"> TR Essential Science Indicators definice a metodologie viz </w:t>
      </w:r>
      <w:hyperlink r:id="rId5" w:history="1">
        <w:r w:rsidRPr="00D07BCC">
          <w:rPr>
            <w:rStyle w:val="Hypertextovodkaz"/>
          </w:rPr>
          <w:t>http://hcr.stateofinnovation.thomsonreuters.com/page/methodology</w:t>
        </w:r>
      </w:hyperlink>
      <w:r>
        <w:t xml:space="preserve"> </w:t>
      </w:r>
    </w:p>
  </w:footnote>
  <w:footnote w:id="14">
    <w:p w:rsidR="008D5DFB" w:rsidRDefault="008D5DFB" w:rsidP="001E5E70">
      <w:pPr>
        <w:pStyle w:val="Textpoznpodarou"/>
      </w:pPr>
      <w:r>
        <w:rPr>
          <w:rStyle w:val="Znakapoznpodarou"/>
        </w:rPr>
        <w:footnoteRef/>
      </w:r>
      <w:r>
        <w:t xml:space="preserve"> Pro rok 2015 jsou záznamy v RIV nekompletní – termíny dodání výsledků je konec května 2016 a</w:t>
      </w:r>
      <w:r w:rsidRPr="00F95BA3">
        <w:t xml:space="preserve"> </w:t>
      </w:r>
      <w:r>
        <w:t>září 2016 pro projekty, jimž bylo ukončeno poskytování podpory.</w:t>
      </w:r>
    </w:p>
  </w:footnote>
  <w:footnote w:id="15">
    <w:p w:rsidR="008D5DFB" w:rsidRDefault="008D5DFB" w:rsidP="001E5E70">
      <w:pPr>
        <w:pStyle w:val="Textpoznpodarou"/>
      </w:pPr>
      <w:r>
        <w:rPr>
          <w:rStyle w:val="Znakapoznpodarou"/>
        </w:rPr>
        <w:footnoteRef/>
      </w:r>
      <w:r>
        <w:t xml:space="preserve"> Odborná monografie (B), Kapitola v odborné knize (C), Článek ve sborníku z akce (D), Výzkumná zpráva obsahující utajované informace a Článek v odborném periodiku (J).</w:t>
      </w:r>
    </w:p>
  </w:footnote>
  <w:footnote w:id="16">
    <w:p w:rsidR="008D5DFB" w:rsidRDefault="008D5DFB">
      <w:pPr>
        <w:pStyle w:val="Textpoznpodarou"/>
      </w:pPr>
      <w:r>
        <w:rPr>
          <w:rStyle w:val="Znakapoznpodarou"/>
        </w:rPr>
        <w:footnoteRef/>
      </w:r>
      <w:r>
        <w:t xml:space="preserve"> </w:t>
      </w:r>
      <w:r w:rsidRPr="000D6D11">
        <w:t>WoS indexuje přibližně 17 000 titulů periodik a rovněž zahrnuje odborné knižní publikace a sborníky z mezinárodních konferencí.</w:t>
      </w:r>
    </w:p>
  </w:footnote>
  <w:footnote w:id="17">
    <w:p w:rsidR="008D5DFB" w:rsidRDefault="008D5DFB" w:rsidP="00C84F89">
      <w:pPr>
        <w:pStyle w:val="Textpoznpodarou"/>
      </w:pPr>
      <w:r>
        <w:rPr>
          <w:rStyle w:val="Znakapoznpodarou"/>
        </w:rPr>
        <w:footnoteRef/>
      </w:r>
      <w:r>
        <w:t xml:space="preserve"> Pro větší názornost vynásobený 100.</w:t>
      </w:r>
    </w:p>
  </w:footnote>
  <w:footnote w:id="18">
    <w:p w:rsidR="008D5DFB" w:rsidRDefault="008D5DFB" w:rsidP="00570239">
      <w:pPr>
        <w:pStyle w:val="Textpoznpodarou"/>
      </w:pPr>
      <w:r>
        <w:rPr>
          <w:rStyle w:val="Znakapoznpodarou"/>
        </w:rPr>
        <w:footnoteRef/>
      </w:r>
      <w:r>
        <w:t xml:space="preserve"> V oborech vědy o Zemi, biovědy, lékařské vědy a vojenství jsou počty publikací ve sbornících (impaktovaných, případně i neimpaktovaných) příliš malé, a proto je vypovídací hodnota indexu nízká.</w:t>
      </w:r>
    </w:p>
  </w:footnote>
  <w:footnote w:id="19">
    <w:p w:rsidR="008D5DFB" w:rsidRDefault="008D5DFB" w:rsidP="00C84F89">
      <w:pPr>
        <w:pStyle w:val="Textpoznpodarou"/>
        <w:jc w:val="left"/>
      </w:pPr>
      <w:r>
        <w:rPr>
          <w:rStyle w:val="Znakapoznpodarou"/>
        </w:rPr>
        <w:footnoteRef/>
      </w:r>
      <w:r>
        <w:t xml:space="preserve"> </w:t>
      </w:r>
      <w:hyperlink r:id="rId6" w:history="1">
        <w:r w:rsidRPr="00186A03">
          <w:rPr>
            <w:rStyle w:val="Hypertextovodkaz"/>
            <w:rFonts w:eastAsiaTheme="majorEastAsia"/>
          </w:rPr>
          <w:t>http://ipscience.thomsonreuters.com/product/web-of-science/?utm_source=Adwords&amp;utm_medium=paid&amp;utm_campaign=WoS&amp;gclid=CJq2qqugoswCFawp0wodXPwDlQ&amp;gclsrc=aw.ds#</w:t>
        </w:r>
      </w:hyperlink>
      <w:r>
        <w:t xml:space="preserve"> </w:t>
      </w:r>
    </w:p>
  </w:footnote>
  <w:footnote w:id="20">
    <w:p w:rsidR="008D5DFB" w:rsidRDefault="008D5DFB" w:rsidP="00C84F89">
      <w:pPr>
        <w:pStyle w:val="Textpoznpodarou"/>
        <w:jc w:val="left"/>
      </w:pPr>
      <w:r>
        <w:rPr>
          <w:rStyle w:val="Znakapoznpodarou"/>
        </w:rPr>
        <w:footnoteRef/>
      </w:r>
      <w:r>
        <w:t xml:space="preserve"> Stanoveno ze srovnání uvedených ISSN identifikátorů s </w:t>
      </w:r>
      <w:r>
        <w:rPr>
          <w:i/>
        </w:rPr>
        <w:t>WoS</w:t>
      </w:r>
      <w:r w:rsidRPr="00C724FC">
        <w:rPr>
          <w:i/>
        </w:rPr>
        <w:t xml:space="preserve"> Master Journal List</w:t>
      </w:r>
      <w:r>
        <w:t xml:space="preserve"> </w:t>
      </w:r>
      <w:hyperlink r:id="rId7" w:history="1">
        <w:r w:rsidRPr="00186A03">
          <w:rPr>
            <w:rStyle w:val="Hypertextovodkaz"/>
            <w:rFonts w:eastAsiaTheme="majorEastAsia"/>
          </w:rPr>
          <w:t>http://ip-science.thomsonreuters.com/mjl/</w:t>
        </w:r>
      </w:hyperlink>
      <w:r>
        <w:t xml:space="preserve"> </w:t>
      </w:r>
    </w:p>
  </w:footnote>
  <w:footnote w:id="21">
    <w:p w:rsidR="008D5DFB" w:rsidRDefault="008D5DFB">
      <w:pPr>
        <w:pStyle w:val="Textpoznpodarou"/>
      </w:pPr>
      <w:r>
        <w:rPr>
          <w:rStyle w:val="Znakapoznpodarou"/>
        </w:rPr>
        <w:footnoteRef/>
      </w:r>
      <w:r>
        <w:t xml:space="preserve"> B</w:t>
      </w:r>
      <w:r w:rsidRPr="00A67FBA">
        <w:t>ibliometrické indikátory jsou</w:t>
      </w:r>
      <w:r>
        <w:t xml:space="preserve"> tak</w:t>
      </w:r>
      <w:r w:rsidRPr="00A67FBA">
        <w:t xml:space="preserve"> zatíženy nejistotou vyplývající ze ztráty přibližně 20 % publikací z hodnocení v důsledku absence UT parametru v RIV.</w:t>
      </w:r>
    </w:p>
  </w:footnote>
  <w:footnote w:id="22">
    <w:p w:rsidR="008D5DFB" w:rsidRDefault="008D5DFB" w:rsidP="00C84F89">
      <w:pPr>
        <w:pStyle w:val="Textpoznpodarou"/>
      </w:pPr>
      <w:r>
        <w:rPr>
          <w:rStyle w:val="Znakapoznpodarou"/>
        </w:rPr>
        <w:footnoteRef/>
      </w:r>
      <w:r>
        <w:t xml:space="preserve"> Citovanost k 31. 12. 2015.</w:t>
      </w:r>
    </w:p>
  </w:footnote>
  <w:footnote w:id="23">
    <w:p w:rsidR="008D5DFB" w:rsidRDefault="008D5DFB">
      <w:pPr>
        <w:pStyle w:val="Textpoznpodarou"/>
      </w:pPr>
      <w:r>
        <w:rPr>
          <w:rStyle w:val="Znakapoznpodarou"/>
        </w:rPr>
        <w:footnoteRef/>
      </w:r>
      <w:r>
        <w:t xml:space="preserve"> </w:t>
      </w:r>
      <w:r w:rsidRPr="008E5456">
        <w:t>V předkládané Analýze jsou výzkumné zprávy obsahující utajované informace klasifikovány jako publikační výstupy</w:t>
      </w:r>
    </w:p>
  </w:footnote>
  <w:footnote w:id="24">
    <w:p w:rsidR="008D5DFB" w:rsidRDefault="008D5DFB">
      <w:pPr>
        <w:pStyle w:val="Textpoznpodarou"/>
      </w:pPr>
      <w:r>
        <w:rPr>
          <w:rStyle w:val="Znakapoznpodarou"/>
        </w:rPr>
        <w:footnoteRef/>
      </w:r>
      <w:r>
        <w:t xml:space="preserve"> </w:t>
      </w:r>
      <w:r w:rsidRPr="00BC11C6">
        <w:t>EPO Worldwide Patent Statistical Database</w:t>
      </w:r>
      <w:r>
        <w:t xml:space="preserve">, </w:t>
      </w:r>
      <w:hyperlink r:id="rId8" w:anchor="tab1" w:history="1">
        <w:r w:rsidRPr="007B3331">
          <w:rPr>
            <w:rStyle w:val="Hypertextovodkaz"/>
          </w:rPr>
          <w:t>https://www.epo.org/searching-for-patents/business/patstat.html#tab1</w:t>
        </w:r>
      </w:hyperlink>
      <w:r>
        <w:t xml:space="preserve"> </w:t>
      </w:r>
    </w:p>
  </w:footnote>
  <w:footnote w:id="25">
    <w:p w:rsidR="008D5DFB" w:rsidRDefault="008D5DFB" w:rsidP="008D1C30">
      <w:pPr>
        <w:pStyle w:val="Textpoznpodarou"/>
        <w:jc w:val="left"/>
      </w:pPr>
      <w:r>
        <w:rPr>
          <w:rStyle w:val="Znakapoznpodarou"/>
        </w:rPr>
        <w:footnoteRef/>
      </w:r>
      <w:r>
        <w:t xml:space="preserve"> </w:t>
      </w:r>
      <w:r w:rsidRPr="008D1C30">
        <w:t>International Patent Classification (IPC)</w:t>
      </w:r>
      <w:r>
        <w:t xml:space="preserve">, </w:t>
      </w:r>
      <w:r w:rsidRPr="008D1C30">
        <w:t>World Intellectual Property Organization</w:t>
      </w:r>
      <w:r>
        <w:t xml:space="preserve"> (WIPO), </w:t>
      </w:r>
      <w:hyperlink r:id="rId9" w:history="1">
        <w:r w:rsidRPr="007B3331">
          <w:rPr>
            <w:rStyle w:val="Hypertextovodkaz"/>
          </w:rPr>
          <w:t>http://www.wipo.int/classifications/ipc/en/</w:t>
        </w:r>
      </w:hyperlink>
      <w:r>
        <w:t xml:space="preserve"> </w:t>
      </w:r>
    </w:p>
  </w:footnote>
  <w:footnote w:id="26">
    <w:p w:rsidR="008D5DFB" w:rsidRDefault="008D5DFB" w:rsidP="001F5D92">
      <w:pPr>
        <w:pStyle w:val="Textpoznpodarou"/>
      </w:pPr>
      <w:r>
        <w:rPr>
          <w:rStyle w:val="Znakapoznpodarou"/>
        </w:rPr>
        <w:footnoteRef/>
      </w:r>
      <w:r>
        <w:t xml:space="preserve"> Publikační výstupy jsou typu J, D, B, C a</w:t>
      </w:r>
      <w:r w:rsidRPr="00831959">
        <w:t xml:space="preserve"> V</w:t>
      </w:r>
      <w:r>
        <w:t>. Z důvodu specifického charakteru bezpečnostního výzkumu, jehož výsledky mohou být zveřejněny pouze v omezené komunitě, jsou jako publikační výsledek zařazeny i výzkumné zprávy s utajovaným obsahem (V). „Nepublikační“ výstupy jsou typu P, Z, F, G, H, N, R, A, O.</w:t>
      </w:r>
    </w:p>
  </w:footnote>
  <w:footnote w:id="27">
    <w:p w:rsidR="008D5DFB" w:rsidRPr="007C1B5F" w:rsidRDefault="008D5DFB" w:rsidP="007C1B5F">
      <w:pPr>
        <w:pStyle w:val="Bezmezer"/>
        <w:rPr>
          <w:i/>
        </w:rPr>
      </w:pPr>
      <w:r>
        <w:rPr>
          <w:rStyle w:val="Znakapoznpodarou"/>
        </w:rPr>
        <w:footnoteRef/>
      </w:r>
      <w:r>
        <w:t xml:space="preserve"> Seznam subjektů zobrazených v mapách a jejich zkratek je uveden v příloze </w:t>
      </w:r>
      <w:r>
        <w:rPr>
          <w:i/>
        </w:rPr>
        <w:t>P 47.</w:t>
      </w:r>
    </w:p>
  </w:footnote>
  <w:footnote w:id="28">
    <w:p w:rsidR="008D5DFB" w:rsidRDefault="008D5DFB">
      <w:pPr>
        <w:pStyle w:val="Textpoznpodarou"/>
      </w:pPr>
      <w:r>
        <w:rPr>
          <w:rStyle w:val="Znakapoznpodarou"/>
        </w:rPr>
        <w:footnoteRef/>
      </w:r>
      <w:r>
        <w:t xml:space="preserve"> </w:t>
      </w:r>
      <w:hyperlink r:id="rId10" w:history="1">
        <w:r w:rsidRPr="004B4CE2">
          <w:rPr>
            <w:rStyle w:val="Hypertextovodkaz"/>
          </w:rPr>
          <w:t>http://ec.europa.eu/dgs/home-affairs/e-library/documents/basic-documents/</w:t>
        </w:r>
      </w:hyperlink>
    </w:p>
  </w:footnote>
  <w:footnote w:id="29">
    <w:p w:rsidR="008D5DFB" w:rsidRDefault="008D5DFB">
      <w:pPr>
        <w:pStyle w:val="Textpoznpodarou"/>
      </w:pPr>
      <w:r>
        <w:rPr>
          <w:rStyle w:val="Znakapoznpodarou"/>
        </w:rPr>
        <w:footnoteRef/>
      </w:r>
      <w:r>
        <w:t xml:space="preserve"> </w:t>
      </w:r>
      <w:hyperlink r:id="rId11" w:history="1">
        <w:r w:rsidRPr="00B247D7">
          <w:rPr>
            <w:rStyle w:val="Hypertextovodkaz"/>
            <w:bCs/>
          </w:rPr>
          <w:t>http://europa.eu/rapid/press-release_MEMO-16-1495_en.htm</w:t>
        </w:r>
      </w:hyperlink>
    </w:p>
  </w:footnote>
  <w:footnote w:id="30">
    <w:p w:rsidR="008D5DFB" w:rsidRDefault="008D5DFB">
      <w:pPr>
        <w:pStyle w:val="Textpoznpodarou"/>
      </w:pPr>
      <w:r>
        <w:rPr>
          <w:rStyle w:val="Znakapoznpodarou"/>
        </w:rPr>
        <w:footnoteRef/>
      </w:r>
      <w:r>
        <w:t xml:space="preserve"> </w:t>
      </w:r>
      <w:hyperlink r:id="rId12" w:history="1">
        <w:r w:rsidRPr="00576F59">
          <w:rPr>
            <w:rStyle w:val="Hypertextovodkaz"/>
          </w:rPr>
          <w:t>http://eur-lex.europa.eu/legal-content/EN/TXT/?uri=OJ:L:2013:347:TOC</w:t>
        </w:r>
      </w:hyperlink>
      <w:r w:rsidRPr="00576F59">
        <w:rPr>
          <w:u w:val="single"/>
        </w:rPr>
        <w:t xml:space="preserve">  </w:t>
      </w:r>
    </w:p>
  </w:footnote>
  <w:footnote w:id="31">
    <w:p w:rsidR="008D5DFB" w:rsidRDefault="008D5DFB" w:rsidP="00576F59">
      <w:pPr>
        <w:pStyle w:val="Textpoznpodarou"/>
        <w:jc w:val="left"/>
      </w:pPr>
      <w:r>
        <w:rPr>
          <w:rStyle w:val="Znakapoznpodarou"/>
        </w:rPr>
        <w:footnoteRef/>
      </w:r>
      <w:r>
        <w:t xml:space="preserve"> Podrobnější informace o programu H2020 lze nalézt například na internetových stránkách </w:t>
      </w:r>
      <w:hyperlink r:id="rId13" w:history="1">
        <w:r w:rsidRPr="00DA6D86">
          <w:rPr>
            <w:rStyle w:val="Hypertextovodkaz"/>
          </w:rPr>
          <w:t>https://ec.europa.eu/programmes/horizon2020/h2020-sections</w:t>
        </w:r>
      </w:hyperlink>
      <w:r>
        <w:t xml:space="preserve"> nebo </w:t>
      </w:r>
      <w:hyperlink r:id="rId14" w:history="1">
        <w:r w:rsidRPr="00DA6D86">
          <w:rPr>
            <w:rStyle w:val="Hypertextovodkaz"/>
          </w:rPr>
          <w:t>http://www.h2020.cz/cs</w:t>
        </w:r>
      </w:hyperlink>
      <w:r>
        <w:t xml:space="preserve"> </w:t>
      </w:r>
    </w:p>
  </w:footnote>
  <w:footnote w:id="32">
    <w:p w:rsidR="008D5DFB" w:rsidRDefault="008D5DFB">
      <w:pPr>
        <w:pStyle w:val="Textpoznpodarou"/>
      </w:pPr>
      <w:r>
        <w:rPr>
          <w:rStyle w:val="Znakapoznpodarou"/>
        </w:rPr>
        <w:footnoteRef/>
      </w:r>
      <w:r>
        <w:t xml:space="preserve"> </w:t>
      </w:r>
      <w:hyperlink r:id="rId15" w:anchor="h2020-legal-basis-sp" w:history="1">
        <w:r w:rsidRPr="004C4B66">
          <w:rPr>
            <w:rStyle w:val="Hypertextovodkaz"/>
          </w:rPr>
          <w:t>http://ec.europa.eu/research/participants/portal/desktop/en/funding/reference_docs.html#h2020-legal-basis-sp</w:t>
        </w:r>
      </w:hyperlink>
    </w:p>
  </w:footnote>
  <w:footnote w:id="33">
    <w:p w:rsidR="008D5DFB" w:rsidRDefault="008D5DFB">
      <w:pPr>
        <w:pStyle w:val="Textpoznpodarou"/>
      </w:pPr>
      <w:r>
        <w:rPr>
          <w:rStyle w:val="Znakapoznpodarou"/>
        </w:rPr>
        <w:footnoteRef/>
      </w:r>
      <w:r>
        <w:t xml:space="preserve"> Za ř</w:t>
      </w:r>
      <w:r w:rsidRPr="00E97047">
        <w:t>ešený</w:t>
      </w:r>
      <w:r>
        <w:t>,</w:t>
      </w:r>
      <w:r w:rsidRPr="00E97047">
        <w:t xml:space="preserve"> resp. realizovaný projekt</w:t>
      </w:r>
      <w:r>
        <w:t>,</w:t>
      </w:r>
      <w:r w:rsidRPr="00E97047">
        <w:t xml:space="preserve"> </w:t>
      </w:r>
      <w:r>
        <w:t xml:space="preserve">je </w:t>
      </w:r>
      <w:r w:rsidRPr="00E97047">
        <w:t xml:space="preserve">v této studii </w:t>
      </w:r>
      <w:r>
        <w:t>považován</w:t>
      </w:r>
      <w:r w:rsidRPr="00E97047">
        <w:t xml:space="preserve"> projekt s podepsanou grantovou dohodou a zajištěným financováním z rozpočtu RP</w:t>
      </w:r>
    </w:p>
  </w:footnote>
  <w:footnote w:id="34">
    <w:p w:rsidR="008D5DFB" w:rsidRDefault="008D5DFB" w:rsidP="000B5313">
      <w:pPr>
        <w:pStyle w:val="Textpoznpodarou"/>
      </w:pPr>
      <w:r>
        <w:rPr>
          <w:rStyle w:val="Znakapoznpodarou"/>
        </w:rPr>
        <w:footnoteRef/>
      </w:r>
      <w:r>
        <w:t xml:space="preserve"> P</w:t>
      </w:r>
      <w:r w:rsidRPr="00ED4283">
        <w:t>odrobněji je struktura 7. RP a programu H2020 popsána v samostatné příloze</w:t>
      </w:r>
    </w:p>
  </w:footnote>
  <w:footnote w:id="35">
    <w:p w:rsidR="008D5DFB" w:rsidRDefault="008D5DFB" w:rsidP="00F17649">
      <w:pPr>
        <w:pStyle w:val="Textpoznpodarou"/>
      </w:pPr>
      <w:r>
        <w:rPr>
          <w:rStyle w:val="Znakapoznpodarou"/>
        </w:rPr>
        <w:footnoteRef/>
      </w:r>
      <w:r>
        <w:t xml:space="preserve"> </w:t>
      </w:r>
      <w:hyperlink r:id="rId16" w:history="1">
        <w:r w:rsidRPr="00FA583D">
          <w:rPr>
            <w:rStyle w:val="Hypertextovodkaz"/>
          </w:rPr>
          <w:t>http://www.fraunhofer.de/en.html</w:t>
        </w:r>
      </w:hyperlink>
      <w:r>
        <w:t xml:space="preserve"> </w:t>
      </w:r>
    </w:p>
  </w:footnote>
  <w:footnote w:id="36">
    <w:p w:rsidR="008D5DFB" w:rsidRDefault="008D5DFB" w:rsidP="00F17649">
      <w:pPr>
        <w:pStyle w:val="Textpoznpodarou"/>
      </w:pPr>
      <w:r>
        <w:rPr>
          <w:rStyle w:val="Znakapoznpodarou"/>
        </w:rPr>
        <w:footnoteRef/>
      </w:r>
      <w:r>
        <w:t xml:space="preserve"> </w:t>
      </w:r>
      <w:hyperlink r:id="rId17" w:history="1">
        <w:r w:rsidRPr="00FA583D">
          <w:rPr>
            <w:rStyle w:val="Hypertextovodkaz"/>
          </w:rPr>
          <w:t>http://es.atos.net/es-es/home.html</w:t>
        </w:r>
      </w:hyperlink>
      <w:r>
        <w:t xml:space="preserve"> </w:t>
      </w:r>
    </w:p>
  </w:footnote>
  <w:footnote w:id="37">
    <w:p w:rsidR="008D5DFB" w:rsidRDefault="008D5DFB" w:rsidP="00F17649">
      <w:pPr>
        <w:pStyle w:val="Textpoznpodarou"/>
      </w:pPr>
      <w:r>
        <w:rPr>
          <w:rStyle w:val="Znakapoznpodarou"/>
        </w:rPr>
        <w:footnoteRef/>
      </w:r>
      <w:r>
        <w:t xml:space="preserve"> </w:t>
      </w:r>
      <w:hyperlink r:id="rId18" w:history="1">
        <w:r w:rsidRPr="00FA583D">
          <w:rPr>
            <w:rStyle w:val="Hypertextovodkaz"/>
          </w:rPr>
          <w:t>http://english.cea.fr/english-portal</w:t>
        </w:r>
      </w:hyperlink>
      <w:r>
        <w:t xml:space="preserve"> </w:t>
      </w:r>
    </w:p>
  </w:footnote>
  <w:footnote w:id="38">
    <w:p w:rsidR="008D5DFB" w:rsidRDefault="008D5DFB" w:rsidP="00F17649">
      <w:pPr>
        <w:pStyle w:val="Textpoznpodarou"/>
      </w:pPr>
      <w:r>
        <w:rPr>
          <w:rStyle w:val="Znakapoznpodarou"/>
        </w:rPr>
        <w:footnoteRef/>
      </w:r>
      <w:r>
        <w:t xml:space="preserve"> Jedná se o součet šesti divizí společnosti Airbus </w:t>
      </w:r>
    </w:p>
  </w:footnote>
  <w:footnote w:id="39">
    <w:p w:rsidR="008D5DFB" w:rsidRDefault="008D5DFB">
      <w:pPr>
        <w:pStyle w:val="Textpoznpodarou"/>
      </w:pPr>
      <w:r>
        <w:rPr>
          <w:rStyle w:val="Znakapoznpodarou"/>
        </w:rPr>
        <w:footnoteRef/>
      </w:r>
      <w:r>
        <w:t xml:space="preserve"> </w:t>
      </w:r>
      <w:r w:rsidRPr="00265AB1">
        <w:t xml:space="preserve">Projektovou úspěšností </w:t>
      </w:r>
      <w:r>
        <w:t xml:space="preserve">(účastnickou úspěšností) se </w:t>
      </w:r>
      <w:r w:rsidRPr="00265AB1">
        <w:t xml:space="preserve">rozumí poměr projektů s podepsanou grantovou dohodou </w:t>
      </w:r>
      <w:r>
        <w:t xml:space="preserve">(počet účastí v těchto projektech) </w:t>
      </w:r>
      <w:r w:rsidRPr="00265AB1">
        <w:t>k</w:t>
      </w:r>
      <w:r>
        <w:t>e</w:t>
      </w:r>
      <w:r w:rsidRPr="00265AB1">
        <w:t xml:space="preserve"> všem předloženým návrhům projektům </w:t>
      </w:r>
      <w:r>
        <w:t xml:space="preserve">(počtu účastí v těchto návrzích projektů) </w:t>
      </w:r>
      <w:r w:rsidRPr="00265AB1">
        <w:t>prostřednictví</w:t>
      </w:r>
      <w:r>
        <w:t>m</w:t>
      </w:r>
      <w:r w:rsidRPr="00265AB1">
        <w:t xml:space="preserve"> účastnického portálu daného RP</w:t>
      </w:r>
      <w:r>
        <w:t>, tj. včetně návrhů, které měly administrativní chybu a byly označeny jako nezpůsobilé („</w:t>
      </w:r>
      <w:r w:rsidRPr="00265AB1">
        <w:t>ineligible</w:t>
      </w:r>
      <w:r>
        <w:t>“)</w:t>
      </w:r>
    </w:p>
  </w:footnote>
  <w:footnote w:id="40">
    <w:p w:rsidR="008D5DFB" w:rsidRDefault="008D5DFB" w:rsidP="009E79F2">
      <w:pPr>
        <w:pStyle w:val="Textpoznpodarou"/>
      </w:pPr>
      <w:r>
        <w:rPr>
          <w:rStyle w:val="Znakapoznpodarou"/>
        </w:rPr>
        <w:footnoteRef/>
      </w:r>
      <w:r>
        <w:t xml:space="preserve"> Pro identifikaci unikátního výzkumníka byl použit nově zavedený číselný identifikátor „vedik“ v IS VaVaI, který je odvozený z rodných čísel výzkumných pracovníků při zachování důvěrnosti osobních údajů (zpětně nelze dešifrovat výchozí rodné číslo).</w:t>
      </w:r>
    </w:p>
  </w:footnote>
  <w:footnote w:id="41">
    <w:p w:rsidR="008D5DFB" w:rsidRDefault="008D5DFB">
      <w:pPr>
        <w:pStyle w:val="Textpoznpodarou"/>
      </w:pPr>
      <w:r>
        <w:rPr>
          <w:rStyle w:val="Znakapoznpodarou"/>
        </w:rPr>
        <w:footnoteRef/>
      </w:r>
      <w:r>
        <w:t xml:space="preserve"> </w:t>
      </w:r>
      <w:r w:rsidRPr="00233A6F">
        <w:t>Full-time equivalent (FTE)</w:t>
      </w:r>
    </w:p>
  </w:footnote>
  <w:footnote w:id="42">
    <w:p w:rsidR="008D5DFB" w:rsidRDefault="008D5DFB" w:rsidP="00B74AF8">
      <w:pPr>
        <w:pStyle w:val="Textpoznpodarou"/>
      </w:pPr>
      <w:r>
        <w:rPr>
          <w:rStyle w:val="Znakapoznpodarou"/>
        </w:rPr>
        <w:footnoteRef/>
      </w:r>
      <w:r>
        <w:t xml:space="preserve"> Český statistický úřad </w:t>
      </w:r>
      <w:hyperlink r:id="rId19" w:history="1">
        <w:r w:rsidRPr="004169A8">
          <w:rPr>
            <w:rStyle w:val="Hypertextovodkaz"/>
            <w:rFonts w:eastAsiaTheme="majorEastAsia"/>
          </w:rPr>
          <w:t>https://www.czso.cz/csu/czso/statistika_vyzkumu_a_vyvoje</w:t>
        </w:r>
      </w:hyperlink>
      <w:r>
        <w:t>, údaje pro rok 2014.</w:t>
      </w:r>
    </w:p>
  </w:footnote>
  <w:footnote w:id="43">
    <w:p w:rsidR="008D5DFB" w:rsidRDefault="008D5DFB" w:rsidP="00096513">
      <w:pPr>
        <w:pStyle w:val="Textpoznpodarou"/>
      </w:pPr>
      <w:r>
        <w:rPr>
          <w:rStyle w:val="Znakapoznpodarou"/>
        </w:rPr>
        <w:footnoteRef/>
      </w:r>
      <w:r>
        <w:t xml:space="preserve"> </w:t>
      </w:r>
      <w:r w:rsidRPr="00657DAF">
        <w:t>European Patent Organisation</w:t>
      </w:r>
      <w:r>
        <w:t xml:space="preserve"> (EPO),</w:t>
      </w:r>
      <w:r w:rsidRPr="00657DAF">
        <w:t xml:space="preserve"> </w:t>
      </w:r>
      <w:hyperlink r:id="rId20" w:history="1">
        <w:r w:rsidRPr="00190A70">
          <w:rPr>
            <w:rStyle w:val="Hypertextovodkaz"/>
            <w:rFonts w:eastAsiaTheme="majorEastAsia"/>
          </w:rPr>
          <w:t>https://www.epo.org/</w:t>
        </w:r>
      </w:hyperlink>
      <w:r>
        <w:t xml:space="preserve"> </w:t>
      </w:r>
    </w:p>
  </w:footnote>
  <w:footnote w:id="44">
    <w:p w:rsidR="008D5DFB" w:rsidRDefault="008D5DFB" w:rsidP="009E79F2">
      <w:pPr>
        <w:pStyle w:val="Textpoznpodarou"/>
      </w:pPr>
      <w:r>
        <w:rPr>
          <w:rStyle w:val="Znakapoznpodarou"/>
        </w:rPr>
        <w:footnoteRef/>
      </w:r>
      <w:r>
        <w:t xml:space="preserve"> VO zřízené v rámci </w:t>
      </w:r>
      <w:r w:rsidRPr="00FF1BA6">
        <w:t>Hasičsk</w:t>
      </w:r>
      <w:r>
        <w:t>ého</w:t>
      </w:r>
      <w:r w:rsidRPr="00FF1BA6">
        <w:t xml:space="preserve"> záchrann</w:t>
      </w:r>
      <w:r>
        <w:t>ého</w:t>
      </w:r>
      <w:r w:rsidRPr="00FF1BA6">
        <w:t xml:space="preserve"> sbor</w:t>
      </w:r>
      <w:r>
        <w:t>u</w:t>
      </w:r>
      <w:r w:rsidRPr="00FF1BA6">
        <w:t xml:space="preserve"> České republiky (HZS ČR)</w:t>
      </w:r>
      <w:r>
        <w:t xml:space="preserve">, </w:t>
      </w:r>
      <w:r w:rsidRPr="00FF1BA6">
        <w:t xml:space="preserve">Policie České republiky </w:t>
      </w:r>
      <w:r>
        <w:t>(P ČR), případně v gesci MO nejsou započteny samostatně.</w:t>
      </w:r>
    </w:p>
  </w:footnote>
  <w:footnote w:id="45">
    <w:p w:rsidR="008D5DFB" w:rsidRDefault="008D5DFB">
      <w:pPr>
        <w:pStyle w:val="Textpoznpodarou"/>
      </w:pPr>
      <w:r>
        <w:rPr>
          <w:rStyle w:val="Znakapoznpodarou"/>
        </w:rPr>
        <w:footnoteRef/>
      </w:r>
      <w:r>
        <w:t xml:space="preserve"> </w:t>
      </w:r>
      <w:r w:rsidRPr="009E79F2">
        <w:t>Údaj je podhodnocen, jelikož v době zpracování dat v databázi CEP nebyli jmenovitě uvedení řešitelé některých</w:t>
      </w:r>
      <w:r>
        <w:t xml:space="preserve"> projektů udělených v roce 2015</w:t>
      </w:r>
    </w:p>
  </w:footnote>
  <w:footnote w:id="46">
    <w:p w:rsidR="008D5DFB" w:rsidRDefault="008D5DFB">
      <w:pPr>
        <w:pStyle w:val="Textpoznpodarou"/>
      </w:pPr>
      <w:r>
        <w:rPr>
          <w:rStyle w:val="Znakapoznpodarou"/>
        </w:rPr>
        <w:footnoteRef/>
      </w:r>
      <w:r>
        <w:t xml:space="preserve"> Ř</w:t>
      </w:r>
      <w:r w:rsidRPr="00554B42">
        <w:t>ešitelé, kteří se v daném roce účastnili n-projektů, jsou v každém projektu započteni 1/n-tinou</w:t>
      </w:r>
    </w:p>
  </w:footnote>
  <w:footnote w:id="47">
    <w:p w:rsidR="008D5DFB" w:rsidRDefault="008D5DFB" w:rsidP="00BF495B">
      <w:pPr>
        <w:pStyle w:val="Textpoznpodarou"/>
      </w:pPr>
      <w:r w:rsidRPr="00CD7AEF">
        <w:rPr>
          <w:rStyle w:val="Znakapoznpodarou"/>
        </w:rPr>
        <w:footnoteRef/>
      </w:r>
      <w:r w:rsidRPr="00CD7AEF">
        <w:t xml:space="preserve"> Při interpretaci oborového rozdělení projektů výsledků je nutné uvážit, že některé projekty, které jsou v IS VaVaI zařazeny do konkrétního oboru, mohou s tímto oborem souviset pouze částečně</w:t>
      </w:r>
    </w:p>
  </w:footnote>
  <w:footnote w:id="48">
    <w:p w:rsidR="008D5DFB" w:rsidRDefault="008D5DFB" w:rsidP="00BF495B">
      <w:pPr>
        <w:pStyle w:val="Textpoznpodarou"/>
      </w:pPr>
      <w:r>
        <w:rPr>
          <w:rStyle w:val="Znakapoznpodarou"/>
        </w:rPr>
        <w:footnoteRef/>
      </w:r>
      <w:r>
        <w:t xml:space="preserve"> O</w:t>
      </w:r>
      <w:r w:rsidRPr="009E79F2">
        <w:t xml:space="preserve">bor AQ je </w:t>
      </w:r>
      <w:r>
        <w:t xml:space="preserve">v </w:t>
      </w:r>
      <w:r w:rsidRPr="009E79F2">
        <w:t>oborovém členění IS VaVaI formálně podoborem společenských věd</w:t>
      </w:r>
      <w:r>
        <w:t>,</w:t>
      </w:r>
      <w:r w:rsidRPr="009E79F2">
        <w:t xml:space="preserve"> avšak výzkumníci v bezpečnostní problematice do něj zařazují výzkum týkající se rizik, ochrany před ZHN, analýzy rizik ve vztahu k terorismu a podobná „nespolečenská“ t</w:t>
      </w:r>
      <w:r>
        <w:t>é</w:t>
      </w:r>
      <w:r w:rsidRPr="009E79F2">
        <w:t>mata.</w:t>
      </w:r>
    </w:p>
  </w:footnote>
  <w:footnote w:id="49">
    <w:p w:rsidR="008D5DFB" w:rsidRDefault="008D5DFB">
      <w:pPr>
        <w:pStyle w:val="Textpoznpodarou"/>
      </w:pPr>
      <w:r>
        <w:rPr>
          <w:rStyle w:val="Znakapoznpodarou"/>
        </w:rPr>
        <w:footnoteRef/>
      </w:r>
      <w:r>
        <w:t xml:space="preserve"> Celkový podíl, které vznikají v ČR v mezinárodní spolupráci, je však poněkud nižší než ve výzkumně a technologicky vyspělých zahraničních zemích.</w:t>
      </w:r>
    </w:p>
  </w:footnote>
  <w:footnote w:id="50">
    <w:p w:rsidR="008D5DFB" w:rsidRDefault="008D5DFB" w:rsidP="003D2511">
      <w:pPr>
        <w:pStyle w:val="Textpoznpodarou"/>
      </w:pPr>
      <w:r>
        <w:rPr>
          <w:rStyle w:val="Znakapoznpodarou"/>
        </w:rPr>
        <w:footnoteRef/>
      </w:r>
      <w:r>
        <w:t xml:space="preserve"> </w:t>
      </w:r>
      <w:hyperlink r:id="rId21" w:history="1">
        <w:r w:rsidRPr="00A610EA">
          <w:rPr>
            <w:rStyle w:val="Hypertextovodkaz"/>
            <w:rFonts w:eastAsiaTheme="majorEastAsia"/>
          </w:rPr>
          <w:t>http://www.opvavpi.cz/cs/siroka-verejnost/seznam-prijemcu.html</w:t>
        </w:r>
      </w:hyperlink>
      <w:r>
        <w:t xml:space="preserve"> (v souboru jsou i centra podpořená z dalších prioritních os OP VaVpI).</w:t>
      </w:r>
    </w:p>
  </w:footnote>
  <w:footnote w:id="51">
    <w:p w:rsidR="008D5DFB" w:rsidRDefault="008D5DFB">
      <w:pPr>
        <w:pStyle w:val="Textpoznpodarou"/>
      </w:pPr>
      <w:r>
        <w:rPr>
          <w:rStyle w:val="Znakapoznpodarou"/>
        </w:rPr>
        <w:footnoteRef/>
      </w:r>
      <w:r>
        <w:t xml:space="preserve"> U</w:t>
      </w:r>
      <w:r w:rsidRPr="00867FEB">
        <w:t>snesení</w:t>
      </w:r>
      <w:r>
        <w:t xml:space="preserve"> vlády</w:t>
      </w:r>
      <w:r w:rsidRPr="00867FEB">
        <w:t xml:space="preserve"> ze dne 19. července 2012 č. 552</w:t>
      </w:r>
    </w:p>
  </w:footnote>
  <w:footnote w:id="52">
    <w:p w:rsidR="008D5DFB" w:rsidRDefault="008D5DFB" w:rsidP="00EB3639">
      <w:pPr>
        <w:pStyle w:val="Textpoznpodarou"/>
      </w:pPr>
      <w:r>
        <w:rPr>
          <w:rStyle w:val="Znakapoznpodarou"/>
        </w:rPr>
        <w:footnoteRef/>
      </w:r>
      <w:r>
        <w:t xml:space="preserve"> European Strategy Forum on Research Infrastructures (ESFRI) - </w:t>
      </w:r>
      <w:hyperlink r:id="rId22" w:history="1">
        <w:r w:rsidRPr="00C12525">
          <w:rPr>
            <w:rStyle w:val="Hypertextovodkaz"/>
          </w:rPr>
          <w:t>http://www.esfri.eu/</w:t>
        </w:r>
      </w:hyperlink>
      <w:r>
        <w:t xml:space="preserve"> </w:t>
      </w:r>
    </w:p>
  </w:footnote>
  <w:footnote w:id="53">
    <w:p w:rsidR="008D5DFB" w:rsidRDefault="008D5DFB" w:rsidP="00AE6907">
      <w:pPr>
        <w:pStyle w:val="Textpoznpodarou"/>
      </w:pPr>
      <w:r>
        <w:rPr>
          <w:rStyle w:val="Znakapoznpodarou"/>
        </w:rPr>
        <w:footnoteRef/>
      </w:r>
      <w:r>
        <w:t xml:space="preserve"> V předkládané Analýze jsou výzkumné zprávy obsahující utajované informace klasifikovány jako publikační výstupy</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D5DFB" w:rsidRDefault="008D5DFB" w:rsidP="00864587">
    <w:pPr>
      <w:tabs>
        <w:tab w:val="center" w:pos="4536"/>
        <w:tab w:val="right" w:pos="9072"/>
      </w:tabs>
      <w:spacing w:before="0" w:after="0"/>
      <w:jc w:val="left"/>
      <w:rPr>
        <w:i/>
        <w:sz w:val="18"/>
      </w:rPr>
    </w:pPr>
    <w:r w:rsidRPr="002371F6">
      <w:rPr>
        <w:i/>
        <w:sz w:val="18"/>
      </w:rPr>
      <w:t>Souhrnná výzkumná zpráva o stavu prostředí bezpečnostního výzkumu v ČR</w:t>
    </w:r>
  </w:p>
  <w:p w:rsidR="008D5DFB" w:rsidRPr="00172827" w:rsidRDefault="008D5DFB" w:rsidP="00864587">
    <w:pPr>
      <w:tabs>
        <w:tab w:val="center" w:pos="4536"/>
        <w:tab w:val="right" w:pos="9072"/>
      </w:tabs>
      <w:spacing w:before="0" w:after="0"/>
      <w:jc w:val="left"/>
      <w:rPr>
        <w:sz w:val="18"/>
      </w:rPr>
    </w:pPr>
    <w:r>
      <w:rPr>
        <w:noProof/>
        <w:sz w:val="18"/>
        <w:lang w:eastAsia="cs-CZ"/>
      </w:rPr>
      <mc:AlternateContent>
        <mc:Choice Requires="wps">
          <w:drawing>
            <wp:anchor distT="0" distB="0" distL="114300" distR="114300" simplePos="0" relativeHeight="251660288" behindDoc="0" locked="0" layoutInCell="1" allowOverlap="1" wp14:anchorId="3942C4F0" wp14:editId="5189F764">
              <wp:simplePos x="0" y="0"/>
              <wp:positionH relativeFrom="column">
                <wp:posOffset>-4446</wp:posOffset>
              </wp:positionH>
              <wp:positionV relativeFrom="paragraph">
                <wp:posOffset>86995</wp:posOffset>
              </wp:positionV>
              <wp:extent cx="5743575" cy="0"/>
              <wp:effectExtent l="0" t="0" r="9525" b="19050"/>
              <wp:wrapNone/>
              <wp:docPr id="2" name="Přímá spojnice 2"/>
              <wp:cNvGraphicFramePr/>
              <a:graphic xmlns:a="http://schemas.openxmlformats.org/drawingml/2006/main">
                <a:graphicData uri="http://schemas.microsoft.com/office/word/2010/wordprocessingShape">
                  <wps:wsp>
                    <wps:cNvCnPr/>
                    <wps:spPr>
                      <a:xfrm>
                        <a:off x="0" y="0"/>
                        <a:ext cx="5743575"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Přímá spojnice 2" o:spid="_x0000_s1026" style="position:absolute;z-index:251660288;visibility:visible;mso-wrap-style:square;mso-wrap-distance-left:9pt;mso-wrap-distance-top:0;mso-wrap-distance-right:9pt;mso-wrap-distance-bottom:0;mso-position-horizontal:absolute;mso-position-horizontal-relative:text;mso-position-vertical:absolute;mso-position-vertical-relative:text" from="-.35pt,6.85pt" to="451.9pt,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ReUEwwEAAMIDAAAOAAAAZHJzL2Uyb0RvYy54bWysU81uEzEQviPxDpbvzW5SQtEqmx5awQVB&#10;BOUBXO84a+Q/jU128ygceQCeouK9GDvJFkGlqhUXr8ee75v5Ps+uLkdr2A4wau9aPp/VnIGTvtNu&#10;2/IvN2/P3nAWk3CdMN5By/cQ+eX65YvVEBpY+N6bDpARiYvNEFrepxSaqoqyByvizAdwdKk8WpEo&#10;xG3VoRiI3ZpqUdevq8FjF9BLiJFOrw+XfF34lQKZPioVITHTcuotlRXLepvXar0SzRZF6LU8tiGe&#10;0YUV2lHRiepaJMG+of6HymqJPnqVZtLbyiulJRQNpGZe/6Xmcy8CFC1kTgyTTfH/0coPuw0y3bV8&#10;wZkTlp5o8+v73U9794PF4L866o8tsk1DiA1lX7kNHqMYNpg1jwpt/pIaNhZr95O1MCYm6XB58ep8&#10;ebHkTJ7uqntgwJjegbcsb1putMuqRSN272OiYpR6SqEgN3IoXXZpbyAnG/cJFCmhYvOCLjMEVwbZ&#10;TtDrCynBpXmWQnwlO8OUNmYC1o8Dj/kZCmW+ngKeEKWyd2kCW+08PlQ9jaeW1SH/5MBBd7bg1nf7&#10;8ijFGhqUovA41HkS/4wL/P7XW/8GAAD//wMAUEsDBBQABgAIAAAAIQDFavKU3gAAAAcBAAAPAAAA&#10;ZHJzL2Rvd25yZXYueG1sTI9BT8JAEIXvJv6HzZh4MbBFBKF2S9CEcEBjoP6ApTu0jd3ZprstxV/v&#10;GA96msx7L2++SVaDrUWPra8cKZiMIxBIuTMVFQo+ss1oAcIHTUbXjlDBBT2s0uurRMfGnWmP/SEU&#10;gkvIx1pBGUITS+nzEq32Y9cgsXdyrdWB17aQptVnLre1vI+iubS6Ir5Q6gZfSsw/D51VsN084252&#10;6YoHM9tmd332+vb1vlDq9mZYP4EIOIS/MPzgMzqkzHR0HRkvagWjRw6yPOXJ9jKa8ifHX0GmifzP&#10;n34DAAD//wMAUEsBAi0AFAAGAAgAAAAhALaDOJL+AAAA4QEAABMAAAAAAAAAAAAAAAAAAAAAAFtD&#10;b250ZW50X1R5cGVzXS54bWxQSwECLQAUAAYACAAAACEAOP0h/9YAAACUAQAACwAAAAAAAAAAAAAA&#10;AAAvAQAAX3JlbHMvLnJlbHNQSwECLQAUAAYACAAAACEAmUXlBMMBAADCAwAADgAAAAAAAAAAAAAA&#10;AAAuAgAAZHJzL2Uyb0RvYy54bWxQSwECLQAUAAYACAAAACEAxWrylN4AAAAHAQAADwAAAAAAAAAA&#10;AAAAAAAdBAAAZHJzL2Rvd25yZXYueG1sUEsFBgAAAAAEAAQA8wAAACgFAAAAAA==&#10;" strokecolor="#4579b8 [3044]"/>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D5DFB" w:rsidRDefault="008D5DFB">
    <w:pPr>
      <w:pStyle w:val="Zhlav"/>
    </w:pPr>
    <w:r>
      <w:rPr>
        <w:noProof/>
        <w:lang w:eastAsia="cs-CZ"/>
      </w:rPr>
      <w:drawing>
        <wp:anchor distT="0" distB="0" distL="114300" distR="114300" simplePos="0" relativeHeight="251659264" behindDoc="1" locked="0" layoutInCell="1" allowOverlap="1" wp14:anchorId="061B1997" wp14:editId="58B179D0">
          <wp:simplePos x="0" y="0"/>
          <wp:positionH relativeFrom="page">
            <wp:posOffset>851535</wp:posOffset>
          </wp:positionH>
          <wp:positionV relativeFrom="page">
            <wp:posOffset>610870</wp:posOffset>
          </wp:positionV>
          <wp:extent cx="3876675" cy="971550"/>
          <wp:effectExtent l="0" t="0" r="9525" b="0"/>
          <wp:wrapNone/>
          <wp:docPr id="9" name="Obrázek 9" descr="hlavickovy_papir_cz_u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2" descr="hlavickovy_papir_cz_up"/>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76675" cy="97155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875CF3"/>
    <w:multiLevelType w:val="hybridMultilevel"/>
    <w:tmpl w:val="487637FA"/>
    <w:lvl w:ilvl="0" w:tplc="B3C40F4A">
      <w:numFmt w:val="bullet"/>
      <w:lvlText w:val="-"/>
      <w:lvlJc w:val="left"/>
      <w:pPr>
        <w:ind w:left="720" w:hanging="360"/>
      </w:pPr>
      <w:rPr>
        <w:rFonts w:ascii="Calibri" w:eastAsiaTheme="minorHAnsi" w:hAnsi="Calibri"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nsid w:val="14CD2584"/>
    <w:multiLevelType w:val="hybridMultilevel"/>
    <w:tmpl w:val="DA42CFCE"/>
    <w:lvl w:ilvl="0" w:tplc="B3C40F4A">
      <w:numFmt w:val="bullet"/>
      <w:lvlText w:val="-"/>
      <w:lvlJc w:val="left"/>
      <w:pPr>
        <w:ind w:left="720" w:hanging="360"/>
      </w:pPr>
      <w:rPr>
        <w:rFonts w:ascii="Calibri" w:eastAsiaTheme="minorHAnsi" w:hAnsi="Calibri"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nsid w:val="1A601D0B"/>
    <w:multiLevelType w:val="hybridMultilevel"/>
    <w:tmpl w:val="A5789A56"/>
    <w:lvl w:ilvl="0" w:tplc="B4722DB4">
      <w:numFmt w:val="bullet"/>
      <w:lvlText w:val="-"/>
      <w:lvlJc w:val="left"/>
      <w:pPr>
        <w:ind w:left="720" w:hanging="360"/>
      </w:pPr>
      <w:rPr>
        <w:rFonts w:ascii="Calibri" w:eastAsiaTheme="minorHAnsi" w:hAnsi="Calibri" w:cstheme="minorBidi"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nsid w:val="20842046"/>
    <w:multiLevelType w:val="hybridMultilevel"/>
    <w:tmpl w:val="B380AD6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nsid w:val="23D30A22"/>
    <w:multiLevelType w:val="hybridMultilevel"/>
    <w:tmpl w:val="FD60F4B6"/>
    <w:lvl w:ilvl="0" w:tplc="8278CB6A">
      <w:start w:val="1"/>
      <w:numFmt w:val="decimal"/>
      <w:pStyle w:val="Citace1"/>
      <w:lvlText w:val="[%1]"/>
      <w:lvlJc w:val="left"/>
      <w:pPr>
        <w:ind w:left="502" w:hanging="360"/>
      </w:pPr>
      <w:rPr>
        <w:rFonts w:hint="default"/>
      </w:rPr>
    </w:lvl>
    <w:lvl w:ilvl="1" w:tplc="04050019" w:tentative="1">
      <w:start w:val="1"/>
      <w:numFmt w:val="lowerLetter"/>
      <w:lvlText w:val="%2."/>
      <w:lvlJc w:val="left"/>
      <w:pPr>
        <w:ind w:left="1156" w:hanging="360"/>
      </w:pPr>
    </w:lvl>
    <w:lvl w:ilvl="2" w:tplc="0405001B" w:tentative="1">
      <w:start w:val="1"/>
      <w:numFmt w:val="lowerRoman"/>
      <w:lvlText w:val="%3."/>
      <w:lvlJc w:val="right"/>
      <w:pPr>
        <w:ind w:left="1876" w:hanging="180"/>
      </w:pPr>
    </w:lvl>
    <w:lvl w:ilvl="3" w:tplc="0405000F" w:tentative="1">
      <w:start w:val="1"/>
      <w:numFmt w:val="decimal"/>
      <w:lvlText w:val="%4."/>
      <w:lvlJc w:val="left"/>
      <w:pPr>
        <w:ind w:left="2596" w:hanging="360"/>
      </w:pPr>
    </w:lvl>
    <w:lvl w:ilvl="4" w:tplc="04050019" w:tentative="1">
      <w:start w:val="1"/>
      <w:numFmt w:val="lowerLetter"/>
      <w:lvlText w:val="%5."/>
      <w:lvlJc w:val="left"/>
      <w:pPr>
        <w:ind w:left="3316" w:hanging="360"/>
      </w:pPr>
    </w:lvl>
    <w:lvl w:ilvl="5" w:tplc="0405001B" w:tentative="1">
      <w:start w:val="1"/>
      <w:numFmt w:val="lowerRoman"/>
      <w:lvlText w:val="%6."/>
      <w:lvlJc w:val="right"/>
      <w:pPr>
        <w:ind w:left="4036" w:hanging="180"/>
      </w:pPr>
    </w:lvl>
    <w:lvl w:ilvl="6" w:tplc="0405000F" w:tentative="1">
      <w:start w:val="1"/>
      <w:numFmt w:val="decimal"/>
      <w:lvlText w:val="%7."/>
      <w:lvlJc w:val="left"/>
      <w:pPr>
        <w:ind w:left="4756" w:hanging="360"/>
      </w:pPr>
    </w:lvl>
    <w:lvl w:ilvl="7" w:tplc="04050019" w:tentative="1">
      <w:start w:val="1"/>
      <w:numFmt w:val="lowerLetter"/>
      <w:lvlText w:val="%8."/>
      <w:lvlJc w:val="left"/>
      <w:pPr>
        <w:ind w:left="5476" w:hanging="360"/>
      </w:pPr>
    </w:lvl>
    <w:lvl w:ilvl="8" w:tplc="0405001B" w:tentative="1">
      <w:start w:val="1"/>
      <w:numFmt w:val="lowerRoman"/>
      <w:lvlText w:val="%9."/>
      <w:lvlJc w:val="right"/>
      <w:pPr>
        <w:ind w:left="6196" w:hanging="180"/>
      </w:pPr>
    </w:lvl>
  </w:abstractNum>
  <w:abstractNum w:abstractNumId="5">
    <w:nsid w:val="2E6173FD"/>
    <w:multiLevelType w:val="hybridMultilevel"/>
    <w:tmpl w:val="9368A78E"/>
    <w:lvl w:ilvl="0" w:tplc="6AD4C148">
      <w:numFmt w:val="bullet"/>
      <w:lvlText w:val="-"/>
      <w:lvlJc w:val="left"/>
      <w:pPr>
        <w:ind w:left="720" w:hanging="360"/>
      </w:pPr>
      <w:rPr>
        <w:rFonts w:ascii="Calibri" w:eastAsiaTheme="minorHAnsi" w:hAnsi="Calibri"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nsid w:val="304D3F89"/>
    <w:multiLevelType w:val="hybridMultilevel"/>
    <w:tmpl w:val="49AA61C8"/>
    <w:lvl w:ilvl="0" w:tplc="04050011">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
    <w:nsid w:val="31E61390"/>
    <w:multiLevelType w:val="hybridMultilevel"/>
    <w:tmpl w:val="467E9E62"/>
    <w:lvl w:ilvl="0" w:tplc="B3C40F4A">
      <w:numFmt w:val="bullet"/>
      <w:lvlText w:val="-"/>
      <w:lvlJc w:val="left"/>
      <w:pPr>
        <w:ind w:left="720" w:hanging="360"/>
      </w:pPr>
      <w:rPr>
        <w:rFonts w:ascii="Calibri" w:eastAsiaTheme="minorHAnsi" w:hAnsi="Calibri"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nsid w:val="33310A52"/>
    <w:multiLevelType w:val="hybridMultilevel"/>
    <w:tmpl w:val="198689FC"/>
    <w:lvl w:ilvl="0" w:tplc="B3C40F4A">
      <w:numFmt w:val="bullet"/>
      <w:lvlText w:val="-"/>
      <w:lvlJc w:val="left"/>
      <w:pPr>
        <w:ind w:left="720" w:hanging="360"/>
      </w:pPr>
      <w:rPr>
        <w:rFonts w:ascii="Calibri" w:eastAsiaTheme="minorHAnsi" w:hAnsi="Calibri"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nsid w:val="3BA02F63"/>
    <w:multiLevelType w:val="hybridMultilevel"/>
    <w:tmpl w:val="59F696C6"/>
    <w:lvl w:ilvl="0" w:tplc="3416BB98">
      <w:numFmt w:val="bullet"/>
      <w:lvlText w:val="-"/>
      <w:lvlJc w:val="left"/>
      <w:pPr>
        <w:ind w:left="720" w:hanging="360"/>
      </w:pPr>
      <w:rPr>
        <w:rFonts w:ascii="Calibri" w:eastAsiaTheme="minorHAnsi" w:hAnsi="Calibri"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nsid w:val="3DFC35E6"/>
    <w:multiLevelType w:val="hybridMultilevel"/>
    <w:tmpl w:val="DE26E678"/>
    <w:lvl w:ilvl="0" w:tplc="B4722DB4">
      <w:numFmt w:val="bullet"/>
      <w:lvlText w:val="-"/>
      <w:lvlJc w:val="left"/>
      <w:pPr>
        <w:ind w:left="720" w:hanging="360"/>
      </w:pPr>
      <w:rPr>
        <w:rFonts w:ascii="Calibri" w:eastAsiaTheme="minorHAnsi" w:hAnsi="Calibri"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nsid w:val="3E8B2C07"/>
    <w:multiLevelType w:val="hybridMultilevel"/>
    <w:tmpl w:val="F4C60DFC"/>
    <w:lvl w:ilvl="0" w:tplc="8AD0E60C">
      <w:numFmt w:val="bullet"/>
      <w:lvlText w:val="-"/>
      <w:lvlJc w:val="left"/>
      <w:pPr>
        <w:ind w:left="720" w:hanging="360"/>
      </w:pPr>
      <w:rPr>
        <w:rFonts w:ascii="Calibri" w:eastAsiaTheme="minorHAnsi" w:hAnsi="Calibri"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nsid w:val="414B289B"/>
    <w:multiLevelType w:val="hybridMultilevel"/>
    <w:tmpl w:val="1B5A9440"/>
    <w:lvl w:ilvl="0" w:tplc="0405000F">
      <w:start w:val="1"/>
      <w:numFmt w:val="decimal"/>
      <w:lvlText w:val="%1."/>
      <w:lvlJc w:val="left"/>
      <w:pPr>
        <w:ind w:left="1004" w:hanging="360"/>
      </w:pPr>
    </w:lvl>
    <w:lvl w:ilvl="1" w:tplc="04050019" w:tentative="1">
      <w:start w:val="1"/>
      <w:numFmt w:val="lowerLetter"/>
      <w:lvlText w:val="%2."/>
      <w:lvlJc w:val="left"/>
      <w:pPr>
        <w:ind w:left="1724" w:hanging="360"/>
      </w:pPr>
    </w:lvl>
    <w:lvl w:ilvl="2" w:tplc="0405001B" w:tentative="1">
      <w:start w:val="1"/>
      <w:numFmt w:val="lowerRoman"/>
      <w:lvlText w:val="%3."/>
      <w:lvlJc w:val="right"/>
      <w:pPr>
        <w:ind w:left="2444" w:hanging="180"/>
      </w:pPr>
    </w:lvl>
    <w:lvl w:ilvl="3" w:tplc="0405000F" w:tentative="1">
      <w:start w:val="1"/>
      <w:numFmt w:val="decimal"/>
      <w:lvlText w:val="%4."/>
      <w:lvlJc w:val="left"/>
      <w:pPr>
        <w:ind w:left="3164" w:hanging="360"/>
      </w:pPr>
    </w:lvl>
    <w:lvl w:ilvl="4" w:tplc="04050019" w:tentative="1">
      <w:start w:val="1"/>
      <w:numFmt w:val="lowerLetter"/>
      <w:lvlText w:val="%5."/>
      <w:lvlJc w:val="left"/>
      <w:pPr>
        <w:ind w:left="3884" w:hanging="360"/>
      </w:pPr>
    </w:lvl>
    <w:lvl w:ilvl="5" w:tplc="0405001B" w:tentative="1">
      <w:start w:val="1"/>
      <w:numFmt w:val="lowerRoman"/>
      <w:lvlText w:val="%6."/>
      <w:lvlJc w:val="right"/>
      <w:pPr>
        <w:ind w:left="4604" w:hanging="180"/>
      </w:pPr>
    </w:lvl>
    <w:lvl w:ilvl="6" w:tplc="0405000F" w:tentative="1">
      <w:start w:val="1"/>
      <w:numFmt w:val="decimal"/>
      <w:lvlText w:val="%7."/>
      <w:lvlJc w:val="left"/>
      <w:pPr>
        <w:ind w:left="5324" w:hanging="360"/>
      </w:pPr>
    </w:lvl>
    <w:lvl w:ilvl="7" w:tplc="04050019" w:tentative="1">
      <w:start w:val="1"/>
      <w:numFmt w:val="lowerLetter"/>
      <w:lvlText w:val="%8."/>
      <w:lvlJc w:val="left"/>
      <w:pPr>
        <w:ind w:left="6044" w:hanging="360"/>
      </w:pPr>
    </w:lvl>
    <w:lvl w:ilvl="8" w:tplc="0405001B" w:tentative="1">
      <w:start w:val="1"/>
      <w:numFmt w:val="lowerRoman"/>
      <w:lvlText w:val="%9."/>
      <w:lvlJc w:val="right"/>
      <w:pPr>
        <w:ind w:left="6764" w:hanging="180"/>
      </w:pPr>
    </w:lvl>
  </w:abstractNum>
  <w:abstractNum w:abstractNumId="13">
    <w:nsid w:val="427D6C81"/>
    <w:multiLevelType w:val="hybridMultilevel"/>
    <w:tmpl w:val="DE60A64E"/>
    <w:lvl w:ilvl="0" w:tplc="B3C40F4A">
      <w:numFmt w:val="bullet"/>
      <w:lvlText w:val="-"/>
      <w:lvlJc w:val="left"/>
      <w:pPr>
        <w:ind w:left="720" w:hanging="360"/>
      </w:pPr>
      <w:rPr>
        <w:rFonts w:ascii="Calibri" w:eastAsiaTheme="minorHAnsi" w:hAnsi="Calibri"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nsid w:val="46574006"/>
    <w:multiLevelType w:val="multilevel"/>
    <w:tmpl w:val="04050025"/>
    <w:lvl w:ilvl="0">
      <w:start w:val="1"/>
      <w:numFmt w:val="decimal"/>
      <w:pStyle w:val="Nadpis1"/>
      <w:lvlText w:val="%1"/>
      <w:lvlJc w:val="left"/>
      <w:pPr>
        <w:ind w:left="432" w:hanging="432"/>
      </w:pPr>
    </w:lvl>
    <w:lvl w:ilvl="1">
      <w:start w:val="1"/>
      <w:numFmt w:val="decimal"/>
      <w:pStyle w:val="Nadpis2"/>
      <w:lvlText w:val="%1.%2"/>
      <w:lvlJc w:val="left"/>
      <w:pPr>
        <w:ind w:left="576" w:hanging="576"/>
      </w:pPr>
    </w:lvl>
    <w:lvl w:ilvl="2">
      <w:start w:val="1"/>
      <w:numFmt w:val="decimal"/>
      <w:pStyle w:val="Nadpis3"/>
      <w:lvlText w:val="%1.%2.%3"/>
      <w:lvlJc w:val="left"/>
      <w:pPr>
        <w:ind w:left="720" w:hanging="720"/>
      </w:pPr>
    </w:lvl>
    <w:lvl w:ilvl="3">
      <w:start w:val="1"/>
      <w:numFmt w:val="decimal"/>
      <w:pStyle w:val="Nadpis4"/>
      <w:lvlText w:val="%1.%2.%3.%4"/>
      <w:lvlJc w:val="left"/>
      <w:pPr>
        <w:ind w:left="864" w:hanging="864"/>
      </w:pPr>
    </w:lvl>
    <w:lvl w:ilvl="4">
      <w:start w:val="1"/>
      <w:numFmt w:val="decimal"/>
      <w:pStyle w:val="Nadpis5"/>
      <w:lvlText w:val="%1.%2.%3.%4.%5"/>
      <w:lvlJc w:val="left"/>
      <w:pPr>
        <w:ind w:left="1008" w:hanging="1008"/>
      </w:p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abstractNum w:abstractNumId="15">
    <w:nsid w:val="48CD2DF8"/>
    <w:multiLevelType w:val="hybridMultilevel"/>
    <w:tmpl w:val="691A81D8"/>
    <w:lvl w:ilvl="0" w:tplc="B3C40F4A">
      <w:numFmt w:val="bullet"/>
      <w:lvlText w:val="-"/>
      <w:lvlJc w:val="left"/>
      <w:pPr>
        <w:ind w:left="720" w:hanging="360"/>
      </w:pPr>
      <w:rPr>
        <w:rFonts w:ascii="Calibri" w:eastAsiaTheme="minorHAnsi" w:hAnsi="Calibri"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nsid w:val="4E205E79"/>
    <w:multiLevelType w:val="hybridMultilevel"/>
    <w:tmpl w:val="3C24BA9E"/>
    <w:lvl w:ilvl="0" w:tplc="B3C40F4A">
      <w:numFmt w:val="bullet"/>
      <w:lvlText w:val="-"/>
      <w:lvlJc w:val="left"/>
      <w:pPr>
        <w:ind w:left="720" w:hanging="360"/>
      </w:pPr>
      <w:rPr>
        <w:rFonts w:ascii="Calibri" w:eastAsiaTheme="minorHAnsi" w:hAnsi="Calibri" w:cstheme="minorBidi" w:hint="default"/>
      </w:rPr>
    </w:lvl>
    <w:lvl w:ilvl="1" w:tplc="04050003">
      <w:start w:val="1"/>
      <w:numFmt w:val="bullet"/>
      <w:lvlText w:val="o"/>
      <w:lvlJc w:val="left"/>
      <w:pPr>
        <w:ind w:left="1440" w:hanging="360"/>
      </w:pPr>
      <w:rPr>
        <w:rFonts w:ascii="Courier New" w:hAnsi="Courier New" w:cs="Courier New" w:hint="default"/>
      </w:rPr>
    </w:lvl>
    <w:lvl w:ilvl="2" w:tplc="C88EA18A">
      <w:numFmt w:val="bullet"/>
      <w:lvlText w:val="•"/>
      <w:lvlJc w:val="left"/>
      <w:pPr>
        <w:ind w:left="2505" w:hanging="705"/>
      </w:pPr>
      <w:rPr>
        <w:rFonts w:ascii="Calibri" w:eastAsiaTheme="minorHAnsi" w:hAnsi="Calibri" w:cstheme="minorBidi"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nsid w:val="512F37B2"/>
    <w:multiLevelType w:val="hybridMultilevel"/>
    <w:tmpl w:val="DD02221A"/>
    <w:lvl w:ilvl="0" w:tplc="04050001">
      <w:start w:val="1"/>
      <w:numFmt w:val="bullet"/>
      <w:lvlText w:val=""/>
      <w:lvlJc w:val="left"/>
      <w:pPr>
        <w:ind w:left="644" w:hanging="360"/>
      </w:pPr>
      <w:rPr>
        <w:rFonts w:ascii="Symbol" w:hAnsi="Symbol" w:hint="default"/>
      </w:rPr>
    </w:lvl>
    <w:lvl w:ilvl="1" w:tplc="04050003" w:tentative="1">
      <w:start w:val="1"/>
      <w:numFmt w:val="bullet"/>
      <w:lvlText w:val="o"/>
      <w:lvlJc w:val="left"/>
      <w:pPr>
        <w:ind w:left="1364" w:hanging="360"/>
      </w:pPr>
      <w:rPr>
        <w:rFonts w:ascii="Courier New" w:hAnsi="Courier New" w:cs="Courier New" w:hint="default"/>
      </w:rPr>
    </w:lvl>
    <w:lvl w:ilvl="2" w:tplc="04050005" w:tentative="1">
      <w:start w:val="1"/>
      <w:numFmt w:val="bullet"/>
      <w:lvlText w:val=""/>
      <w:lvlJc w:val="left"/>
      <w:pPr>
        <w:ind w:left="2084" w:hanging="360"/>
      </w:pPr>
      <w:rPr>
        <w:rFonts w:ascii="Wingdings" w:hAnsi="Wingdings" w:hint="default"/>
      </w:rPr>
    </w:lvl>
    <w:lvl w:ilvl="3" w:tplc="04050001" w:tentative="1">
      <w:start w:val="1"/>
      <w:numFmt w:val="bullet"/>
      <w:lvlText w:val=""/>
      <w:lvlJc w:val="left"/>
      <w:pPr>
        <w:ind w:left="2804" w:hanging="360"/>
      </w:pPr>
      <w:rPr>
        <w:rFonts w:ascii="Symbol" w:hAnsi="Symbol" w:hint="default"/>
      </w:rPr>
    </w:lvl>
    <w:lvl w:ilvl="4" w:tplc="04050003" w:tentative="1">
      <w:start w:val="1"/>
      <w:numFmt w:val="bullet"/>
      <w:lvlText w:val="o"/>
      <w:lvlJc w:val="left"/>
      <w:pPr>
        <w:ind w:left="3524" w:hanging="360"/>
      </w:pPr>
      <w:rPr>
        <w:rFonts w:ascii="Courier New" w:hAnsi="Courier New" w:cs="Courier New" w:hint="default"/>
      </w:rPr>
    </w:lvl>
    <w:lvl w:ilvl="5" w:tplc="04050005" w:tentative="1">
      <w:start w:val="1"/>
      <w:numFmt w:val="bullet"/>
      <w:lvlText w:val=""/>
      <w:lvlJc w:val="left"/>
      <w:pPr>
        <w:ind w:left="4244" w:hanging="360"/>
      </w:pPr>
      <w:rPr>
        <w:rFonts w:ascii="Wingdings" w:hAnsi="Wingdings" w:hint="default"/>
      </w:rPr>
    </w:lvl>
    <w:lvl w:ilvl="6" w:tplc="04050001" w:tentative="1">
      <w:start w:val="1"/>
      <w:numFmt w:val="bullet"/>
      <w:lvlText w:val=""/>
      <w:lvlJc w:val="left"/>
      <w:pPr>
        <w:ind w:left="4964" w:hanging="360"/>
      </w:pPr>
      <w:rPr>
        <w:rFonts w:ascii="Symbol" w:hAnsi="Symbol" w:hint="default"/>
      </w:rPr>
    </w:lvl>
    <w:lvl w:ilvl="7" w:tplc="04050003" w:tentative="1">
      <w:start w:val="1"/>
      <w:numFmt w:val="bullet"/>
      <w:lvlText w:val="o"/>
      <w:lvlJc w:val="left"/>
      <w:pPr>
        <w:ind w:left="5684" w:hanging="360"/>
      </w:pPr>
      <w:rPr>
        <w:rFonts w:ascii="Courier New" w:hAnsi="Courier New" w:cs="Courier New" w:hint="default"/>
      </w:rPr>
    </w:lvl>
    <w:lvl w:ilvl="8" w:tplc="04050005" w:tentative="1">
      <w:start w:val="1"/>
      <w:numFmt w:val="bullet"/>
      <w:lvlText w:val=""/>
      <w:lvlJc w:val="left"/>
      <w:pPr>
        <w:ind w:left="6404" w:hanging="360"/>
      </w:pPr>
      <w:rPr>
        <w:rFonts w:ascii="Wingdings" w:hAnsi="Wingdings" w:hint="default"/>
      </w:rPr>
    </w:lvl>
  </w:abstractNum>
  <w:abstractNum w:abstractNumId="18">
    <w:nsid w:val="52235555"/>
    <w:multiLevelType w:val="hybridMultilevel"/>
    <w:tmpl w:val="D2988CE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nsid w:val="5AE96257"/>
    <w:multiLevelType w:val="hybridMultilevel"/>
    <w:tmpl w:val="D320119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nsid w:val="63D662DC"/>
    <w:multiLevelType w:val="hybridMultilevel"/>
    <w:tmpl w:val="B37065E6"/>
    <w:lvl w:ilvl="0" w:tplc="6A5E1876">
      <w:start w:val="1"/>
      <w:numFmt w:val="decimal"/>
      <w:lvlText w:val="%1."/>
      <w:lvlJc w:val="left"/>
      <w:pPr>
        <w:ind w:left="1065" w:hanging="705"/>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1">
    <w:nsid w:val="65CD3168"/>
    <w:multiLevelType w:val="hybridMultilevel"/>
    <w:tmpl w:val="4C68A04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nsid w:val="66A065E0"/>
    <w:multiLevelType w:val="hybridMultilevel"/>
    <w:tmpl w:val="7592EF0C"/>
    <w:lvl w:ilvl="0" w:tplc="50FAFF12">
      <w:start w:val="1"/>
      <w:numFmt w:val="decimal"/>
      <w:pStyle w:val="Informanzdroj"/>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3">
    <w:nsid w:val="6E4D573D"/>
    <w:multiLevelType w:val="hybridMultilevel"/>
    <w:tmpl w:val="EA50B646"/>
    <w:lvl w:ilvl="0" w:tplc="B4722DB4">
      <w:numFmt w:val="bullet"/>
      <w:lvlText w:val="-"/>
      <w:lvlJc w:val="left"/>
      <w:pPr>
        <w:ind w:left="720" w:hanging="360"/>
      </w:pPr>
      <w:rPr>
        <w:rFonts w:ascii="Calibri" w:eastAsiaTheme="minorHAnsi" w:hAnsi="Calibri" w:cstheme="minorBidi"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nsid w:val="779B4FBB"/>
    <w:multiLevelType w:val="hybridMultilevel"/>
    <w:tmpl w:val="FE4AF0E0"/>
    <w:lvl w:ilvl="0" w:tplc="B3C40F4A">
      <w:numFmt w:val="bullet"/>
      <w:lvlText w:val="-"/>
      <w:lvlJc w:val="left"/>
      <w:pPr>
        <w:ind w:left="720" w:hanging="360"/>
      </w:pPr>
      <w:rPr>
        <w:rFonts w:ascii="Calibri" w:eastAsiaTheme="minorHAnsi" w:hAnsi="Calibri"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
    <w:nsid w:val="782A360D"/>
    <w:multiLevelType w:val="hybridMultilevel"/>
    <w:tmpl w:val="A3D800C8"/>
    <w:lvl w:ilvl="0" w:tplc="B4722DB4">
      <w:numFmt w:val="bullet"/>
      <w:lvlText w:val="-"/>
      <w:lvlJc w:val="left"/>
      <w:pPr>
        <w:ind w:left="720" w:hanging="360"/>
      </w:pPr>
      <w:rPr>
        <w:rFonts w:ascii="Calibri" w:eastAsiaTheme="minorHAnsi" w:hAnsi="Calibri" w:cstheme="minorBidi"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14"/>
  </w:num>
  <w:num w:numId="2">
    <w:abstractNumId w:val="4"/>
  </w:num>
  <w:num w:numId="3">
    <w:abstractNumId w:val="16"/>
  </w:num>
  <w:num w:numId="4">
    <w:abstractNumId w:val="22"/>
  </w:num>
  <w:num w:numId="5">
    <w:abstractNumId w:val="10"/>
  </w:num>
  <w:num w:numId="6">
    <w:abstractNumId w:val="1"/>
  </w:num>
  <w:num w:numId="7">
    <w:abstractNumId w:val="7"/>
  </w:num>
  <w:num w:numId="8">
    <w:abstractNumId w:val="2"/>
  </w:num>
  <w:num w:numId="9">
    <w:abstractNumId w:val="25"/>
  </w:num>
  <w:num w:numId="10">
    <w:abstractNumId w:val="0"/>
  </w:num>
  <w:num w:numId="11">
    <w:abstractNumId w:val="18"/>
  </w:num>
  <w:num w:numId="12">
    <w:abstractNumId w:val="21"/>
  </w:num>
  <w:num w:numId="13">
    <w:abstractNumId w:val="19"/>
  </w:num>
  <w:num w:numId="14">
    <w:abstractNumId w:val="3"/>
  </w:num>
  <w:num w:numId="15">
    <w:abstractNumId w:val="23"/>
  </w:num>
  <w:num w:numId="16">
    <w:abstractNumId w:val="6"/>
  </w:num>
  <w:num w:numId="17">
    <w:abstractNumId w:val="24"/>
  </w:num>
  <w:num w:numId="18">
    <w:abstractNumId w:val="12"/>
  </w:num>
  <w:num w:numId="19">
    <w:abstractNumId w:val="17"/>
  </w:num>
  <w:num w:numId="20">
    <w:abstractNumId w:val="14"/>
  </w:num>
  <w:num w:numId="21">
    <w:abstractNumId w:val="15"/>
  </w:num>
  <w:num w:numId="22">
    <w:abstractNumId w:val="20"/>
  </w:num>
  <w:num w:numId="23">
    <w:abstractNumId w:val="13"/>
  </w:num>
  <w:num w:numId="24">
    <w:abstractNumId w:val="8"/>
  </w:num>
  <w:num w:numId="25">
    <w:abstractNumId w:val="9"/>
  </w:num>
  <w:num w:numId="26">
    <w:abstractNumId w:val="11"/>
  </w:num>
  <w:num w:numId="27">
    <w:abstractNumId w:val="5"/>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1019A"/>
    <w:rsid w:val="00000C77"/>
    <w:rsid w:val="00001F05"/>
    <w:rsid w:val="00002FC7"/>
    <w:rsid w:val="000031D2"/>
    <w:rsid w:val="00003B89"/>
    <w:rsid w:val="0000413E"/>
    <w:rsid w:val="0000453A"/>
    <w:rsid w:val="0000473D"/>
    <w:rsid w:val="00004EC2"/>
    <w:rsid w:val="00005003"/>
    <w:rsid w:val="00005CCB"/>
    <w:rsid w:val="00006AC5"/>
    <w:rsid w:val="00006B8B"/>
    <w:rsid w:val="00007336"/>
    <w:rsid w:val="0000789A"/>
    <w:rsid w:val="00010CF5"/>
    <w:rsid w:val="000112D4"/>
    <w:rsid w:val="0001130F"/>
    <w:rsid w:val="000118A1"/>
    <w:rsid w:val="00011F6B"/>
    <w:rsid w:val="000123C1"/>
    <w:rsid w:val="000133CF"/>
    <w:rsid w:val="00013988"/>
    <w:rsid w:val="0001481E"/>
    <w:rsid w:val="00016487"/>
    <w:rsid w:val="00017358"/>
    <w:rsid w:val="00017525"/>
    <w:rsid w:val="00017634"/>
    <w:rsid w:val="00017A23"/>
    <w:rsid w:val="00017C6C"/>
    <w:rsid w:val="000212B7"/>
    <w:rsid w:val="00021950"/>
    <w:rsid w:val="00021B89"/>
    <w:rsid w:val="00026B15"/>
    <w:rsid w:val="00027314"/>
    <w:rsid w:val="00027437"/>
    <w:rsid w:val="00027B2D"/>
    <w:rsid w:val="000305E7"/>
    <w:rsid w:val="00030C12"/>
    <w:rsid w:val="00030EFE"/>
    <w:rsid w:val="00030F00"/>
    <w:rsid w:val="0003326E"/>
    <w:rsid w:val="0003396E"/>
    <w:rsid w:val="00033A29"/>
    <w:rsid w:val="00033C6E"/>
    <w:rsid w:val="00033CEA"/>
    <w:rsid w:val="00033E35"/>
    <w:rsid w:val="000352E0"/>
    <w:rsid w:val="00035D94"/>
    <w:rsid w:val="0003637A"/>
    <w:rsid w:val="000365A5"/>
    <w:rsid w:val="0003670F"/>
    <w:rsid w:val="00036878"/>
    <w:rsid w:val="00036C16"/>
    <w:rsid w:val="00036DC9"/>
    <w:rsid w:val="000402FA"/>
    <w:rsid w:val="0004050D"/>
    <w:rsid w:val="000422F0"/>
    <w:rsid w:val="000432A3"/>
    <w:rsid w:val="000435F0"/>
    <w:rsid w:val="00043848"/>
    <w:rsid w:val="00043D20"/>
    <w:rsid w:val="000454B0"/>
    <w:rsid w:val="0004555F"/>
    <w:rsid w:val="00045B2C"/>
    <w:rsid w:val="00045FB4"/>
    <w:rsid w:val="00046FA2"/>
    <w:rsid w:val="00050334"/>
    <w:rsid w:val="00051C20"/>
    <w:rsid w:val="00051F4A"/>
    <w:rsid w:val="00053FA8"/>
    <w:rsid w:val="000547BD"/>
    <w:rsid w:val="00054B6F"/>
    <w:rsid w:val="00055127"/>
    <w:rsid w:val="00055777"/>
    <w:rsid w:val="000558DF"/>
    <w:rsid w:val="00055D37"/>
    <w:rsid w:val="00055F65"/>
    <w:rsid w:val="00056BDF"/>
    <w:rsid w:val="00057FEB"/>
    <w:rsid w:val="000604E6"/>
    <w:rsid w:val="00060C88"/>
    <w:rsid w:val="000628D8"/>
    <w:rsid w:val="000629A0"/>
    <w:rsid w:val="00063D05"/>
    <w:rsid w:val="00064572"/>
    <w:rsid w:val="00065A1F"/>
    <w:rsid w:val="000662ED"/>
    <w:rsid w:val="00067586"/>
    <w:rsid w:val="000716B6"/>
    <w:rsid w:val="00072643"/>
    <w:rsid w:val="000728B0"/>
    <w:rsid w:val="00072F87"/>
    <w:rsid w:val="000736EA"/>
    <w:rsid w:val="00073BD8"/>
    <w:rsid w:val="000742DA"/>
    <w:rsid w:val="00074D20"/>
    <w:rsid w:val="00074FEA"/>
    <w:rsid w:val="00075427"/>
    <w:rsid w:val="00075EDF"/>
    <w:rsid w:val="00076985"/>
    <w:rsid w:val="0007746C"/>
    <w:rsid w:val="0008053C"/>
    <w:rsid w:val="00080AC0"/>
    <w:rsid w:val="000813AB"/>
    <w:rsid w:val="00081D28"/>
    <w:rsid w:val="00081E5D"/>
    <w:rsid w:val="0008357A"/>
    <w:rsid w:val="000835B8"/>
    <w:rsid w:val="00083E5F"/>
    <w:rsid w:val="0008468D"/>
    <w:rsid w:val="00085323"/>
    <w:rsid w:val="000863BF"/>
    <w:rsid w:val="000863C6"/>
    <w:rsid w:val="0008699C"/>
    <w:rsid w:val="00086DDB"/>
    <w:rsid w:val="00087174"/>
    <w:rsid w:val="0008746B"/>
    <w:rsid w:val="00090AB9"/>
    <w:rsid w:val="00090B15"/>
    <w:rsid w:val="00091260"/>
    <w:rsid w:val="0009220D"/>
    <w:rsid w:val="00092687"/>
    <w:rsid w:val="00092981"/>
    <w:rsid w:val="0009367E"/>
    <w:rsid w:val="00093716"/>
    <w:rsid w:val="00093E40"/>
    <w:rsid w:val="00094FC5"/>
    <w:rsid w:val="000959B1"/>
    <w:rsid w:val="00096513"/>
    <w:rsid w:val="00096733"/>
    <w:rsid w:val="00096B0E"/>
    <w:rsid w:val="00096B86"/>
    <w:rsid w:val="00097D5A"/>
    <w:rsid w:val="00097E34"/>
    <w:rsid w:val="000A0762"/>
    <w:rsid w:val="000A1025"/>
    <w:rsid w:val="000A114E"/>
    <w:rsid w:val="000A1E52"/>
    <w:rsid w:val="000A21BE"/>
    <w:rsid w:val="000A3772"/>
    <w:rsid w:val="000A39F1"/>
    <w:rsid w:val="000A3B94"/>
    <w:rsid w:val="000A4480"/>
    <w:rsid w:val="000A4BA0"/>
    <w:rsid w:val="000A4BCA"/>
    <w:rsid w:val="000A5253"/>
    <w:rsid w:val="000A6234"/>
    <w:rsid w:val="000A6E34"/>
    <w:rsid w:val="000A763E"/>
    <w:rsid w:val="000A798C"/>
    <w:rsid w:val="000A7B9F"/>
    <w:rsid w:val="000B000E"/>
    <w:rsid w:val="000B1C43"/>
    <w:rsid w:val="000B1C73"/>
    <w:rsid w:val="000B302A"/>
    <w:rsid w:val="000B3CFD"/>
    <w:rsid w:val="000B3F9A"/>
    <w:rsid w:val="000B5313"/>
    <w:rsid w:val="000B60CC"/>
    <w:rsid w:val="000B7178"/>
    <w:rsid w:val="000C2018"/>
    <w:rsid w:val="000C2BB8"/>
    <w:rsid w:val="000C345D"/>
    <w:rsid w:val="000C4643"/>
    <w:rsid w:val="000C5736"/>
    <w:rsid w:val="000C599E"/>
    <w:rsid w:val="000C5FE1"/>
    <w:rsid w:val="000C7031"/>
    <w:rsid w:val="000C7781"/>
    <w:rsid w:val="000D015C"/>
    <w:rsid w:val="000D0540"/>
    <w:rsid w:val="000D0801"/>
    <w:rsid w:val="000D0A67"/>
    <w:rsid w:val="000D0AFB"/>
    <w:rsid w:val="000D0E1B"/>
    <w:rsid w:val="000D187C"/>
    <w:rsid w:val="000D1E9E"/>
    <w:rsid w:val="000D260E"/>
    <w:rsid w:val="000D33FE"/>
    <w:rsid w:val="000D34DC"/>
    <w:rsid w:val="000D4F8A"/>
    <w:rsid w:val="000D516A"/>
    <w:rsid w:val="000D6D11"/>
    <w:rsid w:val="000D759F"/>
    <w:rsid w:val="000E0807"/>
    <w:rsid w:val="000E119C"/>
    <w:rsid w:val="000E11BF"/>
    <w:rsid w:val="000E2148"/>
    <w:rsid w:val="000E290E"/>
    <w:rsid w:val="000E596F"/>
    <w:rsid w:val="000E6613"/>
    <w:rsid w:val="000E787A"/>
    <w:rsid w:val="000E7B47"/>
    <w:rsid w:val="000F058A"/>
    <w:rsid w:val="000F05B8"/>
    <w:rsid w:val="000F09E1"/>
    <w:rsid w:val="000F1FC9"/>
    <w:rsid w:val="000F26A1"/>
    <w:rsid w:val="000F2B68"/>
    <w:rsid w:val="000F3591"/>
    <w:rsid w:val="000F3B6D"/>
    <w:rsid w:val="000F411B"/>
    <w:rsid w:val="000F43D1"/>
    <w:rsid w:val="000F478C"/>
    <w:rsid w:val="000F4B91"/>
    <w:rsid w:val="000F4E8D"/>
    <w:rsid w:val="000F504E"/>
    <w:rsid w:val="000F59F5"/>
    <w:rsid w:val="000F5EEB"/>
    <w:rsid w:val="000F5EF2"/>
    <w:rsid w:val="000F6E8D"/>
    <w:rsid w:val="0010165F"/>
    <w:rsid w:val="00102122"/>
    <w:rsid w:val="00102F7C"/>
    <w:rsid w:val="00102F97"/>
    <w:rsid w:val="00105FFE"/>
    <w:rsid w:val="0010666C"/>
    <w:rsid w:val="001072BA"/>
    <w:rsid w:val="00107681"/>
    <w:rsid w:val="00107BA8"/>
    <w:rsid w:val="001103FE"/>
    <w:rsid w:val="00110CA6"/>
    <w:rsid w:val="001111DE"/>
    <w:rsid w:val="001111E2"/>
    <w:rsid w:val="001119C6"/>
    <w:rsid w:val="0011229F"/>
    <w:rsid w:val="001129CF"/>
    <w:rsid w:val="00112BBB"/>
    <w:rsid w:val="00112D19"/>
    <w:rsid w:val="00113A42"/>
    <w:rsid w:val="0011422C"/>
    <w:rsid w:val="00114D78"/>
    <w:rsid w:val="00114E33"/>
    <w:rsid w:val="00114F1A"/>
    <w:rsid w:val="00116A89"/>
    <w:rsid w:val="001171F6"/>
    <w:rsid w:val="00117522"/>
    <w:rsid w:val="001176A6"/>
    <w:rsid w:val="0011783E"/>
    <w:rsid w:val="00117926"/>
    <w:rsid w:val="00117E1B"/>
    <w:rsid w:val="00117E59"/>
    <w:rsid w:val="00121139"/>
    <w:rsid w:val="0012217B"/>
    <w:rsid w:val="00122349"/>
    <w:rsid w:val="00122358"/>
    <w:rsid w:val="00123647"/>
    <w:rsid w:val="00123BBA"/>
    <w:rsid w:val="00123C7E"/>
    <w:rsid w:val="001242DF"/>
    <w:rsid w:val="00124783"/>
    <w:rsid w:val="001255CD"/>
    <w:rsid w:val="00125B15"/>
    <w:rsid w:val="00125B3F"/>
    <w:rsid w:val="00126972"/>
    <w:rsid w:val="00126A48"/>
    <w:rsid w:val="00126F05"/>
    <w:rsid w:val="001271C5"/>
    <w:rsid w:val="00127280"/>
    <w:rsid w:val="001316AF"/>
    <w:rsid w:val="00133C62"/>
    <w:rsid w:val="001355FC"/>
    <w:rsid w:val="00136BC5"/>
    <w:rsid w:val="0014023E"/>
    <w:rsid w:val="001419E4"/>
    <w:rsid w:val="001419F5"/>
    <w:rsid w:val="0014254E"/>
    <w:rsid w:val="00142F7D"/>
    <w:rsid w:val="001436DD"/>
    <w:rsid w:val="00143B48"/>
    <w:rsid w:val="00143C16"/>
    <w:rsid w:val="0014415F"/>
    <w:rsid w:val="001449FA"/>
    <w:rsid w:val="001450A2"/>
    <w:rsid w:val="00145182"/>
    <w:rsid w:val="00145600"/>
    <w:rsid w:val="0014642F"/>
    <w:rsid w:val="001464CC"/>
    <w:rsid w:val="00146F2A"/>
    <w:rsid w:val="00147001"/>
    <w:rsid w:val="0014705E"/>
    <w:rsid w:val="00147876"/>
    <w:rsid w:val="00150246"/>
    <w:rsid w:val="00150390"/>
    <w:rsid w:val="00150519"/>
    <w:rsid w:val="001519BF"/>
    <w:rsid w:val="00151C78"/>
    <w:rsid w:val="00151D47"/>
    <w:rsid w:val="0015234C"/>
    <w:rsid w:val="001550AA"/>
    <w:rsid w:val="00155428"/>
    <w:rsid w:val="00155504"/>
    <w:rsid w:val="001558D3"/>
    <w:rsid w:val="00155970"/>
    <w:rsid w:val="00155EFC"/>
    <w:rsid w:val="00156A55"/>
    <w:rsid w:val="00160059"/>
    <w:rsid w:val="00160106"/>
    <w:rsid w:val="00161325"/>
    <w:rsid w:val="00161B24"/>
    <w:rsid w:val="00162002"/>
    <w:rsid w:val="0016236C"/>
    <w:rsid w:val="0016279F"/>
    <w:rsid w:val="00162C8F"/>
    <w:rsid w:val="00163EBB"/>
    <w:rsid w:val="00164071"/>
    <w:rsid w:val="0016485D"/>
    <w:rsid w:val="00165B1E"/>
    <w:rsid w:val="00165CC7"/>
    <w:rsid w:val="00165D7E"/>
    <w:rsid w:val="00165FC0"/>
    <w:rsid w:val="001661B8"/>
    <w:rsid w:val="00166B37"/>
    <w:rsid w:val="00166C58"/>
    <w:rsid w:val="00167766"/>
    <w:rsid w:val="001704BE"/>
    <w:rsid w:val="00170507"/>
    <w:rsid w:val="00170AC0"/>
    <w:rsid w:val="00170B89"/>
    <w:rsid w:val="00171B03"/>
    <w:rsid w:val="00172396"/>
    <w:rsid w:val="00172505"/>
    <w:rsid w:val="00172827"/>
    <w:rsid w:val="00172937"/>
    <w:rsid w:val="00175232"/>
    <w:rsid w:val="0017598F"/>
    <w:rsid w:val="00175E8E"/>
    <w:rsid w:val="00175F9C"/>
    <w:rsid w:val="00176358"/>
    <w:rsid w:val="00176A86"/>
    <w:rsid w:val="00177B26"/>
    <w:rsid w:val="00180E4A"/>
    <w:rsid w:val="00183005"/>
    <w:rsid w:val="00183185"/>
    <w:rsid w:val="00183287"/>
    <w:rsid w:val="00183374"/>
    <w:rsid w:val="001833DC"/>
    <w:rsid w:val="001834B0"/>
    <w:rsid w:val="0018423D"/>
    <w:rsid w:val="0018454F"/>
    <w:rsid w:val="00184605"/>
    <w:rsid w:val="00184795"/>
    <w:rsid w:val="00184994"/>
    <w:rsid w:val="00184A66"/>
    <w:rsid w:val="00185559"/>
    <w:rsid w:val="00185ECC"/>
    <w:rsid w:val="00185FE5"/>
    <w:rsid w:val="00186429"/>
    <w:rsid w:val="001868EE"/>
    <w:rsid w:val="001871FA"/>
    <w:rsid w:val="00187E89"/>
    <w:rsid w:val="001912B8"/>
    <w:rsid w:val="0019136B"/>
    <w:rsid w:val="0019156A"/>
    <w:rsid w:val="00191BDD"/>
    <w:rsid w:val="0019242C"/>
    <w:rsid w:val="0019354C"/>
    <w:rsid w:val="0019355B"/>
    <w:rsid w:val="00193E93"/>
    <w:rsid w:val="001941A3"/>
    <w:rsid w:val="00194837"/>
    <w:rsid w:val="00194A07"/>
    <w:rsid w:val="001959F0"/>
    <w:rsid w:val="00195D0C"/>
    <w:rsid w:val="00195E15"/>
    <w:rsid w:val="0019613F"/>
    <w:rsid w:val="001A02C3"/>
    <w:rsid w:val="001A089F"/>
    <w:rsid w:val="001A0CD8"/>
    <w:rsid w:val="001A1461"/>
    <w:rsid w:val="001A1503"/>
    <w:rsid w:val="001A36F8"/>
    <w:rsid w:val="001A4978"/>
    <w:rsid w:val="001A4EDA"/>
    <w:rsid w:val="001A5214"/>
    <w:rsid w:val="001A5DD3"/>
    <w:rsid w:val="001A61CA"/>
    <w:rsid w:val="001A658E"/>
    <w:rsid w:val="001A69C8"/>
    <w:rsid w:val="001A78A9"/>
    <w:rsid w:val="001A7ACB"/>
    <w:rsid w:val="001B0B3C"/>
    <w:rsid w:val="001B19C5"/>
    <w:rsid w:val="001B1B25"/>
    <w:rsid w:val="001B1EA3"/>
    <w:rsid w:val="001B21BC"/>
    <w:rsid w:val="001B29DB"/>
    <w:rsid w:val="001B2C22"/>
    <w:rsid w:val="001B3A15"/>
    <w:rsid w:val="001B3ABA"/>
    <w:rsid w:val="001B3D23"/>
    <w:rsid w:val="001B3D77"/>
    <w:rsid w:val="001B3FEC"/>
    <w:rsid w:val="001B566A"/>
    <w:rsid w:val="001B5E16"/>
    <w:rsid w:val="001B6295"/>
    <w:rsid w:val="001B6F29"/>
    <w:rsid w:val="001B7413"/>
    <w:rsid w:val="001B747B"/>
    <w:rsid w:val="001C11B2"/>
    <w:rsid w:val="001C239C"/>
    <w:rsid w:val="001C2C68"/>
    <w:rsid w:val="001C3448"/>
    <w:rsid w:val="001C3CA2"/>
    <w:rsid w:val="001C400B"/>
    <w:rsid w:val="001C40ED"/>
    <w:rsid w:val="001C5900"/>
    <w:rsid w:val="001C62DC"/>
    <w:rsid w:val="001C72FF"/>
    <w:rsid w:val="001D002D"/>
    <w:rsid w:val="001D10A7"/>
    <w:rsid w:val="001D1D85"/>
    <w:rsid w:val="001D34AE"/>
    <w:rsid w:val="001D45DB"/>
    <w:rsid w:val="001D4A1B"/>
    <w:rsid w:val="001D5000"/>
    <w:rsid w:val="001D5956"/>
    <w:rsid w:val="001D5E1A"/>
    <w:rsid w:val="001D6624"/>
    <w:rsid w:val="001D69B8"/>
    <w:rsid w:val="001D7426"/>
    <w:rsid w:val="001E0125"/>
    <w:rsid w:val="001E0141"/>
    <w:rsid w:val="001E0543"/>
    <w:rsid w:val="001E055C"/>
    <w:rsid w:val="001E0D08"/>
    <w:rsid w:val="001E13B1"/>
    <w:rsid w:val="001E163D"/>
    <w:rsid w:val="001E174C"/>
    <w:rsid w:val="001E23F6"/>
    <w:rsid w:val="001E24A3"/>
    <w:rsid w:val="001E2F0E"/>
    <w:rsid w:val="001E369F"/>
    <w:rsid w:val="001E39B5"/>
    <w:rsid w:val="001E414E"/>
    <w:rsid w:val="001E4F7A"/>
    <w:rsid w:val="001E50B0"/>
    <w:rsid w:val="001E5394"/>
    <w:rsid w:val="001E5508"/>
    <w:rsid w:val="001E5E70"/>
    <w:rsid w:val="001E61C5"/>
    <w:rsid w:val="001E715D"/>
    <w:rsid w:val="001E78B3"/>
    <w:rsid w:val="001F054C"/>
    <w:rsid w:val="001F0B29"/>
    <w:rsid w:val="001F0CA4"/>
    <w:rsid w:val="001F140A"/>
    <w:rsid w:val="001F1B8A"/>
    <w:rsid w:val="001F1C51"/>
    <w:rsid w:val="001F216C"/>
    <w:rsid w:val="001F2E5F"/>
    <w:rsid w:val="001F4187"/>
    <w:rsid w:val="001F444B"/>
    <w:rsid w:val="001F44A3"/>
    <w:rsid w:val="001F4D43"/>
    <w:rsid w:val="001F52F1"/>
    <w:rsid w:val="001F5491"/>
    <w:rsid w:val="001F5D92"/>
    <w:rsid w:val="001F77AD"/>
    <w:rsid w:val="00200250"/>
    <w:rsid w:val="002014C7"/>
    <w:rsid w:val="002019E4"/>
    <w:rsid w:val="00202A2C"/>
    <w:rsid w:val="00202B89"/>
    <w:rsid w:val="00202D89"/>
    <w:rsid w:val="002039D4"/>
    <w:rsid w:val="0020484F"/>
    <w:rsid w:val="00205513"/>
    <w:rsid w:val="00205704"/>
    <w:rsid w:val="002059F9"/>
    <w:rsid w:val="00207042"/>
    <w:rsid w:val="002073CB"/>
    <w:rsid w:val="002077F0"/>
    <w:rsid w:val="00207EB0"/>
    <w:rsid w:val="0021138F"/>
    <w:rsid w:val="0021185D"/>
    <w:rsid w:val="002118D0"/>
    <w:rsid w:val="00211A46"/>
    <w:rsid w:val="00211DFC"/>
    <w:rsid w:val="00211E80"/>
    <w:rsid w:val="0021247D"/>
    <w:rsid w:val="002127B2"/>
    <w:rsid w:val="002137B5"/>
    <w:rsid w:val="00215A7C"/>
    <w:rsid w:val="00216FFF"/>
    <w:rsid w:val="002170C6"/>
    <w:rsid w:val="00217113"/>
    <w:rsid w:val="00221CFC"/>
    <w:rsid w:val="002225BC"/>
    <w:rsid w:val="002248D3"/>
    <w:rsid w:val="0022614A"/>
    <w:rsid w:val="002264E9"/>
    <w:rsid w:val="0022657C"/>
    <w:rsid w:val="002273DA"/>
    <w:rsid w:val="00231C38"/>
    <w:rsid w:val="00232570"/>
    <w:rsid w:val="0023271E"/>
    <w:rsid w:val="00233135"/>
    <w:rsid w:val="00233A6F"/>
    <w:rsid w:val="00233D0F"/>
    <w:rsid w:val="00233FF7"/>
    <w:rsid w:val="00234507"/>
    <w:rsid w:val="002358EF"/>
    <w:rsid w:val="00236268"/>
    <w:rsid w:val="00236334"/>
    <w:rsid w:val="002365BE"/>
    <w:rsid w:val="002365E4"/>
    <w:rsid w:val="00236613"/>
    <w:rsid w:val="002371F6"/>
    <w:rsid w:val="00240805"/>
    <w:rsid w:val="0024098F"/>
    <w:rsid w:val="00241936"/>
    <w:rsid w:val="00241A27"/>
    <w:rsid w:val="002429FF"/>
    <w:rsid w:val="0024301A"/>
    <w:rsid w:val="00244834"/>
    <w:rsid w:val="00244DCA"/>
    <w:rsid w:val="0024581D"/>
    <w:rsid w:val="00245845"/>
    <w:rsid w:val="002459E5"/>
    <w:rsid w:val="00250C5C"/>
    <w:rsid w:val="0025158E"/>
    <w:rsid w:val="002516E8"/>
    <w:rsid w:val="002526D3"/>
    <w:rsid w:val="00252AA0"/>
    <w:rsid w:val="00252B7D"/>
    <w:rsid w:val="00252C10"/>
    <w:rsid w:val="00252C59"/>
    <w:rsid w:val="00253B88"/>
    <w:rsid w:val="00253E06"/>
    <w:rsid w:val="002541EC"/>
    <w:rsid w:val="00254513"/>
    <w:rsid w:val="00254C38"/>
    <w:rsid w:val="00255256"/>
    <w:rsid w:val="002557B0"/>
    <w:rsid w:val="002559A9"/>
    <w:rsid w:val="002559BC"/>
    <w:rsid w:val="00256BCF"/>
    <w:rsid w:val="0026055A"/>
    <w:rsid w:val="002608BB"/>
    <w:rsid w:val="002622D4"/>
    <w:rsid w:val="00262AF9"/>
    <w:rsid w:val="00263E17"/>
    <w:rsid w:val="00263E8A"/>
    <w:rsid w:val="00264096"/>
    <w:rsid w:val="0026540C"/>
    <w:rsid w:val="002655E7"/>
    <w:rsid w:val="00265AB1"/>
    <w:rsid w:val="0026622C"/>
    <w:rsid w:val="00270766"/>
    <w:rsid w:val="00271D5C"/>
    <w:rsid w:val="00272D78"/>
    <w:rsid w:val="00273233"/>
    <w:rsid w:val="002734D4"/>
    <w:rsid w:val="00273BED"/>
    <w:rsid w:val="00274575"/>
    <w:rsid w:val="00274821"/>
    <w:rsid w:val="00275EC7"/>
    <w:rsid w:val="0027643D"/>
    <w:rsid w:val="002800F1"/>
    <w:rsid w:val="002805B7"/>
    <w:rsid w:val="0028075A"/>
    <w:rsid w:val="00280A31"/>
    <w:rsid w:val="00280B89"/>
    <w:rsid w:val="002811CB"/>
    <w:rsid w:val="002817F2"/>
    <w:rsid w:val="00281DE7"/>
    <w:rsid w:val="002823D5"/>
    <w:rsid w:val="002834C2"/>
    <w:rsid w:val="002841CD"/>
    <w:rsid w:val="002845C1"/>
    <w:rsid w:val="0028553C"/>
    <w:rsid w:val="00285B25"/>
    <w:rsid w:val="00285E36"/>
    <w:rsid w:val="00285FFB"/>
    <w:rsid w:val="00286A05"/>
    <w:rsid w:val="00287358"/>
    <w:rsid w:val="002875F0"/>
    <w:rsid w:val="00287679"/>
    <w:rsid w:val="00287BF2"/>
    <w:rsid w:val="00290ADC"/>
    <w:rsid w:val="00291CC6"/>
    <w:rsid w:val="00292ADB"/>
    <w:rsid w:val="0029303C"/>
    <w:rsid w:val="002937C3"/>
    <w:rsid w:val="00293C0D"/>
    <w:rsid w:val="002952B6"/>
    <w:rsid w:val="00296216"/>
    <w:rsid w:val="0029743A"/>
    <w:rsid w:val="002A0A55"/>
    <w:rsid w:val="002A0AF3"/>
    <w:rsid w:val="002A0E6C"/>
    <w:rsid w:val="002A0EAA"/>
    <w:rsid w:val="002A33DB"/>
    <w:rsid w:val="002A366C"/>
    <w:rsid w:val="002A4227"/>
    <w:rsid w:val="002A4743"/>
    <w:rsid w:val="002A4C3A"/>
    <w:rsid w:val="002A5BF1"/>
    <w:rsid w:val="002A619B"/>
    <w:rsid w:val="002A6A0C"/>
    <w:rsid w:val="002A6B24"/>
    <w:rsid w:val="002A71A1"/>
    <w:rsid w:val="002B0120"/>
    <w:rsid w:val="002B036F"/>
    <w:rsid w:val="002B0451"/>
    <w:rsid w:val="002B0F2D"/>
    <w:rsid w:val="002B187F"/>
    <w:rsid w:val="002B1963"/>
    <w:rsid w:val="002B3505"/>
    <w:rsid w:val="002B35B7"/>
    <w:rsid w:val="002B384E"/>
    <w:rsid w:val="002B4613"/>
    <w:rsid w:val="002B46E9"/>
    <w:rsid w:val="002B4EC2"/>
    <w:rsid w:val="002B645B"/>
    <w:rsid w:val="002B6DEC"/>
    <w:rsid w:val="002C1F08"/>
    <w:rsid w:val="002C3C8C"/>
    <w:rsid w:val="002C4730"/>
    <w:rsid w:val="002C4967"/>
    <w:rsid w:val="002C4D30"/>
    <w:rsid w:val="002C5E1F"/>
    <w:rsid w:val="002C626C"/>
    <w:rsid w:val="002C6A11"/>
    <w:rsid w:val="002C71B6"/>
    <w:rsid w:val="002C760C"/>
    <w:rsid w:val="002D03F3"/>
    <w:rsid w:val="002D1C6D"/>
    <w:rsid w:val="002D2797"/>
    <w:rsid w:val="002D2CB0"/>
    <w:rsid w:val="002D358F"/>
    <w:rsid w:val="002D3A1B"/>
    <w:rsid w:val="002D3D13"/>
    <w:rsid w:val="002D4E84"/>
    <w:rsid w:val="002D57FD"/>
    <w:rsid w:val="002D5C4A"/>
    <w:rsid w:val="002D5FA4"/>
    <w:rsid w:val="002D6570"/>
    <w:rsid w:val="002D6828"/>
    <w:rsid w:val="002D6A4C"/>
    <w:rsid w:val="002D6BBC"/>
    <w:rsid w:val="002D6E01"/>
    <w:rsid w:val="002D7067"/>
    <w:rsid w:val="002D725C"/>
    <w:rsid w:val="002D7EDE"/>
    <w:rsid w:val="002E0C03"/>
    <w:rsid w:val="002E13C9"/>
    <w:rsid w:val="002E15DB"/>
    <w:rsid w:val="002E2688"/>
    <w:rsid w:val="002E3CC7"/>
    <w:rsid w:val="002E3EA8"/>
    <w:rsid w:val="002E456B"/>
    <w:rsid w:val="002E53B6"/>
    <w:rsid w:val="002E5B68"/>
    <w:rsid w:val="002E6999"/>
    <w:rsid w:val="002E6C0A"/>
    <w:rsid w:val="002E78C7"/>
    <w:rsid w:val="002F0EC5"/>
    <w:rsid w:val="002F1109"/>
    <w:rsid w:val="002F1319"/>
    <w:rsid w:val="002F1749"/>
    <w:rsid w:val="002F1793"/>
    <w:rsid w:val="002F2261"/>
    <w:rsid w:val="002F3A3F"/>
    <w:rsid w:val="002F3ADB"/>
    <w:rsid w:val="002F4450"/>
    <w:rsid w:val="002F4A02"/>
    <w:rsid w:val="002F5A61"/>
    <w:rsid w:val="002F714D"/>
    <w:rsid w:val="002F739F"/>
    <w:rsid w:val="003001B3"/>
    <w:rsid w:val="00300884"/>
    <w:rsid w:val="003010C9"/>
    <w:rsid w:val="00301146"/>
    <w:rsid w:val="00301B49"/>
    <w:rsid w:val="0030282D"/>
    <w:rsid w:val="003033F4"/>
    <w:rsid w:val="00303DA0"/>
    <w:rsid w:val="00304E5D"/>
    <w:rsid w:val="003056D5"/>
    <w:rsid w:val="003058F0"/>
    <w:rsid w:val="00305986"/>
    <w:rsid w:val="00305F5F"/>
    <w:rsid w:val="00306BD7"/>
    <w:rsid w:val="00307E3C"/>
    <w:rsid w:val="003102CE"/>
    <w:rsid w:val="00310AE4"/>
    <w:rsid w:val="00312C38"/>
    <w:rsid w:val="0031360A"/>
    <w:rsid w:val="0031390A"/>
    <w:rsid w:val="00313A35"/>
    <w:rsid w:val="00314319"/>
    <w:rsid w:val="00314BE5"/>
    <w:rsid w:val="00314C60"/>
    <w:rsid w:val="00315603"/>
    <w:rsid w:val="003170B6"/>
    <w:rsid w:val="003170FF"/>
    <w:rsid w:val="0031741A"/>
    <w:rsid w:val="00317B74"/>
    <w:rsid w:val="003204FE"/>
    <w:rsid w:val="00320760"/>
    <w:rsid w:val="003211FE"/>
    <w:rsid w:val="003215BB"/>
    <w:rsid w:val="0032220D"/>
    <w:rsid w:val="003226C7"/>
    <w:rsid w:val="0032276D"/>
    <w:rsid w:val="00322785"/>
    <w:rsid w:val="00323196"/>
    <w:rsid w:val="003238D1"/>
    <w:rsid w:val="0032404E"/>
    <w:rsid w:val="003246D6"/>
    <w:rsid w:val="00324865"/>
    <w:rsid w:val="00326C14"/>
    <w:rsid w:val="00327A3A"/>
    <w:rsid w:val="0033036C"/>
    <w:rsid w:val="00331C55"/>
    <w:rsid w:val="00331F79"/>
    <w:rsid w:val="00335FDD"/>
    <w:rsid w:val="00336813"/>
    <w:rsid w:val="00336F7E"/>
    <w:rsid w:val="00337E99"/>
    <w:rsid w:val="00337F03"/>
    <w:rsid w:val="003402E1"/>
    <w:rsid w:val="003418B9"/>
    <w:rsid w:val="00341955"/>
    <w:rsid w:val="00342065"/>
    <w:rsid w:val="00342A4C"/>
    <w:rsid w:val="00342AC1"/>
    <w:rsid w:val="00343544"/>
    <w:rsid w:val="00343D58"/>
    <w:rsid w:val="00344160"/>
    <w:rsid w:val="00345074"/>
    <w:rsid w:val="00345F89"/>
    <w:rsid w:val="003465A8"/>
    <w:rsid w:val="0034699A"/>
    <w:rsid w:val="003475F5"/>
    <w:rsid w:val="00347A3B"/>
    <w:rsid w:val="00350198"/>
    <w:rsid w:val="0035053C"/>
    <w:rsid w:val="003509F5"/>
    <w:rsid w:val="00351233"/>
    <w:rsid w:val="003515BF"/>
    <w:rsid w:val="00352506"/>
    <w:rsid w:val="00352DF1"/>
    <w:rsid w:val="003540C1"/>
    <w:rsid w:val="0035412E"/>
    <w:rsid w:val="003548E1"/>
    <w:rsid w:val="003558E1"/>
    <w:rsid w:val="00355CBD"/>
    <w:rsid w:val="00355FF5"/>
    <w:rsid w:val="003561F9"/>
    <w:rsid w:val="00356E97"/>
    <w:rsid w:val="003571D9"/>
    <w:rsid w:val="00357290"/>
    <w:rsid w:val="0036029B"/>
    <w:rsid w:val="003602AC"/>
    <w:rsid w:val="003605B2"/>
    <w:rsid w:val="00360708"/>
    <w:rsid w:val="00360C44"/>
    <w:rsid w:val="00360D9C"/>
    <w:rsid w:val="003625BB"/>
    <w:rsid w:val="00362A64"/>
    <w:rsid w:val="00363D3F"/>
    <w:rsid w:val="003646E9"/>
    <w:rsid w:val="00364D71"/>
    <w:rsid w:val="00367C3D"/>
    <w:rsid w:val="00367D26"/>
    <w:rsid w:val="00367EAC"/>
    <w:rsid w:val="00370307"/>
    <w:rsid w:val="00370FB7"/>
    <w:rsid w:val="00371870"/>
    <w:rsid w:val="00371D36"/>
    <w:rsid w:val="00372314"/>
    <w:rsid w:val="00373CDC"/>
    <w:rsid w:val="003750FB"/>
    <w:rsid w:val="00375C04"/>
    <w:rsid w:val="00375C66"/>
    <w:rsid w:val="003767CA"/>
    <w:rsid w:val="00377269"/>
    <w:rsid w:val="00377881"/>
    <w:rsid w:val="00377918"/>
    <w:rsid w:val="003807E7"/>
    <w:rsid w:val="00380A73"/>
    <w:rsid w:val="00380A89"/>
    <w:rsid w:val="00380D2B"/>
    <w:rsid w:val="00381018"/>
    <w:rsid w:val="003817B9"/>
    <w:rsid w:val="00383212"/>
    <w:rsid w:val="00383232"/>
    <w:rsid w:val="00383256"/>
    <w:rsid w:val="003838A7"/>
    <w:rsid w:val="00383DCE"/>
    <w:rsid w:val="00383EEC"/>
    <w:rsid w:val="00384233"/>
    <w:rsid w:val="00384316"/>
    <w:rsid w:val="00384568"/>
    <w:rsid w:val="00384D8D"/>
    <w:rsid w:val="00386035"/>
    <w:rsid w:val="0038650F"/>
    <w:rsid w:val="0038710A"/>
    <w:rsid w:val="0038719C"/>
    <w:rsid w:val="003875F3"/>
    <w:rsid w:val="003877DC"/>
    <w:rsid w:val="00387FC2"/>
    <w:rsid w:val="003905AE"/>
    <w:rsid w:val="003912C7"/>
    <w:rsid w:val="003916A7"/>
    <w:rsid w:val="00391F11"/>
    <w:rsid w:val="00392479"/>
    <w:rsid w:val="00392F2A"/>
    <w:rsid w:val="003934E7"/>
    <w:rsid w:val="00394392"/>
    <w:rsid w:val="0039484C"/>
    <w:rsid w:val="00395384"/>
    <w:rsid w:val="003958EC"/>
    <w:rsid w:val="0039654B"/>
    <w:rsid w:val="00396941"/>
    <w:rsid w:val="0039762C"/>
    <w:rsid w:val="00397ED0"/>
    <w:rsid w:val="003A04BB"/>
    <w:rsid w:val="003A05CE"/>
    <w:rsid w:val="003A0F16"/>
    <w:rsid w:val="003A11B3"/>
    <w:rsid w:val="003A1D25"/>
    <w:rsid w:val="003A1F32"/>
    <w:rsid w:val="003A214A"/>
    <w:rsid w:val="003A2EFB"/>
    <w:rsid w:val="003A2F99"/>
    <w:rsid w:val="003A4367"/>
    <w:rsid w:val="003A546D"/>
    <w:rsid w:val="003A5568"/>
    <w:rsid w:val="003A5683"/>
    <w:rsid w:val="003A5C2E"/>
    <w:rsid w:val="003A5EDB"/>
    <w:rsid w:val="003A600B"/>
    <w:rsid w:val="003A63FE"/>
    <w:rsid w:val="003A6D1D"/>
    <w:rsid w:val="003A742D"/>
    <w:rsid w:val="003A7534"/>
    <w:rsid w:val="003B0848"/>
    <w:rsid w:val="003B13F6"/>
    <w:rsid w:val="003B178E"/>
    <w:rsid w:val="003B3188"/>
    <w:rsid w:val="003B32E8"/>
    <w:rsid w:val="003B37E4"/>
    <w:rsid w:val="003B3B30"/>
    <w:rsid w:val="003B3EBA"/>
    <w:rsid w:val="003B4065"/>
    <w:rsid w:val="003B435E"/>
    <w:rsid w:val="003B4445"/>
    <w:rsid w:val="003B501A"/>
    <w:rsid w:val="003B57E9"/>
    <w:rsid w:val="003B605A"/>
    <w:rsid w:val="003B749E"/>
    <w:rsid w:val="003B767E"/>
    <w:rsid w:val="003C0288"/>
    <w:rsid w:val="003C1CF3"/>
    <w:rsid w:val="003C1E3A"/>
    <w:rsid w:val="003C2196"/>
    <w:rsid w:val="003C2A40"/>
    <w:rsid w:val="003C2EE8"/>
    <w:rsid w:val="003C34C2"/>
    <w:rsid w:val="003C480A"/>
    <w:rsid w:val="003C66A4"/>
    <w:rsid w:val="003C7591"/>
    <w:rsid w:val="003C7957"/>
    <w:rsid w:val="003D08B2"/>
    <w:rsid w:val="003D0B98"/>
    <w:rsid w:val="003D0DF5"/>
    <w:rsid w:val="003D1716"/>
    <w:rsid w:val="003D2511"/>
    <w:rsid w:val="003D28C3"/>
    <w:rsid w:val="003D2DFF"/>
    <w:rsid w:val="003D2E51"/>
    <w:rsid w:val="003D3C8A"/>
    <w:rsid w:val="003D4730"/>
    <w:rsid w:val="003D56F4"/>
    <w:rsid w:val="003D570B"/>
    <w:rsid w:val="003D6BA0"/>
    <w:rsid w:val="003D6E62"/>
    <w:rsid w:val="003D7483"/>
    <w:rsid w:val="003D7D20"/>
    <w:rsid w:val="003E009E"/>
    <w:rsid w:val="003E00A9"/>
    <w:rsid w:val="003E1CD3"/>
    <w:rsid w:val="003E1D0C"/>
    <w:rsid w:val="003E1EE4"/>
    <w:rsid w:val="003E232D"/>
    <w:rsid w:val="003E28D2"/>
    <w:rsid w:val="003E29A2"/>
    <w:rsid w:val="003E2B30"/>
    <w:rsid w:val="003E2CB9"/>
    <w:rsid w:val="003E2D47"/>
    <w:rsid w:val="003E2DD9"/>
    <w:rsid w:val="003E3577"/>
    <w:rsid w:val="003E3D6F"/>
    <w:rsid w:val="003E471D"/>
    <w:rsid w:val="003E4814"/>
    <w:rsid w:val="003E4B72"/>
    <w:rsid w:val="003E58EC"/>
    <w:rsid w:val="003E6F3F"/>
    <w:rsid w:val="003E75FA"/>
    <w:rsid w:val="003E7BCF"/>
    <w:rsid w:val="003F08E5"/>
    <w:rsid w:val="003F0D25"/>
    <w:rsid w:val="003F1A2B"/>
    <w:rsid w:val="003F2373"/>
    <w:rsid w:val="003F338A"/>
    <w:rsid w:val="003F38C8"/>
    <w:rsid w:val="003F3E48"/>
    <w:rsid w:val="003F42E3"/>
    <w:rsid w:val="003F4742"/>
    <w:rsid w:val="003F60CD"/>
    <w:rsid w:val="003F65F1"/>
    <w:rsid w:val="003F6661"/>
    <w:rsid w:val="003F6CF2"/>
    <w:rsid w:val="00400049"/>
    <w:rsid w:val="00400293"/>
    <w:rsid w:val="004008E7"/>
    <w:rsid w:val="004011E9"/>
    <w:rsid w:val="0040163E"/>
    <w:rsid w:val="004019B2"/>
    <w:rsid w:val="00402387"/>
    <w:rsid w:val="004025F9"/>
    <w:rsid w:val="00402A47"/>
    <w:rsid w:val="00402B4C"/>
    <w:rsid w:val="004034EC"/>
    <w:rsid w:val="00403B86"/>
    <w:rsid w:val="0040432C"/>
    <w:rsid w:val="0040492F"/>
    <w:rsid w:val="00404A3E"/>
    <w:rsid w:val="00404FCE"/>
    <w:rsid w:val="0040631C"/>
    <w:rsid w:val="004065F8"/>
    <w:rsid w:val="00406D2B"/>
    <w:rsid w:val="00407683"/>
    <w:rsid w:val="004077DA"/>
    <w:rsid w:val="00407F4E"/>
    <w:rsid w:val="0041107D"/>
    <w:rsid w:val="00412391"/>
    <w:rsid w:val="00412CBC"/>
    <w:rsid w:val="00412DC6"/>
    <w:rsid w:val="00413A27"/>
    <w:rsid w:val="00413FB9"/>
    <w:rsid w:val="00414971"/>
    <w:rsid w:val="00415705"/>
    <w:rsid w:val="00415A22"/>
    <w:rsid w:val="00416581"/>
    <w:rsid w:val="00417E55"/>
    <w:rsid w:val="0042059E"/>
    <w:rsid w:val="00420EBF"/>
    <w:rsid w:val="0042128D"/>
    <w:rsid w:val="0042212A"/>
    <w:rsid w:val="0042266C"/>
    <w:rsid w:val="00422ACB"/>
    <w:rsid w:val="00423455"/>
    <w:rsid w:val="00424254"/>
    <w:rsid w:val="00424562"/>
    <w:rsid w:val="004276C5"/>
    <w:rsid w:val="0042776E"/>
    <w:rsid w:val="00427F9B"/>
    <w:rsid w:val="00432127"/>
    <w:rsid w:val="0043218E"/>
    <w:rsid w:val="00433104"/>
    <w:rsid w:val="00433106"/>
    <w:rsid w:val="00433237"/>
    <w:rsid w:val="00433893"/>
    <w:rsid w:val="004341E2"/>
    <w:rsid w:val="00434C25"/>
    <w:rsid w:val="00435C2F"/>
    <w:rsid w:val="004369D5"/>
    <w:rsid w:val="00437B2E"/>
    <w:rsid w:val="00437CC3"/>
    <w:rsid w:val="00437D94"/>
    <w:rsid w:val="004403A1"/>
    <w:rsid w:val="00440BE9"/>
    <w:rsid w:val="004414AB"/>
    <w:rsid w:val="00441A8E"/>
    <w:rsid w:val="00443711"/>
    <w:rsid w:val="00443784"/>
    <w:rsid w:val="0044395F"/>
    <w:rsid w:val="00443BD8"/>
    <w:rsid w:val="00443FCA"/>
    <w:rsid w:val="0044464E"/>
    <w:rsid w:val="004447CE"/>
    <w:rsid w:val="00446938"/>
    <w:rsid w:val="00446B0E"/>
    <w:rsid w:val="00446C5A"/>
    <w:rsid w:val="00446D5F"/>
    <w:rsid w:val="00450FD4"/>
    <w:rsid w:val="00451384"/>
    <w:rsid w:val="00451FC8"/>
    <w:rsid w:val="004520D4"/>
    <w:rsid w:val="00453B15"/>
    <w:rsid w:val="00453D43"/>
    <w:rsid w:val="00454011"/>
    <w:rsid w:val="00454306"/>
    <w:rsid w:val="0045477C"/>
    <w:rsid w:val="00454A18"/>
    <w:rsid w:val="00454B35"/>
    <w:rsid w:val="0045547B"/>
    <w:rsid w:val="00455AAB"/>
    <w:rsid w:val="004564C5"/>
    <w:rsid w:val="00456BC9"/>
    <w:rsid w:val="00456FDB"/>
    <w:rsid w:val="004571C5"/>
    <w:rsid w:val="00457707"/>
    <w:rsid w:val="004601C9"/>
    <w:rsid w:val="00460747"/>
    <w:rsid w:val="00460D2F"/>
    <w:rsid w:val="00461D3D"/>
    <w:rsid w:val="0046208C"/>
    <w:rsid w:val="0046259F"/>
    <w:rsid w:val="00462737"/>
    <w:rsid w:val="004651BA"/>
    <w:rsid w:val="004669B6"/>
    <w:rsid w:val="0047024C"/>
    <w:rsid w:val="004702EC"/>
    <w:rsid w:val="004703C3"/>
    <w:rsid w:val="00470A6B"/>
    <w:rsid w:val="00472AA9"/>
    <w:rsid w:val="00473C25"/>
    <w:rsid w:val="0047411B"/>
    <w:rsid w:val="00474547"/>
    <w:rsid w:val="00475711"/>
    <w:rsid w:val="0047666F"/>
    <w:rsid w:val="004766F1"/>
    <w:rsid w:val="0047697B"/>
    <w:rsid w:val="00476C76"/>
    <w:rsid w:val="00477AFF"/>
    <w:rsid w:val="00480685"/>
    <w:rsid w:val="00480FD8"/>
    <w:rsid w:val="004813FB"/>
    <w:rsid w:val="00481645"/>
    <w:rsid w:val="004819AA"/>
    <w:rsid w:val="00482195"/>
    <w:rsid w:val="004822C4"/>
    <w:rsid w:val="00482A74"/>
    <w:rsid w:val="0048365D"/>
    <w:rsid w:val="00483C17"/>
    <w:rsid w:val="004840FB"/>
    <w:rsid w:val="00484278"/>
    <w:rsid w:val="0048519C"/>
    <w:rsid w:val="00485C39"/>
    <w:rsid w:val="004860DA"/>
    <w:rsid w:val="00486542"/>
    <w:rsid w:val="00486572"/>
    <w:rsid w:val="00486DE4"/>
    <w:rsid w:val="004876DA"/>
    <w:rsid w:val="00490CEB"/>
    <w:rsid w:val="004918F4"/>
    <w:rsid w:val="00491981"/>
    <w:rsid w:val="004923BA"/>
    <w:rsid w:val="00493C9D"/>
    <w:rsid w:val="0049413A"/>
    <w:rsid w:val="004951CF"/>
    <w:rsid w:val="004963B4"/>
    <w:rsid w:val="00496C02"/>
    <w:rsid w:val="004979F8"/>
    <w:rsid w:val="004A012D"/>
    <w:rsid w:val="004A0FBC"/>
    <w:rsid w:val="004A1052"/>
    <w:rsid w:val="004A148D"/>
    <w:rsid w:val="004A2B1A"/>
    <w:rsid w:val="004A2D88"/>
    <w:rsid w:val="004A2E66"/>
    <w:rsid w:val="004A33BB"/>
    <w:rsid w:val="004A64EE"/>
    <w:rsid w:val="004A6B1E"/>
    <w:rsid w:val="004B0379"/>
    <w:rsid w:val="004B0851"/>
    <w:rsid w:val="004B2141"/>
    <w:rsid w:val="004B2230"/>
    <w:rsid w:val="004B3F51"/>
    <w:rsid w:val="004B48AA"/>
    <w:rsid w:val="004B4921"/>
    <w:rsid w:val="004B4CE2"/>
    <w:rsid w:val="004B4FEF"/>
    <w:rsid w:val="004B53F6"/>
    <w:rsid w:val="004B544D"/>
    <w:rsid w:val="004B5479"/>
    <w:rsid w:val="004B549C"/>
    <w:rsid w:val="004B59A5"/>
    <w:rsid w:val="004B5B3A"/>
    <w:rsid w:val="004B6561"/>
    <w:rsid w:val="004B66C5"/>
    <w:rsid w:val="004B6ABC"/>
    <w:rsid w:val="004B6E29"/>
    <w:rsid w:val="004B6FA7"/>
    <w:rsid w:val="004C0080"/>
    <w:rsid w:val="004C0F0A"/>
    <w:rsid w:val="004C1284"/>
    <w:rsid w:val="004C1A17"/>
    <w:rsid w:val="004C31F3"/>
    <w:rsid w:val="004C3B36"/>
    <w:rsid w:val="004C4675"/>
    <w:rsid w:val="004C4B66"/>
    <w:rsid w:val="004C74D8"/>
    <w:rsid w:val="004C7A31"/>
    <w:rsid w:val="004C7B69"/>
    <w:rsid w:val="004D016C"/>
    <w:rsid w:val="004D0791"/>
    <w:rsid w:val="004D0D8D"/>
    <w:rsid w:val="004D13AC"/>
    <w:rsid w:val="004D14F6"/>
    <w:rsid w:val="004D1512"/>
    <w:rsid w:val="004D1C03"/>
    <w:rsid w:val="004D2682"/>
    <w:rsid w:val="004D323B"/>
    <w:rsid w:val="004D3493"/>
    <w:rsid w:val="004D39DA"/>
    <w:rsid w:val="004D494F"/>
    <w:rsid w:val="004D49B0"/>
    <w:rsid w:val="004D49C3"/>
    <w:rsid w:val="004D4A8D"/>
    <w:rsid w:val="004D5040"/>
    <w:rsid w:val="004D59C5"/>
    <w:rsid w:val="004D63F8"/>
    <w:rsid w:val="004D6558"/>
    <w:rsid w:val="004D74F7"/>
    <w:rsid w:val="004E01A2"/>
    <w:rsid w:val="004E10CE"/>
    <w:rsid w:val="004E246A"/>
    <w:rsid w:val="004E28A0"/>
    <w:rsid w:val="004E3642"/>
    <w:rsid w:val="004E476F"/>
    <w:rsid w:val="004E4C9C"/>
    <w:rsid w:val="004E4FF6"/>
    <w:rsid w:val="004E503E"/>
    <w:rsid w:val="004E58C2"/>
    <w:rsid w:val="004E5E1C"/>
    <w:rsid w:val="004E605E"/>
    <w:rsid w:val="004E6204"/>
    <w:rsid w:val="004E63F0"/>
    <w:rsid w:val="004F1721"/>
    <w:rsid w:val="004F1D77"/>
    <w:rsid w:val="004F1F0C"/>
    <w:rsid w:val="004F2393"/>
    <w:rsid w:val="004F26B2"/>
    <w:rsid w:val="004F345F"/>
    <w:rsid w:val="004F40A0"/>
    <w:rsid w:val="004F4324"/>
    <w:rsid w:val="004F440C"/>
    <w:rsid w:val="004F60D1"/>
    <w:rsid w:val="004F674E"/>
    <w:rsid w:val="004F74B7"/>
    <w:rsid w:val="005018C0"/>
    <w:rsid w:val="005021E9"/>
    <w:rsid w:val="005023B5"/>
    <w:rsid w:val="005041F8"/>
    <w:rsid w:val="00504297"/>
    <w:rsid w:val="005042FE"/>
    <w:rsid w:val="005064D9"/>
    <w:rsid w:val="0050717B"/>
    <w:rsid w:val="005073AB"/>
    <w:rsid w:val="00510A83"/>
    <w:rsid w:val="005119AF"/>
    <w:rsid w:val="00511A48"/>
    <w:rsid w:val="00512A57"/>
    <w:rsid w:val="00512BFD"/>
    <w:rsid w:val="005135B0"/>
    <w:rsid w:val="00513CC8"/>
    <w:rsid w:val="0051594A"/>
    <w:rsid w:val="005165E1"/>
    <w:rsid w:val="00516AE1"/>
    <w:rsid w:val="00516AF4"/>
    <w:rsid w:val="00516B6B"/>
    <w:rsid w:val="00517863"/>
    <w:rsid w:val="00517B32"/>
    <w:rsid w:val="00517B68"/>
    <w:rsid w:val="005200A0"/>
    <w:rsid w:val="00520958"/>
    <w:rsid w:val="00520A0A"/>
    <w:rsid w:val="00521996"/>
    <w:rsid w:val="0052207D"/>
    <w:rsid w:val="0052221D"/>
    <w:rsid w:val="00523D58"/>
    <w:rsid w:val="00523E00"/>
    <w:rsid w:val="00525294"/>
    <w:rsid w:val="00525303"/>
    <w:rsid w:val="0052538D"/>
    <w:rsid w:val="005258D0"/>
    <w:rsid w:val="00525BBB"/>
    <w:rsid w:val="00526050"/>
    <w:rsid w:val="00526761"/>
    <w:rsid w:val="00526915"/>
    <w:rsid w:val="00527530"/>
    <w:rsid w:val="005275AF"/>
    <w:rsid w:val="00527E88"/>
    <w:rsid w:val="0053025C"/>
    <w:rsid w:val="0053073D"/>
    <w:rsid w:val="00531163"/>
    <w:rsid w:val="00531D10"/>
    <w:rsid w:val="00532685"/>
    <w:rsid w:val="0053303E"/>
    <w:rsid w:val="0053310E"/>
    <w:rsid w:val="005355FD"/>
    <w:rsid w:val="00535AE8"/>
    <w:rsid w:val="0053697C"/>
    <w:rsid w:val="005378F2"/>
    <w:rsid w:val="005400A6"/>
    <w:rsid w:val="00541DDC"/>
    <w:rsid w:val="00541FAA"/>
    <w:rsid w:val="0054317C"/>
    <w:rsid w:val="0054347A"/>
    <w:rsid w:val="00543C25"/>
    <w:rsid w:val="005451A5"/>
    <w:rsid w:val="005456BE"/>
    <w:rsid w:val="00545844"/>
    <w:rsid w:val="005458F4"/>
    <w:rsid w:val="0054655C"/>
    <w:rsid w:val="00550366"/>
    <w:rsid w:val="005510D3"/>
    <w:rsid w:val="00551195"/>
    <w:rsid w:val="00551CDB"/>
    <w:rsid w:val="00552B4F"/>
    <w:rsid w:val="005531BD"/>
    <w:rsid w:val="005534B4"/>
    <w:rsid w:val="00553CD3"/>
    <w:rsid w:val="00554756"/>
    <w:rsid w:val="00554853"/>
    <w:rsid w:val="00554B42"/>
    <w:rsid w:val="005554B9"/>
    <w:rsid w:val="00555B61"/>
    <w:rsid w:val="00555EBF"/>
    <w:rsid w:val="00556042"/>
    <w:rsid w:val="005568BC"/>
    <w:rsid w:val="00556C6A"/>
    <w:rsid w:val="0055796D"/>
    <w:rsid w:val="00557A52"/>
    <w:rsid w:val="00560AA4"/>
    <w:rsid w:val="005639B8"/>
    <w:rsid w:val="00563A0E"/>
    <w:rsid w:val="00563CF1"/>
    <w:rsid w:val="00564147"/>
    <w:rsid w:val="00564A12"/>
    <w:rsid w:val="00564EE9"/>
    <w:rsid w:val="00565609"/>
    <w:rsid w:val="00566458"/>
    <w:rsid w:val="0056656B"/>
    <w:rsid w:val="005667AB"/>
    <w:rsid w:val="0056700D"/>
    <w:rsid w:val="00570239"/>
    <w:rsid w:val="00570738"/>
    <w:rsid w:val="00572684"/>
    <w:rsid w:val="005728AC"/>
    <w:rsid w:val="00572B62"/>
    <w:rsid w:val="005731BE"/>
    <w:rsid w:val="00573503"/>
    <w:rsid w:val="0057397D"/>
    <w:rsid w:val="00573DB0"/>
    <w:rsid w:val="00573E7F"/>
    <w:rsid w:val="005741CE"/>
    <w:rsid w:val="00574B23"/>
    <w:rsid w:val="00574CF4"/>
    <w:rsid w:val="00575379"/>
    <w:rsid w:val="0057587E"/>
    <w:rsid w:val="005758A9"/>
    <w:rsid w:val="00576D18"/>
    <w:rsid w:val="00576F59"/>
    <w:rsid w:val="00577265"/>
    <w:rsid w:val="0057793D"/>
    <w:rsid w:val="005816DC"/>
    <w:rsid w:val="005819F4"/>
    <w:rsid w:val="00582B2B"/>
    <w:rsid w:val="00583043"/>
    <w:rsid w:val="005844CF"/>
    <w:rsid w:val="00584A21"/>
    <w:rsid w:val="00584A26"/>
    <w:rsid w:val="00584DC9"/>
    <w:rsid w:val="00585039"/>
    <w:rsid w:val="00585339"/>
    <w:rsid w:val="00585586"/>
    <w:rsid w:val="005856EC"/>
    <w:rsid w:val="00585E98"/>
    <w:rsid w:val="0058671B"/>
    <w:rsid w:val="005868C5"/>
    <w:rsid w:val="00586A45"/>
    <w:rsid w:val="00586D0B"/>
    <w:rsid w:val="005874CB"/>
    <w:rsid w:val="005879C8"/>
    <w:rsid w:val="00590604"/>
    <w:rsid w:val="0059123D"/>
    <w:rsid w:val="00591448"/>
    <w:rsid w:val="00591520"/>
    <w:rsid w:val="005916DC"/>
    <w:rsid w:val="0059179E"/>
    <w:rsid w:val="00591F12"/>
    <w:rsid w:val="005920C2"/>
    <w:rsid w:val="0059254B"/>
    <w:rsid w:val="00592734"/>
    <w:rsid w:val="00593596"/>
    <w:rsid w:val="005935E4"/>
    <w:rsid w:val="00593611"/>
    <w:rsid w:val="00593753"/>
    <w:rsid w:val="00594622"/>
    <w:rsid w:val="00594B9E"/>
    <w:rsid w:val="00594CD0"/>
    <w:rsid w:val="00596587"/>
    <w:rsid w:val="00597AAF"/>
    <w:rsid w:val="00597B96"/>
    <w:rsid w:val="00597FFC"/>
    <w:rsid w:val="005A07CA"/>
    <w:rsid w:val="005A0ABA"/>
    <w:rsid w:val="005A0ED6"/>
    <w:rsid w:val="005A2768"/>
    <w:rsid w:val="005A31D6"/>
    <w:rsid w:val="005A4CD7"/>
    <w:rsid w:val="005A4FDF"/>
    <w:rsid w:val="005A5D92"/>
    <w:rsid w:val="005A6610"/>
    <w:rsid w:val="005A6850"/>
    <w:rsid w:val="005A76D5"/>
    <w:rsid w:val="005B0D8D"/>
    <w:rsid w:val="005B0F0B"/>
    <w:rsid w:val="005B211D"/>
    <w:rsid w:val="005B244A"/>
    <w:rsid w:val="005B27EC"/>
    <w:rsid w:val="005B292B"/>
    <w:rsid w:val="005B29AB"/>
    <w:rsid w:val="005B3324"/>
    <w:rsid w:val="005B345B"/>
    <w:rsid w:val="005B551F"/>
    <w:rsid w:val="005B5F20"/>
    <w:rsid w:val="005B65A7"/>
    <w:rsid w:val="005B7C38"/>
    <w:rsid w:val="005B7F7B"/>
    <w:rsid w:val="005C0271"/>
    <w:rsid w:val="005C2158"/>
    <w:rsid w:val="005C24DF"/>
    <w:rsid w:val="005C2A24"/>
    <w:rsid w:val="005C3C91"/>
    <w:rsid w:val="005C45B3"/>
    <w:rsid w:val="005C464E"/>
    <w:rsid w:val="005C471B"/>
    <w:rsid w:val="005C4ED3"/>
    <w:rsid w:val="005C5DB5"/>
    <w:rsid w:val="005C7B41"/>
    <w:rsid w:val="005D015B"/>
    <w:rsid w:val="005D04CC"/>
    <w:rsid w:val="005D1AFF"/>
    <w:rsid w:val="005D2939"/>
    <w:rsid w:val="005D3BF4"/>
    <w:rsid w:val="005D3D39"/>
    <w:rsid w:val="005D4333"/>
    <w:rsid w:val="005D4B92"/>
    <w:rsid w:val="005D54CA"/>
    <w:rsid w:val="005D638E"/>
    <w:rsid w:val="005D6C85"/>
    <w:rsid w:val="005D707C"/>
    <w:rsid w:val="005D7857"/>
    <w:rsid w:val="005D7A8C"/>
    <w:rsid w:val="005D7E47"/>
    <w:rsid w:val="005E03A2"/>
    <w:rsid w:val="005E11F3"/>
    <w:rsid w:val="005E2616"/>
    <w:rsid w:val="005E26BA"/>
    <w:rsid w:val="005E2B88"/>
    <w:rsid w:val="005E3768"/>
    <w:rsid w:val="005E3F51"/>
    <w:rsid w:val="005E41A5"/>
    <w:rsid w:val="005E4EF2"/>
    <w:rsid w:val="005E59C2"/>
    <w:rsid w:val="005E5DB5"/>
    <w:rsid w:val="005E7662"/>
    <w:rsid w:val="005F0EB1"/>
    <w:rsid w:val="005F1614"/>
    <w:rsid w:val="005F215F"/>
    <w:rsid w:val="005F2233"/>
    <w:rsid w:val="005F2373"/>
    <w:rsid w:val="005F26CC"/>
    <w:rsid w:val="005F2B03"/>
    <w:rsid w:val="005F2F5E"/>
    <w:rsid w:val="005F38CE"/>
    <w:rsid w:val="005F3EFE"/>
    <w:rsid w:val="005F4820"/>
    <w:rsid w:val="005F4A76"/>
    <w:rsid w:val="005F5810"/>
    <w:rsid w:val="005F65A5"/>
    <w:rsid w:val="005F683D"/>
    <w:rsid w:val="005F6B2B"/>
    <w:rsid w:val="005F6CBD"/>
    <w:rsid w:val="005F7850"/>
    <w:rsid w:val="0060039B"/>
    <w:rsid w:val="00600E7E"/>
    <w:rsid w:val="0060137D"/>
    <w:rsid w:val="00601391"/>
    <w:rsid w:val="00601559"/>
    <w:rsid w:val="00601AA8"/>
    <w:rsid w:val="00602067"/>
    <w:rsid w:val="006048FF"/>
    <w:rsid w:val="00605435"/>
    <w:rsid w:val="0060736B"/>
    <w:rsid w:val="006077CA"/>
    <w:rsid w:val="00610A55"/>
    <w:rsid w:val="00612397"/>
    <w:rsid w:val="00612ADF"/>
    <w:rsid w:val="006136BF"/>
    <w:rsid w:val="00613838"/>
    <w:rsid w:val="00614CA5"/>
    <w:rsid w:val="00615568"/>
    <w:rsid w:val="006162A2"/>
    <w:rsid w:val="00616F54"/>
    <w:rsid w:val="00617507"/>
    <w:rsid w:val="006206CD"/>
    <w:rsid w:val="00621098"/>
    <w:rsid w:val="00621E2B"/>
    <w:rsid w:val="0062258E"/>
    <w:rsid w:val="00622CEA"/>
    <w:rsid w:val="0062324E"/>
    <w:rsid w:val="00623882"/>
    <w:rsid w:val="006255A4"/>
    <w:rsid w:val="006266EC"/>
    <w:rsid w:val="00630506"/>
    <w:rsid w:val="006305B6"/>
    <w:rsid w:val="00630A0F"/>
    <w:rsid w:val="00630E8E"/>
    <w:rsid w:val="00631DE0"/>
    <w:rsid w:val="006337B6"/>
    <w:rsid w:val="006337DE"/>
    <w:rsid w:val="00633881"/>
    <w:rsid w:val="00633B08"/>
    <w:rsid w:val="00634B4E"/>
    <w:rsid w:val="00634EA5"/>
    <w:rsid w:val="006364E4"/>
    <w:rsid w:val="006408A5"/>
    <w:rsid w:val="00642A5B"/>
    <w:rsid w:val="00642B89"/>
    <w:rsid w:val="0064391A"/>
    <w:rsid w:val="00644570"/>
    <w:rsid w:val="00644C5C"/>
    <w:rsid w:val="00646D06"/>
    <w:rsid w:val="00646FF3"/>
    <w:rsid w:val="0064700C"/>
    <w:rsid w:val="00647088"/>
    <w:rsid w:val="00647520"/>
    <w:rsid w:val="00647975"/>
    <w:rsid w:val="006500F4"/>
    <w:rsid w:val="006508EC"/>
    <w:rsid w:val="00650F65"/>
    <w:rsid w:val="00651525"/>
    <w:rsid w:val="006521E9"/>
    <w:rsid w:val="00652DF4"/>
    <w:rsid w:val="006537C4"/>
    <w:rsid w:val="00654323"/>
    <w:rsid w:val="00654AA3"/>
    <w:rsid w:val="00655708"/>
    <w:rsid w:val="00655D52"/>
    <w:rsid w:val="006561C3"/>
    <w:rsid w:val="006571B0"/>
    <w:rsid w:val="00657A20"/>
    <w:rsid w:val="00657BAC"/>
    <w:rsid w:val="00657DAF"/>
    <w:rsid w:val="00660EB7"/>
    <w:rsid w:val="00661CA1"/>
    <w:rsid w:val="00662CA9"/>
    <w:rsid w:val="00662FC8"/>
    <w:rsid w:val="00663A62"/>
    <w:rsid w:val="00664513"/>
    <w:rsid w:val="0066468F"/>
    <w:rsid w:val="0066486E"/>
    <w:rsid w:val="00665862"/>
    <w:rsid w:val="00665A2E"/>
    <w:rsid w:val="00665D40"/>
    <w:rsid w:val="00667316"/>
    <w:rsid w:val="00670B81"/>
    <w:rsid w:val="006717A4"/>
    <w:rsid w:val="0067262D"/>
    <w:rsid w:val="00672AA5"/>
    <w:rsid w:val="006735E3"/>
    <w:rsid w:val="00673777"/>
    <w:rsid w:val="00673802"/>
    <w:rsid w:val="006743B3"/>
    <w:rsid w:val="00674643"/>
    <w:rsid w:val="006748ED"/>
    <w:rsid w:val="00675EA7"/>
    <w:rsid w:val="00676120"/>
    <w:rsid w:val="006765F5"/>
    <w:rsid w:val="00676DB1"/>
    <w:rsid w:val="00677AD1"/>
    <w:rsid w:val="00677C43"/>
    <w:rsid w:val="0068023D"/>
    <w:rsid w:val="006802AD"/>
    <w:rsid w:val="00680354"/>
    <w:rsid w:val="0068054D"/>
    <w:rsid w:val="00680C91"/>
    <w:rsid w:val="00680F82"/>
    <w:rsid w:val="006811C5"/>
    <w:rsid w:val="00681D06"/>
    <w:rsid w:val="00682B70"/>
    <w:rsid w:val="00682DF5"/>
    <w:rsid w:val="006834EA"/>
    <w:rsid w:val="0068367C"/>
    <w:rsid w:val="0068453C"/>
    <w:rsid w:val="006848B9"/>
    <w:rsid w:val="0068499C"/>
    <w:rsid w:val="00684AA4"/>
    <w:rsid w:val="00684D17"/>
    <w:rsid w:val="006854B5"/>
    <w:rsid w:val="00685DED"/>
    <w:rsid w:val="00686028"/>
    <w:rsid w:val="00686348"/>
    <w:rsid w:val="00686668"/>
    <w:rsid w:val="006873FD"/>
    <w:rsid w:val="006874F8"/>
    <w:rsid w:val="00687EDC"/>
    <w:rsid w:val="006919BF"/>
    <w:rsid w:val="00691F2B"/>
    <w:rsid w:val="00692A26"/>
    <w:rsid w:val="00692D42"/>
    <w:rsid w:val="00692E09"/>
    <w:rsid w:val="006935E6"/>
    <w:rsid w:val="00693A39"/>
    <w:rsid w:val="00693E56"/>
    <w:rsid w:val="00694204"/>
    <w:rsid w:val="00694B05"/>
    <w:rsid w:val="00694D99"/>
    <w:rsid w:val="00695298"/>
    <w:rsid w:val="00696E7A"/>
    <w:rsid w:val="00697C6A"/>
    <w:rsid w:val="006A0540"/>
    <w:rsid w:val="006A0EC7"/>
    <w:rsid w:val="006A12C1"/>
    <w:rsid w:val="006A1849"/>
    <w:rsid w:val="006A1D62"/>
    <w:rsid w:val="006A1DF2"/>
    <w:rsid w:val="006A2B2A"/>
    <w:rsid w:val="006A3088"/>
    <w:rsid w:val="006A33EF"/>
    <w:rsid w:val="006A3E49"/>
    <w:rsid w:val="006A44CD"/>
    <w:rsid w:val="006A44E0"/>
    <w:rsid w:val="006A4872"/>
    <w:rsid w:val="006A5765"/>
    <w:rsid w:val="006A5FA0"/>
    <w:rsid w:val="006A6360"/>
    <w:rsid w:val="006A6FD1"/>
    <w:rsid w:val="006B05F9"/>
    <w:rsid w:val="006B1350"/>
    <w:rsid w:val="006B1F5A"/>
    <w:rsid w:val="006B2A73"/>
    <w:rsid w:val="006B2ACB"/>
    <w:rsid w:val="006B3908"/>
    <w:rsid w:val="006B3A6C"/>
    <w:rsid w:val="006B3AAC"/>
    <w:rsid w:val="006B5A04"/>
    <w:rsid w:val="006B679B"/>
    <w:rsid w:val="006B6A89"/>
    <w:rsid w:val="006B6E13"/>
    <w:rsid w:val="006B7683"/>
    <w:rsid w:val="006B7B07"/>
    <w:rsid w:val="006B7B5F"/>
    <w:rsid w:val="006C018F"/>
    <w:rsid w:val="006C1CC8"/>
    <w:rsid w:val="006C1E77"/>
    <w:rsid w:val="006C1FF3"/>
    <w:rsid w:val="006C3449"/>
    <w:rsid w:val="006C3979"/>
    <w:rsid w:val="006C3CC0"/>
    <w:rsid w:val="006C572A"/>
    <w:rsid w:val="006C5781"/>
    <w:rsid w:val="006C6331"/>
    <w:rsid w:val="006C6FDE"/>
    <w:rsid w:val="006C7428"/>
    <w:rsid w:val="006D02F4"/>
    <w:rsid w:val="006D0A44"/>
    <w:rsid w:val="006D1325"/>
    <w:rsid w:val="006D2C10"/>
    <w:rsid w:val="006D36BE"/>
    <w:rsid w:val="006D3758"/>
    <w:rsid w:val="006D42E5"/>
    <w:rsid w:val="006D4AF6"/>
    <w:rsid w:val="006D576A"/>
    <w:rsid w:val="006D5A18"/>
    <w:rsid w:val="006D5E97"/>
    <w:rsid w:val="006D7097"/>
    <w:rsid w:val="006E1479"/>
    <w:rsid w:val="006E1932"/>
    <w:rsid w:val="006E37AA"/>
    <w:rsid w:val="006E4036"/>
    <w:rsid w:val="006E4571"/>
    <w:rsid w:val="006E4633"/>
    <w:rsid w:val="006E4C1C"/>
    <w:rsid w:val="006E4C59"/>
    <w:rsid w:val="006E5455"/>
    <w:rsid w:val="006E60C4"/>
    <w:rsid w:val="006E62F1"/>
    <w:rsid w:val="006E6474"/>
    <w:rsid w:val="006E7C6C"/>
    <w:rsid w:val="006F0A29"/>
    <w:rsid w:val="006F0D8A"/>
    <w:rsid w:val="006F1588"/>
    <w:rsid w:val="006F1622"/>
    <w:rsid w:val="006F263B"/>
    <w:rsid w:val="006F2976"/>
    <w:rsid w:val="006F2A40"/>
    <w:rsid w:val="006F2C8E"/>
    <w:rsid w:val="006F347B"/>
    <w:rsid w:val="006F4B07"/>
    <w:rsid w:val="006F5A45"/>
    <w:rsid w:val="006F60D0"/>
    <w:rsid w:val="006F6ED9"/>
    <w:rsid w:val="006F77A0"/>
    <w:rsid w:val="006F7EEB"/>
    <w:rsid w:val="006F7F7F"/>
    <w:rsid w:val="007005AD"/>
    <w:rsid w:val="00700ECC"/>
    <w:rsid w:val="00701758"/>
    <w:rsid w:val="007027C5"/>
    <w:rsid w:val="00702C9E"/>
    <w:rsid w:val="007032BA"/>
    <w:rsid w:val="00703623"/>
    <w:rsid w:val="00704B63"/>
    <w:rsid w:val="00704B7E"/>
    <w:rsid w:val="00704F23"/>
    <w:rsid w:val="00705420"/>
    <w:rsid w:val="00706554"/>
    <w:rsid w:val="00707C47"/>
    <w:rsid w:val="00710042"/>
    <w:rsid w:val="00710460"/>
    <w:rsid w:val="00710B38"/>
    <w:rsid w:val="00710F2F"/>
    <w:rsid w:val="00711376"/>
    <w:rsid w:val="00711615"/>
    <w:rsid w:val="00711D67"/>
    <w:rsid w:val="00713034"/>
    <w:rsid w:val="00713ACC"/>
    <w:rsid w:val="00713F05"/>
    <w:rsid w:val="0071586D"/>
    <w:rsid w:val="00715B1E"/>
    <w:rsid w:val="00715F3A"/>
    <w:rsid w:val="00716822"/>
    <w:rsid w:val="00716A17"/>
    <w:rsid w:val="00717A77"/>
    <w:rsid w:val="00717F57"/>
    <w:rsid w:val="00720CEF"/>
    <w:rsid w:val="00720FE7"/>
    <w:rsid w:val="00721614"/>
    <w:rsid w:val="0072199D"/>
    <w:rsid w:val="00721F8C"/>
    <w:rsid w:val="00722368"/>
    <w:rsid w:val="00722632"/>
    <w:rsid w:val="00722E56"/>
    <w:rsid w:val="0072394C"/>
    <w:rsid w:val="00724154"/>
    <w:rsid w:val="0072427C"/>
    <w:rsid w:val="0072476A"/>
    <w:rsid w:val="007247B0"/>
    <w:rsid w:val="0072485C"/>
    <w:rsid w:val="0072496F"/>
    <w:rsid w:val="00725616"/>
    <w:rsid w:val="00725CA1"/>
    <w:rsid w:val="007277FC"/>
    <w:rsid w:val="00727C9A"/>
    <w:rsid w:val="00730ED4"/>
    <w:rsid w:val="00731EA4"/>
    <w:rsid w:val="007321C9"/>
    <w:rsid w:val="007325D2"/>
    <w:rsid w:val="00733FD0"/>
    <w:rsid w:val="007345B6"/>
    <w:rsid w:val="00734865"/>
    <w:rsid w:val="007348A3"/>
    <w:rsid w:val="00734ACE"/>
    <w:rsid w:val="00734C06"/>
    <w:rsid w:val="007359F8"/>
    <w:rsid w:val="00740062"/>
    <w:rsid w:val="00740D8E"/>
    <w:rsid w:val="00741683"/>
    <w:rsid w:val="00741F46"/>
    <w:rsid w:val="00741F61"/>
    <w:rsid w:val="00742420"/>
    <w:rsid w:val="0074261F"/>
    <w:rsid w:val="00742677"/>
    <w:rsid w:val="00744191"/>
    <w:rsid w:val="00744450"/>
    <w:rsid w:val="00744E20"/>
    <w:rsid w:val="00745666"/>
    <w:rsid w:val="00746629"/>
    <w:rsid w:val="00747678"/>
    <w:rsid w:val="007478A7"/>
    <w:rsid w:val="00747B7D"/>
    <w:rsid w:val="00750492"/>
    <w:rsid w:val="007517FA"/>
    <w:rsid w:val="00751E66"/>
    <w:rsid w:val="00752190"/>
    <w:rsid w:val="0075224E"/>
    <w:rsid w:val="00752EB2"/>
    <w:rsid w:val="0075325A"/>
    <w:rsid w:val="007539B4"/>
    <w:rsid w:val="00753C04"/>
    <w:rsid w:val="0075547B"/>
    <w:rsid w:val="0075623B"/>
    <w:rsid w:val="00756A9C"/>
    <w:rsid w:val="007572D9"/>
    <w:rsid w:val="007572FE"/>
    <w:rsid w:val="0076036A"/>
    <w:rsid w:val="00761200"/>
    <w:rsid w:val="00762586"/>
    <w:rsid w:val="00762B1A"/>
    <w:rsid w:val="00762E49"/>
    <w:rsid w:val="007639E6"/>
    <w:rsid w:val="00763FF3"/>
    <w:rsid w:val="00764532"/>
    <w:rsid w:val="00764AAB"/>
    <w:rsid w:val="0076540D"/>
    <w:rsid w:val="0076588F"/>
    <w:rsid w:val="00766A29"/>
    <w:rsid w:val="00767888"/>
    <w:rsid w:val="00767B87"/>
    <w:rsid w:val="00767BAB"/>
    <w:rsid w:val="00770AE4"/>
    <w:rsid w:val="007711BF"/>
    <w:rsid w:val="0077152D"/>
    <w:rsid w:val="00771F32"/>
    <w:rsid w:val="007721DE"/>
    <w:rsid w:val="0077245F"/>
    <w:rsid w:val="0077254C"/>
    <w:rsid w:val="00772583"/>
    <w:rsid w:val="00772FAD"/>
    <w:rsid w:val="0077346E"/>
    <w:rsid w:val="00773562"/>
    <w:rsid w:val="00773A29"/>
    <w:rsid w:val="00773E06"/>
    <w:rsid w:val="0077449C"/>
    <w:rsid w:val="0077472F"/>
    <w:rsid w:val="0077487C"/>
    <w:rsid w:val="00774B7C"/>
    <w:rsid w:val="00774C45"/>
    <w:rsid w:val="007766C2"/>
    <w:rsid w:val="00777C23"/>
    <w:rsid w:val="00780B3D"/>
    <w:rsid w:val="007810BA"/>
    <w:rsid w:val="00781218"/>
    <w:rsid w:val="007818C6"/>
    <w:rsid w:val="00781F22"/>
    <w:rsid w:val="00782738"/>
    <w:rsid w:val="00782ACC"/>
    <w:rsid w:val="00782E76"/>
    <w:rsid w:val="00782FBA"/>
    <w:rsid w:val="00783243"/>
    <w:rsid w:val="0078363B"/>
    <w:rsid w:val="0078390C"/>
    <w:rsid w:val="00783B67"/>
    <w:rsid w:val="0078471A"/>
    <w:rsid w:val="00784DE1"/>
    <w:rsid w:val="00785942"/>
    <w:rsid w:val="00785A1B"/>
    <w:rsid w:val="00786048"/>
    <w:rsid w:val="007862DE"/>
    <w:rsid w:val="007864BF"/>
    <w:rsid w:val="00787075"/>
    <w:rsid w:val="007872F6"/>
    <w:rsid w:val="00787DC4"/>
    <w:rsid w:val="007901A9"/>
    <w:rsid w:val="00790386"/>
    <w:rsid w:val="007905E7"/>
    <w:rsid w:val="00790BC6"/>
    <w:rsid w:val="00790F90"/>
    <w:rsid w:val="007914BF"/>
    <w:rsid w:val="00792BA7"/>
    <w:rsid w:val="00792E6A"/>
    <w:rsid w:val="00793009"/>
    <w:rsid w:val="007936F9"/>
    <w:rsid w:val="007940C5"/>
    <w:rsid w:val="00794D7B"/>
    <w:rsid w:val="0079531F"/>
    <w:rsid w:val="007953BF"/>
    <w:rsid w:val="00795778"/>
    <w:rsid w:val="00795AB6"/>
    <w:rsid w:val="00795CD4"/>
    <w:rsid w:val="00796072"/>
    <w:rsid w:val="00797792"/>
    <w:rsid w:val="007A071A"/>
    <w:rsid w:val="007A0CD5"/>
    <w:rsid w:val="007A0E19"/>
    <w:rsid w:val="007A1024"/>
    <w:rsid w:val="007A1331"/>
    <w:rsid w:val="007A21E8"/>
    <w:rsid w:val="007A2D0A"/>
    <w:rsid w:val="007A3303"/>
    <w:rsid w:val="007A344E"/>
    <w:rsid w:val="007A38B5"/>
    <w:rsid w:val="007A431B"/>
    <w:rsid w:val="007A4C77"/>
    <w:rsid w:val="007A500B"/>
    <w:rsid w:val="007A51F4"/>
    <w:rsid w:val="007A5E64"/>
    <w:rsid w:val="007A5E9E"/>
    <w:rsid w:val="007A5F03"/>
    <w:rsid w:val="007A6CAF"/>
    <w:rsid w:val="007A70EE"/>
    <w:rsid w:val="007B0C47"/>
    <w:rsid w:val="007B1FB4"/>
    <w:rsid w:val="007B22BF"/>
    <w:rsid w:val="007B2955"/>
    <w:rsid w:val="007B3B6F"/>
    <w:rsid w:val="007B4756"/>
    <w:rsid w:val="007B4795"/>
    <w:rsid w:val="007B4A0A"/>
    <w:rsid w:val="007B521F"/>
    <w:rsid w:val="007B5785"/>
    <w:rsid w:val="007B5C38"/>
    <w:rsid w:val="007B5D50"/>
    <w:rsid w:val="007B60C0"/>
    <w:rsid w:val="007B6EC8"/>
    <w:rsid w:val="007B795B"/>
    <w:rsid w:val="007C042B"/>
    <w:rsid w:val="007C087B"/>
    <w:rsid w:val="007C1293"/>
    <w:rsid w:val="007C1968"/>
    <w:rsid w:val="007C1B5F"/>
    <w:rsid w:val="007C28F3"/>
    <w:rsid w:val="007C31AF"/>
    <w:rsid w:val="007C37FA"/>
    <w:rsid w:val="007C38C7"/>
    <w:rsid w:val="007C4C60"/>
    <w:rsid w:val="007C572B"/>
    <w:rsid w:val="007C5874"/>
    <w:rsid w:val="007C65FE"/>
    <w:rsid w:val="007C6F8C"/>
    <w:rsid w:val="007C79E0"/>
    <w:rsid w:val="007D042B"/>
    <w:rsid w:val="007D073F"/>
    <w:rsid w:val="007D1A77"/>
    <w:rsid w:val="007D2311"/>
    <w:rsid w:val="007D3071"/>
    <w:rsid w:val="007D30A6"/>
    <w:rsid w:val="007D3306"/>
    <w:rsid w:val="007D3CC0"/>
    <w:rsid w:val="007D40F6"/>
    <w:rsid w:val="007D4A57"/>
    <w:rsid w:val="007D5BE0"/>
    <w:rsid w:val="007D6694"/>
    <w:rsid w:val="007D678F"/>
    <w:rsid w:val="007D6A52"/>
    <w:rsid w:val="007D7314"/>
    <w:rsid w:val="007D7D2F"/>
    <w:rsid w:val="007D7FCB"/>
    <w:rsid w:val="007E0369"/>
    <w:rsid w:val="007E1771"/>
    <w:rsid w:val="007E2081"/>
    <w:rsid w:val="007E2832"/>
    <w:rsid w:val="007E34FB"/>
    <w:rsid w:val="007E3B2C"/>
    <w:rsid w:val="007E3D6E"/>
    <w:rsid w:val="007E56B2"/>
    <w:rsid w:val="007E5F28"/>
    <w:rsid w:val="007E69CA"/>
    <w:rsid w:val="007E7871"/>
    <w:rsid w:val="007E7A66"/>
    <w:rsid w:val="007E7E8E"/>
    <w:rsid w:val="007F0DA7"/>
    <w:rsid w:val="007F0DB2"/>
    <w:rsid w:val="007F0ECE"/>
    <w:rsid w:val="007F18CF"/>
    <w:rsid w:val="007F1A52"/>
    <w:rsid w:val="007F24F7"/>
    <w:rsid w:val="007F25FE"/>
    <w:rsid w:val="007F3026"/>
    <w:rsid w:val="007F403E"/>
    <w:rsid w:val="007F4493"/>
    <w:rsid w:val="007F5FFA"/>
    <w:rsid w:val="007F6097"/>
    <w:rsid w:val="007F6572"/>
    <w:rsid w:val="008033D5"/>
    <w:rsid w:val="008057DA"/>
    <w:rsid w:val="00805B63"/>
    <w:rsid w:val="0080793D"/>
    <w:rsid w:val="00810B47"/>
    <w:rsid w:val="00810DD7"/>
    <w:rsid w:val="00811540"/>
    <w:rsid w:val="008116DF"/>
    <w:rsid w:val="00812801"/>
    <w:rsid w:val="00813480"/>
    <w:rsid w:val="00813702"/>
    <w:rsid w:val="00814E00"/>
    <w:rsid w:val="00815178"/>
    <w:rsid w:val="0081542F"/>
    <w:rsid w:val="008162E7"/>
    <w:rsid w:val="0081707C"/>
    <w:rsid w:val="008174CD"/>
    <w:rsid w:val="00817E7B"/>
    <w:rsid w:val="0082075C"/>
    <w:rsid w:val="0082119C"/>
    <w:rsid w:val="00821585"/>
    <w:rsid w:val="00821DCE"/>
    <w:rsid w:val="00822645"/>
    <w:rsid w:val="008228FF"/>
    <w:rsid w:val="00822DD1"/>
    <w:rsid w:val="00823386"/>
    <w:rsid w:val="008236D2"/>
    <w:rsid w:val="008253AE"/>
    <w:rsid w:val="00825A34"/>
    <w:rsid w:val="0082647A"/>
    <w:rsid w:val="008265C1"/>
    <w:rsid w:val="008268E8"/>
    <w:rsid w:val="00826F11"/>
    <w:rsid w:val="00826F60"/>
    <w:rsid w:val="0082727B"/>
    <w:rsid w:val="00831959"/>
    <w:rsid w:val="00832FD6"/>
    <w:rsid w:val="008338D5"/>
    <w:rsid w:val="00833C14"/>
    <w:rsid w:val="00835815"/>
    <w:rsid w:val="00835C4E"/>
    <w:rsid w:val="00836676"/>
    <w:rsid w:val="00836805"/>
    <w:rsid w:val="00837485"/>
    <w:rsid w:val="0084035F"/>
    <w:rsid w:val="00840623"/>
    <w:rsid w:val="00841A9C"/>
    <w:rsid w:val="008421A1"/>
    <w:rsid w:val="00843007"/>
    <w:rsid w:val="00844A00"/>
    <w:rsid w:val="00844A36"/>
    <w:rsid w:val="00845BE2"/>
    <w:rsid w:val="00846F8D"/>
    <w:rsid w:val="0084735A"/>
    <w:rsid w:val="00847818"/>
    <w:rsid w:val="008508D4"/>
    <w:rsid w:val="00852288"/>
    <w:rsid w:val="0085242B"/>
    <w:rsid w:val="00852C15"/>
    <w:rsid w:val="0085310B"/>
    <w:rsid w:val="00853152"/>
    <w:rsid w:val="008531BD"/>
    <w:rsid w:val="00853665"/>
    <w:rsid w:val="008538A8"/>
    <w:rsid w:val="00854209"/>
    <w:rsid w:val="00854808"/>
    <w:rsid w:val="00857D7F"/>
    <w:rsid w:val="008611AF"/>
    <w:rsid w:val="008615C2"/>
    <w:rsid w:val="0086192C"/>
    <w:rsid w:val="00862715"/>
    <w:rsid w:val="00863028"/>
    <w:rsid w:val="008644EC"/>
    <w:rsid w:val="00864587"/>
    <w:rsid w:val="0086469A"/>
    <w:rsid w:val="00865431"/>
    <w:rsid w:val="00865CB4"/>
    <w:rsid w:val="0086612D"/>
    <w:rsid w:val="00866201"/>
    <w:rsid w:val="00866229"/>
    <w:rsid w:val="00867FEB"/>
    <w:rsid w:val="00871334"/>
    <w:rsid w:val="0087143C"/>
    <w:rsid w:val="008721BA"/>
    <w:rsid w:val="00872952"/>
    <w:rsid w:val="008729C7"/>
    <w:rsid w:val="00873A18"/>
    <w:rsid w:val="00873D7B"/>
    <w:rsid w:val="008741DA"/>
    <w:rsid w:val="008745E4"/>
    <w:rsid w:val="00875A34"/>
    <w:rsid w:val="00876DD0"/>
    <w:rsid w:val="00876E30"/>
    <w:rsid w:val="008773BC"/>
    <w:rsid w:val="00877FA0"/>
    <w:rsid w:val="00880FC6"/>
    <w:rsid w:val="00882948"/>
    <w:rsid w:val="0088323C"/>
    <w:rsid w:val="008844EF"/>
    <w:rsid w:val="0088518B"/>
    <w:rsid w:val="00885B05"/>
    <w:rsid w:val="00885C90"/>
    <w:rsid w:val="00885DDD"/>
    <w:rsid w:val="00885FC6"/>
    <w:rsid w:val="0088621E"/>
    <w:rsid w:val="00886E30"/>
    <w:rsid w:val="00890BDC"/>
    <w:rsid w:val="00891514"/>
    <w:rsid w:val="00891727"/>
    <w:rsid w:val="008940E0"/>
    <w:rsid w:val="00895146"/>
    <w:rsid w:val="008969F1"/>
    <w:rsid w:val="00897158"/>
    <w:rsid w:val="008A08F5"/>
    <w:rsid w:val="008A0D24"/>
    <w:rsid w:val="008A12E2"/>
    <w:rsid w:val="008A1591"/>
    <w:rsid w:val="008A2D1F"/>
    <w:rsid w:val="008A364C"/>
    <w:rsid w:val="008A39BE"/>
    <w:rsid w:val="008A404D"/>
    <w:rsid w:val="008A411B"/>
    <w:rsid w:val="008A4381"/>
    <w:rsid w:val="008A45DA"/>
    <w:rsid w:val="008A5D3B"/>
    <w:rsid w:val="008A5F93"/>
    <w:rsid w:val="008A617C"/>
    <w:rsid w:val="008A674B"/>
    <w:rsid w:val="008A731B"/>
    <w:rsid w:val="008A79EA"/>
    <w:rsid w:val="008B1E3F"/>
    <w:rsid w:val="008B2094"/>
    <w:rsid w:val="008B2679"/>
    <w:rsid w:val="008B2D94"/>
    <w:rsid w:val="008B33E6"/>
    <w:rsid w:val="008B35B1"/>
    <w:rsid w:val="008B44BB"/>
    <w:rsid w:val="008B4998"/>
    <w:rsid w:val="008B4B89"/>
    <w:rsid w:val="008B5556"/>
    <w:rsid w:val="008B6430"/>
    <w:rsid w:val="008B6E4A"/>
    <w:rsid w:val="008B6FD1"/>
    <w:rsid w:val="008B7153"/>
    <w:rsid w:val="008C00BA"/>
    <w:rsid w:val="008C0301"/>
    <w:rsid w:val="008C0F77"/>
    <w:rsid w:val="008C195D"/>
    <w:rsid w:val="008C1D65"/>
    <w:rsid w:val="008C2519"/>
    <w:rsid w:val="008C2A54"/>
    <w:rsid w:val="008C364D"/>
    <w:rsid w:val="008C40F8"/>
    <w:rsid w:val="008C416E"/>
    <w:rsid w:val="008C4286"/>
    <w:rsid w:val="008C4517"/>
    <w:rsid w:val="008C4887"/>
    <w:rsid w:val="008C48D4"/>
    <w:rsid w:val="008C4993"/>
    <w:rsid w:val="008C58F6"/>
    <w:rsid w:val="008C5A8B"/>
    <w:rsid w:val="008C5D0F"/>
    <w:rsid w:val="008C6488"/>
    <w:rsid w:val="008C727F"/>
    <w:rsid w:val="008C77E3"/>
    <w:rsid w:val="008C7A19"/>
    <w:rsid w:val="008D05C0"/>
    <w:rsid w:val="008D0D29"/>
    <w:rsid w:val="008D11C8"/>
    <w:rsid w:val="008D1207"/>
    <w:rsid w:val="008D1C30"/>
    <w:rsid w:val="008D2AAD"/>
    <w:rsid w:val="008D4391"/>
    <w:rsid w:val="008D4C1A"/>
    <w:rsid w:val="008D55CA"/>
    <w:rsid w:val="008D5DFB"/>
    <w:rsid w:val="008D5E6A"/>
    <w:rsid w:val="008D6057"/>
    <w:rsid w:val="008D691F"/>
    <w:rsid w:val="008D6F56"/>
    <w:rsid w:val="008D73FC"/>
    <w:rsid w:val="008D74E2"/>
    <w:rsid w:val="008D756A"/>
    <w:rsid w:val="008D7761"/>
    <w:rsid w:val="008D7A51"/>
    <w:rsid w:val="008D7F50"/>
    <w:rsid w:val="008E06EE"/>
    <w:rsid w:val="008E0D44"/>
    <w:rsid w:val="008E0D78"/>
    <w:rsid w:val="008E157C"/>
    <w:rsid w:val="008E1ADF"/>
    <w:rsid w:val="008E24F8"/>
    <w:rsid w:val="008E28F1"/>
    <w:rsid w:val="008E29DC"/>
    <w:rsid w:val="008E493F"/>
    <w:rsid w:val="008E5456"/>
    <w:rsid w:val="008E6EB3"/>
    <w:rsid w:val="008E7148"/>
    <w:rsid w:val="008F13E2"/>
    <w:rsid w:val="008F1B6E"/>
    <w:rsid w:val="008F1B9E"/>
    <w:rsid w:val="008F1D24"/>
    <w:rsid w:val="008F1E18"/>
    <w:rsid w:val="008F3304"/>
    <w:rsid w:val="008F3838"/>
    <w:rsid w:val="008F49A7"/>
    <w:rsid w:val="008F4EFA"/>
    <w:rsid w:val="008F5890"/>
    <w:rsid w:val="008F74E4"/>
    <w:rsid w:val="00900614"/>
    <w:rsid w:val="00900B45"/>
    <w:rsid w:val="009032B0"/>
    <w:rsid w:val="0090364B"/>
    <w:rsid w:val="009038C8"/>
    <w:rsid w:val="00903A73"/>
    <w:rsid w:val="00903E6E"/>
    <w:rsid w:val="00904930"/>
    <w:rsid w:val="009049CA"/>
    <w:rsid w:val="00905024"/>
    <w:rsid w:val="00905C02"/>
    <w:rsid w:val="009062FC"/>
    <w:rsid w:val="009070C0"/>
    <w:rsid w:val="009071B4"/>
    <w:rsid w:val="00907857"/>
    <w:rsid w:val="009079D7"/>
    <w:rsid w:val="00907B11"/>
    <w:rsid w:val="0091018B"/>
    <w:rsid w:val="00910B35"/>
    <w:rsid w:val="00911164"/>
    <w:rsid w:val="009120F7"/>
    <w:rsid w:val="009126E6"/>
    <w:rsid w:val="00912A58"/>
    <w:rsid w:val="00912CD9"/>
    <w:rsid w:val="00912FD2"/>
    <w:rsid w:val="009132EB"/>
    <w:rsid w:val="009147C8"/>
    <w:rsid w:val="009148E8"/>
    <w:rsid w:val="0091524A"/>
    <w:rsid w:val="009155DA"/>
    <w:rsid w:val="009159A3"/>
    <w:rsid w:val="009162DB"/>
    <w:rsid w:val="00916481"/>
    <w:rsid w:val="0091673A"/>
    <w:rsid w:val="00920477"/>
    <w:rsid w:val="009206AD"/>
    <w:rsid w:val="00920978"/>
    <w:rsid w:val="0092149B"/>
    <w:rsid w:val="00922AE0"/>
    <w:rsid w:val="00923C3F"/>
    <w:rsid w:val="009241ED"/>
    <w:rsid w:val="00924941"/>
    <w:rsid w:val="00924FAB"/>
    <w:rsid w:val="00925947"/>
    <w:rsid w:val="00925B65"/>
    <w:rsid w:val="0092702F"/>
    <w:rsid w:val="009277D8"/>
    <w:rsid w:val="00927D86"/>
    <w:rsid w:val="00930122"/>
    <w:rsid w:val="009308D4"/>
    <w:rsid w:val="00930E7E"/>
    <w:rsid w:val="0093108F"/>
    <w:rsid w:val="00931468"/>
    <w:rsid w:val="00931CC8"/>
    <w:rsid w:val="00932582"/>
    <w:rsid w:val="00932BCD"/>
    <w:rsid w:val="00933183"/>
    <w:rsid w:val="009331A4"/>
    <w:rsid w:val="00933825"/>
    <w:rsid w:val="00934323"/>
    <w:rsid w:val="009350E2"/>
    <w:rsid w:val="009359C0"/>
    <w:rsid w:val="0093615A"/>
    <w:rsid w:val="009361D0"/>
    <w:rsid w:val="0093643D"/>
    <w:rsid w:val="009364E0"/>
    <w:rsid w:val="00936F85"/>
    <w:rsid w:val="00937097"/>
    <w:rsid w:val="009375AD"/>
    <w:rsid w:val="009377B5"/>
    <w:rsid w:val="00937E20"/>
    <w:rsid w:val="00940F00"/>
    <w:rsid w:val="00941039"/>
    <w:rsid w:val="00941143"/>
    <w:rsid w:val="00941285"/>
    <w:rsid w:val="009414CD"/>
    <w:rsid w:val="0094178A"/>
    <w:rsid w:val="0094219D"/>
    <w:rsid w:val="009427C5"/>
    <w:rsid w:val="00942C2F"/>
    <w:rsid w:val="009434F2"/>
    <w:rsid w:val="00944241"/>
    <w:rsid w:val="009443C4"/>
    <w:rsid w:val="00945D67"/>
    <w:rsid w:val="009471B9"/>
    <w:rsid w:val="00947E82"/>
    <w:rsid w:val="00951303"/>
    <w:rsid w:val="009513E8"/>
    <w:rsid w:val="00953859"/>
    <w:rsid w:val="00953F76"/>
    <w:rsid w:val="00954CFE"/>
    <w:rsid w:val="00954DB1"/>
    <w:rsid w:val="00955316"/>
    <w:rsid w:val="00956D7A"/>
    <w:rsid w:val="009575BC"/>
    <w:rsid w:val="009601D7"/>
    <w:rsid w:val="009616FC"/>
    <w:rsid w:val="00961B4C"/>
    <w:rsid w:val="00962862"/>
    <w:rsid w:val="009630A4"/>
    <w:rsid w:val="00963204"/>
    <w:rsid w:val="00963F82"/>
    <w:rsid w:val="00964342"/>
    <w:rsid w:val="00964E9B"/>
    <w:rsid w:val="00965526"/>
    <w:rsid w:val="00965A7D"/>
    <w:rsid w:val="00966035"/>
    <w:rsid w:val="009666E5"/>
    <w:rsid w:val="00966B63"/>
    <w:rsid w:val="009674B0"/>
    <w:rsid w:val="00967BE0"/>
    <w:rsid w:val="00967DEC"/>
    <w:rsid w:val="00967DFE"/>
    <w:rsid w:val="00970A72"/>
    <w:rsid w:val="00970BED"/>
    <w:rsid w:val="009715C8"/>
    <w:rsid w:val="00971F23"/>
    <w:rsid w:val="00972095"/>
    <w:rsid w:val="009725DE"/>
    <w:rsid w:val="00972826"/>
    <w:rsid w:val="00972C42"/>
    <w:rsid w:val="00973D17"/>
    <w:rsid w:val="00974135"/>
    <w:rsid w:val="009755EE"/>
    <w:rsid w:val="009757C3"/>
    <w:rsid w:val="009760EA"/>
    <w:rsid w:val="0097648B"/>
    <w:rsid w:val="00977522"/>
    <w:rsid w:val="009779CA"/>
    <w:rsid w:val="00977C42"/>
    <w:rsid w:val="00977D26"/>
    <w:rsid w:val="00977E2E"/>
    <w:rsid w:val="00980239"/>
    <w:rsid w:val="00980839"/>
    <w:rsid w:val="00981495"/>
    <w:rsid w:val="00981D6F"/>
    <w:rsid w:val="00981E01"/>
    <w:rsid w:val="009827E4"/>
    <w:rsid w:val="009828DA"/>
    <w:rsid w:val="00983FA2"/>
    <w:rsid w:val="00985D40"/>
    <w:rsid w:val="009864EB"/>
    <w:rsid w:val="00986FF9"/>
    <w:rsid w:val="0098772E"/>
    <w:rsid w:val="00987922"/>
    <w:rsid w:val="00987D16"/>
    <w:rsid w:val="00990339"/>
    <w:rsid w:val="00990A9B"/>
    <w:rsid w:val="00990E2D"/>
    <w:rsid w:val="00991256"/>
    <w:rsid w:val="009912D9"/>
    <w:rsid w:val="00992143"/>
    <w:rsid w:val="00992663"/>
    <w:rsid w:val="00992678"/>
    <w:rsid w:val="00992CAB"/>
    <w:rsid w:val="00992DD6"/>
    <w:rsid w:val="00993CC7"/>
    <w:rsid w:val="00993EC0"/>
    <w:rsid w:val="00996A96"/>
    <w:rsid w:val="00996E9C"/>
    <w:rsid w:val="00996F36"/>
    <w:rsid w:val="0099712C"/>
    <w:rsid w:val="00997146"/>
    <w:rsid w:val="009A0BC1"/>
    <w:rsid w:val="009A180E"/>
    <w:rsid w:val="009A2A91"/>
    <w:rsid w:val="009A3406"/>
    <w:rsid w:val="009A3BDD"/>
    <w:rsid w:val="009A5014"/>
    <w:rsid w:val="009A529D"/>
    <w:rsid w:val="009A5E1F"/>
    <w:rsid w:val="009A6157"/>
    <w:rsid w:val="009A616B"/>
    <w:rsid w:val="009A68E3"/>
    <w:rsid w:val="009A6C28"/>
    <w:rsid w:val="009A6EEB"/>
    <w:rsid w:val="009A74B8"/>
    <w:rsid w:val="009A7850"/>
    <w:rsid w:val="009B0419"/>
    <w:rsid w:val="009B090E"/>
    <w:rsid w:val="009B1162"/>
    <w:rsid w:val="009B234A"/>
    <w:rsid w:val="009B251B"/>
    <w:rsid w:val="009B2836"/>
    <w:rsid w:val="009B3D27"/>
    <w:rsid w:val="009B3F47"/>
    <w:rsid w:val="009B40C7"/>
    <w:rsid w:val="009B4E1C"/>
    <w:rsid w:val="009B5DC8"/>
    <w:rsid w:val="009B68E6"/>
    <w:rsid w:val="009B6C49"/>
    <w:rsid w:val="009B6F3D"/>
    <w:rsid w:val="009B71B0"/>
    <w:rsid w:val="009B7674"/>
    <w:rsid w:val="009C0220"/>
    <w:rsid w:val="009C0C14"/>
    <w:rsid w:val="009C1DD0"/>
    <w:rsid w:val="009C295A"/>
    <w:rsid w:val="009C2A2A"/>
    <w:rsid w:val="009C2CBF"/>
    <w:rsid w:val="009C2E88"/>
    <w:rsid w:val="009C2EFC"/>
    <w:rsid w:val="009C5257"/>
    <w:rsid w:val="009C53A4"/>
    <w:rsid w:val="009C5AA3"/>
    <w:rsid w:val="009C6CB7"/>
    <w:rsid w:val="009C6E70"/>
    <w:rsid w:val="009C71EB"/>
    <w:rsid w:val="009C7A02"/>
    <w:rsid w:val="009D09F0"/>
    <w:rsid w:val="009D12EC"/>
    <w:rsid w:val="009D2825"/>
    <w:rsid w:val="009D360F"/>
    <w:rsid w:val="009D479B"/>
    <w:rsid w:val="009D4F19"/>
    <w:rsid w:val="009D53D8"/>
    <w:rsid w:val="009D573C"/>
    <w:rsid w:val="009D6063"/>
    <w:rsid w:val="009D707F"/>
    <w:rsid w:val="009D75C7"/>
    <w:rsid w:val="009E0781"/>
    <w:rsid w:val="009E1298"/>
    <w:rsid w:val="009E1660"/>
    <w:rsid w:val="009E18D6"/>
    <w:rsid w:val="009E1B1A"/>
    <w:rsid w:val="009E28E3"/>
    <w:rsid w:val="009E2B97"/>
    <w:rsid w:val="009E323A"/>
    <w:rsid w:val="009E3396"/>
    <w:rsid w:val="009E3498"/>
    <w:rsid w:val="009E3E3E"/>
    <w:rsid w:val="009E4657"/>
    <w:rsid w:val="009E46EA"/>
    <w:rsid w:val="009E4750"/>
    <w:rsid w:val="009E4E44"/>
    <w:rsid w:val="009E4F75"/>
    <w:rsid w:val="009E523E"/>
    <w:rsid w:val="009E6216"/>
    <w:rsid w:val="009E79F2"/>
    <w:rsid w:val="009E7B88"/>
    <w:rsid w:val="009E7F5B"/>
    <w:rsid w:val="009F0737"/>
    <w:rsid w:val="009F1C78"/>
    <w:rsid w:val="009F2030"/>
    <w:rsid w:val="009F21A3"/>
    <w:rsid w:val="009F341B"/>
    <w:rsid w:val="009F3925"/>
    <w:rsid w:val="009F4045"/>
    <w:rsid w:val="009F41C8"/>
    <w:rsid w:val="009F45CC"/>
    <w:rsid w:val="009F46E9"/>
    <w:rsid w:val="009F4AF7"/>
    <w:rsid w:val="009F4FA2"/>
    <w:rsid w:val="009F516E"/>
    <w:rsid w:val="009F5219"/>
    <w:rsid w:val="009F5416"/>
    <w:rsid w:val="009F5437"/>
    <w:rsid w:val="009F54B8"/>
    <w:rsid w:val="009F7176"/>
    <w:rsid w:val="009F7775"/>
    <w:rsid w:val="009F7DFA"/>
    <w:rsid w:val="00A002AC"/>
    <w:rsid w:val="00A01189"/>
    <w:rsid w:val="00A01801"/>
    <w:rsid w:val="00A01ABE"/>
    <w:rsid w:val="00A03362"/>
    <w:rsid w:val="00A03584"/>
    <w:rsid w:val="00A03800"/>
    <w:rsid w:val="00A04056"/>
    <w:rsid w:val="00A041D7"/>
    <w:rsid w:val="00A04982"/>
    <w:rsid w:val="00A049F2"/>
    <w:rsid w:val="00A04B51"/>
    <w:rsid w:val="00A04C24"/>
    <w:rsid w:val="00A06025"/>
    <w:rsid w:val="00A1008D"/>
    <w:rsid w:val="00A10729"/>
    <w:rsid w:val="00A10DE1"/>
    <w:rsid w:val="00A10FCE"/>
    <w:rsid w:val="00A127E5"/>
    <w:rsid w:val="00A12AFE"/>
    <w:rsid w:val="00A12CCE"/>
    <w:rsid w:val="00A13859"/>
    <w:rsid w:val="00A13ED3"/>
    <w:rsid w:val="00A140B1"/>
    <w:rsid w:val="00A141CE"/>
    <w:rsid w:val="00A14D6F"/>
    <w:rsid w:val="00A14E17"/>
    <w:rsid w:val="00A155A6"/>
    <w:rsid w:val="00A15656"/>
    <w:rsid w:val="00A159B4"/>
    <w:rsid w:val="00A179B1"/>
    <w:rsid w:val="00A20837"/>
    <w:rsid w:val="00A20BCD"/>
    <w:rsid w:val="00A222D3"/>
    <w:rsid w:val="00A23422"/>
    <w:rsid w:val="00A239FC"/>
    <w:rsid w:val="00A23B27"/>
    <w:rsid w:val="00A247E6"/>
    <w:rsid w:val="00A25C35"/>
    <w:rsid w:val="00A25E33"/>
    <w:rsid w:val="00A26940"/>
    <w:rsid w:val="00A2764F"/>
    <w:rsid w:val="00A27970"/>
    <w:rsid w:val="00A3100F"/>
    <w:rsid w:val="00A310BD"/>
    <w:rsid w:val="00A31432"/>
    <w:rsid w:val="00A31DFF"/>
    <w:rsid w:val="00A3233E"/>
    <w:rsid w:val="00A32E4B"/>
    <w:rsid w:val="00A33C56"/>
    <w:rsid w:val="00A33DF2"/>
    <w:rsid w:val="00A33FF3"/>
    <w:rsid w:val="00A34C0B"/>
    <w:rsid w:val="00A34F09"/>
    <w:rsid w:val="00A352A5"/>
    <w:rsid w:val="00A356E4"/>
    <w:rsid w:val="00A35B4A"/>
    <w:rsid w:val="00A3619B"/>
    <w:rsid w:val="00A37322"/>
    <w:rsid w:val="00A404E4"/>
    <w:rsid w:val="00A40935"/>
    <w:rsid w:val="00A41C17"/>
    <w:rsid w:val="00A4225D"/>
    <w:rsid w:val="00A42657"/>
    <w:rsid w:val="00A42976"/>
    <w:rsid w:val="00A430F6"/>
    <w:rsid w:val="00A4314D"/>
    <w:rsid w:val="00A4348F"/>
    <w:rsid w:val="00A437BF"/>
    <w:rsid w:val="00A438B6"/>
    <w:rsid w:val="00A443A9"/>
    <w:rsid w:val="00A44AE1"/>
    <w:rsid w:val="00A4553B"/>
    <w:rsid w:val="00A45925"/>
    <w:rsid w:val="00A46CAE"/>
    <w:rsid w:val="00A47BBD"/>
    <w:rsid w:val="00A50000"/>
    <w:rsid w:val="00A509EF"/>
    <w:rsid w:val="00A50C14"/>
    <w:rsid w:val="00A510E5"/>
    <w:rsid w:val="00A512A4"/>
    <w:rsid w:val="00A51CBB"/>
    <w:rsid w:val="00A52573"/>
    <w:rsid w:val="00A531AA"/>
    <w:rsid w:val="00A537FB"/>
    <w:rsid w:val="00A53D65"/>
    <w:rsid w:val="00A544A7"/>
    <w:rsid w:val="00A56BDD"/>
    <w:rsid w:val="00A57653"/>
    <w:rsid w:val="00A57DF3"/>
    <w:rsid w:val="00A60359"/>
    <w:rsid w:val="00A6046D"/>
    <w:rsid w:val="00A6156A"/>
    <w:rsid w:val="00A620BA"/>
    <w:rsid w:val="00A6261F"/>
    <w:rsid w:val="00A626B8"/>
    <w:rsid w:val="00A626C8"/>
    <w:rsid w:val="00A62E85"/>
    <w:rsid w:val="00A63E0A"/>
    <w:rsid w:val="00A652E3"/>
    <w:rsid w:val="00A67823"/>
    <w:rsid w:val="00A67FBA"/>
    <w:rsid w:val="00A71EEC"/>
    <w:rsid w:val="00A72376"/>
    <w:rsid w:val="00A723D4"/>
    <w:rsid w:val="00A72B30"/>
    <w:rsid w:val="00A732D9"/>
    <w:rsid w:val="00A7437E"/>
    <w:rsid w:val="00A74ABC"/>
    <w:rsid w:val="00A74FB7"/>
    <w:rsid w:val="00A759E1"/>
    <w:rsid w:val="00A764C8"/>
    <w:rsid w:val="00A769A8"/>
    <w:rsid w:val="00A77634"/>
    <w:rsid w:val="00A77DEF"/>
    <w:rsid w:val="00A8079A"/>
    <w:rsid w:val="00A844CE"/>
    <w:rsid w:val="00A84B6C"/>
    <w:rsid w:val="00A862FB"/>
    <w:rsid w:val="00A8665D"/>
    <w:rsid w:val="00A8682E"/>
    <w:rsid w:val="00A90236"/>
    <w:rsid w:val="00A904C9"/>
    <w:rsid w:val="00A90662"/>
    <w:rsid w:val="00A90977"/>
    <w:rsid w:val="00A91733"/>
    <w:rsid w:val="00A931DB"/>
    <w:rsid w:val="00A93763"/>
    <w:rsid w:val="00A93771"/>
    <w:rsid w:val="00A93B9F"/>
    <w:rsid w:val="00A94580"/>
    <w:rsid w:val="00A948A3"/>
    <w:rsid w:val="00A96883"/>
    <w:rsid w:val="00A968D8"/>
    <w:rsid w:val="00AA05D8"/>
    <w:rsid w:val="00AA2B0A"/>
    <w:rsid w:val="00AA442F"/>
    <w:rsid w:val="00AA5AE2"/>
    <w:rsid w:val="00AB00C8"/>
    <w:rsid w:val="00AB0FC2"/>
    <w:rsid w:val="00AB1575"/>
    <w:rsid w:val="00AB3160"/>
    <w:rsid w:val="00AB31C7"/>
    <w:rsid w:val="00AB41E0"/>
    <w:rsid w:val="00AB47F7"/>
    <w:rsid w:val="00AB4B56"/>
    <w:rsid w:val="00AB5089"/>
    <w:rsid w:val="00AB5781"/>
    <w:rsid w:val="00AB58CF"/>
    <w:rsid w:val="00AB65F5"/>
    <w:rsid w:val="00AB77E3"/>
    <w:rsid w:val="00AB796C"/>
    <w:rsid w:val="00AB7C3E"/>
    <w:rsid w:val="00AB7FB3"/>
    <w:rsid w:val="00AC0429"/>
    <w:rsid w:val="00AC0A09"/>
    <w:rsid w:val="00AC1700"/>
    <w:rsid w:val="00AC2B4E"/>
    <w:rsid w:val="00AC33E0"/>
    <w:rsid w:val="00AC356E"/>
    <w:rsid w:val="00AC377D"/>
    <w:rsid w:val="00AC40EF"/>
    <w:rsid w:val="00AC4F5A"/>
    <w:rsid w:val="00AC5D89"/>
    <w:rsid w:val="00AC6760"/>
    <w:rsid w:val="00AC6E58"/>
    <w:rsid w:val="00AC6F87"/>
    <w:rsid w:val="00AC7167"/>
    <w:rsid w:val="00AC7EFC"/>
    <w:rsid w:val="00AD0A5A"/>
    <w:rsid w:val="00AD0C1C"/>
    <w:rsid w:val="00AD172D"/>
    <w:rsid w:val="00AD186C"/>
    <w:rsid w:val="00AD1DB9"/>
    <w:rsid w:val="00AD20B7"/>
    <w:rsid w:val="00AD3B13"/>
    <w:rsid w:val="00AD424A"/>
    <w:rsid w:val="00AD48DC"/>
    <w:rsid w:val="00AD5AE9"/>
    <w:rsid w:val="00AD756F"/>
    <w:rsid w:val="00AD7CEC"/>
    <w:rsid w:val="00AE0D46"/>
    <w:rsid w:val="00AE1A82"/>
    <w:rsid w:val="00AE1AAE"/>
    <w:rsid w:val="00AE20B0"/>
    <w:rsid w:val="00AE251F"/>
    <w:rsid w:val="00AE285F"/>
    <w:rsid w:val="00AE2AC6"/>
    <w:rsid w:val="00AE2BC0"/>
    <w:rsid w:val="00AE2C65"/>
    <w:rsid w:val="00AE30FD"/>
    <w:rsid w:val="00AE4067"/>
    <w:rsid w:val="00AE43CA"/>
    <w:rsid w:val="00AE48CD"/>
    <w:rsid w:val="00AE54C3"/>
    <w:rsid w:val="00AE59CE"/>
    <w:rsid w:val="00AE68CC"/>
    <w:rsid w:val="00AE6907"/>
    <w:rsid w:val="00AE6A8F"/>
    <w:rsid w:val="00AE716B"/>
    <w:rsid w:val="00AE7BA4"/>
    <w:rsid w:val="00AF07AD"/>
    <w:rsid w:val="00AF0DEE"/>
    <w:rsid w:val="00AF10D6"/>
    <w:rsid w:val="00AF11A0"/>
    <w:rsid w:val="00AF35A1"/>
    <w:rsid w:val="00AF36A1"/>
    <w:rsid w:val="00AF38BC"/>
    <w:rsid w:val="00AF4CA3"/>
    <w:rsid w:val="00AF504B"/>
    <w:rsid w:val="00AF53EA"/>
    <w:rsid w:val="00AF58AA"/>
    <w:rsid w:val="00AF601F"/>
    <w:rsid w:val="00AF66DF"/>
    <w:rsid w:val="00B0046B"/>
    <w:rsid w:val="00B00470"/>
    <w:rsid w:val="00B01051"/>
    <w:rsid w:val="00B02919"/>
    <w:rsid w:val="00B0334C"/>
    <w:rsid w:val="00B04293"/>
    <w:rsid w:val="00B04D05"/>
    <w:rsid w:val="00B06C8E"/>
    <w:rsid w:val="00B072A2"/>
    <w:rsid w:val="00B072BB"/>
    <w:rsid w:val="00B07311"/>
    <w:rsid w:val="00B0754C"/>
    <w:rsid w:val="00B07673"/>
    <w:rsid w:val="00B077C0"/>
    <w:rsid w:val="00B07FBC"/>
    <w:rsid w:val="00B102EC"/>
    <w:rsid w:val="00B103B1"/>
    <w:rsid w:val="00B11395"/>
    <w:rsid w:val="00B11501"/>
    <w:rsid w:val="00B11E5B"/>
    <w:rsid w:val="00B1289E"/>
    <w:rsid w:val="00B12D8A"/>
    <w:rsid w:val="00B136A2"/>
    <w:rsid w:val="00B14806"/>
    <w:rsid w:val="00B151EF"/>
    <w:rsid w:val="00B15882"/>
    <w:rsid w:val="00B158EB"/>
    <w:rsid w:val="00B158F6"/>
    <w:rsid w:val="00B15ABB"/>
    <w:rsid w:val="00B15BDE"/>
    <w:rsid w:val="00B16012"/>
    <w:rsid w:val="00B16166"/>
    <w:rsid w:val="00B179FD"/>
    <w:rsid w:val="00B17F07"/>
    <w:rsid w:val="00B207BF"/>
    <w:rsid w:val="00B207F0"/>
    <w:rsid w:val="00B20AB8"/>
    <w:rsid w:val="00B20B25"/>
    <w:rsid w:val="00B21135"/>
    <w:rsid w:val="00B22335"/>
    <w:rsid w:val="00B223F5"/>
    <w:rsid w:val="00B227BE"/>
    <w:rsid w:val="00B22EB9"/>
    <w:rsid w:val="00B23573"/>
    <w:rsid w:val="00B244AA"/>
    <w:rsid w:val="00B247D7"/>
    <w:rsid w:val="00B248CC"/>
    <w:rsid w:val="00B25397"/>
    <w:rsid w:val="00B25688"/>
    <w:rsid w:val="00B25BF2"/>
    <w:rsid w:val="00B25CAF"/>
    <w:rsid w:val="00B265D1"/>
    <w:rsid w:val="00B26CB3"/>
    <w:rsid w:val="00B2785D"/>
    <w:rsid w:val="00B30766"/>
    <w:rsid w:val="00B31B8C"/>
    <w:rsid w:val="00B33909"/>
    <w:rsid w:val="00B34EAF"/>
    <w:rsid w:val="00B36FEF"/>
    <w:rsid w:val="00B37096"/>
    <w:rsid w:val="00B37160"/>
    <w:rsid w:val="00B37CC7"/>
    <w:rsid w:val="00B408C0"/>
    <w:rsid w:val="00B409F4"/>
    <w:rsid w:val="00B41238"/>
    <w:rsid w:val="00B414A3"/>
    <w:rsid w:val="00B4214A"/>
    <w:rsid w:val="00B43222"/>
    <w:rsid w:val="00B444F2"/>
    <w:rsid w:val="00B44A53"/>
    <w:rsid w:val="00B455C2"/>
    <w:rsid w:val="00B456CB"/>
    <w:rsid w:val="00B458F8"/>
    <w:rsid w:val="00B458FF"/>
    <w:rsid w:val="00B45E03"/>
    <w:rsid w:val="00B46008"/>
    <w:rsid w:val="00B46111"/>
    <w:rsid w:val="00B46A2F"/>
    <w:rsid w:val="00B46B6F"/>
    <w:rsid w:val="00B508DE"/>
    <w:rsid w:val="00B50B30"/>
    <w:rsid w:val="00B50BE5"/>
    <w:rsid w:val="00B50BE7"/>
    <w:rsid w:val="00B51C51"/>
    <w:rsid w:val="00B5211B"/>
    <w:rsid w:val="00B52778"/>
    <w:rsid w:val="00B55311"/>
    <w:rsid w:val="00B5564B"/>
    <w:rsid w:val="00B56253"/>
    <w:rsid w:val="00B56D11"/>
    <w:rsid w:val="00B57C46"/>
    <w:rsid w:val="00B6110B"/>
    <w:rsid w:val="00B61EA3"/>
    <w:rsid w:val="00B61F56"/>
    <w:rsid w:val="00B6295A"/>
    <w:rsid w:val="00B62DEF"/>
    <w:rsid w:val="00B6304B"/>
    <w:rsid w:val="00B63060"/>
    <w:rsid w:val="00B63682"/>
    <w:rsid w:val="00B63845"/>
    <w:rsid w:val="00B63F41"/>
    <w:rsid w:val="00B64822"/>
    <w:rsid w:val="00B65751"/>
    <w:rsid w:val="00B658B6"/>
    <w:rsid w:val="00B66253"/>
    <w:rsid w:val="00B70411"/>
    <w:rsid w:val="00B706FB"/>
    <w:rsid w:val="00B70BAC"/>
    <w:rsid w:val="00B727A3"/>
    <w:rsid w:val="00B73885"/>
    <w:rsid w:val="00B74476"/>
    <w:rsid w:val="00B746A0"/>
    <w:rsid w:val="00B74772"/>
    <w:rsid w:val="00B74AF8"/>
    <w:rsid w:val="00B751BA"/>
    <w:rsid w:val="00B75306"/>
    <w:rsid w:val="00B756A3"/>
    <w:rsid w:val="00B756E6"/>
    <w:rsid w:val="00B759FC"/>
    <w:rsid w:val="00B75BE3"/>
    <w:rsid w:val="00B76222"/>
    <w:rsid w:val="00B77100"/>
    <w:rsid w:val="00B777FE"/>
    <w:rsid w:val="00B77A47"/>
    <w:rsid w:val="00B80459"/>
    <w:rsid w:val="00B805CA"/>
    <w:rsid w:val="00B80F73"/>
    <w:rsid w:val="00B81EEF"/>
    <w:rsid w:val="00B8221F"/>
    <w:rsid w:val="00B829DF"/>
    <w:rsid w:val="00B833D0"/>
    <w:rsid w:val="00B834D4"/>
    <w:rsid w:val="00B83627"/>
    <w:rsid w:val="00B83B61"/>
    <w:rsid w:val="00B8435C"/>
    <w:rsid w:val="00B845CE"/>
    <w:rsid w:val="00B846C5"/>
    <w:rsid w:val="00B849AE"/>
    <w:rsid w:val="00B8526C"/>
    <w:rsid w:val="00B85441"/>
    <w:rsid w:val="00B858A4"/>
    <w:rsid w:val="00B86029"/>
    <w:rsid w:val="00B86E36"/>
    <w:rsid w:val="00B87B0E"/>
    <w:rsid w:val="00B87D4A"/>
    <w:rsid w:val="00B900BC"/>
    <w:rsid w:val="00B90312"/>
    <w:rsid w:val="00B91032"/>
    <w:rsid w:val="00B91093"/>
    <w:rsid w:val="00B91446"/>
    <w:rsid w:val="00B917EC"/>
    <w:rsid w:val="00B9253E"/>
    <w:rsid w:val="00B928F7"/>
    <w:rsid w:val="00B92980"/>
    <w:rsid w:val="00B92999"/>
    <w:rsid w:val="00B94201"/>
    <w:rsid w:val="00B94C96"/>
    <w:rsid w:val="00B955E3"/>
    <w:rsid w:val="00B95EB1"/>
    <w:rsid w:val="00B97526"/>
    <w:rsid w:val="00B97C1E"/>
    <w:rsid w:val="00BA0314"/>
    <w:rsid w:val="00BA0373"/>
    <w:rsid w:val="00BA2983"/>
    <w:rsid w:val="00BA2C5B"/>
    <w:rsid w:val="00BA4D61"/>
    <w:rsid w:val="00BA66B1"/>
    <w:rsid w:val="00BA7D8C"/>
    <w:rsid w:val="00BB0D70"/>
    <w:rsid w:val="00BB0EFC"/>
    <w:rsid w:val="00BB1007"/>
    <w:rsid w:val="00BB162F"/>
    <w:rsid w:val="00BB1C6A"/>
    <w:rsid w:val="00BB22FD"/>
    <w:rsid w:val="00BB2C86"/>
    <w:rsid w:val="00BB318F"/>
    <w:rsid w:val="00BB35E9"/>
    <w:rsid w:val="00BB38F1"/>
    <w:rsid w:val="00BB39C9"/>
    <w:rsid w:val="00BB3F4F"/>
    <w:rsid w:val="00BB42E1"/>
    <w:rsid w:val="00BB4419"/>
    <w:rsid w:val="00BB4520"/>
    <w:rsid w:val="00BB49E9"/>
    <w:rsid w:val="00BB5966"/>
    <w:rsid w:val="00BB5B58"/>
    <w:rsid w:val="00BB637C"/>
    <w:rsid w:val="00BB7C21"/>
    <w:rsid w:val="00BC0668"/>
    <w:rsid w:val="00BC0A7D"/>
    <w:rsid w:val="00BC11C6"/>
    <w:rsid w:val="00BC23A0"/>
    <w:rsid w:val="00BC23A1"/>
    <w:rsid w:val="00BC24EC"/>
    <w:rsid w:val="00BC27B9"/>
    <w:rsid w:val="00BC34F7"/>
    <w:rsid w:val="00BC366B"/>
    <w:rsid w:val="00BC371E"/>
    <w:rsid w:val="00BC39FE"/>
    <w:rsid w:val="00BC3D03"/>
    <w:rsid w:val="00BC3DE5"/>
    <w:rsid w:val="00BC4294"/>
    <w:rsid w:val="00BC4A8A"/>
    <w:rsid w:val="00BC4FE9"/>
    <w:rsid w:val="00BC501E"/>
    <w:rsid w:val="00BC56E6"/>
    <w:rsid w:val="00BC5EB0"/>
    <w:rsid w:val="00BC67E6"/>
    <w:rsid w:val="00BC6B2B"/>
    <w:rsid w:val="00BC6B45"/>
    <w:rsid w:val="00BC7166"/>
    <w:rsid w:val="00BC797E"/>
    <w:rsid w:val="00BC7B29"/>
    <w:rsid w:val="00BC7C00"/>
    <w:rsid w:val="00BD06EA"/>
    <w:rsid w:val="00BD08FD"/>
    <w:rsid w:val="00BD14D8"/>
    <w:rsid w:val="00BD25E1"/>
    <w:rsid w:val="00BD2EF8"/>
    <w:rsid w:val="00BD3EAC"/>
    <w:rsid w:val="00BD3EE0"/>
    <w:rsid w:val="00BD401E"/>
    <w:rsid w:val="00BD4235"/>
    <w:rsid w:val="00BD4282"/>
    <w:rsid w:val="00BD4B13"/>
    <w:rsid w:val="00BD698D"/>
    <w:rsid w:val="00BD6C64"/>
    <w:rsid w:val="00BD73C9"/>
    <w:rsid w:val="00BE1D0B"/>
    <w:rsid w:val="00BE1F9E"/>
    <w:rsid w:val="00BE2611"/>
    <w:rsid w:val="00BE3A58"/>
    <w:rsid w:val="00BE46BE"/>
    <w:rsid w:val="00BE487C"/>
    <w:rsid w:val="00BE5176"/>
    <w:rsid w:val="00BE5A82"/>
    <w:rsid w:val="00BE5EA4"/>
    <w:rsid w:val="00BE6C3D"/>
    <w:rsid w:val="00BE7E7A"/>
    <w:rsid w:val="00BF1740"/>
    <w:rsid w:val="00BF312E"/>
    <w:rsid w:val="00BF360A"/>
    <w:rsid w:val="00BF444D"/>
    <w:rsid w:val="00BF4628"/>
    <w:rsid w:val="00BF495B"/>
    <w:rsid w:val="00BF51E8"/>
    <w:rsid w:val="00BF6228"/>
    <w:rsid w:val="00BF7FED"/>
    <w:rsid w:val="00C00004"/>
    <w:rsid w:val="00C00D80"/>
    <w:rsid w:val="00C01240"/>
    <w:rsid w:val="00C01BAE"/>
    <w:rsid w:val="00C01BFE"/>
    <w:rsid w:val="00C03B41"/>
    <w:rsid w:val="00C04D23"/>
    <w:rsid w:val="00C04D58"/>
    <w:rsid w:val="00C04F9B"/>
    <w:rsid w:val="00C0521B"/>
    <w:rsid w:val="00C05939"/>
    <w:rsid w:val="00C05E35"/>
    <w:rsid w:val="00C065CA"/>
    <w:rsid w:val="00C06AAF"/>
    <w:rsid w:val="00C07363"/>
    <w:rsid w:val="00C078EE"/>
    <w:rsid w:val="00C079A1"/>
    <w:rsid w:val="00C07F61"/>
    <w:rsid w:val="00C106C0"/>
    <w:rsid w:val="00C107BF"/>
    <w:rsid w:val="00C10A04"/>
    <w:rsid w:val="00C10B02"/>
    <w:rsid w:val="00C10F9B"/>
    <w:rsid w:val="00C11947"/>
    <w:rsid w:val="00C1235C"/>
    <w:rsid w:val="00C126C0"/>
    <w:rsid w:val="00C133DF"/>
    <w:rsid w:val="00C13D03"/>
    <w:rsid w:val="00C14EB4"/>
    <w:rsid w:val="00C15539"/>
    <w:rsid w:val="00C1670F"/>
    <w:rsid w:val="00C17408"/>
    <w:rsid w:val="00C20C25"/>
    <w:rsid w:val="00C212D1"/>
    <w:rsid w:val="00C21759"/>
    <w:rsid w:val="00C2177D"/>
    <w:rsid w:val="00C21C79"/>
    <w:rsid w:val="00C21C7C"/>
    <w:rsid w:val="00C21CD0"/>
    <w:rsid w:val="00C2251A"/>
    <w:rsid w:val="00C2281E"/>
    <w:rsid w:val="00C22C4F"/>
    <w:rsid w:val="00C2308F"/>
    <w:rsid w:val="00C23924"/>
    <w:rsid w:val="00C24622"/>
    <w:rsid w:val="00C24F0D"/>
    <w:rsid w:val="00C25528"/>
    <w:rsid w:val="00C27AFA"/>
    <w:rsid w:val="00C27C0B"/>
    <w:rsid w:val="00C27DD2"/>
    <w:rsid w:val="00C307CE"/>
    <w:rsid w:val="00C31351"/>
    <w:rsid w:val="00C316A8"/>
    <w:rsid w:val="00C320CB"/>
    <w:rsid w:val="00C32186"/>
    <w:rsid w:val="00C32800"/>
    <w:rsid w:val="00C340F5"/>
    <w:rsid w:val="00C3466C"/>
    <w:rsid w:val="00C34934"/>
    <w:rsid w:val="00C34DEC"/>
    <w:rsid w:val="00C352F8"/>
    <w:rsid w:val="00C35AFC"/>
    <w:rsid w:val="00C35E3D"/>
    <w:rsid w:val="00C36281"/>
    <w:rsid w:val="00C369D7"/>
    <w:rsid w:val="00C36BC1"/>
    <w:rsid w:val="00C36D15"/>
    <w:rsid w:val="00C40616"/>
    <w:rsid w:val="00C40AB4"/>
    <w:rsid w:val="00C431C3"/>
    <w:rsid w:val="00C44FBE"/>
    <w:rsid w:val="00C455C7"/>
    <w:rsid w:val="00C45979"/>
    <w:rsid w:val="00C45EAC"/>
    <w:rsid w:val="00C467A5"/>
    <w:rsid w:val="00C4682B"/>
    <w:rsid w:val="00C473BD"/>
    <w:rsid w:val="00C478E1"/>
    <w:rsid w:val="00C505E9"/>
    <w:rsid w:val="00C51B03"/>
    <w:rsid w:val="00C51E38"/>
    <w:rsid w:val="00C5210C"/>
    <w:rsid w:val="00C529CE"/>
    <w:rsid w:val="00C536F0"/>
    <w:rsid w:val="00C53CB6"/>
    <w:rsid w:val="00C53FF3"/>
    <w:rsid w:val="00C543CC"/>
    <w:rsid w:val="00C547C7"/>
    <w:rsid w:val="00C54F22"/>
    <w:rsid w:val="00C555EB"/>
    <w:rsid w:val="00C56B0B"/>
    <w:rsid w:val="00C57B32"/>
    <w:rsid w:val="00C6062A"/>
    <w:rsid w:val="00C61813"/>
    <w:rsid w:val="00C61822"/>
    <w:rsid w:val="00C62350"/>
    <w:rsid w:val="00C62387"/>
    <w:rsid w:val="00C625EF"/>
    <w:rsid w:val="00C62F66"/>
    <w:rsid w:val="00C63232"/>
    <w:rsid w:val="00C63A29"/>
    <w:rsid w:val="00C6405C"/>
    <w:rsid w:val="00C64093"/>
    <w:rsid w:val="00C65492"/>
    <w:rsid w:val="00C65664"/>
    <w:rsid w:val="00C656AC"/>
    <w:rsid w:val="00C66002"/>
    <w:rsid w:val="00C66163"/>
    <w:rsid w:val="00C66918"/>
    <w:rsid w:val="00C66944"/>
    <w:rsid w:val="00C66AB0"/>
    <w:rsid w:val="00C66EBD"/>
    <w:rsid w:val="00C67A7B"/>
    <w:rsid w:val="00C67E90"/>
    <w:rsid w:val="00C706D3"/>
    <w:rsid w:val="00C70F93"/>
    <w:rsid w:val="00C71F20"/>
    <w:rsid w:val="00C7231C"/>
    <w:rsid w:val="00C72AD2"/>
    <w:rsid w:val="00C73BA3"/>
    <w:rsid w:val="00C73ED1"/>
    <w:rsid w:val="00C74660"/>
    <w:rsid w:val="00C74AAB"/>
    <w:rsid w:val="00C74CD2"/>
    <w:rsid w:val="00C75474"/>
    <w:rsid w:val="00C772A6"/>
    <w:rsid w:val="00C77A53"/>
    <w:rsid w:val="00C80D55"/>
    <w:rsid w:val="00C82566"/>
    <w:rsid w:val="00C82A4E"/>
    <w:rsid w:val="00C84089"/>
    <w:rsid w:val="00C84866"/>
    <w:rsid w:val="00C84F89"/>
    <w:rsid w:val="00C858BE"/>
    <w:rsid w:val="00C85AE4"/>
    <w:rsid w:val="00C90115"/>
    <w:rsid w:val="00C909D1"/>
    <w:rsid w:val="00C91312"/>
    <w:rsid w:val="00C9179C"/>
    <w:rsid w:val="00C9184B"/>
    <w:rsid w:val="00C92582"/>
    <w:rsid w:val="00C92786"/>
    <w:rsid w:val="00C932B7"/>
    <w:rsid w:val="00C9389C"/>
    <w:rsid w:val="00C947DF"/>
    <w:rsid w:val="00C9480B"/>
    <w:rsid w:val="00C95179"/>
    <w:rsid w:val="00C956B1"/>
    <w:rsid w:val="00C95983"/>
    <w:rsid w:val="00C959AA"/>
    <w:rsid w:val="00C95FB0"/>
    <w:rsid w:val="00C9701B"/>
    <w:rsid w:val="00CA1727"/>
    <w:rsid w:val="00CA19CE"/>
    <w:rsid w:val="00CA253B"/>
    <w:rsid w:val="00CA2760"/>
    <w:rsid w:val="00CA2EB2"/>
    <w:rsid w:val="00CA36C3"/>
    <w:rsid w:val="00CA36ED"/>
    <w:rsid w:val="00CA3C10"/>
    <w:rsid w:val="00CA4C5F"/>
    <w:rsid w:val="00CA4E22"/>
    <w:rsid w:val="00CA4F5C"/>
    <w:rsid w:val="00CA52C9"/>
    <w:rsid w:val="00CA53D1"/>
    <w:rsid w:val="00CA5B56"/>
    <w:rsid w:val="00CA68DC"/>
    <w:rsid w:val="00CA7353"/>
    <w:rsid w:val="00CA7CBE"/>
    <w:rsid w:val="00CA7E46"/>
    <w:rsid w:val="00CA7E59"/>
    <w:rsid w:val="00CB0058"/>
    <w:rsid w:val="00CB05E0"/>
    <w:rsid w:val="00CB0C98"/>
    <w:rsid w:val="00CB1226"/>
    <w:rsid w:val="00CB2EC7"/>
    <w:rsid w:val="00CB300D"/>
    <w:rsid w:val="00CB3560"/>
    <w:rsid w:val="00CB3894"/>
    <w:rsid w:val="00CB4089"/>
    <w:rsid w:val="00CB4251"/>
    <w:rsid w:val="00CB49D5"/>
    <w:rsid w:val="00CB5CA8"/>
    <w:rsid w:val="00CB757D"/>
    <w:rsid w:val="00CC02C9"/>
    <w:rsid w:val="00CC054F"/>
    <w:rsid w:val="00CC06F6"/>
    <w:rsid w:val="00CC0706"/>
    <w:rsid w:val="00CC177F"/>
    <w:rsid w:val="00CC1B04"/>
    <w:rsid w:val="00CC1CB7"/>
    <w:rsid w:val="00CC278F"/>
    <w:rsid w:val="00CC281E"/>
    <w:rsid w:val="00CC293E"/>
    <w:rsid w:val="00CC3FC0"/>
    <w:rsid w:val="00CC5CC7"/>
    <w:rsid w:val="00CC5F19"/>
    <w:rsid w:val="00CC66A1"/>
    <w:rsid w:val="00CC6BAB"/>
    <w:rsid w:val="00CC7096"/>
    <w:rsid w:val="00CD1044"/>
    <w:rsid w:val="00CD169C"/>
    <w:rsid w:val="00CD27D8"/>
    <w:rsid w:val="00CD3BF1"/>
    <w:rsid w:val="00CD3F14"/>
    <w:rsid w:val="00CD447D"/>
    <w:rsid w:val="00CD50EB"/>
    <w:rsid w:val="00CD542D"/>
    <w:rsid w:val="00CD6014"/>
    <w:rsid w:val="00CD78DF"/>
    <w:rsid w:val="00CD7AEF"/>
    <w:rsid w:val="00CE0223"/>
    <w:rsid w:val="00CE0797"/>
    <w:rsid w:val="00CE0F3D"/>
    <w:rsid w:val="00CE10DC"/>
    <w:rsid w:val="00CE153D"/>
    <w:rsid w:val="00CE1CC7"/>
    <w:rsid w:val="00CE1ED9"/>
    <w:rsid w:val="00CE23C3"/>
    <w:rsid w:val="00CE292B"/>
    <w:rsid w:val="00CE2BC6"/>
    <w:rsid w:val="00CE2CD0"/>
    <w:rsid w:val="00CE35CB"/>
    <w:rsid w:val="00CE3975"/>
    <w:rsid w:val="00CE3A3F"/>
    <w:rsid w:val="00CE3B05"/>
    <w:rsid w:val="00CE486F"/>
    <w:rsid w:val="00CE5C72"/>
    <w:rsid w:val="00CE71C8"/>
    <w:rsid w:val="00CE7230"/>
    <w:rsid w:val="00CF082D"/>
    <w:rsid w:val="00CF0C41"/>
    <w:rsid w:val="00CF1ACF"/>
    <w:rsid w:val="00CF1B3E"/>
    <w:rsid w:val="00CF2186"/>
    <w:rsid w:val="00CF24FB"/>
    <w:rsid w:val="00CF2F88"/>
    <w:rsid w:val="00CF33DF"/>
    <w:rsid w:val="00CF4F16"/>
    <w:rsid w:val="00CF6722"/>
    <w:rsid w:val="00CF7D20"/>
    <w:rsid w:val="00D00783"/>
    <w:rsid w:val="00D0165F"/>
    <w:rsid w:val="00D01AD6"/>
    <w:rsid w:val="00D0312B"/>
    <w:rsid w:val="00D03A1E"/>
    <w:rsid w:val="00D05093"/>
    <w:rsid w:val="00D0599D"/>
    <w:rsid w:val="00D06102"/>
    <w:rsid w:val="00D06811"/>
    <w:rsid w:val="00D07013"/>
    <w:rsid w:val="00D07982"/>
    <w:rsid w:val="00D1019A"/>
    <w:rsid w:val="00D11141"/>
    <w:rsid w:val="00D11F39"/>
    <w:rsid w:val="00D12355"/>
    <w:rsid w:val="00D127D8"/>
    <w:rsid w:val="00D12CEC"/>
    <w:rsid w:val="00D145EF"/>
    <w:rsid w:val="00D14E66"/>
    <w:rsid w:val="00D1688C"/>
    <w:rsid w:val="00D16C6D"/>
    <w:rsid w:val="00D17F7A"/>
    <w:rsid w:val="00D20847"/>
    <w:rsid w:val="00D20C68"/>
    <w:rsid w:val="00D20E6F"/>
    <w:rsid w:val="00D21992"/>
    <w:rsid w:val="00D21ADA"/>
    <w:rsid w:val="00D21E03"/>
    <w:rsid w:val="00D22AE1"/>
    <w:rsid w:val="00D22C4D"/>
    <w:rsid w:val="00D23753"/>
    <w:rsid w:val="00D238AD"/>
    <w:rsid w:val="00D2404A"/>
    <w:rsid w:val="00D249E7"/>
    <w:rsid w:val="00D25037"/>
    <w:rsid w:val="00D251F7"/>
    <w:rsid w:val="00D257CA"/>
    <w:rsid w:val="00D25B7E"/>
    <w:rsid w:val="00D2629A"/>
    <w:rsid w:val="00D26674"/>
    <w:rsid w:val="00D26CFE"/>
    <w:rsid w:val="00D27034"/>
    <w:rsid w:val="00D27262"/>
    <w:rsid w:val="00D27369"/>
    <w:rsid w:val="00D2780A"/>
    <w:rsid w:val="00D30FBB"/>
    <w:rsid w:val="00D31E68"/>
    <w:rsid w:val="00D3341E"/>
    <w:rsid w:val="00D3405D"/>
    <w:rsid w:val="00D3446E"/>
    <w:rsid w:val="00D34E61"/>
    <w:rsid w:val="00D354CE"/>
    <w:rsid w:val="00D3595D"/>
    <w:rsid w:val="00D359BA"/>
    <w:rsid w:val="00D35C7C"/>
    <w:rsid w:val="00D3747D"/>
    <w:rsid w:val="00D40D86"/>
    <w:rsid w:val="00D414CC"/>
    <w:rsid w:val="00D41620"/>
    <w:rsid w:val="00D41734"/>
    <w:rsid w:val="00D4192A"/>
    <w:rsid w:val="00D42381"/>
    <w:rsid w:val="00D4313C"/>
    <w:rsid w:val="00D43290"/>
    <w:rsid w:val="00D43391"/>
    <w:rsid w:val="00D442D4"/>
    <w:rsid w:val="00D459DE"/>
    <w:rsid w:val="00D472C0"/>
    <w:rsid w:val="00D473CC"/>
    <w:rsid w:val="00D501B8"/>
    <w:rsid w:val="00D50AC7"/>
    <w:rsid w:val="00D51677"/>
    <w:rsid w:val="00D523CB"/>
    <w:rsid w:val="00D53447"/>
    <w:rsid w:val="00D54566"/>
    <w:rsid w:val="00D54ACD"/>
    <w:rsid w:val="00D55769"/>
    <w:rsid w:val="00D55908"/>
    <w:rsid w:val="00D57095"/>
    <w:rsid w:val="00D57980"/>
    <w:rsid w:val="00D60105"/>
    <w:rsid w:val="00D6026A"/>
    <w:rsid w:val="00D60A94"/>
    <w:rsid w:val="00D60F2E"/>
    <w:rsid w:val="00D61489"/>
    <w:rsid w:val="00D61F2A"/>
    <w:rsid w:val="00D62D98"/>
    <w:rsid w:val="00D641BE"/>
    <w:rsid w:val="00D64A43"/>
    <w:rsid w:val="00D6520A"/>
    <w:rsid w:val="00D65273"/>
    <w:rsid w:val="00D65415"/>
    <w:rsid w:val="00D65B85"/>
    <w:rsid w:val="00D66121"/>
    <w:rsid w:val="00D6617B"/>
    <w:rsid w:val="00D663D5"/>
    <w:rsid w:val="00D66BC8"/>
    <w:rsid w:val="00D71017"/>
    <w:rsid w:val="00D719BD"/>
    <w:rsid w:val="00D71C1B"/>
    <w:rsid w:val="00D72BA3"/>
    <w:rsid w:val="00D72E37"/>
    <w:rsid w:val="00D72F21"/>
    <w:rsid w:val="00D7349F"/>
    <w:rsid w:val="00D74918"/>
    <w:rsid w:val="00D7525A"/>
    <w:rsid w:val="00D75C6A"/>
    <w:rsid w:val="00D7629D"/>
    <w:rsid w:val="00D7795C"/>
    <w:rsid w:val="00D77967"/>
    <w:rsid w:val="00D77A98"/>
    <w:rsid w:val="00D8105B"/>
    <w:rsid w:val="00D81101"/>
    <w:rsid w:val="00D81F17"/>
    <w:rsid w:val="00D82732"/>
    <w:rsid w:val="00D82F1C"/>
    <w:rsid w:val="00D8308E"/>
    <w:rsid w:val="00D8361B"/>
    <w:rsid w:val="00D8477B"/>
    <w:rsid w:val="00D8664D"/>
    <w:rsid w:val="00D8671B"/>
    <w:rsid w:val="00D86759"/>
    <w:rsid w:val="00D8690A"/>
    <w:rsid w:val="00D86C6E"/>
    <w:rsid w:val="00D87C8C"/>
    <w:rsid w:val="00D87F3A"/>
    <w:rsid w:val="00D9070E"/>
    <w:rsid w:val="00D90C0C"/>
    <w:rsid w:val="00D90CF3"/>
    <w:rsid w:val="00D90DEE"/>
    <w:rsid w:val="00D915FD"/>
    <w:rsid w:val="00D91E1F"/>
    <w:rsid w:val="00D9205E"/>
    <w:rsid w:val="00D9341D"/>
    <w:rsid w:val="00D93A5D"/>
    <w:rsid w:val="00D94A7F"/>
    <w:rsid w:val="00D94E3A"/>
    <w:rsid w:val="00D94E74"/>
    <w:rsid w:val="00D96BAD"/>
    <w:rsid w:val="00D9767C"/>
    <w:rsid w:val="00D97C3A"/>
    <w:rsid w:val="00DA11B8"/>
    <w:rsid w:val="00DA197A"/>
    <w:rsid w:val="00DA56D2"/>
    <w:rsid w:val="00DA59E7"/>
    <w:rsid w:val="00DA5CF9"/>
    <w:rsid w:val="00DA6B52"/>
    <w:rsid w:val="00DA704C"/>
    <w:rsid w:val="00DA7BD1"/>
    <w:rsid w:val="00DB00BB"/>
    <w:rsid w:val="00DB057F"/>
    <w:rsid w:val="00DB0E86"/>
    <w:rsid w:val="00DB1F2C"/>
    <w:rsid w:val="00DB2137"/>
    <w:rsid w:val="00DB292E"/>
    <w:rsid w:val="00DB2C07"/>
    <w:rsid w:val="00DB3267"/>
    <w:rsid w:val="00DB3A10"/>
    <w:rsid w:val="00DB4F4F"/>
    <w:rsid w:val="00DB51E7"/>
    <w:rsid w:val="00DB5C2B"/>
    <w:rsid w:val="00DB615F"/>
    <w:rsid w:val="00DB630A"/>
    <w:rsid w:val="00DB6DF0"/>
    <w:rsid w:val="00DB798E"/>
    <w:rsid w:val="00DC08F8"/>
    <w:rsid w:val="00DC0B33"/>
    <w:rsid w:val="00DC1BF9"/>
    <w:rsid w:val="00DC363E"/>
    <w:rsid w:val="00DC3CBD"/>
    <w:rsid w:val="00DC3EE3"/>
    <w:rsid w:val="00DC3FE0"/>
    <w:rsid w:val="00DC4BE8"/>
    <w:rsid w:val="00DC6212"/>
    <w:rsid w:val="00DC6464"/>
    <w:rsid w:val="00DC745A"/>
    <w:rsid w:val="00DC7575"/>
    <w:rsid w:val="00DD0265"/>
    <w:rsid w:val="00DD038C"/>
    <w:rsid w:val="00DD22BB"/>
    <w:rsid w:val="00DD337D"/>
    <w:rsid w:val="00DD3ABE"/>
    <w:rsid w:val="00DD3F36"/>
    <w:rsid w:val="00DD3F50"/>
    <w:rsid w:val="00DD4849"/>
    <w:rsid w:val="00DD4BDE"/>
    <w:rsid w:val="00DD5B10"/>
    <w:rsid w:val="00DD65E0"/>
    <w:rsid w:val="00DD6D33"/>
    <w:rsid w:val="00DD6FAC"/>
    <w:rsid w:val="00DD778B"/>
    <w:rsid w:val="00DE11BE"/>
    <w:rsid w:val="00DE15DC"/>
    <w:rsid w:val="00DE17AD"/>
    <w:rsid w:val="00DE2064"/>
    <w:rsid w:val="00DE22A4"/>
    <w:rsid w:val="00DE2F60"/>
    <w:rsid w:val="00DE340C"/>
    <w:rsid w:val="00DE405E"/>
    <w:rsid w:val="00DE443B"/>
    <w:rsid w:val="00DE4B39"/>
    <w:rsid w:val="00DE686B"/>
    <w:rsid w:val="00DE6928"/>
    <w:rsid w:val="00DE75F1"/>
    <w:rsid w:val="00DE7F1D"/>
    <w:rsid w:val="00DF0710"/>
    <w:rsid w:val="00DF0C5D"/>
    <w:rsid w:val="00DF1FA5"/>
    <w:rsid w:val="00DF286D"/>
    <w:rsid w:val="00DF2929"/>
    <w:rsid w:val="00DF32DB"/>
    <w:rsid w:val="00DF4AEB"/>
    <w:rsid w:val="00DF4E72"/>
    <w:rsid w:val="00DF5F09"/>
    <w:rsid w:val="00DF5F72"/>
    <w:rsid w:val="00DF686E"/>
    <w:rsid w:val="00DF6B42"/>
    <w:rsid w:val="00DF6F67"/>
    <w:rsid w:val="00DF7051"/>
    <w:rsid w:val="00DF7266"/>
    <w:rsid w:val="00DF787F"/>
    <w:rsid w:val="00E01248"/>
    <w:rsid w:val="00E01E0C"/>
    <w:rsid w:val="00E022BD"/>
    <w:rsid w:val="00E03133"/>
    <w:rsid w:val="00E03393"/>
    <w:rsid w:val="00E03641"/>
    <w:rsid w:val="00E04A05"/>
    <w:rsid w:val="00E0565C"/>
    <w:rsid w:val="00E05B98"/>
    <w:rsid w:val="00E06132"/>
    <w:rsid w:val="00E06A38"/>
    <w:rsid w:val="00E10044"/>
    <w:rsid w:val="00E103EE"/>
    <w:rsid w:val="00E11797"/>
    <w:rsid w:val="00E11F78"/>
    <w:rsid w:val="00E12276"/>
    <w:rsid w:val="00E129AC"/>
    <w:rsid w:val="00E14533"/>
    <w:rsid w:val="00E150D7"/>
    <w:rsid w:val="00E1560F"/>
    <w:rsid w:val="00E1572C"/>
    <w:rsid w:val="00E16BDC"/>
    <w:rsid w:val="00E2052F"/>
    <w:rsid w:val="00E2098F"/>
    <w:rsid w:val="00E20D5D"/>
    <w:rsid w:val="00E212DC"/>
    <w:rsid w:val="00E224CD"/>
    <w:rsid w:val="00E226EC"/>
    <w:rsid w:val="00E2310A"/>
    <w:rsid w:val="00E23FE3"/>
    <w:rsid w:val="00E24354"/>
    <w:rsid w:val="00E2438E"/>
    <w:rsid w:val="00E2476F"/>
    <w:rsid w:val="00E252DB"/>
    <w:rsid w:val="00E25752"/>
    <w:rsid w:val="00E26740"/>
    <w:rsid w:val="00E30776"/>
    <w:rsid w:val="00E30782"/>
    <w:rsid w:val="00E30A56"/>
    <w:rsid w:val="00E31258"/>
    <w:rsid w:val="00E31A7B"/>
    <w:rsid w:val="00E31FAB"/>
    <w:rsid w:val="00E32149"/>
    <w:rsid w:val="00E32432"/>
    <w:rsid w:val="00E32D66"/>
    <w:rsid w:val="00E33B71"/>
    <w:rsid w:val="00E3461F"/>
    <w:rsid w:val="00E346B3"/>
    <w:rsid w:val="00E37506"/>
    <w:rsid w:val="00E37745"/>
    <w:rsid w:val="00E41FE5"/>
    <w:rsid w:val="00E43B57"/>
    <w:rsid w:val="00E4481C"/>
    <w:rsid w:val="00E45112"/>
    <w:rsid w:val="00E454D2"/>
    <w:rsid w:val="00E4556F"/>
    <w:rsid w:val="00E4582A"/>
    <w:rsid w:val="00E4582B"/>
    <w:rsid w:val="00E4684B"/>
    <w:rsid w:val="00E47F6A"/>
    <w:rsid w:val="00E47FC9"/>
    <w:rsid w:val="00E50477"/>
    <w:rsid w:val="00E50921"/>
    <w:rsid w:val="00E51795"/>
    <w:rsid w:val="00E52085"/>
    <w:rsid w:val="00E5282C"/>
    <w:rsid w:val="00E528C4"/>
    <w:rsid w:val="00E52DE1"/>
    <w:rsid w:val="00E54F16"/>
    <w:rsid w:val="00E562BA"/>
    <w:rsid w:val="00E56F73"/>
    <w:rsid w:val="00E602F9"/>
    <w:rsid w:val="00E606EF"/>
    <w:rsid w:val="00E6109B"/>
    <w:rsid w:val="00E61C3C"/>
    <w:rsid w:val="00E63D33"/>
    <w:rsid w:val="00E63FF1"/>
    <w:rsid w:val="00E64A94"/>
    <w:rsid w:val="00E65DC7"/>
    <w:rsid w:val="00E66C85"/>
    <w:rsid w:val="00E67FC3"/>
    <w:rsid w:val="00E702F5"/>
    <w:rsid w:val="00E71123"/>
    <w:rsid w:val="00E7150B"/>
    <w:rsid w:val="00E71F6E"/>
    <w:rsid w:val="00E7259A"/>
    <w:rsid w:val="00E72EA2"/>
    <w:rsid w:val="00E7342E"/>
    <w:rsid w:val="00E740F3"/>
    <w:rsid w:val="00E74B12"/>
    <w:rsid w:val="00E75464"/>
    <w:rsid w:val="00E76A7B"/>
    <w:rsid w:val="00E77379"/>
    <w:rsid w:val="00E777FC"/>
    <w:rsid w:val="00E803E8"/>
    <w:rsid w:val="00E810E3"/>
    <w:rsid w:val="00E81A18"/>
    <w:rsid w:val="00E81AE6"/>
    <w:rsid w:val="00E81B51"/>
    <w:rsid w:val="00E81E4F"/>
    <w:rsid w:val="00E82565"/>
    <w:rsid w:val="00E82B26"/>
    <w:rsid w:val="00E82DF5"/>
    <w:rsid w:val="00E83059"/>
    <w:rsid w:val="00E83954"/>
    <w:rsid w:val="00E84E93"/>
    <w:rsid w:val="00E85948"/>
    <w:rsid w:val="00E85F45"/>
    <w:rsid w:val="00E85FDE"/>
    <w:rsid w:val="00E862D6"/>
    <w:rsid w:val="00E9087E"/>
    <w:rsid w:val="00E91104"/>
    <w:rsid w:val="00E9132F"/>
    <w:rsid w:val="00E9137A"/>
    <w:rsid w:val="00E92522"/>
    <w:rsid w:val="00E926A7"/>
    <w:rsid w:val="00E927D9"/>
    <w:rsid w:val="00E9324D"/>
    <w:rsid w:val="00E93D14"/>
    <w:rsid w:val="00E940E9"/>
    <w:rsid w:val="00E95787"/>
    <w:rsid w:val="00E97047"/>
    <w:rsid w:val="00E97258"/>
    <w:rsid w:val="00E97A78"/>
    <w:rsid w:val="00EA05FD"/>
    <w:rsid w:val="00EA126E"/>
    <w:rsid w:val="00EA1301"/>
    <w:rsid w:val="00EA1F1A"/>
    <w:rsid w:val="00EA2972"/>
    <w:rsid w:val="00EA2A5B"/>
    <w:rsid w:val="00EA32FF"/>
    <w:rsid w:val="00EA3BCD"/>
    <w:rsid w:val="00EA3F6A"/>
    <w:rsid w:val="00EA41B3"/>
    <w:rsid w:val="00EA4530"/>
    <w:rsid w:val="00EA455D"/>
    <w:rsid w:val="00EA4CC7"/>
    <w:rsid w:val="00EA5E46"/>
    <w:rsid w:val="00EA5E90"/>
    <w:rsid w:val="00EA7593"/>
    <w:rsid w:val="00EA774F"/>
    <w:rsid w:val="00EA7D32"/>
    <w:rsid w:val="00EA7DBB"/>
    <w:rsid w:val="00EB01A8"/>
    <w:rsid w:val="00EB0FCB"/>
    <w:rsid w:val="00EB1459"/>
    <w:rsid w:val="00EB238E"/>
    <w:rsid w:val="00EB2911"/>
    <w:rsid w:val="00EB3639"/>
    <w:rsid w:val="00EB3CE9"/>
    <w:rsid w:val="00EB3CEE"/>
    <w:rsid w:val="00EB3DC3"/>
    <w:rsid w:val="00EB5460"/>
    <w:rsid w:val="00EB57E9"/>
    <w:rsid w:val="00EB5882"/>
    <w:rsid w:val="00EB5F0B"/>
    <w:rsid w:val="00EB6991"/>
    <w:rsid w:val="00EB6B43"/>
    <w:rsid w:val="00EB6DBD"/>
    <w:rsid w:val="00EB72BC"/>
    <w:rsid w:val="00EB75C4"/>
    <w:rsid w:val="00EB7D24"/>
    <w:rsid w:val="00EC017A"/>
    <w:rsid w:val="00EC15D5"/>
    <w:rsid w:val="00EC1625"/>
    <w:rsid w:val="00EC1D48"/>
    <w:rsid w:val="00EC26C2"/>
    <w:rsid w:val="00EC2BA5"/>
    <w:rsid w:val="00EC2C12"/>
    <w:rsid w:val="00EC2D4C"/>
    <w:rsid w:val="00EC3748"/>
    <w:rsid w:val="00EC73CD"/>
    <w:rsid w:val="00ED142F"/>
    <w:rsid w:val="00ED1676"/>
    <w:rsid w:val="00ED175E"/>
    <w:rsid w:val="00ED1789"/>
    <w:rsid w:val="00ED215A"/>
    <w:rsid w:val="00ED2264"/>
    <w:rsid w:val="00ED3421"/>
    <w:rsid w:val="00ED38DB"/>
    <w:rsid w:val="00ED3D9F"/>
    <w:rsid w:val="00ED3DAA"/>
    <w:rsid w:val="00ED3F94"/>
    <w:rsid w:val="00ED4283"/>
    <w:rsid w:val="00ED518C"/>
    <w:rsid w:val="00ED54F7"/>
    <w:rsid w:val="00ED583C"/>
    <w:rsid w:val="00ED59EF"/>
    <w:rsid w:val="00ED69C2"/>
    <w:rsid w:val="00ED6D4C"/>
    <w:rsid w:val="00ED6FC9"/>
    <w:rsid w:val="00ED7112"/>
    <w:rsid w:val="00ED73C2"/>
    <w:rsid w:val="00ED7A35"/>
    <w:rsid w:val="00EE0DBC"/>
    <w:rsid w:val="00EE1A9F"/>
    <w:rsid w:val="00EE2801"/>
    <w:rsid w:val="00EE2CAB"/>
    <w:rsid w:val="00EE3078"/>
    <w:rsid w:val="00EE3F64"/>
    <w:rsid w:val="00EE43D3"/>
    <w:rsid w:val="00EE45F3"/>
    <w:rsid w:val="00EE5360"/>
    <w:rsid w:val="00EE5429"/>
    <w:rsid w:val="00EE57C2"/>
    <w:rsid w:val="00EE75F6"/>
    <w:rsid w:val="00EF00C7"/>
    <w:rsid w:val="00EF13AC"/>
    <w:rsid w:val="00EF1743"/>
    <w:rsid w:val="00EF1A14"/>
    <w:rsid w:val="00EF2129"/>
    <w:rsid w:val="00EF2728"/>
    <w:rsid w:val="00EF36C0"/>
    <w:rsid w:val="00EF3A8D"/>
    <w:rsid w:val="00EF3CED"/>
    <w:rsid w:val="00EF4809"/>
    <w:rsid w:val="00EF493E"/>
    <w:rsid w:val="00EF4A2D"/>
    <w:rsid w:val="00EF5195"/>
    <w:rsid w:val="00EF6C9D"/>
    <w:rsid w:val="00F00A0C"/>
    <w:rsid w:val="00F00D5B"/>
    <w:rsid w:val="00F01925"/>
    <w:rsid w:val="00F01DA9"/>
    <w:rsid w:val="00F023D8"/>
    <w:rsid w:val="00F025B7"/>
    <w:rsid w:val="00F036B5"/>
    <w:rsid w:val="00F03CFC"/>
    <w:rsid w:val="00F04931"/>
    <w:rsid w:val="00F0530F"/>
    <w:rsid w:val="00F05595"/>
    <w:rsid w:val="00F056A2"/>
    <w:rsid w:val="00F05D5F"/>
    <w:rsid w:val="00F05DFF"/>
    <w:rsid w:val="00F063B2"/>
    <w:rsid w:val="00F069E8"/>
    <w:rsid w:val="00F06A92"/>
    <w:rsid w:val="00F06AFC"/>
    <w:rsid w:val="00F06B1A"/>
    <w:rsid w:val="00F06DD1"/>
    <w:rsid w:val="00F071E9"/>
    <w:rsid w:val="00F074AB"/>
    <w:rsid w:val="00F10051"/>
    <w:rsid w:val="00F10464"/>
    <w:rsid w:val="00F1091A"/>
    <w:rsid w:val="00F11092"/>
    <w:rsid w:val="00F114E3"/>
    <w:rsid w:val="00F115F4"/>
    <w:rsid w:val="00F117E4"/>
    <w:rsid w:val="00F12F3D"/>
    <w:rsid w:val="00F130EF"/>
    <w:rsid w:val="00F139C0"/>
    <w:rsid w:val="00F145EE"/>
    <w:rsid w:val="00F14F8D"/>
    <w:rsid w:val="00F151C3"/>
    <w:rsid w:val="00F15C3C"/>
    <w:rsid w:val="00F163C7"/>
    <w:rsid w:val="00F1650E"/>
    <w:rsid w:val="00F169E6"/>
    <w:rsid w:val="00F17649"/>
    <w:rsid w:val="00F179CC"/>
    <w:rsid w:val="00F201B7"/>
    <w:rsid w:val="00F20768"/>
    <w:rsid w:val="00F21067"/>
    <w:rsid w:val="00F212BD"/>
    <w:rsid w:val="00F2139A"/>
    <w:rsid w:val="00F22424"/>
    <w:rsid w:val="00F2272E"/>
    <w:rsid w:val="00F230F8"/>
    <w:rsid w:val="00F23D28"/>
    <w:rsid w:val="00F23D70"/>
    <w:rsid w:val="00F2401D"/>
    <w:rsid w:val="00F26308"/>
    <w:rsid w:val="00F2632D"/>
    <w:rsid w:val="00F26942"/>
    <w:rsid w:val="00F26D18"/>
    <w:rsid w:val="00F27E16"/>
    <w:rsid w:val="00F300CC"/>
    <w:rsid w:val="00F3043F"/>
    <w:rsid w:val="00F309F0"/>
    <w:rsid w:val="00F30D99"/>
    <w:rsid w:val="00F317C0"/>
    <w:rsid w:val="00F32391"/>
    <w:rsid w:val="00F33215"/>
    <w:rsid w:val="00F35213"/>
    <w:rsid w:val="00F3549E"/>
    <w:rsid w:val="00F36975"/>
    <w:rsid w:val="00F36A38"/>
    <w:rsid w:val="00F3746E"/>
    <w:rsid w:val="00F4064B"/>
    <w:rsid w:val="00F41F59"/>
    <w:rsid w:val="00F422F0"/>
    <w:rsid w:val="00F423C8"/>
    <w:rsid w:val="00F428B6"/>
    <w:rsid w:val="00F42ADB"/>
    <w:rsid w:val="00F42DDC"/>
    <w:rsid w:val="00F4341E"/>
    <w:rsid w:val="00F43C80"/>
    <w:rsid w:val="00F44DA6"/>
    <w:rsid w:val="00F44ED4"/>
    <w:rsid w:val="00F4561E"/>
    <w:rsid w:val="00F4599E"/>
    <w:rsid w:val="00F466FC"/>
    <w:rsid w:val="00F46C80"/>
    <w:rsid w:val="00F47D96"/>
    <w:rsid w:val="00F47DE1"/>
    <w:rsid w:val="00F47E36"/>
    <w:rsid w:val="00F5027D"/>
    <w:rsid w:val="00F50842"/>
    <w:rsid w:val="00F51CFB"/>
    <w:rsid w:val="00F52FDA"/>
    <w:rsid w:val="00F53AB0"/>
    <w:rsid w:val="00F54614"/>
    <w:rsid w:val="00F553A0"/>
    <w:rsid w:val="00F55E3B"/>
    <w:rsid w:val="00F55EC4"/>
    <w:rsid w:val="00F569CA"/>
    <w:rsid w:val="00F604A3"/>
    <w:rsid w:val="00F615D5"/>
    <w:rsid w:val="00F623E6"/>
    <w:rsid w:val="00F6242C"/>
    <w:rsid w:val="00F6335D"/>
    <w:rsid w:val="00F63640"/>
    <w:rsid w:val="00F636E3"/>
    <w:rsid w:val="00F639D5"/>
    <w:rsid w:val="00F63E60"/>
    <w:rsid w:val="00F6434D"/>
    <w:rsid w:val="00F6440C"/>
    <w:rsid w:val="00F65882"/>
    <w:rsid w:val="00F65E21"/>
    <w:rsid w:val="00F660DB"/>
    <w:rsid w:val="00F70E2E"/>
    <w:rsid w:val="00F71112"/>
    <w:rsid w:val="00F71BBC"/>
    <w:rsid w:val="00F7237E"/>
    <w:rsid w:val="00F7254F"/>
    <w:rsid w:val="00F73AAE"/>
    <w:rsid w:val="00F73CC5"/>
    <w:rsid w:val="00F7491A"/>
    <w:rsid w:val="00F7537E"/>
    <w:rsid w:val="00F7550A"/>
    <w:rsid w:val="00F755FC"/>
    <w:rsid w:val="00F75F4C"/>
    <w:rsid w:val="00F75F80"/>
    <w:rsid w:val="00F776A8"/>
    <w:rsid w:val="00F77DA5"/>
    <w:rsid w:val="00F81242"/>
    <w:rsid w:val="00F81B0F"/>
    <w:rsid w:val="00F81F41"/>
    <w:rsid w:val="00F82BF4"/>
    <w:rsid w:val="00F82E5F"/>
    <w:rsid w:val="00F8387D"/>
    <w:rsid w:val="00F83B14"/>
    <w:rsid w:val="00F853DF"/>
    <w:rsid w:val="00F85742"/>
    <w:rsid w:val="00F868FF"/>
    <w:rsid w:val="00F86A75"/>
    <w:rsid w:val="00F86FCE"/>
    <w:rsid w:val="00F87FC2"/>
    <w:rsid w:val="00F907A6"/>
    <w:rsid w:val="00F90D52"/>
    <w:rsid w:val="00F911F2"/>
    <w:rsid w:val="00F91B56"/>
    <w:rsid w:val="00F91E88"/>
    <w:rsid w:val="00F927C4"/>
    <w:rsid w:val="00F93085"/>
    <w:rsid w:val="00F93895"/>
    <w:rsid w:val="00F9411A"/>
    <w:rsid w:val="00F94A90"/>
    <w:rsid w:val="00F95084"/>
    <w:rsid w:val="00F95E26"/>
    <w:rsid w:val="00F95F13"/>
    <w:rsid w:val="00F96C55"/>
    <w:rsid w:val="00F97497"/>
    <w:rsid w:val="00FA0597"/>
    <w:rsid w:val="00FA070E"/>
    <w:rsid w:val="00FA0884"/>
    <w:rsid w:val="00FA13B6"/>
    <w:rsid w:val="00FA1586"/>
    <w:rsid w:val="00FA29A8"/>
    <w:rsid w:val="00FA2A41"/>
    <w:rsid w:val="00FA2E2C"/>
    <w:rsid w:val="00FA2E4A"/>
    <w:rsid w:val="00FA2FB3"/>
    <w:rsid w:val="00FA3015"/>
    <w:rsid w:val="00FA396C"/>
    <w:rsid w:val="00FA4925"/>
    <w:rsid w:val="00FA583F"/>
    <w:rsid w:val="00FA617B"/>
    <w:rsid w:val="00FA6206"/>
    <w:rsid w:val="00FA631A"/>
    <w:rsid w:val="00FA6E7D"/>
    <w:rsid w:val="00FA794B"/>
    <w:rsid w:val="00FB0584"/>
    <w:rsid w:val="00FB0D7F"/>
    <w:rsid w:val="00FB1A63"/>
    <w:rsid w:val="00FB1AC0"/>
    <w:rsid w:val="00FB2046"/>
    <w:rsid w:val="00FB2F35"/>
    <w:rsid w:val="00FB2FB0"/>
    <w:rsid w:val="00FB3349"/>
    <w:rsid w:val="00FB3E4C"/>
    <w:rsid w:val="00FB4128"/>
    <w:rsid w:val="00FB42A5"/>
    <w:rsid w:val="00FB54B6"/>
    <w:rsid w:val="00FB6CD0"/>
    <w:rsid w:val="00FB7964"/>
    <w:rsid w:val="00FB7D79"/>
    <w:rsid w:val="00FC15A2"/>
    <w:rsid w:val="00FC434C"/>
    <w:rsid w:val="00FC4951"/>
    <w:rsid w:val="00FC4C02"/>
    <w:rsid w:val="00FC4EB7"/>
    <w:rsid w:val="00FC4F9B"/>
    <w:rsid w:val="00FC52A3"/>
    <w:rsid w:val="00FC564B"/>
    <w:rsid w:val="00FC5CDB"/>
    <w:rsid w:val="00FC6560"/>
    <w:rsid w:val="00FC710B"/>
    <w:rsid w:val="00FD0D27"/>
    <w:rsid w:val="00FD179B"/>
    <w:rsid w:val="00FD1F13"/>
    <w:rsid w:val="00FD22F0"/>
    <w:rsid w:val="00FD314A"/>
    <w:rsid w:val="00FD3307"/>
    <w:rsid w:val="00FD36A1"/>
    <w:rsid w:val="00FD38A6"/>
    <w:rsid w:val="00FD3F29"/>
    <w:rsid w:val="00FD4819"/>
    <w:rsid w:val="00FD4910"/>
    <w:rsid w:val="00FD4E6E"/>
    <w:rsid w:val="00FD54DA"/>
    <w:rsid w:val="00FD5EE1"/>
    <w:rsid w:val="00FD6D55"/>
    <w:rsid w:val="00FD6EAA"/>
    <w:rsid w:val="00FD7ADE"/>
    <w:rsid w:val="00FE0129"/>
    <w:rsid w:val="00FE052C"/>
    <w:rsid w:val="00FE0BC0"/>
    <w:rsid w:val="00FE0E6D"/>
    <w:rsid w:val="00FE1B95"/>
    <w:rsid w:val="00FE1EB8"/>
    <w:rsid w:val="00FE24DA"/>
    <w:rsid w:val="00FE25D7"/>
    <w:rsid w:val="00FE3052"/>
    <w:rsid w:val="00FE3D19"/>
    <w:rsid w:val="00FE4FE6"/>
    <w:rsid w:val="00FE515C"/>
    <w:rsid w:val="00FE55C8"/>
    <w:rsid w:val="00FE653A"/>
    <w:rsid w:val="00FE6793"/>
    <w:rsid w:val="00FF02B7"/>
    <w:rsid w:val="00FF08DE"/>
    <w:rsid w:val="00FF0F0F"/>
    <w:rsid w:val="00FF1E95"/>
    <w:rsid w:val="00FF26F9"/>
    <w:rsid w:val="00FF2F1E"/>
    <w:rsid w:val="00FF2F70"/>
    <w:rsid w:val="00FF3699"/>
    <w:rsid w:val="00FF43CC"/>
    <w:rsid w:val="00FF4C28"/>
    <w:rsid w:val="00FF5721"/>
    <w:rsid w:val="00FF58D0"/>
    <w:rsid w:val="00FF5BD1"/>
    <w:rsid w:val="00FF6B7C"/>
    <w:rsid w:val="00FF74D5"/>
    <w:rsid w:val="00FF755C"/>
    <w:rsid w:val="00FF7A38"/>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0031D2"/>
    <w:pPr>
      <w:spacing w:before="120" w:after="120" w:line="240" w:lineRule="auto"/>
      <w:jc w:val="both"/>
    </w:pPr>
  </w:style>
  <w:style w:type="paragraph" w:styleId="Nadpis1">
    <w:name w:val="heading 1"/>
    <w:basedOn w:val="Normln"/>
    <w:next w:val="Normln"/>
    <w:link w:val="Nadpis1Char"/>
    <w:uiPriority w:val="9"/>
    <w:qFormat/>
    <w:rsid w:val="003A4367"/>
    <w:pPr>
      <w:keepNext/>
      <w:keepLines/>
      <w:numPr>
        <w:numId w:val="1"/>
      </w:numPr>
      <w:spacing w:before="480" w:after="240"/>
      <w:ind w:left="431" w:hanging="431"/>
      <w:outlineLvl w:val="0"/>
    </w:pPr>
    <w:rPr>
      <w:rFonts w:ascii="Calibri" w:eastAsiaTheme="majorEastAsia" w:hAnsi="Calibri" w:cstheme="majorBidi"/>
      <w:b/>
      <w:bCs/>
      <w:color w:val="365F91" w:themeColor="accent1" w:themeShade="BF"/>
      <w:sz w:val="28"/>
      <w:szCs w:val="28"/>
    </w:rPr>
  </w:style>
  <w:style w:type="paragraph" w:styleId="Nadpis2">
    <w:name w:val="heading 2"/>
    <w:basedOn w:val="Normln"/>
    <w:next w:val="Normln"/>
    <w:link w:val="Nadpis2Char"/>
    <w:uiPriority w:val="9"/>
    <w:unhideWhenUsed/>
    <w:qFormat/>
    <w:rsid w:val="00DE22A4"/>
    <w:pPr>
      <w:keepNext/>
      <w:keepLines/>
      <w:numPr>
        <w:ilvl w:val="1"/>
        <w:numId w:val="1"/>
      </w:numPr>
      <w:spacing w:before="200" w:after="240"/>
      <w:outlineLvl w:val="1"/>
    </w:pPr>
    <w:rPr>
      <w:rFonts w:ascii="Calibri" w:eastAsiaTheme="majorEastAsia" w:hAnsi="Calibri" w:cstheme="majorBidi"/>
      <w:b/>
      <w:bCs/>
      <w:color w:val="4F81BD" w:themeColor="accent1"/>
      <w:sz w:val="26"/>
      <w:szCs w:val="26"/>
      <w:lang w:eastAsia="cs-CZ"/>
    </w:rPr>
  </w:style>
  <w:style w:type="paragraph" w:styleId="Nadpis3">
    <w:name w:val="heading 3"/>
    <w:basedOn w:val="Normln"/>
    <w:next w:val="Normln"/>
    <w:link w:val="Nadpis3Char"/>
    <w:uiPriority w:val="9"/>
    <w:unhideWhenUsed/>
    <w:qFormat/>
    <w:rsid w:val="00C24622"/>
    <w:pPr>
      <w:keepNext/>
      <w:keepLines/>
      <w:numPr>
        <w:ilvl w:val="2"/>
        <w:numId w:val="1"/>
      </w:numPr>
      <w:spacing w:before="240" w:after="240"/>
      <w:outlineLvl w:val="2"/>
    </w:pPr>
    <w:rPr>
      <w:rFonts w:ascii="Calibri" w:eastAsia="Times New Roman" w:hAnsi="Calibri" w:cstheme="majorBidi"/>
      <w:b/>
      <w:bCs/>
      <w:color w:val="4F81BD" w:themeColor="accent1"/>
      <w:sz w:val="24"/>
      <w:lang w:eastAsia="cs-CZ"/>
    </w:rPr>
  </w:style>
  <w:style w:type="paragraph" w:styleId="Nadpis4">
    <w:name w:val="heading 4"/>
    <w:basedOn w:val="Normln"/>
    <w:next w:val="Normln"/>
    <w:link w:val="Nadpis4Char"/>
    <w:uiPriority w:val="9"/>
    <w:unhideWhenUsed/>
    <w:qFormat/>
    <w:rsid w:val="00867FEB"/>
    <w:pPr>
      <w:keepNext/>
      <w:keepLines/>
      <w:numPr>
        <w:ilvl w:val="3"/>
        <w:numId w:val="1"/>
      </w:numPr>
      <w:spacing w:before="240" w:line="264" w:lineRule="auto"/>
      <w:outlineLvl w:val="3"/>
    </w:pPr>
    <w:rPr>
      <w:rFonts w:eastAsia="Times New Roman" w:cstheme="majorBidi"/>
      <w:b/>
      <w:bCs/>
      <w:iCs/>
      <w:color w:val="365F91" w:themeColor="accent1" w:themeShade="BF"/>
      <w:lang w:eastAsia="cs-CZ"/>
    </w:rPr>
  </w:style>
  <w:style w:type="paragraph" w:styleId="Nadpis5">
    <w:name w:val="heading 5"/>
    <w:basedOn w:val="Normln"/>
    <w:next w:val="Normln"/>
    <w:link w:val="Nadpis5Char"/>
    <w:uiPriority w:val="9"/>
    <w:unhideWhenUsed/>
    <w:qFormat/>
    <w:rsid w:val="00D26674"/>
    <w:pPr>
      <w:keepNext/>
      <w:keepLines/>
      <w:numPr>
        <w:ilvl w:val="4"/>
        <w:numId w:val="1"/>
      </w:numPr>
      <w:spacing w:before="200" w:after="0"/>
      <w:outlineLvl w:val="4"/>
    </w:pPr>
    <w:rPr>
      <w:rFonts w:ascii="Calibri" w:eastAsiaTheme="majorEastAsia" w:hAnsi="Calibri" w:cstheme="majorBidi"/>
      <w:color w:val="243F60" w:themeColor="accent1" w:themeShade="7F"/>
    </w:rPr>
  </w:style>
  <w:style w:type="paragraph" w:styleId="Nadpis6">
    <w:name w:val="heading 6"/>
    <w:basedOn w:val="Normln"/>
    <w:next w:val="Normln"/>
    <w:link w:val="Nadpis6Char"/>
    <w:uiPriority w:val="9"/>
    <w:semiHidden/>
    <w:unhideWhenUsed/>
    <w:qFormat/>
    <w:rsid w:val="00D07982"/>
    <w:pPr>
      <w:keepNext/>
      <w:keepLines/>
      <w:numPr>
        <w:ilvl w:val="5"/>
        <w:numId w:val="1"/>
      </w:numPr>
      <w:spacing w:before="200" w:after="0"/>
      <w:outlineLvl w:val="5"/>
    </w:pPr>
    <w:rPr>
      <w:rFonts w:asciiTheme="majorHAnsi" w:eastAsiaTheme="majorEastAsia" w:hAnsiTheme="majorHAnsi" w:cstheme="majorBidi"/>
      <w:i/>
      <w:iCs/>
      <w:color w:val="243F60" w:themeColor="accent1" w:themeShade="7F"/>
    </w:rPr>
  </w:style>
  <w:style w:type="paragraph" w:styleId="Nadpis7">
    <w:name w:val="heading 7"/>
    <w:basedOn w:val="Normln"/>
    <w:next w:val="Normln"/>
    <w:link w:val="Nadpis7Char"/>
    <w:uiPriority w:val="9"/>
    <w:semiHidden/>
    <w:unhideWhenUsed/>
    <w:qFormat/>
    <w:rsid w:val="00D07982"/>
    <w:pPr>
      <w:keepNext/>
      <w:keepLines/>
      <w:numPr>
        <w:ilvl w:val="6"/>
        <w:numId w:val="1"/>
      </w:numPr>
      <w:spacing w:before="200" w:after="0"/>
      <w:outlineLvl w:val="6"/>
    </w:pPr>
    <w:rPr>
      <w:rFonts w:asciiTheme="majorHAnsi" w:eastAsiaTheme="majorEastAsia" w:hAnsiTheme="majorHAnsi" w:cstheme="majorBidi"/>
      <w:i/>
      <w:iCs/>
      <w:color w:val="404040" w:themeColor="text1" w:themeTint="BF"/>
    </w:rPr>
  </w:style>
  <w:style w:type="paragraph" w:styleId="Nadpis8">
    <w:name w:val="heading 8"/>
    <w:basedOn w:val="Normln"/>
    <w:next w:val="Normln"/>
    <w:link w:val="Nadpis8Char"/>
    <w:uiPriority w:val="9"/>
    <w:semiHidden/>
    <w:unhideWhenUsed/>
    <w:qFormat/>
    <w:rsid w:val="00D07982"/>
    <w:pPr>
      <w:keepNext/>
      <w:keepLines/>
      <w:numPr>
        <w:ilvl w:val="7"/>
        <w:numId w:val="1"/>
      </w:numPr>
      <w:spacing w:before="200" w:after="0"/>
      <w:outlineLvl w:val="7"/>
    </w:pPr>
    <w:rPr>
      <w:rFonts w:asciiTheme="majorHAnsi" w:eastAsiaTheme="majorEastAsia" w:hAnsiTheme="majorHAnsi" w:cstheme="majorBidi"/>
      <w:color w:val="404040" w:themeColor="text1" w:themeTint="BF"/>
      <w:sz w:val="20"/>
      <w:szCs w:val="20"/>
    </w:rPr>
  </w:style>
  <w:style w:type="paragraph" w:styleId="Nadpis9">
    <w:name w:val="heading 9"/>
    <w:basedOn w:val="Normln"/>
    <w:next w:val="Normln"/>
    <w:link w:val="Nadpis9Char"/>
    <w:uiPriority w:val="9"/>
    <w:semiHidden/>
    <w:unhideWhenUsed/>
    <w:qFormat/>
    <w:rsid w:val="00D07982"/>
    <w:pPr>
      <w:keepNext/>
      <w:keepLines/>
      <w:numPr>
        <w:ilvl w:val="8"/>
        <w:numId w:val="1"/>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3A4367"/>
    <w:rPr>
      <w:rFonts w:ascii="Calibri" w:eastAsiaTheme="majorEastAsia" w:hAnsi="Calibri" w:cstheme="majorBidi"/>
      <w:b/>
      <w:bCs/>
      <w:color w:val="365F91" w:themeColor="accent1" w:themeShade="BF"/>
      <w:sz w:val="28"/>
      <w:szCs w:val="28"/>
    </w:rPr>
  </w:style>
  <w:style w:type="character" w:customStyle="1" w:styleId="Nadpis2Char">
    <w:name w:val="Nadpis 2 Char"/>
    <w:basedOn w:val="Standardnpsmoodstavce"/>
    <w:link w:val="Nadpis2"/>
    <w:uiPriority w:val="9"/>
    <w:rsid w:val="00DE22A4"/>
    <w:rPr>
      <w:rFonts w:ascii="Calibri" w:eastAsiaTheme="majorEastAsia" w:hAnsi="Calibri" w:cstheme="majorBidi"/>
      <w:b/>
      <w:bCs/>
      <w:color w:val="4F81BD" w:themeColor="accent1"/>
      <w:sz w:val="26"/>
      <w:szCs w:val="26"/>
      <w:lang w:eastAsia="cs-CZ"/>
    </w:rPr>
  </w:style>
  <w:style w:type="character" w:customStyle="1" w:styleId="Nadpis3Char">
    <w:name w:val="Nadpis 3 Char"/>
    <w:basedOn w:val="Standardnpsmoodstavce"/>
    <w:link w:val="Nadpis3"/>
    <w:uiPriority w:val="9"/>
    <w:rsid w:val="00C24622"/>
    <w:rPr>
      <w:rFonts w:ascii="Calibri" w:eastAsia="Times New Roman" w:hAnsi="Calibri" w:cstheme="majorBidi"/>
      <w:b/>
      <w:bCs/>
      <w:color w:val="4F81BD" w:themeColor="accent1"/>
      <w:sz w:val="24"/>
      <w:lang w:eastAsia="cs-CZ"/>
    </w:rPr>
  </w:style>
  <w:style w:type="character" w:customStyle="1" w:styleId="Nadpis4Char">
    <w:name w:val="Nadpis 4 Char"/>
    <w:basedOn w:val="Standardnpsmoodstavce"/>
    <w:link w:val="Nadpis4"/>
    <w:uiPriority w:val="9"/>
    <w:rsid w:val="00867FEB"/>
    <w:rPr>
      <w:rFonts w:eastAsia="Times New Roman" w:cstheme="majorBidi"/>
      <w:b/>
      <w:bCs/>
      <w:iCs/>
      <w:color w:val="365F91" w:themeColor="accent1" w:themeShade="BF"/>
      <w:lang w:eastAsia="cs-CZ"/>
    </w:rPr>
  </w:style>
  <w:style w:type="character" w:customStyle="1" w:styleId="Nadpis5Char">
    <w:name w:val="Nadpis 5 Char"/>
    <w:basedOn w:val="Standardnpsmoodstavce"/>
    <w:link w:val="Nadpis5"/>
    <w:uiPriority w:val="9"/>
    <w:rsid w:val="00D26674"/>
    <w:rPr>
      <w:rFonts w:ascii="Calibri" w:eastAsiaTheme="majorEastAsia" w:hAnsi="Calibri" w:cstheme="majorBidi"/>
      <w:color w:val="243F60" w:themeColor="accent1" w:themeShade="7F"/>
    </w:rPr>
  </w:style>
  <w:style w:type="character" w:customStyle="1" w:styleId="Nadpis6Char">
    <w:name w:val="Nadpis 6 Char"/>
    <w:basedOn w:val="Standardnpsmoodstavce"/>
    <w:link w:val="Nadpis6"/>
    <w:uiPriority w:val="9"/>
    <w:semiHidden/>
    <w:rsid w:val="00D07982"/>
    <w:rPr>
      <w:rFonts w:asciiTheme="majorHAnsi" w:eastAsiaTheme="majorEastAsia" w:hAnsiTheme="majorHAnsi" w:cstheme="majorBidi"/>
      <w:i/>
      <w:iCs/>
      <w:color w:val="243F60" w:themeColor="accent1" w:themeShade="7F"/>
    </w:rPr>
  </w:style>
  <w:style w:type="character" w:customStyle="1" w:styleId="Nadpis7Char">
    <w:name w:val="Nadpis 7 Char"/>
    <w:basedOn w:val="Standardnpsmoodstavce"/>
    <w:link w:val="Nadpis7"/>
    <w:uiPriority w:val="9"/>
    <w:semiHidden/>
    <w:rsid w:val="00D07982"/>
    <w:rPr>
      <w:rFonts w:asciiTheme="majorHAnsi" w:eastAsiaTheme="majorEastAsia" w:hAnsiTheme="majorHAnsi" w:cstheme="majorBidi"/>
      <w:i/>
      <w:iCs/>
      <w:color w:val="404040" w:themeColor="text1" w:themeTint="BF"/>
    </w:rPr>
  </w:style>
  <w:style w:type="character" w:customStyle="1" w:styleId="Nadpis8Char">
    <w:name w:val="Nadpis 8 Char"/>
    <w:basedOn w:val="Standardnpsmoodstavce"/>
    <w:link w:val="Nadpis8"/>
    <w:uiPriority w:val="9"/>
    <w:semiHidden/>
    <w:rsid w:val="00D07982"/>
    <w:rPr>
      <w:rFonts w:asciiTheme="majorHAnsi" w:eastAsiaTheme="majorEastAsia" w:hAnsiTheme="majorHAnsi" w:cstheme="majorBidi"/>
      <w:color w:val="404040" w:themeColor="text1" w:themeTint="BF"/>
      <w:sz w:val="20"/>
      <w:szCs w:val="20"/>
    </w:rPr>
  </w:style>
  <w:style w:type="character" w:customStyle="1" w:styleId="Nadpis9Char">
    <w:name w:val="Nadpis 9 Char"/>
    <w:basedOn w:val="Standardnpsmoodstavce"/>
    <w:link w:val="Nadpis9"/>
    <w:uiPriority w:val="9"/>
    <w:semiHidden/>
    <w:rsid w:val="00D07982"/>
    <w:rPr>
      <w:rFonts w:asciiTheme="majorHAnsi" w:eastAsiaTheme="majorEastAsia" w:hAnsiTheme="majorHAnsi" w:cstheme="majorBidi"/>
      <w:i/>
      <w:iCs/>
      <w:color w:val="404040" w:themeColor="text1" w:themeTint="BF"/>
      <w:sz w:val="20"/>
      <w:szCs w:val="20"/>
    </w:rPr>
  </w:style>
  <w:style w:type="paragraph" w:styleId="Odstavecseseznamem">
    <w:name w:val="List Paragraph"/>
    <w:basedOn w:val="Normln"/>
    <w:link w:val="OdstavecseseznamemChar"/>
    <w:uiPriority w:val="34"/>
    <w:qFormat/>
    <w:rsid w:val="00D1019A"/>
    <w:pPr>
      <w:ind w:left="720"/>
      <w:contextualSpacing/>
    </w:pPr>
  </w:style>
  <w:style w:type="character" w:customStyle="1" w:styleId="OdstavecseseznamemChar">
    <w:name w:val="Odstavec se seznamem Char"/>
    <w:basedOn w:val="Standardnpsmoodstavce"/>
    <w:link w:val="Odstavecseseznamem"/>
    <w:uiPriority w:val="34"/>
    <w:rsid w:val="00715F3A"/>
  </w:style>
  <w:style w:type="paragraph" w:styleId="Textpoznpodarou">
    <w:name w:val="footnote text"/>
    <w:basedOn w:val="Normln"/>
    <w:link w:val="TextpoznpodarouChar"/>
    <w:uiPriority w:val="99"/>
    <w:semiHidden/>
    <w:rsid w:val="009C0220"/>
    <w:pPr>
      <w:spacing w:before="0" w:after="0"/>
    </w:pPr>
    <w:rPr>
      <w:rFonts w:ascii="Calibri" w:eastAsia="Times New Roman" w:hAnsi="Calibri" w:cs="Times New Roman"/>
      <w:sz w:val="18"/>
      <w:szCs w:val="20"/>
      <w:lang w:eastAsia="cs-CZ"/>
    </w:rPr>
  </w:style>
  <w:style w:type="character" w:customStyle="1" w:styleId="TextpoznpodarouChar">
    <w:name w:val="Text pozn. pod čarou Char"/>
    <w:basedOn w:val="Standardnpsmoodstavce"/>
    <w:link w:val="Textpoznpodarou"/>
    <w:uiPriority w:val="99"/>
    <w:semiHidden/>
    <w:rsid w:val="009C0220"/>
    <w:rPr>
      <w:rFonts w:ascii="Calibri" w:eastAsia="Times New Roman" w:hAnsi="Calibri" w:cs="Times New Roman"/>
      <w:sz w:val="18"/>
      <w:szCs w:val="20"/>
      <w:lang w:eastAsia="cs-CZ"/>
    </w:rPr>
  </w:style>
  <w:style w:type="character" w:styleId="Znakapoznpodarou">
    <w:name w:val="footnote reference"/>
    <w:basedOn w:val="Standardnpsmoodstavce"/>
    <w:uiPriority w:val="99"/>
    <w:rsid w:val="00D07982"/>
    <w:rPr>
      <w:rFonts w:cs="Times New Roman"/>
      <w:vertAlign w:val="superscript"/>
    </w:rPr>
  </w:style>
  <w:style w:type="paragraph" w:styleId="Obsah1">
    <w:name w:val="toc 1"/>
    <w:basedOn w:val="Normln"/>
    <w:next w:val="Normln"/>
    <w:autoRedefine/>
    <w:uiPriority w:val="39"/>
    <w:unhideWhenUsed/>
    <w:rsid w:val="005A6850"/>
    <w:pPr>
      <w:spacing w:after="100"/>
    </w:pPr>
    <w:rPr>
      <w:b/>
    </w:rPr>
  </w:style>
  <w:style w:type="paragraph" w:styleId="Obsah2">
    <w:name w:val="toc 2"/>
    <w:basedOn w:val="Normln"/>
    <w:next w:val="Normln"/>
    <w:autoRedefine/>
    <w:uiPriority w:val="39"/>
    <w:unhideWhenUsed/>
    <w:rsid w:val="0027643D"/>
    <w:pPr>
      <w:spacing w:before="80" w:after="40"/>
      <w:ind w:left="221"/>
    </w:pPr>
    <w:rPr>
      <w:b/>
    </w:rPr>
  </w:style>
  <w:style w:type="character" w:styleId="Hypertextovodkaz">
    <w:name w:val="Hyperlink"/>
    <w:basedOn w:val="Standardnpsmoodstavce"/>
    <w:uiPriority w:val="99"/>
    <w:unhideWhenUsed/>
    <w:rsid w:val="00D07982"/>
    <w:rPr>
      <w:color w:val="0000FF" w:themeColor="hyperlink"/>
      <w:u w:val="single"/>
    </w:rPr>
  </w:style>
  <w:style w:type="table" w:styleId="Mkatabulky">
    <w:name w:val="Table Grid"/>
    <w:basedOn w:val="Normlntabulka"/>
    <w:uiPriority w:val="59"/>
    <w:rsid w:val="00AD0C1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ulek">
    <w:name w:val="caption"/>
    <w:basedOn w:val="Normln"/>
    <w:next w:val="Normln"/>
    <w:uiPriority w:val="35"/>
    <w:unhideWhenUsed/>
    <w:qFormat/>
    <w:rsid w:val="00B61F56"/>
    <w:pPr>
      <w:spacing w:before="240" w:after="240"/>
      <w:ind w:left="851" w:hanging="851"/>
      <w:jc w:val="left"/>
    </w:pPr>
    <w:rPr>
      <w:bCs/>
      <w:color w:val="4F81BD" w:themeColor="accent1"/>
      <w:szCs w:val="18"/>
    </w:rPr>
  </w:style>
  <w:style w:type="paragraph" w:styleId="Zhlav">
    <w:name w:val="header"/>
    <w:basedOn w:val="Normln"/>
    <w:link w:val="ZhlavChar"/>
    <w:uiPriority w:val="99"/>
    <w:unhideWhenUsed/>
    <w:rsid w:val="00B91093"/>
    <w:pPr>
      <w:tabs>
        <w:tab w:val="center" w:pos="4536"/>
        <w:tab w:val="right" w:pos="9072"/>
      </w:tabs>
      <w:spacing w:before="0" w:after="0"/>
    </w:pPr>
  </w:style>
  <w:style w:type="character" w:customStyle="1" w:styleId="ZhlavChar">
    <w:name w:val="Záhlaví Char"/>
    <w:basedOn w:val="Standardnpsmoodstavce"/>
    <w:link w:val="Zhlav"/>
    <w:uiPriority w:val="99"/>
    <w:rsid w:val="00B91093"/>
  </w:style>
  <w:style w:type="paragraph" w:styleId="Zpat">
    <w:name w:val="footer"/>
    <w:basedOn w:val="Normln"/>
    <w:link w:val="ZpatChar"/>
    <w:uiPriority w:val="99"/>
    <w:unhideWhenUsed/>
    <w:rsid w:val="00B91093"/>
    <w:pPr>
      <w:tabs>
        <w:tab w:val="center" w:pos="4536"/>
        <w:tab w:val="right" w:pos="9072"/>
      </w:tabs>
      <w:spacing w:before="0" w:after="0"/>
    </w:pPr>
  </w:style>
  <w:style w:type="character" w:customStyle="1" w:styleId="ZpatChar">
    <w:name w:val="Zápatí Char"/>
    <w:basedOn w:val="Standardnpsmoodstavce"/>
    <w:link w:val="Zpat"/>
    <w:uiPriority w:val="99"/>
    <w:rsid w:val="00B91093"/>
  </w:style>
  <w:style w:type="paragraph" w:styleId="Textbubliny">
    <w:name w:val="Balloon Text"/>
    <w:basedOn w:val="Normln"/>
    <w:link w:val="TextbublinyChar"/>
    <w:uiPriority w:val="99"/>
    <w:semiHidden/>
    <w:unhideWhenUsed/>
    <w:rsid w:val="00477AFF"/>
    <w:pPr>
      <w:spacing w:before="0" w:after="0"/>
    </w:pPr>
    <w:rPr>
      <w:rFonts w:ascii="Tahoma" w:hAnsi="Tahoma" w:cs="Tahoma"/>
      <w:sz w:val="16"/>
      <w:szCs w:val="16"/>
    </w:rPr>
  </w:style>
  <w:style w:type="character" w:customStyle="1" w:styleId="TextbublinyChar">
    <w:name w:val="Text bubliny Char"/>
    <w:basedOn w:val="Standardnpsmoodstavce"/>
    <w:link w:val="Textbubliny"/>
    <w:uiPriority w:val="99"/>
    <w:semiHidden/>
    <w:rsid w:val="00477AFF"/>
    <w:rPr>
      <w:rFonts w:ascii="Tahoma" w:hAnsi="Tahoma" w:cs="Tahoma"/>
      <w:sz w:val="16"/>
      <w:szCs w:val="16"/>
    </w:rPr>
  </w:style>
  <w:style w:type="paragraph" w:styleId="Obsah3">
    <w:name w:val="toc 3"/>
    <w:basedOn w:val="Normln"/>
    <w:next w:val="Normln"/>
    <w:autoRedefine/>
    <w:uiPriority w:val="39"/>
    <w:unhideWhenUsed/>
    <w:rsid w:val="00F00D5B"/>
    <w:pPr>
      <w:tabs>
        <w:tab w:val="left" w:pos="1320"/>
        <w:tab w:val="right" w:leader="dot" w:pos="9204"/>
      </w:tabs>
      <w:spacing w:before="40" w:after="40"/>
      <w:ind w:left="442"/>
    </w:pPr>
  </w:style>
  <w:style w:type="character" w:styleId="slostrnky">
    <w:name w:val="page number"/>
    <w:basedOn w:val="Standardnpsmoodstavce"/>
    <w:rsid w:val="00B6295A"/>
  </w:style>
  <w:style w:type="table" w:customStyle="1" w:styleId="Mkatabulky1">
    <w:name w:val="Mřížka tabulky1"/>
    <w:basedOn w:val="Normlntabulka"/>
    <w:next w:val="Mkatabulky"/>
    <w:uiPriority w:val="59"/>
    <w:rsid w:val="00925B6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ledovanodkaz">
    <w:name w:val="FollowedHyperlink"/>
    <w:basedOn w:val="Standardnpsmoodstavce"/>
    <w:uiPriority w:val="99"/>
    <w:semiHidden/>
    <w:unhideWhenUsed/>
    <w:rsid w:val="00691F2B"/>
    <w:rPr>
      <w:color w:val="800080" w:themeColor="followedHyperlink"/>
      <w:u w:val="single"/>
    </w:rPr>
  </w:style>
  <w:style w:type="table" w:customStyle="1" w:styleId="Mkatabulky2">
    <w:name w:val="Mřížka tabulky2"/>
    <w:basedOn w:val="Normlntabulka"/>
    <w:next w:val="Mkatabulky"/>
    <w:uiPriority w:val="59"/>
    <w:rsid w:val="00512BF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kaznakoment">
    <w:name w:val="annotation reference"/>
    <w:basedOn w:val="Standardnpsmoodstavce"/>
    <w:uiPriority w:val="99"/>
    <w:semiHidden/>
    <w:unhideWhenUsed/>
    <w:rsid w:val="00314319"/>
    <w:rPr>
      <w:sz w:val="16"/>
      <w:szCs w:val="16"/>
    </w:rPr>
  </w:style>
  <w:style w:type="paragraph" w:styleId="Textkomente">
    <w:name w:val="annotation text"/>
    <w:basedOn w:val="Normln"/>
    <w:link w:val="TextkomenteChar"/>
    <w:uiPriority w:val="99"/>
    <w:semiHidden/>
    <w:unhideWhenUsed/>
    <w:rsid w:val="00314319"/>
    <w:rPr>
      <w:sz w:val="20"/>
      <w:szCs w:val="20"/>
    </w:rPr>
  </w:style>
  <w:style w:type="character" w:customStyle="1" w:styleId="TextkomenteChar">
    <w:name w:val="Text komentáře Char"/>
    <w:basedOn w:val="Standardnpsmoodstavce"/>
    <w:link w:val="Textkomente"/>
    <w:uiPriority w:val="99"/>
    <w:semiHidden/>
    <w:rsid w:val="00314319"/>
    <w:rPr>
      <w:sz w:val="20"/>
      <w:szCs w:val="20"/>
    </w:rPr>
  </w:style>
  <w:style w:type="paragraph" w:styleId="Pedmtkomente">
    <w:name w:val="annotation subject"/>
    <w:basedOn w:val="Textkomente"/>
    <w:next w:val="Textkomente"/>
    <w:link w:val="PedmtkomenteChar"/>
    <w:uiPriority w:val="99"/>
    <w:semiHidden/>
    <w:unhideWhenUsed/>
    <w:rsid w:val="00314319"/>
    <w:rPr>
      <w:b/>
      <w:bCs/>
    </w:rPr>
  </w:style>
  <w:style w:type="character" w:customStyle="1" w:styleId="PedmtkomenteChar">
    <w:name w:val="Předmět komentáře Char"/>
    <w:basedOn w:val="TextkomenteChar"/>
    <w:link w:val="Pedmtkomente"/>
    <w:uiPriority w:val="99"/>
    <w:semiHidden/>
    <w:rsid w:val="00314319"/>
    <w:rPr>
      <w:b/>
      <w:bCs/>
      <w:sz w:val="20"/>
      <w:szCs w:val="20"/>
    </w:rPr>
  </w:style>
  <w:style w:type="character" w:styleId="Zstupntext">
    <w:name w:val="Placeholder Text"/>
    <w:basedOn w:val="Standardnpsmoodstavce"/>
    <w:uiPriority w:val="99"/>
    <w:semiHidden/>
    <w:rsid w:val="00A6156A"/>
    <w:rPr>
      <w:color w:val="808080"/>
    </w:rPr>
  </w:style>
  <w:style w:type="table" w:customStyle="1" w:styleId="Mkatabulky3">
    <w:name w:val="Mřížka tabulky3"/>
    <w:basedOn w:val="Normlntabulka"/>
    <w:next w:val="Mkatabulky"/>
    <w:uiPriority w:val="59"/>
    <w:rsid w:val="00C57B3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itace1">
    <w:name w:val="Citace_1"/>
    <w:basedOn w:val="Odstavecseseznamem"/>
    <w:link w:val="Citace1Char"/>
    <w:qFormat/>
    <w:rsid w:val="00AF601F"/>
    <w:pPr>
      <w:numPr>
        <w:numId w:val="2"/>
      </w:numPr>
      <w:ind w:left="567" w:hanging="567"/>
      <w:contextualSpacing w:val="0"/>
      <w:jc w:val="left"/>
    </w:pPr>
    <w:rPr>
      <w:lang w:eastAsia="cs-CZ"/>
    </w:rPr>
  </w:style>
  <w:style w:type="character" w:customStyle="1" w:styleId="Citace1Char">
    <w:name w:val="Citace_1 Char"/>
    <w:basedOn w:val="Standardnpsmoodstavce"/>
    <w:link w:val="Citace1"/>
    <w:rsid w:val="00AF601F"/>
    <w:rPr>
      <w:lang w:eastAsia="cs-CZ"/>
    </w:rPr>
  </w:style>
  <w:style w:type="character" w:customStyle="1" w:styleId="label">
    <w:name w:val="label"/>
    <w:basedOn w:val="Standardnpsmoodstavce"/>
    <w:rsid w:val="00584A26"/>
  </w:style>
  <w:style w:type="character" w:customStyle="1" w:styleId="value">
    <w:name w:val="value"/>
    <w:basedOn w:val="Standardnpsmoodstavce"/>
    <w:rsid w:val="00584A26"/>
  </w:style>
  <w:style w:type="paragraph" w:customStyle="1" w:styleId="Informanzdroj">
    <w:name w:val="Informační zdroj"/>
    <w:basedOn w:val="Odstavecseseznamem"/>
    <w:link w:val="InformanzdrojChar"/>
    <w:rsid w:val="00715F3A"/>
    <w:pPr>
      <w:numPr>
        <w:numId w:val="4"/>
      </w:numPr>
      <w:contextualSpacing w:val="0"/>
      <w:jc w:val="left"/>
    </w:pPr>
    <w:rPr>
      <w:lang w:eastAsia="cs-CZ"/>
    </w:rPr>
  </w:style>
  <w:style w:type="character" w:customStyle="1" w:styleId="InformanzdrojChar">
    <w:name w:val="Informační zdroj Char"/>
    <w:basedOn w:val="OdstavecseseznamemChar"/>
    <w:link w:val="Informanzdroj"/>
    <w:rsid w:val="00715F3A"/>
    <w:rPr>
      <w:lang w:eastAsia="cs-CZ"/>
    </w:rPr>
  </w:style>
  <w:style w:type="table" w:customStyle="1" w:styleId="Mkatabulky4">
    <w:name w:val="Mřížka tabulky4"/>
    <w:basedOn w:val="Normlntabulka"/>
    <w:next w:val="Mkatabulky"/>
    <w:uiPriority w:val="59"/>
    <w:rsid w:val="003D251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Svtlstnovnzvraznn1">
    <w:name w:val="Light Shading Accent 1"/>
    <w:basedOn w:val="Normlntabulka"/>
    <w:uiPriority w:val="60"/>
    <w:rsid w:val="000F3591"/>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paragraph" w:styleId="Obsah4">
    <w:name w:val="toc 4"/>
    <w:basedOn w:val="Normln"/>
    <w:next w:val="Normln"/>
    <w:autoRedefine/>
    <w:uiPriority w:val="39"/>
    <w:unhideWhenUsed/>
    <w:rsid w:val="00F00D5B"/>
    <w:pPr>
      <w:spacing w:before="20" w:after="20"/>
      <w:ind w:left="658"/>
    </w:pPr>
    <w:rPr>
      <w:sz w:val="20"/>
    </w:rPr>
  </w:style>
  <w:style w:type="table" w:customStyle="1" w:styleId="Mkatabulky5">
    <w:name w:val="Mřížka tabulky5"/>
    <w:basedOn w:val="Normlntabulka"/>
    <w:next w:val="Mkatabulky"/>
    <w:uiPriority w:val="59"/>
    <w:rsid w:val="00F1764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6">
    <w:name w:val="Mřížka tabulky6"/>
    <w:basedOn w:val="Normlntabulka"/>
    <w:next w:val="Mkatabulky"/>
    <w:uiPriority w:val="59"/>
    <w:rsid w:val="00C8256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7">
    <w:name w:val="Mřížka tabulky7"/>
    <w:basedOn w:val="Normlntabulka"/>
    <w:next w:val="Mkatabulky"/>
    <w:uiPriority w:val="59"/>
    <w:rsid w:val="00C6566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11">
    <w:name w:val="Mřížka tabulky11"/>
    <w:basedOn w:val="Normlntabulka"/>
    <w:next w:val="Mkatabulky"/>
    <w:uiPriority w:val="59"/>
    <w:rsid w:val="003E481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12">
    <w:name w:val="Mřížka tabulky12"/>
    <w:basedOn w:val="Normlntabulka"/>
    <w:next w:val="Mkatabulky"/>
    <w:uiPriority w:val="59"/>
    <w:rsid w:val="003E481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13">
    <w:name w:val="Mřížka tabulky13"/>
    <w:basedOn w:val="Normlntabulka"/>
    <w:next w:val="Mkatabulky"/>
    <w:uiPriority w:val="59"/>
    <w:rsid w:val="0066451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bsah5">
    <w:name w:val="toc 5"/>
    <w:basedOn w:val="Normln"/>
    <w:next w:val="Normln"/>
    <w:autoRedefine/>
    <w:uiPriority w:val="39"/>
    <w:unhideWhenUsed/>
    <w:rsid w:val="00167766"/>
    <w:pPr>
      <w:spacing w:before="0" w:after="100" w:line="276" w:lineRule="auto"/>
      <w:ind w:left="880"/>
      <w:jc w:val="left"/>
    </w:pPr>
    <w:rPr>
      <w:rFonts w:eastAsiaTheme="minorEastAsia"/>
      <w:lang w:eastAsia="cs-CZ"/>
    </w:rPr>
  </w:style>
  <w:style w:type="paragraph" w:styleId="Obsah6">
    <w:name w:val="toc 6"/>
    <w:basedOn w:val="Normln"/>
    <w:next w:val="Normln"/>
    <w:autoRedefine/>
    <w:uiPriority w:val="39"/>
    <w:unhideWhenUsed/>
    <w:rsid w:val="00167766"/>
    <w:pPr>
      <w:spacing w:before="0" w:after="100" w:line="276" w:lineRule="auto"/>
      <w:ind w:left="1100"/>
      <w:jc w:val="left"/>
    </w:pPr>
    <w:rPr>
      <w:rFonts w:eastAsiaTheme="minorEastAsia"/>
      <w:lang w:eastAsia="cs-CZ"/>
    </w:rPr>
  </w:style>
  <w:style w:type="paragraph" w:styleId="Obsah7">
    <w:name w:val="toc 7"/>
    <w:basedOn w:val="Normln"/>
    <w:next w:val="Normln"/>
    <w:autoRedefine/>
    <w:uiPriority w:val="39"/>
    <w:unhideWhenUsed/>
    <w:rsid w:val="00167766"/>
    <w:pPr>
      <w:spacing w:before="0" w:after="100" w:line="276" w:lineRule="auto"/>
      <w:ind w:left="1320"/>
      <w:jc w:val="left"/>
    </w:pPr>
    <w:rPr>
      <w:rFonts w:eastAsiaTheme="minorEastAsia"/>
      <w:lang w:eastAsia="cs-CZ"/>
    </w:rPr>
  </w:style>
  <w:style w:type="paragraph" w:styleId="Obsah8">
    <w:name w:val="toc 8"/>
    <w:basedOn w:val="Normln"/>
    <w:next w:val="Normln"/>
    <w:autoRedefine/>
    <w:uiPriority w:val="39"/>
    <w:unhideWhenUsed/>
    <w:rsid w:val="00167766"/>
    <w:pPr>
      <w:spacing w:before="0" w:after="100" w:line="276" w:lineRule="auto"/>
      <w:ind w:left="1540"/>
      <w:jc w:val="left"/>
    </w:pPr>
    <w:rPr>
      <w:rFonts w:eastAsiaTheme="minorEastAsia"/>
      <w:lang w:eastAsia="cs-CZ"/>
    </w:rPr>
  </w:style>
  <w:style w:type="paragraph" w:styleId="Obsah9">
    <w:name w:val="toc 9"/>
    <w:basedOn w:val="Normln"/>
    <w:next w:val="Normln"/>
    <w:autoRedefine/>
    <w:uiPriority w:val="39"/>
    <w:unhideWhenUsed/>
    <w:rsid w:val="00167766"/>
    <w:pPr>
      <w:spacing w:before="0" w:after="100" w:line="276" w:lineRule="auto"/>
      <w:ind w:left="1760"/>
      <w:jc w:val="left"/>
    </w:pPr>
    <w:rPr>
      <w:rFonts w:eastAsiaTheme="minorEastAsia"/>
      <w:lang w:eastAsia="cs-CZ"/>
    </w:rPr>
  </w:style>
  <w:style w:type="paragraph" w:styleId="Revize">
    <w:name w:val="Revision"/>
    <w:hidden/>
    <w:uiPriority w:val="99"/>
    <w:semiHidden/>
    <w:rsid w:val="00D8477B"/>
    <w:pPr>
      <w:spacing w:after="0" w:line="240" w:lineRule="auto"/>
    </w:pPr>
  </w:style>
  <w:style w:type="paragraph" w:styleId="Bezmezer">
    <w:name w:val="No Spacing"/>
    <w:uiPriority w:val="1"/>
    <w:qFormat/>
    <w:rsid w:val="00DB1F2C"/>
    <w:pPr>
      <w:spacing w:after="0" w:line="240" w:lineRule="auto"/>
      <w:jc w:val="both"/>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0031D2"/>
    <w:pPr>
      <w:spacing w:before="120" w:after="120" w:line="240" w:lineRule="auto"/>
      <w:jc w:val="both"/>
    </w:pPr>
  </w:style>
  <w:style w:type="paragraph" w:styleId="Nadpis1">
    <w:name w:val="heading 1"/>
    <w:basedOn w:val="Normln"/>
    <w:next w:val="Normln"/>
    <w:link w:val="Nadpis1Char"/>
    <w:uiPriority w:val="9"/>
    <w:qFormat/>
    <w:rsid w:val="003A4367"/>
    <w:pPr>
      <w:keepNext/>
      <w:keepLines/>
      <w:numPr>
        <w:numId w:val="1"/>
      </w:numPr>
      <w:spacing w:before="480" w:after="240"/>
      <w:ind w:left="431" w:hanging="431"/>
      <w:outlineLvl w:val="0"/>
    </w:pPr>
    <w:rPr>
      <w:rFonts w:ascii="Calibri" w:eastAsiaTheme="majorEastAsia" w:hAnsi="Calibri" w:cstheme="majorBidi"/>
      <w:b/>
      <w:bCs/>
      <w:color w:val="365F91" w:themeColor="accent1" w:themeShade="BF"/>
      <w:sz w:val="28"/>
      <w:szCs w:val="28"/>
    </w:rPr>
  </w:style>
  <w:style w:type="paragraph" w:styleId="Nadpis2">
    <w:name w:val="heading 2"/>
    <w:basedOn w:val="Normln"/>
    <w:next w:val="Normln"/>
    <w:link w:val="Nadpis2Char"/>
    <w:uiPriority w:val="9"/>
    <w:unhideWhenUsed/>
    <w:qFormat/>
    <w:rsid w:val="00DE22A4"/>
    <w:pPr>
      <w:keepNext/>
      <w:keepLines/>
      <w:numPr>
        <w:ilvl w:val="1"/>
        <w:numId w:val="1"/>
      </w:numPr>
      <w:spacing w:before="200" w:after="240"/>
      <w:outlineLvl w:val="1"/>
    </w:pPr>
    <w:rPr>
      <w:rFonts w:ascii="Calibri" w:eastAsiaTheme="majorEastAsia" w:hAnsi="Calibri" w:cstheme="majorBidi"/>
      <w:b/>
      <w:bCs/>
      <w:color w:val="4F81BD" w:themeColor="accent1"/>
      <w:sz w:val="26"/>
      <w:szCs w:val="26"/>
      <w:lang w:eastAsia="cs-CZ"/>
    </w:rPr>
  </w:style>
  <w:style w:type="paragraph" w:styleId="Nadpis3">
    <w:name w:val="heading 3"/>
    <w:basedOn w:val="Normln"/>
    <w:next w:val="Normln"/>
    <w:link w:val="Nadpis3Char"/>
    <w:uiPriority w:val="9"/>
    <w:unhideWhenUsed/>
    <w:qFormat/>
    <w:rsid w:val="00C24622"/>
    <w:pPr>
      <w:keepNext/>
      <w:keepLines/>
      <w:numPr>
        <w:ilvl w:val="2"/>
        <w:numId w:val="1"/>
      </w:numPr>
      <w:spacing w:before="240" w:after="240"/>
      <w:outlineLvl w:val="2"/>
    </w:pPr>
    <w:rPr>
      <w:rFonts w:ascii="Calibri" w:eastAsia="Times New Roman" w:hAnsi="Calibri" w:cstheme="majorBidi"/>
      <w:b/>
      <w:bCs/>
      <w:color w:val="4F81BD" w:themeColor="accent1"/>
      <w:sz w:val="24"/>
      <w:lang w:eastAsia="cs-CZ"/>
    </w:rPr>
  </w:style>
  <w:style w:type="paragraph" w:styleId="Nadpis4">
    <w:name w:val="heading 4"/>
    <w:basedOn w:val="Normln"/>
    <w:next w:val="Normln"/>
    <w:link w:val="Nadpis4Char"/>
    <w:uiPriority w:val="9"/>
    <w:unhideWhenUsed/>
    <w:qFormat/>
    <w:rsid w:val="00867FEB"/>
    <w:pPr>
      <w:keepNext/>
      <w:keepLines/>
      <w:numPr>
        <w:ilvl w:val="3"/>
        <w:numId w:val="1"/>
      </w:numPr>
      <w:spacing w:before="240" w:line="264" w:lineRule="auto"/>
      <w:outlineLvl w:val="3"/>
    </w:pPr>
    <w:rPr>
      <w:rFonts w:eastAsia="Times New Roman" w:cstheme="majorBidi"/>
      <w:b/>
      <w:bCs/>
      <w:iCs/>
      <w:color w:val="365F91" w:themeColor="accent1" w:themeShade="BF"/>
      <w:lang w:eastAsia="cs-CZ"/>
    </w:rPr>
  </w:style>
  <w:style w:type="paragraph" w:styleId="Nadpis5">
    <w:name w:val="heading 5"/>
    <w:basedOn w:val="Normln"/>
    <w:next w:val="Normln"/>
    <w:link w:val="Nadpis5Char"/>
    <w:uiPriority w:val="9"/>
    <w:unhideWhenUsed/>
    <w:qFormat/>
    <w:rsid w:val="00D26674"/>
    <w:pPr>
      <w:keepNext/>
      <w:keepLines/>
      <w:numPr>
        <w:ilvl w:val="4"/>
        <w:numId w:val="1"/>
      </w:numPr>
      <w:spacing w:before="200" w:after="0"/>
      <w:outlineLvl w:val="4"/>
    </w:pPr>
    <w:rPr>
      <w:rFonts w:ascii="Calibri" w:eastAsiaTheme="majorEastAsia" w:hAnsi="Calibri" w:cstheme="majorBidi"/>
      <w:color w:val="243F60" w:themeColor="accent1" w:themeShade="7F"/>
    </w:rPr>
  </w:style>
  <w:style w:type="paragraph" w:styleId="Nadpis6">
    <w:name w:val="heading 6"/>
    <w:basedOn w:val="Normln"/>
    <w:next w:val="Normln"/>
    <w:link w:val="Nadpis6Char"/>
    <w:uiPriority w:val="9"/>
    <w:semiHidden/>
    <w:unhideWhenUsed/>
    <w:qFormat/>
    <w:rsid w:val="00D07982"/>
    <w:pPr>
      <w:keepNext/>
      <w:keepLines/>
      <w:numPr>
        <w:ilvl w:val="5"/>
        <w:numId w:val="1"/>
      </w:numPr>
      <w:spacing w:before="200" w:after="0"/>
      <w:outlineLvl w:val="5"/>
    </w:pPr>
    <w:rPr>
      <w:rFonts w:asciiTheme="majorHAnsi" w:eastAsiaTheme="majorEastAsia" w:hAnsiTheme="majorHAnsi" w:cstheme="majorBidi"/>
      <w:i/>
      <w:iCs/>
      <w:color w:val="243F60" w:themeColor="accent1" w:themeShade="7F"/>
    </w:rPr>
  </w:style>
  <w:style w:type="paragraph" w:styleId="Nadpis7">
    <w:name w:val="heading 7"/>
    <w:basedOn w:val="Normln"/>
    <w:next w:val="Normln"/>
    <w:link w:val="Nadpis7Char"/>
    <w:uiPriority w:val="9"/>
    <w:semiHidden/>
    <w:unhideWhenUsed/>
    <w:qFormat/>
    <w:rsid w:val="00D07982"/>
    <w:pPr>
      <w:keepNext/>
      <w:keepLines/>
      <w:numPr>
        <w:ilvl w:val="6"/>
        <w:numId w:val="1"/>
      </w:numPr>
      <w:spacing w:before="200" w:after="0"/>
      <w:outlineLvl w:val="6"/>
    </w:pPr>
    <w:rPr>
      <w:rFonts w:asciiTheme="majorHAnsi" w:eastAsiaTheme="majorEastAsia" w:hAnsiTheme="majorHAnsi" w:cstheme="majorBidi"/>
      <w:i/>
      <w:iCs/>
      <w:color w:val="404040" w:themeColor="text1" w:themeTint="BF"/>
    </w:rPr>
  </w:style>
  <w:style w:type="paragraph" w:styleId="Nadpis8">
    <w:name w:val="heading 8"/>
    <w:basedOn w:val="Normln"/>
    <w:next w:val="Normln"/>
    <w:link w:val="Nadpis8Char"/>
    <w:uiPriority w:val="9"/>
    <w:semiHidden/>
    <w:unhideWhenUsed/>
    <w:qFormat/>
    <w:rsid w:val="00D07982"/>
    <w:pPr>
      <w:keepNext/>
      <w:keepLines/>
      <w:numPr>
        <w:ilvl w:val="7"/>
        <w:numId w:val="1"/>
      </w:numPr>
      <w:spacing w:before="200" w:after="0"/>
      <w:outlineLvl w:val="7"/>
    </w:pPr>
    <w:rPr>
      <w:rFonts w:asciiTheme="majorHAnsi" w:eastAsiaTheme="majorEastAsia" w:hAnsiTheme="majorHAnsi" w:cstheme="majorBidi"/>
      <w:color w:val="404040" w:themeColor="text1" w:themeTint="BF"/>
      <w:sz w:val="20"/>
      <w:szCs w:val="20"/>
    </w:rPr>
  </w:style>
  <w:style w:type="paragraph" w:styleId="Nadpis9">
    <w:name w:val="heading 9"/>
    <w:basedOn w:val="Normln"/>
    <w:next w:val="Normln"/>
    <w:link w:val="Nadpis9Char"/>
    <w:uiPriority w:val="9"/>
    <w:semiHidden/>
    <w:unhideWhenUsed/>
    <w:qFormat/>
    <w:rsid w:val="00D07982"/>
    <w:pPr>
      <w:keepNext/>
      <w:keepLines/>
      <w:numPr>
        <w:ilvl w:val="8"/>
        <w:numId w:val="1"/>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3A4367"/>
    <w:rPr>
      <w:rFonts w:ascii="Calibri" w:eastAsiaTheme="majorEastAsia" w:hAnsi="Calibri" w:cstheme="majorBidi"/>
      <w:b/>
      <w:bCs/>
      <w:color w:val="365F91" w:themeColor="accent1" w:themeShade="BF"/>
      <w:sz w:val="28"/>
      <w:szCs w:val="28"/>
    </w:rPr>
  </w:style>
  <w:style w:type="character" w:customStyle="1" w:styleId="Nadpis2Char">
    <w:name w:val="Nadpis 2 Char"/>
    <w:basedOn w:val="Standardnpsmoodstavce"/>
    <w:link w:val="Nadpis2"/>
    <w:uiPriority w:val="9"/>
    <w:rsid w:val="00DE22A4"/>
    <w:rPr>
      <w:rFonts w:ascii="Calibri" w:eastAsiaTheme="majorEastAsia" w:hAnsi="Calibri" w:cstheme="majorBidi"/>
      <w:b/>
      <w:bCs/>
      <w:color w:val="4F81BD" w:themeColor="accent1"/>
      <w:sz w:val="26"/>
      <w:szCs w:val="26"/>
      <w:lang w:eastAsia="cs-CZ"/>
    </w:rPr>
  </w:style>
  <w:style w:type="character" w:customStyle="1" w:styleId="Nadpis3Char">
    <w:name w:val="Nadpis 3 Char"/>
    <w:basedOn w:val="Standardnpsmoodstavce"/>
    <w:link w:val="Nadpis3"/>
    <w:uiPriority w:val="9"/>
    <w:rsid w:val="00C24622"/>
    <w:rPr>
      <w:rFonts w:ascii="Calibri" w:eastAsia="Times New Roman" w:hAnsi="Calibri" w:cstheme="majorBidi"/>
      <w:b/>
      <w:bCs/>
      <w:color w:val="4F81BD" w:themeColor="accent1"/>
      <w:sz w:val="24"/>
      <w:lang w:eastAsia="cs-CZ"/>
    </w:rPr>
  </w:style>
  <w:style w:type="character" w:customStyle="1" w:styleId="Nadpis4Char">
    <w:name w:val="Nadpis 4 Char"/>
    <w:basedOn w:val="Standardnpsmoodstavce"/>
    <w:link w:val="Nadpis4"/>
    <w:uiPriority w:val="9"/>
    <w:rsid w:val="00867FEB"/>
    <w:rPr>
      <w:rFonts w:eastAsia="Times New Roman" w:cstheme="majorBidi"/>
      <w:b/>
      <w:bCs/>
      <w:iCs/>
      <w:color w:val="365F91" w:themeColor="accent1" w:themeShade="BF"/>
      <w:lang w:eastAsia="cs-CZ"/>
    </w:rPr>
  </w:style>
  <w:style w:type="character" w:customStyle="1" w:styleId="Nadpis5Char">
    <w:name w:val="Nadpis 5 Char"/>
    <w:basedOn w:val="Standardnpsmoodstavce"/>
    <w:link w:val="Nadpis5"/>
    <w:uiPriority w:val="9"/>
    <w:rsid w:val="00D26674"/>
    <w:rPr>
      <w:rFonts w:ascii="Calibri" w:eastAsiaTheme="majorEastAsia" w:hAnsi="Calibri" w:cstheme="majorBidi"/>
      <w:color w:val="243F60" w:themeColor="accent1" w:themeShade="7F"/>
    </w:rPr>
  </w:style>
  <w:style w:type="character" w:customStyle="1" w:styleId="Nadpis6Char">
    <w:name w:val="Nadpis 6 Char"/>
    <w:basedOn w:val="Standardnpsmoodstavce"/>
    <w:link w:val="Nadpis6"/>
    <w:uiPriority w:val="9"/>
    <w:semiHidden/>
    <w:rsid w:val="00D07982"/>
    <w:rPr>
      <w:rFonts w:asciiTheme="majorHAnsi" w:eastAsiaTheme="majorEastAsia" w:hAnsiTheme="majorHAnsi" w:cstheme="majorBidi"/>
      <w:i/>
      <w:iCs/>
      <w:color w:val="243F60" w:themeColor="accent1" w:themeShade="7F"/>
    </w:rPr>
  </w:style>
  <w:style w:type="character" w:customStyle="1" w:styleId="Nadpis7Char">
    <w:name w:val="Nadpis 7 Char"/>
    <w:basedOn w:val="Standardnpsmoodstavce"/>
    <w:link w:val="Nadpis7"/>
    <w:uiPriority w:val="9"/>
    <w:semiHidden/>
    <w:rsid w:val="00D07982"/>
    <w:rPr>
      <w:rFonts w:asciiTheme="majorHAnsi" w:eastAsiaTheme="majorEastAsia" w:hAnsiTheme="majorHAnsi" w:cstheme="majorBidi"/>
      <w:i/>
      <w:iCs/>
      <w:color w:val="404040" w:themeColor="text1" w:themeTint="BF"/>
    </w:rPr>
  </w:style>
  <w:style w:type="character" w:customStyle="1" w:styleId="Nadpis8Char">
    <w:name w:val="Nadpis 8 Char"/>
    <w:basedOn w:val="Standardnpsmoodstavce"/>
    <w:link w:val="Nadpis8"/>
    <w:uiPriority w:val="9"/>
    <w:semiHidden/>
    <w:rsid w:val="00D07982"/>
    <w:rPr>
      <w:rFonts w:asciiTheme="majorHAnsi" w:eastAsiaTheme="majorEastAsia" w:hAnsiTheme="majorHAnsi" w:cstheme="majorBidi"/>
      <w:color w:val="404040" w:themeColor="text1" w:themeTint="BF"/>
      <w:sz w:val="20"/>
      <w:szCs w:val="20"/>
    </w:rPr>
  </w:style>
  <w:style w:type="character" w:customStyle="1" w:styleId="Nadpis9Char">
    <w:name w:val="Nadpis 9 Char"/>
    <w:basedOn w:val="Standardnpsmoodstavce"/>
    <w:link w:val="Nadpis9"/>
    <w:uiPriority w:val="9"/>
    <w:semiHidden/>
    <w:rsid w:val="00D07982"/>
    <w:rPr>
      <w:rFonts w:asciiTheme="majorHAnsi" w:eastAsiaTheme="majorEastAsia" w:hAnsiTheme="majorHAnsi" w:cstheme="majorBidi"/>
      <w:i/>
      <w:iCs/>
      <w:color w:val="404040" w:themeColor="text1" w:themeTint="BF"/>
      <w:sz w:val="20"/>
      <w:szCs w:val="20"/>
    </w:rPr>
  </w:style>
  <w:style w:type="paragraph" w:styleId="Odstavecseseznamem">
    <w:name w:val="List Paragraph"/>
    <w:basedOn w:val="Normln"/>
    <w:link w:val="OdstavecseseznamemChar"/>
    <w:uiPriority w:val="34"/>
    <w:qFormat/>
    <w:rsid w:val="00D1019A"/>
    <w:pPr>
      <w:ind w:left="720"/>
      <w:contextualSpacing/>
    </w:pPr>
  </w:style>
  <w:style w:type="character" w:customStyle="1" w:styleId="OdstavecseseznamemChar">
    <w:name w:val="Odstavec se seznamem Char"/>
    <w:basedOn w:val="Standardnpsmoodstavce"/>
    <w:link w:val="Odstavecseseznamem"/>
    <w:uiPriority w:val="34"/>
    <w:rsid w:val="00715F3A"/>
  </w:style>
  <w:style w:type="paragraph" w:styleId="Textpoznpodarou">
    <w:name w:val="footnote text"/>
    <w:basedOn w:val="Normln"/>
    <w:link w:val="TextpoznpodarouChar"/>
    <w:uiPriority w:val="99"/>
    <w:semiHidden/>
    <w:rsid w:val="009C0220"/>
    <w:pPr>
      <w:spacing w:before="0" w:after="0"/>
    </w:pPr>
    <w:rPr>
      <w:rFonts w:ascii="Calibri" w:eastAsia="Times New Roman" w:hAnsi="Calibri" w:cs="Times New Roman"/>
      <w:sz w:val="18"/>
      <w:szCs w:val="20"/>
      <w:lang w:eastAsia="cs-CZ"/>
    </w:rPr>
  </w:style>
  <w:style w:type="character" w:customStyle="1" w:styleId="TextpoznpodarouChar">
    <w:name w:val="Text pozn. pod čarou Char"/>
    <w:basedOn w:val="Standardnpsmoodstavce"/>
    <w:link w:val="Textpoznpodarou"/>
    <w:uiPriority w:val="99"/>
    <w:semiHidden/>
    <w:rsid w:val="009C0220"/>
    <w:rPr>
      <w:rFonts w:ascii="Calibri" w:eastAsia="Times New Roman" w:hAnsi="Calibri" w:cs="Times New Roman"/>
      <w:sz w:val="18"/>
      <w:szCs w:val="20"/>
      <w:lang w:eastAsia="cs-CZ"/>
    </w:rPr>
  </w:style>
  <w:style w:type="character" w:styleId="Znakapoznpodarou">
    <w:name w:val="footnote reference"/>
    <w:basedOn w:val="Standardnpsmoodstavce"/>
    <w:uiPriority w:val="99"/>
    <w:rsid w:val="00D07982"/>
    <w:rPr>
      <w:rFonts w:cs="Times New Roman"/>
      <w:vertAlign w:val="superscript"/>
    </w:rPr>
  </w:style>
  <w:style w:type="paragraph" w:styleId="Obsah1">
    <w:name w:val="toc 1"/>
    <w:basedOn w:val="Normln"/>
    <w:next w:val="Normln"/>
    <w:autoRedefine/>
    <w:uiPriority w:val="39"/>
    <w:unhideWhenUsed/>
    <w:rsid w:val="005A6850"/>
    <w:pPr>
      <w:spacing w:after="100"/>
    </w:pPr>
    <w:rPr>
      <w:b/>
    </w:rPr>
  </w:style>
  <w:style w:type="paragraph" w:styleId="Obsah2">
    <w:name w:val="toc 2"/>
    <w:basedOn w:val="Normln"/>
    <w:next w:val="Normln"/>
    <w:autoRedefine/>
    <w:uiPriority w:val="39"/>
    <w:unhideWhenUsed/>
    <w:rsid w:val="0027643D"/>
    <w:pPr>
      <w:spacing w:before="80" w:after="40"/>
      <w:ind w:left="221"/>
    </w:pPr>
    <w:rPr>
      <w:b/>
    </w:rPr>
  </w:style>
  <w:style w:type="character" w:styleId="Hypertextovodkaz">
    <w:name w:val="Hyperlink"/>
    <w:basedOn w:val="Standardnpsmoodstavce"/>
    <w:uiPriority w:val="99"/>
    <w:unhideWhenUsed/>
    <w:rsid w:val="00D07982"/>
    <w:rPr>
      <w:color w:val="0000FF" w:themeColor="hyperlink"/>
      <w:u w:val="single"/>
    </w:rPr>
  </w:style>
  <w:style w:type="table" w:styleId="Mkatabulky">
    <w:name w:val="Table Grid"/>
    <w:basedOn w:val="Normlntabulka"/>
    <w:uiPriority w:val="59"/>
    <w:rsid w:val="00AD0C1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ulek">
    <w:name w:val="caption"/>
    <w:basedOn w:val="Normln"/>
    <w:next w:val="Normln"/>
    <w:uiPriority w:val="35"/>
    <w:unhideWhenUsed/>
    <w:qFormat/>
    <w:rsid w:val="00B61F56"/>
    <w:pPr>
      <w:spacing w:before="240" w:after="240"/>
      <w:ind w:left="851" w:hanging="851"/>
      <w:jc w:val="left"/>
    </w:pPr>
    <w:rPr>
      <w:bCs/>
      <w:color w:val="4F81BD" w:themeColor="accent1"/>
      <w:szCs w:val="18"/>
    </w:rPr>
  </w:style>
  <w:style w:type="paragraph" w:styleId="Zhlav">
    <w:name w:val="header"/>
    <w:basedOn w:val="Normln"/>
    <w:link w:val="ZhlavChar"/>
    <w:uiPriority w:val="99"/>
    <w:unhideWhenUsed/>
    <w:rsid w:val="00B91093"/>
    <w:pPr>
      <w:tabs>
        <w:tab w:val="center" w:pos="4536"/>
        <w:tab w:val="right" w:pos="9072"/>
      </w:tabs>
      <w:spacing w:before="0" w:after="0"/>
    </w:pPr>
  </w:style>
  <w:style w:type="character" w:customStyle="1" w:styleId="ZhlavChar">
    <w:name w:val="Záhlaví Char"/>
    <w:basedOn w:val="Standardnpsmoodstavce"/>
    <w:link w:val="Zhlav"/>
    <w:uiPriority w:val="99"/>
    <w:rsid w:val="00B91093"/>
  </w:style>
  <w:style w:type="paragraph" w:styleId="Zpat">
    <w:name w:val="footer"/>
    <w:basedOn w:val="Normln"/>
    <w:link w:val="ZpatChar"/>
    <w:uiPriority w:val="99"/>
    <w:unhideWhenUsed/>
    <w:rsid w:val="00B91093"/>
    <w:pPr>
      <w:tabs>
        <w:tab w:val="center" w:pos="4536"/>
        <w:tab w:val="right" w:pos="9072"/>
      </w:tabs>
      <w:spacing w:before="0" w:after="0"/>
    </w:pPr>
  </w:style>
  <w:style w:type="character" w:customStyle="1" w:styleId="ZpatChar">
    <w:name w:val="Zápatí Char"/>
    <w:basedOn w:val="Standardnpsmoodstavce"/>
    <w:link w:val="Zpat"/>
    <w:uiPriority w:val="99"/>
    <w:rsid w:val="00B91093"/>
  </w:style>
  <w:style w:type="paragraph" w:styleId="Textbubliny">
    <w:name w:val="Balloon Text"/>
    <w:basedOn w:val="Normln"/>
    <w:link w:val="TextbublinyChar"/>
    <w:uiPriority w:val="99"/>
    <w:semiHidden/>
    <w:unhideWhenUsed/>
    <w:rsid w:val="00477AFF"/>
    <w:pPr>
      <w:spacing w:before="0" w:after="0"/>
    </w:pPr>
    <w:rPr>
      <w:rFonts w:ascii="Tahoma" w:hAnsi="Tahoma" w:cs="Tahoma"/>
      <w:sz w:val="16"/>
      <w:szCs w:val="16"/>
    </w:rPr>
  </w:style>
  <w:style w:type="character" w:customStyle="1" w:styleId="TextbublinyChar">
    <w:name w:val="Text bubliny Char"/>
    <w:basedOn w:val="Standardnpsmoodstavce"/>
    <w:link w:val="Textbubliny"/>
    <w:uiPriority w:val="99"/>
    <w:semiHidden/>
    <w:rsid w:val="00477AFF"/>
    <w:rPr>
      <w:rFonts w:ascii="Tahoma" w:hAnsi="Tahoma" w:cs="Tahoma"/>
      <w:sz w:val="16"/>
      <w:szCs w:val="16"/>
    </w:rPr>
  </w:style>
  <w:style w:type="paragraph" w:styleId="Obsah3">
    <w:name w:val="toc 3"/>
    <w:basedOn w:val="Normln"/>
    <w:next w:val="Normln"/>
    <w:autoRedefine/>
    <w:uiPriority w:val="39"/>
    <w:unhideWhenUsed/>
    <w:rsid w:val="00F00D5B"/>
    <w:pPr>
      <w:tabs>
        <w:tab w:val="left" w:pos="1320"/>
        <w:tab w:val="right" w:leader="dot" w:pos="9204"/>
      </w:tabs>
      <w:spacing w:before="40" w:after="40"/>
      <w:ind w:left="442"/>
    </w:pPr>
  </w:style>
  <w:style w:type="character" w:styleId="slostrnky">
    <w:name w:val="page number"/>
    <w:basedOn w:val="Standardnpsmoodstavce"/>
    <w:rsid w:val="00B6295A"/>
  </w:style>
  <w:style w:type="table" w:customStyle="1" w:styleId="Mkatabulky1">
    <w:name w:val="Mřížka tabulky1"/>
    <w:basedOn w:val="Normlntabulka"/>
    <w:next w:val="Mkatabulky"/>
    <w:uiPriority w:val="59"/>
    <w:rsid w:val="00925B6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ledovanodkaz">
    <w:name w:val="FollowedHyperlink"/>
    <w:basedOn w:val="Standardnpsmoodstavce"/>
    <w:uiPriority w:val="99"/>
    <w:semiHidden/>
    <w:unhideWhenUsed/>
    <w:rsid w:val="00691F2B"/>
    <w:rPr>
      <w:color w:val="800080" w:themeColor="followedHyperlink"/>
      <w:u w:val="single"/>
    </w:rPr>
  </w:style>
  <w:style w:type="table" w:customStyle="1" w:styleId="Mkatabulky2">
    <w:name w:val="Mřížka tabulky2"/>
    <w:basedOn w:val="Normlntabulka"/>
    <w:next w:val="Mkatabulky"/>
    <w:uiPriority w:val="59"/>
    <w:rsid w:val="00512BF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kaznakoment">
    <w:name w:val="annotation reference"/>
    <w:basedOn w:val="Standardnpsmoodstavce"/>
    <w:uiPriority w:val="99"/>
    <w:semiHidden/>
    <w:unhideWhenUsed/>
    <w:rsid w:val="00314319"/>
    <w:rPr>
      <w:sz w:val="16"/>
      <w:szCs w:val="16"/>
    </w:rPr>
  </w:style>
  <w:style w:type="paragraph" w:styleId="Textkomente">
    <w:name w:val="annotation text"/>
    <w:basedOn w:val="Normln"/>
    <w:link w:val="TextkomenteChar"/>
    <w:uiPriority w:val="99"/>
    <w:semiHidden/>
    <w:unhideWhenUsed/>
    <w:rsid w:val="00314319"/>
    <w:rPr>
      <w:sz w:val="20"/>
      <w:szCs w:val="20"/>
    </w:rPr>
  </w:style>
  <w:style w:type="character" w:customStyle="1" w:styleId="TextkomenteChar">
    <w:name w:val="Text komentáře Char"/>
    <w:basedOn w:val="Standardnpsmoodstavce"/>
    <w:link w:val="Textkomente"/>
    <w:uiPriority w:val="99"/>
    <w:semiHidden/>
    <w:rsid w:val="00314319"/>
    <w:rPr>
      <w:sz w:val="20"/>
      <w:szCs w:val="20"/>
    </w:rPr>
  </w:style>
  <w:style w:type="paragraph" w:styleId="Pedmtkomente">
    <w:name w:val="annotation subject"/>
    <w:basedOn w:val="Textkomente"/>
    <w:next w:val="Textkomente"/>
    <w:link w:val="PedmtkomenteChar"/>
    <w:uiPriority w:val="99"/>
    <w:semiHidden/>
    <w:unhideWhenUsed/>
    <w:rsid w:val="00314319"/>
    <w:rPr>
      <w:b/>
      <w:bCs/>
    </w:rPr>
  </w:style>
  <w:style w:type="character" w:customStyle="1" w:styleId="PedmtkomenteChar">
    <w:name w:val="Předmět komentáře Char"/>
    <w:basedOn w:val="TextkomenteChar"/>
    <w:link w:val="Pedmtkomente"/>
    <w:uiPriority w:val="99"/>
    <w:semiHidden/>
    <w:rsid w:val="00314319"/>
    <w:rPr>
      <w:b/>
      <w:bCs/>
      <w:sz w:val="20"/>
      <w:szCs w:val="20"/>
    </w:rPr>
  </w:style>
  <w:style w:type="character" w:styleId="Zstupntext">
    <w:name w:val="Placeholder Text"/>
    <w:basedOn w:val="Standardnpsmoodstavce"/>
    <w:uiPriority w:val="99"/>
    <w:semiHidden/>
    <w:rsid w:val="00A6156A"/>
    <w:rPr>
      <w:color w:val="808080"/>
    </w:rPr>
  </w:style>
  <w:style w:type="table" w:customStyle="1" w:styleId="Mkatabulky3">
    <w:name w:val="Mřížka tabulky3"/>
    <w:basedOn w:val="Normlntabulka"/>
    <w:next w:val="Mkatabulky"/>
    <w:uiPriority w:val="59"/>
    <w:rsid w:val="00C57B3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itace1">
    <w:name w:val="Citace_1"/>
    <w:basedOn w:val="Odstavecseseznamem"/>
    <w:link w:val="Citace1Char"/>
    <w:qFormat/>
    <w:rsid w:val="00AF601F"/>
    <w:pPr>
      <w:numPr>
        <w:numId w:val="2"/>
      </w:numPr>
      <w:ind w:left="567" w:hanging="567"/>
      <w:contextualSpacing w:val="0"/>
      <w:jc w:val="left"/>
    </w:pPr>
    <w:rPr>
      <w:lang w:eastAsia="cs-CZ"/>
    </w:rPr>
  </w:style>
  <w:style w:type="character" w:customStyle="1" w:styleId="Citace1Char">
    <w:name w:val="Citace_1 Char"/>
    <w:basedOn w:val="Standardnpsmoodstavce"/>
    <w:link w:val="Citace1"/>
    <w:rsid w:val="00AF601F"/>
    <w:rPr>
      <w:lang w:eastAsia="cs-CZ"/>
    </w:rPr>
  </w:style>
  <w:style w:type="character" w:customStyle="1" w:styleId="label">
    <w:name w:val="label"/>
    <w:basedOn w:val="Standardnpsmoodstavce"/>
    <w:rsid w:val="00584A26"/>
  </w:style>
  <w:style w:type="character" w:customStyle="1" w:styleId="value">
    <w:name w:val="value"/>
    <w:basedOn w:val="Standardnpsmoodstavce"/>
    <w:rsid w:val="00584A26"/>
  </w:style>
  <w:style w:type="paragraph" w:customStyle="1" w:styleId="Informanzdroj">
    <w:name w:val="Informační zdroj"/>
    <w:basedOn w:val="Odstavecseseznamem"/>
    <w:link w:val="InformanzdrojChar"/>
    <w:rsid w:val="00715F3A"/>
    <w:pPr>
      <w:numPr>
        <w:numId w:val="4"/>
      </w:numPr>
      <w:contextualSpacing w:val="0"/>
      <w:jc w:val="left"/>
    </w:pPr>
    <w:rPr>
      <w:lang w:eastAsia="cs-CZ"/>
    </w:rPr>
  </w:style>
  <w:style w:type="character" w:customStyle="1" w:styleId="InformanzdrojChar">
    <w:name w:val="Informační zdroj Char"/>
    <w:basedOn w:val="OdstavecseseznamemChar"/>
    <w:link w:val="Informanzdroj"/>
    <w:rsid w:val="00715F3A"/>
    <w:rPr>
      <w:lang w:eastAsia="cs-CZ"/>
    </w:rPr>
  </w:style>
  <w:style w:type="table" w:customStyle="1" w:styleId="Mkatabulky4">
    <w:name w:val="Mřížka tabulky4"/>
    <w:basedOn w:val="Normlntabulka"/>
    <w:next w:val="Mkatabulky"/>
    <w:uiPriority w:val="59"/>
    <w:rsid w:val="003D251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Svtlstnovnzvraznn1">
    <w:name w:val="Light Shading Accent 1"/>
    <w:basedOn w:val="Normlntabulka"/>
    <w:uiPriority w:val="60"/>
    <w:rsid w:val="000F3591"/>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paragraph" w:styleId="Obsah4">
    <w:name w:val="toc 4"/>
    <w:basedOn w:val="Normln"/>
    <w:next w:val="Normln"/>
    <w:autoRedefine/>
    <w:uiPriority w:val="39"/>
    <w:unhideWhenUsed/>
    <w:rsid w:val="00F00D5B"/>
    <w:pPr>
      <w:spacing w:before="20" w:after="20"/>
      <w:ind w:left="658"/>
    </w:pPr>
    <w:rPr>
      <w:sz w:val="20"/>
    </w:rPr>
  </w:style>
  <w:style w:type="table" w:customStyle="1" w:styleId="Mkatabulky5">
    <w:name w:val="Mřížka tabulky5"/>
    <w:basedOn w:val="Normlntabulka"/>
    <w:next w:val="Mkatabulky"/>
    <w:uiPriority w:val="59"/>
    <w:rsid w:val="00F1764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6">
    <w:name w:val="Mřížka tabulky6"/>
    <w:basedOn w:val="Normlntabulka"/>
    <w:next w:val="Mkatabulky"/>
    <w:uiPriority w:val="59"/>
    <w:rsid w:val="00C8256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7">
    <w:name w:val="Mřížka tabulky7"/>
    <w:basedOn w:val="Normlntabulka"/>
    <w:next w:val="Mkatabulky"/>
    <w:uiPriority w:val="59"/>
    <w:rsid w:val="00C6566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11">
    <w:name w:val="Mřížka tabulky11"/>
    <w:basedOn w:val="Normlntabulka"/>
    <w:next w:val="Mkatabulky"/>
    <w:uiPriority w:val="59"/>
    <w:rsid w:val="003E481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12">
    <w:name w:val="Mřížka tabulky12"/>
    <w:basedOn w:val="Normlntabulka"/>
    <w:next w:val="Mkatabulky"/>
    <w:uiPriority w:val="59"/>
    <w:rsid w:val="003E481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13">
    <w:name w:val="Mřížka tabulky13"/>
    <w:basedOn w:val="Normlntabulka"/>
    <w:next w:val="Mkatabulky"/>
    <w:uiPriority w:val="59"/>
    <w:rsid w:val="0066451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bsah5">
    <w:name w:val="toc 5"/>
    <w:basedOn w:val="Normln"/>
    <w:next w:val="Normln"/>
    <w:autoRedefine/>
    <w:uiPriority w:val="39"/>
    <w:unhideWhenUsed/>
    <w:rsid w:val="00167766"/>
    <w:pPr>
      <w:spacing w:before="0" w:after="100" w:line="276" w:lineRule="auto"/>
      <w:ind w:left="880"/>
      <w:jc w:val="left"/>
    </w:pPr>
    <w:rPr>
      <w:rFonts w:eastAsiaTheme="minorEastAsia"/>
      <w:lang w:eastAsia="cs-CZ"/>
    </w:rPr>
  </w:style>
  <w:style w:type="paragraph" w:styleId="Obsah6">
    <w:name w:val="toc 6"/>
    <w:basedOn w:val="Normln"/>
    <w:next w:val="Normln"/>
    <w:autoRedefine/>
    <w:uiPriority w:val="39"/>
    <w:unhideWhenUsed/>
    <w:rsid w:val="00167766"/>
    <w:pPr>
      <w:spacing w:before="0" w:after="100" w:line="276" w:lineRule="auto"/>
      <w:ind w:left="1100"/>
      <w:jc w:val="left"/>
    </w:pPr>
    <w:rPr>
      <w:rFonts w:eastAsiaTheme="minorEastAsia"/>
      <w:lang w:eastAsia="cs-CZ"/>
    </w:rPr>
  </w:style>
  <w:style w:type="paragraph" w:styleId="Obsah7">
    <w:name w:val="toc 7"/>
    <w:basedOn w:val="Normln"/>
    <w:next w:val="Normln"/>
    <w:autoRedefine/>
    <w:uiPriority w:val="39"/>
    <w:unhideWhenUsed/>
    <w:rsid w:val="00167766"/>
    <w:pPr>
      <w:spacing w:before="0" w:after="100" w:line="276" w:lineRule="auto"/>
      <w:ind w:left="1320"/>
      <w:jc w:val="left"/>
    </w:pPr>
    <w:rPr>
      <w:rFonts w:eastAsiaTheme="minorEastAsia"/>
      <w:lang w:eastAsia="cs-CZ"/>
    </w:rPr>
  </w:style>
  <w:style w:type="paragraph" w:styleId="Obsah8">
    <w:name w:val="toc 8"/>
    <w:basedOn w:val="Normln"/>
    <w:next w:val="Normln"/>
    <w:autoRedefine/>
    <w:uiPriority w:val="39"/>
    <w:unhideWhenUsed/>
    <w:rsid w:val="00167766"/>
    <w:pPr>
      <w:spacing w:before="0" w:after="100" w:line="276" w:lineRule="auto"/>
      <w:ind w:left="1540"/>
      <w:jc w:val="left"/>
    </w:pPr>
    <w:rPr>
      <w:rFonts w:eastAsiaTheme="minorEastAsia"/>
      <w:lang w:eastAsia="cs-CZ"/>
    </w:rPr>
  </w:style>
  <w:style w:type="paragraph" w:styleId="Obsah9">
    <w:name w:val="toc 9"/>
    <w:basedOn w:val="Normln"/>
    <w:next w:val="Normln"/>
    <w:autoRedefine/>
    <w:uiPriority w:val="39"/>
    <w:unhideWhenUsed/>
    <w:rsid w:val="00167766"/>
    <w:pPr>
      <w:spacing w:before="0" w:after="100" w:line="276" w:lineRule="auto"/>
      <w:ind w:left="1760"/>
      <w:jc w:val="left"/>
    </w:pPr>
    <w:rPr>
      <w:rFonts w:eastAsiaTheme="minorEastAsia"/>
      <w:lang w:eastAsia="cs-CZ"/>
    </w:rPr>
  </w:style>
  <w:style w:type="paragraph" w:styleId="Revize">
    <w:name w:val="Revision"/>
    <w:hidden/>
    <w:uiPriority w:val="99"/>
    <w:semiHidden/>
    <w:rsid w:val="00D8477B"/>
    <w:pPr>
      <w:spacing w:after="0" w:line="240" w:lineRule="auto"/>
    </w:pPr>
  </w:style>
  <w:style w:type="paragraph" w:styleId="Bezmezer">
    <w:name w:val="No Spacing"/>
    <w:uiPriority w:val="1"/>
    <w:qFormat/>
    <w:rsid w:val="00DB1F2C"/>
    <w:pPr>
      <w:spacing w:after="0" w:line="240" w:lineRule="auto"/>
      <w:jc w:val="both"/>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594837">
      <w:bodyDiv w:val="1"/>
      <w:marLeft w:val="0"/>
      <w:marRight w:val="0"/>
      <w:marTop w:val="0"/>
      <w:marBottom w:val="0"/>
      <w:divBdr>
        <w:top w:val="none" w:sz="0" w:space="0" w:color="auto"/>
        <w:left w:val="none" w:sz="0" w:space="0" w:color="auto"/>
        <w:bottom w:val="none" w:sz="0" w:space="0" w:color="auto"/>
        <w:right w:val="none" w:sz="0" w:space="0" w:color="auto"/>
      </w:divBdr>
    </w:div>
    <w:div w:id="25370769">
      <w:bodyDiv w:val="1"/>
      <w:marLeft w:val="0"/>
      <w:marRight w:val="0"/>
      <w:marTop w:val="0"/>
      <w:marBottom w:val="0"/>
      <w:divBdr>
        <w:top w:val="none" w:sz="0" w:space="0" w:color="auto"/>
        <w:left w:val="none" w:sz="0" w:space="0" w:color="auto"/>
        <w:bottom w:val="none" w:sz="0" w:space="0" w:color="auto"/>
        <w:right w:val="none" w:sz="0" w:space="0" w:color="auto"/>
      </w:divBdr>
    </w:div>
    <w:div w:id="28186101">
      <w:bodyDiv w:val="1"/>
      <w:marLeft w:val="0"/>
      <w:marRight w:val="0"/>
      <w:marTop w:val="0"/>
      <w:marBottom w:val="0"/>
      <w:divBdr>
        <w:top w:val="none" w:sz="0" w:space="0" w:color="auto"/>
        <w:left w:val="none" w:sz="0" w:space="0" w:color="auto"/>
        <w:bottom w:val="none" w:sz="0" w:space="0" w:color="auto"/>
        <w:right w:val="none" w:sz="0" w:space="0" w:color="auto"/>
      </w:divBdr>
    </w:div>
    <w:div w:id="133958685">
      <w:bodyDiv w:val="1"/>
      <w:marLeft w:val="0"/>
      <w:marRight w:val="0"/>
      <w:marTop w:val="0"/>
      <w:marBottom w:val="0"/>
      <w:divBdr>
        <w:top w:val="none" w:sz="0" w:space="0" w:color="auto"/>
        <w:left w:val="none" w:sz="0" w:space="0" w:color="auto"/>
        <w:bottom w:val="none" w:sz="0" w:space="0" w:color="auto"/>
        <w:right w:val="none" w:sz="0" w:space="0" w:color="auto"/>
      </w:divBdr>
    </w:div>
    <w:div w:id="151262292">
      <w:bodyDiv w:val="1"/>
      <w:marLeft w:val="0"/>
      <w:marRight w:val="0"/>
      <w:marTop w:val="0"/>
      <w:marBottom w:val="0"/>
      <w:divBdr>
        <w:top w:val="none" w:sz="0" w:space="0" w:color="auto"/>
        <w:left w:val="none" w:sz="0" w:space="0" w:color="auto"/>
        <w:bottom w:val="none" w:sz="0" w:space="0" w:color="auto"/>
        <w:right w:val="none" w:sz="0" w:space="0" w:color="auto"/>
      </w:divBdr>
    </w:div>
    <w:div w:id="164639070">
      <w:bodyDiv w:val="1"/>
      <w:marLeft w:val="0"/>
      <w:marRight w:val="0"/>
      <w:marTop w:val="0"/>
      <w:marBottom w:val="0"/>
      <w:divBdr>
        <w:top w:val="none" w:sz="0" w:space="0" w:color="auto"/>
        <w:left w:val="none" w:sz="0" w:space="0" w:color="auto"/>
        <w:bottom w:val="none" w:sz="0" w:space="0" w:color="auto"/>
        <w:right w:val="none" w:sz="0" w:space="0" w:color="auto"/>
      </w:divBdr>
    </w:div>
    <w:div w:id="293366532">
      <w:bodyDiv w:val="1"/>
      <w:marLeft w:val="0"/>
      <w:marRight w:val="0"/>
      <w:marTop w:val="0"/>
      <w:marBottom w:val="0"/>
      <w:divBdr>
        <w:top w:val="none" w:sz="0" w:space="0" w:color="auto"/>
        <w:left w:val="none" w:sz="0" w:space="0" w:color="auto"/>
        <w:bottom w:val="none" w:sz="0" w:space="0" w:color="auto"/>
        <w:right w:val="none" w:sz="0" w:space="0" w:color="auto"/>
      </w:divBdr>
    </w:div>
    <w:div w:id="307517493">
      <w:bodyDiv w:val="1"/>
      <w:marLeft w:val="0"/>
      <w:marRight w:val="0"/>
      <w:marTop w:val="0"/>
      <w:marBottom w:val="0"/>
      <w:divBdr>
        <w:top w:val="none" w:sz="0" w:space="0" w:color="auto"/>
        <w:left w:val="none" w:sz="0" w:space="0" w:color="auto"/>
        <w:bottom w:val="none" w:sz="0" w:space="0" w:color="auto"/>
        <w:right w:val="none" w:sz="0" w:space="0" w:color="auto"/>
      </w:divBdr>
    </w:div>
    <w:div w:id="315955554">
      <w:bodyDiv w:val="1"/>
      <w:marLeft w:val="0"/>
      <w:marRight w:val="0"/>
      <w:marTop w:val="0"/>
      <w:marBottom w:val="0"/>
      <w:divBdr>
        <w:top w:val="none" w:sz="0" w:space="0" w:color="auto"/>
        <w:left w:val="none" w:sz="0" w:space="0" w:color="auto"/>
        <w:bottom w:val="none" w:sz="0" w:space="0" w:color="auto"/>
        <w:right w:val="none" w:sz="0" w:space="0" w:color="auto"/>
      </w:divBdr>
    </w:div>
    <w:div w:id="317611362">
      <w:bodyDiv w:val="1"/>
      <w:marLeft w:val="0"/>
      <w:marRight w:val="0"/>
      <w:marTop w:val="0"/>
      <w:marBottom w:val="0"/>
      <w:divBdr>
        <w:top w:val="none" w:sz="0" w:space="0" w:color="auto"/>
        <w:left w:val="none" w:sz="0" w:space="0" w:color="auto"/>
        <w:bottom w:val="none" w:sz="0" w:space="0" w:color="auto"/>
        <w:right w:val="none" w:sz="0" w:space="0" w:color="auto"/>
      </w:divBdr>
      <w:divsChild>
        <w:div w:id="281112490">
          <w:marLeft w:val="0"/>
          <w:marRight w:val="0"/>
          <w:marTop w:val="0"/>
          <w:marBottom w:val="0"/>
          <w:divBdr>
            <w:top w:val="none" w:sz="0" w:space="0" w:color="auto"/>
            <w:left w:val="none" w:sz="0" w:space="0" w:color="auto"/>
            <w:bottom w:val="none" w:sz="0" w:space="0" w:color="auto"/>
            <w:right w:val="none" w:sz="0" w:space="0" w:color="auto"/>
          </w:divBdr>
        </w:div>
        <w:div w:id="139924630">
          <w:marLeft w:val="0"/>
          <w:marRight w:val="0"/>
          <w:marTop w:val="0"/>
          <w:marBottom w:val="0"/>
          <w:divBdr>
            <w:top w:val="none" w:sz="0" w:space="0" w:color="auto"/>
            <w:left w:val="none" w:sz="0" w:space="0" w:color="auto"/>
            <w:bottom w:val="none" w:sz="0" w:space="0" w:color="auto"/>
            <w:right w:val="none" w:sz="0" w:space="0" w:color="auto"/>
          </w:divBdr>
        </w:div>
        <w:div w:id="1046686061">
          <w:marLeft w:val="0"/>
          <w:marRight w:val="0"/>
          <w:marTop w:val="0"/>
          <w:marBottom w:val="0"/>
          <w:divBdr>
            <w:top w:val="none" w:sz="0" w:space="0" w:color="auto"/>
            <w:left w:val="none" w:sz="0" w:space="0" w:color="auto"/>
            <w:bottom w:val="none" w:sz="0" w:space="0" w:color="auto"/>
            <w:right w:val="none" w:sz="0" w:space="0" w:color="auto"/>
          </w:divBdr>
        </w:div>
        <w:div w:id="1011758449">
          <w:marLeft w:val="0"/>
          <w:marRight w:val="0"/>
          <w:marTop w:val="0"/>
          <w:marBottom w:val="0"/>
          <w:divBdr>
            <w:top w:val="none" w:sz="0" w:space="0" w:color="auto"/>
            <w:left w:val="none" w:sz="0" w:space="0" w:color="auto"/>
            <w:bottom w:val="none" w:sz="0" w:space="0" w:color="auto"/>
            <w:right w:val="none" w:sz="0" w:space="0" w:color="auto"/>
          </w:divBdr>
        </w:div>
        <w:div w:id="1352148079">
          <w:marLeft w:val="0"/>
          <w:marRight w:val="0"/>
          <w:marTop w:val="0"/>
          <w:marBottom w:val="0"/>
          <w:divBdr>
            <w:top w:val="none" w:sz="0" w:space="0" w:color="auto"/>
            <w:left w:val="none" w:sz="0" w:space="0" w:color="auto"/>
            <w:bottom w:val="none" w:sz="0" w:space="0" w:color="auto"/>
            <w:right w:val="none" w:sz="0" w:space="0" w:color="auto"/>
          </w:divBdr>
        </w:div>
        <w:div w:id="1353336788">
          <w:marLeft w:val="0"/>
          <w:marRight w:val="0"/>
          <w:marTop w:val="0"/>
          <w:marBottom w:val="0"/>
          <w:divBdr>
            <w:top w:val="none" w:sz="0" w:space="0" w:color="auto"/>
            <w:left w:val="none" w:sz="0" w:space="0" w:color="auto"/>
            <w:bottom w:val="none" w:sz="0" w:space="0" w:color="auto"/>
            <w:right w:val="none" w:sz="0" w:space="0" w:color="auto"/>
          </w:divBdr>
        </w:div>
        <w:div w:id="911352283">
          <w:marLeft w:val="0"/>
          <w:marRight w:val="0"/>
          <w:marTop w:val="0"/>
          <w:marBottom w:val="0"/>
          <w:divBdr>
            <w:top w:val="none" w:sz="0" w:space="0" w:color="auto"/>
            <w:left w:val="none" w:sz="0" w:space="0" w:color="auto"/>
            <w:bottom w:val="none" w:sz="0" w:space="0" w:color="auto"/>
            <w:right w:val="none" w:sz="0" w:space="0" w:color="auto"/>
          </w:divBdr>
        </w:div>
        <w:div w:id="1450006480">
          <w:marLeft w:val="0"/>
          <w:marRight w:val="0"/>
          <w:marTop w:val="0"/>
          <w:marBottom w:val="0"/>
          <w:divBdr>
            <w:top w:val="none" w:sz="0" w:space="0" w:color="auto"/>
            <w:left w:val="none" w:sz="0" w:space="0" w:color="auto"/>
            <w:bottom w:val="none" w:sz="0" w:space="0" w:color="auto"/>
            <w:right w:val="none" w:sz="0" w:space="0" w:color="auto"/>
          </w:divBdr>
        </w:div>
        <w:div w:id="1476025630">
          <w:marLeft w:val="0"/>
          <w:marRight w:val="0"/>
          <w:marTop w:val="0"/>
          <w:marBottom w:val="0"/>
          <w:divBdr>
            <w:top w:val="none" w:sz="0" w:space="0" w:color="auto"/>
            <w:left w:val="none" w:sz="0" w:space="0" w:color="auto"/>
            <w:bottom w:val="none" w:sz="0" w:space="0" w:color="auto"/>
            <w:right w:val="none" w:sz="0" w:space="0" w:color="auto"/>
          </w:divBdr>
        </w:div>
        <w:div w:id="1561986859">
          <w:marLeft w:val="0"/>
          <w:marRight w:val="0"/>
          <w:marTop w:val="0"/>
          <w:marBottom w:val="0"/>
          <w:divBdr>
            <w:top w:val="none" w:sz="0" w:space="0" w:color="auto"/>
            <w:left w:val="none" w:sz="0" w:space="0" w:color="auto"/>
            <w:bottom w:val="none" w:sz="0" w:space="0" w:color="auto"/>
            <w:right w:val="none" w:sz="0" w:space="0" w:color="auto"/>
          </w:divBdr>
        </w:div>
        <w:div w:id="254435889">
          <w:marLeft w:val="0"/>
          <w:marRight w:val="0"/>
          <w:marTop w:val="0"/>
          <w:marBottom w:val="0"/>
          <w:divBdr>
            <w:top w:val="none" w:sz="0" w:space="0" w:color="auto"/>
            <w:left w:val="none" w:sz="0" w:space="0" w:color="auto"/>
            <w:bottom w:val="none" w:sz="0" w:space="0" w:color="auto"/>
            <w:right w:val="none" w:sz="0" w:space="0" w:color="auto"/>
          </w:divBdr>
        </w:div>
        <w:div w:id="412514939">
          <w:marLeft w:val="0"/>
          <w:marRight w:val="0"/>
          <w:marTop w:val="0"/>
          <w:marBottom w:val="0"/>
          <w:divBdr>
            <w:top w:val="none" w:sz="0" w:space="0" w:color="auto"/>
            <w:left w:val="none" w:sz="0" w:space="0" w:color="auto"/>
            <w:bottom w:val="none" w:sz="0" w:space="0" w:color="auto"/>
            <w:right w:val="none" w:sz="0" w:space="0" w:color="auto"/>
          </w:divBdr>
        </w:div>
        <w:div w:id="1748914692">
          <w:marLeft w:val="0"/>
          <w:marRight w:val="0"/>
          <w:marTop w:val="0"/>
          <w:marBottom w:val="0"/>
          <w:divBdr>
            <w:top w:val="none" w:sz="0" w:space="0" w:color="auto"/>
            <w:left w:val="none" w:sz="0" w:space="0" w:color="auto"/>
            <w:bottom w:val="none" w:sz="0" w:space="0" w:color="auto"/>
            <w:right w:val="none" w:sz="0" w:space="0" w:color="auto"/>
          </w:divBdr>
        </w:div>
        <w:div w:id="1936555194">
          <w:marLeft w:val="0"/>
          <w:marRight w:val="0"/>
          <w:marTop w:val="0"/>
          <w:marBottom w:val="0"/>
          <w:divBdr>
            <w:top w:val="none" w:sz="0" w:space="0" w:color="auto"/>
            <w:left w:val="none" w:sz="0" w:space="0" w:color="auto"/>
            <w:bottom w:val="none" w:sz="0" w:space="0" w:color="auto"/>
            <w:right w:val="none" w:sz="0" w:space="0" w:color="auto"/>
          </w:divBdr>
        </w:div>
        <w:div w:id="466776575">
          <w:marLeft w:val="0"/>
          <w:marRight w:val="0"/>
          <w:marTop w:val="0"/>
          <w:marBottom w:val="0"/>
          <w:divBdr>
            <w:top w:val="none" w:sz="0" w:space="0" w:color="auto"/>
            <w:left w:val="none" w:sz="0" w:space="0" w:color="auto"/>
            <w:bottom w:val="none" w:sz="0" w:space="0" w:color="auto"/>
            <w:right w:val="none" w:sz="0" w:space="0" w:color="auto"/>
          </w:divBdr>
        </w:div>
        <w:div w:id="2027487395">
          <w:marLeft w:val="0"/>
          <w:marRight w:val="0"/>
          <w:marTop w:val="0"/>
          <w:marBottom w:val="0"/>
          <w:divBdr>
            <w:top w:val="none" w:sz="0" w:space="0" w:color="auto"/>
            <w:left w:val="none" w:sz="0" w:space="0" w:color="auto"/>
            <w:bottom w:val="none" w:sz="0" w:space="0" w:color="auto"/>
            <w:right w:val="none" w:sz="0" w:space="0" w:color="auto"/>
          </w:divBdr>
        </w:div>
        <w:div w:id="1786730153">
          <w:marLeft w:val="0"/>
          <w:marRight w:val="0"/>
          <w:marTop w:val="0"/>
          <w:marBottom w:val="0"/>
          <w:divBdr>
            <w:top w:val="none" w:sz="0" w:space="0" w:color="auto"/>
            <w:left w:val="none" w:sz="0" w:space="0" w:color="auto"/>
            <w:bottom w:val="none" w:sz="0" w:space="0" w:color="auto"/>
            <w:right w:val="none" w:sz="0" w:space="0" w:color="auto"/>
          </w:divBdr>
        </w:div>
        <w:div w:id="550920914">
          <w:marLeft w:val="0"/>
          <w:marRight w:val="0"/>
          <w:marTop w:val="0"/>
          <w:marBottom w:val="0"/>
          <w:divBdr>
            <w:top w:val="none" w:sz="0" w:space="0" w:color="auto"/>
            <w:left w:val="none" w:sz="0" w:space="0" w:color="auto"/>
            <w:bottom w:val="none" w:sz="0" w:space="0" w:color="auto"/>
            <w:right w:val="none" w:sz="0" w:space="0" w:color="auto"/>
          </w:divBdr>
        </w:div>
        <w:div w:id="1021205675">
          <w:marLeft w:val="0"/>
          <w:marRight w:val="0"/>
          <w:marTop w:val="0"/>
          <w:marBottom w:val="0"/>
          <w:divBdr>
            <w:top w:val="none" w:sz="0" w:space="0" w:color="auto"/>
            <w:left w:val="none" w:sz="0" w:space="0" w:color="auto"/>
            <w:bottom w:val="none" w:sz="0" w:space="0" w:color="auto"/>
            <w:right w:val="none" w:sz="0" w:space="0" w:color="auto"/>
          </w:divBdr>
        </w:div>
        <w:div w:id="948927973">
          <w:marLeft w:val="0"/>
          <w:marRight w:val="0"/>
          <w:marTop w:val="0"/>
          <w:marBottom w:val="0"/>
          <w:divBdr>
            <w:top w:val="none" w:sz="0" w:space="0" w:color="auto"/>
            <w:left w:val="none" w:sz="0" w:space="0" w:color="auto"/>
            <w:bottom w:val="none" w:sz="0" w:space="0" w:color="auto"/>
            <w:right w:val="none" w:sz="0" w:space="0" w:color="auto"/>
          </w:divBdr>
        </w:div>
        <w:div w:id="1772893882">
          <w:marLeft w:val="0"/>
          <w:marRight w:val="0"/>
          <w:marTop w:val="0"/>
          <w:marBottom w:val="0"/>
          <w:divBdr>
            <w:top w:val="none" w:sz="0" w:space="0" w:color="auto"/>
            <w:left w:val="none" w:sz="0" w:space="0" w:color="auto"/>
            <w:bottom w:val="none" w:sz="0" w:space="0" w:color="auto"/>
            <w:right w:val="none" w:sz="0" w:space="0" w:color="auto"/>
          </w:divBdr>
        </w:div>
        <w:div w:id="325671603">
          <w:marLeft w:val="0"/>
          <w:marRight w:val="0"/>
          <w:marTop w:val="0"/>
          <w:marBottom w:val="0"/>
          <w:divBdr>
            <w:top w:val="none" w:sz="0" w:space="0" w:color="auto"/>
            <w:left w:val="none" w:sz="0" w:space="0" w:color="auto"/>
            <w:bottom w:val="none" w:sz="0" w:space="0" w:color="auto"/>
            <w:right w:val="none" w:sz="0" w:space="0" w:color="auto"/>
          </w:divBdr>
        </w:div>
        <w:div w:id="495221498">
          <w:marLeft w:val="0"/>
          <w:marRight w:val="0"/>
          <w:marTop w:val="0"/>
          <w:marBottom w:val="0"/>
          <w:divBdr>
            <w:top w:val="none" w:sz="0" w:space="0" w:color="auto"/>
            <w:left w:val="none" w:sz="0" w:space="0" w:color="auto"/>
            <w:bottom w:val="none" w:sz="0" w:space="0" w:color="auto"/>
            <w:right w:val="none" w:sz="0" w:space="0" w:color="auto"/>
          </w:divBdr>
        </w:div>
        <w:div w:id="1718705024">
          <w:marLeft w:val="0"/>
          <w:marRight w:val="0"/>
          <w:marTop w:val="0"/>
          <w:marBottom w:val="0"/>
          <w:divBdr>
            <w:top w:val="none" w:sz="0" w:space="0" w:color="auto"/>
            <w:left w:val="none" w:sz="0" w:space="0" w:color="auto"/>
            <w:bottom w:val="none" w:sz="0" w:space="0" w:color="auto"/>
            <w:right w:val="none" w:sz="0" w:space="0" w:color="auto"/>
          </w:divBdr>
        </w:div>
        <w:div w:id="1807772903">
          <w:marLeft w:val="0"/>
          <w:marRight w:val="0"/>
          <w:marTop w:val="0"/>
          <w:marBottom w:val="0"/>
          <w:divBdr>
            <w:top w:val="none" w:sz="0" w:space="0" w:color="auto"/>
            <w:left w:val="none" w:sz="0" w:space="0" w:color="auto"/>
            <w:bottom w:val="none" w:sz="0" w:space="0" w:color="auto"/>
            <w:right w:val="none" w:sz="0" w:space="0" w:color="auto"/>
          </w:divBdr>
        </w:div>
        <w:div w:id="260068021">
          <w:marLeft w:val="0"/>
          <w:marRight w:val="0"/>
          <w:marTop w:val="0"/>
          <w:marBottom w:val="0"/>
          <w:divBdr>
            <w:top w:val="none" w:sz="0" w:space="0" w:color="auto"/>
            <w:left w:val="none" w:sz="0" w:space="0" w:color="auto"/>
            <w:bottom w:val="none" w:sz="0" w:space="0" w:color="auto"/>
            <w:right w:val="none" w:sz="0" w:space="0" w:color="auto"/>
          </w:divBdr>
        </w:div>
        <w:div w:id="2006744603">
          <w:marLeft w:val="0"/>
          <w:marRight w:val="0"/>
          <w:marTop w:val="0"/>
          <w:marBottom w:val="0"/>
          <w:divBdr>
            <w:top w:val="none" w:sz="0" w:space="0" w:color="auto"/>
            <w:left w:val="none" w:sz="0" w:space="0" w:color="auto"/>
            <w:bottom w:val="none" w:sz="0" w:space="0" w:color="auto"/>
            <w:right w:val="none" w:sz="0" w:space="0" w:color="auto"/>
          </w:divBdr>
        </w:div>
        <w:div w:id="282807336">
          <w:marLeft w:val="0"/>
          <w:marRight w:val="0"/>
          <w:marTop w:val="0"/>
          <w:marBottom w:val="0"/>
          <w:divBdr>
            <w:top w:val="none" w:sz="0" w:space="0" w:color="auto"/>
            <w:left w:val="none" w:sz="0" w:space="0" w:color="auto"/>
            <w:bottom w:val="none" w:sz="0" w:space="0" w:color="auto"/>
            <w:right w:val="none" w:sz="0" w:space="0" w:color="auto"/>
          </w:divBdr>
        </w:div>
        <w:div w:id="652373995">
          <w:marLeft w:val="0"/>
          <w:marRight w:val="0"/>
          <w:marTop w:val="0"/>
          <w:marBottom w:val="0"/>
          <w:divBdr>
            <w:top w:val="none" w:sz="0" w:space="0" w:color="auto"/>
            <w:left w:val="none" w:sz="0" w:space="0" w:color="auto"/>
            <w:bottom w:val="none" w:sz="0" w:space="0" w:color="auto"/>
            <w:right w:val="none" w:sz="0" w:space="0" w:color="auto"/>
          </w:divBdr>
        </w:div>
        <w:div w:id="997270692">
          <w:marLeft w:val="0"/>
          <w:marRight w:val="0"/>
          <w:marTop w:val="0"/>
          <w:marBottom w:val="0"/>
          <w:divBdr>
            <w:top w:val="none" w:sz="0" w:space="0" w:color="auto"/>
            <w:left w:val="none" w:sz="0" w:space="0" w:color="auto"/>
            <w:bottom w:val="none" w:sz="0" w:space="0" w:color="auto"/>
            <w:right w:val="none" w:sz="0" w:space="0" w:color="auto"/>
          </w:divBdr>
        </w:div>
        <w:div w:id="1017075009">
          <w:marLeft w:val="0"/>
          <w:marRight w:val="0"/>
          <w:marTop w:val="0"/>
          <w:marBottom w:val="0"/>
          <w:divBdr>
            <w:top w:val="none" w:sz="0" w:space="0" w:color="auto"/>
            <w:left w:val="none" w:sz="0" w:space="0" w:color="auto"/>
            <w:bottom w:val="none" w:sz="0" w:space="0" w:color="auto"/>
            <w:right w:val="none" w:sz="0" w:space="0" w:color="auto"/>
          </w:divBdr>
        </w:div>
        <w:div w:id="1211307387">
          <w:marLeft w:val="0"/>
          <w:marRight w:val="0"/>
          <w:marTop w:val="0"/>
          <w:marBottom w:val="0"/>
          <w:divBdr>
            <w:top w:val="none" w:sz="0" w:space="0" w:color="auto"/>
            <w:left w:val="none" w:sz="0" w:space="0" w:color="auto"/>
            <w:bottom w:val="none" w:sz="0" w:space="0" w:color="auto"/>
            <w:right w:val="none" w:sz="0" w:space="0" w:color="auto"/>
          </w:divBdr>
        </w:div>
        <w:div w:id="230509807">
          <w:marLeft w:val="0"/>
          <w:marRight w:val="0"/>
          <w:marTop w:val="0"/>
          <w:marBottom w:val="0"/>
          <w:divBdr>
            <w:top w:val="none" w:sz="0" w:space="0" w:color="auto"/>
            <w:left w:val="none" w:sz="0" w:space="0" w:color="auto"/>
            <w:bottom w:val="none" w:sz="0" w:space="0" w:color="auto"/>
            <w:right w:val="none" w:sz="0" w:space="0" w:color="auto"/>
          </w:divBdr>
        </w:div>
        <w:div w:id="23672247">
          <w:marLeft w:val="0"/>
          <w:marRight w:val="0"/>
          <w:marTop w:val="0"/>
          <w:marBottom w:val="0"/>
          <w:divBdr>
            <w:top w:val="none" w:sz="0" w:space="0" w:color="auto"/>
            <w:left w:val="none" w:sz="0" w:space="0" w:color="auto"/>
            <w:bottom w:val="none" w:sz="0" w:space="0" w:color="auto"/>
            <w:right w:val="none" w:sz="0" w:space="0" w:color="auto"/>
          </w:divBdr>
        </w:div>
        <w:div w:id="1018501458">
          <w:marLeft w:val="0"/>
          <w:marRight w:val="0"/>
          <w:marTop w:val="0"/>
          <w:marBottom w:val="0"/>
          <w:divBdr>
            <w:top w:val="none" w:sz="0" w:space="0" w:color="auto"/>
            <w:left w:val="none" w:sz="0" w:space="0" w:color="auto"/>
            <w:bottom w:val="none" w:sz="0" w:space="0" w:color="auto"/>
            <w:right w:val="none" w:sz="0" w:space="0" w:color="auto"/>
          </w:divBdr>
        </w:div>
        <w:div w:id="1907297597">
          <w:marLeft w:val="0"/>
          <w:marRight w:val="0"/>
          <w:marTop w:val="0"/>
          <w:marBottom w:val="0"/>
          <w:divBdr>
            <w:top w:val="none" w:sz="0" w:space="0" w:color="auto"/>
            <w:left w:val="none" w:sz="0" w:space="0" w:color="auto"/>
            <w:bottom w:val="none" w:sz="0" w:space="0" w:color="auto"/>
            <w:right w:val="none" w:sz="0" w:space="0" w:color="auto"/>
          </w:divBdr>
        </w:div>
        <w:div w:id="2035374063">
          <w:marLeft w:val="0"/>
          <w:marRight w:val="0"/>
          <w:marTop w:val="0"/>
          <w:marBottom w:val="0"/>
          <w:divBdr>
            <w:top w:val="none" w:sz="0" w:space="0" w:color="auto"/>
            <w:left w:val="none" w:sz="0" w:space="0" w:color="auto"/>
            <w:bottom w:val="none" w:sz="0" w:space="0" w:color="auto"/>
            <w:right w:val="none" w:sz="0" w:space="0" w:color="auto"/>
          </w:divBdr>
        </w:div>
        <w:div w:id="2112160362">
          <w:marLeft w:val="0"/>
          <w:marRight w:val="0"/>
          <w:marTop w:val="0"/>
          <w:marBottom w:val="0"/>
          <w:divBdr>
            <w:top w:val="none" w:sz="0" w:space="0" w:color="auto"/>
            <w:left w:val="none" w:sz="0" w:space="0" w:color="auto"/>
            <w:bottom w:val="none" w:sz="0" w:space="0" w:color="auto"/>
            <w:right w:val="none" w:sz="0" w:space="0" w:color="auto"/>
          </w:divBdr>
        </w:div>
        <w:div w:id="702898746">
          <w:marLeft w:val="0"/>
          <w:marRight w:val="0"/>
          <w:marTop w:val="0"/>
          <w:marBottom w:val="0"/>
          <w:divBdr>
            <w:top w:val="none" w:sz="0" w:space="0" w:color="auto"/>
            <w:left w:val="none" w:sz="0" w:space="0" w:color="auto"/>
            <w:bottom w:val="none" w:sz="0" w:space="0" w:color="auto"/>
            <w:right w:val="none" w:sz="0" w:space="0" w:color="auto"/>
          </w:divBdr>
        </w:div>
        <w:div w:id="1797138419">
          <w:marLeft w:val="0"/>
          <w:marRight w:val="0"/>
          <w:marTop w:val="0"/>
          <w:marBottom w:val="0"/>
          <w:divBdr>
            <w:top w:val="none" w:sz="0" w:space="0" w:color="auto"/>
            <w:left w:val="none" w:sz="0" w:space="0" w:color="auto"/>
            <w:bottom w:val="none" w:sz="0" w:space="0" w:color="auto"/>
            <w:right w:val="none" w:sz="0" w:space="0" w:color="auto"/>
          </w:divBdr>
        </w:div>
        <w:div w:id="859272555">
          <w:marLeft w:val="0"/>
          <w:marRight w:val="0"/>
          <w:marTop w:val="0"/>
          <w:marBottom w:val="0"/>
          <w:divBdr>
            <w:top w:val="none" w:sz="0" w:space="0" w:color="auto"/>
            <w:left w:val="none" w:sz="0" w:space="0" w:color="auto"/>
            <w:bottom w:val="none" w:sz="0" w:space="0" w:color="auto"/>
            <w:right w:val="none" w:sz="0" w:space="0" w:color="auto"/>
          </w:divBdr>
        </w:div>
        <w:div w:id="1192256495">
          <w:marLeft w:val="0"/>
          <w:marRight w:val="0"/>
          <w:marTop w:val="0"/>
          <w:marBottom w:val="0"/>
          <w:divBdr>
            <w:top w:val="none" w:sz="0" w:space="0" w:color="auto"/>
            <w:left w:val="none" w:sz="0" w:space="0" w:color="auto"/>
            <w:bottom w:val="none" w:sz="0" w:space="0" w:color="auto"/>
            <w:right w:val="none" w:sz="0" w:space="0" w:color="auto"/>
          </w:divBdr>
        </w:div>
        <w:div w:id="1550146668">
          <w:marLeft w:val="0"/>
          <w:marRight w:val="0"/>
          <w:marTop w:val="0"/>
          <w:marBottom w:val="0"/>
          <w:divBdr>
            <w:top w:val="none" w:sz="0" w:space="0" w:color="auto"/>
            <w:left w:val="none" w:sz="0" w:space="0" w:color="auto"/>
            <w:bottom w:val="none" w:sz="0" w:space="0" w:color="auto"/>
            <w:right w:val="none" w:sz="0" w:space="0" w:color="auto"/>
          </w:divBdr>
        </w:div>
        <w:div w:id="1157838740">
          <w:marLeft w:val="0"/>
          <w:marRight w:val="0"/>
          <w:marTop w:val="0"/>
          <w:marBottom w:val="0"/>
          <w:divBdr>
            <w:top w:val="none" w:sz="0" w:space="0" w:color="auto"/>
            <w:left w:val="none" w:sz="0" w:space="0" w:color="auto"/>
            <w:bottom w:val="none" w:sz="0" w:space="0" w:color="auto"/>
            <w:right w:val="none" w:sz="0" w:space="0" w:color="auto"/>
          </w:divBdr>
        </w:div>
        <w:div w:id="1064379900">
          <w:marLeft w:val="0"/>
          <w:marRight w:val="0"/>
          <w:marTop w:val="0"/>
          <w:marBottom w:val="0"/>
          <w:divBdr>
            <w:top w:val="none" w:sz="0" w:space="0" w:color="auto"/>
            <w:left w:val="none" w:sz="0" w:space="0" w:color="auto"/>
            <w:bottom w:val="none" w:sz="0" w:space="0" w:color="auto"/>
            <w:right w:val="none" w:sz="0" w:space="0" w:color="auto"/>
          </w:divBdr>
        </w:div>
        <w:div w:id="1524172821">
          <w:marLeft w:val="0"/>
          <w:marRight w:val="0"/>
          <w:marTop w:val="0"/>
          <w:marBottom w:val="0"/>
          <w:divBdr>
            <w:top w:val="none" w:sz="0" w:space="0" w:color="auto"/>
            <w:left w:val="none" w:sz="0" w:space="0" w:color="auto"/>
            <w:bottom w:val="none" w:sz="0" w:space="0" w:color="auto"/>
            <w:right w:val="none" w:sz="0" w:space="0" w:color="auto"/>
          </w:divBdr>
        </w:div>
        <w:div w:id="156656496">
          <w:marLeft w:val="0"/>
          <w:marRight w:val="0"/>
          <w:marTop w:val="0"/>
          <w:marBottom w:val="0"/>
          <w:divBdr>
            <w:top w:val="none" w:sz="0" w:space="0" w:color="auto"/>
            <w:left w:val="none" w:sz="0" w:space="0" w:color="auto"/>
            <w:bottom w:val="none" w:sz="0" w:space="0" w:color="auto"/>
            <w:right w:val="none" w:sz="0" w:space="0" w:color="auto"/>
          </w:divBdr>
        </w:div>
        <w:div w:id="1636905717">
          <w:marLeft w:val="0"/>
          <w:marRight w:val="0"/>
          <w:marTop w:val="0"/>
          <w:marBottom w:val="0"/>
          <w:divBdr>
            <w:top w:val="none" w:sz="0" w:space="0" w:color="auto"/>
            <w:left w:val="none" w:sz="0" w:space="0" w:color="auto"/>
            <w:bottom w:val="none" w:sz="0" w:space="0" w:color="auto"/>
            <w:right w:val="none" w:sz="0" w:space="0" w:color="auto"/>
          </w:divBdr>
        </w:div>
        <w:div w:id="1758139274">
          <w:marLeft w:val="0"/>
          <w:marRight w:val="0"/>
          <w:marTop w:val="0"/>
          <w:marBottom w:val="0"/>
          <w:divBdr>
            <w:top w:val="none" w:sz="0" w:space="0" w:color="auto"/>
            <w:left w:val="none" w:sz="0" w:space="0" w:color="auto"/>
            <w:bottom w:val="none" w:sz="0" w:space="0" w:color="auto"/>
            <w:right w:val="none" w:sz="0" w:space="0" w:color="auto"/>
          </w:divBdr>
        </w:div>
        <w:div w:id="504633290">
          <w:marLeft w:val="0"/>
          <w:marRight w:val="0"/>
          <w:marTop w:val="0"/>
          <w:marBottom w:val="0"/>
          <w:divBdr>
            <w:top w:val="none" w:sz="0" w:space="0" w:color="auto"/>
            <w:left w:val="none" w:sz="0" w:space="0" w:color="auto"/>
            <w:bottom w:val="none" w:sz="0" w:space="0" w:color="auto"/>
            <w:right w:val="none" w:sz="0" w:space="0" w:color="auto"/>
          </w:divBdr>
        </w:div>
        <w:div w:id="623929340">
          <w:marLeft w:val="0"/>
          <w:marRight w:val="0"/>
          <w:marTop w:val="0"/>
          <w:marBottom w:val="0"/>
          <w:divBdr>
            <w:top w:val="none" w:sz="0" w:space="0" w:color="auto"/>
            <w:left w:val="none" w:sz="0" w:space="0" w:color="auto"/>
            <w:bottom w:val="none" w:sz="0" w:space="0" w:color="auto"/>
            <w:right w:val="none" w:sz="0" w:space="0" w:color="auto"/>
          </w:divBdr>
        </w:div>
        <w:div w:id="1150563789">
          <w:marLeft w:val="0"/>
          <w:marRight w:val="0"/>
          <w:marTop w:val="0"/>
          <w:marBottom w:val="0"/>
          <w:divBdr>
            <w:top w:val="none" w:sz="0" w:space="0" w:color="auto"/>
            <w:left w:val="none" w:sz="0" w:space="0" w:color="auto"/>
            <w:bottom w:val="none" w:sz="0" w:space="0" w:color="auto"/>
            <w:right w:val="none" w:sz="0" w:space="0" w:color="auto"/>
          </w:divBdr>
        </w:div>
        <w:div w:id="555433920">
          <w:marLeft w:val="0"/>
          <w:marRight w:val="0"/>
          <w:marTop w:val="0"/>
          <w:marBottom w:val="0"/>
          <w:divBdr>
            <w:top w:val="none" w:sz="0" w:space="0" w:color="auto"/>
            <w:left w:val="none" w:sz="0" w:space="0" w:color="auto"/>
            <w:bottom w:val="none" w:sz="0" w:space="0" w:color="auto"/>
            <w:right w:val="none" w:sz="0" w:space="0" w:color="auto"/>
          </w:divBdr>
        </w:div>
        <w:div w:id="1171024615">
          <w:marLeft w:val="0"/>
          <w:marRight w:val="0"/>
          <w:marTop w:val="0"/>
          <w:marBottom w:val="0"/>
          <w:divBdr>
            <w:top w:val="none" w:sz="0" w:space="0" w:color="auto"/>
            <w:left w:val="none" w:sz="0" w:space="0" w:color="auto"/>
            <w:bottom w:val="none" w:sz="0" w:space="0" w:color="auto"/>
            <w:right w:val="none" w:sz="0" w:space="0" w:color="auto"/>
          </w:divBdr>
        </w:div>
      </w:divsChild>
    </w:div>
    <w:div w:id="329337453">
      <w:bodyDiv w:val="1"/>
      <w:marLeft w:val="0"/>
      <w:marRight w:val="0"/>
      <w:marTop w:val="0"/>
      <w:marBottom w:val="0"/>
      <w:divBdr>
        <w:top w:val="none" w:sz="0" w:space="0" w:color="auto"/>
        <w:left w:val="none" w:sz="0" w:space="0" w:color="auto"/>
        <w:bottom w:val="none" w:sz="0" w:space="0" w:color="auto"/>
        <w:right w:val="none" w:sz="0" w:space="0" w:color="auto"/>
      </w:divBdr>
    </w:div>
    <w:div w:id="358433581">
      <w:bodyDiv w:val="1"/>
      <w:marLeft w:val="0"/>
      <w:marRight w:val="0"/>
      <w:marTop w:val="0"/>
      <w:marBottom w:val="0"/>
      <w:divBdr>
        <w:top w:val="none" w:sz="0" w:space="0" w:color="auto"/>
        <w:left w:val="none" w:sz="0" w:space="0" w:color="auto"/>
        <w:bottom w:val="none" w:sz="0" w:space="0" w:color="auto"/>
        <w:right w:val="none" w:sz="0" w:space="0" w:color="auto"/>
      </w:divBdr>
    </w:div>
    <w:div w:id="417211837">
      <w:bodyDiv w:val="1"/>
      <w:marLeft w:val="0"/>
      <w:marRight w:val="0"/>
      <w:marTop w:val="0"/>
      <w:marBottom w:val="0"/>
      <w:divBdr>
        <w:top w:val="none" w:sz="0" w:space="0" w:color="auto"/>
        <w:left w:val="none" w:sz="0" w:space="0" w:color="auto"/>
        <w:bottom w:val="none" w:sz="0" w:space="0" w:color="auto"/>
        <w:right w:val="none" w:sz="0" w:space="0" w:color="auto"/>
      </w:divBdr>
    </w:div>
    <w:div w:id="446050100">
      <w:bodyDiv w:val="1"/>
      <w:marLeft w:val="0"/>
      <w:marRight w:val="0"/>
      <w:marTop w:val="0"/>
      <w:marBottom w:val="0"/>
      <w:divBdr>
        <w:top w:val="none" w:sz="0" w:space="0" w:color="auto"/>
        <w:left w:val="none" w:sz="0" w:space="0" w:color="auto"/>
        <w:bottom w:val="none" w:sz="0" w:space="0" w:color="auto"/>
        <w:right w:val="none" w:sz="0" w:space="0" w:color="auto"/>
      </w:divBdr>
    </w:div>
    <w:div w:id="449592031">
      <w:bodyDiv w:val="1"/>
      <w:marLeft w:val="0"/>
      <w:marRight w:val="0"/>
      <w:marTop w:val="0"/>
      <w:marBottom w:val="0"/>
      <w:divBdr>
        <w:top w:val="none" w:sz="0" w:space="0" w:color="auto"/>
        <w:left w:val="none" w:sz="0" w:space="0" w:color="auto"/>
        <w:bottom w:val="none" w:sz="0" w:space="0" w:color="auto"/>
        <w:right w:val="none" w:sz="0" w:space="0" w:color="auto"/>
      </w:divBdr>
    </w:div>
    <w:div w:id="475757930">
      <w:bodyDiv w:val="1"/>
      <w:marLeft w:val="0"/>
      <w:marRight w:val="0"/>
      <w:marTop w:val="0"/>
      <w:marBottom w:val="0"/>
      <w:divBdr>
        <w:top w:val="none" w:sz="0" w:space="0" w:color="auto"/>
        <w:left w:val="none" w:sz="0" w:space="0" w:color="auto"/>
        <w:bottom w:val="none" w:sz="0" w:space="0" w:color="auto"/>
        <w:right w:val="none" w:sz="0" w:space="0" w:color="auto"/>
      </w:divBdr>
    </w:div>
    <w:div w:id="487399925">
      <w:bodyDiv w:val="1"/>
      <w:marLeft w:val="0"/>
      <w:marRight w:val="0"/>
      <w:marTop w:val="0"/>
      <w:marBottom w:val="0"/>
      <w:divBdr>
        <w:top w:val="none" w:sz="0" w:space="0" w:color="auto"/>
        <w:left w:val="none" w:sz="0" w:space="0" w:color="auto"/>
        <w:bottom w:val="none" w:sz="0" w:space="0" w:color="auto"/>
        <w:right w:val="none" w:sz="0" w:space="0" w:color="auto"/>
      </w:divBdr>
    </w:div>
    <w:div w:id="558396100">
      <w:bodyDiv w:val="1"/>
      <w:marLeft w:val="0"/>
      <w:marRight w:val="0"/>
      <w:marTop w:val="0"/>
      <w:marBottom w:val="0"/>
      <w:divBdr>
        <w:top w:val="none" w:sz="0" w:space="0" w:color="auto"/>
        <w:left w:val="none" w:sz="0" w:space="0" w:color="auto"/>
        <w:bottom w:val="none" w:sz="0" w:space="0" w:color="auto"/>
        <w:right w:val="none" w:sz="0" w:space="0" w:color="auto"/>
      </w:divBdr>
    </w:div>
    <w:div w:id="577902916">
      <w:bodyDiv w:val="1"/>
      <w:marLeft w:val="0"/>
      <w:marRight w:val="0"/>
      <w:marTop w:val="0"/>
      <w:marBottom w:val="0"/>
      <w:divBdr>
        <w:top w:val="none" w:sz="0" w:space="0" w:color="auto"/>
        <w:left w:val="none" w:sz="0" w:space="0" w:color="auto"/>
        <w:bottom w:val="none" w:sz="0" w:space="0" w:color="auto"/>
        <w:right w:val="none" w:sz="0" w:space="0" w:color="auto"/>
      </w:divBdr>
    </w:div>
    <w:div w:id="579874914">
      <w:bodyDiv w:val="1"/>
      <w:marLeft w:val="0"/>
      <w:marRight w:val="0"/>
      <w:marTop w:val="0"/>
      <w:marBottom w:val="0"/>
      <w:divBdr>
        <w:top w:val="none" w:sz="0" w:space="0" w:color="auto"/>
        <w:left w:val="none" w:sz="0" w:space="0" w:color="auto"/>
        <w:bottom w:val="none" w:sz="0" w:space="0" w:color="auto"/>
        <w:right w:val="none" w:sz="0" w:space="0" w:color="auto"/>
      </w:divBdr>
    </w:div>
    <w:div w:id="614679900">
      <w:bodyDiv w:val="1"/>
      <w:marLeft w:val="0"/>
      <w:marRight w:val="0"/>
      <w:marTop w:val="0"/>
      <w:marBottom w:val="0"/>
      <w:divBdr>
        <w:top w:val="none" w:sz="0" w:space="0" w:color="auto"/>
        <w:left w:val="none" w:sz="0" w:space="0" w:color="auto"/>
        <w:bottom w:val="none" w:sz="0" w:space="0" w:color="auto"/>
        <w:right w:val="none" w:sz="0" w:space="0" w:color="auto"/>
      </w:divBdr>
    </w:div>
    <w:div w:id="636031900">
      <w:bodyDiv w:val="1"/>
      <w:marLeft w:val="0"/>
      <w:marRight w:val="0"/>
      <w:marTop w:val="0"/>
      <w:marBottom w:val="0"/>
      <w:divBdr>
        <w:top w:val="none" w:sz="0" w:space="0" w:color="auto"/>
        <w:left w:val="none" w:sz="0" w:space="0" w:color="auto"/>
        <w:bottom w:val="none" w:sz="0" w:space="0" w:color="auto"/>
        <w:right w:val="none" w:sz="0" w:space="0" w:color="auto"/>
      </w:divBdr>
    </w:div>
    <w:div w:id="651955117">
      <w:bodyDiv w:val="1"/>
      <w:marLeft w:val="0"/>
      <w:marRight w:val="0"/>
      <w:marTop w:val="0"/>
      <w:marBottom w:val="0"/>
      <w:divBdr>
        <w:top w:val="none" w:sz="0" w:space="0" w:color="auto"/>
        <w:left w:val="none" w:sz="0" w:space="0" w:color="auto"/>
        <w:bottom w:val="none" w:sz="0" w:space="0" w:color="auto"/>
        <w:right w:val="none" w:sz="0" w:space="0" w:color="auto"/>
      </w:divBdr>
    </w:div>
    <w:div w:id="658189151">
      <w:bodyDiv w:val="1"/>
      <w:marLeft w:val="0"/>
      <w:marRight w:val="0"/>
      <w:marTop w:val="0"/>
      <w:marBottom w:val="0"/>
      <w:divBdr>
        <w:top w:val="none" w:sz="0" w:space="0" w:color="auto"/>
        <w:left w:val="none" w:sz="0" w:space="0" w:color="auto"/>
        <w:bottom w:val="none" w:sz="0" w:space="0" w:color="auto"/>
        <w:right w:val="none" w:sz="0" w:space="0" w:color="auto"/>
      </w:divBdr>
      <w:divsChild>
        <w:div w:id="1363478896">
          <w:marLeft w:val="0"/>
          <w:marRight w:val="0"/>
          <w:marTop w:val="0"/>
          <w:marBottom w:val="0"/>
          <w:divBdr>
            <w:top w:val="none" w:sz="0" w:space="0" w:color="auto"/>
            <w:left w:val="none" w:sz="0" w:space="0" w:color="auto"/>
            <w:bottom w:val="none" w:sz="0" w:space="0" w:color="auto"/>
            <w:right w:val="none" w:sz="0" w:space="0" w:color="auto"/>
          </w:divBdr>
        </w:div>
        <w:div w:id="711805390">
          <w:marLeft w:val="0"/>
          <w:marRight w:val="0"/>
          <w:marTop w:val="0"/>
          <w:marBottom w:val="0"/>
          <w:divBdr>
            <w:top w:val="none" w:sz="0" w:space="0" w:color="auto"/>
            <w:left w:val="none" w:sz="0" w:space="0" w:color="auto"/>
            <w:bottom w:val="none" w:sz="0" w:space="0" w:color="auto"/>
            <w:right w:val="none" w:sz="0" w:space="0" w:color="auto"/>
          </w:divBdr>
        </w:div>
        <w:div w:id="23865638">
          <w:marLeft w:val="0"/>
          <w:marRight w:val="0"/>
          <w:marTop w:val="0"/>
          <w:marBottom w:val="0"/>
          <w:divBdr>
            <w:top w:val="none" w:sz="0" w:space="0" w:color="auto"/>
            <w:left w:val="none" w:sz="0" w:space="0" w:color="auto"/>
            <w:bottom w:val="none" w:sz="0" w:space="0" w:color="auto"/>
            <w:right w:val="none" w:sz="0" w:space="0" w:color="auto"/>
          </w:divBdr>
        </w:div>
        <w:div w:id="986397630">
          <w:marLeft w:val="0"/>
          <w:marRight w:val="0"/>
          <w:marTop w:val="0"/>
          <w:marBottom w:val="0"/>
          <w:divBdr>
            <w:top w:val="none" w:sz="0" w:space="0" w:color="auto"/>
            <w:left w:val="none" w:sz="0" w:space="0" w:color="auto"/>
            <w:bottom w:val="none" w:sz="0" w:space="0" w:color="auto"/>
            <w:right w:val="none" w:sz="0" w:space="0" w:color="auto"/>
          </w:divBdr>
        </w:div>
        <w:div w:id="1963032073">
          <w:marLeft w:val="0"/>
          <w:marRight w:val="0"/>
          <w:marTop w:val="0"/>
          <w:marBottom w:val="0"/>
          <w:divBdr>
            <w:top w:val="none" w:sz="0" w:space="0" w:color="auto"/>
            <w:left w:val="none" w:sz="0" w:space="0" w:color="auto"/>
            <w:bottom w:val="none" w:sz="0" w:space="0" w:color="auto"/>
            <w:right w:val="none" w:sz="0" w:space="0" w:color="auto"/>
          </w:divBdr>
        </w:div>
        <w:div w:id="1519348920">
          <w:marLeft w:val="0"/>
          <w:marRight w:val="0"/>
          <w:marTop w:val="0"/>
          <w:marBottom w:val="0"/>
          <w:divBdr>
            <w:top w:val="none" w:sz="0" w:space="0" w:color="auto"/>
            <w:left w:val="none" w:sz="0" w:space="0" w:color="auto"/>
            <w:bottom w:val="none" w:sz="0" w:space="0" w:color="auto"/>
            <w:right w:val="none" w:sz="0" w:space="0" w:color="auto"/>
          </w:divBdr>
        </w:div>
        <w:div w:id="1929002612">
          <w:marLeft w:val="0"/>
          <w:marRight w:val="0"/>
          <w:marTop w:val="0"/>
          <w:marBottom w:val="0"/>
          <w:divBdr>
            <w:top w:val="none" w:sz="0" w:space="0" w:color="auto"/>
            <w:left w:val="none" w:sz="0" w:space="0" w:color="auto"/>
            <w:bottom w:val="none" w:sz="0" w:space="0" w:color="auto"/>
            <w:right w:val="none" w:sz="0" w:space="0" w:color="auto"/>
          </w:divBdr>
        </w:div>
        <w:div w:id="248656620">
          <w:marLeft w:val="0"/>
          <w:marRight w:val="0"/>
          <w:marTop w:val="0"/>
          <w:marBottom w:val="0"/>
          <w:divBdr>
            <w:top w:val="none" w:sz="0" w:space="0" w:color="auto"/>
            <w:left w:val="none" w:sz="0" w:space="0" w:color="auto"/>
            <w:bottom w:val="none" w:sz="0" w:space="0" w:color="auto"/>
            <w:right w:val="none" w:sz="0" w:space="0" w:color="auto"/>
          </w:divBdr>
        </w:div>
        <w:div w:id="676074748">
          <w:marLeft w:val="0"/>
          <w:marRight w:val="0"/>
          <w:marTop w:val="0"/>
          <w:marBottom w:val="0"/>
          <w:divBdr>
            <w:top w:val="none" w:sz="0" w:space="0" w:color="auto"/>
            <w:left w:val="none" w:sz="0" w:space="0" w:color="auto"/>
            <w:bottom w:val="none" w:sz="0" w:space="0" w:color="auto"/>
            <w:right w:val="none" w:sz="0" w:space="0" w:color="auto"/>
          </w:divBdr>
        </w:div>
        <w:div w:id="315960355">
          <w:marLeft w:val="0"/>
          <w:marRight w:val="0"/>
          <w:marTop w:val="0"/>
          <w:marBottom w:val="0"/>
          <w:divBdr>
            <w:top w:val="none" w:sz="0" w:space="0" w:color="auto"/>
            <w:left w:val="none" w:sz="0" w:space="0" w:color="auto"/>
            <w:bottom w:val="none" w:sz="0" w:space="0" w:color="auto"/>
            <w:right w:val="none" w:sz="0" w:space="0" w:color="auto"/>
          </w:divBdr>
        </w:div>
        <w:div w:id="1589073854">
          <w:marLeft w:val="0"/>
          <w:marRight w:val="0"/>
          <w:marTop w:val="0"/>
          <w:marBottom w:val="0"/>
          <w:divBdr>
            <w:top w:val="none" w:sz="0" w:space="0" w:color="auto"/>
            <w:left w:val="none" w:sz="0" w:space="0" w:color="auto"/>
            <w:bottom w:val="none" w:sz="0" w:space="0" w:color="auto"/>
            <w:right w:val="none" w:sz="0" w:space="0" w:color="auto"/>
          </w:divBdr>
        </w:div>
        <w:div w:id="763067838">
          <w:marLeft w:val="0"/>
          <w:marRight w:val="0"/>
          <w:marTop w:val="0"/>
          <w:marBottom w:val="0"/>
          <w:divBdr>
            <w:top w:val="none" w:sz="0" w:space="0" w:color="auto"/>
            <w:left w:val="none" w:sz="0" w:space="0" w:color="auto"/>
            <w:bottom w:val="none" w:sz="0" w:space="0" w:color="auto"/>
            <w:right w:val="none" w:sz="0" w:space="0" w:color="auto"/>
          </w:divBdr>
        </w:div>
        <w:div w:id="500389177">
          <w:marLeft w:val="0"/>
          <w:marRight w:val="0"/>
          <w:marTop w:val="0"/>
          <w:marBottom w:val="0"/>
          <w:divBdr>
            <w:top w:val="none" w:sz="0" w:space="0" w:color="auto"/>
            <w:left w:val="none" w:sz="0" w:space="0" w:color="auto"/>
            <w:bottom w:val="none" w:sz="0" w:space="0" w:color="auto"/>
            <w:right w:val="none" w:sz="0" w:space="0" w:color="auto"/>
          </w:divBdr>
        </w:div>
        <w:div w:id="136067424">
          <w:marLeft w:val="0"/>
          <w:marRight w:val="0"/>
          <w:marTop w:val="0"/>
          <w:marBottom w:val="0"/>
          <w:divBdr>
            <w:top w:val="none" w:sz="0" w:space="0" w:color="auto"/>
            <w:left w:val="none" w:sz="0" w:space="0" w:color="auto"/>
            <w:bottom w:val="none" w:sz="0" w:space="0" w:color="auto"/>
            <w:right w:val="none" w:sz="0" w:space="0" w:color="auto"/>
          </w:divBdr>
        </w:div>
        <w:div w:id="1083910423">
          <w:marLeft w:val="0"/>
          <w:marRight w:val="0"/>
          <w:marTop w:val="0"/>
          <w:marBottom w:val="0"/>
          <w:divBdr>
            <w:top w:val="none" w:sz="0" w:space="0" w:color="auto"/>
            <w:left w:val="none" w:sz="0" w:space="0" w:color="auto"/>
            <w:bottom w:val="none" w:sz="0" w:space="0" w:color="auto"/>
            <w:right w:val="none" w:sz="0" w:space="0" w:color="auto"/>
          </w:divBdr>
        </w:div>
        <w:div w:id="2025280107">
          <w:marLeft w:val="0"/>
          <w:marRight w:val="0"/>
          <w:marTop w:val="0"/>
          <w:marBottom w:val="0"/>
          <w:divBdr>
            <w:top w:val="none" w:sz="0" w:space="0" w:color="auto"/>
            <w:left w:val="none" w:sz="0" w:space="0" w:color="auto"/>
            <w:bottom w:val="none" w:sz="0" w:space="0" w:color="auto"/>
            <w:right w:val="none" w:sz="0" w:space="0" w:color="auto"/>
          </w:divBdr>
        </w:div>
        <w:div w:id="2144030938">
          <w:marLeft w:val="0"/>
          <w:marRight w:val="0"/>
          <w:marTop w:val="0"/>
          <w:marBottom w:val="0"/>
          <w:divBdr>
            <w:top w:val="none" w:sz="0" w:space="0" w:color="auto"/>
            <w:left w:val="none" w:sz="0" w:space="0" w:color="auto"/>
            <w:bottom w:val="none" w:sz="0" w:space="0" w:color="auto"/>
            <w:right w:val="none" w:sz="0" w:space="0" w:color="auto"/>
          </w:divBdr>
        </w:div>
        <w:div w:id="1239175986">
          <w:marLeft w:val="0"/>
          <w:marRight w:val="0"/>
          <w:marTop w:val="0"/>
          <w:marBottom w:val="0"/>
          <w:divBdr>
            <w:top w:val="none" w:sz="0" w:space="0" w:color="auto"/>
            <w:left w:val="none" w:sz="0" w:space="0" w:color="auto"/>
            <w:bottom w:val="none" w:sz="0" w:space="0" w:color="auto"/>
            <w:right w:val="none" w:sz="0" w:space="0" w:color="auto"/>
          </w:divBdr>
        </w:div>
        <w:div w:id="1128476086">
          <w:marLeft w:val="0"/>
          <w:marRight w:val="0"/>
          <w:marTop w:val="0"/>
          <w:marBottom w:val="0"/>
          <w:divBdr>
            <w:top w:val="none" w:sz="0" w:space="0" w:color="auto"/>
            <w:left w:val="none" w:sz="0" w:space="0" w:color="auto"/>
            <w:bottom w:val="none" w:sz="0" w:space="0" w:color="auto"/>
            <w:right w:val="none" w:sz="0" w:space="0" w:color="auto"/>
          </w:divBdr>
        </w:div>
        <w:div w:id="890652343">
          <w:marLeft w:val="0"/>
          <w:marRight w:val="0"/>
          <w:marTop w:val="0"/>
          <w:marBottom w:val="0"/>
          <w:divBdr>
            <w:top w:val="none" w:sz="0" w:space="0" w:color="auto"/>
            <w:left w:val="none" w:sz="0" w:space="0" w:color="auto"/>
            <w:bottom w:val="none" w:sz="0" w:space="0" w:color="auto"/>
            <w:right w:val="none" w:sz="0" w:space="0" w:color="auto"/>
          </w:divBdr>
        </w:div>
        <w:div w:id="2134445386">
          <w:marLeft w:val="0"/>
          <w:marRight w:val="0"/>
          <w:marTop w:val="0"/>
          <w:marBottom w:val="0"/>
          <w:divBdr>
            <w:top w:val="none" w:sz="0" w:space="0" w:color="auto"/>
            <w:left w:val="none" w:sz="0" w:space="0" w:color="auto"/>
            <w:bottom w:val="none" w:sz="0" w:space="0" w:color="auto"/>
            <w:right w:val="none" w:sz="0" w:space="0" w:color="auto"/>
          </w:divBdr>
        </w:div>
        <w:div w:id="1527061848">
          <w:marLeft w:val="0"/>
          <w:marRight w:val="0"/>
          <w:marTop w:val="0"/>
          <w:marBottom w:val="0"/>
          <w:divBdr>
            <w:top w:val="none" w:sz="0" w:space="0" w:color="auto"/>
            <w:left w:val="none" w:sz="0" w:space="0" w:color="auto"/>
            <w:bottom w:val="none" w:sz="0" w:space="0" w:color="auto"/>
            <w:right w:val="none" w:sz="0" w:space="0" w:color="auto"/>
          </w:divBdr>
        </w:div>
        <w:div w:id="1410733065">
          <w:marLeft w:val="0"/>
          <w:marRight w:val="0"/>
          <w:marTop w:val="0"/>
          <w:marBottom w:val="0"/>
          <w:divBdr>
            <w:top w:val="none" w:sz="0" w:space="0" w:color="auto"/>
            <w:left w:val="none" w:sz="0" w:space="0" w:color="auto"/>
            <w:bottom w:val="none" w:sz="0" w:space="0" w:color="auto"/>
            <w:right w:val="none" w:sz="0" w:space="0" w:color="auto"/>
          </w:divBdr>
        </w:div>
        <w:div w:id="415057134">
          <w:marLeft w:val="0"/>
          <w:marRight w:val="0"/>
          <w:marTop w:val="0"/>
          <w:marBottom w:val="0"/>
          <w:divBdr>
            <w:top w:val="none" w:sz="0" w:space="0" w:color="auto"/>
            <w:left w:val="none" w:sz="0" w:space="0" w:color="auto"/>
            <w:bottom w:val="none" w:sz="0" w:space="0" w:color="auto"/>
            <w:right w:val="none" w:sz="0" w:space="0" w:color="auto"/>
          </w:divBdr>
        </w:div>
        <w:div w:id="135924749">
          <w:marLeft w:val="0"/>
          <w:marRight w:val="0"/>
          <w:marTop w:val="0"/>
          <w:marBottom w:val="0"/>
          <w:divBdr>
            <w:top w:val="none" w:sz="0" w:space="0" w:color="auto"/>
            <w:left w:val="none" w:sz="0" w:space="0" w:color="auto"/>
            <w:bottom w:val="none" w:sz="0" w:space="0" w:color="auto"/>
            <w:right w:val="none" w:sz="0" w:space="0" w:color="auto"/>
          </w:divBdr>
        </w:div>
        <w:div w:id="1562669384">
          <w:marLeft w:val="0"/>
          <w:marRight w:val="0"/>
          <w:marTop w:val="0"/>
          <w:marBottom w:val="0"/>
          <w:divBdr>
            <w:top w:val="none" w:sz="0" w:space="0" w:color="auto"/>
            <w:left w:val="none" w:sz="0" w:space="0" w:color="auto"/>
            <w:bottom w:val="none" w:sz="0" w:space="0" w:color="auto"/>
            <w:right w:val="none" w:sz="0" w:space="0" w:color="auto"/>
          </w:divBdr>
        </w:div>
        <w:div w:id="203102362">
          <w:marLeft w:val="0"/>
          <w:marRight w:val="0"/>
          <w:marTop w:val="0"/>
          <w:marBottom w:val="0"/>
          <w:divBdr>
            <w:top w:val="none" w:sz="0" w:space="0" w:color="auto"/>
            <w:left w:val="none" w:sz="0" w:space="0" w:color="auto"/>
            <w:bottom w:val="none" w:sz="0" w:space="0" w:color="auto"/>
            <w:right w:val="none" w:sz="0" w:space="0" w:color="auto"/>
          </w:divBdr>
        </w:div>
        <w:div w:id="1751148765">
          <w:marLeft w:val="0"/>
          <w:marRight w:val="0"/>
          <w:marTop w:val="0"/>
          <w:marBottom w:val="0"/>
          <w:divBdr>
            <w:top w:val="none" w:sz="0" w:space="0" w:color="auto"/>
            <w:left w:val="none" w:sz="0" w:space="0" w:color="auto"/>
            <w:bottom w:val="none" w:sz="0" w:space="0" w:color="auto"/>
            <w:right w:val="none" w:sz="0" w:space="0" w:color="auto"/>
          </w:divBdr>
        </w:div>
        <w:div w:id="434053888">
          <w:marLeft w:val="0"/>
          <w:marRight w:val="0"/>
          <w:marTop w:val="0"/>
          <w:marBottom w:val="0"/>
          <w:divBdr>
            <w:top w:val="none" w:sz="0" w:space="0" w:color="auto"/>
            <w:left w:val="none" w:sz="0" w:space="0" w:color="auto"/>
            <w:bottom w:val="none" w:sz="0" w:space="0" w:color="auto"/>
            <w:right w:val="none" w:sz="0" w:space="0" w:color="auto"/>
          </w:divBdr>
        </w:div>
        <w:div w:id="1314873255">
          <w:marLeft w:val="0"/>
          <w:marRight w:val="0"/>
          <w:marTop w:val="0"/>
          <w:marBottom w:val="0"/>
          <w:divBdr>
            <w:top w:val="none" w:sz="0" w:space="0" w:color="auto"/>
            <w:left w:val="none" w:sz="0" w:space="0" w:color="auto"/>
            <w:bottom w:val="none" w:sz="0" w:space="0" w:color="auto"/>
            <w:right w:val="none" w:sz="0" w:space="0" w:color="auto"/>
          </w:divBdr>
        </w:div>
        <w:div w:id="1016225581">
          <w:marLeft w:val="0"/>
          <w:marRight w:val="0"/>
          <w:marTop w:val="0"/>
          <w:marBottom w:val="0"/>
          <w:divBdr>
            <w:top w:val="none" w:sz="0" w:space="0" w:color="auto"/>
            <w:left w:val="none" w:sz="0" w:space="0" w:color="auto"/>
            <w:bottom w:val="none" w:sz="0" w:space="0" w:color="auto"/>
            <w:right w:val="none" w:sz="0" w:space="0" w:color="auto"/>
          </w:divBdr>
        </w:div>
        <w:div w:id="1403261938">
          <w:marLeft w:val="0"/>
          <w:marRight w:val="0"/>
          <w:marTop w:val="0"/>
          <w:marBottom w:val="0"/>
          <w:divBdr>
            <w:top w:val="none" w:sz="0" w:space="0" w:color="auto"/>
            <w:left w:val="none" w:sz="0" w:space="0" w:color="auto"/>
            <w:bottom w:val="none" w:sz="0" w:space="0" w:color="auto"/>
            <w:right w:val="none" w:sz="0" w:space="0" w:color="auto"/>
          </w:divBdr>
        </w:div>
        <w:div w:id="765615511">
          <w:marLeft w:val="0"/>
          <w:marRight w:val="0"/>
          <w:marTop w:val="0"/>
          <w:marBottom w:val="0"/>
          <w:divBdr>
            <w:top w:val="none" w:sz="0" w:space="0" w:color="auto"/>
            <w:left w:val="none" w:sz="0" w:space="0" w:color="auto"/>
            <w:bottom w:val="none" w:sz="0" w:space="0" w:color="auto"/>
            <w:right w:val="none" w:sz="0" w:space="0" w:color="auto"/>
          </w:divBdr>
        </w:div>
        <w:div w:id="19285109">
          <w:marLeft w:val="0"/>
          <w:marRight w:val="0"/>
          <w:marTop w:val="0"/>
          <w:marBottom w:val="0"/>
          <w:divBdr>
            <w:top w:val="none" w:sz="0" w:space="0" w:color="auto"/>
            <w:left w:val="none" w:sz="0" w:space="0" w:color="auto"/>
            <w:bottom w:val="none" w:sz="0" w:space="0" w:color="auto"/>
            <w:right w:val="none" w:sz="0" w:space="0" w:color="auto"/>
          </w:divBdr>
        </w:div>
        <w:div w:id="1596599333">
          <w:marLeft w:val="0"/>
          <w:marRight w:val="0"/>
          <w:marTop w:val="0"/>
          <w:marBottom w:val="0"/>
          <w:divBdr>
            <w:top w:val="none" w:sz="0" w:space="0" w:color="auto"/>
            <w:left w:val="none" w:sz="0" w:space="0" w:color="auto"/>
            <w:bottom w:val="none" w:sz="0" w:space="0" w:color="auto"/>
            <w:right w:val="none" w:sz="0" w:space="0" w:color="auto"/>
          </w:divBdr>
        </w:div>
        <w:div w:id="280576336">
          <w:marLeft w:val="0"/>
          <w:marRight w:val="0"/>
          <w:marTop w:val="0"/>
          <w:marBottom w:val="0"/>
          <w:divBdr>
            <w:top w:val="none" w:sz="0" w:space="0" w:color="auto"/>
            <w:left w:val="none" w:sz="0" w:space="0" w:color="auto"/>
            <w:bottom w:val="none" w:sz="0" w:space="0" w:color="auto"/>
            <w:right w:val="none" w:sz="0" w:space="0" w:color="auto"/>
          </w:divBdr>
        </w:div>
        <w:div w:id="960771189">
          <w:marLeft w:val="0"/>
          <w:marRight w:val="0"/>
          <w:marTop w:val="0"/>
          <w:marBottom w:val="0"/>
          <w:divBdr>
            <w:top w:val="none" w:sz="0" w:space="0" w:color="auto"/>
            <w:left w:val="none" w:sz="0" w:space="0" w:color="auto"/>
            <w:bottom w:val="none" w:sz="0" w:space="0" w:color="auto"/>
            <w:right w:val="none" w:sz="0" w:space="0" w:color="auto"/>
          </w:divBdr>
        </w:div>
        <w:div w:id="1986934665">
          <w:marLeft w:val="0"/>
          <w:marRight w:val="0"/>
          <w:marTop w:val="0"/>
          <w:marBottom w:val="0"/>
          <w:divBdr>
            <w:top w:val="none" w:sz="0" w:space="0" w:color="auto"/>
            <w:left w:val="none" w:sz="0" w:space="0" w:color="auto"/>
            <w:bottom w:val="none" w:sz="0" w:space="0" w:color="auto"/>
            <w:right w:val="none" w:sz="0" w:space="0" w:color="auto"/>
          </w:divBdr>
        </w:div>
        <w:div w:id="586116721">
          <w:marLeft w:val="0"/>
          <w:marRight w:val="0"/>
          <w:marTop w:val="0"/>
          <w:marBottom w:val="0"/>
          <w:divBdr>
            <w:top w:val="none" w:sz="0" w:space="0" w:color="auto"/>
            <w:left w:val="none" w:sz="0" w:space="0" w:color="auto"/>
            <w:bottom w:val="none" w:sz="0" w:space="0" w:color="auto"/>
            <w:right w:val="none" w:sz="0" w:space="0" w:color="auto"/>
          </w:divBdr>
        </w:div>
        <w:div w:id="2123301537">
          <w:marLeft w:val="0"/>
          <w:marRight w:val="0"/>
          <w:marTop w:val="0"/>
          <w:marBottom w:val="0"/>
          <w:divBdr>
            <w:top w:val="none" w:sz="0" w:space="0" w:color="auto"/>
            <w:left w:val="none" w:sz="0" w:space="0" w:color="auto"/>
            <w:bottom w:val="none" w:sz="0" w:space="0" w:color="auto"/>
            <w:right w:val="none" w:sz="0" w:space="0" w:color="auto"/>
          </w:divBdr>
        </w:div>
        <w:div w:id="1526941295">
          <w:marLeft w:val="0"/>
          <w:marRight w:val="0"/>
          <w:marTop w:val="0"/>
          <w:marBottom w:val="0"/>
          <w:divBdr>
            <w:top w:val="none" w:sz="0" w:space="0" w:color="auto"/>
            <w:left w:val="none" w:sz="0" w:space="0" w:color="auto"/>
            <w:bottom w:val="none" w:sz="0" w:space="0" w:color="auto"/>
            <w:right w:val="none" w:sz="0" w:space="0" w:color="auto"/>
          </w:divBdr>
        </w:div>
        <w:div w:id="881670634">
          <w:marLeft w:val="0"/>
          <w:marRight w:val="0"/>
          <w:marTop w:val="0"/>
          <w:marBottom w:val="0"/>
          <w:divBdr>
            <w:top w:val="none" w:sz="0" w:space="0" w:color="auto"/>
            <w:left w:val="none" w:sz="0" w:space="0" w:color="auto"/>
            <w:bottom w:val="none" w:sz="0" w:space="0" w:color="auto"/>
            <w:right w:val="none" w:sz="0" w:space="0" w:color="auto"/>
          </w:divBdr>
        </w:div>
        <w:div w:id="1448967923">
          <w:marLeft w:val="0"/>
          <w:marRight w:val="0"/>
          <w:marTop w:val="0"/>
          <w:marBottom w:val="0"/>
          <w:divBdr>
            <w:top w:val="none" w:sz="0" w:space="0" w:color="auto"/>
            <w:left w:val="none" w:sz="0" w:space="0" w:color="auto"/>
            <w:bottom w:val="none" w:sz="0" w:space="0" w:color="auto"/>
            <w:right w:val="none" w:sz="0" w:space="0" w:color="auto"/>
          </w:divBdr>
        </w:div>
        <w:div w:id="1475102444">
          <w:marLeft w:val="0"/>
          <w:marRight w:val="0"/>
          <w:marTop w:val="0"/>
          <w:marBottom w:val="0"/>
          <w:divBdr>
            <w:top w:val="none" w:sz="0" w:space="0" w:color="auto"/>
            <w:left w:val="none" w:sz="0" w:space="0" w:color="auto"/>
            <w:bottom w:val="none" w:sz="0" w:space="0" w:color="auto"/>
            <w:right w:val="none" w:sz="0" w:space="0" w:color="auto"/>
          </w:divBdr>
        </w:div>
        <w:div w:id="1613899137">
          <w:marLeft w:val="0"/>
          <w:marRight w:val="0"/>
          <w:marTop w:val="0"/>
          <w:marBottom w:val="0"/>
          <w:divBdr>
            <w:top w:val="none" w:sz="0" w:space="0" w:color="auto"/>
            <w:left w:val="none" w:sz="0" w:space="0" w:color="auto"/>
            <w:bottom w:val="none" w:sz="0" w:space="0" w:color="auto"/>
            <w:right w:val="none" w:sz="0" w:space="0" w:color="auto"/>
          </w:divBdr>
        </w:div>
        <w:div w:id="1786381796">
          <w:marLeft w:val="0"/>
          <w:marRight w:val="0"/>
          <w:marTop w:val="0"/>
          <w:marBottom w:val="0"/>
          <w:divBdr>
            <w:top w:val="none" w:sz="0" w:space="0" w:color="auto"/>
            <w:left w:val="none" w:sz="0" w:space="0" w:color="auto"/>
            <w:bottom w:val="none" w:sz="0" w:space="0" w:color="auto"/>
            <w:right w:val="none" w:sz="0" w:space="0" w:color="auto"/>
          </w:divBdr>
        </w:div>
        <w:div w:id="86730550">
          <w:marLeft w:val="0"/>
          <w:marRight w:val="0"/>
          <w:marTop w:val="0"/>
          <w:marBottom w:val="0"/>
          <w:divBdr>
            <w:top w:val="none" w:sz="0" w:space="0" w:color="auto"/>
            <w:left w:val="none" w:sz="0" w:space="0" w:color="auto"/>
            <w:bottom w:val="none" w:sz="0" w:space="0" w:color="auto"/>
            <w:right w:val="none" w:sz="0" w:space="0" w:color="auto"/>
          </w:divBdr>
        </w:div>
        <w:div w:id="640233103">
          <w:marLeft w:val="0"/>
          <w:marRight w:val="0"/>
          <w:marTop w:val="0"/>
          <w:marBottom w:val="0"/>
          <w:divBdr>
            <w:top w:val="none" w:sz="0" w:space="0" w:color="auto"/>
            <w:left w:val="none" w:sz="0" w:space="0" w:color="auto"/>
            <w:bottom w:val="none" w:sz="0" w:space="0" w:color="auto"/>
            <w:right w:val="none" w:sz="0" w:space="0" w:color="auto"/>
          </w:divBdr>
        </w:div>
        <w:div w:id="1029137606">
          <w:marLeft w:val="0"/>
          <w:marRight w:val="0"/>
          <w:marTop w:val="0"/>
          <w:marBottom w:val="0"/>
          <w:divBdr>
            <w:top w:val="none" w:sz="0" w:space="0" w:color="auto"/>
            <w:left w:val="none" w:sz="0" w:space="0" w:color="auto"/>
            <w:bottom w:val="none" w:sz="0" w:space="0" w:color="auto"/>
            <w:right w:val="none" w:sz="0" w:space="0" w:color="auto"/>
          </w:divBdr>
        </w:div>
        <w:div w:id="449907773">
          <w:marLeft w:val="0"/>
          <w:marRight w:val="0"/>
          <w:marTop w:val="0"/>
          <w:marBottom w:val="0"/>
          <w:divBdr>
            <w:top w:val="none" w:sz="0" w:space="0" w:color="auto"/>
            <w:left w:val="none" w:sz="0" w:space="0" w:color="auto"/>
            <w:bottom w:val="none" w:sz="0" w:space="0" w:color="auto"/>
            <w:right w:val="none" w:sz="0" w:space="0" w:color="auto"/>
          </w:divBdr>
        </w:div>
        <w:div w:id="259146126">
          <w:marLeft w:val="0"/>
          <w:marRight w:val="0"/>
          <w:marTop w:val="0"/>
          <w:marBottom w:val="0"/>
          <w:divBdr>
            <w:top w:val="none" w:sz="0" w:space="0" w:color="auto"/>
            <w:left w:val="none" w:sz="0" w:space="0" w:color="auto"/>
            <w:bottom w:val="none" w:sz="0" w:space="0" w:color="auto"/>
            <w:right w:val="none" w:sz="0" w:space="0" w:color="auto"/>
          </w:divBdr>
        </w:div>
        <w:div w:id="207567657">
          <w:marLeft w:val="0"/>
          <w:marRight w:val="0"/>
          <w:marTop w:val="0"/>
          <w:marBottom w:val="0"/>
          <w:divBdr>
            <w:top w:val="none" w:sz="0" w:space="0" w:color="auto"/>
            <w:left w:val="none" w:sz="0" w:space="0" w:color="auto"/>
            <w:bottom w:val="none" w:sz="0" w:space="0" w:color="auto"/>
            <w:right w:val="none" w:sz="0" w:space="0" w:color="auto"/>
          </w:divBdr>
        </w:div>
        <w:div w:id="563218580">
          <w:marLeft w:val="0"/>
          <w:marRight w:val="0"/>
          <w:marTop w:val="0"/>
          <w:marBottom w:val="0"/>
          <w:divBdr>
            <w:top w:val="none" w:sz="0" w:space="0" w:color="auto"/>
            <w:left w:val="none" w:sz="0" w:space="0" w:color="auto"/>
            <w:bottom w:val="none" w:sz="0" w:space="0" w:color="auto"/>
            <w:right w:val="none" w:sz="0" w:space="0" w:color="auto"/>
          </w:divBdr>
        </w:div>
        <w:div w:id="560944771">
          <w:marLeft w:val="0"/>
          <w:marRight w:val="0"/>
          <w:marTop w:val="0"/>
          <w:marBottom w:val="0"/>
          <w:divBdr>
            <w:top w:val="none" w:sz="0" w:space="0" w:color="auto"/>
            <w:left w:val="none" w:sz="0" w:space="0" w:color="auto"/>
            <w:bottom w:val="none" w:sz="0" w:space="0" w:color="auto"/>
            <w:right w:val="none" w:sz="0" w:space="0" w:color="auto"/>
          </w:divBdr>
        </w:div>
      </w:divsChild>
    </w:div>
    <w:div w:id="672878613">
      <w:bodyDiv w:val="1"/>
      <w:marLeft w:val="0"/>
      <w:marRight w:val="0"/>
      <w:marTop w:val="0"/>
      <w:marBottom w:val="0"/>
      <w:divBdr>
        <w:top w:val="none" w:sz="0" w:space="0" w:color="auto"/>
        <w:left w:val="none" w:sz="0" w:space="0" w:color="auto"/>
        <w:bottom w:val="none" w:sz="0" w:space="0" w:color="auto"/>
        <w:right w:val="none" w:sz="0" w:space="0" w:color="auto"/>
      </w:divBdr>
    </w:div>
    <w:div w:id="704257369">
      <w:bodyDiv w:val="1"/>
      <w:marLeft w:val="0"/>
      <w:marRight w:val="0"/>
      <w:marTop w:val="0"/>
      <w:marBottom w:val="0"/>
      <w:divBdr>
        <w:top w:val="none" w:sz="0" w:space="0" w:color="auto"/>
        <w:left w:val="none" w:sz="0" w:space="0" w:color="auto"/>
        <w:bottom w:val="none" w:sz="0" w:space="0" w:color="auto"/>
        <w:right w:val="none" w:sz="0" w:space="0" w:color="auto"/>
      </w:divBdr>
    </w:div>
    <w:div w:id="705639371">
      <w:bodyDiv w:val="1"/>
      <w:marLeft w:val="0"/>
      <w:marRight w:val="0"/>
      <w:marTop w:val="0"/>
      <w:marBottom w:val="0"/>
      <w:divBdr>
        <w:top w:val="none" w:sz="0" w:space="0" w:color="auto"/>
        <w:left w:val="none" w:sz="0" w:space="0" w:color="auto"/>
        <w:bottom w:val="none" w:sz="0" w:space="0" w:color="auto"/>
        <w:right w:val="none" w:sz="0" w:space="0" w:color="auto"/>
      </w:divBdr>
    </w:div>
    <w:div w:id="712850723">
      <w:bodyDiv w:val="1"/>
      <w:marLeft w:val="0"/>
      <w:marRight w:val="0"/>
      <w:marTop w:val="0"/>
      <w:marBottom w:val="0"/>
      <w:divBdr>
        <w:top w:val="none" w:sz="0" w:space="0" w:color="auto"/>
        <w:left w:val="none" w:sz="0" w:space="0" w:color="auto"/>
        <w:bottom w:val="none" w:sz="0" w:space="0" w:color="auto"/>
        <w:right w:val="none" w:sz="0" w:space="0" w:color="auto"/>
      </w:divBdr>
    </w:div>
    <w:div w:id="738597275">
      <w:bodyDiv w:val="1"/>
      <w:marLeft w:val="0"/>
      <w:marRight w:val="0"/>
      <w:marTop w:val="0"/>
      <w:marBottom w:val="0"/>
      <w:divBdr>
        <w:top w:val="none" w:sz="0" w:space="0" w:color="auto"/>
        <w:left w:val="none" w:sz="0" w:space="0" w:color="auto"/>
        <w:bottom w:val="none" w:sz="0" w:space="0" w:color="auto"/>
        <w:right w:val="none" w:sz="0" w:space="0" w:color="auto"/>
      </w:divBdr>
      <w:divsChild>
        <w:div w:id="888881870">
          <w:marLeft w:val="0"/>
          <w:marRight w:val="0"/>
          <w:marTop w:val="0"/>
          <w:marBottom w:val="0"/>
          <w:divBdr>
            <w:top w:val="none" w:sz="0" w:space="0" w:color="auto"/>
            <w:left w:val="none" w:sz="0" w:space="0" w:color="auto"/>
            <w:bottom w:val="none" w:sz="0" w:space="0" w:color="auto"/>
            <w:right w:val="none" w:sz="0" w:space="0" w:color="auto"/>
          </w:divBdr>
        </w:div>
        <w:div w:id="2051370555">
          <w:marLeft w:val="0"/>
          <w:marRight w:val="0"/>
          <w:marTop w:val="0"/>
          <w:marBottom w:val="0"/>
          <w:divBdr>
            <w:top w:val="none" w:sz="0" w:space="0" w:color="auto"/>
            <w:left w:val="none" w:sz="0" w:space="0" w:color="auto"/>
            <w:bottom w:val="none" w:sz="0" w:space="0" w:color="auto"/>
            <w:right w:val="none" w:sz="0" w:space="0" w:color="auto"/>
          </w:divBdr>
        </w:div>
        <w:div w:id="1956786309">
          <w:marLeft w:val="0"/>
          <w:marRight w:val="0"/>
          <w:marTop w:val="0"/>
          <w:marBottom w:val="0"/>
          <w:divBdr>
            <w:top w:val="none" w:sz="0" w:space="0" w:color="auto"/>
            <w:left w:val="none" w:sz="0" w:space="0" w:color="auto"/>
            <w:bottom w:val="none" w:sz="0" w:space="0" w:color="auto"/>
            <w:right w:val="none" w:sz="0" w:space="0" w:color="auto"/>
          </w:divBdr>
        </w:div>
        <w:div w:id="114177848">
          <w:marLeft w:val="0"/>
          <w:marRight w:val="0"/>
          <w:marTop w:val="0"/>
          <w:marBottom w:val="0"/>
          <w:divBdr>
            <w:top w:val="none" w:sz="0" w:space="0" w:color="auto"/>
            <w:left w:val="none" w:sz="0" w:space="0" w:color="auto"/>
            <w:bottom w:val="none" w:sz="0" w:space="0" w:color="auto"/>
            <w:right w:val="none" w:sz="0" w:space="0" w:color="auto"/>
          </w:divBdr>
        </w:div>
        <w:div w:id="2052875469">
          <w:marLeft w:val="0"/>
          <w:marRight w:val="0"/>
          <w:marTop w:val="0"/>
          <w:marBottom w:val="0"/>
          <w:divBdr>
            <w:top w:val="none" w:sz="0" w:space="0" w:color="auto"/>
            <w:left w:val="none" w:sz="0" w:space="0" w:color="auto"/>
            <w:bottom w:val="none" w:sz="0" w:space="0" w:color="auto"/>
            <w:right w:val="none" w:sz="0" w:space="0" w:color="auto"/>
          </w:divBdr>
        </w:div>
        <w:div w:id="864171517">
          <w:marLeft w:val="0"/>
          <w:marRight w:val="0"/>
          <w:marTop w:val="0"/>
          <w:marBottom w:val="0"/>
          <w:divBdr>
            <w:top w:val="none" w:sz="0" w:space="0" w:color="auto"/>
            <w:left w:val="none" w:sz="0" w:space="0" w:color="auto"/>
            <w:bottom w:val="none" w:sz="0" w:space="0" w:color="auto"/>
            <w:right w:val="none" w:sz="0" w:space="0" w:color="auto"/>
          </w:divBdr>
        </w:div>
        <w:div w:id="1268585569">
          <w:marLeft w:val="0"/>
          <w:marRight w:val="0"/>
          <w:marTop w:val="0"/>
          <w:marBottom w:val="0"/>
          <w:divBdr>
            <w:top w:val="none" w:sz="0" w:space="0" w:color="auto"/>
            <w:left w:val="none" w:sz="0" w:space="0" w:color="auto"/>
            <w:bottom w:val="none" w:sz="0" w:space="0" w:color="auto"/>
            <w:right w:val="none" w:sz="0" w:space="0" w:color="auto"/>
          </w:divBdr>
        </w:div>
        <w:div w:id="1453590762">
          <w:marLeft w:val="0"/>
          <w:marRight w:val="0"/>
          <w:marTop w:val="0"/>
          <w:marBottom w:val="0"/>
          <w:divBdr>
            <w:top w:val="none" w:sz="0" w:space="0" w:color="auto"/>
            <w:left w:val="none" w:sz="0" w:space="0" w:color="auto"/>
            <w:bottom w:val="none" w:sz="0" w:space="0" w:color="auto"/>
            <w:right w:val="none" w:sz="0" w:space="0" w:color="auto"/>
          </w:divBdr>
        </w:div>
        <w:div w:id="263853058">
          <w:marLeft w:val="0"/>
          <w:marRight w:val="0"/>
          <w:marTop w:val="0"/>
          <w:marBottom w:val="0"/>
          <w:divBdr>
            <w:top w:val="none" w:sz="0" w:space="0" w:color="auto"/>
            <w:left w:val="none" w:sz="0" w:space="0" w:color="auto"/>
            <w:bottom w:val="none" w:sz="0" w:space="0" w:color="auto"/>
            <w:right w:val="none" w:sz="0" w:space="0" w:color="auto"/>
          </w:divBdr>
        </w:div>
        <w:div w:id="261258872">
          <w:marLeft w:val="0"/>
          <w:marRight w:val="0"/>
          <w:marTop w:val="0"/>
          <w:marBottom w:val="0"/>
          <w:divBdr>
            <w:top w:val="none" w:sz="0" w:space="0" w:color="auto"/>
            <w:left w:val="none" w:sz="0" w:space="0" w:color="auto"/>
            <w:bottom w:val="none" w:sz="0" w:space="0" w:color="auto"/>
            <w:right w:val="none" w:sz="0" w:space="0" w:color="auto"/>
          </w:divBdr>
        </w:div>
        <w:div w:id="1768652639">
          <w:marLeft w:val="0"/>
          <w:marRight w:val="0"/>
          <w:marTop w:val="0"/>
          <w:marBottom w:val="0"/>
          <w:divBdr>
            <w:top w:val="none" w:sz="0" w:space="0" w:color="auto"/>
            <w:left w:val="none" w:sz="0" w:space="0" w:color="auto"/>
            <w:bottom w:val="none" w:sz="0" w:space="0" w:color="auto"/>
            <w:right w:val="none" w:sz="0" w:space="0" w:color="auto"/>
          </w:divBdr>
        </w:div>
        <w:div w:id="493569459">
          <w:marLeft w:val="0"/>
          <w:marRight w:val="0"/>
          <w:marTop w:val="0"/>
          <w:marBottom w:val="0"/>
          <w:divBdr>
            <w:top w:val="none" w:sz="0" w:space="0" w:color="auto"/>
            <w:left w:val="none" w:sz="0" w:space="0" w:color="auto"/>
            <w:bottom w:val="none" w:sz="0" w:space="0" w:color="auto"/>
            <w:right w:val="none" w:sz="0" w:space="0" w:color="auto"/>
          </w:divBdr>
        </w:div>
        <w:div w:id="188422868">
          <w:marLeft w:val="0"/>
          <w:marRight w:val="0"/>
          <w:marTop w:val="0"/>
          <w:marBottom w:val="0"/>
          <w:divBdr>
            <w:top w:val="none" w:sz="0" w:space="0" w:color="auto"/>
            <w:left w:val="none" w:sz="0" w:space="0" w:color="auto"/>
            <w:bottom w:val="none" w:sz="0" w:space="0" w:color="auto"/>
            <w:right w:val="none" w:sz="0" w:space="0" w:color="auto"/>
          </w:divBdr>
        </w:div>
        <w:div w:id="1252198278">
          <w:marLeft w:val="0"/>
          <w:marRight w:val="0"/>
          <w:marTop w:val="0"/>
          <w:marBottom w:val="0"/>
          <w:divBdr>
            <w:top w:val="none" w:sz="0" w:space="0" w:color="auto"/>
            <w:left w:val="none" w:sz="0" w:space="0" w:color="auto"/>
            <w:bottom w:val="none" w:sz="0" w:space="0" w:color="auto"/>
            <w:right w:val="none" w:sz="0" w:space="0" w:color="auto"/>
          </w:divBdr>
        </w:div>
        <w:div w:id="672924930">
          <w:marLeft w:val="0"/>
          <w:marRight w:val="0"/>
          <w:marTop w:val="0"/>
          <w:marBottom w:val="0"/>
          <w:divBdr>
            <w:top w:val="none" w:sz="0" w:space="0" w:color="auto"/>
            <w:left w:val="none" w:sz="0" w:space="0" w:color="auto"/>
            <w:bottom w:val="none" w:sz="0" w:space="0" w:color="auto"/>
            <w:right w:val="none" w:sz="0" w:space="0" w:color="auto"/>
          </w:divBdr>
        </w:div>
        <w:div w:id="571354170">
          <w:marLeft w:val="0"/>
          <w:marRight w:val="0"/>
          <w:marTop w:val="0"/>
          <w:marBottom w:val="0"/>
          <w:divBdr>
            <w:top w:val="none" w:sz="0" w:space="0" w:color="auto"/>
            <w:left w:val="none" w:sz="0" w:space="0" w:color="auto"/>
            <w:bottom w:val="none" w:sz="0" w:space="0" w:color="auto"/>
            <w:right w:val="none" w:sz="0" w:space="0" w:color="auto"/>
          </w:divBdr>
        </w:div>
        <w:div w:id="1370104343">
          <w:marLeft w:val="0"/>
          <w:marRight w:val="0"/>
          <w:marTop w:val="0"/>
          <w:marBottom w:val="0"/>
          <w:divBdr>
            <w:top w:val="none" w:sz="0" w:space="0" w:color="auto"/>
            <w:left w:val="none" w:sz="0" w:space="0" w:color="auto"/>
            <w:bottom w:val="none" w:sz="0" w:space="0" w:color="auto"/>
            <w:right w:val="none" w:sz="0" w:space="0" w:color="auto"/>
          </w:divBdr>
        </w:div>
        <w:div w:id="1849981072">
          <w:marLeft w:val="0"/>
          <w:marRight w:val="0"/>
          <w:marTop w:val="0"/>
          <w:marBottom w:val="0"/>
          <w:divBdr>
            <w:top w:val="none" w:sz="0" w:space="0" w:color="auto"/>
            <w:left w:val="none" w:sz="0" w:space="0" w:color="auto"/>
            <w:bottom w:val="none" w:sz="0" w:space="0" w:color="auto"/>
            <w:right w:val="none" w:sz="0" w:space="0" w:color="auto"/>
          </w:divBdr>
        </w:div>
        <w:div w:id="1631090252">
          <w:marLeft w:val="0"/>
          <w:marRight w:val="0"/>
          <w:marTop w:val="0"/>
          <w:marBottom w:val="0"/>
          <w:divBdr>
            <w:top w:val="none" w:sz="0" w:space="0" w:color="auto"/>
            <w:left w:val="none" w:sz="0" w:space="0" w:color="auto"/>
            <w:bottom w:val="none" w:sz="0" w:space="0" w:color="auto"/>
            <w:right w:val="none" w:sz="0" w:space="0" w:color="auto"/>
          </w:divBdr>
        </w:div>
        <w:div w:id="1969627489">
          <w:marLeft w:val="0"/>
          <w:marRight w:val="0"/>
          <w:marTop w:val="0"/>
          <w:marBottom w:val="0"/>
          <w:divBdr>
            <w:top w:val="none" w:sz="0" w:space="0" w:color="auto"/>
            <w:left w:val="none" w:sz="0" w:space="0" w:color="auto"/>
            <w:bottom w:val="none" w:sz="0" w:space="0" w:color="auto"/>
            <w:right w:val="none" w:sz="0" w:space="0" w:color="auto"/>
          </w:divBdr>
        </w:div>
        <w:div w:id="106588890">
          <w:marLeft w:val="0"/>
          <w:marRight w:val="0"/>
          <w:marTop w:val="0"/>
          <w:marBottom w:val="0"/>
          <w:divBdr>
            <w:top w:val="none" w:sz="0" w:space="0" w:color="auto"/>
            <w:left w:val="none" w:sz="0" w:space="0" w:color="auto"/>
            <w:bottom w:val="none" w:sz="0" w:space="0" w:color="auto"/>
            <w:right w:val="none" w:sz="0" w:space="0" w:color="auto"/>
          </w:divBdr>
        </w:div>
        <w:div w:id="1313145132">
          <w:marLeft w:val="0"/>
          <w:marRight w:val="0"/>
          <w:marTop w:val="0"/>
          <w:marBottom w:val="0"/>
          <w:divBdr>
            <w:top w:val="none" w:sz="0" w:space="0" w:color="auto"/>
            <w:left w:val="none" w:sz="0" w:space="0" w:color="auto"/>
            <w:bottom w:val="none" w:sz="0" w:space="0" w:color="auto"/>
            <w:right w:val="none" w:sz="0" w:space="0" w:color="auto"/>
          </w:divBdr>
        </w:div>
        <w:div w:id="1812479373">
          <w:marLeft w:val="0"/>
          <w:marRight w:val="0"/>
          <w:marTop w:val="0"/>
          <w:marBottom w:val="0"/>
          <w:divBdr>
            <w:top w:val="none" w:sz="0" w:space="0" w:color="auto"/>
            <w:left w:val="none" w:sz="0" w:space="0" w:color="auto"/>
            <w:bottom w:val="none" w:sz="0" w:space="0" w:color="auto"/>
            <w:right w:val="none" w:sz="0" w:space="0" w:color="auto"/>
          </w:divBdr>
        </w:div>
        <w:div w:id="1966352862">
          <w:marLeft w:val="0"/>
          <w:marRight w:val="0"/>
          <w:marTop w:val="0"/>
          <w:marBottom w:val="0"/>
          <w:divBdr>
            <w:top w:val="none" w:sz="0" w:space="0" w:color="auto"/>
            <w:left w:val="none" w:sz="0" w:space="0" w:color="auto"/>
            <w:bottom w:val="none" w:sz="0" w:space="0" w:color="auto"/>
            <w:right w:val="none" w:sz="0" w:space="0" w:color="auto"/>
          </w:divBdr>
        </w:div>
        <w:div w:id="1308827948">
          <w:marLeft w:val="0"/>
          <w:marRight w:val="0"/>
          <w:marTop w:val="0"/>
          <w:marBottom w:val="0"/>
          <w:divBdr>
            <w:top w:val="none" w:sz="0" w:space="0" w:color="auto"/>
            <w:left w:val="none" w:sz="0" w:space="0" w:color="auto"/>
            <w:bottom w:val="none" w:sz="0" w:space="0" w:color="auto"/>
            <w:right w:val="none" w:sz="0" w:space="0" w:color="auto"/>
          </w:divBdr>
        </w:div>
        <w:div w:id="866453282">
          <w:marLeft w:val="0"/>
          <w:marRight w:val="0"/>
          <w:marTop w:val="0"/>
          <w:marBottom w:val="0"/>
          <w:divBdr>
            <w:top w:val="none" w:sz="0" w:space="0" w:color="auto"/>
            <w:left w:val="none" w:sz="0" w:space="0" w:color="auto"/>
            <w:bottom w:val="none" w:sz="0" w:space="0" w:color="auto"/>
            <w:right w:val="none" w:sz="0" w:space="0" w:color="auto"/>
          </w:divBdr>
        </w:div>
        <w:div w:id="790976381">
          <w:marLeft w:val="0"/>
          <w:marRight w:val="0"/>
          <w:marTop w:val="0"/>
          <w:marBottom w:val="0"/>
          <w:divBdr>
            <w:top w:val="none" w:sz="0" w:space="0" w:color="auto"/>
            <w:left w:val="none" w:sz="0" w:space="0" w:color="auto"/>
            <w:bottom w:val="none" w:sz="0" w:space="0" w:color="auto"/>
            <w:right w:val="none" w:sz="0" w:space="0" w:color="auto"/>
          </w:divBdr>
        </w:div>
        <w:div w:id="78454923">
          <w:marLeft w:val="0"/>
          <w:marRight w:val="0"/>
          <w:marTop w:val="0"/>
          <w:marBottom w:val="0"/>
          <w:divBdr>
            <w:top w:val="none" w:sz="0" w:space="0" w:color="auto"/>
            <w:left w:val="none" w:sz="0" w:space="0" w:color="auto"/>
            <w:bottom w:val="none" w:sz="0" w:space="0" w:color="auto"/>
            <w:right w:val="none" w:sz="0" w:space="0" w:color="auto"/>
          </w:divBdr>
        </w:div>
        <w:div w:id="288633752">
          <w:marLeft w:val="0"/>
          <w:marRight w:val="0"/>
          <w:marTop w:val="0"/>
          <w:marBottom w:val="0"/>
          <w:divBdr>
            <w:top w:val="none" w:sz="0" w:space="0" w:color="auto"/>
            <w:left w:val="none" w:sz="0" w:space="0" w:color="auto"/>
            <w:bottom w:val="none" w:sz="0" w:space="0" w:color="auto"/>
            <w:right w:val="none" w:sz="0" w:space="0" w:color="auto"/>
          </w:divBdr>
        </w:div>
        <w:div w:id="1973167731">
          <w:marLeft w:val="0"/>
          <w:marRight w:val="0"/>
          <w:marTop w:val="0"/>
          <w:marBottom w:val="0"/>
          <w:divBdr>
            <w:top w:val="none" w:sz="0" w:space="0" w:color="auto"/>
            <w:left w:val="none" w:sz="0" w:space="0" w:color="auto"/>
            <w:bottom w:val="none" w:sz="0" w:space="0" w:color="auto"/>
            <w:right w:val="none" w:sz="0" w:space="0" w:color="auto"/>
          </w:divBdr>
        </w:div>
        <w:div w:id="660545772">
          <w:marLeft w:val="0"/>
          <w:marRight w:val="0"/>
          <w:marTop w:val="0"/>
          <w:marBottom w:val="0"/>
          <w:divBdr>
            <w:top w:val="none" w:sz="0" w:space="0" w:color="auto"/>
            <w:left w:val="none" w:sz="0" w:space="0" w:color="auto"/>
            <w:bottom w:val="none" w:sz="0" w:space="0" w:color="auto"/>
            <w:right w:val="none" w:sz="0" w:space="0" w:color="auto"/>
          </w:divBdr>
        </w:div>
        <w:div w:id="495614958">
          <w:marLeft w:val="0"/>
          <w:marRight w:val="0"/>
          <w:marTop w:val="0"/>
          <w:marBottom w:val="0"/>
          <w:divBdr>
            <w:top w:val="none" w:sz="0" w:space="0" w:color="auto"/>
            <w:left w:val="none" w:sz="0" w:space="0" w:color="auto"/>
            <w:bottom w:val="none" w:sz="0" w:space="0" w:color="auto"/>
            <w:right w:val="none" w:sz="0" w:space="0" w:color="auto"/>
          </w:divBdr>
        </w:div>
        <w:div w:id="95760960">
          <w:marLeft w:val="0"/>
          <w:marRight w:val="0"/>
          <w:marTop w:val="0"/>
          <w:marBottom w:val="0"/>
          <w:divBdr>
            <w:top w:val="none" w:sz="0" w:space="0" w:color="auto"/>
            <w:left w:val="none" w:sz="0" w:space="0" w:color="auto"/>
            <w:bottom w:val="none" w:sz="0" w:space="0" w:color="auto"/>
            <w:right w:val="none" w:sz="0" w:space="0" w:color="auto"/>
          </w:divBdr>
        </w:div>
        <w:div w:id="1582056056">
          <w:marLeft w:val="0"/>
          <w:marRight w:val="0"/>
          <w:marTop w:val="0"/>
          <w:marBottom w:val="0"/>
          <w:divBdr>
            <w:top w:val="none" w:sz="0" w:space="0" w:color="auto"/>
            <w:left w:val="none" w:sz="0" w:space="0" w:color="auto"/>
            <w:bottom w:val="none" w:sz="0" w:space="0" w:color="auto"/>
            <w:right w:val="none" w:sz="0" w:space="0" w:color="auto"/>
          </w:divBdr>
        </w:div>
        <w:div w:id="545071073">
          <w:marLeft w:val="0"/>
          <w:marRight w:val="0"/>
          <w:marTop w:val="0"/>
          <w:marBottom w:val="0"/>
          <w:divBdr>
            <w:top w:val="none" w:sz="0" w:space="0" w:color="auto"/>
            <w:left w:val="none" w:sz="0" w:space="0" w:color="auto"/>
            <w:bottom w:val="none" w:sz="0" w:space="0" w:color="auto"/>
            <w:right w:val="none" w:sz="0" w:space="0" w:color="auto"/>
          </w:divBdr>
        </w:div>
        <w:div w:id="357437223">
          <w:marLeft w:val="0"/>
          <w:marRight w:val="0"/>
          <w:marTop w:val="0"/>
          <w:marBottom w:val="0"/>
          <w:divBdr>
            <w:top w:val="none" w:sz="0" w:space="0" w:color="auto"/>
            <w:left w:val="none" w:sz="0" w:space="0" w:color="auto"/>
            <w:bottom w:val="none" w:sz="0" w:space="0" w:color="auto"/>
            <w:right w:val="none" w:sz="0" w:space="0" w:color="auto"/>
          </w:divBdr>
        </w:div>
        <w:div w:id="1520006456">
          <w:marLeft w:val="0"/>
          <w:marRight w:val="0"/>
          <w:marTop w:val="0"/>
          <w:marBottom w:val="0"/>
          <w:divBdr>
            <w:top w:val="none" w:sz="0" w:space="0" w:color="auto"/>
            <w:left w:val="none" w:sz="0" w:space="0" w:color="auto"/>
            <w:bottom w:val="none" w:sz="0" w:space="0" w:color="auto"/>
            <w:right w:val="none" w:sz="0" w:space="0" w:color="auto"/>
          </w:divBdr>
        </w:div>
        <w:div w:id="127668899">
          <w:marLeft w:val="0"/>
          <w:marRight w:val="0"/>
          <w:marTop w:val="0"/>
          <w:marBottom w:val="0"/>
          <w:divBdr>
            <w:top w:val="none" w:sz="0" w:space="0" w:color="auto"/>
            <w:left w:val="none" w:sz="0" w:space="0" w:color="auto"/>
            <w:bottom w:val="none" w:sz="0" w:space="0" w:color="auto"/>
            <w:right w:val="none" w:sz="0" w:space="0" w:color="auto"/>
          </w:divBdr>
        </w:div>
        <w:div w:id="1995991139">
          <w:marLeft w:val="0"/>
          <w:marRight w:val="0"/>
          <w:marTop w:val="0"/>
          <w:marBottom w:val="0"/>
          <w:divBdr>
            <w:top w:val="none" w:sz="0" w:space="0" w:color="auto"/>
            <w:left w:val="none" w:sz="0" w:space="0" w:color="auto"/>
            <w:bottom w:val="none" w:sz="0" w:space="0" w:color="auto"/>
            <w:right w:val="none" w:sz="0" w:space="0" w:color="auto"/>
          </w:divBdr>
        </w:div>
        <w:div w:id="1360550840">
          <w:marLeft w:val="0"/>
          <w:marRight w:val="0"/>
          <w:marTop w:val="0"/>
          <w:marBottom w:val="0"/>
          <w:divBdr>
            <w:top w:val="none" w:sz="0" w:space="0" w:color="auto"/>
            <w:left w:val="none" w:sz="0" w:space="0" w:color="auto"/>
            <w:bottom w:val="none" w:sz="0" w:space="0" w:color="auto"/>
            <w:right w:val="none" w:sz="0" w:space="0" w:color="auto"/>
          </w:divBdr>
        </w:div>
        <w:div w:id="1295481012">
          <w:marLeft w:val="0"/>
          <w:marRight w:val="0"/>
          <w:marTop w:val="0"/>
          <w:marBottom w:val="0"/>
          <w:divBdr>
            <w:top w:val="none" w:sz="0" w:space="0" w:color="auto"/>
            <w:left w:val="none" w:sz="0" w:space="0" w:color="auto"/>
            <w:bottom w:val="none" w:sz="0" w:space="0" w:color="auto"/>
            <w:right w:val="none" w:sz="0" w:space="0" w:color="auto"/>
          </w:divBdr>
        </w:div>
        <w:div w:id="1334071730">
          <w:marLeft w:val="0"/>
          <w:marRight w:val="0"/>
          <w:marTop w:val="0"/>
          <w:marBottom w:val="0"/>
          <w:divBdr>
            <w:top w:val="none" w:sz="0" w:space="0" w:color="auto"/>
            <w:left w:val="none" w:sz="0" w:space="0" w:color="auto"/>
            <w:bottom w:val="none" w:sz="0" w:space="0" w:color="auto"/>
            <w:right w:val="none" w:sz="0" w:space="0" w:color="auto"/>
          </w:divBdr>
        </w:div>
        <w:div w:id="1023166855">
          <w:marLeft w:val="0"/>
          <w:marRight w:val="0"/>
          <w:marTop w:val="0"/>
          <w:marBottom w:val="0"/>
          <w:divBdr>
            <w:top w:val="none" w:sz="0" w:space="0" w:color="auto"/>
            <w:left w:val="none" w:sz="0" w:space="0" w:color="auto"/>
            <w:bottom w:val="none" w:sz="0" w:space="0" w:color="auto"/>
            <w:right w:val="none" w:sz="0" w:space="0" w:color="auto"/>
          </w:divBdr>
        </w:div>
        <w:div w:id="1794790846">
          <w:marLeft w:val="0"/>
          <w:marRight w:val="0"/>
          <w:marTop w:val="0"/>
          <w:marBottom w:val="0"/>
          <w:divBdr>
            <w:top w:val="none" w:sz="0" w:space="0" w:color="auto"/>
            <w:left w:val="none" w:sz="0" w:space="0" w:color="auto"/>
            <w:bottom w:val="none" w:sz="0" w:space="0" w:color="auto"/>
            <w:right w:val="none" w:sz="0" w:space="0" w:color="auto"/>
          </w:divBdr>
        </w:div>
        <w:div w:id="220337539">
          <w:marLeft w:val="0"/>
          <w:marRight w:val="0"/>
          <w:marTop w:val="0"/>
          <w:marBottom w:val="0"/>
          <w:divBdr>
            <w:top w:val="none" w:sz="0" w:space="0" w:color="auto"/>
            <w:left w:val="none" w:sz="0" w:space="0" w:color="auto"/>
            <w:bottom w:val="none" w:sz="0" w:space="0" w:color="auto"/>
            <w:right w:val="none" w:sz="0" w:space="0" w:color="auto"/>
          </w:divBdr>
        </w:div>
        <w:div w:id="1479692006">
          <w:marLeft w:val="0"/>
          <w:marRight w:val="0"/>
          <w:marTop w:val="0"/>
          <w:marBottom w:val="0"/>
          <w:divBdr>
            <w:top w:val="none" w:sz="0" w:space="0" w:color="auto"/>
            <w:left w:val="none" w:sz="0" w:space="0" w:color="auto"/>
            <w:bottom w:val="none" w:sz="0" w:space="0" w:color="auto"/>
            <w:right w:val="none" w:sz="0" w:space="0" w:color="auto"/>
          </w:divBdr>
        </w:div>
        <w:div w:id="1835486437">
          <w:marLeft w:val="0"/>
          <w:marRight w:val="0"/>
          <w:marTop w:val="0"/>
          <w:marBottom w:val="0"/>
          <w:divBdr>
            <w:top w:val="none" w:sz="0" w:space="0" w:color="auto"/>
            <w:left w:val="none" w:sz="0" w:space="0" w:color="auto"/>
            <w:bottom w:val="none" w:sz="0" w:space="0" w:color="auto"/>
            <w:right w:val="none" w:sz="0" w:space="0" w:color="auto"/>
          </w:divBdr>
        </w:div>
        <w:div w:id="284238376">
          <w:marLeft w:val="0"/>
          <w:marRight w:val="0"/>
          <w:marTop w:val="0"/>
          <w:marBottom w:val="0"/>
          <w:divBdr>
            <w:top w:val="none" w:sz="0" w:space="0" w:color="auto"/>
            <w:left w:val="none" w:sz="0" w:space="0" w:color="auto"/>
            <w:bottom w:val="none" w:sz="0" w:space="0" w:color="auto"/>
            <w:right w:val="none" w:sz="0" w:space="0" w:color="auto"/>
          </w:divBdr>
        </w:div>
        <w:div w:id="1566841567">
          <w:marLeft w:val="0"/>
          <w:marRight w:val="0"/>
          <w:marTop w:val="0"/>
          <w:marBottom w:val="0"/>
          <w:divBdr>
            <w:top w:val="none" w:sz="0" w:space="0" w:color="auto"/>
            <w:left w:val="none" w:sz="0" w:space="0" w:color="auto"/>
            <w:bottom w:val="none" w:sz="0" w:space="0" w:color="auto"/>
            <w:right w:val="none" w:sz="0" w:space="0" w:color="auto"/>
          </w:divBdr>
        </w:div>
        <w:div w:id="1924601087">
          <w:marLeft w:val="0"/>
          <w:marRight w:val="0"/>
          <w:marTop w:val="0"/>
          <w:marBottom w:val="0"/>
          <w:divBdr>
            <w:top w:val="none" w:sz="0" w:space="0" w:color="auto"/>
            <w:left w:val="none" w:sz="0" w:space="0" w:color="auto"/>
            <w:bottom w:val="none" w:sz="0" w:space="0" w:color="auto"/>
            <w:right w:val="none" w:sz="0" w:space="0" w:color="auto"/>
          </w:divBdr>
        </w:div>
        <w:div w:id="463472398">
          <w:marLeft w:val="0"/>
          <w:marRight w:val="0"/>
          <w:marTop w:val="0"/>
          <w:marBottom w:val="0"/>
          <w:divBdr>
            <w:top w:val="none" w:sz="0" w:space="0" w:color="auto"/>
            <w:left w:val="none" w:sz="0" w:space="0" w:color="auto"/>
            <w:bottom w:val="none" w:sz="0" w:space="0" w:color="auto"/>
            <w:right w:val="none" w:sz="0" w:space="0" w:color="auto"/>
          </w:divBdr>
        </w:div>
        <w:div w:id="757287717">
          <w:marLeft w:val="0"/>
          <w:marRight w:val="0"/>
          <w:marTop w:val="0"/>
          <w:marBottom w:val="0"/>
          <w:divBdr>
            <w:top w:val="none" w:sz="0" w:space="0" w:color="auto"/>
            <w:left w:val="none" w:sz="0" w:space="0" w:color="auto"/>
            <w:bottom w:val="none" w:sz="0" w:space="0" w:color="auto"/>
            <w:right w:val="none" w:sz="0" w:space="0" w:color="auto"/>
          </w:divBdr>
        </w:div>
        <w:div w:id="1479037162">
          <w:marLeft w:val="0"/>
          <w:marRight w:val="0"/>
          <w:marTop w:val="0"/>
          <w:marBottom w:val="0"/>
          <w:divBdr>
            <w:top w:val="none" w:sz="0" w:space="0" w:color="auto"/>
            <w:left w:val="none" w:sz="0" w:space="0" w:color="auto"/>
            <w:bottom w:val="none" w:sz="0" w:space="0" w:color="auto"/>
            <w:right w:val="none" w:sz="0" w:space="0" w:color="auto"/>
          </w:divBdr>
        </w:div>
        <w:div w:id="886331210">
          <w:marLeft w:val="0"/>
          <w:marRight w:val="0"/>
          <w:marTop w:val="0"/>
          <w:marBottom w:val="0"/>
          <w:divBdr>
            <w:top w:val="none" w:sz="0" w:space="0" w:color="auto"/>
            <w:left w:val="none" w:sz="0" w:space="0" w:color="auto"/>
            <w:bottom w:val="none" w:sz="0" w:space="0" w:color="auto"/>
            <w:right w:val="none" w:sz="0" w:space="0" w:color="auto"/>
          </w:divBdr>
        </w:div>
      </w:divsChild>
    </w:div>
    <w:div w:id="745225567">
      <w:bodyDiv w:val="1"/>
      <w:marLeft w:val="0"/>
      <w:marRight w:val="0"/>
      <w:marTop w:val="0"/>
      <w:marBottom w:val="0"/>
      <w:divBdr>
        <w:top w:val="none" w:sz="0" w:space="0" w:color="auto"/>
        <w:left w:val="none" w:sz="0" w:space="0" w:color="auto"/>
        <w:bottom w:val="none" w:sz="0" w:space="0" w:color="auto"/>
        <w:right w:val="none" w:sz="0" w:space="0" w:color="auto"/>
      </w:divBdr>
    </w:div>
    <w:div w:id="954602122">
      <w:bodyDiv w:val="1"/>
      <w:marLeft w:val="0"/>
      <w:marRight w:val="0"/>
      <w:marTop w:val="0"/>
      <w:marBottom w:val="0"/>
      <w:divBdr>
        <w:top w:val="none" w:sz="0" w:space="0" w:color="auto"/>
        <w:left w:val="none" w:sz="0" w:space="0" w:color="auto"/>
        <w:bottom w:val="none" w:sz="0" w:space="0" w:color="auto"/>
        <w:right w:val="none" w:sz="0" w:space="0" w:color="auto"/>
      </w:divBdr>
    </w:div>
    <w:div w:id="997732104">
      <w:bodyDiv w:val="1"/>
      <w:marLeft w:val="0"/>
      <w:marRight w:val="0"/>
      <w:marTop w:val="0"/>
      <w:marBottom w:val="0"/>
      <w:divBdr>
        <w:top w:val="none" w:sz="0" w:space="0" w:color="auto"/>
        <w:left w:val="none" w:sz="0" w:space="0" w:color="auto"/>
        <w:bottom w:val="none" w:sz="0" w:space="0" w:color="auto"/>
        <w:right w:val="none" w:sz="0" w:space="0" w:color="auto"/>
      </w:divBdr>
    </w:div>
    <w:div w:id="1039163410">
      <w:bodyDiv w:val="1"/>
      <w:marLeft w:val="0"/>
      <w:marRight w:val="0"/>
      <w:marTop w:val="0"/>
      <w:marBottom w:val="0"/>
      <w:divBdr>
        <w:top w:val="none" w:sz="0" w:space="0" w:color="auto"/>
        <w:left w:val="none" w:sz="0" w:space="0" w:color="auto"/>
        <w:bottom w:val="none" w:sz="0" w:space="0" w:color="auto"/>
        <w:right w:val="none" w:sz="0" w:space="0" w:color="auto"/>
      </w:divBdr>
    </w:div>
    <w:div w:id="1131753865">
      <w:bodyDiv w:val="1"/>
      <w:marLeft w:val="0"/>
      <w:marRight w:val="0"/>
      <w:marTop w:val="0"/>
      <w:marBottom w:val="0"/>
      <w:divBdr>
        <w:top w:val="none" w:sz="0" w:space="0" w:color="auto"/>
        <w:left w:val="none" w:sz="0" w:space="0" w:color="auto"/>
        <w:bottom w:val="none" w:sz="0" w:space="0" w:color="auto"/>
        <w:right w:val="none" w:sz="0" w:space="0" w:color="auto"/>
      </w:divBdr>
    </w:div>
    <w:div w:id="1170214113">
      <w:bodyDiv w:val="1"/>
      <w:marLeft w:val="0"/>
      <w:marRight w:val="0"/>
      <w:marTop w:val="0"/>
      <w:marBottom w:val="0"/>
      <w:divBdr>
        <w:top w:val="none" w:sz="0" w:space="0" w:color="auto"/>
        <w:left w:val="none" w:sz="0" w:space="0" w:color="auto"/>
        <w:bottom w:val="none" w:sz="0" w:space="0" w:color="auto"/>
        <w:right w:val="none" w:sz="0" w:space="0" w:color="auto"/>
      </w:divBdr>
    </w:div>
    <w:div w:id="1248614764">
      <w:bodyDiv w:val="1"/>
      <w:marLeft w:val="0"/>
      <w:marRight w:val="0"/>
      <w:marTop w:val="0"/>
      <w:marBottom w:val="0"/>
      <w:divBdr>
        <w:top w:val="none" w:sz="0" w:space="0" w:color="auto"/>
        <w:left w:val="none" w:sz="0" w:space="0" w:color="auto"/>
        <w:bottom w:val="none" w:sz="0" w:space="0" w:color="auto"/>
        <w:right w:val="none" w:sz="0" w:space="0" w:color="auto"/>
      </w:divBdr>
    </w:div>
    <w:div w:id="1392581932">
      <w:bodyDiv w:val="1"/>
      <w:marLeft w:val="0"/>
      <w:marRight w:val="0"/>
      <w:marTop w:val="0"/>
      <w:marBottom w:val="0"/>
      <w:divBdr>
        <w:top w:val="none" w:sz="0" w:space="0" w:color="auto"/>
        <w:left w:val="none" w:sz="0" w:space="0" w:color="auto"/>
        <w:bottom w:val="none" w:sz="0" w:space="0" w:color="auto"/>
        <w:right w:val="none" w:sz="0" w:space="0" w:color="auto"/>
      </w:divBdr>
    </w:div>
    <w:div w:id="1403913299">
      <w:bodyDiv w:val="1"/>
      <w:marLeft w:val="0"/>
      <w:marRight w:val="0"/>
      <w:marTop w:val="0"/>
      <w:marBottom w:val="0"/>
      <w:divBdr>
        <w:top w:val="none" w:sz="0" w:space="0" w:color="auto"/>
        <w:left w:val="none" w:sz="0" w:space="0" w:color="auto"/>
        <w:bottom w:val="none" w:sz="0" w:space="0" w:color="auto"/>
        <w:right w:val="none" w:sz="0" w:space="0" w:color="auto"/>
      </w:divBdr>
    </w:div>
    <w:div w:id="1480071640">
      <w:bodyDiv w:val="1"/>
      <w:marLeft w:val="0"/>
      <w:marRight w:val="0"/>
      <w:marTop w:val="0"/>
      <w:marBottom w:val="0"/>
      <w:divBdr>
        <w:top w:val="none" w:sz="0" w:space="0" w:color="auto"/>
        <w:left w:val="none" w:sz="0" w:space="0" w:color="auto"/>
        <w:bottom w:val="none" w:sz="0" w:space="0" w:color="auto"/>
        <w:right w:val="none" w:sz="0" w:space="0" w:color="auto"/>
      </w:divBdr>
    </w:div>
    <w:div w:id="1490100426">
      <w:bodyDiv w:val="1"/>
      <w:marLeft w:val="0"/>
      <w:marRight w:val="0"/>
      <w:marTop w:val="0"/>
      <w:marBottom w:val="0"/>
      <w:divBdr>
        <w:top w:val="none" w:sz="0" w:space="0" w:color="auto"/>
        <w:left w:val="none" w:sz="0" w:space="0" w:color="auto"/>
        <w:bottom w:val="none" w:sz="0" w:space="0" w:color="auto"/>
        <w:right w:val="none" w:sz="0" w:space="0" w:color="auto"/>
      </w:divBdr>
    </w:div>
    <w:div w:id="1540703569">
      <w:bodyDiv w:val="1"/>
      <w:marLeft w:val="0"/>
      <w:marRight w:val="0"/>
      <w:marTop w:val="0"/>
      <w:marBottom w:val="0"/>
      <w:divBdr>
        <w:top w:val="none" w:sz="0" w:space="0" w:color="auto"/>
        <w:left w:val="none" w:sz="0" w:space="0" w:color="auto"/>
        <w:bottom w:val="none" w:sz="0" w:space="0" w:color="auto"/>
        <w:right w:val="none" w:sz="0" w:space="0" w:color="auto"/>
      </w:divBdr>
    </w:div>
    <w:div w:id="1572692462">
      <w:bodyDiv w:val="1"/>
      <w:marLeft w:val="0"/>
      <w:marRight w:val="0"/>
      <w:marTop w:val="0"/>
      <w:marBottom w:val="0"/>
      <w:divBdr>
        <w:top w:val="none" w:sz="0" w:space="0" w:color="auto"/>
        <w:left w:val="none" w:sz="0" w:space="0" w:color="auto"/>
        <w:bottom w:val="none" w:sz="0" w:space="0" w:color="auto"/>
        <w:right w:val="none" w:sz="0" w:space="0" w:color="auto"/>
      </w:divBdr>
      <w:divsChild>
        <w:div w:id="1195078672">
          <w:marLeft w:val="0"/>
          <w:marRight w:val="0"/>
          <w:marTop w:val="0"/>
          <w:marBottom w:val="0"/>
          <w:divBdr>
            <w:top w:val="none" w:sz="0" w:space="0" w:color="auto"/>
            <w:left w:val="none" w:sz="0" w:space="0" w:color="auto"/>
            <w:bottom w:val="none" w:sz="0" w:space="0" w:color="auto"/>
            <w:right w:val="none" w:sz="0" w:space="0" w:color="auto"/>
          </w:divBdr>
        </w:div>
        <w:div w:id="1180244202">
          <w:marLeft w:val="0"/>
          <w:marRight w:val="0"/>
          <w:marTop w:val="0"/>
          <w:marBottom w:val="0"/>
          <w:divBdr>
            <w:top w:val="none" w:sz="0" w:space="0" w:color="auto"/>
            <w:left w:val="none" w:sz="0" w:space="0" w:color="auto"/>
            <w:bottom w:val="none" w:sz="0" w:space="0" w:color="auto"/>
            <w:right w:val="none" w:sz="0" w:space="0" w:color="auto"/>
          </w:divBdr>
        </w:div>
        <w:div w:id="1303923138">
          <w:marLeft w:val="0"/>
          <w:marRight w:val="0"/>
          <w:marTop w:val="0"/>
          <w:marBottom w:val="0"/>
          <w:divBdr>
            <w:top w:val="none" w:sz="0" w:space="0" w:color="auto"/>
            <w:left w:val="none" w:sz="0" w:space="0" w:color="auto"/>
            <w:bottom w:val="none" w:sz="0" w:space="0" w:color="auto"/>
            <w:right w:val="none" w:sz="0" w:space="0" w:color="auto"/>
          </w:divBdr>
        </w:div>
        <w:div w:id="1096439991">
          <w:marLeft w:val="0"/>
          <w:marRight w:val="0"/>
          <w:marTop w:val="0"/>
          <w:marBottom w:val="0"/>
          <w:divBdr>
            <w:top w:val="none" w:sz="0" w:space="0" w:color="auto"/>
            <w:left w:val="none" w:sz="0" w:space="0" w:color="auto"/>
            <w:bottom w:val="none" w:sz="0" w:space="0" w:color="auto"/>
            <w:right w:val="none" w:sz="0" w:space="0" w:color="auto"/>
          </w:divBdr>
        </w:div>
        <w:div w:id="2118527348">
          <w:marLeft w:val="0"/>
          <w:marRight w:val="0"/>
          <w:marTop w:val="0"/>
          <w:marBottom w:val="0"/>
          <w:divBdr>
            <w:top w:val="none" w:sz="0" w:space="0" w:color="auto"/>
            <w:left w:val="none" w:sz="0" w:space="0" w:color="auto"/>
            <w:bottom w:val="none" w:sz="0" w:space="0" w:color="auto"/>
            <w:right w:val="none" w:sz="0" w:space="0" w:color="auto"/>
          </w:divBdr>
        </w:div>
        <w:div w:id="1573537657">
          <w:marLeft w:val="0"/>
          <w:marRight w:val="0"/>
          <w:marTop w:val="0"/>
          <w:marBottom w:val="0"/>
          <w:divBdr>
            <w:top w:val="none" w:sz="0" w:space="0" w:color="auto"/>
            <w:left w:val="none" w:sz="0" w:space="0" w:color="auto"/>
            <w:bottom w:val="none" w:sz="0" w:space="0" w:color="auto"/>
            <w:right w:val="none" w:sz="0" w:space="0" w:color="auto"/>
          </w:divBdr>
        </w:div>
        <w:div w:id="107361502">
          <w:marLeft w:val="0"/>
          <w:marRight w:val="0"/>
          <w:marTop w:val="0"/>
          <w:marBottom w:val="0"/>
          <w:divBdr>
            <w:top w:val="none" w:sz="0" w:space="0" w:color="auto"/>
            <w:left w:val="none" w:sz="0" w:space="0" w:color="auto"/>
            <w:bottom w:val="none" w:sz="0" w:space="0" w:color="auto"/>
            <w:right w:val="none" w:sz="0" w:space="0" w:color="auto"/>
          </w:divBdr>
        </w:div>
        <w:div w:id="1398939075">
          <w:marLeft w:val="0"/>
          <w:marRight w:val="0"/>
          <w:marTop w:val="0"/>
          <w:marBottom w:val="0"/>
          <w:divBdr>
            <w:top w:val="none" w:sz="0" w:space="0" w:color="auto"/>
            <w:left w:val="none" w:sz="0" w:space="0" w:color="auto"/>
            <w:bottom w:val="none" w:sz="0" w:space="0" w:color="auto"/>
            <w:right w:val="none" w:sz="0" w:space="0" w:color="auto"/>
          </w:divBdr>
        </w:div>
        <w:div w:id="1402168573">
          <w:marLeft w:val="0"/>
          <w:marRight w:val="0"/>
          <w:marTop w:val="0"/>
          <w:marBottom w:val="0"/>
          <w:divBdr>
            <w:top w:val="none" w:sz="0" w:space="0" w:color="auto"/>
            <w:left w:val="none" w:sz="0" w:space="0" w:color="auto"/>
            <w:bottom w:val="none" w:sz="0" w:space="0" w:color="auto"/>
            <w:right w:val="none" w:sz="0" w:space="0" w:color="auto"/>
          </w:divBdr>
        </w:div>
        <w:div w:id="1893270661">
          <w:marLeft w:val="0"/>
          <w:marRight w:val="0"/>
          <w:marTop w:val="0"/>
          <w:marBottom w:val="0"/>
          <w:divBdr>
            <w:top w:val="none" w:sz="0" w:space="0" w:color="auto"/>
            <w:left w:val="none" w:sz="0" w:space="0" w:color="auto"/>
            <w:bottom w:val="none" w:sz="0" w:space="0" w:color="auto"/>
            <w:right w:val="none" w:sz="0" w:space="0" w:color="auto"/>
          </w:divBdr>
        </w:div>
        <w:div w:id="1642075902">
          <w:marLeft w:val="0"/>
          <w:marRight w:val="0"/>
          <w:marTop w:val="0"/>
          <w:marBottom w:val="0"/>
          <w:divBdr>
            <w:top w:val="none" w:sz="0" w:space="0" w:color="auto"/>
            <w:left w:val="none" w:sz="0" w:space="0" w:color="auto"/>
            <w:bottom w:val="none" w:sz="0" w:space="0" w:color="auto"/>
            <w:right w:val="none" w:sz="0" w:space="0" w:color="auto"/>
          </w:divBdr>
        </w:div>
        <w:div w:id="286474575">
          <w:marLeft w:val="0"/>
          <w:marRight w:val="0"/>
          <w:marTop w:val="0"/>
          <w:marBottom w:val="0"/>
          <w:divBdr>
            <w:top w:val="none" w:sz="0" w:space="0" w:color="auto"/>
            <w:left w:val="none" w:sz="0" w:space="0" w:color="auto"/>
            <w:bottom w:val="none" w:sz="0" w:space="0" w:color="auto"/>
            <w:right w:val="none" w:sz="0" w:space="0" w:color="auto"/>
          </w:divBdr>
        </w:div>
        <w:div w:id="335037066">
          <w:marLeft w:val="0"/>
          <w:marRight w:val="0"/>
          <w:marTop w:val="0"/>
          <w:marBottom w:val="0"/>
          <w:divBdr>
            <w:top w:val="none" w:sz="0" w:space="0" w:color="auto"/>
            <w:left w:val="none" w:sz="0" w:space="0" w:color="auto"/>
            <w:bottom w:val="none" w:sz="0" w:space="0" w:color="auto"/>
            <w:right w:val="none" w:sz="0" w:space="0" w:color="auto"/>
          </w:divBdr>
        </w:div>
        <w:div w:id="1400979960">
          <w:marLeft w:val="0"/>
          <w:marRight w:val="0"/>
          <w:marTop w:val="0"/>
          <w:marBottom w:val="0"/>
          <w:divBdr>
            <w:top w:val="none" w:sz="0" w:space="0" w:color="auto"/>
            <w:left w:val="none" w:sz="0" w:space="0" w:color="auto"/>
            <w:bottom w:val="none" w:sz="0" w:space="0" w:color="auto"/>
            <w:right w:val="none" w:sz="0" w:space="0" w:color="auto"/>
          </w:divBdr>
        </w:div>
        <w:div w:id="1625573222">
          <w:marLeft w:val="0"/>
          <w:marRight w:val="0"/>
          <w:marTop w:val="0"/>
          <w:marBottom w:val="0"/>
          <w:divBdr>
            <w:top w:val="none" w:sz="0" w:space="0" w:color="auto"/>
            <w:left w:val="none" w:sz="0" w:space="0" w:color="auto"/>
            <w:bottom w:val="none" w:sz="0" w:space="0" w:color="auto"/>
            <w:right w:val="none" w:sz="0" w:space="0" w:color="auto"/>
          </w:divBdr>
        </w:div>
        <w:div w:id="1047220621">
          <w:marLeft w:val="0"/>
          <w:marRight w:val="0"/>
          <w:marTop w:val="0"/>
          <w:marBottom w:val="0"/>
          <w:divBdr>
            <w:top w:val="none" w:sz="0" w:space="0" w:color="auto"/>
            <w:left w:val="none" w:sz="0" w:space="0" w:color="auto"/>
            <w:bottom w:val="none" w:sz="0" w:space="0" w:color="auto"/>
            <w:right w:val="none" w:sz="0" w:space="0" w:color="auto"/>
          </w:divBdr>
        </w:div>
        <w:div w:id="646251282">
          <w:marLeft w:val="0"/>
          <w:marRight w:val="0"/>
          <w:marTop w:val="0"/>
          <w:marBottom w:val="0"/>
          <w:divBdr>
            <w:top w:val="none" w:sz="0" w:space="0" w:color="auto"/>
            <w:left w:val="none" w:sz="0" w:space="0" w:color="auto"/>
            <w:bottom w:val="none" w:sz="0" w:space="0" w:color="auto"/>
            <w:right w:val="none" w:sz="0" w:space="0" w:color="auto"/>
          </w:divBdr>
        </w:div>
        <w:div w:id="1187790183">
          <w:marLeft w:val="0"/>
          <w:marRight w:val="0"/>
          <w:marTop w:val="0"/>
          <w:marBottom w:val="0"/>
          <w:divBdr>
            <w:top w:val="none" w:sz="0" w:space="0" w:color="auto"/>
            <w:left w:val="none" w:sz="0" w:space="0" w:color="auto"/>
            <w:bottom w:val="none" w:sz="0" w:space="0" w:color="auto"/>
            <w:right w:val="none" w:sz="0" w:space="0" w:color="auto"/>
          </w:divBdr>
        </w:div>
        <w:div w:id="695236332">
          <w:marLeft w:val="0"/>
          <w:marRight w:val="0"/>
          <w:marTop w:val="0"/>
          <w:marBottom w:val="0"/>
          <w:divBdr>
            <w:top w:val="none" w:sz="0" w:space="0" w:color="auto"/>
            <w:left w:val="none" w:sz="0" w:space="0" w:color="auto"/>
            <w:bottom w:val="none" w:sz="0" w:space="0" w:color="auto"/>
            <w:right w:val="none" w:sz="0" w:space="0" w:color="auto"/>
          </w:divBdr>
        </w:div>
        <w:div w:id="1948855003">
          <w:marLeft w:val="0"/>
          <w:marRight w:val="0"/>
          <w:marTop w:val="0"/>
          <w:marBottom w:val="0"/>
          <w:divBdr>
            <w:top w:val="none" w:sz="0" w:space="0" w:color="auto"/>
            <w:left w:val="none" w:sz="0" w:space="0" w:color="auto"/>
            <w:bottom w:val="none" w:sz="0" w:space="0" w:color="auto"/>
            <w:right w:val="none" w:sz="0" w:space="0" w:color="auto"/>
          </w:divBdr>
        </w:div>
        <w:div w:id="500588784">
          <w:marLeft w:val="0"/>
          <w:marRight w:val="0"/>
          <w:marTop w:val="0"/>
          <w:marBottom w:val="0"/>
          <w:divBdr>
            <w:top w:val="none" w:sz="0" w:space="0" w:color="auto"/>
            <w:left w:val="none" w:sz="0" w:space="0" w:color="auto"/>
            <w:bottom w:val="none" w:sz="0" w:space="0" w:color="auto"/>
            <w:right w:val="none" w:sz="0" w:space="0" w:color="auto"/>
          </w:divBdr>
        </w:div>
        <w:div w:id="2138984618">
          <w:marLeft w:val="0"/>
          <w:marRight w:val="0"/>
          <w:marTop w:val="0"/>
          <w:marBottom w:val="0"/>
          <w:divBdr>
            <w:top w:val="none" w:sz="0" w:space="0" w:color="auto"/>
            <w:left w:val="none" w:sz="0" w:space="0" w:color="auto"/>
            <w:bottom w:val="none" w:sz="0" w:space="0" w:color="auto"/>
            <w:right w:val="none" w:sz="0" w:space="0" w:color="auto"/>
          </w:divBdr>
        </w:div>
        <w:div w:id="690495995">
          <w:marLeft w:val="0"/>
          <w:marRight w:val="0"/>
          <w:marTop w:val="0"/>
          <w:marBottom w:val="0"/>
          <w:divBdr>
            <w:top w:val="none" w:sz="0" w:space="0" w:color="auto"/>
            <w:left w:val="none" w:sz="0" w:space="0" w:color="auto"/>
            <w:bottom w:val="none" w:sz="0" w:space="0" w:color="auto"/>
            <w:right w:val="none" w:sz="0" w:space="0" w:color="auto"/>
          </w:divBdr>
        </w:div>
        <w:div w:id="724178788">
          <w:marLeft w:val="0"/>
          <w:marRight w:val="0"/>
          <w:marTop w:val="0"/>
          <w:marBottom w:val="0"/>
          <w:divBdr>
            <w:top w:val="none" w:sz="0" w:space="0" w:color="auto"/>
            <w:left w:val="none" w:sz="0" w:space="0" w:color="auto"/>
            <w:bottom w:val="none" w:sz="0" w:space="0" w:color="auto"/>
            <w:right w:val="none" w:sz="0" w:space="0" w:color="auto"/>
          </w:divBdr>
        </w:div>
        <w:div w:id="1864395186">
          <w:marLeft w:val="0"/>
          <w:marRight w:val="0"/>
          <w:marTop w:val="0"/>
          <w:marBottom w:val="0"/>
          <w:divBdr>
            <w:top w:val="none" w:sz="0" w:space="0" w:color="auto"/>
            <w:left w:val="none" w:sz="0" w:space="0" w:color="auto"/>
            <w:bottom w:val="none" w:sz="0" w:space="0" w:color="auto"/>
            <w:right w:val="none" w:sz="0" w:space="0" w:color="auto"/>
          </w:divBdr>
        </w:div>
        <w:div w:id="2117669796">
          <w:marLeft w:val="0"/>
          <w:marRight w:val="0"/>
          <w:marTop w:val="0"/>
          <w:marBottom w:val="0"/>
          <w:divBdr>
            <w:top w:val="none" w:sz="0" w:space="0" w:color="auto"/>
            <w:left w:val="none" w:sz="0" w:space="0" w:color="auto"/>
            <w:bottom w:val="none" w:sz="0" w:space="0" w:color="auto"/>
            <w:right w:val="none" w:sz="0" w:space="0" w:color="auto"/>
          </w:divBdr>
        </w:div>
        <w:div w:id="303319582">
          <w:marLeft w:val="0"/>
          <w:marRight w:val="0"/>
          <w:marTop w:val="0"/>
          <w:marBottom w:val="0"/>
          <w:divBdr>
            <w:top w:val="none" w:sz="0" w:space="0" w:color="auto"/>
            <w:left w:val="none" w:sz="0" w:space="0" w:color="auto"/>
            <w:bottom w:val="none" w:sz="0" w:space="0" w:color="auto"/>
            <w:right w:val="none" w:sz="0" w:space="0" w:color="auto"/>
          </w:divBdr>
        </w:div>
        <w:div w:id="1816871857">
          <w:marLeft w:val="0"/>
          <w:marRight w:val="0"/>
          <w:marTop w:val="0"/>
          <w:marBottom w:val="0"/>
          <w:divBdr>
            <w:top w:val="none" w:sz="0" w:space="0" w:color="auto"/>
            <w:left w:val="none" w:sz="0" w:space="0" w:color="auto"/>
            <w:bottom w:val="none" w:sz="0" w:space="0" w:color="auto"/>
            <w:right w:val="none" w:sz="0" w:space="0" w:color="auto"/>
          </w:divBdr>
        </w:div>
        <w:div w:id="1870951600">
          <w:marLeft w:val="0"/>
          <w:marRight w:val="0"/>
          <w:marTop w:val="0"/>
          <w:marBottom w:val="0"/>
          <w:divBdr>
            <w:top w:val="none" w:sz="0" w:space="0" w:color="auto"/>
            <w:left w:val="none" w:sz="0" w:space="0" w:color="auto"/>
            <w:bottom w:val="none" w:sz="0" w:space="0" w:color="auto"/>
            <w:right w:val="none" w:sz="0" w:space="0" w:color="auto"/>
          </w:divBdr>
        </w:div>
        <w:div w:id="676929666">
          <w:marLeft w:val="0"/>
          <w:marRight w:val="0"/>
          <w:marTop w:val="0"/>
          <w:marBottom w:val="0"/>
          <w:divBdr>
            <w:top w:val="none" w:sz="0" w:space="0" w:color="auto"/>
            <w:left w:val="none" w:sz="0" w:space="0" w:color="auto"/>
            <w:bottom w:val="none" w:sz="0" w:space="0" w:color="auto"/>
            <w:right w:val="none" w:sz="0" w:space="0" w:color="auto"/>
          </w:divBdr>
        </w:div>
        <w:div w:id="503978244">
          <w:marLeft w:val="0"/>
          <w:marRight w:val="0"/>
          <w:marTop w:val="0"/>
          <w:marBottom w:val="0"/>
          <w:divBdr>
            <w:top w:val="none" w:sz="0" w:space="0" w:color="auto"/>
            <w:left w:val="none" w:sz="0" w:space="0" w:color="auto"/>
            <w:bottom w:val="none" w:sz="0" w:space="0" w:color="auto"/>
            <w:right w:val="none" w:sz="0" w:space="0" w:color="auto"/>
          </w:divBdr>
        </w:div>
        <w:div w:id="875461293">
          <w:marLeft w:val="0"/>
          <w:marRight w:val="0"/>
          <w:marTop w:val="0"/>
          <w:marBottom w:val="0"/>
          <w:divBdr>
            <w:top w:val="none" w:sz="0" w:space="0" w:color="auto"/>
            <w:left w:val="none" w:sz="0" w:space="0" w:color="auto"/>
            <w:bottom w:val="none" w:sz="0" w:space="0" w:color="auto"/>
            <w:right w:val="none" w:sz="0" w:space="0" w:color="auto"/>
          </w:divBdr>
        </w:div>
        <w:div w:id="1936328882">
          <w:marLeft w:val="0"/>
          <w:marRight w:val="0"/>
          <w:marTop w:val="0"/>
          <w:marBottom w:val="0"/>
          <w:divBdr>
            <w:top w:val="none" w:sz="0" w:space="0" w:color="auto"/>
            <w:left w:val="none" w:sz="0" w:space="0" w:color="auto"/>
            <w:bottom w:val="none" w:sz="0" w:space="0" w:color="auto"/>
            <w:right w:val="none" w:sz="0" w:space="0" w:color="auto"/>
          </w:divBdr>
        </w:div>
        <w:div w:id="781803591">
          <w:marLeft w:val="0"/>
          <w:marRight w:val="0"/>
          <w:marTop w:val="0"/>
          <w:marBottom w:val="0"/>
          <w:divBdr>
            <w:top w:val="none" w:sz="0" w:space="0" w:color="auto"/>
            <w:left w:val="none" w:sz="0" w:space="0" w:color="auto"/>
            <w:bottom w:val="none" w:sz="0" w:space="0" w:color="auto"/>
            <w:right w:val="none" w:sz="0" w:space="0" w:color="auto"/>
          </w:divBdr>
        </w:div>
        <w:div w:id="507060130">
          <w:marLeft w:val="0"/>
          <w:marRight w:val="0"/>
          <w:marTop w:val="0"/>
          <w:marBottom w:val="0"/>
          <w:divBdr>
            <w:top w:val="none" w:sz="0" w:space="0" w:color="auto"/>
            <w:left w:val="none" w:sz="0" w:space="0" w:color="auto"/>
            <w:bottom w:val="none" w:sz="0" w:space="0" w:color="auto"/>
            <w:right w:val="none" w:sz="0" w:space="0" w:color="auto"/>
          </w:divBdr>
        </w:div>
        <w:div w:id="716859203">
          <w:marLeft w:val="0"/>
          <w:marRight w:val="0"/>
          <w:marTop w:val="0"/>
          <w:marBottom w:val="0"/>
          <w:divBdr>
            <w:top w:val="none" w:sz="0" w:space="0" w:color="auto"/>
            <w:left w:val="none" w:sz="0" w:space="0" w:color="auto"/>
            <w:bottom w:val="none" w:sz="0" w:space="0" w:color="auto"/>
            <w:right w:val="none" w:sz="0" w:space="0" w:color="auto"/>
          </w:divBdr>
        </w:div>
        <w:div w:id="265583430">
          <w:marLeft w:val="0"/>
          <w:marRight w:val="0"/>
          <w:marTop w:val="0"/>
          <w:marBottom w:val="0"/>
          <w:divBdr>
            <w:top w:val="none" w:sz="0" w:space="0" w:color="auto"/>
            <w:left w:val="none" w:sz="0" w:space="0" w:color="auto"/>
            <w:bottom w:val="none" w:sz="0" w:space="0" w:color="auto"/>
            <w:right w:val="none" w:sz="0" w:space="0" w:color="auto"/>
          </w:divBdr>
        </w:div>
        <w:div w:id="1744376863">
          <w:marLeft w:val="0"/>
          <w:marRight w:val="0"/>
          <w:marTop w:val="0"/>
          <w:marBottom w:val="0"/>
          <w:divBdr>
            <w:top w:val="none" w:sz="0" w:space="0" w:color="auto"/>
            <w:left w:val="none" w:sz="0" w:space="0" w:color="auto"/>
            <w:bottom w:val="none" w:sz="0" w:space="0" w:color="auto"/>
            <w:right w:val="none" w:sz="0" w:space="0" w:color="auto"/>
          </w:divBdr>
        </w:div>
        <w:div w:id="1744913261">
          <w:marLeft w:val="0"/>
          <w:marRight w:val="0"/>
          <w:marTop w:val="0"/>
          <w:marBottom w:val="0"/>
          <w:divBdr>
            <w:top w:val="none" w:sz="0" w:space="0" w:color="auto"/>
            <w:left w:val="none" w:sz="0" w:space="0" w:color="auto"/>
            <w:bottom w:val="none" w:sz="0" w:space="0" w:color="auto"/>
            <w:right w:val="none" w:sz="0" w:space="0" w:color="auto"/>
          </w:divBdr>
        </w:div>
        <w:div w:id="987053112">
          <w:marLeft w:val="0"/>
          <w:marRight w:val="0"/>
          <w:marTop w:val="0"/>
          <w:marBottom w:val="0"/>
          <w:divBdr>
            <w:top w:val="none" w:sz="0" w:space="0" w:color="auto"/>
            <w:left w:val="none" w:sz="0" w:space="0" w:color="auto"/>
            <w:bottom w:val="none" w:sz="0" w:space="0" w:color="auto"/>
            <w:right w:val="none" w:sz="0" w:space="0" w:color="auto"/>
          </w:divBdr>
        </w:div>
        <w:div w:id="1341006416">
          <w:marLeft w:val="0"/>
          <w:marRight w:val="0"/>
          <w:marTop w:val="0"/>
          <w:marBottom w:val="0"/>
          <w:divBdr>
            <w:top w:val="none" w:sz="0" w:space="0" w:color="auto"/>
            <w:left w:val="none" w:sz="0" w:space="0" w:color="auto"/>
            <w:bottom w:val="none" w:sz="0" w:space="0" w:color="auto"/>
            <w:right w:val="none" w:sz="0" w:space="0" w:color="auto"/>
          </w:divBdr>
        </w:div>
        <w:div w:id="1738550924">
          <w:marLeft w:val="0"/>
          <w:marRight w:val="0"/>
          <w:marTop w:val="0"/>
          <w:marBottom w:val="0"/>
          <w:divBdr>
            <w:top w:val="none" w:sz="0" w:space="0" w:color="auto"/>
            <w:left w:val="none" w:sz="0" w:space="0" w:color="auto"/>
            <w:bottom w:val="none" w:sz="0" w:space="0" w:color="auto"/>
            <w:right w:val="none" w:sz="0" w:space="0" w:color="auto"/>
          </w:divBdr>
        </w:div>
        <w:div w:id="918948925">
          <w:marLeft w:val="0"/>
          <w:marRight w:val="0"/>
          <w:marTop w:val="0"/>
          <w:marBottom w:val="0"/>
          <w:divBdr>
            <w:top w:val="none" w:sz="0" w:space="0" w:color="auto"/>
            <w:left w:val="none" w:sz="0" w:space="0" w:color="auto"/>
            <w:bottom w:val="none" w:sz="0" w:space="0" w:color="auto"/>
            <w:right w:val="none" w:sz="0" w:space="0" w:color="auto"/>
          </w:divBdr>
        </w:div>
        <w:div w:id="187720133">
          <w:marLeft w:val="0"/>
          <w:marRight w:val="0"/>
          <w:marTop w:val="0"/>
          <w:marBottom w:val="0"/>
          <w:divBdr>
            <w:top w:val="none" w:sz="0" w:space="0" w:color="auto"/>
            <w:left w:val="none" w:sz="0" w:space="0" w:color="auto"/>
            <w:bottom w:val="none" w:sz="0" w:space="0" w:color="auto"/>
            <w:right w:val="none" w:sz="0" w:space="0" w:color="auto"/>
          </w:divBdr>
        </w:div>
        <w:div w:id="1421411774">
          <w:marLeft w:val="0"/>
          <w:marRight w:val="0"/>
          <w:marTop w:val="0"/>
          <w:marBottom w:val="0"/>
          <w:divBdr>
            <w:top w:val="none" w:sz="0" w:space="0" w:color="auto"/>
            <w:left w:val="none" w:sz="0" w:space="0" w:color="auto"/>
            <w:bottom w:val="none" w:sz="0" w:space="0" w:color="auto"/>
            <w:right w:val="none" w:sz="0" w:space="0" w:color="auto"/>
          </w:divBdr>
        </w:div>
        <w:div w:id="1395080674">
          <w:marLeft w:val="0"/>
          <w:marRight w:val="0"/>
          <w:marTop w:val="0"/>
          <w:marBottom w:val="0"/>
          <w:divBdr>
            <w:top w:val="none" w:sz="0" w:space="0" w:color="auto"/>
            <w:left w:val="none" w:sz="0" w:space="0" w:color="auto"/>
            <w:bottom w:val="none" w:sz="0" w:space="0" w:color="auto"/>
            <w:right w:val="none" w:sz="0" w:space="0" w:color="auto"/>
          </w:divBdr>
        </w:div>
        <w:div w:id="251090656">
          <w:marLeft w:val="0"/>
          <w:marRight w:val="0"/>
          <w:marTop w:val="0"/>
          <w:marBottom w:val="0"/>
          <w:divBdr>
            <w:top w:val="none" w:sz="0" w:space="0" w:color="auto"/>
            <w:left w:val="none" w:sz="0" w:space="0" w:color="auto"/>
            <w:bottom w:val="none" w:sz="0" w:space="0" w:color="auto"/>
            <w:right w:val="none" w:sz="0" w:space="0" w:color="auto"/>
          </w:divBdr>
        </w:div>
        <w:div w:id="2134863801">
          <w:marLeft w:val="0"/>
          <w:marRight w:val="0"/>
          <w:marTop w:val="0"/>
          <w:marBottom w:val="0"/>
          <w:divBdr>
            <w:top w:val="none" w:sz="0" w:space="0" w:color="auto"/>
            <w:left w:val="none" w:sz="0" w:space="0" w:color="auto"/>
            <w:bottom w:val="none" w:sz="0" w:space="0" w:color="auto"/>
            <w:right w:val="none" w:sz="0" w:space="0" w:color="auto"/>
          </w:divBdr>
        </w:div>
        <w:div w:id="831140775">
          <w:marLeft w:val="0"/>
          <w:marRight w:val="0"/>
          <w:marTop w:val="0"/>
          <w:marBottom w:val="0"/>
          <w:divBdr>
            <w:top w:val="none" w:sz="0" w:space="0" w:color="auto"/>
            <w:left w:val="none" w:sz="0" w:space="0" w:color="auto"/>
            <w:bottom w:val="none" w:sz="0" w:space="0" w:color="auto"/>
            <w:right w:val="none" w:sz="0" w:space="0" w:color="auto"/>
          </w:divBdr>
        </w:div>
        <w:div w:id="823200364">
          <w:marLeft w:val="0"/>
          <w:marRight w:val="0"/>
          <w:marTop w:val="0"/>
          <w:marBottom w:val="0"/>
          <w:divBdr>
            <w:top w:val="none" w:sz="0" w:space="0" w:color="auto"/>
            <w:left w:val="none" w:sz="0" w:space="0" w:color="auto"/>
            <w:bottom w:val="none" w:sz="0" w:space="0" w:color="auto"/>
            <w:right w:val="none" w:sz="0" w:space="0" w:color="auto"/>
          </w:divBdr>
        </w:div>
        <w:div w:id="1840656776">
          <w:marLeft w:val="0"/>
          <w:marRight w:val="0"/>
          <w:marTop w:val="0"/>
          <w:marBottom w:val="0"/>
          <w:divBdr>
            <w:top w:val="none" w:sz="0" w:space="0" w:color="auto"/>
            <w:left w:val="none" w:sz="0" w:space="0" w:color="auto"/>
            <w:bottom w:val="none" w:sz="0" w:space="0" w:color="auto"/>
            <w:right w:val="none" w:sz="0" w:space="0" w:color="auto"/>
          </w:divBdr>
        </w:div>
        <w:div w:id="1077096307">
          <w:marLeft w:val="0"/>
          <w:marRight w:val="0"/>
          <w:marTop w:val="0"/>
          <w:marBottom w:val="0"/>
          <w:divBdr>
            <w:top w:val="none" w:sz="0" w:space="0" w:color="auto"/>
            <w:left w:val="none" w:sz="0" w:space="0" w:color="auto"/>
            <w:bottom w:val="none" w:sz="0" w:space="0" w:color="auto"/>
            <w:right w:val="none" w:sz="0" w:space="0" w:color="auto"/>
          </w:divBdr>
        </w:div>
        <w:div w:id="1980039289">
          <w:marLeft w:val="0"/>
          <w:marRight w:val="0"/>
          <w:marTop w:val="0"/>
          <w:marBottom w:val="0"/>
          <w:divBdr>
            <w:top w:val="none" w:sz="0" w:space="0" w:color="auto"/>
            <w:left w:val="none" w:sz="0" w:space="0" w:color="auto"/>
            <w:bottom w:val="none" w:sz="0" w:space="0" w:color="auto"/>
            <w:right w:val="none" w:sz="0" w:space="0" w:color="auto"/>
          </w:divBdr>
        </w:div>
        <w:div w:id="740294782">
          <w:marLeft w:val="0"/>
          <w:marRight w:val="0"/>
          <w:marTop w:val="0"/>
          <w:marBottom w:val="0"/>
          <w:divBdr>
            <w:top w:val="none" w:sz="0" w:space="0" w:color="auto"/>
            <w:left w:val="none" w:sz="0" w:space="0" w:color="auto"/>
            <w:bottom w:val="none" w:sz="0" w:space="0" w:color="auto"/>
            <w:right w:val="none" w:sz="0" w:space="0" w:color="auto"/>
          </w:divBdr>
        </w:div>
      </w:divsChild>
    </w:div>
    <w:div w:id="1578394839">
      <w:bodyDiv w:val="1"/>
      <w:marLeft w:val="0"/>
      <w:marRight w:val="0"/>
      <w:marTop w:val="0"/>
      <w:marBottom w:val="0"/>
      <w:divBdr>
        <w:top w:val="none" w:sz="0" w:space="0" w:color="auto"/>
        <w:left w:val="none" w:sz="0" w:space="0" w:color="auto"/>
        <w:bottom w:val="none" w:sz="0" w:space="0" w:color="auto"/>
        <w:right w:val="none" w:sz="0" w:space="0" w:color="auto"/>
      </w:divBdr>
    </w:div>
    <w:div w:id="1636056842">
      <w:bodyDiv w:val="1"/>
      <w:marLeft w:val="0"/>
      <w:marRight w:val="0"/>
      <w:marTop w:val="0"/>
      <w:marBottom w:val="0"/>
      <w:divBdr>
        <w:top w:val="none" w:sz="0" w:space="0" w:color="auto"/>
        <w:left w:val="none" w:sz="0" w:space="0" w:color="auto"/>
        <w:bottom w:val="none" w:sz="0" w:space="0" w:color="auto"/>
        <w:right w:val="none" w:sz="0" w:space="0" w:color="auto"/>
      </w:divBdr>
    </w:div>
    <w:div w:id="1681084444">
      <w:bodyDiv w:val="1"/>
      <w:marLeft w:val="0"/>
      <w:marRight w:val="0"/>
      <w:marTop w:val="0"/>
      <w:marBottom w:val="0"/>
      <w:divBdr>
        <w:top w:val="none" w:sz="0" w:space="0" w:color="auto"/>
        <w:left w:val="none" w:sz="0" w:space="0" w:color="auto"/>
        <w:bottom w:val="none" w:sz="0" w:space="0" w:color="auto"/>
        <w:right w:val="none" w:sz="0" w:space="0" w:color="auto"/>
      </w:divBdr>
    </w:div>
    <w:div w:id="1725710411">
      <w:bodyDiv w:val="1"/>
      <w:marLeft w:val="0"/>
      <w:marRight w:val="0"/>
      <w:marTop w:val="0"/>
      <w:marBottom w:val="0"/>
      <w:divBdr>
        <w:top w:val="none" w:sz="0" w:space="0" w:color="auto"/>
        <w:left w:val="none" w:sz="0" w:space="0" w:color="auto"/>
        <w:bottom w:val="none" w:sz="0" w:space="0" w:color="auto"/>
        <w:right w:val="none" w:sz="0" w:space="0" w:color="auto"/>
      </w:divBdr>
    </w:div>
    <w:div w:id="1782920841">
      <w:bodyDiv w:val="1"/>
      <w:marLeft w:val="0"/>
      <w:marRight w:val="0"/>
      <w:marTop w:val="0"/>
      <w:marBottom w:val="0"/>
      <w:divBdr>
        <w:top w:val="none" w:sz="0" w:space="0" w:color="auto"/>
        <w:left w:val="none" w:sz="0" w:space="0" w:color="auto"/>
        <w:bottom w:val="none" w:sz="0" w:space="0" w:color="auto"/>
        <w:right w:val="none" w:sz="0" w:space="0" w:color="auto"/>
      </w:divBdr>
    </w:div>
    <w:div w:id="1824658102">
      <w:bodyDiv w:val="1"/>
      <w:marLeft w:val="0"/>
      <w:marRight w:val="0"/>
      <w:marTop w:val="0"/>
      <w:marBottom w:val="0"/>
      <w:divBdr>
        <w:top w:val="none" w:sz="0" w:space="0" w:color="auto"/>
        <w:left w:val="none" w:sz="0" w:space="0" w:color="auto"/>
        <w:bottom w:val="none" w:sz="0" w:space="0" w:color="auto"/>
        <w:right w:val="none" w:sz="0" w:space="0" w:color="auto"/>
      </w:divBdr>
    </w:div>
    <w:div w:id="1854225103">
      <w:bodyDiv w:val="1"/>
      <w:marLeft w:val="0"/>
      <w:marRight w:val="0"/>
      <w:marTop w:val="0"/>
      <w:marBottom w:val="0"/>
      <w:divBdr>
        <w:top w:val="none" w:sz="0" w:space="0" w:color="auto"/>
        <w:left w:val="none" w:sz="0" w:space="0" w:color="auto"/>
        <w:bottom w:val="none" w:sz="0" w:space="0" w:color="auto"/>
        <w:right w:val="none" w:sz="0" w:space="0" w:color="auto"/>
      </w:divBdr>
    </w:div>
    <w:div w:id="20100581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www.vuts.cz/crsv.html" TargetMode="External"/><Relationship Id="rId21" Type="http://schemas.openxmlformats.org/officeDocument/2006/relationships/image" Target="media/image9.emf"/><Relationship Id="rId42" Type="http://schemas.openxmlformats.org/officeDocument/2006/relationships/image" Target="media/image30.gif"/><Relationship Id="rId63" Type="http://schemas.openxmlformats.org/officeDocument/2006/relationships/image" Target="media/image51.emf"/><Relationship Id="rId84" Type="http://schemas.openxmlformats.org/officeDocument/2006/relationships/image" Target="media/image72.emf"/><Relationship Id="rId138" Type="http://schemas.openxmlformats.org/officeDocument/2006/relationships/image" Target="media/image78.emf"/><Relationship Id="rId159" Type="http://schemas.openxmlformats.org/officeDocument/2006/relationships/hyperlink" Target="https://www.vutbr.cz/usi/pracoviste?aid_redir=1" TargetMode="External"/><Relationship Id="rId170" Type="http://schemas.openxmlformats.org/officeDocument/2006/relationships/hyperlink" Target="http://www.cbap.cz/domu" TargetMode="External"/><Relationship Id="rId191" Type="http://schemas.openxmlformats.org/officeDocument/2006/relationships/hyperlink" Target="https://www.isvav.cz/programmeDetail.do?rowId=VI" TargetMode="External"/><Relationship Id="rId205" Type="http://schemas.openxmlformats.org/officeDocument/2006/relationships/hyperlink" Target="http://www.esfri.eu/roadmap-2016" TargetMode="External"/><Relationship Id="rId107" Type="http://schemas.openxmlformats.org/officeDocument/2006/relationships/hyperlink" Target="http://www.cdvplus.cz/" TargetMode="External"/><Relationship Id="rId11" Type="http://schemas.openxmlformats.org/officeDocument/2006/relationships/footer" Target="footer2.xml"/><Relationship Id="rId32" Type="http://schemas.openxmlformats.org/officeDocument/2006/relationships/image" Target="media/image20.emf"/><Relationship Id="rId53" Type="http://schemas.openxmlformats.org/officeDocument/2006/relationships/image" Target="media/image41.emf"/><Relationship Id="rId74" Type="http://schemas.openxmlformats.org/officeDocument/2006/relationships/image" Target="media/image62.gif"/><Relationship Id="rId128" Type="http://schemas.openxmlformats.org/officeDocument/2006/relationships/hyperlink" Target="http://www.czechgeo.cz/" TargetMode="External"/><Relationship Id="rId149" Type="http://schemas.openxmlformats.org/officeDocument/2006/relationships/hyperlink" Target="https://flab.cesnet.cz/" TargetMode="External"/><Relationship Id="rId5" Type="http://schemas.openxmlformats.org/officeDocument/2006/relationships/settings" Target="settings.xml"/><Relationship Id="rId90" Type="http://schemas.openxmlformats.org/officeDocument/2006/relationships/hyperlink" Target="http://www.ntis.zcu.cz/" TargetMode="External"/><Relationship Id="rId95" Type="http://schemas.openxmlformats.org/officeDocument/2006/relationships/hyperlink" Target="http://www.biocev.eu/" TargetMode="External"/><Relationship Id="rId160" Type="http://schemas.openxmlformats.org/officeDocument/2006/relationships/hyperlink" Target="https://www.fd.cvut.cz/o-fakulte/ustav-16122" TargetMode="External"/><Relationship Id="rId165" Type="http://schemas.openxmlformats.org/officeDocument/2006/relationships/hyperlink" Target="http://www.acr.army.cz/scripts/detail.php?id=86977" TargetMode="External"/><Relationship Id="rId181" Type="http://schemas.openxmlformats.org/officeDocument/2006/relationships/image" Target="media/image82.gif"/><Relationship Id="rId186" Type="http://schemas.openxmlformats.org/officeDocument/2006/relationships/hyperlink" Target="http://www.vyzkum.cz/FrontClanek.aspx?idsekce=605116" TargetMode="External"/><Relationship Id="rId216" Type="http://schemas.openxmlformats.org/officeDocument/2006/relationships/hyperlink" Target="http://www.sclp.cz/" TargetMode="External"/><Relationship Id="rId211" Type="http://schemas.openxmlformats.org/officeDocument/2006/relationships/hyperlink" Target="http://www.tc.cz/cs/publikace/periodika/seznam-periodik/echo/5-6-2015" TargetMode="External"/><Relationship Id="rId22" Type="http://schemas.openxmlformats.org/officeDocument/2006/relationships/image" Target="media/image10.emf"/><Relationship Id="rId27" Type="http://schemas.openxmlformats.org/officeDocument/2006/relationships/image" Target="media/image15.gif"/><Relationship Id="rId43" Type="http://schemas.openxmlformats.org/officeDocument/2006/relationships/image" Target="media/image31.emf"/><Relationship Id="rId48" Type="http://schemas.openxmlformats.org/officeDocument/2006/relationships/image" Target="media/image36.emf"/><Relationship Id="rId64" Type="http://schemas.openxmlformats.org/officeDocument/2006/relationships/image" Target="media/image52.emf"/><Relationship Id="rId69" Type="http://schemas.openxmlformats.org/officeDocument/2006/relationships/image" Target="media/image57.gif"/><Relationship Id="rId113" Type="http://schemas.openxmlformats.org/officeDocument/2006/relationships/hyperlink" Target="https://rice.zcu.cz/cz/index.html" TargetMode="External"/><Relationship Id="rId118" Type="http://schemas.openxmlformats.org/officeDocument/2006/relationships/hyperlink" Target="http://rti.zcu.cz/" TargetMode="External"/><Relationship Id="rId134" Type="http://schemas.openxmlformats.org/officeDocument/2006/relationships/hyperlink" Target="http://share.cerge-ei.cz/" TargetMode="External"/><Relationship Id="rId139" Type="http://schemas.openxmlformats.org/officeDocument/2006/relationships/hyperlink" Target="http://krimi-spk.sweb.cz/05_preds/ku_pha.htm" TargetMode="External"/><Relationship Id="rId80" Type="http://schemas.openxmlformats.org/officeDocument/2006/relationships/image" Target="media/image68.emf"/><Relationship Id="rId85" Type="http://schemas.openxmlformats.org/officeDocument/2006/relationships/image" Target="media/image73.emf"/><Relationship Id="rId150" Type="http://schemas.openxmlformats.org/officeDocument/2006/relationships/hyperlink" Target="http://www.cetag.com/forenzni-laborator.html" TargetMode="External"/><Relationship Id="rId155" Type="http://schemas.openxmlformats.org/officeDocument/2006/relationships/hyperlink" Target="http://www.fnol.cz/ustav-soudniho-lekarstvi-a-medicinskeho-prava_49.html" TargetMode="External"/><Relationship Id="rId171" Type="http://schemas.openxmlformats.org/officeDocument/2006/relationships/hyperlink" Target="http://www.bezpecnostpotravin.cz/" TargetMode="External"/><Relationship Id="rId176" Type="http://schemas.openxmlformats.org/officeDocument/2006/relationships/hyperlink" Target="http://pos.cz/" TargetMode="External"/><Relationship Id="rId192" Type="http://schemas.openxmlformats.org/officeDocument/2006/relationships/hyperlink" Target="http://www.vyzkum.cz/FrontClanek.aspx?idsekce=610" TargetMode="External"/><Relationship Id="rId197" Type="http://schemas.openxmlformats.org/officeDocument/2006/relationships/hyperlink" Target="http://europa.eu/rapid/press-release_IP-15-4865_en.htm" TargetMode="External"/><Relationship Id="rId206" Type="http://schemas.openxmlformats.org/officeDocument/2006/relationships/hyperlink" Target="https://www.isvav.cz/programmeDetail.do?rowId=LM" TargetMode="External"/><Relationship Id="rId201" Type="http://schemas.openxmlformats.org/officeDocument/2006/relationships/hyperlink" Target="http://eeas.europa.eu/policies/eu-cyber-security/cybsec_directive_en.pdf" TargetMode="External"/><Relationship Id="rId12" Type="http://schemas.openxmlformats.org/officeDocument/2006/relationships/header" Target="header2.xml"/><Relationship Id="rId17" Type="http://schemas.openxmlformats.org/officeDocument/2006/relationships/image" Target="media/image5.png"/><Relationship Id="rId33" Type="http://schemas.openxmlformats.org/officeDocument/2006/relationships/image" Target="media/image21.emf"/><Relationship Id="rId38" Type="http://schemas.openxmlformats.org/officeDocument/2006/relationships/image" Target="media/image26.gif"/><Relationship Id="rId59" Type="http://schemas.openxmlformats.org/officeDocument/2006/relationships/image" Target="media/image47.gif"/><Relationship Id="rId103" Type="http://schemas.openxmlformats.org/officeDocument/2006/relationships/hyperlink" Target="http://www.netme.cz/" TargetMode="External"/><Relationship Id="rId108" Type="http://schemas.openxmlformats.org/officeDocument/2006/relationships/hyperlink" Target="http://www.hilase.cz/" TargetMode="External"/><Relationship Id="rId124" Type="http://schemas.openxmlformats.org/officeDocument/2006/relationships/hyperlink" Target="http://aladdin.utef.cvut.cz/projekty/VdG/" TargetMode="External"/><Relationship Id="rId129" Type="http://schemas.openxmlformats.org/officeDocument/2006/relationships/hyperlink" Target="http://www.recetox.muni.cz/" TargetMode="External"/><Relationship Id="rId54" Type="http://schemas.openxmlformats.org/officeDocument/2006/relationships/image" Target="media/image42.emf"/><Relationship Id="rId70" Type="http://schemas.openxmlformats.org/officeDocument/2006/relationships/image" Target="media/image58.gif"/><Relationship Id="rId75" Type="http://schemas.openxmlformats.org/officeDocument/2006/relationships/image" Target="media/image63.emf"/><Relationship Id="rId91" Type="http://schemas.openxmlformats.org/officeDocument/2006/relationships/hyperlink" Target="http://www.czechglobe.cz/" TargetMode="External"/><Relationship Id="rId96" Type="http://schemas.openxmlformats.org/officeDocument/2006/relationships/image" Target="media/image76.gif"/><Relationship Id="rId140" Type="http://schemas.openxmlformats.org/officeDocument/2006/relationships/hyperlink" Target="http://lfg-brno.cz/" TargetMode="External"/><Relationship Id="rId145" Type="http://schemas.openxmlformats.org/officeDocument/2006/relationships/hyperlink" Target="http://www.bohnice.cz/pro-odborniky/vzdelavani-odborniku/sexuologie-a-forenzni-psychiatrie-vzdelavani/" TargetMode="External"/><Relationship Id="rId161" Type="http://schemas.openxmlformats.org/officeDocument/2006/relationships/hyperlink" Target="http://www.zuboz.cz/" TargetMode="External"/><Relationship Id="rId166" Type="http://schemas.openxmlformats.org/officeDocument/2006/relationships/hyperlink" Target="http://www.kypo.cz/" TargetMode="External"/><Relationship Id="rId182" Type="http://schemas.openxmlformats.org/officeDocument/2006/relationships/image" Target="media/image83.gif"/><Relationship Id="rId187" Type="http://schemas.openxmlformats.org/officeDocument/2006/relationships/hyperlink" Target="http://www.isvav.cz/programmeDetail.do?rowId=VD" TargetMode="External"/><Relationship Id="rId217" Type="http://schemas.openxmlformats.org/officeDocument/2006/relationships/hyperlink" Target="http://www.vosviewer.com/" TargetMode="External"/><Relationship Id="rId1" Type="http://schemas.openxmlformats.org/officeDocument/2006/relationships/customXml" Target="../customXml/item1.xml"/><Relationship Id="rId6" Type="http://schemas.openxmlformats.org/officeDocument/2006/relationships/webSettings" Target="webSettings.xml"/><Relationship Id="rId212" Type="http://schemas.openxmlformats.org/officeDocument/2006/relationships/hyperlink" Target="http://thomsonreuters.com/en.html" TargetMode="External"/><Relationship Id="rId23" Type="http://schemas.openxmlformats.org/officeDocument/2006/relationships/image" Target="media/image11.emf"/><Relationship Id="rId28" Type="http://schemas.openxmlformats.org/officeDocument/2006/relationships/image" Target="media/image16.png"/><Relationship Id="rId49" Type="http://schemas.openxmlformats.org/officeDocument/2006/relationships/image" Target="media/image37.emf"/><Relationship Id="rId114" Type="http://schemas.openxmlformats.org/officeDocument/2006/relationships/hyperlink" Target="http://www.ietech.eu/cs/index" TargetMode="External"/><Relationship Id="rId119" Type="http://schemas.openxmlformats.org/officeDocument/2006/relationships/hyperlink" Target="http://www.nudz.cz/" TargetMode="External"/><Relationship Id="rId44" Type="http://schemas.openxmlformats.org/officeDocument/2006/relationships/image" Target="media/image32.gif"/><Relationship Id="rId60" Type="http://schemas.openxmlformats.org/officeDocument/2006/relationships/image" Target="media/image48.gif"/><Relationship Id="rId65" Type="http://schemas.openxmlformats.org/officeDocument/2006/relationships/image" Target="media/image53.gif"/><Relationship Id="rId81" Type="http://schemas.openxmlformats.org/officeDocument/2006/relationships/image" Target="media/image69.emf"/><Relationship Id="rId86" Type="http://schemas.openxmlformats.org/officeDocument/2006/relationships/image" Target="media/image74.gif"/><Relationship Id="rId130" Type="http://schemas.openxmlformats.org/officeDocument/2006/relationships/hyperlink" Target="http://www.bbmri.cz/" TargetMode="External"/><Relationship Id="rId135" Type="http://schemas.openxmlformats.org/officeDocument/2006/relationships/hyperlink" Target="https://www.cesnet.cz/" TargetMode="External"/><Relationship Id="rId151" Type="http://schemas.openxmlformats.org/officeDocument/2006/relationships/hyperlink" Target="https://ki.ujep.cz/o-katedre/vedecke-zamereni/skolni-laborator-forenzni-analyzy/" TargetMode="External"/><Relationship Id="rId156" Type="http://schemas.openxmlformats.org/officeDocument/2006/relationships/hyperlink" Target="http://www.uslhk.cz/" TargetMode="External"/><Relationship Id="rId177" Type="http://schemas.openxmlformats.org/officeDocument/2006/relationships/hyperlink" Target="http://www.prototypa.cz/" TargetMode="External"/><Relationship Id="rId198" Type="http://schemas.openxmlformats.org/officeDocument/2006/relationships/hyperlink" Target="http://ec.europa.eu/dgs/home-affairs/e-library/documents/basic-documents/docs/an_open_and_secure_europe_-_making_it_happen_cs.pdf" TargetMode="External"/><Relationship Id="rId172" Type="http://schemas.openxmlformats.org/officeDocument/2006/relationships/hyperlink" Target="http://www.lu.fme.vutbr.cz/" TargetMode="External"/><Relationship Id="rId193" Type="http://schemas.openxmlformats.org/officeDocument/2006/relationships/hyperlink" Target="https://www.tacr.cz/index.php/cz/programy/program-beta.html" TargetMode="External"/><Relationship Id="rId202" Type="http://schemas.openxmlformats.org/officeDocument/2006/relationships/hyperlink" Target="http://ec.europa.eu/research/participants/data/ref/h2020/legal_basis/sp/h2020-sp_en.pdf" TargetMode="External"/><Relationship Id="rId207" Type="http://schemas.openxmlformats.org/officeDocument/2006/relationships/hyperlink" Target="http://avo.cz/" TargetMode="External"/><Relationship Id="rId13" Type="http://schemas.openxmlformats.org/officeDocument/2006/relationships/footer" Target="footer3.xml"/><Relationship Id="rId18" Type="http://schemas.openxmlformats.org/officeDocument/2006/relationships/image" Target="media/image6.gif"/><Relationship Id="rId39" Type="http://schemas.openxmlformats.org/officeDocument/2006/relationships/image" Target="media/image27.gif"/><Relationship Id="rId109" Type="http://schemas.openxmlformats.org/officeDocument/2006/relationships/hyperlink" Target="http://www.admas.eu/" TargetMode="External"/><Relationship Id="rId34" Type="http://schemas.openxmlformats.org/officeDocument/2006/relationships/image" Target="media/image22.emf"/><Relationship Id="rId50" Type="http://schemas.openxmlformats.org/officeDocument/2006/relationships/image" Target="media/image38.emf"/><Relationship Id="rId55" Type="http://schemas.openxmlformats.org/officeDocument/2006/relationships/image" Target="media/image43.gif"/><Relationship Id="rId76" Type="http://schemas.openxmlformats.org/officeDocument/2006/relationships/image" Target="media/image64.emf"/><Relationship Id="rId97" Type="http://schemas.openxmlformats.org/officeDocument/2006/relationships/hyperlink" Target="http://cxi.tul.cz/" TargetMode="External"/><Relationship Id="rId104" Type="http://schemas.openxmlformats.org/officeDocument/2006/relationships/hyperlink" Target="http://www.biomedic-plzen.cz/" TargetMode="External"/><Relationship Id="rId120" Type="http://schemas.openxmlformats.org/officeDocument/2006/relationships/hyperlink" Target="http://www.pals.cas.cz/" TargetMode="External"/><Relationship Id="rId125" Type="http://schemas.openxmlformats.org/officeDocument/2006/relationships/hyperlink" Target="http://cvrez.cz/vyzkumna-infrastruktura/vyzkumny-reaktor-lvr-15/" TargetMode="External"/><Relationship Id="rId141" Type="http://schemas.openxmlformats.org/officeDocument/2006/relationships/hyperlink" Target="http://www.dnacentrum.cz/forenzni-genetika/" TargetMode="External"/><Relationship Id="rId146" Type="http://schemas.openxmlformats.org/officeDocument/2006/relationships/hyperlink" Target="http://lf.osu.cz/aum/" TargetMode="External"/><Relationship Id="rId167" Type="http://schemas.openxmlformats.org/officeDocument/2006/relationships/hyperlink" Target="http://www.hzscr.cz/institut-ochrany-obyvatelstva.aspx" TargetMode="External"/><Relationship Id="rId188" Type="http://schemas.openxmlformats.org/officeDocument/2006/relationships/hyperlink" Target="http://www.isvav.cz/programmeDetail.do?rowId=VE" TargetMode="External"/><Relationship Id="rId7" Type="http://schemas.openxmlformats.org/officeDocument/2006/relationships/footnotes" Target="footnotes.xml"/><Relationship Id="rId71" Type="http://schemas.openxmlformats.org/officeDocument/2006/relationships/image" Target="media/image59.gif"/><Relationship Id="rId92" Type="http://schemas.openxmlformats.org/officeDocument/2006/relationships/hyperlink" Target="http://www.ceitec.cz/&#168;" TargetMode="External"/><Relationship Id="rId162" Type="http://schemas.openxmlformats.org/officeDocument/2006/relationships/hyperlink" Target="http://www.hzscr.cz/" TargetMode="External"/><Relationship Id="rId183" Type="http://schemas.openxmlformats.org/officeDocument/2006/relationships/hyperlink" Target="http://www.mvcr.cz/clanek/meziresortni-koncepce-bezpecnostniho-vyzkumu-a-vyvoje-cr-do-roku-2015.aspx" TargetMode="External"/><Relationship Id="rId213" Type="http://schemas.openxmlformats.org/officeDocument/2006/relationships/hyperlink" Target="http://www.epo.org/searching/subscription/patstat-online.html" TargetMode="External"/><Relationship Id="rId218" Type="http://schemas.openxmlformats.org/officeDocument/2006/relationships/hyperlink" Target="http://www.vyzkum.cz/FrontClanek.aspx?idsekce=711241" TargetMode="External"/><Relationship Id="rId2" Type="http://schemas.openxmlformats.org/officeDocument/2006/relationships/numbering" Target="numbering.xml"/><Relationship Id="rId29" Type="http://schemas.openxmlformats.org/officeDocument/2006/relationships/image" Target="media/image17.png"/><Relationship Id="rId24" Type="http://schemas.openxmlformats.org/officeDocument/2006/relationships/image" Target="media/image12.emf"/><Relationship Id="rId40" Type="http://schemas.openxmlformats.org/officeDocument/2006/relationships/image" Target="media/image28.gif"/><Relationship Id="rId45" Type="http://schemas.openxmlformats.org/officeDocument/2006/relationships/image" Target="media/image33.gif"/><Relationship Id="rId66" Type="http://schemas.openxmlformats.org/officeDocument/2006/relationships/image" Target="media/image54.emf"/><Relationship Id="rId87" Type="http://schemas.openxmlformats.org/officeDocument/2006/relationships/image" Target="media/image75.png"/><Relationship Id="rId110" Type="http://schemas.openxmlformats.org/officeDocument/2006/relationships/hyperlink" Target="http://www.uceeb.cz/" TargetMode="External"/><Relationship Id="rId115" Type="http://schemas.openxmlformats.org/officeDocument/2006/relationships/hyperlink" Target="http://www.recamo.cz/cz/" TargetMode="External"/><Relationship Id="rId131" Type="http://schemas.openxmlformats.org/officeDocument/2006/relationships/hyperlink" Target="http://www.openscreen.cz/" TargetMode="External"/><Relationship Id="rId136" Type="http://schemas.openxmlformats.org/officeDocument/2006/relationships/hyperlink" Target="https://www.cerit-sc.cz/cs/" TargetMode="External"/><Relationship Id="rId157" Type="http://schemas.openxmlformats.org/officeDocument/2006/relationships/hyperlink" Target="http://www.uvn.cz/index.php?option=com_content&amp;view=article&amp;id=137&amp;Itemid=756&amp;lang=cs" TargetMode="External"/><Relationship Id="rId178" Type="http://schemas.openxmlformats.org/officeDocument/2006/relationships/image" Target="media/image79.gif"/><Relationship Id="rId61" Type="http://schemas.openxmlformats.org/officeDocument/2006/relationships/image" Target="media/image49.gif"/><Relationship Id="rId82" Type="http://schemas.openxmlformats.org/officeDocument/2006/relationships/image" Target="media/image70.emf"/><Relationship Id="rId152" Type="http://schemas.openxmlformats.org/officeDocument/2006/relationships/hyperlink" Target="http://www.sosoom-ostrava.cz/skolni-grantove-programy/forenzni-laborator.php" TargetMode="External"/><Relationship Id="rId173" Type="http://schemas.openxmlformats.org/officeDocument/2006/relationships/hyperlink" Target="http://www.sujchbo.cz.scimitar.blueboard.cz/" TargetMode="External"/><Relationship Id="rId194" Type="http://schemas.openxmlformats.org/officeDocument/2006/relationships/hyperlink" Target="http://www.vyzkum.cz/FrontClanek.aspx?idsekce=986" TargetMode="External"/><Relationship Id="rId199" Type="http://schemas.openxmlformats.org/officeDocument/2006/relationships/hyperlink" Target="http://eur-lex.europa.eu/LexUriServ/LexUriServ.do?uri=COM:2012:0417:FIN:EN:PDF" TargetMode="External"/><Relationship Id="rId203" Type="http://schemas.openxmlformats.org/officeDocument/2006/relationships/hyperlink" Target="http://eur-lex.europa.eu/legal-content/CS/TXT/HTML/?uri=CELEX:52011DC0808&amp;from=EN" TargetMode="External"/><Relationship Id="rId208" Type="http://schemas.openxmlformats.org/officeDocument/2006/relationships/hyperlink" Target="http://www.evropskyvyzkum.cz/cs/nastroje-spoluprace/ramcove-programy/fp7" TargetMode="External"/><Relationship Id="rId19" Type="http://schemas.openxmlformats.org/officeDocument/2006/relationships/image" Target="media/image7.emf"/><Relationship Id="rId14" Type="http://schemas.openxmlformats.org/officeDocument/2006/relationships/image" Target="media/image2.jpg"/><Relationship Id="rId30" Type="http://schemas.openxmlformats.org/officeDocument/2006/relationships/image" Target="media/image18.png"/><Relationship Id="rId35" Type="http://schemas.openxmlformats.org/officeDocument/2006/relationships/image" Target="media/image23.emf"/><Relationship Id="rId56" Type="http://schemas.openxmlformats.org/officeDocument/2006/relationships/image" Target="media/image44.gif"/><Relationship Id="rId77" Type="http://schemas.openxmlformats.org/officeDocument/2006/relationships/image" Target="media/image65.emf"/><Relationship Id="rId100" Type="http://schemas.openxmlformats.org/officeDocument/2006/relationships/hyperlink" Target="https://www.vutbr.cz/veda-a-vyzkum/centra-vyzkumu/six" TargetMode="External"/><Relationship Id="rId105" Type="http://schemas.openxmlformats.org/officeDocument/2006/relationships/hyperlink" Target="http://susen2020.cz/" TargetMode="External"/><Relationship Id="rId126" Type="http://schemas.openxmlformats.org/officeDocument/2006/relationships/hyperlink" Target="http://cvrez.cz/vyzkumna-infrastruktura/vyzkumny-reaktor-lr-0/" TargetMode="External"/><Relationship Id="rId147" Type="http://schemas.openxmlformats.org/officeDocument/2006/relationships/hyperlink" Target="http://www.zuova.cz" TargetMode="External"/><Relationship Id="rId168" Type="http://schemas.openxmlformats.org/officeDocument/2006/relationships/hyperlink" Target="http://www.pozary.cz/zbiroh-polygon/&#168;" TargetMode="External"/><Relationship Id="rId8" Type="http://schemas.openxmlformats.org/officeDocument/2006/relationships/endnotes" Target="endnotes.xml"/><Relationship Id="rId51" Type="http://schemas.openxmlformats.org/officeDocument/2006/relationships/image" Target="media/image39.gif"/><Relationship Id="rId72" Type="http://schemas.openxmlformats.org/officeDocument/2006/relationships/image" Target="media/image60.gif"/><Relationship Id="rId93" Type="http://schemas.openxmlformats.org/officeDocument/2006/relationships/hyperlink" Target="http://www.fnusa-icrc.org/" TargetMode="External"/><Relationship Id="rId98" Type="http://schemas.openxmlformats.org/officeDocument/2006/relationships/hyperlink" Target="http://www.cetocoen.cz/" TargetMode="External"/><Relationship Id="rId121" Type="http://schemas.openxmlformats.org/officeDocument/2006/relationships/hyperlink" Target="http://lnsm.fzu.cz/o-projektu" TargetMode="External"/><Relationship Id="rId142" Type="http://schemas.openxmlformats.org/officeDocument/2006/relationships/hyperlink" Target="http://dna.com.cz/" TargetMode="External"/><Relationship Id="rId163" Type="http://schemas.openxmlformats.org/officeDocument/2006/relationships/hyperlink" Target="http://eagri.cz/public/web/ukzuz/portal" TargetMode="External"/><Relationship Id="rId184" Type="http://schemas.openxmlformats.org/officeDocument/2006/relationships/hyperlink" Target="http://www.vyzkum.cz/FrontClanek.aspx?idsekce=495405" TargetMode="External"/><Relationship Id="rId189" Type="http://schemas.openxmlformats.org/officeDocument/2006/relationships/hyperlink" Target="https://www.isvav.cz/programmeDetail.do?rowId=VF" TargetMode="External"/><Relationship Id="rId219" Type="http://schemas.openxmlformats.org/officeDocument/2006/relationships/hyperlink" Target="http://docplayer.net/14880689-Motives-barriers-and-services-regarding-technology-transfer-in-the-czech-republic-an-analysis-of-the-ta-cr-survey-2014.html" TargetMode="External"/><Relationship Id="rId3" Type="http://schemas.openxmlformats.org/officeDocument/2006/relationships/styles" Target="styles.xml"/><Relationship Id="rId214" Type="http://schemas.openxmlformats.org/officeDocument/2006/relationships/hyperlink" Target="http://www.aobp.cz/" TargetMode="External"/><Relationship Id="rId25" Type="http://schemas.openxmlformats.org/officeDocument/2006/relationships/image" Target="media/image13.emf"/><Relationship Id="rId46" Type="http://schemas.openxmlformats.org/officeDocument/2006/relationships/image" Target="media/image34.emf"/><Relationship Id="rId67" Type="http://schemas.openxmlformats.org/officeDocument/2006/relationships/image" Target="media/image55.emf"/><Relationship Id="rId116" Type="http://schemas.openxmlformats.org/officeDocument/2006/relationships/hyperlink" Target="http://ict.hgf.vsb.cz/" TargetMode="External"/><Relationship Id="rId137" Type="http://schemas.openxmlformats.org/officeDocument/2006/relationships/image" Target="media/image77.emf"/><Relationship Id="rId158" Type="http://schemas.openxmlformats.org/officeDocument/2006/relationships/hyperlink" Target="https://www.fnplzen.cz/node/138" TargetMode="External"/><Relationship Id="rId20" Type="http://schemas.openxmlformats.org/officeDocument/2006/relationships/image" Target="media/image8.emf"/><Relationship Id="rId41" Type="http://schemas.openxmlformats.org/officeDocument/2006/relationships/image" Target="media/image29.gif"/><Relationship Id="rId62" Type="http://schemas.openxmlformats.org/officeDocument/2006/relationships/image" Target="media/image50.gif"/><Relationship Id="rId83" Type="http://schemas.openxmlformats.org/officeDocument/2006/relationships/image" Target="media/image71.emf"/><Relationship Id="rId88" Type="http://schemas.openxmlformats.org/officeDocument/2006/relationships/hyperlink" Target="http://www.it4i.cz" TargetMode="External"/><Relationship Id="rId111" Type="http://schemas.openxmlformats.org/officeDocument/2006/relationships/hyperlink" Target="http://cps.utb.cz/" TargetMode="External"/><Relationship Id="rId132" Type="http://schemas.openxmlformats.org/officeDocument/2006/relationships/hyperlink" Target="http://c4sys.cz/" TargetMode="External"/><Relationship Id="rId153" Type="http://schemas.openxmlformats.org/officeDocument/2006/relationships/hyperlink" Target="http://www.vfn.cz/pracoviste/kliniky-a-oddeleni/ustav-soudniho-lekarstvi-a-toxikologie/oddeleni/toxikologie/" TargetMode="External"/><Relationship Id="rId174" Type="http://schemas.openxmlformats.org/officeDocument/2006/relationships/hyperlink" Target="https://www.suro.cz/cz/index_html" TargetMode="External"/><Relationship Id="rId179" Type="http://schemas.openxmlformats.org/officeDocument/2006/relationships/image" Target="media/image80.gif"/><Relationship Id="rId195" Type="http://schemas.openxmlformats.org/officeDocument/2006/relationships/hyperlink" Target="http://vyzkum.cz/FrontClanek.aspx?idsekce=754005" TargetMode="External"/><Relationship Id="rId209" Type="http://schemas.openxmlformats.org/officeDocument/2006/relationships/hyperlink" Target="http://www.evropskyvyzkum.cz/cs/nastroje-spoluprace/ramcove-programy/horizont2020" TargetMode="External"/><Relationship Id="rId190" Type="http://schemas.openxmlformats.org/officeDocument/2006/relationships/hyperlink" Target="https://www.isvav.cz/programmeDetail.do?rowId=VG" TargetMode="External"/><Relationship Id="rId204" Type="http://schemas.openxmlformats.org/officeDocument/2006/relationships/hyperlink" Target="http://www.opvavpi.cz/" TargetMode="External"/><Relationship Id="rId220" Type="http://schemas.openxmlformats.org/officeDocument/2006/relationships/fontTable" Target="fontTable.xml"/><Relationship Id="rId15" Type="http://schemas.openxmlformats.org/officeDocument/2006/relationships/image" Target="media/image3.png"/><Relationship Id="rId36" Type="http://schemas.openxmlformats.org/officeDocument/2006/relationships/image" Target="media/image24.gif"/><Relationship Id="rId57" Type="http://schemas.openxmlformats.org/officeDocument/2006/relationships/image" Target="media/image45.emf"/><Relationship Id="rId106" Type="http://schemas.openxmlformats.org/officeDocument/2006/relationships/hyperlink" Target="http://www.cvvoze.cz/" TargetMode="External"/><Relationship Id="rId127" Type="http://schemas.openxmlformats.org/officeDocument/2006/relationships/hyperlink" Target="http://www.czecos.cz/" TargetMode="External"/><Relationship Id="rId10" Type="http://schemas.openxmlformats.org/officeDocument/2006/relationships/footer" Target="footer1.xml"/><Relationship Id="rId31" Type="http://schemas.openxmlformats.org/officeDocument/2006/relationships/image" Target="media/image19.emf"/><Relationship Id="rId52" Type="http://schemas.openxmlformats.org/officeDocument/2006/relationships/image" Target="media/image40.emf"/><Relationship Id="rId73" Type="http://schemas.openxmlformats.org/officeDocument/2006/relationships/image" Target="media/image61.gif"/><Relationship Id="rId78" Type="http://schemas.openxmlformats.org/officeDocument/2006/relationships/image" Target="media/image66.png"/><Relationship Id="rId94" Type="http://schemas.openxmlformats.org/officeDocument/2006/relationships/hyperlink" Target="http://www.eli-beams.eu/" TargetMode="External"/><Relationship Id="rId99" Type="http://schemas.openxmlformats.org/officeDocument/2006/relationships/hyperlink" Target="http://www.utb.cz/fai/struktura/regionalni-vyzkumne-centrum-cebia-tech" TargetMode="External"/><Relationship Id="rId101" Type="http://schemas.openxmlformats.org/officeDocument/2006/relationships/hyperlink" Target="http://enet.vsb.cz/" TargetMode="External"/><Relationship Id="rId122" Type="http://schemas.openxmlformats.org/officeDocument/2006/relationships/hyperlink" Target="http://www.fzu.cz/fzu/fzu-av-cr/stredisko-analyzy-funkcnich-materialu-safmat" TargetMode="External"/><Relationship Id="rId143" Type="http://schemas.openxmlformats.org/officeDocument/2006/relationships/hyperlink" Target="http://www.mephacentrum.cz/cs/hrazene-sluzby/geneticka-laborator" TargetMode="External"/><Relationship Id="rId148" Type="http://schemas.openxmlformats.org/officeDocument/2006/relationships/hyperlink" Target="http://www.sci.muni.cz/lamorfa/laborator" TargetMode="External"/><Relationship Id="rId164" Type="http://schemas.openxmlformats.org/officeDocument/2006/relationships/hyperlink" Target="http://www.vtusp.cz/" TargetMode="External"/><Relationship Id="rId169" Type="http://schemas.openxmlformats.org/officeDocument/2006/relationships/hyperlink" Target="http://www.govcert.cz/cs/" TargetMode="External"/><Relationship Id="rId185" Type="http://schemas.openxmlformats.org/officeDocument/2006/relationships/hyperlink" Target="http://ec.europa.eu/dgs/home-affairs/e-library/documents/policies/security/pdf/esrab_report_en.pdf" TargetMode="External"/><Relationship Id="rId4" Type="http://schemas.microsoft.com/office/2007/relationships/stylesWithEffects" Target="stylesWithEffects.xml"/><Relationship Id="rId9" Type="http://schemas.openxmlformats.org/officeDocument/2006/relationships/header" Target="header1.xml"/><Relationship Id="rId180" Type="http://schemas.openxmlformats.org/officeDocument/2006/relationships/image" Target="media/image81.gif"/><Relationship Id="rId210" Type="http://schemas.openxmlformats.org/officeDocument/2006/relationships/hyperlink" Target="http://www.tc.cz/cs/publikace/periodika/seznam-periodik/echo/5-6-2014" TargetMode="External"/><Relationship Id="rId215" Type="http://schemas.openxmlformats.org/officeDocument/2006/relationships/hyperlink" Target="http://www.alv-cr.cz/" TargetMode="External"/><Relationship Id="rId26" Type="http://schemas.openxmlformats.org/officeDocument/2006/relationships/image" Target="media/image14.emf"/><Relationship Id="rId47" Type="http://schemas.openxmlformats.org/officeDocument/2006/relationships/image" Target="media/image35.emf"/><Relationship Id="rId68" Type="http://schemas.openxmlformats.org/officeDocument/2006/relationships/image" Target="media/image56.gif"/><Relationship Id="rId89" Type="http://schemas.openxmlformats.org/officeDocument/2006/relationships/hyperlink" Target="http://cet.arcchip.cz/" TargetMode="External"/><Relationship Id="rId112" Type="http://schemas.openxmlformats.org/officeDocument/2006/relationships/hyperlink" Target="http://vec.vsb.cz/cs/inef.htm" TargetMode="External"/><Relationship Id="rId133" Type="http://schemas.openxmlformats.org/officeDocument/2006/relationships/hyperlink" Target="http://www.czecrin.net/" TargetMode="External"/><Relationship Id="rId154" Type="http://schemas.openxmlformats.org/officeDocument/2006/relationships/hyperlink" Target="http://www.fno.cz/ustav-soudniho-lekarstvi" TargetMode="External"/><Relationship Id="rId175" Type="http://schemas.openxmlformats.org/officeDocument/2006/relationships/hyperlink" Target="http://www.vvubrno.cz/" TargetMode="External"/><Relationship Id="rId196" Type="http://schemas.openxmlformats.org/officeDocument/2006/relationships/hyperlink" Target="http://eur-lex.europa.eu/legal-content/CS/TXT/?uri=CELEX:52015DC0185" TargetMode="External"/><Relationship Id="rId200" Type="http://schemas.openxmlformats.org/officeDocument/2006/relationships/hyperlink" Target="http://eur-lex.europa.eu/legal-content/CS/TXT/?uri=CELEX:52013JC0001" TargetMode="External"/><Relationship Id="rId16" Type="http://schemas.openxmlformats.org/officeDocument/2006/relationships/image" Target="media/image4.png"/><Relationship Id="rId221" Type="http://schemas.openxmlformats.org/officeDocument/2006/relationships/theme" Target="theme/theme1.xml"/><Relationship Id="rId37" Type="http://schemas.openxmlformats.org/officeDocument/2006/relationships/image" Target="media/image25.gif"/><Relationship Id="rId58" Type="http://schemas.openxmlformats.org/officeDocument/2006/relationships/image" Target="media/image46.gif"/><Relationship Id="rId79" Type="http://schemas.openxmlformats.org/officeDocument/2006/relationships/image" Target="media/image67.emf"/><Relationship Id="rId102" Type="http://schemas.openxmlformats.org/officeDocument/2006/relationships/hyperlink" Target="http://ntc.zcu.cz/" TargetMode="External"/><Relationship Id="rId123" Type="http://schemas.openxmlformats.org/officeDocument/2006/relationships/hyperlink" Target="http://canam.ujf.cas.cz/" TargetMode="External"/><Relationship Id="rId144" Type="http://schemas.openxmlformats.org/officeDocument/2006/relationships/hyperlink" Target="http://bafa.vscht.cz/" TargetMode="External"/></Relationships>
</file>

<file path=word/_rels/footnotes.xml.rels><?xml version="1.0" encoding="UTF-8" standalone="yes"?>
<Relationships xmlns="http://schemas.openxmlformats.org/package/2006/relationships"><Relationship Id="rId8" Type="http://schemas.openxmlformats.org/officeDocument/2006/relationships/hyperlink" Target="https://www.epo.org/searching-for-patents/business/patstat.html" TargetMode="External"/><Relationship Id="rId13" Type="http://schemas.openxmlformats.org/officeDocument/2006/relationships/hyperlink" Target="https://ec.europa.eu/programmes/horizon2020/h2020-sections" TargetMode="External"/><Relationship Id="rId18" Type="http://schemas.openxmlformats.org/officeDocument/2006/relationships/hyperlink" Target="http://english.cea.fr/english-portal" TargetMode="External"/><Relationship Id="rId3" Type="http://schemas.openxmlformats.org/officeDocument/2006/relationships/hyperlink" Target="https://www.tacr.cz/sites/default/files/shared/program_beta/program_beta_2013.pdf" TargetMode="External"/><Relationship Id="rId21" Type="http://schemas.openxmlformats.org/officeDocument/2006/relationships/hyperlink" Target="http://www.opvavpi.cz/cs/siroka-verejnost/seznam-prijemcu.html" TargetMode="External"/><Relationship Id="rId7" Type="http://schemas.openxmlformats.org/officeDocument/2006/relationships/hyperlink" Target="http://ip-science.thomsonreuters.com/mjl/" TargetMode="External"/><Relationship Id="rId12" Type="http://schemas.openxmlformats.org/officeDocument/2006/relationships/hyperlink" Target="http://eur-lex.europa.eu/legal-content/EN/TXT/?uri=OJ:L:2013:347:TOC" TargetMode="External"/><Relationship Id="rId17" Type="http://schemas.openxmlformats.org/officeDocument/2006/relationships/hyperlink" Target="http://es.atos.net/es-es/home.html" TargetMode="External"/><Relationship Id="rId2" Type="http://schemas.openxmlformats.org/officeDocument/2006/relationships/hyperlink" Target="http://www.vyzkum.cz/FrontClanek.aspx?idsekce=973" TargetMode="External"/><Relationship Id="rId16" Type="http://schemas.openxmlformats.org/officeDocument/2006/relationships/hyperlink" Target="http://www.fraunhofer.de/en.html" TargetMode="External"/><Relationship Id="rId20" Type="http://schemas.openxmlformats.org/officeDocument/2006/relationships/hyperlink" Target="https://www.epo.org/" TargetMode="External"/><Relationship Id="rId1" Type="http://schemas.openxmlformats.org/officeDocument/2006/relationships/hyperlink" Target="http://www.mvcr.cz/clanek/institucionalni-podpora-ministerstva-vnitra.aspx" TargetMode="External"/><Relationship Id="rId6" Type="http://schemas.openxmlformats.org/officeDocument/2006/relationships/hyperlink" Target="http://ipscience.thomsonreuters.com/product/web-of-science/?utm_source=Adwords&amp;utm_medium=paid&amp;utm_campaign=WoS&amp;gclid=CJq2qqugoswCFawp0wodXPwDlQ&amp;gclsrc=aw.ds" TargetMode="External"/><Relationship Id="rId11" Type="http://schemas.openxmlformats.org/officeDocument/2006/relationships/hyperlink" Target="http://europa.eu/rapid/press-release_MEMO-16-1495_en.htm" TargetMode="External"/><Relationship Id="rId5" Type="http://schemas.openxmlformats.org/officeDocument/2006/relationships/hyperlink" Target="http://hcr.stateofinnovation.thomsonreuters.com/page/methodology" TargetMode="External"/><Relationship Id="rId15" Type="http://schemas.openxmlformats.org/officeDocument/2006/relationships/hyperlink" Target="http://ec.europa.eu/research/participants/portal/desktop/en/funding/reference_docs.html" TargetMode="External"/><Relationship Id="rId10" Type="http://schemas.openxmlformats.org/officeDocument/2006/relationships/hyperlink" Target="http://ec.europa.eu/dgs/home-affairs/e-library/documents/basic-documents/" TargetMode="External"/><Relationship Id="rId19" Type="http://schemas.openxmlformats.org/officeDocument/2006/relationships/hyperlink" Target="https://www.czso.cz/csu/czso/statistika_vyzkumu_a_vyvoje" TargetMode="External"/><Relationship Id="rId4" Type="http://schemas.openxmlformats.org/officeDocument/2006/relationships/hyperlink" Target="https://www.it4i.cz/" TargetMode="External"/><Relationship Id="rId9" Type="http://schemas.openxmlformats.org/officeDocument/2006/relationships/hyperlink" Target="http://www.wipo.int/classifications/ipc/en/" TargetMode="External"/><Relationship Id="rId14" Type="http://schemas.openxmlformats.org/officeDocument/2006/relationships/hyperlink" Target="http://www.h2020.cz/cs" TargetMode="External"/><Relationship Id="rId22" Type="http://schemas.openxmlformats.org/officeDocument/2006/relationships/hyperlink" Target="http://www.esfri.eu/"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b:Source>
    <b:Tag>Nee</b:Tag>
    <b:SourceType>InternetSite</b:SourceType>
    <b:Guid>{D075D89A-7501-4F79-BCC7-7DDACB6366FD}</b:Guid>
    <b:Title>VOSviewer</b:Title>
    <b:Author>
      <b:Author>
        <b:NameList>
          <b:Person>
            <b:Last>Nees Jan van Eck</b:Last>
            <b:First>Ludo</b:First>
            <b:Middle>Waltman</b:Middle>
          </b:Person>
        </b:NameList>
      </b:Author>
    </b:Author>
    <b:URL>http://www.vosviewer.com/</b:URL>
    <b:RefOrder>1</b:RefOrder>
  </b:Source>
</b:Sources>
</file>

<file path=customXml/itemProps1.xml><?xml version="1.0" encoding="utf-8"?>
<ds:datastoreItem xmlns:ds="http://schemas.openxmlformats.org/officeDocument/2006/customXml" ds:itemID="{9B0D3899-9774-489D-95DC-C05CA108907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95</Pages>
  <Words>58610</Words>
  <Characters>345805</Characters>
  <Application>Microsoft Office Word</Application>
  <DocSecurity>0</DocSecurity>
  <Lines>2881</Lines>
  <Paragraphs>807</Paragraphs>
  <ScaleCrop>false</ScaleCrop>
  <HeadingPairs>
    <vt:vector size="2" baseType="variant">
      <vt:variant>
        <vt:lpstr>Název</vt:lpstr>
      </vt:variant>
      <vt:variant>
        <vt:i4>1</vt:i4>
      </vt:variant>
    </vt:vector>
  </HeadingPairs>
  <TitlesOfParts>
    <vt:vector size="1" baseType="lpstr">
      <vt:lpstr/>
    </vt:vector>
  </TitlesOfParts>
  <Company>Hewlett-Packard Company</Company>
  <LinksUpToDate>false</LinksUpToDate>
  <CharactersWithSpaces>403608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Zdeněk Kučera</dc:creator>
  <cp:lastModifiedBy>Fatun Martin TC</cp:lastModifiedBy>
  <cp:revision>3</cp:revision>
  <cp:lastPrinted>2016-06-09T14:18:00Z</cp:lastPrinted>
  <dcterms:created xsi:type="dcterms:W3CDTF">2016-08-26T09:52:00Z</dcterms:created>
  <dcterms:modified xsi:type="dcterms:W3CDTF">2016-08-26T09:58:00Z</dcterms:modified>
</cp:coreProperties>
</file>