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rPr>
        <w:tag w:val="oznaceniDokumentu"/>
        <w:id w:val="-1578812355"/>
        <w:placeholder>
          <w:docPart w:val="880FF84957BE462FA9013140236C6662"/>
        </w:placeholder>
        <w:dropDownList>
          <w:listItem w:displayText=" " w:value=" "/>
          <w:listItem w:displayText="PRO VNITŘNÍ POTŘEBU" w:value="PRO VNITŘNÍ POTŘEBU"/>
          <w:listItem w:displayText="CITLIVÉ" w:value="CITLIVÉ"/>
          <w:listItem w:displayText="VELMI CITLIVÉ" w:value="VELMI CITLIVÉ"/>
        </w:dropDownList>
      </w:sdtPr>
      <w:sdtEndPr/>
      <w:sdtContent>
        <w:p w:rsidR="00874036" w:rsidRDefault="00874036" w:rsidP="00874036">
          <w:pPr>
            <w:pStyle w:val="Bezmezer"/>
            <w:jc w:val="right"/>
            <w:rPr>
              <w:b/>
            </w:rPr>
          </w:pPr>
          <w:r>
            <w:rPr>
              <w:b/>
            </w:rPr>
            <w:t xml:space="preserve"> </w:t>
          </w:r>
        </w:p>
      </w:sdtContent>
    </w:sdt>
    <w:p w:rsidR="00952E4D" w:rsidRPr="00540F7C" w:rsidRDefault="002E4804" w:rsidP="00540F7C">
      <w:pPr>
        <w:pStyle w:val="Zkladntext"/>
        <w:spacing w:before="240" w:after="600"/>
        <w:jc w:val="center"/>
        <w:rPr>
          <w:b/>
          <w:bCs/>
          <w:szCs w:val="22"/>
        </w:rPr>
      </w:pPr>
      <w:r w:rsidRPr="00540F7C">
        <w:rPr>
          <w:b/>
          <w:caps/>
          <w:szCs w:val="22"/>
        </w:rPr>
        <w:t>Vypořádání připomínek k materiálu s názvem:</w:t>
      </w:r>
    </w:p>
    <w:p w:rsidR="009056DD" w:rsidRPr="00B77102" w:rsidRDefault="00E92E6A" w:rsidP="009056DD">
      <w:pPr>
        <w:spacing w:before="240" w:after="240"/>
        <w:jc w:val="center"/>
        <w:rPr>
          <w:b/>
          <w:sz w:val="22"/>
          <w:szCs w:val="22"/>
        </w:rPr>
      </w:pPr>
      <w:r>
        <w:rPr>
          <w:b/>
          <w:bCs/>
          <w:sz w:val="22"/>
          <w:szCs w:val="22"/>
        </w:rPr>
        <w:fldChar w:fldCharType="begin">
          <w:ffData>
            <w:name w:val="Text8"/>
            <w:enabled/>
            <w:calcOnExit w:val="0"/>
            <w:textInput>
              <w:default w:val="Název materiálu"/>
            </w:textInput>
          </w:ffData>
        </w:fldChar>
      </w:r>
      <w:bookmarkStart w:id="0" w:name="Text8"/>
      <w:r>
        <w:rPr>
          <w:b/>
          <w:bCs/>
          <w:sz w:val="22"/>
          <w:szCs w:val="22"/>
        </w:rPr>
        <w:instrText xml:space="preserve"> FORMTEXT </w:instrText>
      </w:r>
      <w:r>
        <w:rPr>
          <w:b/>
          <w:bCs/>
          <w:sz w:val="22"/>
          <w:szCs w:val="22"/>
        </w:rPr>
      </w:r>
      <w:r>
        <w:rPr>
          <w:b/>
          <w:bCs/>
          <w:sz w:val="22"/>
          <w:szCs w:val="22"/>
        </w:rPr>
        <w:fldChar w:fldCharType="separate"/>
      </w:r>
      <w:r w:rsidR="00BF2D23">
        <w:rPr>
          <w:b/>
          <w:bCs/>
          <w:noProof/>
          <w:sz w:val="22"/>
          <w:szCs w:val="22"/>
        </w:rPr>
        <w:t>Návrh změn v systému investičních pobídek</w:t>
      </w:r>
      <w:r>
        <w:rPr>
          <w:b/>
          <w:bCs/>
          <w:sz w:val="22"/>
          <w:szCs w:val="22"/>
        </w:rPr>
        <w:fldChar w:fldCharType="end"/>
      </w:r>
      <w:bookmarkEnd w:id="0"/>
    </w:p>
    <w:p w:rsidR="00B81330" w:rsidRPr="00B77102" w:rsidRDefault="00B81330" w:rsidP="009056DD">
      <w:pPr>
        <w:spacing w:before="240" w:after="240"/>
        <w:jc w:val="both"/>
        <w:rPr>
          <w:sz w:val="22"/>
          <w:szCs w:val="22"/>
        </w:rPr>
      </w:pPr>
      <w:r w:rsidRPr="00B77102">
        <w:rPr>
          <w:sz w:val="22"/>
          <w:szCs w:val="22"/>
        </w:rPr>
        <w:t>Dle Jednacího řádu vlády byl materiál rozeslán do meziresortního připomínkového řízení dopisem</w:t>
      </w:r>
      <w:r w:rsidR="00AD59F5" w:rsidRPr="00B77102">
        <w:rPr>
          <w:sz w:val="22"/>
          <w:szCs w:val="22"/>
        </w:rPr>
        <w:t xml:space="preserve"> </w:t>
      </w:r>
      <w:r w:rsidR="000F7617">
        <w:rPr>
          <w:bCs/>
          <w:sz w:val="22"/>
          <w:szCs w:val="22"/>
        </w:rPr>
        <w:fldChar w:fldCharType="begin">
          <w:ffData>
            <w:name w:val=""/>
            <w:enabled/>
            <w:calcOnExit w:val="0"/>
            <w:textInput>
              <w:default w:val="ministryně/ministra"/>
            </w:textInput>
          </w:ffData>
        </w:fldChar>
      </w:r>
      <w:r w:rsidR="000F7617">
        <w:rPr>
          <w:bCs/>
          <w:sz w:val="22"/>
          <w:szCs w:val="22"/>
        </w:rPr>
        <w:instrText xml:space="preserve"> FORMTEXT </w:instrText>
      </w:r>
      <w:r w:rsidR="000F7617">
        <w:rPr>
          <w:bCs/>
          <w:sz w:val="22"/>
          <w:szCs w:val="22"/>
        </w:rPr>
      </w:r>
      <w:r w:rsidR="000F7617">
        <w:rPr>
          <w:bCs/>
          <w:sz w:val="22"/>
          <w:szCs w:val="22"/>
        </w:rPr>
        <w:fldChar w:fldCharType="separate"/>
      </w:r>
      <w:r w:rsidR="000F7617">
        <w:rPr>
          <w:bCs/>
          <w:noProof/>
          <w:sz w:val="22"/>
          <w:szCs w:val="22"/>
        </w:rPr>
        <w:t>ministra</w:t>
      </w:r>
      <w:r w:rsidR="000F7617">
        <w:rPr>
          <w:bCs/>
          <w:sz w:val="22"/>
          <w:szCs w:val="22"/>
        </w:rPr>
        <w:fldChar w:fldCharType="end"/>
      </w:r>
      <w:r w:rsidRPr="00B77102">
        <w:rPr>
          <w:sz w:val="22"/>
          <w:szCs w:val="22"/>
        </w:rPr>
        <w:t xml:space="preserve"> </w:t>
      </w:r>
      <w:r w:rsidR="00E92E6A">
        <w:rPr>
          <w:bCs/>
          <w:sz w:val="22"/>
          <w:szCs w:val="22"/>
        </w:rPr>
        <w:fldChar w:fldCharType="begin">
          <w:ffData>
            <w:name w:val=""/>
            <w:enabled/>
            <w:calcOnExit w:val="0"/>
            <w:textInput>
              <w:default w:val="ministerstvo"/>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BF2D23">
        <w:rPr>
          <w:bCs/>
          <w:noProof/>
          <w:sz w:val="22"/>
          <w:szCs w:val="22"/>
        </w:rPr>
        <w:t>průmyslu a obchodu</w:t>
      </w:r>
      <w:r w:rsidR="00E92E6A">
        <w:rPr>
          <w:bCs/>
          <w:sz w:val="22"/>
          <w:szCs w:val="22"/>
        </w:rPr>
        <w:fldChar w:fldCharType="end"/>
      </w:r>
      <w:r w:rsidR="00540F7C">
        <w:rPr>
          <w:bCs/>
          <w:sz w:val="22"/>
          <w:szCs w:val="22"/>
        </w:rPr>
        <w:t xml:space="preserve"> </w:t>
      </w:r>
      <w:r w:rsidRPr="00B77102">
        <w:rPr>
          <w:sz w:val="22"/>
          <w:szCs w:val="22"/>
        </w:rPr>
        <w:t xml:space="preserve">dne </w:t>
      </w:r>
      <w:r w:rsidR="00E92E6A">
        <w:rPr>
          <w:bCs/>
          <w:sz w:val="22"/>
          <w:szCs w:val="22"/>
        </w:rPr>
        <w:fldChar w:fldCharType="begin">
          <w:ffData>
            <w:name w:val=""/>
            <w:enabled/>
            <w:calcOnExit w:val="0"/>
            <w:textInput>
              <w:default w:val="datum"/>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BF2D23">
        <w:rPr>
          <w:bCs/>
          <w:noProof/>
          <w:sz w:val="22"/>
          <w:szCs w:val="22"/>
        </w:rPr>
        <w:t>31. července 2017</w:t>
      </w:r>
      <w:r w:rsidR="00E92E6A">
        <w:rPr>
          <w:bCs/>
          <w:sz w:val="22"/>
          <w:szCs w:val="22"/>
        </w:rPr>
        <w:fldChar w:fldCharType="end"/>
      </w:r>
      <w:r w:rsidRPr="00B77102">
        <w:rPr>
          <w:sz w:val="22"/>
          <w:szCs w:val="22"/>
        </w:rPr>
        <w:t xml:space="preserve">, s termínem dodání stanovisek do </w:t>
      </w:r>
      <w:r w:rsidR="00E92E6A">
        <w:rPr>
          <w:bCs/>
          <w:sz w:val="22"/>
          <w:szCs w:val="22"/>
        </w:rPr>
        <w:fldChar w:fldCharType="begin">
          <w:ffData>
            <w:name w:val=""/>
            <w:enabled/>
            <w:calcOnExit w:val="0"/>
            <w:textInput>
              <w:default w:val="datum"/>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BF2D23">
        <w:rPr>
          <w:bCs/>
          <w:noProof/>
          <w:sz w:val="22"/>
          <w:szCs w:val="22"/>
        </w:rPr>
        <w:t>14. srpna 2017</w:t>
      </w:r>
      <w:r w:rsidR="00E92E6A">
        <w:rPr>
          <w:bCs/>
          <w:sz w:val="22"/>
          <w:szCs w:val="22"/>
        </w:rPr>
        <w:fldChar w:fldCharType="end"/>
      </w:r>
      <w:r w:rsidRPr="00B77102">
        <w:rPr>
          <w:sz w:val="22"/>
          <w:szCs w:val="22"/>
        </w:rPr>
        <w:t xml:space="preserve">. </w:t>
      </w:r>
      <w:r w:rsidR="004E0338" w:rsidRPr="004E0338">
        <w:rPr>
          <w:sz w:val="22"/>
          <w:szCs w:val="22"/>
        </w:rPr>
        <w:t>Vypořádání zásadních připomínek je uvedeno v následující tabulce. Doporučující připomínky byly zváženy a podle možností zapracovány, většina doporučujících připomínek byla vzata jako doporučení pro přípravu vlastního návrhu novely zákona o investičních pobídkách.</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5889"/>
        <w:gridCol w:w="6536"/>
      </w:tblGrid>
      <w:tr w:rsidR="0046402A" w:rsidRPr="00B77102" w:rsidTr="00637BB6">
        <w:trPr>
          <w:trHeight w:val="340"/>
        </w:trPr>
        <w:tc>
          <w:tcPr>
            <w:tcW w:w="1904" w:type="dxa"/>
            <w:shd w:val="clear" w:color="auto" w:fill="auto"/>
          </w:tcPr>
          <w:p w:rsidR="001C1BAD" w:rsidRPr="00B77102" w:rsidRDefault="001C1BAD" w:rsidP="0012692B">
            <w:pPr>
              <w:rPr>
                <w:sz w:val="22"/>
                <w:szCs w:val="22"/>
              </w:rPr>
            </w:pPr>
            <w:r w:rsidRPr="00B77102">
              <w:rPr>
                <w:b/>
                <w:bCs/>
                <w:sz w:val="22"/>
                <w:szCs w:val="22"/>
              </w:rPr>
              <w:t>Resort</w:t>
            </w:r>
          </w:p>
        </w:tc>
        <w:tc>
          <w:tcPr>
            <w:tcW w:w="5889" w:type="dxa"/>
            <w:shd w:val="clear" w:color="auto" w:fill="auto"/>
          </w:tcPr>
          <w:p w:rsidR="001C1BAD" w:rsidRPr="00B77102" w:rsidRDefault="001C1BAD" w:rsidP="0012692B">
            <w:pPr>
              <w:rPr>
                <w:sz w:val="22"/>
                <w:szCs w:val="22"/>
              </w:rPr>
            </w:pPr>
            <w:r w:rsidRPr="00B77102">
              <w:rPr>
                <w:b/>
                <w:bCs/>
                <w:sz w:val="22"/>
                <w:szCs w:val="22"/>
              </w:rPr>
              <w:t>Připomínky</w:t>
            </w:r>
          </w:p>
        </w:tc>
        <w:tc>
          <w:tcPr>
            <w:tcW w:w="6536" w:type="dxa"/>
            <w:shd w:val="clear" w:color="auto" w:fill="auto"/>
          </w:tcPr>
          <w:p w:rsidR="001C1BAD" w:rsidRPr="00B77102" w:rsidRDefault="001C1BAD" w:rsidP="0012692B">
            <w:pPr>
              <w:rPr>
                <w:sz w:val="22"/>
                <w:szCs w:val="22"/>
              </w:rPr>
            </w:pPr>
            <w:r w:rsidRPr="00B77102">
              <w:rPr>
                <w:b/>
                <w:bCs/>
                <w:sz w:val="22"/>
                <w:szCs w:val="22"/>
              </w:rPr>
              <w:t>Vypořádání</w:t>
            </w:r>
          </w:p>
        </w:tc>
      </w:tr>
      <w:tr w:rsidR="0046402A" w:rsidRPr="00B77102" w:rsidTr="00637BB6">
        <w:trPr>
          <w:trHeight w:val="340"/>
        </w:trPr>
        <w:tc>
          <w:tcPr>
            <w:tcW w:w="1904" w:type="dxa"/>
            <w:tcBorders>
              <w:left w:val="single" w:sz="4" w:space="0" w:color="auto"/>
              <w:right w:val="single" w:sz="4" w:space="0" w:color="auto"/>
            </w:tcBorders>
            <w:shd w:val="clear" w:color="auto" w:fill="auto"/>
          </w:tcPr>
          <w:p w:rsidR="00BF2D23" w:rsidRPr="00BF2D23" w:rsidRDefault="00BF2D23" w:rsidP="007E1384">
            <w:pPr>
              <w:rPr>
                <w:b/>
                <w:sz w:val="22"/>
                <w:szCs w:val="22"/>
              </w:rPr>
            </w:pPr>
            <w:r w:rsidRPr="00BF2D23">
              <w:rPr>
                <w:b/>
                <w:sz w:val="22"/>
                <w:szCs w:val="22"/>
              </w:rPr>
              <w:t>Úřad vlády – místopředseda vlády pro vědu, výzkum a inovace a předseda Rady pro výzkum, vývoj a inovace</w:t>
            </w:r>
          </w:p>
        </w:tc>
        <w:tc>
          <w:tcPr>
            <w:tcW w:w="5889" w:type="dxa"/>
            <w:tcBorders>
              <w:top w:val="single" w:sz="4" w:space="0" w:color="auto"/>
              <w:left w:val="single" w:sz="4" w:space="0" w:color="auto"/>
              <w:bottom w:val="single" w:sz="4" w:space="0" w:color="auto"/>
              <w:right w:val="single" w:sz="4" w:space="0" w:color="auto"/>
            </w:tcBorders>
            <w:shd w:val="clear" w:color="auto" w:fill="auto"/>
          </w:tcPr>
          <w:p w:rsidR="00BF2D23" w:rsidRPr="001942BC" w:rsidRDefault="006E0BAB" w:rsidP="00E92E6A">
            <w:pPr>
              <w:jc w:val="both"/>
              <w:rPr>
                <w:b/>
                <w:bCs/>
                <w:sz w:val="22"/>
                <w:szCs w:val="22"/>
              </w:rPr>
            </w:pPr>
            <w:r w:rsidRPr="001942BC">
              <w:rPr>
                <w:b/>
                <w:bCs/>
                <w:sz w:val="22"/>
                <w:szCs w:val="22"/>
              </w:rPr>
              <w:t>Zásadní připomínky</w:t>
            </w:r>
          </w:p>
          <w:p w:rsidR="001942BC" w:rsidRPr="001942BC" w:rsidRDefault="001942BC" w:rsidP="00EC6DB5">
            <w:pPr>
              <w:spacing w:before="120"/>
              <w:jc w:val="both"/>
              <w:rPr>
                <w:bCs/>
                <w:sz w:val="22"/>
                <w:szCs w:val="22"/>
              </w:rPr>
            </w:pPr>
            <w:r w:rsidRPr="001942BC">
              <w:rPr>
                <w:b/>
                <w:bCs/>
                <w:sz w:val="22"/>
                <w:szCs w:val="22"/>
              </w:rPr>
              <w:t>1.</w:t>
            </w:r>
            <w:r w:rsidRPr="001942BC">
              <w:rPr>
                <w:bCs/>
                <w:sz w:val="22"/>
                <w:szCs w:val="22"/>
              </w:rPr>
              <w:t> Požadujeme materiál předložit Radě pro výzkum, vývoj a inovace (dále jen „Rada“).</w:t>
            </w:r>
          </w:p>
          <w:p w:rsidR="001942BC" w:rsidRPr="001942BC" w:rsidRDefault="001942BC" w:rsidP="001942BC">
            <w:pPr>
              <w:jc w:val="both"/>
              <w:rPr>
                <w:bCs/>
                <w:sz w:val="22"/>
                <w:szCs w:val="22"/>
                <w:u w:val="single"/>
              </w:rPr>
            </w:pPr>
            <w:r w:rsidRPr="001942BC">
              <w:rPr>
                <w:bCs/>
                <w:sz w:val="22"/>
                <w:szCs w:val="22"/>
                <w:u w:val="single"/>
              </w:rPr>
              <w:t>Odůvodnění:</w:t>
            </w:r>
          </w:p>
          <w:p w:rsidR="001942BC" w:rsidRDefault="001942BC" w:rsidP="001942BC">
            <w:pPr>
              <w:jc w:val="both"/>
              <w:rPr>
                <w:bCs/>
                <w:sz w:val="22"/>
                <w:szCs w:val="22"/>
              </w:rPr>
            </w:pPr>
            <w:r w:rsidRPr="001942BC">
              <w:rPr>
                <w:bCs/>
                <w:sz w:val="22"/>
                <w:szCs w:val="22"/>
              </w:rPr>
              <w:t>Materiál byl do meziresortního připomínkového řízení předložen bez stanoviska Rady, což je v rozporu s</w:t>
            </w:r>
            <w:r w:rsidR="0030137B">
              <w:rPr>
                <w:bCs/>
                <w:sz w:val="22"/>
                <w:szCs w:val="22"/>
              </w:rPr>
              <w:t> </w:t>
            </w:r>
            <w:r w:rsidRPr="001942BC">
              <w:rPr>
                <w:bCs/>
                <w:sz w:val="22"/>
                <w:szCs w:val="22"/>
              </w:rPr>
              <w:t>ustanovením § 35 odst. 2 písm. i) zákona č. 130/2002 Sb., o podpoře výzkumu, experimentálního vývoje a inovací, ve znění pozdějších předpisů. Součástí předkládaného materiálu musí být podle výše uvedeného zákona i stanovisko Rady, protože daný materiál se týká oblasti výzkumu, vývoje a inovací (dále jen „VaVaI“).</w:t>
            </w:r>
          </w:p>
          <w:p w:rsidR="00023D08" w:rsidRDefault="00023D08" w:rsidP="001942BC">
            <w:pPr>
              <w:jc w:val="both"/>
              <w:rPr>
                <w:bCs/>
                <w:sz w:val="22"/>
                <w:szCs w:val="22"/>
              </w:rPr>
            </w:pPr>
          </w:p>
          <w:p w:rsidR="00023D08" w:rsidRDefault="00023D08" w:rsidP="001942BC">
            <w:pPr>
              <w:jc w:val="both"/>
              <w:rPr>
                <w:bCs/>
                <w:sz w:val="22"/>
                <w:szCs w:val="22"/>
              </w:rPr>
            </w:pPr>
          </w:p>
          <w:p w:rsidR="00023D08" w:rsidRDefault="00023D08" w:rsidP="001942BC">
            <w:pPr>
              <w:jc w:val="both"/>
              <w:rPr>
                <w:bCs/>
                <w:sz w:val="22"/>
                <w:szCs w:val="22"/>
              </w:rPr>
            </w:pPr>
          </w:p>
          <w:p w:rsidR="00023D08" w:rsidRDefault="00023D08" w:rsidP="001942BC">
            <w:pPr>
              <w:jc w:val="both"/>
              <w:rPr>
                <w:bCs/>
                <w:sz w:val="22"/>
                <w:szCs w:val="22"/>
              </w:rPr>
            </w:pPr>
          </w:p>
          <w:p w:rsidR="00023D08" w:rsidRDefault="00023D08" w:rsidP="001942BC">
            <w:pPr>
              <w:jc w:val="both"/>
              <w:rPr>
                <w:bCs/>
                <w:sz w:val="22"/>
                <w:szCs w:val="22"/>
              </w:rPr>
            </w:pPr>
          </w:p>
          <w:p w:rsidR="00023D08" w:rsidRDefault="00023D08" w:rsidP="001942BC">
            <w:pPr>
              <w:jc w:val="both"/>
              <w:rPr>
                <w:bCs/>
                <w:sz w:val="22"/>
                <w:szCs w:val="22"/>
              </w:rPr>
            </w:pPr>
          </w:p>
          <w:p w:rsidR="00637BB6" w:rsidRDefault="00637BB6" w:rsidP="001942BC">
            <w:pPr>
              <w:jc w:val="both"/>
              <w:rPr>
                <w:bCs/>
                <w:sz w:val="22"/>
                <w:szCs w:val="22"/>
              </w:rPr>
            </w:pPr>
          </w:p>
          <w:p w:rsidR="00FF66CB" w:rsidRDefault="00FF66CB" w:rsidP="00EC6DB5">
            <w:pPr>
              <w:spacing w:before="120"/>
              <w:jc w:val="both"/>
              <w:rPr>
                <w:b/>
                <w:bCs/>
                <w:sz w:val="22"/>
                <w:szCs w:val="22"/>
              </w:rPr>
            </w:pPr>
          </w:p>
          <w:p w:rsidR="00FF66CB" w:rsidRDefault="00FF66CB" w:rsidP="00EC6DB5">
            <w:pPr>
              <w:spacing w:before="120"/>
              <w:jc w:val="both"/>
              <w:rPr>
                <w:b/>
                <w:bCs/>
                <w:sz w:val="22"/>
                <w:szCs w:val="22"/>
              </w:rPr>
            </w:pPr>
          </w:p>
          <w:p w:rsidR="00FF66CB" w:rsidRDefault="00FF66CB" w:rsidP="00EC6DB5">
            <w:pPr>
              <w:spacing w:before="120"/>
              <w:jc w:val="both"/>
              <w:rPr>
                <w:b/>
                <w:bCs/>
                <w:sz w:val="22"/>
                <w:szCs w:val="22"/>
              </w:rPr>
            </w:pPr>
          </w:p>
          <w:p w:rsidR="001942BC" w:rsidRDefault="001942BC" w:rsidP="00EC6DB5">
            <w:pPr>
              <w:spacing w:before="120"/>
              <w:jc w:val="both"/>
              <w:rPr>
                <w:bCs/>
                <w:sz w:val="22"/>
                <w:szCs w:val="22"/>
              </w:rPr>
            </w:pPr>
            <w:r w:rsidRPr="001942BC">
              <w:rPr>
                <w:b/>
                <w:bCs/>
                <w:sz w:val="22"/>
                <w:szCs w:val="22"/>
              </w:rPr>
              <w:t>2.</w:t>
            </w:r>
            <w:r w:rsidRPr="001942BC">
              <w:rPr>
                <w:bCs/>
                <w:sz w:val="22"/>
                <w:szCs w:val="22"/>
              </w:rPr>
              <w:t> Požadujeme v celém materiálu věnovat vyváženou pozornost podpoře směřované do oblasti vědy, výzkumu a</w:t>
            </w:r>
            <w:r w:rsidR="0030137B">
              <w:rPr>
                <w:bCs/>
                <w:sz w:val="22"/>
                <w:szCs w:val="22"/>
              </w:rPr>
              <w:t> </w:t>
            </w:r>
            <w:r w:rsidRPr="001942BC">
              <w:rPr>
                <w:bCs/>
                <w:sz w:val="22"/>
                <w:szCs w:val="22"/>
              </w:rPr>
              <w:t>inovací (např. zvýšená podpora investičních projektů s</w:t>
            </w:r>
            <w:r w:rsidR="0030137B">
              <w:rPr>
                <w:bCs/>
                <w:sz w:val="22"/>
                <w:szCs w:val="22"/>
              </w:rPr>
              <w:t> </w:t>
            </w:r>
            <w:r w:rsidRPr="001942BC">
              <w:rPr>
                <w:bCs/>
                <w:sz w:val="22"/>
                <w:szCs w:val="22"/>
              </w:rPr>
              <w:t>vysokou přidanou hodnotou) a konkrétně rozpracovat daná opatření, která by ve svém souhrnu realizovala obecná tvrzení typu (str. 4): „Výrazně lépe jsou odměňovány předprodukční a poprodukční fáze výrobního procesu. Jedná se především o oblasti výzkumu, vývoje, designu, managementu, marketingu a prodejní služby.</w:t>
            </w:r>
            <w:r w:rsidR="00AC683B">
              <w:rPr>
                <w:bCs/>
                <w:sz w:val="22"/>
                <w:szCs w:val="22"/>
              </w:rPr>
              <w:t>..</w:t>
            </w:r>
            <w:r w:rsidRPr="001942BC">
              <w:rPr>
                <w:bCs/>
                <w:sz w:val="22"/>
                <w:szCs w:val="22"/>
              </w:rPr>
              <w:t>“</w:t>
            </w:r>
            <w:r w:rsidR="00AC683B">
              <w:rPr>
                <w:bCs/>
                <w:sz w:val="22"/>
                <w:szCs w:val="22"/>
              </w:rPr>
              <w:t>.</w:t>
            </w:r>
            <w:r w:rsidRPr="001942BC">
              <w:rPr>
                <w:bCs/>
                <w:sz w:val="22"/>
                <w:szCs w:val="22"/>
              </w:rPr>
              <w:t xml:space="preserve"> Obdobně je například nutné záměr podpory technologických center (předposlední odst. na str. 4) znamená vytvářet nová technologická centra či rozšiřovat stávající? Jak to bude realizováno, když od roku 2012 do roku 2016 bylo z celkem 419 žádostí o podporu pouze sedm z oblasti technologických center? Kolik žádostí bylo uspokojeno? Probíhal nějaký monitoring, na jehož základě by mohlo dojít ke stanovování podmínek podpory?</w:t>
            </w:r>
          </w:p>
          <w:p w:rsidR="00BB2B16" w:rsidRDefault="00BB2B16" w:rsidP="00EC6DB5">
            <w:pPr>
              <w:spacing w:before="120"/>
              <w:jc w:val="both"/>
              <w:rPr>
                <w:bCs/>
                <w:sz w:val="22"/>
                <w:szCs w:val="22"/>
              </w:rPr>
            </w:pPr>
          </w:p>
          <w:p w:rsidR="00BB2B16" w:rsidRDefault="00BB2B16" w:rsidP="00EC6DB5">
            <w:pPr>
              <w:spacing w:before="120"/>
              <w:jc w:val="both"/>
              <w:rPr>
                <w:bCs/>
                <w:sz w:val="22"/>
                <w:szCs w:val="22"/>
              </w:rPr>
            </w:pPr>
          </w:p>
          <w:p w:rsidR="00BB2B16" w:rsidRPr="001942BC" w:rsidRDefault="00BB2B16" w:rsidP="00EC6DB5">
            <w:pPr>
              <w:spacing w:before="120"/>
              <w:jc w:val="both"/>
              <w:rPr>
                <w:bCs/>
                <w:sz w:val="22"/>
                <w:szCs w:val="22"/>
              </w:rPr>
            </w:pPr>
          </w:p>
          <w:p w:rsidR="001942BC" w:rsidRPr="001942BC" w:rsidRDefault="001942BC" w:rsidP="00EC6DB5">
            <w:pPr>
              <w:spacing w:before="120"/>
              <w:jc w:val="both"/>
              <w:rPr>
                <w:bCs/>
                <w:sz w:val="22"/>
                <w:szCs w:val="22"/>
              </w:rPr>
            </w:pPr>
            <w:r w:rsidRPr="001942BC">
              <w:rPr>
                <w:b/>
                <w:bCs/>
                <w:sz w:val="22"/>
                <w:szCs w:val="22"/>
              </w:rPr>
              <w:t>3.</w:t>
            </w:r>
            <w:r w:rsidRPr="001942BC">
              <w:rPr>
                <w:bCs/>
                <w:sz w:val="22"/>
                <w:szCs w:val="22"/>
              </w:rPr>
              <w:t> Požadujeme do materiálu doplnit vazbu na Národní výzkumnou a inovační strategii pro inteligentní specializaci České republiky (dále jen „Národní RIS3 strategie“), která vychází z Národní politiky výzkumu, vývoje a inovací na léta 2016–2020 (dále jen „Národní politika VaVaI“) a</w:t>
            </w:r>
            <w:r w:rsidR="0030137B">
              <w:rPr>
                <w:bCs/>
                <w:sz w:val="22"/>
                <w:szCs w:val="22"/>
              </w:rPr>
              <w:t> </w:t>
            </w:r>
            <w:r w:rsidRPr="001942BC">
              <w:rPr>
                <w:bCs/>
                <w:sz w:val="22"/>
                <w:szCs w:val="22"/>
              </w:rPr>
              <w:t>představuje řídící dokument pro směřování podpory aplikovaného výzkumu a inovací (včetně průmyslových).</w:t>
            </w:r>
          </w:p>
          <w:p w:rsidR="001942BC" w:rsidRPr="001942BC" w:rsidRDefault="001942BC" w:rsidP="001942BC">
            <w:pPr>
              <w:jc w:val="both"/>
              <w:rPr>
                <w:bCs/>
                <w:sz w:val="22"/>
                <w:szCs w:val="22"/>
                <w:u w:val="single"/>
              </w:rPr>
            </w:pPr>
            <w:r w:rsidRPr="001942BC">
              <w:rPr>
                <w:bCs/>
                <w:sz w:val="22"/>
                <w:szCs w:val="22"/>
                <w:u w:val="single"/>
              </w:rPr>
              <w:t>Odůvodnění:</w:t>
            </w:r>
          </w:p>
          <w:p w:rsidR="001942BC" w:rsidRPr="001942BC" w:rsidRDefault="001942BC" w:rsidP="001942BC">
            <w:pPr>
              <w:jc w:val="both"/>
              <w:rPr>
                <w:bCs/>
                <w:sz w:val="22"/>
                <w:szCs w:val="22"/>
              </w:rPr>
            </w:pPr>
            <w:r w:rsidRPr="001942BC">
              <w:rPr>
                <w:bCs/>
                <w:sz w:val="22"/>
                <w:szCs w:val="22"/>
              </w:rPr>
              <w:t>Podporujeme zaměření na aktivity s vysokou přidanou hodnotou, tj. s výrazným zastoupením předprodukční a</w:t>
            </w:r>
            <w:r w:rsidR="0030137B">
              <w:rPr>
                <w:bCs/>
                <w:sz w:val="22"/>
                <w:szCs w:val="22"/>
              </w:rPr>
              <w:t> </w:t>
            </w:r>
            <w:r w:rsidRPr="001942BC">
              <w:rPr>
                <w:bCs/>
                <w:sz w:val="22"/>
                <w:szCs w:val="22"/>
              </w:rPr>
              <w:t xml:space="preserve">poprodukční fáze výrobního procesu (oblasti výzkumu, </w:t>
            </w:r>
            <w:r w:rsidRPr="001942BC">
              <w:rPr>
                <w:bCs/>
                <w:sz w:val="22"/>
                <w:szCs w:val="22"/>
              </w:rPr>
              <w:lastRenderedPageBreak/>
              <w:t>vývoje, designu, managementu, marketingu a prodejní služby). Při realizaci politiky investičních podmínek je potřeba podporovat aktivity/podniky s vysokou produktivitou a vysokým postavením v hodnotovém řetězci. Reflektujeme úzké provázání investičních pobídek s</w:t>
            </w:r>
            <w:r w:rsidR="0030137B">
              <w:rPr>
                <w:bCs/>
                <w:sz w:val="22"/>
                <w:szCs w:val="22"/>
              </w:rPr>
              <w:t> </w:t>
            </w:r>
            <w:r w:rsidRPr="001942BC">
              <w:rPr>
                <w:bCs/>
                <w:sz w:val="22"/>
                <w:szCs w:val="22"/>
              </w:rPr>
              <w:t>politikou podpory výzkumu, vývoje a inovací. Tato skutečnost se však neodráží ve vazbě materiálu na již schválenou Národní RIS3 strategii.</w:t>
            </w:r>
          </w:p>
          <w:p w:rsidR="008E6485" w:rsidRDefault="008E6485" w:rsidP="00EC6DB5">
            <w:pPr>
              <w:spacing w:before="120"/>
              <w:jc w:val="both"/>
              <w:rPr>
                <w:b/>
                <w:bCs/>
                <w:sz w:val="22"/>
                <w:szCs w:val="22"/>
              </w:rPr>
            </w:pPr>
          </w:p>
          <w:p w:rsidR="008E6485" w:rsidRDefault="008E6485" w:rsidP="00EC6DB5">
            <w:pPr>
              <w:spacing w:before="120"/>
              <w:jc w:val="both"/>
              <w:rPr>
                <w:b/>
                <w:bCs/>
                <w:sz w:val="22"/>
                <w:szCs w:val="22"/>
              </w:rPr>
            </w:pPr>
          </w:p>
          <w:p w:rsidR="008E6485" w:rsidRDefault="008E6485" w:rsidP="00EC6DB5">
            <w:pPr>
              <w:spacing w:before="120"/>
              <w:jc w:val="both"/>
              <w:rPr>
                <w:b/>
                <w:bCs/>
                <w:sz w:val="22"/>
                <w:szCs w:val="22"/>
              </w:rPr>
            </w:pPr>
          </w:p>
          <w:p w:rsidR="001942BC" w:rsidRDefault="001942BC" w:rsidP="00EC6DB5">
            <w:pPr>
              <w:spacing w:before="120"/>
              <w:jc w:val="both"/>
              <w:rPr>
                <w:bCs/>
                <w:sz w:val="22"/>
                <w:szCs w:val="22"/>
              </w:rPr>
            </w:pPr>
            <w:r w:rsidRPr="001942BC">
              <w:rPr>
                <w:b/>
                <w:bCs/>
                <w:sz w:val="22"/>
                <w:szCs w:val="22"/>
              </w:rPr>
              <w:t>4.</w:t>
            </w:r>
            <w:r w:rsidRPr="001942BC">
              <w:rPr>
                <w:bCs/>
                <w:sz w:val="22"/>
                <w:szCs w:val="22"/>
              </w:rPr>
              <w:t> Požadujeme v bodě A.1.1 jednoznačně uvést, zda dané opatření bude mít vliv na státní rozpočet pro oblast VaVaI.</w:t>
            </w:r>
          </w:p>
          <w:p w:rsidR="004F49B9" w:rsidRPr="001942BC" w:rsidRDefault="004F49B9" w:rsidP="00EC6DB5">
            <w:pPr>
              <w:spacing w:before="120"/>
              <w:jc w:val="both"/>
              <w:rPr>
                <w:bCs/>
                <w:sz w:val="22"/>
                <w:szCs w:val="22"/>
              </w:rPr>
            </w:pPr>
          </w:p>
          <w:p w:rsidR="008E6485" w:rsidRDefault="008E6485" w:rsidP="004F49B9">
            <w:pPr>
              <w:jc w:val="both"/>
              <w:rPr>
                <w:b/>
                <w:bCs/>
                <w:sz w:val="22"/>
                <w:szCs w:val="22"/>
              </w:rPr>
            </w:pPr>
          </w:p>
          <w:p w:rsidR="008E6485" w:rsidRDefault="008E6485" w:rsidP="004F49B9">
            <w:pPr>
              <w:jc w:val="both"/>
              <w:rPr>
                <w:b/>
                <w:bCs/>
                <w:sz w:val="22"/>
                <w:szCs w:val="22"/>
              </w:rPr>
            </w:pPr>
          </w:p>
          <w:p w:rsidR="001942BC" w:rsidRDefault="001942BC" w:rsidP="004F49B9">
            <w:pPr>
              <w:jc w:val="both"/>
              <w:rPr>
                <w:bCs/>
                <w:sz w:val="22"/>
                <w:szCs w:val="22"/>
              </w:rPr>
            </w:pPr>
            <w:r w:rsidRPr="001942BC">
              <w:rPr>
                <w:b/>
                <w:bCs/>
                <w:sz w:val="22"/>
                <w:szCs w:val="22"/>
              </w:rPr>
              <w:t>5.</w:t>
            </w:r>
            <w:r w:rsidRPr="001942BC">
              <w:rPr>
                <w:bCs/>
                <w:sz w:val="22"/>
                <w:szCs w:val="22"/>
              </w:rPr>
              <w:t> Požadujeme v bodě A.1.2 upřesnit, kdo bude rekvalifikace či školení provádět, jak bude zajištěna specifikace požadovaných dovedností, zda budou rekvalifikace nějak certifikovány či využitelné i v jiných místech než pro potřeby konkrétního podniku. Rovněž je nutné uvést, jak dlouho bude muset zaměstnanec v</w:t>
            </w:r>
            <w:r w:rsidR="0030137B">
              <w:rPr>
                <w:bCs/>
                <w:sz w:val="22"/>
                <w:szCs w:val="22"/>
              </w:rPr>
              <w:t> </w:t>
            </w:r>
            <w:r w:rsidRPr="001942BC">
              <w:rPr>
                <w:bCs/>
                <w:sz w:val="22"/>
                <w:szCs w:val="22"/>
              </w:rPr>
              <w:t>podniku pracovat, pokud na jeho rekvalifikaci či školení dostane podnik podporu.</w:t>
            </w:r>
          </w:p>
          <w:p w:rsidR="007B162D" w:rsidRDefault="007B162D" w:rsidP="004F49B9">
            <w:pPr>
              <w:jc w:val="both"/>
              <w:rPr>
                <w:bCs/>
                <w:sz w:val="22"/>
                <w:szCs w:val="22"/>
              </w:rPr>
            </w:pPr>
          </w:p>
          <w:p w:rsidR="007B162D" w:rsidRDefault="007B162D" w:rsidP="004F49B9">
            <w:pPr>
              <w:jc w:val="both"/>
              <w:rPr>
                <w:bCs/>
                <w:sz w:val="22"/>
                <w:szCs w:val="22"/>
              </w:rPr>
            </w:pPr>
          </w:p>
          <w:p w:rsidR="002C2BCB" w:rsidRPr="001942BC" w:rsidRDefault="002C2BCB" w:rsidP="004F49B9">
            <w:pPr>
              <w:jc w:val="both"/>
              <w:rPr>
                <w:bCs/>
                <w:sz w:val="22"/>
                <w:szCs w:val="22"/>
              </w:rPr>
            </w:pPr>
          </w:p>
          <w:p w:rsidR="001942BC" w:rsidRDefault="001942BC" w:rsidP="00EC6DB5">
            <w:pPr>
              <w:spacing w:before="120"/>
              <w:jc w:val="both"/>
              <w:rPr>
                <w:bCs/>
                <w:sz w:val="22"/>
                <w:szCs w:val="22"/>
              </w:rPr>
            </w:pPr>
            <w:r w:rsidRPr="001942BC">
              <w:rPr>
                <w:b/>
                <w:bCs/>
                <w:sz w:val="22"/>
                <w:szCs w:val="22"/>
              </w:rPr>
              <w:t>6.</w:t>
            </w:r>
            <w:r w:rsidRPr="001942BC">
              <w:rPr>
                <w:bCs/>
                <w:sz w:val="22"/>
                <w:szCs w:val="22"/>
              </w:rPr>
              <w:t> Požadujeme u bodu A.1.2 uvést, zda lze dosáhnout rekvalifikací či školením požadované vysoké kvalifikace (pro oblast VaVaI). Bude muset podnik předložit nějaký souhrnný program s obsahem rekvalifikačních kurzů či školení (profil absolventa) a počítá se například se spoluprací s akademickým prostředím?</w:t>
            </w:r>
          </w:p>
          <w:p w:rsidR="00023A56" w:rsidRDefault="00023A56" w:rsidP="002C2BCB">
            <w:pPr>
              <w:jc w:val="both"/>
              <w:rPr>
                <w:bCs/>
                <w:sz w:val="22"/>
                <w:szCs w:val="22"/>
              </w:rPr>
            </w:pPr>
          </w:p>
          <w:p w:rsidR="002C2BCB" w:rsidRDefault="002C2BCB" w:rsidP="002C2BCB">
            <w:pPr>
              <w:jc w:val="both"/>
              <w:rPr>
                <w:bCs/>
                <w:sz w:val="22"/>
                <w:szCs w:val="22"/>
              </w:rPr>
            </w:pPr>
          </w:p>
          <w:p w:rsidR="008E6485" w:rsidRDefault="008E6485" w:rsidP="00EC6DB5">
            <w:pPr>
              <w:spacing w:before="120"/>
              <w:jc w:val="both"/>
              <w:rPr>
                <w:b/>
                <w:bCs/>
                <w:sz w:val="22"/>
                <w:szCs w:val="22"/>
              </w:rPr>
            </w:pPr>
          </w:p>
          <w:p w:rsidR="008E6485" w:rsidRDefault="008E6485" w:rsidP="00EC6DB5">
            <w:pPr>
              <w:spacing w:before="120"/>
              <w:jc w:val="both"/>
              <w:rPr>
                <w:b/>
                <w:bCs/>
                <w:sz w:val="22"/>
                <w:szCs w:val="22"/>
              </w:rPr>
            </w:pPr>
          </w:p>
          <w:p w:rsidR="008E6485" w:rsidRDefault="008E6485" w:rsidP="00EC6DB5">
            <w:pPr>
              <w:spacing w:before="120"/>
              <w:jc w:val="both"/>
              <w:rPr>
                <w:b/>
                <w:bCs/>
                <w:sz w:val="22"/>
                <w:szCs w:val="22"/>
              </w:rPr>
            </w:pPr>
          </w:p>
          <w:p w:rsidR="001942BC" w:rsidRDefault="001942BC" w:rsidP="00EC6DB5">
            <w:pPr>
              <w:spacing w:before="120"/>
              <w:jc w:val="both"/>
              <w:rPr>
                <w:bCs/>
                <w:sz w:val="22"/>
                <w:szCs w:val="22"/>
              </w:rPr>
            </w:pPr>
            <w:r w:rsidRPr="001942BC">
              <w:rPr>
                <w:b/>
                <w:bCs/>
                <w:sz w:val="22"/>
                <w:szCs w:val="22"/>
              </w:rPr>
              <w:t>7.</w:t>
            </w:r>
            <w:r w:rsidRPr="001942BC">
              <w:rPr>
                <w:bCs/>
                <w:sz w:val="22"/>
                <w:szCs w:val="22"/>
              </w:rPr>
              <w:t> Požadujeme v bodě A.2 jednoznačně ošetřit tvorbu nových pracovních míst, aby nedocházelo pouze k</w:t>
            </w:r>
            <w:r w:rsidR="0030137B">
              <w:rPr>
                <w:bCs/>
                <w:sz w:val="22"/>
                <w:szCs w:val="22"/>
              </w:rPr>
              <w:t> </w:t>
            </w:r>
            <w:r w:rsidRPr="001942BC">
              <w:rPr>
                <w:bCs/>
                <w:sz w:val="22"/>
                <w:szCs w:val="22"/>
              </w:rPr>
              <w:t>podpoře přelivu pracovníků mezi jednotlivými provozy jedné firmy (podpořená firma může mít v jedné lokalitě více provozoven).</w:t>
            </w:r>
          </w:p>
          <w:p w:rsidR="007D67B1" w:rsidRDefault="007D67B1" w:rsidP="002C6116">
            <w:pPr>
              <w:jc w:val="both"/>
              <w:rPr>
                <w:bCs/>
                <w:sz w:val="22"/>
                <w:szCs w:val="22"/>
              </w:rPr>
            </w:pPr>
          </w:p>
          <w:p w:rsidR="007D67B1" w:rsidRDefault="007D67B1" w:rsidP="002C6116">
            <w:pPr>
              <w:jc w:val="both"/>
              <w:rPr>
                <w:bCs/>
                <w:sz w:val="22"/>
                <w:szCs w:val="22"/>
              </w:rPr>
            </w:pPr>
          </w:p>
          <w:p w:rsidR="007D67B1" w:rsidRDefault="007D67B1" w:rsidP="002C6116">
            <w:pPr>
              <w:jc w:val="both"/>
              <w:rPr>
                <w:bCs/>
                <w:sz w:val="22"/>
                <w:szCs w:val="22"/>
              </w:rPr>
            </w:pPr>
          </w:p>
          <w:p w:rsidR="007D67B1" w:rsidRDefault="007D67B1" w:rsidP="002C6116">
            <w:pPr>
              <w:jc w:val="both"/>
              <w:rPr>
                <w:bCs/>
                <w:sz w:val="22"/>
                <w:szCs w:val="22"/>
              </w:rPr>
            </w:pPr>
          </w:p>
          <w:p w:rsidR="00763B99" w:rsidRDefault="00763B99" w:rsidP="002C6116">
            <w:pPr>
              <w:jc w:val="both"/>
              <w:rPr>
                <w:bCs/>
                <w:sz w:val="22"/>
                <w:szCs w:val="22"/>
              </w:rPr>
            </w:pPr>
          </w:p>
          <w:p w:rsidR="00637BB6" w:rsidRDefault="00637BB6" w:rsidP="002C6116">
            <w:pPr>
              <w:jc w:val="both"/>
              <w:rPr>
                <w:bCs/>
                <w:sz w:val="22"/>
                <w:szCs w:val="22"/>
              </w:rPr>
            </w:pPr>
          </w:p>
          <w:p w:rsidR="00637BB6" w:rsidRDefault="00637BB6" w:rsidP="002C6116">
            <w:pPr>
              <w:jc w:val="both"/>
              <w:rPr>
                <w:bCs/>
                <w:sz w:val="22"/>
                <w:szCs w:val="22"/>
              </w:rPr>
            </w:pPr>
          </w:p>
          <w:p w:rsidR="002C6116" w:rsidRDefault="002C6116" w:rsidP="002C6116">
            <w:pPr>
              <w:jc w:val="both"/>
              <w:rPr>
                <w:bCs/>
                <w:sz w:val="22"/>
                <w:szCs w:val="22"/>
              </w:rPr>
            </w:pPr>
          </w:p>
          <w:p w:rsidR="002C6116" w:rsidRDefault="002C6116" w:rsidP="002C6116">
            <w:pPr>
              <w:jc w:val="both"/>
              <w:rPr>
                <w:bCs/>
                <w:sz w:val="22"/>
                <w:szCs w:val="22"/>
              </w:rPr>
            </w:pPr>
          </w:p>
          <w:p w:rsidR="002C6116" w:rsidRDefault="002C6116" w:rsidP="002C6116">
            <w:pPr>
              <w:jc w:val="both"/>
              <w:rPr>
                <w:bCs/>
                <w:sz w:val="22"/>
                <w:szCs w:val="22"/>
              </w:rPr>
            </w:pPr>
          </w:p>
          <w:p w:rsidR="000255AB" w:rsidRDefault="000255AB" w:rsidP="002C6116">
            <w:pPr>
              <w:jc w:val="both"/>
              <w:rPr>
                <w:bCs/>
                <w:sz w:val="22"/>
                <w:szCs w:val="22"/>
              </w:rPr>
            </w:pPr>
          </w:p>
          <w:p w:rsidR="008E6485" w:rsidRDefault="008E6485" w:rsidP="000255AB">
            <w:pPr>
              <w:jc w:val="both"/>
              <w:rPr>
                <w:b/>
                <w:bCs/>
                <w:sz w:val="22"/>
                <w:szCs w:val="22"/>
              </w:rPr>
            </w:pPr>
          </w:p>
          <w:p w:rsidR="001942BC" w:rsidRPr="001942BC" w:rsidRDefault="001942BC" w:rsidP="000255AB">
            <w:pPr>
              <w:jc w:val="both"/>
              <w:rPr>
                <w:bCs/>
                <w:sz w:val="22"/>
                <w:szCs w:val="22"/>
              </w:rPr>
            </w:pPr>
            <w:r w:rsidRPr="001942BC">
              <w:rPr>
                <w:b/>
                <w:bCs/>
                <w:sz w:val="22"/>
                <w:szCs w:val="22"/>
              </w:rPr>
              <w:t>8.</w:t>
            </w:r>
            <w:r w:rsidRPr="001942BC">
              <w:rPr>
                <w:bCs/>
                <w:sz w:val="22"/>
                <w:szCs w:val="22"/>
              </w:rPr>
              <w:t> Požadujeme identifikovat oblasti (obory, odvětví, typy aktivit), na které se investiční pobídky prioritně zaměří.</w:t>
            </w:r>
          </w:p>
          <w:p w:rsidR="001942BC" w:rsidRPr="001942BC" w:rsidRDefault="001942BC" w:rsidP="001942BC">
            <w:pPr>
              <w:jc w:val="both"/>
              <w:rPr>
                <w:bCs/>
                <w:sz w:val="22"/>
                <w:szCs w:val="22"/>
                <w:u w:val="single"/>
              </w:rPr>
            </w:pPr>
            <w:r w:rsidRPr="001942BC">
              <w:rPr>
                <w:bCs/>
                <w:sz w:val="22"/>
                <w:szCs w:val="22"/>
                <w:u w:val="single"/>
              </w:rPr>
              <w:t>Odůvodnění:</w:t>
            </w:r>
          </w:p>
          <w:p w:rsidR="001942BC" w:rsidRDefault="001942BC" w:rsidP="001942BC">
            <w:pPr>
              <w:jc w:val="both"/>
              <w:rPr>
                <w:bCs/>
                <w:sz w:val="22"/>
                <w:szCs w:val="22"/>
              </w:rPr>
            </w:pPr>
            <w:r w:rsidRPr="001942BC">
              <w:rPr>
                <w:bCs/>
                <w:sz w:val="22"/>
                <w:szCs w:val="22"/>
              </w:rPr>
              <w:t xml:space="preserve">Informaci na str. 8 o tom, že se nepodařilo nalézt vhodné kritérium a indikátory pro investiční pobídky (hrubá přidaná hodnota apod.), nepovažujeme za uspokojivou. Při tematickém vymezení by opět mělo dojít i ke sladění s Národní politikou VaVaI, respektive s Národní RIS3 strategií. Kritérium nastavení minimální mzdy zaměstnanců ve výrobě, příp. podmínky vyššího vzdělání považujeme pouze za technické opatření, které umožní efektivní dělení benefitů mezi podnik (zisk) a zaměstnance (mzdy), nikoliv za hlavní kritérium pro </w:t>
            </w:r>
            <w:r w:rsidRPr="001942BC">
              <w:rPr>
                <w:bCs/>
                <w:sz w:val="22"/>
                <w:szCs w:val="22"/>
              </w:rPr>
              <w:lastRenderedPageBreak/>
              <w:t>posouzení způsobilosti projektu získat investiční pobídku.</w:t>
            </w:r>
          </w:p>
          <w:p w:rsidR="001E2242" w:rsidRDefault="001E2242" w:rsidP="001942BC">
            <w:pPr>
              <w:jc w:val="both"/>
              <w:rPr>
                <w:bCs/>
                <w:sz w:val="22"/>
                <w:szCs w:val="22"/>
              </w:rPr>
            </w:pPr>
          </w:p>
          <w:p w:rsidR="001E2242" w:rsidRDefault="001E2242" w:rsidP="001942BC">
            <w:pPr>
              <w:jc w:val="both"/>
              <w:rPr>
                <w:bCs/>
                <w:sz w:val="22"/>
                <w:szCs w:val="22"/>
              </w:rPr>
            </w:pPr>
          </w:p>
          <w:p w:rsidR="001E2242" w:rsidRDefault="001E2242" w:rsidP="001942BC">
            <w:pPr>
              <w:jc w:val="both"/>
              <w:rPr>
                <w:bCs/>
                <w:sz w:val="22"/>
                <w:szCs w:val="22"/>
              </w:rPr>
            </w:pPr>
          </w:p>
          <w:p w:rsidR="001E2242" w:rsidRDefault="001E2242" w:rsidP="001942BC">
            <w:pPr>
              <w:jc w:val="both"/>
              <w:rPr>
                <w:bCs/>
                <w:sz w:val="22"/>
                <w:szCs w:val="22"/>
              </w:rPr>
            </w:pPr>
          </w:p>
          <w:p w:rsidR="001E2242" w:rsidRDefault="001E2242" w:rsidP="001942BC">
            <w:pPr>
              <w:jc w:val="both"/>
              <w:rPr>
                <w:bCs/>
                <w:sz w:val="22"/>
                <w:szCs w:val="22"/>
              </w:rPr>
            </w:pPr>
          </w:p>
          <w:p w:rsidR="001E2242" w:rsidRDefault="001E2242" w:rsidP="001942BC">
            <w:pPr>
              <w:jc w:val="both"/>
              <w:rPr>
                <w:bCs/>
                <w:sz w:val="22"/>
                <w:szCs w:val="22"/>
              </w:rPr>
            </w:pPr>
          </w:p>
          <w:p w:rsidR="001E2242" w:rsidRDefault="001E2242" w:rsidP="001942BC">
            <w:pPr>
              <w:jc w:val="both"/>
              <w:rPr>
                <w:bCs/>
                <w:sz w:val="22"/>
                <w:szCs w:val="22"/>
              </w:rPr>
            </w:pPr>
          </w:p>
          <w:p w:rsidR="001E2242" w:rsidRDefault="001E2242" w:rsidP="001942BC">
            <w:pPr>
              <w:jc w:val="both"/>
              <w:rPr>
                <w:bCs/>
                <w:sz w:val="22"/>
                <w:szCs w:val="22"/>
              </w:rPr>
            </w:pPr>
          </w:p>
          <w:p w:rsidR="00637BB6" w:rsidRDefault="00637BB6" w:rsidP="001942BC">
            <w:pPr>
              <w:jc w:val="both"/>
              <w:rPr>
                <w:bCs/>
                <w:sz w:val="22"/>
                <w:szCs w:val="22"/>
              </w:rPr>
            </w:pPr>
          </w:p>
          <w:p w:rsidR="008E6485" w:rsidRDefault="008E6485" w:rsidP="00637BB6">
            <w:pPr>
              <w:jc w:val="both"/>
              <w:rPr>
                <w:b/>
                <w:bCs/>
                <w:sz w:val="22"/>
                <w:szCs w:val="22"/>
              </w:rPr>
            </w:pPr>
          </w:p>
          <w:p w:rsidR="008E6485" w:rsidRDefault="008E6485" w:rsidP="00637BB6">
            <w:pPr>
              <w:jc w:val="both"/>
              <w:rPr>
                <w:b/>
                <w:bCs/>
                <w:sz w:val="22"/>
                <w:szCs w:val="22"/>
              </w:rPr>
            </w:pPr>
          </w:p>
          <w:p w:rsidR="008E6485" w:rsidRDefault="008E6485" w:rsidP="00637BB6">
            <w:pPr>
              <w:jc w:val="both"/>
              <w:rPr>
                <w:b/>
                <w:bCs/>
                <w:sz w:val="22"/>
                <w:szCs w:val="22"/>
              </w:rPr>
            </w:pPr>
          </w:p>
          <w:p w:rsidR="001E2242" w:rsidRPr="001942BC" w:rsidRDefault="001942BC" w:rsidP="00637BB6">
            <w:pPr>
              <w:jc w:val="both"/>
              <w:rPr>
                <w:bCs/>
                <w:sz w:val="22"/>
                <w:szCs w:val="22"/>
              </w:rPr>
            </w:pPr>
            <w:r w:rsidRPr="001942BC">
              <w:rPr>
                <w:b/>
                <w:bCs/>
                <w:sz w:val="22"/>
                <w:szCs w:val="22"/>
              </w:rPr>
              <w:t>9.</w:t>
            </w:r>
            <w:r w:rsidRPr="001942BC">
              <w:rPr>
                <w:bCs/>
                <w:sz w:val="22"/>
                <w:szCs w:val="22"/>
              </w:rPr>
              <w:t> Požadujeme v bodě B.1 průměrnou mzdu zvýšit ze 70 na 80 % a doplnit, že se má jednat o pracovníky přímo ve výrobě.</w:t>
            </w:r>
          </w:p>
          <w:p w:rsidR="008E6485" w:rsidRDefault="008E6485" w:rsidP="00EC6DB5">
            <w:pPr>
              <w:spacing w:before="120"/>
              <w:jc w:val="both"/>
              <w:rPr>
                <w:b/>
                <w:bCs/>
                <w:sz w:val="22"/>
                <w:szCs w:val="22"/>
              </w:rPr>
            </w:pPr>
          </w:p>
          <w:p w:rsidR="001942BC" w:rsidRPr="001942BC" w:rsidRDefault="001942BC" w:rsidP="00EC6DB5">
            <w:pPr>
              <w:spacing w:before="120"/>
              <w:jc w:val="both"/>
              <w:rPr>
                <w:bCs/>
                <w:sz w:val="22"/>
                <w:szCs w:val="22"/>
              </w:rPr>
            </w:pPr>
            <w:r w:rsidRPr="001942BC">
              <w:rPr>
                <w:b/>
                <w:bCs/>
                <w:sz w:val="22"/>
                <w:szCs w:val="22"/>
              </w:rPr>
              <w:t>10.</w:t>
            </w:r>
            <w:r w:rsidRPr="001942BC">
              <w:rPr>
                <w:bCs/>
                <w:sz w:val="22"/>
                <w:szCs w:val="22"/>
              </w:rPr>
              <w:t> Požadujeme v bodě B.2 stanovit, že reinvestice části zisku bude podmínkou nutnou k přidělení investiční pobídky. V této souvislosti dále doporučujeme zvážit zvýhodnění/bonus u firem, které reinvestují svůj zisk zejména do oblasti VaVaI.</w:t>
            </w:r>
          </w:p>
          <w:p w:rsidR="001942BC" w:rsidRPr="001942BC" w:rsidRDefault="001942BC" w:rsidP="001942BC">
            <w:pPr>
              <w:jc w:val="both"/>
              <w:rPr>
                <w:bCs/>
                <w:sz w:val="22"/>
                <w:szCs w:val="22"/>
                <w:u w:val="single"/>
              </w:rPr>
            </w:pPr>
            <w:r w:rsidRPr="001942BC">
              <w:rPr>
                <w:bCs/>
                <w:sz w:val="22"/>
                <w:szCs w:val="22"/>
                <w:u w:val="single"/>
              </w:rPr>
              <w:t>Odůvodnění:</w:t>
            </w:r>
          </w:p>
          <w:p w:rsidR="001942BC" w:rsidRPr="001942BC" w:rsidRDefault="001942BC" w:rsidP="001942BC">
            <w:pPr>
              <w:jc w:val="both"/>
              <w:rPr>
                <w:bCs/>
                <w:sz w:val="22"/>
                <w:szCs w:val="22"/>
              </w:rPr>
            </w:pPr>
            <w:r w:rsidRPr="001942BC">
              <w:rPr>
                <w:bCs/>
                <w:sz w:val="22"/>
                <w:szCs w:val="22"/>
              </w:rPr>
              <w:t>Minimální proporce reinvestic by mohla být odvětvově/oborově odlišena s ohledem na prioritizaci zájmu o investice (přidaná hodnota, postavení v</w:t>
            </w:r>
            <w:r w:rsidR="0030137B">
              <w:rPr>
                <w:bCs/>
                <w:sz w:val="22"/>
                <w:szCs w:val="22"/>
              </w:rPr>
              <w:t> </w:t>
            </w:r>
            <w:r w:rsidRPr="001942BC">
              <w:rPr>
                <w:bCs/>
                <w:sz w:val="22"/>
                <w:szCs w:val="22"/>
              </w:rPr>
              <w:t>hodnotovém řetězci apod.), respektive s ohledem na preference Národní RIS3 strategie. Domníváme se, že podobně by bylo možné uvažovat i o úpravě pravidel podpory ve strukturálně postižených oblastech.</w:t>
            </w:r>
          </w:p>
          <w:p w:rsidR="008E6485" w:rsidRDefault="008E6485" w:rsidP="00EC6DB5">
            <w:pPr>
              <w:spacing w:before="120"/>
              <w:jc w:val="both"/>
              <w:rPr>
                <w:b/>
                <w:bCs/>
                <w:sz w:val="22"/>
                <w:szCs w:val="22"/>
              </w:rPr>
            </w:pPr>
          </w:p>
          <w:p w:rsidR="001942BC" w:rsidRDefault="001942BC" w:rsidP="00EC6DB5">
            <w:pPr>
              <w:spacing w:before="120"/>
              <w:jc w:val="both"/>
              <w:rPr>
                <w:bCs/>
                <w:sz w:val="22"/>
                <w:szCs w:val="22"/>
              </w:rPr>
            </w:pPr>
            <w:r w:rsidRPr="001942BC">
              <w:rPr>
                <w:b/>
                <w:bCs/>
                <w:sz w:val="22"/>
                <w:szCs w:val="22"/>
              </w:rPr>
              <w:t>11.</w:t>
            </w:r>
            <w:r w:rsidRPr="001942BC">
              <w:rPr>
                <w:bCs/>
                <w:sz w:val="22"/>
                <w:szCs w:val="22"/>
              </w:rPr>
              <w:t> Požadujme v bodě B.3 u kvantitativní analýzy upřesnit její jednotlivé položky a doporučujeme zvážit, zda by nebylo možné vytvořit/využít jednotnou metodiku.</w:t>
            </w:r>
          </w:p>
          <w:p w:rsidR="00261CA5" w:rsidRPr="001942BC" w:rsidRDefault="00261CA5" w:rsidP="00261CA5">
            <w:pPr>
              <w:jc w:val="both"/>
              <w:rPr>
                <w:bCs/>
                <w:sz w:val="22"/>
                <w:szCs w:val="22"/>
              </w:rPr>
            </w:pPr>
          </w:p>
          <w:p w:rsidR="001942BC" w:rsidRDefault="001942BC" w:rsidP="004C248E">
            <w:pPr>
              <w:spacing w:before="120"/>
              <w:jc w:val="both"/>
              <w:rPr>
                <w:bCs/>
                <w:sz w:val="22"/>
                <w:szCs w:val="22"/>
              </w:rPr>
            </w:pPr>
            <w:r w:rsidRPr="001942BC">
              <w:rPr>
                <w:b/>
                <w:bCs/>
                <w:sz w:val="22"/>
                <w:szCs w:val="22"/>
              </w:rPr>
              <w:lastRenderedPageBreak/>
              <w:t>12.</w:t>
            </w:r>
            <w:r w:rsidRPr="001942BC">
              <w:rPr>
                <w:bCs/>
                <w:sz w:val="22"/>
                <w:szCs w:val="22"/>
              </w:rPr>
              <w:t> Nesouhlasíme s plošným odstraněním podmínky zaměstnávat pracovníky pouze na plný úvazek. Navrhujeme zavést procentuální omezení podílů částečných úvazků (např. max. 20 %).</w:t>
            </w:r>
          </w:p>
          <w:p w:rsidR="004C248E" w:rsidRDefault="004C248E" w:rsidP="004C248E">
            <w:pPr>
              <w:jc w:val="both"/>
              <w:rPr>
                <w:bCs/>
                <w:sz w:val="22"/>
                <w:szCs w:val="22"/>
              </w:rPr>
            </w:pPr>
          </w:p>
          <w:p w:rsidR="004C248E" w:rsidRDefault="004C248E" w:rsidP="004C248E">
            <w:pPr>
              <w:jc w:val="both"/>
              <w:rPr>
                <w:bCs/>
                <w:sz w:val="22"/>
                <w:szCs w:val="22"/>
              </w:rPr>
            </w:pPr>
          </w:p>
          <w:p w:rsidR="008E6485" w:rsidRDefault="008E6485" w:rsidP="00EC6DB5">
            <w:pPr>
              <w:spacing w:before="120"/>
              <w:jc w:val="both"/>
              <w:rPr>
                <w:b/>
                <w:bCs/>
                <w:sz w:val="22"/>
                <w:szCs w:val="22"/>
              </w:rPr>
            </w:pPr>
          </w:p>
          <w:p w:rsidR="001942BC" w:rsidRPr="008E6485" w:rsidRDefault="001942BC" w:rsidP="00EC6DB5">
            <w:pPr>
              <w:spacing w:before="120"/>
              <w:jc w:val="both"/>
              <w:rPr>
                <w:b/>
                <w:bCs/>
                <w:sz w:val="22"/>
                <w:szCs w:val="22"/>
              </w:rPr>
            </w:pPr>
            <w:r w:rsidRPr="001942BC">
              <w:rPr>
                <w:b/>
                <w:bCs/>
                <w:sz w:val="22"/>
                <w:szCs w:val="22"/>
              </w:rPr>
              <w:t>13.</w:t>
            </w:r>
            <w:r w:rsidRPr="001942BC">
              <w:rPr>
                <w:bCs/>
                <w:sz w:val="22"/>
                <w:szCs w:val="22"/>
              </w:rPr>
              <w:t> V oblasti VaVaI nepovažujeme za účelné přednostně podporovat hospodářsky problémové regiony a regiony s</w:t>
            </w:r>
            <w:r w:rsidR="0030137B">
              <w:rPr>
                <w:bCs/>
                <w:sz w:val="22"/>
                <w:szCs w:val="22"/>
              </w:rPr>
              <w:t> </w:t>
            </w:r>
            <w:r w:rsidRPr="001942BC">
              <w:rPr>
                <w:bCs/>
                <w:sz w:val="22"/>
                <w:szCs w:val="22"/>
              </w:rPr>
              <w:t>vysokou mírou nezaměstnanosti. Kritéria podpory v této oblasti nemohou být nastavena na takovémto principu.</w:t>
            </w:r>
          </w:p>
          <w:p w:rsidR="001942BC" w:rsidRDefault="001942BC" w:rsidP="00E92E6A">
            <w:pPr>
              <w:jc w:val="both"/>
              <w:rPr>
                <w:bCs/>
                <w:sz w:val="22"/>
                <w:szCs w:val="22"/>
              </w:rPr>
            </w:pPr>
          </w:p>
          <w:p w:rsidR="006E0BAB" w:rsidRPr="005A5A03" w:rsidRDefault="006E0BAB" w:rsidP="00EC6DB5">
            <w:pPr>
              <w:spacing w:before="120"/>
              <w:jc w:val="both"/>
              <w:rPr>
                <w:bCs/>
                <w:sz w:val="22"/>
                <w:szCs w:val="22"/>
              </w:rPr>
            </w:pPr>
          </w:p>
        </w:tc>
        <w:tc>
          <w:tcPr>
            <w:tcW w:w="6536" w:type="dxa"/>
            <w:tcBorders>
              <w:left w:val="single" w:sz="4" w:space="0" w:color="auto"/>
              <w:right w:val="single" w:sz="4" w:space="0" w:color="auto"/>
            </w:tcBorders>
            <w:shd w:val="clear" w:color="auto" w:fill="auto"/>
          </w:tcPr>
          <w:p w:rsidR="00146481" w:rsidRDefault="00146481" w:rsidP="00E92E6A">
            <w:pPr>
              <w:rPr>
                <w:b/>
                <w:bCs/>
                <w:sz w:val="22"/>
                <w:szCs w:val="22"/>
              </w:rPr>
            </w:pPr>
          </w:p>
          <w:p w:rsidR="00BF2D23" w:rsidRPr="00252298" w:rsidRDefault="00252298" w:rsidP="00637BB6">
            <w:pPr>
              <w:spacing w:before="120"/>
              <w:rPr>
                <w:b/>
                <w:bCs/>
                <w:sz w:val="22"/>
                <w:szCs w:val="22"/>
              </w:rPr>
            </w:pPr>
            <w:r w:rsidRPr="00252298">
              <w:rPr>
                <w:b/>
                <w:bCs/>
                <w:sz w:val="22"/>
                <w:szCs w:val="22"/>
              </w:rPr>
              <w:t>Vysvětleno.</w:t>
            </w:r>
          </w:p>
          <w:p w:rsidR="000A4CBA" w:rsidRDefault="00252298" w:rsidP="00E92E6A">
            <w:pPr>
              <w:rPr>
                <w:bCs/>
                <w:sz w:val="22"/>
                <w:szCs w:val="22"/>
              </w:rPr>
            </w:pPr>
            <w:r>
              <w:rPr>
                <w:bCs/>
                <w:sz w:val="22"/>
                <w:szCs w:val="22"/>
              </w:rPr>
              <w:t>Investiční pobídky nejsou podporou poskytovanou podle zákona č. 130/2002 Sb.,</w:t>
            </w:r>
            <w:r w:rsidR="000A4CBA">
              <w:rPr>
                <w:bCs/>
                <w:sz w:val="22"/>
                <w:szCs w:val="22"/>
              </w:rPr>
              <w:t xml:space="preserve"> ale podle zákona č. 72/2000 Sb. Jejich</w:t>
            </w:r>
            <w:r>
              <w:rPr>
                <w:bCs/>
                <w:sz w:val="22"/>
                <w:szCs w:val="22"/>
              </w:rPr>
              <w:t xml:space="preserve"> hlavním cílem </w:t>
            </w:r>
            <w:r w:rsidR="000A4CBA">
              <w:rPr>
                <w:bCs/>
                <w:sz w:val="22"/>
                <w:szCs w:val="22"/>
              </w:rPr>
              <w:t xml:space="preserve">tedy </w:t>
            </w:r>
            <w:r>
              <w:rPr>
                <w:bCs/>
                <w:sz w:val="22"/>
                <w:szCs w:val="22"/>
              </w:rPr>
              <w:t xml:space="preserve">není podpora výzkumu a vývoje, nýbrž </w:t>
            </w:r>
            <w:r w:rsidR="000A4CBA">
              <w:rPr>
                <w:bCs/>
                <w:sz w:val="22"/>
                <w:szCs w:val="22"/>
              </w:rPr>
              <w:t>zvýšit motivaci</w:t>
            </w:r>
            <w:r>
              <w:rPr>
                <w:bCs/>
                <w:sz w:val="22"/>
                <w:szCs w:val="22"/>
              </w:rPr>
              <w:t xml:space="preserve"> firem k realizaci investičních záměrů</w:t>
            </w:r>
            <w:r w:rsidR="000A4CBA">
              <w:rPr>
                <w:bCs/>
                <w:sz w:val="22"/>
                <w:szCs w:val="22"/>
              </w:rPr>
              <w:t xml:space="preserve"> na území ČR a tím podpořit hospodářský rozvoj a vytváření nových pracovních míst.</w:t>
            </w:r>
          </w:p>
          <w:p w:rsidR="000A4CBA" w:rsidRDefault="000A4CBA" w:rsidP="00E92E6A">
            <w:pPr>
              <w:rPr>
                <w:bCs/>
                <w:sz w:val="22"/>
                <w:szCs w:val="22"/>
              </w:rPr>
            </w:pPr>
            <w:r>
              <w:rPr>
                <w:bCs/>
                <w:sz w:val="22"/>
                <w:szCs w:val="22"/>
              </w:rPr>
              <w:t>Zaměření firem na výzkum a vývoj je použito pouze jako druhotné selektivní kritérium, které má napomoci identifikovat typy výrobních investic, jejichž umístění na území ČR je žádoucí podporovat.</w:t>
            </w:r>
          </w:p>
          <w:p w:rsidR="00023D08" w:rsidRDefault="00023D08" w:rsidP="00023D08">
            <w:pPr>
              <w:rPr>
                <w:bCs/>
                <w:sz w:val="22"/>
                <w:szCs w:val="22"/>
              </w:rPr>
            </w:pPr>
            <w:r>
              <w:rPr>
                <w:bCs/>
                <w:sz w:val="22"/>
                <w:szCs w:val="22"/>
              </w:rPr>
              <w:t>Cílem je stávající výrobní aktivity firem přeorientovat a firmy motivovat k postupnému přechodu na pokročilejší výrobu – tzn. stále se jedná o podporu výrobních programů společností, ovšem s návazností právě na jejich aktivity VaV (soukromé výdaje na VaV) tak, aby dlouhodobě nedocházelo k tlaku na jejich přesun do méně rozvinutých ekonomik s tím, jak postupně bude česká ekonomika konvergovat k vyspělým státům EU.</w:t>
            </w:r>
          </w:p>
          <w:p w:rsidR="008E6485" w:rsidRDefault="008E6485" w:rsidP="00D40D63">
            <w:pPr>
              <w:spacing w:before="120"/>
              <w:rPr>
                <w:b/>
                <w:bCs/>
                <w:sz w:val="22"/>
                <w:szCs w:val="22"/>
              </w:rPr>
            </w:pPr>
          </w:p>
          <w:p w:rsidR="008E6485" w:rsidRDefault="008E6485" w:rsidP="00D40D63">
            <w:pPr>
              <w:spacing w:before="120"/>
              <w:rPr>
                <w:b/>
                <w:bCs/>
                <w:sz w:val="22"/>
                <w:szCs w:val="22"/>
              </w:rPr>
            </w:pPr>
          </w:p>
          <w:p w:rsidR="008E6485" w:rsidRDefault="008E6485" w:rsidP="00D40D63">
            <w:pPr>
              <w:spacing w:before="120"/>
              <w:rPr>
                <w:b/>
                <w:bCs/>
                <w:sz w:val="22"/>
                <w:szCs w:val="22"/>
              </w:rPr>
            </w:pPr>
          </w:p>
          <w:p w:rsidR="00AC683B" w:rsidRDefault="00AC683B" w:rsidP="00D40D63">
            <w:pPr>
              <w:spacing w:before="120"/>
              <w:rPr>
                <w:bCs/>
                <w:sz w:val="22"/>
                <w:szCs w:val="22"/>
              </w:rPr>
            </w:pPr>
            <w:r w:rsidRPr="00AC683B">
              <w:rPr>
                <w:b/>
                <w:bCs/>
                <w:sz w:val="22"/>
                <w:szCs w:val="22"/>
              </w:rPr>
              <w:t>Vysvětleno</w:t>
            </w:r>
            <w:r>
              <w:rPr>
                <w:bCs/>
                <w:sz w:val="22"/>
                <w:szCs w:val="22"/>
              </w:rPr>
              <w:t>.</w:t>
            </w:r>
          </w:p>
          <w:p w:rsidR="00146481" w:rsidRDefault="00AC683B" w:rsidP="00E92E6A">
            <w:pPr>
              <w:rPr>
                <w:bCs/>
                <w:sz w:val="22"/>
                <w:szCs w:val="22"/>
              </w:rPr>
            </w:pPr>
            <w:r>
              <w:rPr>
                <w:bCs/>
                <w:sz w:val="22"/>
                <w:szCs w:val="22"/>
              </w:rPr>
              <w:t xml:space="preserve">Předkládaný materiál je pouze stručnými tezemi, které by měli nastínit plánovaný směr přípravy novely zákona o investičních pobídkách. Cílem materiálu je informovat vládu o záměru změn v systému investičních pobídek </w:t>
            </w:r>
            <w:r w:rsidR="00D40D63">
              <w:rPr>
                <w:bCs/>
                <w:sz w:val="22"/>
                <w:szCs w:val="22"/>
              </w:rPr>
              <w:t>a</w:t>
            </w:r>
            <w:r w:rsidR="00D40D63" w:rsidRPr="00D40D63">
              <w:rPr>
                <w:bCs/>
                <w:sz w:val="22"/>
                <w:szCs w:val="22"/>
              </w:rPr>
              <w:t xml:space="preserve"> představit vize Ministerstva průmyslu a obchodu o budoucnosti systému pobídek po konzultacích s veřejností. </w:t>
            </w:r>
            <w:r>
              <w:rPr>
                <w:bCs/>
                <w:sz w:val="22"/>
                <w:szCs w:val="22"/>
              </w:rPr>
              <w:t>Před zpracováním vlastní novely zákona o investičních pobídkách bude zpracováno hodnocení dopadů regulace, v rámci kterého budou zváženy a vyhodnoceny jednotlivé varianty změn, včetně jejich dopadů.</w:t>
            </w:r>
          </w:p>
          <w:p w:rsidR="00AC683B" w:rsidRDefault="00AC683B" w:rsidP="00E92E6A">
            <w:pPr>
              <w:rPr>
                <w:bCs/>
                <w:sz w:val="22"/>
                <w:szCs w:val="22"/>
              </w:rPr>
            </w:pPr>
          </w:p>
          <w:p w:rsidR="00AC683B" w:rsidRDefault="00AC683B"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8E6485" w:rsidRDefault="008E6485" w:rsidP="00E92E6A">
            <w:pPr>
              <w:rPr>
                <w:bCs/>
                <w:sz w:val="22"/>
                <w:szCs w:val="22"/>
              </w:rPr>
            </w:pPr>
          </w:p>
          <w:p w:rsidR="00AC683B" w:rsidRPr="007366BB" w:rsidRDefault="00AC683B" w:rsidP="00D40D63">
            <w:pPr>
              <w:spacing w:before="120"/>
              <w:rPr>
                <w:b/>
                <w:bCs/>
                <w:sz w:val="22"/>
                <w:szCs w:val="22"/>
              </w:rPr>
            </w:pPr>
            <w:r w:rsidRPr="007366BB">
              <w:rPr>
                <w:b/>
                <w:bCs/>
                <w:sz w:val="22"/>
                <w:szCs w:val="22"/>
              </w:rPr>
              <w:t>Vysvětleno.</w:t>
            </w:r>
          </w:p>
          <w:p w:rsidR="00AC683B" w:rsidRDefault="00AC683B" w:rsidP="00E92E6A">
            <w:pPr>
              <w:rPr>
                <w:bCs/>
                <w:sz w:val="22"/>
                <w:szCs w:val="22"/>
              </w:rPr>
            </w:pPr>
            <w:r>
              <w:rPr>
                <w:bCs/>
                <w:sz w:val="22"/>
                <w:szCs w:val="22"/>
              </w:rPr>
              <w:t>Provázání investičních pobídek s politikou podpory výzkumu a vývoje je spíše nepřímé. Investiční pobídky jsou realizovány v oblasti zpracovatelského průmyslu a jeho navazujících aktivit. Pro nastavení podmínek podpory výroby se nejeví</w:t>
            </w:r>
            <w:r w:rsidR="007366BB">
              <w:rPr>
                <w:bCs/>
                <w:sz w:val="22"/>
                <w:szCs w:val="22"/>
              </w:rPr>
              <w:t xml:space="preserve"> Národní RIS3 strategie jako dostatečně uchopitelná, neboť</w:t>
            </w:r>
            <w:r w:rsidR="00CB1FBA">
              <w:rPr>
                <w:bCs/>
                <w:sz w:val="22"/>
                <w:szCs w:val="22"/>
              </w:rPr>
              <w:t xml:space="preserve"> je</w:t>
            </w:r>
            <w:r w:rsidR="007366BB">
              <w:rPr>
                <w:bCs/>
                <w:sz w:val="22"/>
                <w:szCs w:val="22"/>
              </w:rPr>
              <w:t xml:space="preserve"> směřována na podporu výzkumu a inovací, které jsou v pobídkách použity jako kritérium výběru, nikoli jako vlastní předmět podpory – viz vysvětlení k 1. připomínce</w:t>
            </w:r>
            <w:r w:rsidR="004B6C1F">
              <w:rPr>
                <w:bCs/>
                <w:sz w:val="22"/>
                <w:szCs w:val="22"/>
              </w:rPr>
              <w:t xml:space="preserve"> MMR</w:t>
            </w:r>
            <w:r w:rsidR="007366BB">
              <w:rPr>
                <w:bCs/>
                <w:sz w:val="22"/>
                <w:szCs w:val="22"/>
              </w:rPr>
              <w:t>.</w:t>
            </w:r>
          </w:p>
          <w:p w:rsidR="00AC683B" w:rsidRDefault="00AC683B"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4B6C1F" w:rsidRDefault="004B6C1F" w:rsidP="00E92E6A">
            <w:pPr>
              <w:rPr>
                <w:bCs/>
                <w:sz w:val="22"/>
                <w:szCs w:val="22"/>
              </w:rPr>
            </w:pPr>
          </w:p>
          <w:p w:rsidR="00E730E6" w:rsidRDefault="00E730E6" w:rsidP="00E92E6A">
            <w:pPr>
              <w:rPr>
                <w:bCs/>
                <w:sz w:val="22"/>
                <w:szCs w:val="22"/>
              </w:rPr>
            </w:pPr>
          </w:p>
          <w:p w:rsidR="00BB2B16" w:rsidRDefault="00BB2B16" w:rsidP="004B6C1F">
            <w:pPr>
              <w:spacing w:before="120"/>
              <w:rPr>
                <w:b/>
                <w:bCs/>
                <w:sz w:val="22"/>
                <w:szCs w:val="22"/>
              </w:rPr>
            </w:pPr>
          </w:p>
          <w:p w:rsidR="00BB2B16" w:rsidRDefault="00BB2B16" w:rsidP="004B6C1F">
            <w:pPr>
              <w:spacing w:before="120"/>
              <w:rPr>
                <w:b/>
                <w:bCs/>
                <w:sz w:val="22"/>
                <w:szCs w:val="22"/>
              </w:rPr>
            </w:pPr>
          </w:p>
          <w:p w:rsidR="008E6485" w:rsidRDefault="008E6485" w:rsidP="004B6C1F">
            <w:pPr>
              <w:spacing w:before="120"/>
              <w:rPr>
                <w:b/>
                <w:bCs/>
                <w:sz w:val="22"/>
                <w:szCs w:val="22"/>
              </w:rPr>
            </w:pPr>
          </w:p>
          <w:p w:rsidR="00E730E6" w:rsidRPr="001E2ED8" w:rsidRDefault="001E2ED8" w:rsidP="004B6C1F">
            <w:pPr>
              <w:spacing w:before="120"/>
              <w:rPr>
                <w:b/>
                <w:bCs/>
                <w:sz w:val="22"/>
                <w:szCs w:val="22"/>
              </w:rPr>
            </w:pPr>
            <w:r w:rsidRPr="001E2ED8">
              <w:rPr>
                <w:b/>
                <w:bCs/>
                <w:sz w:val="22"/>
                <w:szCs w:val="22"/>
              </w:rPr>
              <w:t>Akceptováno.</w:t>
            </w:r>
          </w:p>
          <w:p w:rsidR="001E2ED8" w:rsidRPr="00D16265" w:rsidRDefault="001E2ED8" w:rsidP="00E92E6A">
            <w:pPr>
              <w:rPr>
                <w:b/>
                <w:bCs/>
                <w:color w:val="FF0000"/>
                <w:sz w:val="22"/>
                <w:szCs w:val="22"/>
              </w:rPr>
            </w:pPr>
            <w:r>
              <w:rPr>
                <w:bCs/>
                <w:sz w:val="22"/>
                <w:szCs w:val="22"/>
              </w:rPr>
              <w:t>Zvažovaná opatření nebudou mít vliv na státní rozpočet pro oblast VaVaI. Tato informace bude do materiálu doplněna.</w:t>
            </w:r>
            <w:r w:rsidR="00D16265">
              <w:rPr>
                <w:bCs/>
                <w:sz w:val="22"/>
                <w:szCs w:val="22"/>
              </w:rPr>
              <w:t xml:space="preserve"> </w:t>
            </w:r>
          </w:p>
          <w:p w:rsidR="00BB2B16" w:rsidRDefault="00BB2B16" w:rsidP="00637BB6">
            <w:pPr>
              <w:rPr>
                <w:b/>
                <w:bCs/>
                <w:sz w:val="22"/>
                <w:szCs w:val="22"/>
              </w:rPr>
            </w:pPr>
          </w:p>
          <w:p w:rsidR="008E6485" w:rsidRDefault="008E6485" w:rsidP="00637BB6">
            <w:pPr>
              <w:rPr>
                <w:b/>
                <w:bCs/>
                <w:sz w:val="22"/>
                <w:szCs w:val="22"/>
              </w:rPr>
            </w:pPr>
          </w:p>
          <w:p w:rsidR="008E6485" w:rsidRDefault="008E6485" w:rsidP="00637BB6">
            <w:pPr>
              <w:rPr>
                <w:b/>
                <w:bCs/>
                <w:sz w:val="22"/>
                <w:szCs w:val="22"/>
              </w:rPr>
            </w:pPr>
          </w:p>
          <w:p w:rsidR="008E6485" w:rsidRDefault="008E6485" w:rsidP="00637BB6">
            <w:pPr>
              <w:rPr>
                <w:b/>
                <w:bCs/>
                <w:sz w:val="22"/>
                <w:szCs w:val="22"/>
              </w:rPr>
            </w:pPr>
          </w:p>
          <w:p w:rsidR="00E730E6" w:rsidRPr="00FC210C" w:rsidRDefault="00FC210C" w:rsidP="00637BB6">
            <w:pPr>
              <w:rPr>
                <w:b/>
                <w:bCs/>
                <w:sz w:val="22"/>
                <w:szCs w:val="22"/>
              </w:rPr>
            </w:pPr>
            <w:r w:rsidRPr="00FC210C">
              <w:rPr>
                <w:b/>
                <w:bCs/>
                <w:sz w:val="22"/>
                <w:szCs w:val="22"/>
              </w:rPr>
              <w:t>Vysvětleno.</w:t>
            </w:r>
          </w:p>
          <w:p w:rsidR="00FC210C" w:rsidRPr="00D16265" w:rsidRDefault="00FC210C" w:rsidP="00E92E6A">
            <w:pPr>
              <w:rPr>
                <w:bCs/>
                <w:color w:val="FF0000"/>
                <w:sz w:val="22"/>
                <w:szCs w:val="22"/>
              </w:rPr>
            </w:pPr>
            <w:r>
              <w:rPr>
                <w:bCs/>
                <w:sz w:val="22"/>
                <w:szCs w:val="22"/>
              </w:rPr>
              <w:t>Podpora formou subvence nákladů rekvalifikace a školení je již v systému investičních pobídek zavedena a není plánovaná změna ve způsobu jejího provádění. Tato podpora je spojena výlučně s potřebami podpořeného podniku a jeho investice. Vymezení hmotné podpory rekvalifikace a školení a podmínek jejího poskytnutí je zakotveno v § 111 zákona o zaměstnanosti a</w:t>
            </w:r>
            <w:r w:rsidR="006D306F">
              <w:rPr>
                <w:bCs/>
                <w:sz w:val="22"/>
                <w:szCs w:val="22"/>
              </w:rPr>
              <w:t> </w:t>
            </w:r>
            <w:r>
              <w:rPr>
                <w:bCs/>
                <w:sz w:val="22"/>
                <w:szCs w:val="22"/>
              </w:rPr>
              <w:t xml:space="preserve">v čl. 31 nařízení Komise (EU) č. 651/2014 (GBER). V rámci změn se pouze zvažuje rozšířit okruh jejích příjemců, neboť </w:t>
            </w:r>
            <w:r w:rsidR="006D306F">
              <w:rPr>
                <w:bCs/>
                <w:sz w:val="22"/>
                <w:szCs w:val="22"/>
              </w:rPr>
              <w:t>se jedná o dotační formu podpory</w:t>
            </w:r>
            <w:r>
              <w:rPr>
                <w:bCs/>
                <w:sz w:val="22"/>
                <w:szCs w:val="22"/>
              </w:rPr>
              <w:t>, která je více motivační</w:t>
            </w:r>
            <w:r w:rsidR="006D306F">
              <w:rPr>
                <w:bCs/>
                <w:sz w:val="22"/>
                <w:szCs w:val="22"/>
              </w:rPr>
              <w:t xml:space="preserve"> než daňová úleva.</w:t>
            </w:r>
            <w:r w:rsidR="00D16265">
              <w:rPr>
                <w:bCs/>
                <w:sz w:val="22"/>
                <w:szCs w:val="22"/>
              </w:rPr>
              <w:t xml:space="preserve"> </w:t>
            </w:r>
          </w:p>
          <w:p w:rsidR="008E6485" w:rsidRDefault="008E6485" w:rsidP="002C2BCB">
            <w:pPr>
              <w:spacing w:before="120"/>
              <w:rPr>
                <w:b/>
                <w:bCs/>
                <w:sz w:val="22"/>
                <w:szCs w:val="22"/>
              </w:rPr>
            </w:pPr>
          </w:p>
          <w:p w:rsidR="00E730E6" w:rsidRPr="00F830AA" w:rsidRDefault="00F830AA" w:rsidP="002C2BCB">
            <w:pPr>
              <w:spacing w:before="120"/>
              <w:rPr>
                <w:b/>
                <w:bCs/>
                <w:sz w:val="22"/>
                <w:szCs w:val="22"/>
              </w:rPr>
            </w:pPr>
            <w:r w:rsidRPr="00F830AA">
              <w:rPr>
                <w:b/>
                <w:bCs/>
                <w:sz w:val="22"/>
                <w:szCs w:val="22"/>
              </w:rPr>
              <w:t>Vysvětleno.</w:t>
            </w:r>
          </w:p>
          <w:p w:rsidR="00F830AA" w:rsidRPr="00D16265" w:rsidRDefault="00F830AA" w:rsidP="00E92E6A">
            <w:pPr>
              <w:rPr>
                <w:bCs/>
                <w:color w:val="FF0000"/>
                <w:sz w:val="22"/>
                <w:szCs w:val="22"/>
              </w:rPr>
            </w:pPr>
            <w:r>
              <w:rPr>
                <w:bCs/>
                <w:sz w:val="22"/>
                <w:szCs w:val="22"/>
              </w:rPr>
              <w:t xml:space="preserve">Viz vyjádření k předchozí připomínce č. 5. Rekvalifikace či školení si zajišťuje sám investor podle svých potřeb, nejedná se o podporu vzdělávání pro oblast VaVaI. Účel této podpory je zcela jiný a podmínky jejího poskytnutí nejsou předmětem </w:t>
            </w:r>
            <w:r>
              <w:rPr>
                <w:bCs/>
                <w:sz w:val="22"/>
                <w:szCs w:val="22"/>
              </w:rPr>
              <w:lastRenderedPageBreak/>
              <w:t>plánovaných změn.</w:t>
            </w:r>
            <w:r w:rsidR="00D1474A">
              <w:rPr>
                <w:bCs/>
                <w:sz w:val="22"/>
                <w:szCs w:val="22"/>
              </w:rPr>
              <w:t xml:space="preserve"> Vysoká kvalifikace je dána již samotnou náplní pracovních míst vytvořených v rámci center (v porovnání s výrobou).</w:t>
            </w:r>
            <w:r w:rsidR="00D16265">
              <w:rPr>
                <w:bCs/>
                <w:sz w:val="22"/>
                <w:szCs w:val="22"/>
              </w:rPr>
              <w:t xml:space="preserve"> </w:t>
            </w:r>
          </w:p>
          <w:p w:rsidR="008E6485" w:rsidRDefault="008E6485" w:rsidP="00023A56">
            <w:pPr>
              <w:spacing w:before="120"/>
              <w:rPr>
                <w:b/>
                <w:bCs/>
                <w:sz w:val="22"/>
                <w:szCs w:val="22"/>
              </w:rPr>
            </w:pPr>
          </w:p>
          <w:p w:rsidR="008E6485" w:rsidRDefault="008E6485" w:rsidP="00023A56">
            <w:pPr>
              <w:spacing w:before="120"/>
              <w:rPr>
                <w:b/>
                <w:bCs/>
                <w:sz w:val="22"/>
                <w:szCs w:val="22"/>
              </w:rPr>
            </w:pPr>
          </w:p>
          <w:p w:rsidR="00E730E6" w:rsidRPr="007D67B1" w:rsidRDefault="00056CCA" w:rsidP="00023A56">
            <w:pPr>
              <w:spacing w:before="120"/>
              <w:rPr>
                <w:b/>
                <w:bCs/>
                <w:sz w:val="22"/>
                <w:szCs w:val="22"/>
              </w:rPr>
            </w:pPr>
            <w:r w:rsidRPr="007D67B1">
              <w:rPr>
                <w:b/>
                <w:bCs/>
                <w:sz w:val="22"/>
                <w:szCs w:val="22"/>
              </w:rPr>
              <w:t>Vysvětleno.</w:t>
            </w:r>
          </w:p>
          <w:p w:rsidR="00763B99" w:rsidRPr="00763B99" w:rsidRDefault="00763B99" w:rsidP="00763B99">
            <w:pPr>
              <w:rPr>
                <w:bCs/>
                <w:sz w:val="22"/>
                <w:szCs w:val="22"/>
              </w:rPr>
            </w:pPr>
            <w:r w:rsidRPr="00763B99">
              <w:rPr>
                <w:bCs/>
                <w:sz w:val="22"/>
                <w:szCs w:val="22"/>
              </w:rPr>
              <w:t xml:space="preserve">Podle současného znění zákona o investičních pobídkách se počty pracovních míst posuzují za celou společnost (IČO). Novými pracovními místy jsou tak pouze taková místa, která znamenají nárůst za celou společnost, což vylučuje právě situaci, že bude docházet ke spekulativním přesunům mezi závody. </w:t>
            </w:r>
          </w:p>
          <w:p w:rsidR="00056CCA" w:rsidRPr="00D16265" w:rsidRDefault="00763B99" w:rsidP="002C6116">
            <w:pPr>
              <w:spacing w:before="120"/>
              <w:rPr>
                <w:b/>
                <w:bCs/>
                <w:color w:val="FF0000"/>
                <w:sz w:val="22"/>
                <w:szCs w:val="22"/>
              </w:rPr>
            </w:pPr>
            <w:r w:rsidRPr="00763B99">
              <w:rPr>
                <w:bCs/>
                <w:sz w:val="22"/>
                <w:szCs w:val="22"/>
              </w:rPr>
              <w:t>Nicméně předložený materiál uvažuje s rozvolněním této podmínky pro technologická centra a centra strategických služeb. Důvodem je snaha, aby v případě vytvoření nových pracovních míst v těchto centrech nebyl příjemce limitován zachováním pracovních míst v jiných činnostech, tj. aby bylo možné jiná pracovní místa (předpokládá se zejména méně kvalifikovaná místa ve výrobě) zrušit.</w:t>
            </w:r>
            <w:r w:rsidR="00D16265">
              <w:rPr>
                <w:bCs/>
                <w:sz w:val="22"/>
                <w:szCs w:val="22"/>
              </w:rPr>
              <w:t xml:space="preserve"> </w:t>
            </w:r>
          </w:p>
          <w:p w:rsidR="00637BB6" w:rsidRDefault="00637BB6" w:rsidP="002C6116">
            <w:pPr>
              <w:spacing w:before="120"/>
              <w:rPr>
                <w:bCs/>
                <w:sz w:val="22"/>
                <w:szCs w:val="22"/>
              </w:rPr>
            </w:pPr>
          </w:p>
          <w:p w:rsidR="00637BB6" w:rsidRDefault="00637BB6" w:rsidP="002C6116">
            <w:pPr>
              <w:spacing w:before="120"/>
              <w:rPr>
                <w:bCs/>
                <w:sz w:val="22"/>
                <w:szCs w:val="22"/>
              </w:rPr>
            </w:pPr>
          </w:p>
          <w:p w:rsidR="007D67B1" w:rsidRPr="00D1474A" w:rsidRDefault="007D67B1" w:rsidP="00637BB6">
            <w:pPr>
              <w:rPr>
                <w:b/>
                <w:bCs/>
                <w:sz w:val="22"/>
                <w:szCs w:val="22"/>
              </w:rPr>
            </w:pPr>
            <w:r w:rsidRPr="00D1474A">
              <w:rPr>
                <w:b/>
                <w:bCs/>
                <w:sz w:val="22"/>
                <w:szCs w:val="22"/>
              </w:rPr>
              <w:t>Vysvětleno.</w:t>
            </w:r>
          </w:p>
          <w:p w:rsidR="00E730E6" w:rsidRDefault="00023A56" w:rsidP="00E92E6A">
            <w:pPr>
              <w:rPr>
                <w:bCs/>
                <w:sz w:val="22"/>
                <w:szCs w:val="22"/>
              </w:rPr>
            </w:pPr>
            <w:r>
              <w:rPr>
                <w:bCs/>
                <w:sz w:val="22"/>
                <w:szCs w:val="22"/>
              </w:rPr>
              <w:t>Investiční pobídky jsou dostupné pro odvětví zpracovatelského průmyslu</w:t>
            </w:r>
            <w:r w:rsidR="007D67B1">
              <w:rPr>
                <w:bCs/>
                <w:sz w:val="22"/>
                <w:szCs w:val="22"/>
              </w:rPr>
              <w:t>, technologická centra</w:t>
            </w:r>
            <w:r>
              <w:rPr>
                <w:bCs/>
                <w:sz w:val="22"/>
                <w:szCs w:val="22"/>
              </w:rPr>
              <w:t xml:space="preserve"> a centra strategických služeb – viz § 1a odst. 1 písm. b) zákona o investičních pobídkách. V rámci navrhovaných změn není plánováno s nastavením užších prioritních oborů nebo odvětví</w:t>
            </w:r>
            <w:r w:rsidR="00637BB6">
              <w:rPr>
                <w:bCs/>
                <w:sz w:val="22"/>
                <w:szCs w:val="22"/>
              </w:rPr>
              <w:t>, neboť se dlou</w:t>
            </w:r>
            <w:r w:rsidR="001E2242">
              <w:rPr>
                <w:bCs/>
                <w:sz w:val="22"/>
                <w:szCs w:val="22"/>
              </w:rPr>
              <w:t>hod</w:t>
            </w:r>
            <w:r w:rsidR="00637BB6">
              <w:rPr>
                <w:bCs/>
                <w:sz w:val="22"/>
                <w:szCs w:val="22"/>
              </w:rPr>
              <w:t>o</w:t>
            </w:r>
            <w:r w:rsidR="001E2242">
              <w:rPr>
                <w:bCs/>
                <w:sz w:val="22"/>
                <w:szCs w:val="22"/>
              </w:rPr>
              <w:t>bě ukazuje, že projekty s vyšší přidanou hodnotou jsou generovány napříč odvětvími</w:t>
            </w:r>
            <w:r>
              <w:rPr>
                <w:bCs/>
                <w:sz w:val="22"/>
                <w:szCs w:val="22"/>
              </w:rPr>
              <w:t>. Prioritní investice v rámci výroby budou definovány přes parametry investice, avšak bez ohledu na obor činnosti.</w:t>
            </w:r>
            <w:r w:rsidR="00205827">
              <w:rPr>
                <w:bCs/>
                <w:sz w:val="22"/>
                <w:szCs w:val="22"/>
              </w:rPr>
              <w:t xml:space="preserve"> Vyhodnocení jednotlivých kritérií pro definování vyšší přidané hodnoty ve výrobě bude předmětem RIA k</w:t>
            </w:r>
            <w:r w:rsidR="0020251D">
              <w:rPr>
                <w:bCs/>
                <w:sz w:val="22"/>
                <w:szCs w:val="22"/>
              </w:rPr>
              <w:t> </w:t>
            </w:r>
            <w:r w:rsidR="00205827">
              <w:rPr>
                <w:bCs/>
                <w:sz w:val="22"/>
                <w:szCs w:val="22"/>
              </w:rPr>
              <w:t>n</w:t>
            </w:r>
            <w:r w:rsidR="0020251D">
              <w:rPr>
                <w:bCs/>
                <w:sz w:val="22"/>
                <w:szCs w:val="22"/>
              </w:rPr>
              <w:t>ávrhu novely</w:t>
            </w:r>
            <w:r w:rsidR="00205827">
              <w:rPr>
                <w:bCs/>
                <w:sz w:val="22"/>
                <w:szCs w:val="22"/>
              </w:rPr>
              <w:t xml:space="preserve"> zákona</w:t>
            </w:r>
            <w:r w:rsidR="0020251D">
              <w:rPr>
                <w:bCs/>
                <w:sz w:val="22"/>
                <w:szCs w:val="22"/>
              </w:rPr>
              <w:t xml:space="preserve"> o investičních pobídkách</w:t>
            </w:r>
            <w:r w:rsidR="00205827">
              <w:rPr>
                <w:bCs/>
                <w:sz w:val="22"/>
                <w:szCs w:val="22"/>
              </w:rPr>
              <w:t>.</w:t>
            </w:r>
          </w:p>
          <w:p w:rsidR="00023D08" w:rsidRDefault="002555FE" w:rsidP="0020251D">
            <w:pPr>
              <w:spacing w:before="120"/>
              <w:rPr>
                <w:bCs/>
                <w:sz w:val="22"/>
                <w:szCs w:val="22"/>
              </w:rPr>
            </w:pPr>
            <w:r>
              <w:rPr>
                <w:bCs/>
                <w:sz w:val="22"/>
                <w:szCs w:val="22"/>
              </w:rPr>
              <w:t xml:space="preserve">Hledáním vhodných kritérií pro přidanou hodnotu ve výrobě se </w:t>
            </w:r>
            <w:r>
              <w:rPr>
                <w:bCs/>
                <w:sz w:val="22"/>
                <w:szCs w:val="22"/>
              </w:rPr>
              <w:lastRenderedPageBreak/>
              <w:t xml:space="preserve">zabývala expertní skupina složená ze zástupců firem, specializovaných poradců a veřejné správy. </w:t>
            </w:r>
            <w:r w:rsidR="00023D08">
              <w:rPr>
                <w:bCs/>
                <w:sz w:val="22"/>
                <w:szCs w:val="22"/>
              </w:rPr>
              <w:t>Domníváme</w:t>
            </w:r>
            <w:r w:rsidR="0020251D">
              <w:rPr>
                <w:bCs/>
                <w:sz w:val="22"/>
                <w:szCs w:val="22"/>
              </w:rPr>
              <w:t xml:space="preserve"> se</w:t>
            </w:r>
            <w:r w:rsidR="00023D08">
              <w:rPr>
                <w:bCs/>
                <w:sz w:val="22"/>
                <w:szCs w:val="22"/>
              </w:rPr>
              <w:t>, že právě kritérium</w:t>
            </w:r>
            <w:r w:rsidR="0020251D">
              <w:rPr>
                <w:bCs/>
                <w:sz w:val="22"/>
                <w:szCs w:val="22"/>
              </w:rPr>
              <w:t xml:space="preserve"> minimální mzdy</w:t>
            </w:r>
            <w:r>
              <w:rPr>
                <w:bCs/>
                <w:sz w:val="22"/>
                <w:szCs w:val="22"/>
              </w:rPr>
              <w:t xml:space="preserve">, které z jednání vyplynulo, </w:t>
            </w:r>
            <w:r w:rsidR="00023D08">
              <w:rPr>
                <w:bCs/>
                <w:sz w:val="22"/>
                <w:szCs w:val="22"/>
              </w:rPr>
              <w:t>je ekonomicky zcela logické, neboť právě vyšší mzdy garantují, že se jedná o projekty s vyšší přidanou hodnotou, neboť jinak by nemohly dlouhodobě existovat. Kromě výše uvedeného kritéria se nyní zabýváme i dalšími kvalitativními kritérii</w:t>
            </w:r>
            <w:r w:rsidR="001E2242">
              <w:rPr>
                <w:bCs/>
                <w:sz w:val="22"/>
                <w:szCs w:val="22"/>
              </w:rPr>
              <w:t>, které b</w:t>
            </w:r>
            <w:r w:rsidR="00023D08">
              <w:rPr>
                <w:bCs/>
                <w:sz w:val="22"/>
                <w:szCs w:val="22"/>
              </w:rPr>
              <w:t xml:space="preserve">y mohly být předmětem novely a které jsou v materiálu naznačeny (vzdělávání, </w:t>
            </w:r>
            <w:r w:rsidR="001E2242">
              <w:rPr>
                <w:bCs/>
                <w:sz w:val="22"/>
                <w:szCs w:val="22"/>
              </w:rPr>
              <w:t xml:space="preserve">podíl </w:t>
            </w:r>
            <w:r w:rsidR="00023D08">
              <w:rPr>
                <w:bCs/>
                <w:sz w:val="22"/>
                <w:szCs w:val="22"/>
              </w:rPr>
              <w:t>soukrom</w:t>
            </w:r>
            <w:r w:rsidR="001E2242">
              <w:rPr>
                <w:bCs/>
                <w:sz w:val="22"/>
                <w:szCs w:val="22"/>
              </w:rPr>
              <w:t>ých</w:t>
            </w:r>
            <w:r w:rsidR="00023D08">
              <w:rPr>
                <w:bCs/>
                <w:sz w:val="22"/>
                <w:szCs w:val="22"/>
              </w:rPr>
              <w:t xml:space="preserve"> výdaj</w:t>
            </w:r>
            <w:r w:rsidR="001E2242">
              <w:rPr>
                <w:bCs/>
                <w:sz w:val="22"/>
                <w:szCs w:val="22"/>
              </w:rPr>
              <w:t>ů</w:t>
            </w:r>
            <w:r w:rsidR="00023D08">
              <w:rPr>
                <w:bCs/>
                <w:sz w:val="22"/>
                <w:szCs w:val="22"/>
              </w:rPr>
              <w:t xml:space="preserve"> na VaV, další podmínkové funkce)</w:t>
            </w:r>
            <w:r w:rsidR="0020251D">
              <w:rPr>
                <w:bCs/>
                <w:sz w:val="22"/>
                <w:szCs w:val="22"/>
              </w:rPr>
              <w:t>.</w:t>
            </w:r>
          </w:p>
          <w:p w:rsidR="008E6485" w:rsidRDefault="008E6485" w:rsidP="0020251D">
            <w:pPr>
              <w:spacing w:before="120"/>
              <w:rPr>
                <w:b/>
                <w:bCs/>
                <w:sz w:val="22"/>
                <w:szCs w:val="22"/>
              </w:rPr>
            </w:pPr>
          </w:p>
          <w:p w:rsidR="008E6485" w:rsidRDefault="008E6485" w:rsidP="0020251D">
            <w:pPr>
              <w:spacing w:before="120"/>
              <w:rPr>
                <w:b/>
                <w:bCs/>
                <w:sz w:val="22"/>
                <w:szCs w:val="22"/>
              </w:rPr>
            </w:pPr>
          </w:p>
          <w:p w:rsidR="00E730E6" w:rsidRPr="007A0984" w:rsidRDefault="00205827" w:rsidP="0020251D">
            <w:pPr>
              <w:spacing w:before="120"/>
              <w:rPr>
                <w:b/>
                <w:bCs/>
                <w:color w:val="FF0000"/>
                <w:sz w:val="22"/>
                <w:szCs w:val="22"/>
              </w:rPr>
            </w:pPr>
            <w:r w:rsidRPr="00205827">
              <w:rPr>
                <w:b/>
                <w:bCs/>
                <w:sz w:val="22"/>
                <w:szCs w:val="22"/>
              </w:rPr>
              <w:t>Akceptováno</w:t>
            </w:r>
            <w:r w:rsidR="0020251D">
              <w:rPr>
                <w:b/>
                <w:bCs/>
                <w:sz w:val="22"/>
                <w:szCs w:val="22"/>
              </w:rPr>
              <w:t>.</w:t>
            </w:r>
            <w:r w:rsidR="007A0984">
              <w:rPr>
                <w:b/>
                <w:bCs/>
                <w:sz w:val="22"/>
                <w:szCs w:val="22"/>
              </w:rPr>
              <w:t xml:space="preserve"> </w:t>
            </w:r>
          </w:p>
          <w:p w:rsidR="00E730E6" w:rsidRDefault="00E730E6" w:rsidP="00E92E6A">
            <w:pPr>
              <w:rPr>
                <w:bCs/>
                <w:sz w:val="22"/>
                <w:szCs w:val="22"/>
              </w:rPr>
            </w:pPr>
          </w:p>
          <w:p w:rsidR="00E730E6" w:rsidRDefault="00E730E6" w:rsidP="00E92E6A">
            <w:pPr>
              <w:rPr>
                <w:bCs/>
                <w:sz w:val="22"/>
                <w:szCs w:val="22"/>
              </w:rPr>
            </w:pPr>
          </w:p>
          <w:p w:rsidR="008E6485" w:rsidRDefault="008E6485" w:rsidP="001130CB">
            <w:pPr>
              <w:spacing w:before="120"/>
              <w:rPr>
                <w:b/>
                <w:bCs/>
                <w:sz w:val="22"/>
                <w:szCs w:val="22"/>
              </w:rPr>
            </w:pPr>
          </w:p>
          <w:p w:rsidR="00E730E6" w:rsidRPr="001130CB" w:rsidRDefault="001130CB" w:rsidP="001130CB">
            <w:pPr>
              <w:spacing w:before="120"/>
              <w:rPr>
                <w:b/>
                <w:bCs/>
                <w:sz w:val="22"/>
                <w:szCs w:val="22"/>
              </w:rPr>
            </w:pPr>
            <w:r w:rsidRPr="001130CB">
              <w:rPr>
                <w:b/>
                <w:bCs/>
                <w:sz w:val="22"/>
                <w:szCs w:val="22"/>
              </w:rPr>
              <w:t>Vysvětleno.</w:t>
            </w:r>
          </w:p>
          <w:p w:rsidR="001130CB" w:rsidRDefault="001130CB" w:rsidP="001130CB">
            <w:pPr>
              <w:rPr>
                <w:bCs/>
                <w:sz w:val="22"/>
                <w:szCs w:val="22"/>
              </w:rPr>
            </w:pPr>
            <w:r>
              <w:rPr>
                <w:bCs/>
                <w:sz w:val="22"/>
                <w:szCs w:val="22"/>
              </w:rPr>
              <w:t xml:space="preserve">S ohledem na zásadní připomínky Svazu průmyslu a dopravy a Ministerstva financí se nejeví jako vhodné stanovit reinvestici zisku jako </w:t>
            </w:r>
            <w:r w:rsidR="0020251D">
              <w:rPr>
                <w:bCs/>
                <w:sz w:val="22"/>
                <w:szCs w:val="22"/>
              </w:rPr>
              <w:t xml:space="preserve">striktní </w:t>
            </w:r>
            <w:r>
              <w:rPr>
                <w:bCs/>
                <w:sz w:val="22"/>
                <w:szCs w:val="22"/>
              </w:rPr>
              <w:t>podmínku pro poskytnutí pobídky. Z toho důvodu se v tuto chvíli ani nepředpokládá další zpřísňování této podmínky.</w:t>
            </w: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Default="00E730E6" w:rsidP="00E92E6A">
            <w:pPr>
              <w:rPr>
                <w:bCs/>
                <w:sz w:val="22"/>
                <w:szCs w:val="22"/>
              </w:rPr>
            </w:pPr>
          </w:p>
          <w:p w:rsidR="00E730E6" w:rsidRPr="00D349E6" w:rsidRDefault="00D349E6" w:rsidP="00261CA5">
            <w:pPr>
              <w:spacing w:before="120"/>
              <w:rPr>
                <w:b/>
                <w:bCs/>
                <w:sz w:val="22"/>
                <w:szCs w:val="22"/>
              </w:rPr>
            </w:pPr>
            <w:r w:rsidRPr="00D349E6">
              <w:rPr>
                <w:b/>
                <w:bCs/>
                <w:sz w:val="22"/>
                <w:szCs w:val="22"/>
              </w:rPr>
              <w:t>Vysvětleno.</w:t>
            </w:r>
          </w:p>
          <w:p w:rsidR="00D349E6" w:rsidRPr="007A0984" w:rsidRDefault="00D349E6" w:rsidP="00E92E6A">
            <w:pPr>
              <w:rPr>
                <w:bCs/>
                <w:color w:val="FF0000"/>
                <w:sz w:val="22"/>
                <w:szCs w:val="22"/>
              </w:rPr>
            </w:pPr>
            <w:r>
              <w:rPr>
                <w:bCs/>
                <w:sz w:val="22"/>
                <w:szCs w:val="22"/>
              </w:rPr>
              <w:t>Kritéria nejsou v tuto chvíli jednoznačně definována. Požadavek na vytvoření jednotné metodiky bude reflektován při přípravě vlastní</w:t>
            </w:r>
            <w:r w:rsidR="004C248E">
              <w:rPr>
                <w:bCs/>
                <w:sz w:val="22"/>
                <w:szCs w:val="22"/>
              </w:rPr>
              <w:t>ho návrhu</w:t>
            </w:r>
            <w:r>
              <w:rPr>
                <w:bCs/>
                <w:sz w:val="22"/>
                <w:szCs w:val="22"/>
              </w:rPr>
              <w:t xml:space="preserve"> novely zákona</w:t>
            </w:r>
            <w:r w:rsidR="004C248E">
              <w:rPr>
                <w:bCs/>
                <w:sz w:val="22"/>
                <w:szCs w:val="22"/>
              </w:rPr>
              <w:t xml:space="preserve"> o investičních pobídkách</w:t>
            </w:r>
            <w:r>
              <w:rPr>
                <w:bCs/>
                <w:sz w:val="22"/>
                <w:szCs w:val="22"/>
              </w:rPr>
              <w:t>.</w:t>
            </w:r>
            <w:r w:rsidR="007A0984">
              <w:rPr>
                <w:bCs/>
                <w:sz w:val="22"/>
                <w:szCs w:val="22"/>
              </w:rPr>
              <w:t xml:space="preserve"> </w:t>
            </w:r>
          </w:p>
          <w:p w:rsidR="008E6485" w:rsidRDefault="008E6485" w:rsidP="004C248E">
            <w:pPr>
              <w:spacing w:before="120"/>
              <w:rPr>
                <w:b/>
                <w:bCs/>
                <w:sz w:val="22"/>
                <w:szCs w:val="22"/>
              </w:rPr>
            </w:pPr>
          </w:p>
          <w:p w:rsidR="004C248E" w:rsidRPr="004C248E" w:rsidRDefault="004C248E" w:rsidP="004C248E">
            <w:pPr>
              <w:spacing w:before="120"/>
              <w:rPr>
                <w:b/>
                <w:bCs/>
                <w:sz w:val="22"/>
                <w:szCs w:val="22"/>
              </w:rPr>
            </w:pPr>
            <w:r w:rsidRPr="004C248E">
              <w:rPr>
                <w:b/>
                <w:bCs/>
                <w:sz w:val="22"/>
                <w:szCs w:val="22"/>
              </w:rPr>
              <w:lastRenderedPageBreak/>
              <w:t>Vysvětleno.</w:t>
            </w:r>
          </w:p>
          <w:p w:rsidR="00E730E6" w:rsidRPr="007A0984" w:rsidRDefault="004C248E" w:rsidP="004C248E">
            <w:pPr>
              <w:rPr>
                <w:bCs/>
                <w:color w:val="FF0000"/>
                <w:sz w:val="22"/>
                <w:szCs w:val="22"/>
              </w:rPr>
            </w:pPr>
            <w:r>
              <w:rPr>
                <w:bCs/>
                <w:sz w:val="22"/>
                <w:szCs w:val="22"/>
              </w:rPr>
              <w:t>P</w:t>
            </w:r>
            <w:r w:rsidR="00375F4D" w:rsidRPr="004C248E">
              <w:rPr>
                <w:bCs/>
                <w:sz w:val="22"/>
                <w:szCs w:val="22"/>
              </w:rPr>
              <w:t>odporu</w:t>
            </w:r>
            <w:r>
              <w:rPr>
                <w:bCs/>
                <w:sz w:val="22"/>
                <w:szCs w:val="22"/>
              </w:rPr>
              <w:t>jeme flexibilní pracovní úvazky a snažíme se firmám neklást překážky pro naplnění povinnosti vytváření pracovních míst. N</w:t>
            </w:r>
            <w:r w:rsidR="00375F4D" w:rsidRPr="004C248E">
              <w:rPr>
                <w:bCs/>
                <w:sz w:val="22"/>
                <w:szCs w:val="22"/>
              </w:rPr>
              <w:t>elze předpokládat, že</w:t>
            </w:r>
            <w:r>
              <w:rPr>
                <w:bCs/>
                <w:sz w:val="22"/>
                <w:szCs w:val="22"/>
              </w:rPr>
              <w:t xml:space="preserve"> </w:t>
            </w:r>
            <w:r w:rsidR="00375F4D" w:rsidRPr="004C248E">
              <w:rPr>
                <w:bCs/>
                <w:sz w:val="22"/>
                <w:szCs w:val="22"/>
              </w:rPr>
              <w:t>by došlo k razantním změnám</w:t>
            </w:r>
            <w:r>
              <w:rPr>
                <w:bCs/>
                <w:sz w:val="22"/>
                <w:szCs w:val="22"/>
              </w:rPr>
              <w:t xml:space="preserve"> ve vytváření pracovních úvazků</w:t>
            </w:r>
            <w:r w:rsidR="00375F4D" w:rsidRPr="004C248E">
              <w:rPr>
                <w:bCs/>
                <w:sz w:val="22"/>
                <w:szCs w:val="22"/>
              </w:rPr>
              <w:t>, i nadále drtivá většina úvazků zůstane plná.</w:t>
            </w:r>
          </w:p>
          <w:p w:rsidR="008E6485" w:rsidRDefault="008E6485" w:rsidP="004C248E">
            <w:pPr>
              <w:spacing w:before="120"/>
              <w:rPr>
                <w:b/>
                <w:bCs/>
                <w:sz w:val="22"/>
                <w:szCs w:val="22"/>
              </w:rPr>
            </w:pPr>
          </w:p>
          <w:p w:rsidR="00E730E6" w:rsidRPr="00261CA5" w:rsidRDefault="00261CA5" w:rsidP="004C248E">
            <w:pPr>
              <w:spacing w:before="120"/>
              <w:rPr>
                <w:b/>
                <w:bCs/>
                <w:sz w:val="22"/>
                <w:szCs w:val="22"/>
              </w:rPr>
            </w:pPr>
            <w:bookmarkStart w:id="1" w:name="_GoBack"/>
            <w:bookmarkEnd w:id="1"/>
            <w:r w:rsidRPr="00261CA5">
              <w:rPr>
                <w:b/>
                <w:bCs/>
                <w:sz w:val="22"/>
                <w:szCs w:val="22"/>
              </w:rPr>
              <w:t>Vysvětleno.</w:t>
            </w:r>
          </w:p>
          <w:p w:rsidR="00E730E6" w:rsidRPr="005A5A03" w:rsidRDefault="00261CA5" w:rsidP="006535CA">
            <w:pPr>
              <w:rPr>
                <w:bCs/>
                <w:sz w:val="22"/>
                <w:szCs w:val="22"/>
              </w:rPr>
            </w:pPr>
            <w:r>
              <w:rPr>
                <w:bCs/>
                <w:sz w:val="22"/>
                <w:szCs w:val="22"/>
              </w:rPr>
              <w:t xml:space="preserve">Hospodářsky problémové regiony a regiony s vysokou mírou nezaměstnaností nemají být upřednostňovány pro oblast VaVaI. </w:t>
            </w:r>
            <w:r w:rsidR="00931DA4">
              <w:rPr>
                <w:bCs/>
                <w:sz w:val="22"/>
                <w:szCs w:val="22"/>
              </w:rPr>
              <w:t>T</w:t>
            </w:r>
            <w:r>
              <w:rPr>
                <w:bCs/>
                <w:sz w:val="22"/>
                <w:szCs w:val="22"/>
              </w:rPr>
              <w:t xml:space="preserve">yto oblasti </w:t>
            </w:r>
            <w:r w:rsidR="00931DA4">
              <w:rPr>
                <w:bCs/>
                <w:sz w:val="22"/>
                <w:szCs w:val="22"/>
              </w:rPr>
              <w:t>mají být pouze</w:t>
            </w:r>
            <w:r>
              <w:rPr>
                <w:bCs/>
                <w:sz w:val="22"/>
                <w:szCs w:val="22"/>
              </w:rPr>
              <w:t xml:space="preserve"> zvýhodněny v tom smyslu,</w:t>
            </w:r>
            <w:r w:rsidR="0018731A">
              <w:rPr>
                <w:bCs/>
                <w:sz w:val="22"/>
                <w:szCs w:val="22"/>
              </w:rPr>
              <w:t xml:space="preserve"> že zde bude podporováno vytváření investic z oblasti výroby i bez podmínek vyšší přidané hodnoty.</w:t>
            </w:r>
            <w:r w:rsidR="007A0984">
              <w:rPr>
                <w:bCs/>
                <w:sz w:val="22"/>
                <w:szCs w:val="22"/>
              </w:rPr>
              <w:t xml:space="preserve"> </w:t>
            </w:r>
          </w:p>
        </w:tc>
      </w:tr>
    </w:tbl>
    <w:p w:rsidR="00062C44" w:rsidRPr="00B77102" w:rsidRDefault="00062C44" w:rsidP="009056DD">
      <w:pPr>
        <w:autoSpaceDE w:val="0"/>
        <w:autoSpaceDN w:val="0"/>
        <w:adjustRightInd w:val="0"/>
        <w:spacing w:before="240" w:after="240" w:line="240" w:lineRule="atLeast"/>
        <w:rPr>
          <w:sz w:val="22"/>
          <w:szCs w:val="22"/>
        </w:rPr>
      </w:pPr>
      <w:r w:rsidRPr="00B77102">
        <w:rPr>
          <w:sz w:val="22"/>
          <w:szCs w:val="22"/>
        </w:rPr>
        <w:lastRenderedPageBreak/>
        <w:t>V </w:t>
      </w:r>
      <w:r w:rsidR="00E92E6A">
        <w:rPr>
          <w:bCs/>
          <w:sz w:val="22"/>
          <w:szCs w:val="22"/>
        </w:rPr>
        <w:fldChar w:fldCharType="begin">
          <w:ffData>
            <w:name w:val=""/>
            <w:enabled/>
            <w:calcOnExit w:val="0"/>
            <w:textInput>
              <w:default w:val="Praze"/>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E92E6A">
        <w:rPr>
          <w:bCs/>
          <w:noProof/>
          <w:sz w:val="22"/>
          <w:szCs w:val="22"/>
        </w:rPr>
        <w:t>Praze</w:t>
      </w:r>
      <w:r w:rsidR="00E92E6A">
        <w:rPr>
          <w:bCs/>
          <w:sz w:val="22"/>
          <w:szCs w:val="22"/>
        </w:rPr>
        <w:fldChar w:fldCharType="end"/>
      </w:r>
      <w:r w:rsidR="00952E4D" w:rsidRPr="00B77102">
        <w:rPr>
          <w:sz w:val="22"/>
          <w:szCs w:val="22"/>
        </w:rPr>
        <w:t xml:space="preserve"> </w:t>
      </w:r>
      <w:r w:rsidRPr="00B77102">
        <w:rPr>
          <w:sz w:val="22"/>
          <w:szCs w:val="22"/>
        </w:rPr>
        <w:t xml:space="preserve">dne </w:t>
      </w:r>
      <w:r w:rsidR="00952E4D" w:rsidRPr="00B77102">
        <w:rPr>
          <w:sz w:val="22"/>
          <w:szCs w:val="22"/>
        </w:rPr>
        <w:fldChar w:fldCharType="begin"/>
      </w:r>
      <w:r w:rsidR="00952E4D" w:rsidRPr="00B77102">
        <w:rPr>
          <w:sz w:val="22"/>
          <w:szCs w:val="22"/>
        </w:rPr>
        <w:instrText xml:space="preserve"> TIME \@ "d. MMMM yyyy" </w:instrText>
      </w:r>
      <w:r w:rsidR="00952E4D" w:rsidRPr="00B77102">
        <w:rPr>
          <w:sz w:val="22"/>
          <w:szCs w:val="22"/>
        </w:rPr>
        <w:fldChar w:fldCharType="separate"/>
      </w:r>
      <w:r w:rsidR="00C635D5">
        <w:rPr>
          <w:noProof/>
          <w:sz w:val="22"/>
          <w:szCs w:val="22"/>
        </w:rPr>
        <w:t>14. září 2017</w:t>
      </w:r>
      <w:r w:rsidR="00952E4D" w:rsidRPr="00B77102">
        <w:rPr>
          <w:sz w:val="22"/>
          <w:szCs w:val="22"/>
        </w:rPr>
        <w:fldChar w:fldCharType="end"/>
      </w:r>
    </w:p>
    <w:p w:rsidR="00062C44" w:rsidRPr="00B77102" w:rsidRDefault="00062C44" w:rsidP="00E92E6A">
      <w:pPr>
        <w:tabs>
          <w:tab w:val="left" w:pos="9498"/>
        </w:tabs>
        <w:autoSpaceDE w:val="0"/>
        <w:autoSpaceDN w:val="0"/>
        <w:adjustRightInd w:val="0"/>
        <w:spacing w:before="240" w:after="240" w:line="240" w:lineRule="atLeast"/>
        <w:rPr>
          <w:sz w:val="22"/>
          <w:szCs w:val="22"/>
        </w:rPr>
      </w:pPr>
      <w:r w:rsidRPr="00B77102">
        <w:rPr>
          <w:sz w:val="22"/>
          <w:szCs w:val="22"/>
        </w:rPr>
        <w:t xml:space="preserve">Vypracoval: </w:t>
      </w:r>
      <w:r w:rsidR="00E92E6A">
        <w:rPr>
          <w:bCs/>
          <w:sz w:val="22"/>
          <w:szCs w:val="22"/>
        </w:rPr>
        <w:fldChar w:fldCharType="begin">
          <w:ffData>
            <w:name w:val=""/>
            <w:enabled/>
            <w:calcOnExit w:val="0"/>
            <w:textInput>
              <w:default w:val="titul, jméno, příjmení"/>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E92E6A">
        <w:rPr>
          <w:bCs/>
          <w:noProof/>
          <w:sz w:val="22"/>
          <w:szCs w:val="22"/>
        </w:rPr>
        <w:t>titul, jméno, příjmení</w:t>
      </w:r>
      <w:r w:rsidR="00E92E6A">
        <w:rPr>
          <w:bCs/>
          <w:sz w:val="22"/>
          <w:szCs w:val="22"/>
        </w:rPr>
        <w:fldChar w:fldCharType="end"/>
      </w:r>
      <w:r w:rsidR="00E92E6A">
        <w:rPr>
          <w:sz w:val="22"/>
          <w:szCs w:val="22"/>
        </w:rPr>
        <w:tab/>
      </w:r>
      <w:r w:rsidR="00540F7C">
        <w:rPr>
          <w:sz w:val="22"/>
          <w:szCs w:val="22"/>
        </w:rPr>
        <w:t>Podpis:</w:t>
      </w:r>
    </w:p>
    <w:sectPr w:rsidR="00062C44" w:rsidRPr="00B77102" w:rsidSect="00DF31E1">
      <w:footerReference w:type="default" r:id="rId8"/>
      <w:pgSz w:w="16838" w:h="11906" w:orient="landscape"/>
      <w:pgMar w:top="1258" w:right="1418" w:bottom="1135"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482" w:rsidRDefault="00002482">
      <w:r>
        <w:separator/>
      </w:r>
    </w:p>
  </w:endnote>
  <w:endnote w:type="continuationSeparator" w:id="0">
    <w:p w:rsidR="00002482" w:rsidRDefault="00002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7C6" w:rsidRPr="00CA4A8C" w:rsidRDefault="00BF07C6"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8E6485">
      <w:rPr>
        <w:rFonts w:ascii="Arial" w:hAnsi="Arial" w:cs="Arial"/>
        <w:noProof/>
        <w:sz w:val="22"/>
        <w:szCs w:val="22"/>
      </w:rPr>
      <w:t>3</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8E6485">
      <w:rPr>
        <w:rFonts w:ascii="Arial" w:hAnsi="Arial" w:cs="Arial"/>
        <w:noProof/>
        <w:sz w:val="22"/>
        <w:szCs w:val="22"/>
      </w:rPr>
      <w:t>6</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482" w:rsidRDefault="00002482">
      <w:r>
        <w:separator/>
      </w:r>
    </w:p>
  </w:footnote>
  <w:footnote w:type="continuationSeparator" w:id="0">
    <w:p w:rsidR="00002482" w:rsidRDefault="000024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B9B30D9"/>
    <w:multiLevelType w:val="hybridMultilevel"/>
    <w:tmpl w:val="8760EE92"/>
    <w:lvl w:ilvl="0" w:tplc="0A361F5C">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6">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25A72731"/>
    <w:multiLevelType w:val="hybridMultilevel"/>
    <w:tmpl w:val="F52634FA"/>
    <w:lvl w:ilvl="0" w:tplc="E8406C3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2">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6A93CF8"/>
    <w:multiLevelType w:val="hybridMultilevel"/>
    <w:tmpl w:val="7BFAB0A8"/>
    <w:lvl w:ilvl="0" w:tplc="BEF2E326">
      <w:start w:val="1"/>
      <w:numFmt w:val="lowerLetter"/>
      <w:lvlText w:val="%1."/>
      <w:lvlJc w:val="left"/>
      <w:pPr>
        <w:ind w:left="420" w:hanging="420"/>
      </w:pPr>
    </w:lvl>
    <w:lvl w:ilvl="1" w:tplc="D3B2C984">
      <w:start w:val="1"/>
      <w:numFmt w:val="lowerRoman"/>
      <w:lvlText w:val="%2."/>
      <w:lvlJc w:val="right"/>
      <w:pPr>
        <w:ind w:left="840" w:hanging="420"/>
      </w:pPr>
    </w:lvl>
    <w:lvl w:ilvl="2" w:tplc="48204B46">
      <w:start w:val="1"/>
      <w:numFmt w:val="bullet"/>
      <w:lvlText w:val="♦"/>
      <w:lvlJc w:val="left"/>
      <w:pPr>
        <w:ind w:left="1260" w:hanging="420"/>
      </w:pPr>
      <w:rPr>
        <w:rFonts w:ascii="Arial" w:hAnsi="Arial"/>
      </w:rPr>
    </w:lvl>
    <w:lvl w:ilvl="3" w:tplc="15B64EE4">
      <w:start w:val="1"/>
      <w:numFmt w:val="bullet"/>
      <w:lvlText w:val="●"/>
      <w:lvlJc w:val="left"/>
      <w:pPr>
        <w:ind w:left="1680" w:hanging="420"/>
      </w:pPr>
      <w:rPr>
        <w:rFonts w:ascii="Arial" w:hAnsi="Arial"/>
      </w:rPr>
    </w:lvl>
    <w:lvl w:ilvl="4" w:tplc="14069168">
      <w:start w:val="1"/>
      <w:numFmt w:val="bullet"/>
      <w:lvlText w:val="■"/>
      <w:lvlJc w:val="left"/>
      <w:pPr>
        <w:ind w:left="2100" w:hanging="420"/>
      </w:pPr>
      <w:rPr>
        <w:rFonts w:ascii="Arial" w:hAnsi="Arial"/>
      </w:rPr>
    </w:lvl>
    <w:lvl w:ilvl="5" w:tplc="D2D4A760">
      <w:start w:val="1"/>
      <w:numFmt w:val="bullet"/>
      <w:lvlText w:val="♦"/>
      <w:lvlJc w:val="left"/>
      <w:pPr>
        <w:ind w:left="2520" w:hanging="420"/>
      </w:pPr>
      <w:rPr>
        <w:rFonts w:ascii="Arial" w:hAnsi="Arial"/>
      </w:rPr>
    </w:lvl>
    <w:lvl w:ilvl="6" w:tplc="AEDEF31E">
      <w:start w:val="1"/>
      <w:numFmt w:val="bullet"/>
      <w:lvlText w:val="●"/>
      <w:lvlJc w:val="left"/>
      <w:pPr>
        <w:ind w:left="2940" w:hanging="420"/>
      </w:pPr>
      <w:rPr>
        <w:rFonts w:ascii="Arial" w:hAnsi="Arial"/>
      </w:rPr>
    </w:lvl>
    <w:lvl w:ilvl="7" w:tplc="564AB174">
      <w:start w:val="1"/>
      <w:numFmt w:val="bullet"/>
      <w:lvlText w:val="■"/>
      <w:lvlJc w:val="left"/>
      <w:pPr>
        <w:ind w:left="3360" w:hanging="420"/>
      </w:pPr>
      <w:rPr>
        <w:rFonts w:ascii="Arial" w:hAnsi="Arial"/>
      </w:rPr>
    </w:lvl>
    <w:lvl w:ilvl="8" w:tplc="488ED202">
      <w:start w:val="1"/>
      <w:numFmt w:val="bullet"/>
      <w:lvlText w:val="♦"/>
      <w:lvlJc w:val="left"/>
      <w:pPr>
        <w:ind w:left="3780" w:hanging="420"/>
      </w:pPr>
      <w:rPr>
        <w:rFonts w:ascii="Arial" w:hAnsi="Arial"/>
      </w:rPr>
    </w:lvl>
  </w:abstractNum>
  <w:abstractNum w:abstractNumId="17">
    <w:nsid w:val="738328B6"/>
    <w:multiLevelType w:val="hybridMultilevel"/>
    <w:tmpl w:val="12A23E46"/>
    <w:lvl w:ilvl="0" w:tplc="04050001">
      <w:start w:val="1"/>
      <w:numFmt w:val="bullet"/>
      <w:lvlText w:val=""/>
      <w:lvlJc w:val="left"/>
      <w:pPr>
        <w:tabs>
          <w:tab w:val="num" w:pos="780"/>
        </w:tabs>
        <w:ind w:left="780" w:hanging="360"/>
      </w:pPr>
      <w:rPr>
        <w:rFonts w:ascii="Symbol" w:hAnsi="Symbol"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8">
    <w:nsid w:val="7CD53A9E"/>
    <w:multiLevelType w:val="hybridMultilevel"/>
    <w:tmpl w:val="DB4CA83E"/>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num w:numId="1">
    <w:abstractNumId w:val="8"/>
  </w:num>
  <w:num w:numId="2">
    <w:abstractNumId w:val="3"/>
  </w:num>
  <w:num w:numId="3">
    <w:abstractNumId w:val="14"/>
  </w:num>
  <w:num w:numId="4">
    <w:abstractNumId w:val="0"/>
  </w:num>
  <w:num w:numId="5">
    <w:abstractNumId w:val="10"/>
  </w:num>
  <w:num w:numId="6">
    <w:abstractNumId w:val="13"/>
  </w:num>
  <w:num w:numId="7">
    <w:abstractNumId w:val="11"/>
  </w:num>
  <w:num w:numId="8">
    <w:abstractNumId w:val="5"/>
  </w:num>
  <w:num w:numId="9">
    <w:abstractNumId w:val="1"/>
  </w:num>
  <w:num w:numId="10">
    <w:abstractNumId w:val="6"/>
  </w:num>
  <w:num w:numId="11">
    <w:abstractNumId w:val="12"/>
  </w:num>
  <w:num w:numId="12">
    <w:abstractNumId w:val="2"/>
  </w:num>
  <w:num w:numId="13">
    <w:abstractNumId w:val="9"/>
  </w:num>
  <w:num w:numId="14">
    <w:abstractNumId w:val="15"/>
  </w:num>
  <w:num w:numId="15">
    <w:abstractNumId w:val="17"/>
  </w:num>
  <w:num w:numId="16">
    <w:abstractNumId w:val="18"/>
  </w:num>
  <w:num w:numId="17">
    <w:abstractNumId w:val="7"/>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D23"/>
    <w:rsid w:val="00002482"/>
    <w:rsid w:val="000042A9"/>
    <w:rsid w:val="00006950"/>
    <w:rsid w:val="0001094C"/>
    <w:rsid w:val="000134BD"/>
    <w:rsid w:val="000164D4"/>
    <w:rsid w:val="0001676C"/>
    <w:rsid w:val="00023A56"/>
    <w:rsid w:val="00023D08"/>
    <w:rsid w:val="000255AB"/>
    <w:rsid w:val="000335F7"/>
    <w:rsid w:val="00042BCF"/>
    <w:rsid w:val="00056CCA"/>
    <w:rsid w:val="00062C44"/>
    <w:rsid w:val="00093098"/>
    <w:rsid w:val="000970C1"/>
    <w:rsid w:val="000A4CBA"/>
    <w:rsid w:val="000A7FF0"/>
    <w:rsid w:val="000B085C"/>
    <w:rsid w:val="000C7F33"/>
    <w:rsid w:val="000E3BE9"/>
    <w:rsid w:val="000F7617"/>
    <w:rsid w:val="00100557"/>
    <w:rsid w:val="00110AAF"/>
    <w:rsid w:val="001130CB"/>
    <w:rsid w:val="00116C9F"/>
    <w:rsid w:val="00120F42"/>
    <w:rsid w:val="0012692B"/>
    <w:rsid w:val="00140086"/>
    <w:rsid w:val="00143EE3"/>
    <w:rsid w:val="00145705"/>
    <w:rsid w:val="00146481"/>
    <w:rsid w:val="0014667B"/>
    <w:rsid w:val="00146AB4"/>
    <w:rsid w:val="001848D8"/>
    <w:rsid w:val="0018731A"/>
    <w:rsid w:val="001942BC"/>
    <w:rsid w:val="00195697"/>
    <w:rsid w:val="001A11DB"/>
    <w:rsid w:val="001B2EDE"/>
    <w:rsid w:val="001C1BAD"/>
    <w:rsid w:val="001C6D63"/>
    <w:rsid w:val="001C73A5"/>
    <w:rsid w:val="001D342F"/>
    <w:rsid w:val="001D55D4"/>
    <w:rsid w:val="001E2242"/>
    <w:rsid w:val="001E2ED8"/>
    <w:rsid w:val="001F1D3A"/>
    <w:rsid w:val="001F33A5"/>
    <w:rsid w:val="0020251D"/>
    <w:rsid w:val="00205563"/>
    <w:rsid w:val="00205827"/>
    <w:rsid w:val="00212ADB"/>
    <w:rsid w:val="002132CD"/>
    <w:rsid w:val="00215121"/>
    <w:rsid w:val="00217309"/>
    <w:rsid w:val="00241C0B"/>
    <w:rsid w:val="00252298"/>
    <w:rsid w:val="00254415"/>
    <w:rsid w:val="00254AB0"/>
    <w:rsid w:val="002555FE"/>
    <w:rsid w:val="00261CA5"/>
    <w:rsid w:val="0027082B"/>
    <w:rsid w:val="00287369"/>
    <w:rsid w:val="00291F07"/>
    <w:rsid w:val="00292043"/>
    <w:rsid w:val="00293FD4"/>
    <w:rsid w:val="002A13C0"/>
    <w:rsid w:val="002A26E9"/>
    <w:rsid w:val="002A29FE"/>
    <w:rsid w:val="002B03A3"/>
    <w:rsid w:val="002B4D7B"/>
    <w:rsid w:val="002C2BCB"/>
    <w:rsid w:val="002C6116"/>
    <w:rsid w:val="002C6EC1"/>
    <w:rsid w:val="002D38F4"/>
    <w:rsid w:val="002E4804"/>
    <w:rsid w:val="002F055A"/>
    <w:rsid w:val="0030137B"/>
    <w:rsid w:val="00307E3A"/>
    <w:rsid w:val="00311030"/>
    <w:rsid w:val="0033097F"/>
    <w:rsid w:val="00332530"/>
    <w:rsid w:val="00347855"/>
    <w:rsid w:val="00370634"/>
    <w:rsid w:val="0037149E"/>
    <w:rsid w:val="00375F4D"/>
    <w:rsid w:val="003B34B6"/>
    <w:rsid w:val="003C3A84"/>
    <w:rsid w:val="003D276A"/>
    <w:rsid w:val="003D716E"/>
    <w:rsid w:val="003E0542"/>
    <w:rsid w:val="0040041F"/>
    <w:rsid w:val="004016A3"/>
    <w:rsid w:val="00406325"/>
    <w:rsid w:val="004111C8"/>
    <w:rsid w:val="00417825"/>
    <w:rsid w:val="00420190"/>
    <w:rsid w:val="00431ED6"/>
    <w:rsid w:val="0046402A"/>
    <w:rsid w:val="00496885"/>
    <w:rsid w:val="004A3B5C"/>
    <w:rsid w:val="004B0F31"/>
    <w:rsid w:val="004B6C1F"/>
    <w:rsid w:val="004B6D01"/>
    <w:rsid w:val="004C0725"/>
    <w:rsid w:val="004C248E"/>
    <w:rsid w:val="004C4DAF"/>
    <w:rsid w:val="004C5A65"/>
    <w:rsid w:val="004E0338"/>
    <w:rsid w:val="004F00D3"/>
    <w:rsid w:val="004F49B9"/>
    <w:rsid w:val="0050118B"/>
    <w:rsid w:val="00506235"/>
    <w:rsid w:val="005213A9"/>
    <w:rsid w:val="00522DBE"/>
    <w:rsid w:val="00540F7C"/>
    <w:rsid w:val="00556ED7"/>
    <w:rsid w:val="00586F0C"/>
    <w:rsid w:val="00597FEB"/>
    <w:rsid w:val="005A278E"/>
    <w:rsid w:val="005A325F"/>
    <w:rsid w:val="005A4F40"/>
    <w:rsid w:val="005A5A03"/>
    <w:rsid w:val="005B1037"/>
    <w:rsid w:val="005C610B"/>
    <w:rsid w:val="005D5146"/>
    <w:rsid w:val="005E7888"/>
    <w:rsid w:val="005F589B"/>
    <w:rsid w:val="005F65F8"/>
    <w:rsid w:val="005F77BA"/>
    <w:rsid w:val="00607570"/>
    <w:rsid w:val="006108F5"/>
    <w:rsid w:val="00624C09"/>
    <w:rsid w:val="00633AD7"/>
    <w:rsid w:val="00637BB6"/>
    <w:rsid w:val="006418D9"/>
    <w:rsid w:val="00641AB8"/>
    <w:rsid w:val="006535CA"/>
    <w:rsid w:val="00666592"/>
    <w:rsid w:val="006707E2"/>
    <w:rsid w:val="006816F3"/>
    <w:rsid w:val="006A5ACC"/>
    <w:rsid w:val="006A78C0"/>
    <w:rsid w:val="006D306F"/>
    <w:rsid w:val="006D6FEC"/>
    <w:rsid w:val="006E0BAB"/>
    <w:rsid w:val="006E5BAA"/>
    <w:rsid w:val="006F1E98"/>
    <w:rsid w:val="00704D0E"/>
    <w:rsid w:val="00705816"/>
    <w:rsid w:val="007116F2"/>
    <w:rsid w:val="007366BB"/>
    <w:rsid w:val="00741813"/>
    <w:rsid w:val="00763B99"/>
    <w:rsid w:val="00776FE1"/>
    <w:rsid w:val="007801AD"/>
    <w:rsid w:val="00782501"/>
    <w:rsid w:val="007908EB"/>
    <w:rsid w:val="007952FD"/>
    <w:rsid w:val="007A0984"/>
    <w:rsid w:val="007A3FC1"/>
    <w:rsid w:val="007B162D"/>
    <w:rsid w:val="007C2824"/>
    <w:rsid w:val="007C31A5"/>
    <w:rsid w:val="007D67B1"/>
    <w:rsid w:val="007E1384"/>
    <w:rsid w:val="007E509F"/>
    <w:rsid w:val="007E63B2"/>
    <w:rsid w:val="007E6DCF"/>
    <w:rsid w:val="007E6DF7"/>
    <w:rsid w:val="007F0C8F"/>
    <w:rsid w:val="007F1990"/>
    <w:rsid w:val="007F6497"/>
    <w:rsid w:val="00804406"/>
    <w:rsid w:val="008275AF"/>
    <w:rsid w:val="0083113C"/>
    <w:rsid w:val="008329C0"/>
    <w:rsid w:val="008500BF"/>
    <w:rsid w:val="00850594"/>
    <w:rsid w:val="0085141E"/>
    <w:rsid w:val="00851D56"/>
    <w:rsid w:val="00860C55"/>
    <w:rsid w:val="00864230"/>
    <w:rsid w:val="00874036"/>
    <w:rsid w:val="00877267"/>
    <w:rsid w:val="008777EA"/>
    <w:rsid w:val="008A46C8"/>
    <w:rsid w:val="008B55BA"/>
    <w:rsid w:val="008C22CC"/>
    <w:rsid w:val="008D1D31"/>
    <w:rsid w:val="008D5D92"/>
    <w:rsid w:val="008E6485"/>
    <w:rsid w:val="008F55BF"/>
    <w:rsid w:val="008F7AA8"/>
    <w:rsid w:val="009056DD"/>
    <w:rsid w:val="00930DF3"/>
    <w:rsid w:val="00931DA4"/>
    <w:rsid w:val="00942FA3"/>
    <w:rsid w:val="00952E4D"/>
    <w:rsid w:val="00984569"/>
    <w:rsid w:val="00985528"/>
    <w:rsid w:val="009945AB"/>
    <w:rsid w:val="009A2376"/>
    <w:rsid w:val="009B1CD8"/>
    <w:rsid w:val="009B2879"/>
    <w:rsid w:val="009B435F"/>
    <w:rsid w:val="009B66D5"/>
    <w:rsid w:val="009C61AA"/>
    <w:rsid w:val="009C6C9C"/>
    <w:rsid w:val="009E1556"/>
    <w:rsid w:val="009E1CBD"/>
    <w:rsid w:val="009E44F6"/>
    <w:rsid w:val="009E734E"/>
    <w:rsid w:val="009F14FE"/>
    <w:rsid w:val="00A120E4"/>
    <w:rsid w:val="00A1223A"/>
    <w:rsid w:val="00A1699D"/>
    <w:rsid w:val="00A17317"/>
    <w:rsid w:val="00A1761E"/>
    <w:rsid w:val="00A33540"/>
    <w:rsid w:val="00A34DCE"/>
    <w:rsid w:val="00A5434C"/>
    <w:rsid w:val="00A8277F"/>
    <w:rsid w:val="00A86DFB"/>
    <w:rsid w:val="00A90270"/>
    <w:rsid w:val="00A90317"/>
    <w:rsid w:val="00A964FB"/>
    <w:rsid w:val="00A97ECB"/>
    <w:rsid w:val="00AC469B"/>
    <w:rsid w:val="00AC683B"/>
    <w:rsid w:val="00AD01BE"/>
    <w:rsid w:val="00AD59F5"/>
    <w:rsid w:val="00AF016A"/>
    <w:rsid w:val="00AF5C90"/>
    <w:rsid w:val="00B028CF"/>
    <w:rsid w:val="00B03196"/>
    <w:rsid w:val="00B25E47"/>
    <w:rsid w:val="00B35A72"/>
    <w:rsid w:val="00B433ED"/>
    <w:rsid w:val="00B5338D"/>
    <w:rsid w:val="00B62844"/>
    <w:rsid w:val="00B67F1E"/>
    <w:rsid w:val="00B73ECB"/>
    <w:rsid w:val="00B75488"/>
    <w:rsid w:val="00B754CD"/>
    <w:rsid w:val="00B77102"/>
    <w:rsid w:val="00B81330"/>
    <w:rsid w:val="00BA50B3"/>
    <w:rsid w:val="00BA7DC0"/>
    <w:rsid w:val="00BB2B16"/>
    <w:rsid w:val="00BD5685"/>
    <w:rsid w:val="00BF07C6"/>
    <w:rsid w:val="00BF2D23"/>
    <w:rsid w:val="00BF345C"/>
    <w:rsid w:val="00BF6411"/>
    <w:rsid w:val="00BF6B3F"/>
    <w:rsid w:val="00C04005"/>
    <w:rsid w:val="00C23B26"/>
    <w:rsid w:val="00C31F3B"/>
    <w:rsid w:val="00C3308A"/>
    <w:rsid w:val="00C378D4"/>
    <w:rsid w:val="00C635D5"/>
    <w:rsid w:val="00C7306B"/>
    <w:rsid w:val="00C919F3"/>
    <w:rsid w:val="00CA0B69"/>
    <w:rsid w:val="00CA3A81"/>
    <w:rsid w:val="00CA784E"/>
    <w:rsid w:val="00CB1FBA"/>
    <w:rsid w:val="00CC297A"/>
    <w:rsid w:val="00D00D44"/>
    <w:rsid w:val="00D0751E"/>
    <w:rsid w:val="00D1474A"/>
    <w:rsid w:val="00D16265"/>
    <w:rsid w:val="00D323C4"/>
    <w:rsid w:val="00D349E6"/>
    <w:rsid w:val="00D40886"/>
    <w:rsid w:val="00D40D63"/>
    <w:rsid w:val="00D53649"/>
    <w:rsid w:val="00D60DF2"/>
    <w:rsid w:val="00D80871"/>
    <w:rsid w:val="00DB7A85"/>
    <w:rsid w:val="00DD5065"/>
    <w:rsid w:val="00DE3EF8"/>
    <w:rsid w:val="00DE5945"/>
    <w:rsid w:val="00DE6B25"/>
    <w:rsid w:val="00DE7FFA"/>
    <w:rsid w:val="00DF31E1"/>
    <w:rsid w:val="00DF3F5B"/>
    <w:rsid w:val="00E111E0"/>
    <w:rsid w:val="00E13CF6"/>
    <w:rsid w:val="00E1410B"/>
    <w:rsid w:val="00E235D5"/>
    <w:rsid w:val="00E364F6"/>
    <w:rsid w:val="00E42F30"/>
    <w:rsid w:val="00E4756D"/>
    <w:rsid w:val="00E47DEE"/>
    <w:rsid w:val="00E61AE1"/>
    <w:rsid w:val="00E65888"/>
    <w:rsid w:val="00E730E6"/>
    <w:rsid w:val="00E8534D"/>
    <w:rsid w:val="00E90993"/>
    <w:rsid w:val="00E92E6A"/>
    <w:rsid w:val="00E94082"/>
    <w:rsid w:val="00EA3AAA"/>
    <w:rsid w:val="00EB0F86"/>
    <w:rsid w:val="00EB21CE"/>
    <w:rsid w:val="00EC6DB5"/>
    <w:rsid w:val="00F10DEC"/>
    <w:rsid w:val="00F1290E"/>
    <w:rsid w:val="00F37BE0"/>
    <w:rsid w:val="00F40AA2"/>
    <w:rsid w:val="00F47B8A"/>
    <w:rsid w:val="00F7022E"/>
    <w:rsid w:val="00F830AA"/>
    <w:rsid w:val="00F85368"/>
    <w:rsid w:val="00F9061E"/>
    <w:rsid w:val="00FC210C"/>
    <w:rsid w:val="00FD49B5"/>
    <w:rsid w:val="00FE084B"/>
    <w:rsid w:val="00FE1A7B"/>
    <w:rsid w:val="00FE5D6B"/>
    <w:rsid w:val="00FF66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F85368"/>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titul">
    <w:name w:val="Subtitle"/>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paragraph" w:styleId="Bezmezer">
    <w:name w:val="No Spacing"/>
    <w:uiPriority w:val="1"/>
    <w:qFormat/>
    <w:rsid w:val="00874036"/>
    <w:rPr>
      <w:rFonts w:ascii="Calibri" w:eastAsia="Calibri" w:hAnsi="Calibri"/>
      <w:sz w:val="22"/>
      <w:szCs w:val="22"/>
      <w:lang w:eastAsia="en-US"/>
    </w:rPr>
  </w:style>
  <w:style w:type="paragraph" w:styleId="Odstavecseseznamem">
    <w:name w:val="List Paragraph"/>
    <w:basedOn w:val="Normln"/>
    <w:uiPriority w:val="72"/>
    <w:qFormat/>
    <w:rsid w:val="001F1D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F85368"/>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titul">
    <w:name w:val="Subtitle"/>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paragraph" w:styleId="Bezmezer">
    <w:name w:val="No Spacing"/>
    <w:uiPriority w:val="1"/>
    <w:qFormat/>
    <w:rsid w:val="00874036"/>
    <w:rPr>
      <w:rFonts w:ascii="Calibri" w:eastAsia="Calibri" w:hAnsi="Calibri"/>
      <w:sz w:val="22"/>
      <w:szCs w:val="22"/>
      <w:lang w:eastAsia="en-US"/>
    </w:rPr>
  </w:style>
  <w:style w:type="paragraph" w:styleId="Odstavecseseznamem">
    <w:name w:val="List Paragraph"/>
    <w:basedOn w:val="Normln"/>
    <w:uiPriority w:val="72"/>
    <w:qFormat/>
    <w:rsid w:val="001F1D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885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16%20Vypo&#345;&#225;d&#225;n&#237;%20p&#345;ipom&#237;ne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0FF84957BE462FA9013140236C6662"/>
        <w:category>
          <w:name w:val="Obecné"/>
          <w:gallery w:val="placeholder"/>
        </w:category>
        <w:types>
          <w:type w:val="bbPlcHdr"/>
        </w:types>
        <w:behaviors>
          <w:behavior w:val="content"/>
        </w:behaviors>
        <w:guid w:val="{EA4F7A2C-4EA2-4D76-B1A2-D42B6FC8E1C8}"/>
      </w:docPartPr>
      <w:docPartBody>
        <w:p w:rsidR="00741EC5" w:rsidRDefault="00741EC5">
          <w:pPr>
            <w:pStyle w:val="880FF84957BE462FA9013140236C6662"/>
          </w:pPr>
          <w:r w:rsidRPr="00136958">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EC5"/>
    <w:rsid w:val="00524E42"/>
    <w:rsid w:val="006E61FC"/>
    <w:rsid w:val="00741EC5"/>
    <w:rsid w:val="0080284D"/>
    <w:rsid w:val="00852745"/>
    <w:rsid w:val="00B03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80FF84957BE462FA9013140236C6662">
    <w:name w:val="880FF84957BE462FA9013140236C666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80FF84957BE462FA9013140236C6662">
    <w:name w:val="880FF84957BE462FA9013140236C66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P-16 Vypořádání připomínek.dotm</Template>
  <TotalTime>0</TotalTime>
  <Pages>6</Pages>
  <Words>1706</Words>
  <Characters>10716</Characters>
  <Application>Microsoft Office Word</Application>
  <DocSecurity>0</DocSecurity>
  <Lines>89</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12398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creator>Kovandová Libuše</dc:creator>
  <cp:lastModifiedBy>Brůžková Pavla</cp:lastModifiedBy>
  <cp:revision>2</cp:revision>
  <cp:lastPrinted>2004-04-02T05:53:00Z</cp:lastPrinted>
  <dcterms:created xsi:type="dcterms:W3CDTF">2017-09-14T11:23:00Z</dcterms:created>
  <dcterms:modified xsi:type="dcterms:W3CDTF">2017-09-14T11:23:00Z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