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IV.</w:t>
      </w:r>
    </w:p>
    <w:p w:rsidR="008C498E" w:rsidRPr="003161C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 w:rsidRPr="003161CE"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</w:t>
      </w:r>
    </w:p>
    <w:p w:rsidR="003161CE" w:rsidRPr="00B5641F" w:rsidRDefault="003161CE" w:rsidP="003161CE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 w:rsidRPr="00B5641F">
        <w:rPr>
          <w:rFonts w:ascii="Arial" w:eastAsia="Arial" w:hAnsi="Arial" w:cs="Arial"/>
          <w:b/>
          <w:sz w:val="24"/>
          <w:szCs w:val="24"/>
        </w:rPr>
        <w:t>Návrh programu na podporu aplikovaného výzkumu, experimentálního vývoje a inovací Národní centra kompetence</w:t>
      </w:r>
    </w:p>
    <w:p w:rsidR="00001E1D" w:rsidRPr="00001E1D" w:rsidRDefault="003161CE">
      <w:pPr>
        <w:spacing w:before="240" w:after="240"/>
        <w:jc w:val="both"/>
        <w:rPr>
          <w:rFonts w:asciiTheme="minorHAnsi" w:eastAsia="Arial" w:hAnsiTheme="minorHAnsi" w:cs="Arial"/>
          <w:sz w:val="22"/>
          <w:szCs w:val="22"/>
        </w:rPr>
      </w:pPr>
      <w:r w:rsidRPr="003161CE">
        <w:rPr>
          <w:rFonts w:ascii="Arial" w:eastAsia="Arial" w:hAnsi="Arial" w:cs="Arial"/>
          <w:sz w:val="22"/>
          <w:szCs w:val="22"/>
        </w:rPr>
        <w:t>Dle Jednacího řádu vlády byl materiál rozeslán do meziresortního připomínkového řízení dopisem předsedy Technologické agentury České republiky dne 20. 12. 2018, s termínem dodání stanovisek do 9. 1. 2019. Vyhodnocení tohoto řízení je uvedeno v následující tabulce:</w:t>
      </w:r>
    </w:p>
    <w:tbl>
      <w:tblPr>
        <w:tblStyle w:val="1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 w:rsidRPr="003161CE" w:rsidTr="00971A55">
        <w:trPr>
          <w:trHeight w:val="340"/>
        </w:trPr>
        <w:tc>
          <w:tcPr>
            <w:tcW w:w="1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</w:tcPr>
          <w:p w:rsidR="008C498E" w:rsidRPr="003161CE" w:rsidRDefault="002F4D84">
            <w:pPr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Resort</w:t>
            </w:r>
          </w:p>
        </w:tc>
        <w:tc>
          <w:tcPr>
            <w:tcW w:w="5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</w:tcPr>
          <w:p w:rsidR="008C498E" w:rsidRPr="003161CE" w:rsidRDefault="002F4D84">
            <w:pPr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</w:tcPr>
          <w:p w:rsidR="008C498E" w:rsidRPr="003161CE" w:rsidRDefault="002F4D84">
            <w:pPr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Vypořádání</w:t>
            </w:r>
          </w:p>
        </w:tc>
      </w:tr>
      <w:tr w:rsidR="008C498E" w:rsidRPr="003161CE" w:rsidTr="0005165D">
        <w:trPr>
          <w:trHeight w:val="340"/>
        </w:trPr>
        <w:tc>
          <w:tcPr>
            <w:tcW w:w="17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C498E" w:rsidRPr="003161CE" w:rsidRDefault="00001E1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Akademie věd České Republiky</w:t>
            </w:r>
          </w:p>
        </w:tc>
        <w:tc>
          <w:tcPr>
            <w:tcW w:w="5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E1D" w:rsidRPr="003161CE" w:rsidRDefault="002F4D84" w:rsidP="002806A3">
            <w:pPr>
              <w:ind w:left="-306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  </w:t>
            </w:r>
            <w:r w:rsidR="006F11C2"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1) </w:t>
            </w:r>
            <w:r w:rsidR="00001E1D" w:rsidRPr="003161CE">
              <w:rPr>
                <w:rFonts w:ascii="Arial" w:eastAsia="Arial" w:hAnsi="Arial" w:cs="Arial"/>
                <w:b/>
                <w:sz w:val="22"/>
                <w:szCs w:val="22"/>
              </w:rPr>
              <w:t>Doporučující připomínka:</w:t>
            </w:r>
          </w:p>
          <w:p w:rsidR="00001E1D" w:rsidRPr="003161CE" w:rsidRDefault="00001E1D" w:rsidP="00001E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K části II – Předkládací zpráva:</w:t>
            </w:r>
          </w:p>
          <w:p w:rsidR="00001E1D" w:rsidRPr="003161CE" w:rsidRDefault="00001E1D" w:rsidP="00001E1D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498E" w:rsidRPr="003161CE" w:rsidRDefault="00001E1D" w:rsidP="003161C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V 2 větě je uvedeno, že: „Materiál obsahuje v části III. návrh na změnu programu Národní centra kompetence 1.“ Doporučujeme toto upřesnit, neboť část III je nadepsána „Program na podporu aplikovaného výzkumu, experimentálního vývoje a inovací Národní centra kompetence“.   </w:t>
            </w:r>
            <w:r w:rsidR="002F4D84" w:rsidRPr="003161CE">
              <w:rPr>
                <w:rFonts w:ascii="Arial" w:eastAsia="Arial" w:hAnsi="Arial" w:cs="Arial"/>
                <w:sz w:val="22"/>
                <w:szCs w:val="22"/>
              </w:rPr>
              <w:t>   </w:t>
            </w:r>
          </w:p>
        </w:tc>
        <w:tc>
          <w:tcPr>
            <w:tcW w:w="66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01E1D" w:rsidRPr="003161CE" w:rsidRDefault="00001E1D" w:rsidP="00001E1D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Akceptováno.</w:t>
            </w:r>
          </w:p>
          <w:p w:rsidR="00001E1D" w:rsidRPr="003161CE" w:rsidRDefault="00001E1D" w:rsidP="00001E1D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:rsidR="00001E1D" w:rsidRPr="003161CE" w:rsidRDefault="00001E1D" w:rsidP="00001E1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Předkládací zpráva byla upravena dle připomínky.</w:t>
            </w:r>
          </w:p>
          <w:p w:rsidR="008C498E" w:rsidRPr="003161CE" w:rsidRDefault="00001E1D" w:rsidP="00001E1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TA ČR podává návrh na změnu programu s původním názvem Národní centra kompetence 1. Materiál v části tři je pojmenován </w:t>
            </w:r>
            <w:r w:rsidR="002E2925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již dle navržené z</w:t>
            </w:r>
            <w:r w:rsidR="002806A3" w:rsidRPr="003161CE">
              <w:rPr>
                <w:rFonts w:ascii="Arial" w:eastAsia="Arial" w:hAnsi="Arial" w:cs="Arial"/>
                <w:sz w:val="22"/>
                <w:szCs w:val="22"/>
              </w:rPr>
              <w:t xml:space="preserve">měny, tedy novým názvem Národní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centra kompetence.</w:t>
            </w:r>
            <w:r w:rsidR="002F4D84" w:rsidRPr="003161CE">
              <w:rPr>
                <w:rFonts w:ascii="Arial" w:eastAsia="Arial" w:hAnsi="Arial" w:cs="Arial"/>
                <w:sz w:val="22"/>
                <w:szCs w:val="22"/>
              </w:rPr>
              <w:t>  </w:t>
            </w:r>
          </w:p>
        </w:tc>
      </w:tr>
      <w:tr w:rsidR="008C498E" w:rsidRPr="003161CE" w:rsidTr="0005165D">
        <w:trPr>
          <w:trHeight w:val="340"/>
        </w:trPr>
        <w:tc>
          <w:tcPr>
            <w:tcW w:w="171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C498E" w:rsidRPr="003161C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1C2" w:rsidRPr="003161CE" w:rsidRDefault="002806A3" w:rsidP="002806A3">
            <w:pPr>
              <w:widowControl w:val="0"/>
              <w:ind w:left="-590" w:firstLine="573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2) </w:t>
            </w:r>
            <w:r w:rsidR="006F11C2" w:rsidRPr="003161CE">
              <w:rPr>
                <w:rFonts w:ascii="Arial" w:eastAsia="Arial" w:hAnsi="Arial" w:cs="Arial"/>
                <w:b/>
                <w:sz w:val="22"/>
                <w:szCs w:val="22"/>
              </w:rPr>
              <w:t>Doporučující připomínka</w:t>
            </w:r>
          </w:p>
          <w:p w:rsidR="006F11C2" w:rsidRPr="003161CE" w:rsidRDefault="006F11C2" w:rsidP="006F11C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K části III - Program na podporu aplikovaného výzkumu, experimentálního vývoje a inovací Národní centra kompetence:</w:t>
            </w:r>
          </w:p>
          <w:p w:rsidR="006F11C2" w:rsidRPr="003161CE" w:rsidRDefault="006F11C2" w:rsidP="006F11C2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 bodu 5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DOBA TRVÁNÍ A TERMÍNY VYHLÁŠENÍ PROGRAMU) doporučujeme větu „Doba trvání projektů nesmí přesáhnout dobu trvání programu“ přesunout až na konec odstavce. V současném stavu může umístění této věty působit dojmem, že se týká pouze projektů spadajících do první veřejné soutěže programu. Týkat by se však měla všech veřejných soutěží programu.</w:t>
            </w: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 bodu 9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KRITÉRIA SPLNĚNÍ CÍLŮ PROGRAMU) 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kromě zmíněného probíhajícího rámcového programu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„Horizont 2020“ doporučeno s ohledem na dobu trvání programu zmínit též předpokládaný návazný 9. rámcový program „Horizont Evropa“.</w:t>
            </w:r>
          </w:p>
          <w:p w:rsidR="006F11C2" w:rsidRPr="003161CE" w:rsidRDefault="006F11C2" w:rsidP="006F11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 nadpisu bodu 13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je číslo bodu uvedeno duplicitně. Navrhujeme duplicitní číslo odstranit. </w:t>
            </w:r>
          </w:p>
          <w:p w:rsidR="006F11C2" w:rsidRPr="003161CE" w:rsidRDefault="006F11C2" w:rsidP="006F11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 bodu 17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je na konci 1. odstavce uvedeno, že: „K posílení výzkumných kapacit přispěla i Grantová agentura ČR, která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 letech 2011 a 2013 podpořila projekty na podporu excelence v základním výzkumu, kde je realizován špičkový multidisciplinární základní výzkum.“ Doporučujeme text „</w:t>
            </w:r>
            <w:r w:rsidRPr="00F46EC7">
              <w:rPr>
                <w:rFonts w:eastAsia="Arial"/>
              </w:rPr>
              <w:t>vletech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2011 a 2013“ nahradit textem „v letech 2012 až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2018“ a text „je realizován“ textem „byl realizován“.</w:t>
            </w:r>
          </w:p>
          <w:p w:rsidR="006F11C2" w:rsidRPr="003161CE" w:rsidRDefault="006F11C2" w:rsidP="006F11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806A3" w:rsidRPr="003161CE" w:rsidRDefault="006F11C2" w:rsidP="006F11C2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 bodu 17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 10. odstavci by měl být text: „v rámci většiny evropských zem“ nahrazen textem: „v rámci většiny evropských zemí“.</w:t>
            </w:r>
            <w:r w:rsidR="002F4D84" w:rsidRPr="003161CE">
              <w:rPr>
                <w:rFonts w:ascii="Arial" w:eastAsia="Arial" w:hAnsi="Arial" w:cs="Arial"/>
                <w:sz w:val="22"/>
                <w:szCs w:val="22"/>
              </w:rPr>
              <w:t>  </w:t>
            </w:r>
          </w:p>
          <w:p w:rsidR="008C498E" w:rsidRPr="003161CE" w:rsidRDefault="002F4D84" w:rsidP="006F11C2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  </w:t>
            </w:r>
          </w:p>
        </w:tc>
        <w:tc>
          <w:tcPr>
            <w:tcW w:w="6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Akceptováno.</w:t>
            </w: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Bod 5 byl upraven dle připomínky.</w:t>
            </w: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Bod 9 byl upraven dle připomínky.</w:t>
            </w: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Bod 13 byl upraven dle připomínky.</w:t>
            </w:r>
          </w:p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8C498E" w:rsidRPr="003161CE" w:rsidRDefault="006F11C2" w:rsidP="006F11C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Bod 17 byl upraven dle připomínky.</w:t>
            </w:r>
            <w:r w:rsidR="002F4D84" w:rsidRPr="003161CE">
              <w:rPr>
                <w:rFonts w:ascii="Arial" w:eastAsia="Arial" w:hAnsi="Arial" w:cs="Arial"/>
                <w:sz w:val="22"/>
                <w:szCs w:val="22"/>
              </w:rPr>
              <w:t>  </w:t>
            </w:r>
          </w:p>
        </w:tc>
      </w:tr>
      <w:tr w:rsidR="006F11C2" w:rsidRPr="003161CE" w:rsidTr="0005165D">
        <w:trPr>
          <w:trHeight w:val="340"/>
        </w:trPr>
        <w:tc>
          <w:tcPr>
            <w:tcW w:w="1718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:rsidR="006F11C2" w:rsidRPr="003161CE" w:rsidRDefault="006F11C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6F11C2" w:rsidRPr="003161CE" w:rsidRDefault="006F11C2" w:rsidP="006F11C2">
            <w:pPr>
              <w:ind w:left="-17" w:firstLine="17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3) Doporučující připomínka:</w:t>
            </w:r>
          </w:p>
          <w:p w:rsidR="006F11C2" w:rsidRPr="003161CE" w:rsidRDefault="006F11C2" w:rsidP="006F11C2">
            <w:pPr>
              <w:ind w:left="-17" w:firstLine="17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806A3" w:rsidRPr="003161CE" w:rsidRDefault="006F11C2" w:rsidP="006F11C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Sloučením NCK 1 a NCK 2 si TA ČR omezuje možnost výrazněji zasáhnout do pravidel výzvy v případě potřeby před vyhlášením NCK 2. Doporučujeme znovu pečlivě zvážit, jestli výhody sloučení NCK 1 a NCK 2 převažují nad možností upravit pravidla pro optimalizaci výzvy NCK 2.</w:t>
            </w:r>
          </w:p>
        </w:tc>
        <w:tc>
          <w:tcPr>
            <w:tcW w:w="665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</w:tcPr>
          <w:p w:rsidR="006F11C2" w:rsidRPr="003161CE" w:rsidRDefault="006F11C2" w:rsidP="006F11C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Akceptováno. </w:t>
            </w:r>
          </w:p>
          <w:p w:rsidR="002806A3" w:rsidRPr="003161CE" w:rsidRDefault="002806A3" w:rsidP="006F11C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6F11C2" w:rsidRPr="003161CE" w:rsidRDefault="006F11C2" w:rsidP="006F11C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Připomínka vzata na vědomí.</w:t>
            </w: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Svaz průmyslu a dopravy ČR </w:t>
            </w:r>
          </w:p>
        </w:tc>
        <w:tc>
          <w:tcPr>
            <w:tcW w:w="5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6D7A5C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Svaz žádá zajištění stejných podmínek pro stávající projekty podpořené ze současného programu NCK 1 s pr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ojekty,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které budou podpořeny ze sloučeného programu NCK.</w:t>
            </w:r>
          </w:p>
          <w:p w:rsidR="00A501FC" w:rsidRPr="003161CE" w:rsidRDefault="00A501FC" w:rsidP="00A501FC">
            <w:pPr>
              <w:spacing w:after="120"/>
              <w:ind w:left="119" w:firstLine="22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Program nyní implikuje nerovnost pro účastníky stávajícího programu NCK 1 a následujících výzev nového programu NCK. Nerovnost je nyní pa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trná v tom, že projekty řešené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v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rámci stávajícího pro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gramu NCK1 musely být navrženy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2 roky řešení (do konce 2020) a pokud budou chtít využít prodloužení o dva roky (celkově na 4 roky), pak musí projít průběžným hodnocením projektů. Navržené znění programu nyní umožňuje, aby druhá nebo další výzva nepožadovala takový formát projektů, které mají v průběhu řešení (například po dvou nebo třech letech) průběžné hodnocení. Princip průběžného (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mid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>term</w:t>
            </w:r>
            <w:proofErr w:type="spellEnd"/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) hodnocení byl uplatňován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u programu Centra 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>Kompetence, nyní 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uplatňován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u projektů NCK1 a u plánovaného sloučeného programu NCK plánován není, pro druhou 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další výzvy. Stejně jako je v 5. odstavci navrhovaného programu NCK uveden explicitně postup pro časový plán p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rojektů v první výzvě (NCK 1),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tak by měl být uveden i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další výzvy. Chybí zde také uvedení, na kolik let bu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dou podpořeny projekty z druhé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dalších výzev. Dá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předpokládat, že do konce trvání programu NCK, ale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mělo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 by to být explicitně uvedeno.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Nebo může být uvedeno, že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 jsou přípustné projekty např.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na 4 až 6 let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průběžným hodnocením v polovině řešení. Program tak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bude obsahovat strategicky důležitou informaci i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stávající řešitele projektů ze současného programu NCK 1, kteří musí plánovat další budoucnost dlouhodobého aplikovaného výzkumu v perspektivních sektorech české ekonomiky.</w:t>
            </w:r>
          </w:p>
        </w:tc>
        <w:tc>
          <w:tcPr>
            <w:tcW w:w="6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Částečně akceptováno. 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TA ČR k objasnění plánovaného průběžného hodnocení upřesnila text v části programu „Hodnocení řešených projektů“ na straně 9.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Dále TA ČR upravila v programu dobu trvání projektů podpořených z další veřejné soutěže.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jdgxs" w:colFirst="0" w:colLast="0"/>
            <w:bookmarkEnd w:id="0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Lze shrnout, že průběžné hodnocení projektů je plánováno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u projektů podpořených v rámci všech vyhlašovaných veřejných soutěží. Pro projekty z 1. VS bude probíhat v roce 2020 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projekty z 2. VS se předpokládá jeho průběh v</w:t>
            </w:r>
            <w:r w:rsidR="003A5F4A">
              <w:rPr>
                <w:rFonts w:ascii="Arial" w:eastAsia="Arial" w:hAnsi="Arial" w:cs="Arial"/>
                <w:sz w:val="22"/>
                <w:szCs w:val="22"/>
              </w:rPr>
              <w:t xml:space="preserve"> polovině doby </w:t>
            </w:r>
            <w:r w:rsidR="003A5F4A">
              <w:rPr>
                <w:rFonts w:ascii="Arial" w:eastAsia="Arial" w:hAnsi="Arial" w:cs="Arial"/>
                <w:sz w:val="22"/>
                <w:szCs w:val="22"/>
              </w:rPr>
              <w:lastRenderedPageBreak/>
              <w:t>jejich řešení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. Tato hodnocení budou v souladu s předpokládanými kritérii, která jsou stanovena v programu, příp. v souladu se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zadávací dokumentací k jednotlivým veřejným soutěžím. Uchazeči budou znát požadavky k průběhu hodnocení min. 6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měsíců před jeho zahájením.</w:t>
            </w: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Nepředpokládá se, že průběžné hodnoce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ní projektů podpořených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 rámci 1. VS bude v tak velké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m rozsahu, jako bylo prováděno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u programu Centra kompetence. Předpokládaným hlavní vstupem pro průběžné hodnocení projektů podpořených v rámci 1. VS budou průběžné zprávy za první rok řešení.</w:t>
            </w:r>
          </w:p>
          <w:p w:rsidR="00A501FC" w:rsidRPr="003161CE" w:rsidRDefault="00A501FC" w:rsidP="0079493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414509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Je třeba stanovit možnosti pokračování projektů podpořených ze stávajícího programu NCK 1 </w:t>
            </w:r>
          </w:p>
          <w:p w:rsidR="00A501FC" w:rsidRPr="003161CE" w:rsidRDefault="00A501FC" w:rsidP="00A501FC">
            <w:pPr>
              <w:spacing w:after="120"/>
              <w:ind w:left="-23" w:firstLine="23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3161C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programu NCK 1 i NCK je uvedeno, že projekty z první veřejné soutěže trvají do roku 2020 s možností prodloužení do roku 2022. V roce 2020 má být však vyhlášena případná druhá veřejná soutěž programu NCK. Nikde není stanoveno kdy, jak a na základě čeho se mají stávající projekty rozhodnout, zda se mají účastnit druhé veřejné soutěže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nebo projekt prodloužit o dva roky. Je zde třeba explicitně uvést, že stávající projekty budou moci podstoupit oba druhy hodnocení (tedy jednak navrhnout nový projekt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období 2021 a dále a současně navrhnout prodloužení stávajícího projektu o 2 roky. Zde je vážný problém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tím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jak zajistit dodržení pravidel platného programu NCK 1 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současně zajistit rovnost podmínek soutěže ve druhé výzvě pro nová konsorcia, do které se budou moc přihlásit i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stávající konsorcia (řešící projekty z 1. výzvy). Je třeba vzít v úvahu, že poskytovatel přiměl konsorcia řešitelů, aby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vytvořila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založila uskupení národních center kompetence a tato uskupení žádala o podporu projektu národní centra kompetence. Tedy existují nyní již založená a dle pravidel fungující uskupení národních center kompetence a ta řeší projekty NCK 1, ale nejedná se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shodný objekt. Nyní je třeba Programem NCK 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výzvami zamezit tomu, aby byli žadatelé z řad již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existujících NCK (uskupení) nuceni zakládat znovu nová 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NCK(</w:t>
            </w:r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>uskupení), která by se ucházela v soutěži o řešení projektu NCK (projekt). Je třeba počítat s faktem, že žadateli o projekty NCK jsou NCK (uskupení), která již existují. Nová uskupení však mohou vzniknout, nicméně nemusí, pokud stávající NCK(uskupení) bu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de usilovat o nový projekt NCK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druhé výzvě. Dále je třeba řešit situaci a fakt, že uskupení NCK může teoreticky řešit více projektů NCK, tedy například dokončovat projekt NCK z 1. výzvy a současně začínat projekt nový od roku 2021. Tato situace již například nastala při překryvu dobíhajících 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CK a začínajících NCK 1 u týmů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konsorcií se shodnou kapacitou, kde je postupný „náběh“ NCK na končící CK.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Smyslem druhé veřejné soutěže není zakládat centra stejného nebo podobného zaměření, jako jsou již vytvořená, ale podpořit kontinuitu již vytvořených center NCK a umožnit zahájení činnosti center NCK pro nová zaměření.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Program a předkládací zpráva byly upraveny dle připomínky:</w:t>
            </w:r>
          </w:p>
          <w:p w:rsidR="00A501FC" w:rsidRPr="003161CE" w:rsidRDefault="00A501FC" w:rsidP="00A501FC">
            <w:pPr>
              <w:spacing w:before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“Uchazeči a již vzniklá národní centra kompetence z první veřejné soutěže se mohou účastnit dalších veřejných soutěží programu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NCK. Poskytovatel zajistí, aby nedocházelo k dvojímu financování výzkumných aktivit a výsledků projektů v rámci veřejných soutěží.” </w:t>
            </w:r>
          </w:p>
          <w:p w:rsidR="00A501FC" w:rsidRPr="003161CE" w:rsidRDefault="00A501FC" w:rsidP="00A501FC">
            <w:pPr>
              <w:spacing w:before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Dále byla rozšířena předkládací zpráva o následující:</w:t>
            </w:r>
          </w:p>
          <w:p w:rsidR="00A501FC" w:rsidRPr="003161CE" w:rsidRDefault="00A501FC" w:rsidP="00A501FC">
            <w:pPr>
              <w:spacing w:before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Aby nedocházelo k dvojímu financování výzkumných aktivit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a výsledků projektů, mohou se uchazeči projektů z první veřejné soutěže účastnit dalších veřejných soutěží programu NCK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v následujících variantách:</w:t>
            </w:r>
          </w:p>
          <w:p w:rsidR="00A501FC" w:rsidRPr="003161CE" w:rsidRDefault="00A501FC" w:rsidP="00014422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varianta: podáním projektu č. 2 do 2. VS soutěže, který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bude stejného nebo obdobného tematického zaměření jako projekt č. 1 z 1. VS. V případě, že bude projekt č. 2 podpořen a bude realizován, musí být ukončen první projekt (tudíž nemůže být tento projekt prodloužen 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další dva roky),</w:t>
            </w:r>
          </w:p>
          <w:p w:rsidR="00A501FC" w:rsidRPr="003161CE" w:rsidRDefault="00A501FC" w:rsidP="00014422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varianta: podáním projektu č. 2 do 2. VS, který však bude mít jiné tematické zaměření a bude plánovat jiné aktivity,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než projekt č. 1 z 1. VS. V tomto případě pak může být první projekt prodloužen, a to za splnění stanovených podmínek v programu a zadávací dokumentaci.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DF1463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Žádáme o vyjasnění, u kterých projektů proběhne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midterm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hodnocení.</w:t>
            </w:r>
          </w:p>
          <w:p w:rsidR="00A501FC" w:rsidRPr="003161CE" w:rsidRDefault="00A501FC" w:rsidP="00A501FC">
            <w:pPr>
              <w:spacing w:after="120"/>
              <w:ind w:left="-23" w:firstLine="23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Ustanovení programu NCK v bodě 16 požaduje: „Pro účely poskytnutí podpory na další období budou muset projekty splnit požadavky stanovené programem a zadávací dokumentací. Příjemce předloží návrh na řešení projektu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v dalším období a tento návrh bude poskytovatelem hodnocen. Předpokládaná kritéria hodnocení: ...“ avšak zde není vymezeno, jestli toto platí pouze pro projekty z první výzvy (NCK 1), nebo i pro projekty z dalších výzev (viz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předchozí bod). Tuto část odstavce 16. je třeba upravit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ve vazbě na upřesněný popis časových limitů na projekty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a jejich „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midterm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“ hodnocení ve druhé a další výzvě,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v odstavci 5.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 a vysvětleno: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Taktéž v souvislosti s první připomínkou byla kapitola 16. část ”Hodnocení řešených projektů” v návrhu programu upřesněna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a popisuje následující formy hodnocení projektů: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014422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lastRenderedPageBreak/>
              <w:t>každoroční vyhodnocení projektů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- financování 19 %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z neveřejných zdrojů bude probíhat u všech projektů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(ze všech veřejných soutěží), a to formou průběžných ročních zpráv, které pravidelně příjemce zasílá TA ČR. Rozpočet centra NCK na daný rok bude vyplácen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základě průběžné zprávy. Předpokládá se, že součástí průběžné zprávy bude informace o splnění povinnosti zajistit příjmy z komercializačních aktivit. U projektů, podpořených z 1. VS, proběhne v roce 2020;</w:t>
            </w:r>
          </w:p>
          <w:p w:rsidR="00A501FC" w:rsidRPr="003161CE" w:rsidRDefault="00A501FC" w:rsidP="00014422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průběžné hodnocení realizovaných projektů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- jím je myšleno plnění strategické 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výzkumné agendy, cílů programu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dalších povinností dle § 13 Zákona.  Předpokládaným hlavní vstupem pro průběžné hodnocení projektů podpořených v rámci 1. VS budou průběžné zprávy za první rok řešení. U projektů podpořených z 2.VS se předpokládá jeho průběh v roce 2023 a zapojení zahraničních hodnotitelů.</w:t>
            </w:r>
          </w:p>
          <w:p w:rsidR="00A501FC" w:rsidRPr="003161CE" w:rsidRDefault="00A501FC" w:rsidP="003161CE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hodnocení projektů z 1VS v případě, že budou chtít prodloužit projekt o další dva roky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- podmínky stanoveny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v programu + zadávací dokumentaci. Proběhne v roce 2020 a v případě kladného hodnocení bude doba řešení projektu prodloužena do konce roku 2022. Podrobnosti tohoto hodnocení budou zveřejněny nejméně šest měsíců před požadovaným termínem předložení žádosti 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 p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rodloužení</w:t>
            </w:r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projektu.</w:t>
            </w: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552D32" w:rsidRDefault="00552D32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Je nutné řešit časový harmonogram druhé výzvy NCK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i průběžného hodnocení projektů ze stávající výzvy NCK 1.</w:t>
            </w:r>
          </w:p>
          <w:p w:rsidR="00A501FC" w:rsidRPr="003161CE" w:rsidRDefault="00A501FC" w:rsidP="00A501FC">
            <w:pPr>
              <w:spacing w:after="120"/>
              <w:ind w:firstLine="141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3161C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Všechny stávající projekty NCK 1 jsou schváleny pouze do 31. 12. 2020. Program byl koncipován pro dlouhodobou spolupráci průmyslu a výzkumné sféry. Proto musela konsorcia řešitelů v jednotlivých perspektivních sektorech české ekonomiky založit uskupení Národních center kompetence – NCK (uskupení). Tato konsorcia řešitelů byla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informována, že TA ČR zajistí podmínky, aby jejich týmy mohly pokračovat i po roce 2020 v zahájené výzkumné spolupráci. Konsorcia by měla vědět, jestli pokračují v roce 2021 pokračováním stá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vajícího projektu (prodloužení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průběžném hodnocení), nebo novým navazujícím projektem (projekt z výzvy 2) alespoň 6 měsíců předem, tzn., aby byly známé výsledky 2. výzvy a také průběžného hodnocení pokračujících projektů přibližně v 6/2020. Proto je třeba, aby byla 2. výzva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 a průběžné hodnocení zahájeny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 2/2020. Problém je, že se pak dají řešené projekty hodnotit pouze na základě prvního roku řešení projektu. Jako celkově vhodnější se jeví varianta, kdy by výzva pro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projekty zahajované od 2021 byla vypsána 10/2019 se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známými výsledky 3/2020 a konsorcia stávajících NCK, která by neuspěla v návrzích na nové projekty NCK od 2021 by mohla následně žádat o prodloužení a proběhlo by u nich průběžné hodnocení v období 4/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2020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- 6</w:t>
            </w:r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>/2020. Pak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by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všechna konsorcia a uskupení věděla s předstihem nejméně 6 měsíců, jestli mohou pokračovat, anebo jestli musí rušit svoje kapacity.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79493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Připomínka vzata na vědomí. </w:t>
            </w:r>
          </w:p>
          <w:p w:rsidR="00552D32" w:rsidRDefault="00552D32" w:rsidP="0079493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79493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TA ČR tento časový harmonogram stručně popsala do předkládací zprávy.</w:t>
            </w: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552D32" w:rsidRDefault="00552D32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Žádáme o stanovení limitu na nejvyšší povolenou intenzitu podpory na projekt.</w:t>
            </w: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3161C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V Programu NCK 1 byl v odstavci 13. uveden limit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nejvyšší povolenou intenzitu podpory na projekt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hodnotou 90 %. V předloženém návrhu programu chybí informace 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limitu podpory na projekt. Teoreticky pak výklad pro druhou a další výzvu umožňuje přijímat projekty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jakoukoli mírou podpory. Pokud se má za to, že 80 % 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vhodný limit pro program i pro samotné projekty, pak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vhodné, aby program obsahoval opět formulaci limitu na projekt. Např.: „Nejvyšší povolená intenzita podpory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projekt je 80 %.“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Akceptováno. </w:t>
            </w:r>
          </w:p>
          <w:p w:rsidR="00552D32" w:rsidRDefault="00552D32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Program byl doplněn dle připomínky.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DF1463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Nejvyšší povolená intenzita podpory na projekt je 90 %. Poskytovatel může tuto intenzitu podpory dále upřesnit ve smyslu snížení v zadávací dokumentaci k dané veřejné soutěži.</w:t>
            </w: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EC06ED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Svaz žádá o vymezení druhé skupiny u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chazečů uvedených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 části 11 odst. 3 na str. 6 návrhu programu: „Další fyzické osoby a právnické osob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y veřejného i soukromého práva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bez ohledu na právní formu či způsob financování, které budou vykonávat činnosti, na něž je podpora poskytována mimo režim veřejné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 podpory, tj. nebude se jednat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o podniky.“</w:t>
            </w:r>
          </w:p>
          <w:p w:rsidR="00A501FC" w:rsidRPr="003161CE" w:rsidRDefault="00A501FC" w:rsidP="00A501FC">
            <w:pPr>
              <w:spacing w:after="120"/>
              <w:ind w:left="-23" w:firstLine="23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3161C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Mimo režim veřejné podpory mohou být dotace poskytovány nejrůznějšími způsoby a není zřejmé, který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způsob má předkladatel na mysli a zejména proč 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tento režim navrhován. V předkládaném materiálu by toto mělo být jasně uvedeno a odůvodněno.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Akceptováno.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Program byl upraven dle připomínky (fyzické osoby byly vyškrtnuty) a dle návrhu SP ČR byla upravena textace: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DF1463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“</w:t>
            </w: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Další právnické osoby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veřejného i soukromého práva bez ohledu na právní formu či způsob financování, které budou vykonávat neekonomické (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nehospodářské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>) činnosti, tj. nebude se jednat 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podniky ve smyslu pravidel veřejné podpory.”</w:t>
            </w:r>
          </w:p>
          <w:p w:rsidR="00A501FC" w:rsidRPr="003161CE" w:rsidRDefault="00A501FC" w:rsidP="0079493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A501FC" w:rsidRPr="003161CE" w:rsidTr="00A501FC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501FC" w:rsidRPr="003161CE" w:rsidRDefault="00A501FC" w:rsidP="00014422">
            <w:pPr>
              <w:numPr>
                <w:ilvl w:val="0"/>
                <w:numId w:val="7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EC06ED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Svaz žádá o vypuštění nebo specifikaci následující věty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v části 11 odst. 7 na str. 6  návrhu programu: „Okruh uchazečů může oproti programu zúžit zadávací dokumentace k veřejné soutěži.“ </w:t>
            </w:r>
          </w:p>
          <w:p w:rsidR="00A501FC" w:rsidRPr="003161CE" w:rsidRDefault="00A501FC" w:rsidP="00A501FC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Odůvodnění: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Z návrhu není zřejmé, jakým způsobem by mohl být okruh uchazečů zúžen, tj. které z uvedených tří  skupin uchazečů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by mohly být zadávací dokumentací vypuštěny:</w:t>
            </w:r>
          </w:p>
          <w:p w:rsidR="00A501FC" w:rsidRPr="003161CE" w:rsidRDefault="00A501FC" w:rsidP="00A501FC">
            <w:pPr>
              <w:tabs>
                <w:tab w:val="center" w:pos="993"/>
              </w:tabs>
              <w:ind w:left="70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- „Organizace pro výzkum a šíření znalostí (dále jen „výzkumné organizace“)“,</w:t>
            </w:r>
          </w:p>
          <w:p w:rsidR="00A501FC" w:rsidRPr="003161CE" w:rsidRDefault="00A501FC" w:rsidP="00A501FC">
            <w:pPr>
              <w:tabs>
                <w:tab w:val="center" w:pos="993"/>
              </w:tabs>
              <w:ind w:left="70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- „Další fyzické osoby a právnické osoby (které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budou vykonávat činnosti, na něž je podpora poskytována mimo režim veřejné podpory, tj.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nebude se jednat o podniky)“,</w:t>
            </w:r>
          </w:p>
          <w:p w:rsidR="00A501FC" w:rsidRPr="003161CE" w:rsidRDefault="00A501FC" w:rsidP="00A501FC">
            <w:pPr>
              <w:tabs>
                <w:tab w:val="center" w:pos="993"/>
              </w:tabs>
              <w:ind w:left="70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- „Podniky“ </w:t>
            </w:r>
          </w:p>
          <w:p w:rsidR="00A501FC" w:rsidRPr="003161CE" w:rsidRDefault="00A501FC" w:rsidP="00552D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Vzhledem k cílům programu jde zřejmě o vypuštění druhé skupiny, což je ale třeba jednoznačně uvést a návazně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na předchozí připomínku specifikovat a odůvodnit. Pokud by mělo jít o vypuštění první nebo třetí skupiny uchazečů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(což stávající dikce návrhu programu umožňuje), SP ČR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tím zásadně nesouhlasí a žádá o vypuštění uvedené věty.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Akceptováno:</w:t>
            </w: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A501FC" w:rsidRPr="003161CE" w:rsidRDefault="00A501FC" w:rsidP="00014422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Předposlední odstavec programu části 11 byl změněn na "Okruh uchazečů může oproti programu zúžit zadávací dokumentace k veřejné soutěži vypuštěním druhé skupiny uchazečů".</w:t>
            </w:r>
          </w:p>
        </w:tc>
      </w:tr>
    </w:tbl>
    <w:tbl>
      <w:tblPr>
        <w:tblW w:w="143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1E1FBD" w:rsidRPr="003161CE" w:rsidTr="007F4582">
        <w:trPr>
          <w:trHeight w:val="340"/>
        </w:trPr>
        <w:tc>
          <w:tcPr>
            <w:tcW w:w="1718" w:type="dxa"/>
            <w:vMerge w:val="restart"/>
          </w:tcPr>
          <w:p w:rsidR="001E1FBD" w:rsidRPr="003161CE" w:rsidRDefault="001E1FBD" w:rsidP="001E1FBD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Úřad pro ochranu hospodářské soutěže</w:t>
            </w:r>
          </w:p>
        </w:tc>
        <w:tc>
          <w:tcPr>
            <w:tcW w:w="5961" w:type="dxa"/>
          </w:tcPr>
          <w:p w:rsidR="001E1FBD" w:rsidRPr="003161CE" w:rsidRDefault="001E1FBD" w:rsidP="001E1FBD">
            <w:pPr>
              <w:numPr>
                <w:ilvl w:val="0"/>
                <w:numId w:val="10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98080C" w:rsidRPr="003161CE" w:rsidRDefault="0098080C" w:rsidP="0098080C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Z předloženého materiálu není zcela zřejmé, zda Program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na podporu aplikovaného výzkumu, experimentálního vývoje a inovací Národní centra kompetence navazuje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na Program Národní centra kompetence 1 (dále jen „NCK 1“), který byl oznámen Evropské komisi (dále jen „Komise“) dle Nařízení Komise č. 651/2014 ze dne 17. června, kterým se v souladu s články 107 a 108 Smlouvy prohlašují určité kategorie podpory za slučitelné s vnitřním trhem (dále jen „GBER“) pod číslem SA. 50980 a bude oznámen dle GBER Komisi jako nový navazující program, nebo jestli by mělo dojít ke změně sloučením v současnosti účinného režimu NCK 1 s chystaným NCK 2 do jednoho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a to způsobem prodloužení doby trvání režimu NCK 1 resp. zvýšení jeho alokace o více než 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20%</w:t>
            </w:r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a následné pokračování režimu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n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ázvem pouze NCK. V případě prodloužení doby trvání režimu NCK 1 (sloučením s NCK2) by muselo dojít k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oznámení změn (doby trvání/navýšení rozpočtu) režimu NCK 1 Evropské komisi. 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98080C" w:rsidRPr="003161CE" w:rsidRDefault="001E1FBD" w:rsidP="003161C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Oficiální oznámení, případně prodloužení doby trvání režimu NCK 1, Evropské komisi musí být provedeno do 20 pracovních dnů ode dne, kdy opatření podpory nabylo účinnosti (= tzv. oznamovací lhůta), a to prostřednictvím Úřadu pro ochranu hospodářské soutěže.</w:t>
            </w:r>
          </w:p>
        </w:tc>
        <w:tc>
          <w:tcPr>
            <w:tcW w:w="6650" w:type="dxa"/>
          </w:tcPr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Akceptováno.</w:t>
            </w:r>
          </w:p>
          <w:p w:rsidR="0098080C" w:rsidRPr="003161CE" w:rsidRDefault="0098080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Program na podporu aplikovaného výzkumu, experimentálního vývoje a inovací Národní centra kompetence nenavazuje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Program Národní centra kompetence 1. 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Jde o změnu programu Národní centra kompetence 1, a to formou sloučení s původně plánovaným programem Národní centra kompetence 2 do jednoho programu -  Národní centra kompetence. Tato změna bude mít dopad na dobu trvání a rozpočet programu, který se zvýší o více než 20 %. Z toho důvodu předpokládáme, že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bude nutné provést oznámení na EK.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Bereme na vědomí maximální dobu, do které musí být tato změna nahlášena EK.</w:t>
            </w:r>
          </w:p>
        </w:tc>
      </w:tr>
      <w:tr w:rsidR="001E1FBD" w:rsidRPr="003161CE" w:rsidTr="007F4582">
        <w:trPr>
          <w:trHeight w:val="340"/>
        </w:trPr>
        <w:tc>
          <w:tcPr>
            <w:tcW w:w="1718" w:type="dxa"/>
            <w:vMerge/>
          </w:tcPr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5961" w:type="dxa"/>
          </w:tcPr>
          <w:p w:rsidR="001E1FBD" w:rsidRPr="003161CE" w:rsidRDefault="001E1FBD" w:rsidP="001E1FBD">
            <w:pPr>
              <w:numPr>
                <w:ilvl w:val="0"/>
                <w:numId w:val="10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Doporučující připomínka:</w:t>
            </w:r>
          </w:p>
          <w:p w:rsidR="00EC06ED" w:rsidRPr="003161CE" w:rsidRDefault="00EC06E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bodu 11 programu „Uchazeči a prokázaní jejich způsobilosti“ navrhuji následující změny: 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V odstavci 2 informaci týkající se oddělení hospodářských/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nehospodářských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činností navrhuji přeformulovat takto: Pokud výzkumné organizace vykonávají kromě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nehospodářských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činností i hospodářské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>činnosti, jsou povinny pro náklady a příjmy z těchto hospodářských činností vést oddělené účetnictví.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odstavci 3 větu „které budou vykonávat činnosti, na něž </w:t>
            </w:r>
            <w:r w:rsidR="00EC06ED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je podpora poskytována mimo režim veřejné podpory, </w:t>
            </w:r>
            <w:r w:rsidR="00EC06ED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tj. nebude se jednat o podniky“ doporučuji přeformulovat např. takto: „které budou vykonávat neekonomické (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nehospodářské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) činnosti, tj. nebude se jednat o podniky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ve smyslu pravidel veřejné podpory.“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Dále zde doporučuji také uvést, co se rozumí 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ekonomickými</w:t>
            </w:r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resp. neekonomickými činnostmi, tj. neekonomické činnosti jsou činnosti, při kterých nedochází k nabízení zboží/služeb na trhu (U výzkumných organizací se jedná zejména 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činnosti jmenované v bodě 19 Rámce).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98080C" w:rsidRPr="003161CE" w:rsidRDefault="001E1FBD" w:rsidP="003161C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Pokud jde o spolupráci podniků a výzkumných organizací, tak ze znění programu jednoznačně nevyplývá,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jak konkrétně bude upravena tato spolupráce, zejména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 ohledem na zabránění poskytnutí nepřímé výhody podnikům prostřednictvím výzkumné organizace. Předpokládám, že tato spolupráce bude konkrétně upravena v zadávací dokumentaci k veřejné soutěži.</w:t>
            </w:r>
          </w:p>
        </w:tc>
        <w:tc>
          <w:tcPr>
            <w:tcW w:w="6650" w:type="dxa"/>
          </w:tcPr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Akceptováno.</w:t>
            </w:r>
          </w:p>
          <w:p w:rsidR="0098080C" w:rsidRPr="003161CE" w:rsidRDefault="0098080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Bod 11 byl upraven dle připomínky.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Popis pojmů, co se rozumí ekonomickými resp. neekonomickými činnostmi, nepovažujeme za nutné uvádět do textu programu.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 kapitole 2 “Právní rámec programu” jsou uvedeny veškeré předpisy, které dané pojmy vysvětlují.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Problematika poskytnutí nepřímé výhody podnikům účastnících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se projektů NCK byla v době přípravy veřejné soutěže (březen 2018) několikrát diskutována s Vaším úřadem a se zástupci AK Holec, Zuska a partneři. Ve spolupráci s touto advokátní kanceláři bylo vypracováno stanovisko řešící právě otázku posouzení účinné výzkumné spolupráce dle v nařízení Komise (EU) č. 651/2014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a Sdělení Komise – Rámce pro státní podporu výzkumu, vývoje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a inovací z roku 2014, a to se zaměřením na hraniční případy, </w:t>
            </w:r>
            <w:r w:rsidR="00EC06ED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kdy výzkumná organizace v rámci spolupráce s podnikem obdrží finanční příspěvek z veřejných zdrojů. Stručná verze stanoviska byla publikována na webových stránkách TA ČR. 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Aby nedocházelo k nepřímé podpoře, mají uchazeči povinnost stanovit si podmínky zmíněné formy spolupráce v konsorciální smlouvě, a to v souladu s pravidly veřejné podpory. </w:t>
            </w:r>
            <w:r w:rsidR="00EC06ED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Tato konsorciální smlouva (nebo smlouva o smlouvě budoucí) musí být uzavřena ještě před podáním návrhu projektu.</w:t>
            </w: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1E1FBD" w:rsidRPr="003161CE" w:rsidTr="00EC06ED">
        <w:trPr>
          <w:trHeight w:val="340"/>
        </w:trPr>
        <w:tc>
          <w:tcPr>
            <w:tcW w:w="1718" w:type="dxa"/>
            <w:vMerge/>
            <w:tcBorders>
              <w:bottom w:val="nil"/>
            </w:tcBorders>
          </w:tcPr>
          <w:p w:rsidR="001E1FBD" w:rsidRPr="003161CE" w:rsidRDefault="001E1FBD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bottom w:val="nil"/>
            </w:tcBorders>
          </w:tcPr>
          <w:p w:rsidR="001E1FBD" w:rsidRPr="003161CE" w:rsidRDefault="001E1FBD" w:rsidP="001E1FBD">
            <w:pPr>
              <w:numPr>
                <w:ilvl w:val="0"/>
                <w:numId w:val="10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Doporučující připomínka:</w:t>
            </w:r>
          </w:p>
          <w:p w:rsidR="0098080C" w:rsidRPr="003161CE" w:rsidRDefault="0098080C" w:rsidP="0098080C">
            <w:p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K bodu 13 programu „Intenzita podpory“:</w:t>
            </w:r>
          </w:p>
          <w:p w:rsidR="0098080C" w:rsidRPr="003161CE" w:rsidRDefault="0098080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6C5218" w:rsidRPr="003161CE" w:rsidRDefault="001E1FBD" w:rsidP="003161C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Jelikož má být v programu využit článek 25 GBER, doporučuji přímo v textu uvést/odkázat na maximální dovolené intenzity čl. 25 GBER.</w:t>
            </w:r>
          </w:p>
        </w:tc>
        <w:tc>
          <w:tcPr>
            <w:tcW w:w="6650" w:type="dxa"/>
            <w:tcBorders>
              <w:bottom w:val="nil"/>
            </w:tcBorders>
          </w:tcPr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Akceptováno.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98080C" w:rsidRPr="003161CE" w:rsidRDefault="0098080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1E1FBD" w:rsidRPr="003161CE" w:rsidRDefault="001E1FBD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Program byl upraven dle připomínky - doplněn čl. 25 Nařízení </w:t>
            </w:r>
            <w:r w:rsidR="006C5218" w:rsidRPr="003161CE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Rámec.</w:t>
            </w:r>
          </w:p>
        </w:tc>
      </w:tr>
    </w:tbl>
    <w:tbl>
      <w:tblPr>
        <w:tblStyle w:val="1"/>
        <w:tblW w:w="14329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A501FC" w:rsidRPr="003161CE" w:rsidTr="00EC06ED">
        <w:trPr>
          <w:trHeight w:val="340"/>
        </w:trPr>
        <w:tc>
          <w:tcPr>
            <w:tcW w:w="1718" w:type="dxa"/>
            <w:vMerge w:val="restart"/>
          </w:tcPr>
          <w:p w:rsidR="00A501FC" w:rsidRPr="003161CE" w:rsidRDefault="00A501FC" w:rsidP="001F14A8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Úřad Vlády ČR – VÚV </w:t>
            </w:r>
          </w:p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61" w:type="dxa"/>
          </w:tcPr>
          <w:p w:rsidR="00A501FC" w:rsidRPr="003161CE" w:rsidRDefault="00A501FC" w:rsidP="001F14A8">
            <w:pPr>
              <w:numPr>
                <w:ilvl w:val="0"/>
                <w:numId w:val="11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Do části 2 Programu – Právní rámec programu, žádáme mezi strategie, které jsou brány v úvahu, explicitně zařadit Strategický rámec hospodářské restrukturalizace Ústeckého, Karlovarského a Moravskoslezského kraje, schválený usnesením č. 3/2017.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lastRenderedPageBreak/>
              <w:t>Zdůvodnění: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Pokud má program vést ke zvýšení konkurenceschopnosti ČR a podpoře perspektivních oborů aplikovaného výzkumu, je vhodné vedle RIS3 brát ohled také na další aspekty kohezní politiky ČR a EU, které jsou uvedeny ve výše uvedeném dokumentu k restrukturalizaci strukturálně postižených regionů.</w:t>
            </w:r>
          </w:p>
        </w:tc>
        <w:tc>
          <w:tcPr>
            <w:tcW w:w="6650" w:type="dxa"/>
          </w:tcPr>
          <w:p w:rsidR="00A501FC" w:rsidRPr="003161CE" w:rsidRDefault="00967F57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Akceptováno a doplněno do programu: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„…souladu s dalšími národními a resortními strategiemi, </w:t>
            </w:r>
            <w:r w:rsidRPr="003161CE">
              <w:rPr>
                <w:rFonts w:ascii="Arial" w:eastAsia="Arial" w:hAnsi="Arial" w:cs="Arial"/>
                <w:i/>
                <w:sz w:val="22"/>
                <w:szCs w:val="22"/>
              </w:rPr>
              <w:t>včetně Strategického rámce hospodářské restrukturalizace Ústeckého, Moravskoslezského a Karlovarského kraje.“</w:t>
            </w:r>
          </w:p>
        </w:tc>
      </w:tr>
      <w:tr w:rsidR="00A501FC" w:rsidRPr="003161CE" w:rsidTr="00EC06ED">
        <w:trPr>
          <w:trHeight w:val="340"/>
        </w:trPr>
        <w:tc>
          <w:tcPr>
            <w:tcW w:w="1718" w:type="dxa"/>
            <w:vMerge/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5961" w:type="dxa"/>
          </w:tcPr>
          <w:p w:rsidR="00A501FC" w:rsidRPr="003161CE" w:rsidRDefault="00A501FC" w:rsidP="001F14A8">
            <w:pPr>
              <w:numPr>
                <w:ilvl w:val="0"/>
                <w:numId w:val="11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Žádáme prodloužit dobu trvání programu nebo snížit počet veřejných soutěží na dvě (z nichž jedna již proběhla).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t>Zdůvodnění:</w:t>
            </w:r>
          </w:p>
          <w:p w:rsidR="00A501FC" w:rsidRPr="003161CE" w:rsidRDefault="00A501FC" w:rsidP="003161C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Pokud má být NCK funkční, pak musí existovat přiměřenou dobu, tj. podle zkušeností z programu Centra kompetence alespoň 6 let. Pokud bude financování projektů z 2. veřejné soutěže zahájeno v roce 2021, pak tuto podmínku při délce programu do roku 2026 splňuje pouze 1 nová soutěž. Navrhujeme program prodloužit do roku 2029 s tím, že 3. veřejná soutěž proběhne v roce 2022 a projekty budou financovány od roku 2023.</w:t>
            </w:r>
          </w:p>
        </w:tc>
        <w:tc>
          <w:tcPr>
            <w:tcW w:w="6650" w:type="dxa"/>
          </w:tcPr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 xml:space="preserve">Vysvětleno. 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TA ČR za připomínku děkuje a uvádí, že případnému návrhu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na prodloužení programu se nebrání. Nicméně návrh programu Národní centra kompetence vychází ze základních parametrů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k programu Národní centra kompetence 2, které TA ČR při přípravě programu Národní centra komp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etence 1 diskutovala a dohodla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Radou pro výzkum, vývoj a inovace. </w:t>
            </w:r>
          </w:p>
        </w:tc>
      </w:tr>
      <w:tr w:rsidR="00A501FC" w:rsidRPr="003161CE" w:rsidTr="00EC06ED">
        <w:trPr>
          <w:trHeight w:val="340"/>
        </w:trPr>
        <w:tc>
          <w:tcPr>
            <w:tcW w:w="1718" w:type="dxa"/>
            <w:vMerge/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</w:tcPr>
          <w:p w:rsidR="00A501FC" w:rsidRPr="003161CE" w:rsidRDefault="00A501FC" w:rsidP="001F14A8">
            <w:pPr>
              <w:numPr>
                <w:ilvl w:val="0"/>
                <w:numId w:val="11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části 6 Zaměření programu se uvádí: „Tematické zaměření projektů bude určeno kombinací přístupu </w:t>
            </w:r>
            <w:proofErr w:type="gramStart"/>
            <w:r w:rsidRPr="003161CE">
              <w:rPr>
                <w:rFonts w:ascii="Arial" w:eastAsia="Arial" w:hAnsi="Arial" w:cs="Arial"/>
                <w:sz w:val="22"/>
                <w:szCs w:val="22"/>
              </w:rPr>
              <w:t>top-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own</w:t>
            </w:r>
            <w:proofErr w:type="spellEnd"/>
            <w:proofErr w:type="gram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bottom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>-up. Ve vyhlášení veřejné soutěže ve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výzkumu, vývoji a inovacích jsou určena témata/aplikační odvětví, v nichž je možné předkládat projekty. Tato témata/aplikační odvětví jsou v souladu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Národní politikou výzkumu, vývoje a inovací České republiky na léta 2016 až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2020, vychází z Národní RIS3 strategie a jsou zvolena s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využitím výsledků diskuze v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Národních inovačních platformách.“ Žádáme tento bod doplnit v tom smyslu, že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témata/aplikační odvětví budou stanovena tak, aby se jednotlivé programy realizované Technologicko</w:t>
            </w:r>
            <w:r w:rsidR="00967F57">
              <w:rPr>
                <w:rFonts w:ascii="Arial" w:eastAsia="Arial" w:hAnsi="Arial" w:cs="Arial"/>
                <w:sz w:val="22"/>
                <w:szCs w:val="22"/>
              </w:rPr>
              <w:t xml:space="preserve">u agenturou vhodně doplňovaly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a při stanovování témat NCK byly vzaty v úvahu relevantní resortní strategie.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  <w:u w:val="single"/>
              </w:rPr>
              <w:lastRenderedPageBreak/>
              <w:t>Zdůvodnění:</w:t>
            </w:r>
          </w:p>
          <w:p w:rsidR="00A501FC" w:rsidRPr="003161CE" w:rsidRDefault="00A501FC" w:rsidP="003161C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Při realizaci dalších veřejných soutěží nelze pokračovat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ve stanovování témat tak, jak tomu bylo v první soutěži.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 xml:space="preserve">Na základě obecně stanovených témat byly podány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br/>
              <w:t>(a schváleny k realizaci) projekty, které jsou nepochybně zajímavé, zcela se však míjejí se záměrem vytvořit odbornou základnu aplikovaného výzkumu, která je ve veřejném zájmu, naplňují však výše citované (obecné) zaměření programu.</w:t>
            </w:r>
          </w:p>
        </w:tc>
        <w:tc>
          <w:tcPr>
            <w:tcW w:w="6650" w:type="dxa"/>
          </w:tcPr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Vysvětleno.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Jednotlivá centra podpořená z 1. veřejné soutěže programu vychází z šířeji definovaných národních politik a strategických dokumentů: NP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VaVaI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>, NPOV a národní RIS 3 strategie. Tyto tři hlavní dokumenty určující politiku podpory výzkumu a vývoje z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veřejných zdrojů jistě shrnují/zastupují potřeby stát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u a veřejnosti, včetně výzkumu 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ve veřejném zájmu. Proto lze předpokládat, že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podpořená centra naplňují potřebu vytvořit odbornou základnu aplikovaného výzkumu, která je ve veřejném zájmu. TA ČR bude připomínku brát v úvahu.</w:t>
            </w:r>
          </w:p>
        </w:tc>
      </w:tr>
      <w:tr w:rsidR="00A501FC" w:rsidRPr="003161CE" w:rsidTr="00EC06ED">
        <w:trPr>
          <w:trHeight w:val="340"/>
        </w:trPr>
        <w:tc>
          <w:tcPr>
            <w:tcW w:w="1718" w:type="dxa"/>
            <w:vMerge/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</w:tcPr>
          <w:p w:rsidR="00A501FC" w:rsidRPr="00967F57" w:rsidRDefault="00A501FC" w:rsidP="00967F57">
            <w:pPr>
              <w:numPr>
                <w:ilvl w:val="0"/>
                <w:numId w:val="11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3161CE">
            <w:pPr>
              <w:ind w:left="4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části 9 – kritéria splnění cílů programu se uvádí: „Poskytovatel bude každoročně vyhodnocovat plnění stanovených kritérií. Klíčovým a rozhodujícím kritériem bude objem financování center z neveřejných prostředků. Dále se předpokládá, že bude posuzováno naplňování kritérií sloužících k hodnocení projektu, které jsou uvedeny v kap. 16. Poskytovatel bude oprávněn na základě tohoto vyhodnocení upravit rozpočet daného centra na následující rok.“ Žádáme o vysvětlení, jak se toto provede, resp. </w:t>
            </w:r>
            <w:r w:rsidR="00F46EC7" w:rsidRPr="003161C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úpravu postupu. Každoroční hodnocení bude relativně hodně administrativně náročné, úprava rozpočtu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následující rok podle vyhodnocení předchozího je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časově obtížná, podobně hodnocení soukromých prostředků získaných v daném roce.</w:t>
            </w:r>
          </w:p>
        </w:tc>
        <w:tc>
          <w:tcPr>
            <w:tcW w:w="6650" w:type="dxa"/>
          </w:tcPr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Vy</w:t>
            </w:r>
            <w:r w:rsidR="00967F57">
              <w:rPr>
                <w:rFonts w:ascii="Arial" w:eastAsia="Arial" w:hAnsi="Arial" w:cs="Arial"/>
                <w:b/>
                <w:sz w:val="22"/>
                <w:szCs w:val="22"/>
              </w:rPr>
              <w:t>světleno, částečně akceptováno.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Hodnocení bude probíhat formou průběžných ročních zpráv, které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pravidelně příjemce zasílá TA ČR. </w:t>
            </w:r>
            <w:r w:rsidRPr="003161CE">
              <w:rPr>
                <w:rFonts w:ascii="Arial" w:hAnsi="Arial" w:cs="Arial"/>
                <w:sz w:val="22"/>
                <w:szCs w:val="22"/>
              </w:rPr>
              <w:t xml:space="preserve">Rozpočet centra na daný rok bude tedy vyplácen na základě průběžné zprávy. Předpokládá se, </w:t>
            </w:r>
            <w:r w:rsidRPr="003161CE">
              <w:rPr>
                <w:rFonts w:ascii="Arial" w:hAnsi="Arial" w:cs="Arial"/>
                <w:sz w:val="22"/>
                <w:szCs w:val="22"/>
              </w:rPr>
              <w:br/>
              <w:t>že součástí průběžné zprávy bude informace o splnění povinnosti zajištění příjmů z komercializačních aktivit, v objemu alespoň 19 % z finanční podpory tak, jak uchazeč deklaroval v návrhu projektu.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A501FC" w:rsidRPr="003161CE" w:rsidTr="00EC06ED">
        <w:trPr>
          <w:trHeight w:val="340"/>
        </w:trPr>
        <w:tc>
          <w:tcPr>
            <w:tcW w:w="1718" w:type="dxa"/>
            <w:vMerge/>
          </w:tcPr>
          <w:p w:rsidR="00A501FC" w:rsidRPr="003161CE" w:rsidRDefault="00A501FC" w:rsidP="00A501FC">
            <w:pPr>
              <w:widowControl w:val="0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</w:tcPr>
          <w:p w:rsidR="00A501FC" w:rsidRPr="00967F57" w:rsidRDefault="00A501FC" w:rsidP="00967F57">
            <w:pPr>
              <w:numPr>
                <w:ilvl w:val="0"/>
                <w:numId w:val="11"/>
              </w:numPr>
              <w:ind w:left="40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b/>
                <w:sz w:val="22"/>
                <w:szCs w:val="22"/>
              </w:rPr>
              <w:t>Zásadní připomínka: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V části 16 – obecná kritéria hodnocení, navrhujeme posílit přístup top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down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 podrobnější specifikací kritérií hodnocení.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Zdůvodnění: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Vydávání tak velkého objemu finančních prostředků na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jeden projekt, jaké se v programu předpokládá, vyžaduje poměrně přesnou specifikaci tak, aby bylo zřejmé, jak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>se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bude vytvářet institucionální základna aplikovaného výzkumu, která je zde uvedena jako jeden z důvodů podpor center.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Fraunhoferův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 ústav, který je zde citován jako</w:t>
            </w:r>
            <w:r w:rsidR="00F46EC7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3161CE">
              <w:rPr>
                <w:rFonts w:ascii="Arial" w:eastAsia="Arial" w:hAnsi="Arial" w:cs="Arial"/>
                <w:sz w:val="22"/>
                <w:szCs w:val="22"/>
              </w:rPr>
              <w:t xml:space="preserve">příklad, má jednotlivé ústavy poměrně široce tematicky koncipované, což vyžaduje do jisté míry přístup top </w:t>
            </w:r>
            <w:proofErr w:type="spellStart"/>
            <w:r w:rsidRPr="003161CE">
              <w:rPr>
                <w:rFonts w:ascii="Arial" w:eastAsia="Arial" w:hAnsi="Arial" w:cs="Arial"/>
                <w:sz w:val="22"/>
                <w:szCs w:val="22"/>
              </w:rPr>
              <w:t>down</w:t>
            </w:r>
            <w:proofErr w:type="spellEnd"/>
            <w:r w:rsidRPr="003161C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6650" w:type="dxa"/>
          </w:tcPr>
          <w:p w:rsidR="00A501FC" w:rsidRPr="003161CE" w:rsidRDefault="00967F57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Vysvětleno.</w:t>
            </w:r>
          </w:p>
          <w:p w:rsidR="00A501FC" w:rsidRPr="003161CE" w:rsidRDefault="00A501FC" w:rsidP="00A501F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61CE">
              <w:rPr>
                <w:rFonts w:ascii="Arial" w:eastAsia="Arial" w:hAnsi="Arial" w:cs="Arial"/>
                <w:sz w:val="22"/>
                <w:szCs w:val="22"/>
              </w:rPr>
              <w:t>Na úrovni programu považuje TA ČR kritéria za dostatečně definované. Při přípravě veřejných soutěží budou dále kritéria blíže specifikována tak, aby byl naplněn cíl programu.</w:t>
            </w:r>
          </w:p>
        </w:tc>
      </w:tr>
      <w:tr w:rsidR="00971A55" w:rsidRPr="00971A55" w:rsidTr="00A501FC">
        <w:trPr>
          <w:trHeight w:val="340"/>
        </w:trPr>
        <w:tc>
          <w:tcPr>
            <w:tcW w:w="17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1A55" w:rsidRPr="00971A55" w:rsidRDefault="00967F57" w:rsidP="00971A55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lastRenderedPageBreak/>
              <w:t>Ministerstvo průmyslu a obchodu</w:t>
            </w:r>
          </w:p>
        </w:tc>
        <w:tc>
          <w:tcPr>
            <w:tcW w:w="5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A55" w:rsidRPr="00971A55" w:rsidRDefault="00971A55" w:rsidP="00971A55">
            <w:pPr>
              <w:numPr>
                <w:ilvl w:val="0"/>
                <w:numId w:val="1"/>
              </w:numPr>
              <w:ind w:left="267" w:hanging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Zásadní připomínka:</w:t>
            </w:r>
          </w:p>
          <w:p w:rsidR="00971A55" w:rsidRPr="00971A55" w:rsidRDefault="00971A55" w:rsidP="00971A5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Nejedná se o běžnou změnu parametrů stávajícího programu, ale o sloučení dvou původně plánovaných programů, a tedy fakticky o schválení programu nového. Program by měl především navazovat na končící program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>TA ČR Centra kompetence a rozvíjet stávající program NCK 1. Materiál ovšem neobsahuje žádné průběžné hodnocení programu Centra kompetence ani relevantní informaci o dosavadním průběhu programu NCK 1. Materiál dále neobsahuje ex ante posouzení navrhovaného programu, které by mělo být zpracováno s ohledem na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význam programu a na povinnost přiměřeně reflektovat Základní principy přípravy a hodnocení programů a skupin grantových projektů výzkumu, vývoje a inovací schválené usnesením vlády ze dne 13.</w:t>
            </w:r>
            <w:r w:rsidR="00967F57">
              <w:rPr>
                <w:rFonts w:ascii="Arial" w:eastAsia="Arial" w:hAnsi="Arial" w:cs="Arial"/>
                <w:i/>
                <w:sz w:val="22"/>
                <w:szCs w:val="22"/>
              </w:rPr>
              <w:t xml:space="preserve"> května 2015 č. 351. </w:t>
            </w:r>
            <w:proofErr w:type="spellStart"/>
            <w:r w:rsidR="00967F57">
              <w:rPr>
                <w:rFonts w:ascii="Arial" w:eastAsia="Arial" w:hAnsi="Arial" w:cs="Arial"/>
                <w:i/>
                <w:sz w:val="22"/>
                <w:szCs w:val="22"/>
              </w:rPr>
              <w:t>Předkládá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se</w:t>
            </w:r>
            <w:proofErr w:type="spellEnd"/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 tak program za více než 7 mld. Kč, u kterého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není zřejmé, z čeho vychází a zda byly nějak zapracovány dosavadní zkušenosti s podporou tohoto typu a zda lze zajistit jeho efektivní realizaci. Není odůvodněna intervenční logika programu ani jeho základní parametry (rozpočet, příjemci, uznané náklady atd.).</w:t>
            </w:r>
          </w:p>
          <w:p w:rsidR="00971A55" w:rsidRPr="00971A55" w:rsidRDefault="00971A55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Žádáme do materiálu doplnit aktuální průběžné hodnocení programu Centra kompetence (běžícího od roku 2012), základní informaci o výsledcích první veřejné soutěže v programu NCK 1 a ex ante posouzení předkládaného návrhu programu se zapracováním vzešlých připomínek.</w:t>
            </w:r>
          </w:p>
        </w:tc>
        <w:tc>
          <w:tcPr>
            <w:tcW w:w="6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1A55" w:rsidRPr="00971A55" w:rsidRDefault="00971A55" w:rsidP="00971A55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Připomínka byla vložena do </w:t>
            </w:r>
            <w:proofErr w:type="spellStart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eKLEP</w:t>
            </w:r>
            <w:proofErr w:type="spellEnd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po termínu, přesto TA ČR tuto připomínku zapracovala. </w:t>
            </w:r>
          </w:p>
          <w:p w:rsidR="00971A55" w:rsidRPr="00971A55" w:rsidRDefault="00971A55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971A55" w:rsidRPr="00971A55" w:rsidRDefault="00971A55" w:rsidP="00971A55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Akceptováno. </w:t>
            </w:r>
            <w:r w:rsidRPr="00971A5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971A55" w:rsidRPr="00971A55" w:rsidRDefault="00971A55" w:rsidP="00971A55">
            <w:pPr>
              <w:pStyle w:val="Normlnweb"/>
              <w:spacing w:before="0" w:beforeAutospacing="0" w:after="160" w:afterAutospacing="0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Materiál pro jednání vlády bude doplněn o požadované dokumenty - průběžné hodnocení </w:t>
            </w:r>
            <w:proofErr w:type="gramStart"/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CK,  hloubkové</w:t>
            </w:r>
            <w:proofErr w:type="gramEnd"/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hodnocení projektů z</w:t>
            </w:r>
            <w:r w:rsidR="00F46EC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programu CK, analýzu 1. veřejné soutěže programu NCK1 a</w:t>
            </w:r>
            <w:r w:rsidR="00F46EC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ověření potřebnosti programu Národní centra kompetence, které</w:t>
            </w:r>
            <w:r w:rsidR="00F46EC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lze považovat za jistou formu ex-ante evaluace programu.</w:t>
            </w:r>
          </w:p>
          <w:p w:rsidR="00971A55" w:rsidRPr="00971A55" w:rsidRDefault="00971A55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Tyto dokumenty jsou zároveň zaslány Vašemu resortu společně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>s vypořádáním meziresortního připomínkového řízení programu NCK.</w:t>
            </w:r>
          </w:p>
        </w:tc>
      </w:tr>
    </w:tbl>
    <w:tbl>
      <w:tblPr>
        <w:tblW w:w="14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967F57" w:rsidRPr="00971A55" w:rsidTr="00F74375">
        <w:trPr>
          <w:trHeight w:val="340"/>
        </w:trPr>
        <w:tc>
          <w:tcPr>
            <w:tcW w:w="171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967F57" w:rsidRPr="00971A55" w:rsidRDefault="00967F57" w:rsidP="00971A55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57" w:rsidRPr="00971A55" w:rsidRDefault="00967F57" w:rsidP="00971A55">
            <w:pPr>
              <w:numPr>
                <w:ilvl w:val="0"/>
                <w:numId w:val="1"/>
              </w:numPr>
              <w:ind w:left="267" w:hanging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Zásadní připomínka:</w:t>
            </w:r>
          </w:p>
          <w:p w:rsidR="00967F57" w:rsidRPr="00971A55" w:rsidRDefault="00967F57" w:rsidP="00971A55">
            <w:pPr>
              <w:ind w:left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Právní rámec programu odkazuje mj. na Nařízení Komise (EU) č. 651/2014 a stanovuje podmínky pro (ne)poskytnutí veřejné podpory podniku. Příjemci podpory v programu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ale mohou být jen výzkumné organizace a další subjekty, vykonávající činnosti mimo režim veřejné podpory,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a ne podniky. Nejasnost v té souvislosti podporuje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>i nedostatečná kapitola „Intenzita podpory“, která nestanoví maximální intenzitu pod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pory pro jednotlivé účastníky,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lastRenderedPageBreak/>
              <w:t>ale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jen avizuje předpokládanou průměrnou intenzitu podpory v programu.</w:t>
            </w:r>
          </w:p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Žádáme vysvětlit uvedené rozpory v oblasti veřejné podpory a dále jasně stanovit maximální intenzitu podpory v programu.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lastRenderedPageBreak/>
              <w:t xml:space="preserve">Připomínka byla vložena do </w:t>
            </w:r>
            <w:proofErr w:type="spellStart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eKLEP</w:t>
            </w:r>
            <w:proofErr w:type="spellEnd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po termínu, přesto TA ČR tuto připomínku zapracovala. </w:t>
            </w:r>
          </w:p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71A5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Akceptováno a vysvětleno:</w:t>
            </w: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Předpokládaná průměrná intenzita podpory celkově za program </w:t>
            </w: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 xml:space="preserve">je 80 % (jak je v programu již uvedeno). Nově byla doplněna informace ohledně nejvyšší povolené intenzity podpory za projekt - 90 %. </w:t>
            </w:r>
          </w:p>
          <w:p w:rsidR="00967F57" w:rsidRPr="00971A55" w:rsidRDefault="00967F57" w:rsidP="00971A5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Program také uvádí, </w:t>
            </w:r>
            <w:proofErr w:type="gramStart"/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>že  intenzita</w:t>
            </w:r>
            <w:proofErr w:type="gramEnd"/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podpory, stanovená jako</w:t>
            </w:r>
            <w:r w:rsidR="00F46EC7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>procento uznaných nákladů projektu, bude vypočtena pro</w:t>
            </w:r>
            <w:r w:rsidR="00F46EC7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>každý projekt i pro každého příjemce a dalšího účastníka dle</w:t>
            </w:r>
            <w:r w:rsidR="00F46EC7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>Nařízení (zejm. čl. 25) a Rámce.</w:t>
            </w:r>
          </w:p>
          <w:p w:rsidR="00967F57" w:rsidRPr="00971A55" w:rsidRDefault="00967F57" w:rsidP="00971A5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b/>
                <w:i/>
                <w:sz w:val="22"/>
                <w:szCs w:val="22"/>
              </w:rPr>
              <w:t>Podniky jsou v programu NCK uvedeni jako partneři projektů, tj. účastníky projektů bez poskytnutí podpory ze státního rozpočtu.</w:t>
            </w:r>
            <w:r w:rsidRPr="00971A55">
              <w:rPr>
                <w:rFonts w:ascii="Arial" w:hAnsi="Arial" w:cs="Arial"/>
                <w:i/>
                <w:sz w:val="22"/>
                <w:szCs w:val="22"/>
              </w:rPr>
              <w:t xml:space="preserve"> Nejsou tak způsobilými příjemci podpory z programu, ale jedná se o formu účinné spolupráce s, čímž potenciálně mohou výhody z veřejné podpory čerpat.</w:t>
            </w: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sz w:val="22"/>
                <w:szCs w:val="22"/>
              </w:rPr>
              <w:t xml:space="preserve">Problematika poskytnutí nepřímé výhody podnikům účastnících </w:t>
            </w:r>
            <w:r w:rsidRPr="00971A55">
              <w:rPr>
                <w:rFonts w:ascii="Arial" w:hAnsi="Arial" w:cs="Arial"/>
                <w:i/>
                <w:sz w:val="22"/>
                <w:szCs w:val="22"/>
              </w:rPr>
              <w:br/>
              <w:t xml:space="preserve">se projektů NCK byla v době přípravy veřejné soutěže (březen 2018) několikrát diskutována s ÚOHS a se zástupci AK Holec, Zuska a partneři. Ve spolupráci s touto advokátní kanceláři bylo vypracováno stanovisko řešící právě otázku posouzení účinné výzkumné spolupráce dle v nařízení Komise (EU) č. 651/2014 </w:t>
            </w:r>
            <w:r w:rsidRPr="00971A55">
              <w:rPr>
                <w:rFonts w:ascii="Arial" w:hAnsi="Arial" w:cs="Arial"/>
                <w:i/>
                <w:sz w:val="22"/>
                <w:szCs w:val="22"/>
              </w:rPr>
              <w:br/>
              <w:t xml:space="preserve">a Sdělení Komise – Rámce pro státní podporu výzkumu, vývoje </w:t>
            </w:r>
            <w:r w:rsidRPr="00971A55">
              <w:rPr>
                <w:rFonts w:ascii="Arial" w:hAnsi="Arial" w:cs="Arial"/>
                <w:i/>
                <w:sz w:val="22"/>
                <w:szCs w:val="22"/>
              </w:rPr>
              <w:br/>
              <w:t xml:space="preserve">a inovací z roku 2014, a to se zaměřením na hraniční případy, </w:t>
            </w:r>
            <w:r w:rsidRPr="00971A55">
              <w:rPr>
                <w:rFonts w:ascii="Arial" w:hAnsi="Arial" w:cs="Arial"/>
                <w:i/>
                <w:sz w:val="22"/>
                <w:szCs w:val="22"/>
              </w:rPr>
              <w:br/>
              <w:t xml:space="preserve">kdy výzkumná organizace v rámci spolupráce s podnikem obdrží finanční příspěvek z veřejných zdrojů. Stručná verze stanoviska byla publikována na webových stránkách TA ČR. </w:t>
            </w: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67F57" w:rsidRPr="00971A55" w:rsidRDefault="00967F57" w:rsidP="00971A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sz w:val="22"/>
                <w:szCs w:val="22"/>
              </w:rPr>
              <w:t>Aby nedocházelo k nepřímé podpoře, mají uchazeči povinnost stanovit si podmínky zmíněné formy spolupráce v konsorciální smlouvě, a to v souladu s pravidly veřejné podpory. Tato konsorciální smlouva (nebo smlouva o smlouvě budoucí) musí být uzavřena ještě před podáním návrhu projektu.</w:t>
            </w:r>
          </w:p>
          <w:p w:rsidR="00967F57" w:rsidRPr="00971A55" w:rsidRDefault="00967F57" w:rsidP="00971A55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</w:tr>
      <w:tr w:rsidR="00967F57" w:rsidRPr="00971A55" w:rsidTr="00F74375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numPr>
                <w:ilvl w:val="0"/>
                <w:numId w:val="1"/>
              </w:numPr>
              <w:ind w:left="267" w:hanging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Zásadní připomínka:</w:t>
            </w:r>
          </w:p>
          <w:p w:rsidR="00967F57" w:rsidRPr="00971A55" w:rsidRDefault="00967F57" w:rsidP="00967F57">
            <w:pPr>
              <w:ind w:left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Z materiálu není zřejmé, jak bude fakticky podpořené centrum vypadat a fungovat. Zprvu má jít fakticky jen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o virtuální centra (není zřejmá poznámka o jejich „finanční nezávislosti“, viz str. 3), materiál však obsahuje proklamace o motivování výzkumných pracovišť k transformaci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„na výzkumně a technologicky zaměřená centra“. Z textu materiálu ale není zřejmé, jak toho má být docíleno a co je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lastRenderedPageBreak/>
              <w:t>transformací myšleno. S tím souvisí absence popisu, jak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bude program hodnocen a na základě čeho bude posouzena jeho úspěšnost. Stanoveny jsou jen formální indikátory výstupů, které jsou velmi snadno splnite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lné a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podle kterých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se úspěšnost programu hodnotit nedá. 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Žádáme dostatečně vysvětlit základní intervenční logiku programu, jakou změnu má docílit a jak bude splnění cílů programu vyhodnoceno.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7F57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67F57">
              <w:rPr>
                <w:rFonts w:ascii="Arial" w:eastAsia="Arial" w:hAnsi="Arial" w:cs="Arial"/>
                <w:b/>
                <w:i/>
                <w:sz w:val="22"/>
                <w:szCs w:val="22"/>
              </w:rPr>
              <w:lastRenderedPageBreak/>
              <w:t xml:space="preserve">Připomínka byla vložena do </w:t>
            </w:r>
            <w:proofErr w:type="spellStart"/>
            <w:r w:rsidRPr="00967F57">
              <w:rPr>
                <w:rFonts w:ascii="Arial" w:eastAsia="Arial" w:hAnsi="Arial" w:cs="Arial"/>
                <w:b/>
                <w:i/>
                <w:sz w:val="22"/>
                <w:szCs w:val="22"/>
              </w:rPr>
              <w:t>eKLEP</w:t>
            </w:r>
            <w:proofErr w:type="spellEnd"/>
            <w:r w:rsidRPr="00967F57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po termínu, přesto TA ČR tuto připomínku zapracovala. </w:t>
            </w:r>
          </w:p>
          <w:p w:rsidR="00967F57" w:rsidRPr="00967F57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967F57" w:rsidRPr="00967F57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67F57">
              <w:rPr>
                <w:rFonts w:ascii="Arial" w:eastAsia="Arial" w:hAnsi="Arial" w:cs="Arial"/>
                <w:b/>
                <w:i/>
                <w:sz w:val="22"/>
                <w:szCs w:val="22"/>
              </w:rPr>
              <w:t>Částečně akceptováno a vysvětleno:</w:t>
            </w:r>
          </w:p>
          <w:p w:rsidR="00967F57" w:rsidRPr="00967F57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České výzkumné prostředí je nastaveno způsobem, které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 xml:space="preserve">umožňuje realizovat projekty významných výzkumných center formou konsorciálních projektů. Výsledky 1. veřejné soutěže ukazují, že se díky tomuto programu daří integrovat relevantní výzkumné kapacity v rámci těchto konsorciálních projektů 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lastRenderedPageBreak/>
              <w:t>(národních) center (kompetencí), tzn. dochází k integraci dílčích center podpořených v minulosti z jiných dotačních titulů. Logika podpořených projektů center je nastavena způsobem, kdy klíčovou odpovědnost za rozhodování ohledně podpory konkrétních dílčích projektů má Rada centra složená ze zástupců účastníků projektu i</w:t>
            </w:r>
            <w:r w:rsidR="00F46EC7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externích odborníků, včetně zástupců aplikační sféry. V tomto “institutu” lze jistě spatřovat přidanou hodnotu jejich finanční nezávislosti ve vazbě na konkrétní výzkumnou činnosti centra, včetně motivace technologické orientace z důvodu zapojení aplikační sféry do tohoto procesu rozhodování. Program stanovuje obvyklé indikátory výstupů, jaké jsou rovněž používány v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programech předkladatele připomínky. Navíc je jedním z cílů programu kvantifikovaný ukazatel příjmů centra z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komercializačních aktivit. Program tímto jednoznačně míří k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 xml:space="preserve">podpoře takových výzkumných kapacit, které jsou si schopny vedle příjmů z dotačních titulů zajistit nezanedbatelnou část svých příjmů z neveřejných zdrojů. </w:t>
            </w:r>
          </w:p>
          <w:p w:rsidR="00967F57" w:rsidRPr="00967F57" w:rsidRDefault="00967F57" w:rsidP="00967F57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967F57" w:rsidRPr="00967F57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Text programu byl upraven - “záměrem programu je výrazně posílit segment výzkumných organizací zaměřených na aplikovaný výzkum a motivovat relevantní stávající výzkumná pracoviště s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67F57">
              <w:rPr>
                <w:rFonts w:ascii="Arial" w:eastAsia="Arial" w:hAnsi="Arial" w:cs="Arial"/>
                <w:i/>
                <w:sz w:val="22"/>
                <w:szCs w:val="22"/>
              </w:rPr>
              <w:t>cílem koncentrace jejich výzkumných a technologických kapacit do center NCK, kde bude realizován kvalitní aplikovaný výzkum podle potřeb aplikační sféry.”</w:t>
            </w:r>
          </w:p>
        </w:tc>
      </w:tr>
      <w:tr w:rsidR="00967F57" w:rsidRPr="00971A55" w:rsidTr="00F74375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numPr>
                <w:ilvl w:val="0"/>
                <w:numId w:val="1"/>
              </w:numPr>
              <w:ind w:left="267" w:hanging="284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Zásadní připomínka: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Na str. 4 materiálu je uvedeno, že „Objem prostředků veřejných zdrojů každého centra bude vázán na objem prostředků, jež získá z neveřejných prostředků formou smluvního výzkumu, licencí (…)“.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Žádáme o vysvětlení, jak přesně má být tento objem vázán, a především jakým způsobem budou </w:t>
            </w: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br/>
              <w:t>(v očekávaných virtuálních centrech) sledovány příjmy ze smluvního výzkumu či licencí.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color w:val="FF0000"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Připomínka byla vložena do </w:t>
            </w:r>
            <w:proofErr w:type="spellStart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eKLEP</w:t>
            </w:r>
            <w:proofErr w:type="spellEnd"/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po termínu, přesto TA ČR tuto připomínku zapracovala. </w:t>
            </w:r>
          </w:p>
          <w:p w:rsidR="00967F57" w:rsidRPr="00971A55" w:rsidRDefault="00967F57" w:rsidP="00967F57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hd w:val="clear" w:color="auto" w:fill="FFFFFF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Vysvětleno.</w:t>
            </w:r>
          </w:p>
          <w:p w:rsidR="00967F57" w:rsidRPr="00971A55" w:rsidRDefault="00967F57" w:rsidP="00967F57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hd w:val="clear" w:color="auto" w:fill="FFFFFF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Podpořená centra NCK jsou povinni v průběhu realizace projektu zajistit příjmy z komercializačních aktivit, v objemu alespoň 19 %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z finanční podpory tak, jak deklarovali v návrhu projektu. Za tyto příjmy jsou pro účely této veřejné soutěže považovány zejména: příjmy ze smluvního výzkumu; příjmy z licencí; náklady výzkumné organizace uhrazené podnikem v rámci řešení projektů </w:t>
            </w:r>
            <w:proofErr w:type="spellStart"/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kolaborativního</w:t>
            </w:r>
            <w:proofErr w:type="spellEnd"/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 výzkumu, tzn. formou účinné spolupráce, na které nebyla poskytnuta účelová veřejná podpora. Uvedené příjmy,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lastRenderedPageBreak/>
              <w:t>případně i další příjmy z komercializačních aktivit, musejí pokrývat plnění realizované či vzniklé v rámci výzkumné či vývojové činnosti.</w:t>
            </w:r>
          </w:p>
          <w:p w:rsidR="00967F57" w:rsidRPr="00971A55" w:rsidRDefault="00967F57" w:rsidP="00967F57">
            <w:pPr>
              <w:pBdr>
                <w:top w:val="none" w:sz="0" w:space="3" w:color="auto"/>
                <w:bottom w:val="none" w:sz="0" w:space="3" w:color="auto"/>
                <w:between w:val="none" w:sz="0" w:space="3" w:color="auto"/>
              </w:pBdr>
              <w:shd w:val="clear" w:color="auto" w:fill="FFFFFF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Tato centra NCK vykazují v rámci průběžné a závěrečné zprávy o řešení projektu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. Nesplnění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této povinnosti je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považováno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za částečné nesplnění cílů projektu v rámci závěrečného hodnocení projektu, v tomto ohledu pak bude přistoupeno k posouzení objemu poskytnutých veřejných p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rostředků a případnému krácení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s ohledem na nenaplnění stanoveného cíle.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Výše uvedené příjmy musí pokrývat plnění realizované či vzniklé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br/>
              <w:t xml:space="preserve">v rámci výzkumné či vývojové činnosti. </w:t>
            </w: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Centrum NCK v rámci průběžných zpráv doloží výkaz těchto příjmů za sledované období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dle definované struktury umožňující kontrolu uváděných příjmů. 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Pro upřesnění ještě uvádíme, že tyto příjmy budou sledovány </w:t>
            </w:r>
            <w:r w:rsidRPr="00971A55"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u výzkumných organizací, a to na úrovni těch organizačních jednotek (např. relevantní VŠ ústav), které budou součástí centra NCK.  </w:t>
            </w:r>
          </w:p>
        </w:tc>
      </w:tr>
      <w:tr w:rsidR="00967F57" w:rsidRPr="00971A55" w:rsidTr="009970EA">
        <w:trPr>
          <w:trHeight w:val="340"/>
        </w:trPr>
        <w:tc>
          <w:tcPr>
            <w:tcW w:w="171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7F57" w:rsidRPr="00971A55" w:rsidRDefault="00967F57" w:rsidP="00967F57">
            <w:pPr>
              <w:numPr>
                <w:ilvl w:val="0"/>
                <w:numId w:val="1"/>
              </w:numPr>
              <w:ind w:left="267" w:hanging="267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Doporučující připomínka: </w:t>
            </w:r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Na str. 3 materiálu je uvedeno, že „Program bude možné využít pro synergické a komplementární efekty v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mezinárodních schématech typu H2020, dalších programech EU a dalších mezinárodních programech, které jsou v souladu se zaměřením programu.“. Žádáme o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>doplnění informace, jakým způsobem bude možné program takto využít.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971A55">
              <w:rPr>
                <w:rFonts w:ascii="Arial" w:eastAsia="Arial" w:hAnsi="Arial" w:cs="Arial"/>
                <w:b/>
                <w:i/>
                <w:sz w:val="22"/>
                <w:szCs w:val="22"/>
              </w:rPr>
              <w:t>Vysvětleno.</w:t>
            </w:r>
          </w:p>
          <w:p w:rsidR="00967F57" w:rsidRPr="00971A55" w:rsidRDefault="00967F57" w:rsidP="00967F57">
            <w:pPr>
              <w:widowControl w:val="0"/>
              <w:spacing w:before="60" w:after="60"/>
              <w:jc w:val="both"/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</w:pPr>
            <w:r w:rsidRPr="00971A55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Touto deklarací program umožní využití nástrojů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– pouze těch, které jsou v souladu se zaměřením a cíli programu NCK </w:t>
            </w:r>
            <w:proofErr w:type="gramStart"/>
            <w:r w:rsidRPr="00971A55">
              <w:rPr>
                <w:rFonts w:ascii="Arial" w:eastAsia="Arial" w:hAnsi="Arial" w:cs="Arial"/>
                <w:i/>
                <w:sz w:val="22"/>
                <w:szCs w:val="22"/>
              </w:rPr>
              <w:t xml:space="preserve">- 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 xml:space="preserve"> z</w:t>
            </w:r>
            <w:proofErr w:type="gramEnd"/>
            <w:r w:rsidR="003F087E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Horizont 2020 (od roku 2021 z Horizont Evropa), popř. jiných unijních programů. Důvodem je to, že pro období 2021+ je ze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strany EK vyvíjen velký tlak na synergie a komplementarity se</w:t>
            </w:r>
            <w:r w:rsidR="003F087E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> </w:t>
            </w:r>
            <w:r w:rsidRPr="00971A55">
              <w:rPr>
                <w:rFonts w:ascii="Arial" w:eastAsia="Arial" w:hAnsi="Arial" w:cs="Arial"/>
                <w:i/>
                <w:sz w:val="22"/>
                <w:szCs w:val="22"/>
                <w:highlight w:val="white"/>
              </w:rPr>
              <w:t xml:space="preserve">všemi unijními programy. </w:t>
            </w:r>
            <w:bookmarkStart w:id="1" w:name="_GoBack"/>
            <w:bookmarkEnd w:id="1"/>
          </w:p>
          <w:p w:rsidR="00967F57" w:rsidRPr="00971A55" w:rsidRDefault="00967F57" w:rsidP="00967F57">
            <w:pPr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8C498E" w:rsidRPr="003161C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 w:rsidRPr="003161CE">
        <w:rPr>
          <w:rFonts w:ascii="Arial" w:eastAsia="Arial" w:hAnsi="Arial" w:cs="Arial"/>
          <w:sz w:val="22"/>
          <w:szCs w:val="22"/>
        </w:rPr>
        <w:t xml:space="preserve">V Praze </w:t>
      </w:r>
      <w:r w:rsidR="00001E1D" w:rsidRPr="003161CE">
        <w:rPr>
          <w:rFonts w:ascii="Arial" w:eastAsia="Arial" w:hAnsi="Arial" w:cs="Arial"/>
          <w:sz w:val="22"/>
          <w:szCs w:val="22"/>
        </w:rPr>
        <w:t>dne 22.</w:t>
      </w:r>
      <w:r w:rsidR="006C5218" w:rsidRPr="003161CE">
        <w:rPr>
          <w:rFonts w:ascii="Arial" w:eastAsia="Arial" w:hAnsi="Arial" w:cs="Arial"/>
          <w:sz w:val="22"/>
          <w:szCs w:val="22"/>
        </w:rPr>
        <w:t xml:space="preserve"> </w:t>
      </w:r>
      <w:r w:rsidR="00001E1D" w:rsidRPr="003161CE">
        <w:rPr>
          <w:rFonts w:ascii="Arial" w:eastAsia="Arial" w:hAnsi="Arial" w:cs="Arial"/>
          <w:sz w:val="22"/>
          <w:szCs w:val="22"/>
        </w:rPr>
        <w:t>2.</w:t>
      </w:r>
      <w:r w:rsidR="006C5218" w:rsidRPr="003161CE">
        <w:rPr>
          <w:rFonts w:ascii="Arial" w:eastAsia="Arial" w:hAnsi="Arial" w:cs="Arial"/>
          <w:sz w:val="22"/>
          <w:szCs w:val="22"/>
        </w:rPr>
        <w:t xml:space="preserve"> </w:t>
      </w:r>
      <w:r w:rsidR="00001E1D" w:rsidRPr="003161CE">
        <w:rPr>
          <w:rFonts w:ascii="Arial" w:eastAsia="Arial" w:hAnsi="Arial" w:cs="Arial"/>
          <w:sz w:val="22"/>
          <w:szCs w:val="22"/>
        </w:rPr>
        <w:t>2019</w:t>
      </w:r>
    </w:p>
    <w:p w:rsidR="008C498E" w:rsidRPr="003161C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 w:rsidRPr="003161CE">
        <w:rPr>
          <w:rFonts w:ascii="Arial" w:eastAsia="Arial" w:hAnsi="Arial" w:cs="Arial"/>
          <w:sz w:val="22"/>
          <w:szCs w:val="22"/>
        </w:rPr>
        <w:t xml:space="preserve">Vypracoval: </w:t>
      </w:r>
      <w:r w:rsidR="00001E1D" w:rsidRPr="003161CE">
        <w:rPr>
          <w:rFonts w:ascii="Arial" w:eastAsia="Arial" w:hAnsi="Arial" w:cs="Arial"/>
          <w:sz w:val="22"/>
          <w:szCs w:val="22"/>
        </w:rPr>
        <w:t>Michaela Orlová</w:t>
      </w:r>
      <w:r w:rsidRPr="003161CE">
        <w:rPr>
          <w:rFonts w:ascii="Arial" w:eastAsia="Arial" w:hAnsi="Arial" w:cs="Arial"/>
          <w:sz w:val="22"/>
          <w:szCs w:val="22"/>
        </w:rPr>
        <w:tab/>
      </w:r>
    </w:p>
    <w:sectPr w:rsidR="008C498E" w:rsidRPr="003161CE">
      <w:footerReference w:type="default" r:id="rId7"/>
      <w:pgSz w:w="16838" w:h="11906"/>
      <w:pgMar w:top="1258" w:right="1418" w:bottom="1135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9F8" w:rsidRDefault="007709F8">
      <w:r>
        <w:separator/>
      </w:r>
    </w:p>
  </w:endnote>
  <w:endnote w:type="continuationSeparator" w:id="0">
    <w:p w:rsidR="007709F8" w:rsidRDefault="0077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A5F4A">
      <w:rPr>
        <w:rFonts w:ascii="Arial" w:eastAsia="Arial" w:hAnsi="Arial" w:cs="Arial"/>
        <w:noProof/>
        <w:sz w:val="22"/>
        <w:szCs w:val="22"/>
      </w:rPr>
      <w:t>15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A5F4A">
      <w:rPr>
        <w:rFonts w:ascii="Arial" w:eastAsia="Arial" w:hAnsi="Arial" w:cs="Arial"/>
        <w:noProof/>
        <w:sz w:val="22"/>
        <w:szCs w:val="22"/>
      </w:rPr>
      <w:t>15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9F8" w:rsidRDefault="007709F8">
      <w:r>
        <w:separator/>
      </w:r>
    </w:p>
  </w:footnote>
  <w:footnote w:type="continuationSeparator" w:id="0">
    <w:p w:rsidR="007709F8" w:rsidRDefault="00770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549"/>
    <w:multiLevelType w:val="multilevel"/>
    <w:tmpl w:val="20E07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C6A62F6"/>
    <w:multiLevelType w:val="multilevel"/>
    <w:tmpl w:val="6A42DB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1DBB"/>
    <w:multiLevelType w:val="multilevel"/>
    <w:tmpl w:val="8C0AC44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B0684E"/>
    <w:multiLevelType w:val="multilevel"/>
    <w:tmpl w:val="936AB9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4179"/>
    <w:multiLevelType w:val="multilevel"/>
    <w:tmpl w:val="EB1067F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1E22E0"/>
    <w:multiLevelType w:val="multilevel"/>
    <w:tmpl w:val="B650BA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5AC7"/>
    <w:multiLevelType w:val="multilevel"/>
    <w:tmpl w:val="772686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5513FC5"/>
    <w:multiLevelType w:val="multilevel"/>
    <w:tmpl w:val="C0169C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5C601DC"/>
    <w:multiLevelType w:val="multilevel"/>
    <w:tmpl w:val="037AB1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54A8C"/>
    <w:multiLevelType w:val="multilevel"/>
    <w:tmpl w:val="57223A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FE12A0B"/>
    <w:multiLevelType w:val="multilevel"/>
    <w:tmpl w:val="3A3090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8E"/>
    <w:rsid w:val="00001E1D"/>
    <w:rsid w:val="00014422"/>
    <w:rsid w:val="0005165D"/>
    <w:rsid w:val="0006106C"/>
    <w:rsid w:val="00102C6D"/>
    <w:rsid w:val="00172B7A"/>
    <w:rsid w:val="001A1C09"/>
    <w:rsid w:val="001E1FBD"/>
    <w:rsid w:val="001F14A8"/>
    <w:rsid w:val="00221494"/>
    <w:rsid w:val="002806A3"/>
    <w:rsid w:val="002E2925"/>
    <w:rsid w:val="002F4D84"/>
    <w:rsid w:val="003161CE"/>
    <w:rsid w:val="003A5F4A"/>
    <w:rsid w:val="003F087E"/>
    <w:rsid w:val="00414509"/>
    <w:rsid w:val="00475A8B"/>
    <w:rsid w:val="005447CE"/>
    <w:rsid w:val="00552D32"/>
    <w:rsid w:val="005B5F45"/>
    <w:rsid w:val="006C5218"/>
    <w:rsid w:val="006D7A5C"/>
    <w:rsid w:val="006F11C2"/>
    <w:rsid w:val="00703A4D"/>
    <w:rsid w:val="007709F8"/>
    <w:rsid w:val="00794930"/>
    <w:rsid w:val="007D4A39"/>
    <w:rsid w:val="007F4582"/>
    <w:rsid w:val="00845019"/>
    <w:rsid w:val="008C498E"/>
    <w:rsid w:val="00967F57"/>
    <w:rsid w:val="00971A55"/>
    <w:rsid w:val="0098080C"/>
    <w:rsid w:val="009D393B"/>
    <w:rsid w:val="00A501FC"/>
    <w:rsid w:val="00AF53AF"/>
    <w:rsid w:val="00D51E9C"/>
    <w:rsid w:val="00DF1463"/>
    <w:rsid w:val="00EC06ED"/>
    <w:rsid w:val="00ED0244"/>
    <w:rsid w:val="00F46EC7"/>
    <w:rsid w:val="00F6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B14A"/>
  <w15:docId w15:val="{CC46B9B1-EC6B-46A4-9944-45392348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5447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15</Pages>
  <Words>5153</Words>
  <Characters>30403</Characters>
  <Application>Microsoft Office Word</Application>
  <DocSecurity>0</DocSecurity>
  <Lines>253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35486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Pirošová</dc:creator>
  <cp:keywords/>
  <dc:description/>
  <cp:lastModifiedBy>Michaela Orlová</cp:lastModifiedBy>
  <cp:revision>5</cp:revision>
  <dcterms:created xsi:type="dcterms:W3CDTF">2019-02-22T08:06:00Z</dcterms:created>
  <dcterms:modified xsi:type="dcterms:W3CDTF">2019-03-12T17:22:00Z</dcterms:modified>
</cp:coreProperties>
</file>