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55BB56" w14:textId="77777777" w:rsidR="00D86061" w:rsidRDefault="005C4B3F" w:rsidP="008A7C6F">
      <w:pPr>
        <w:pStyle w:val="Nzev"/>
      </w:pPr>
      <w:r w:rsidRPr="002A6F85">
        <w:t>Analýz</w:t>
      </w:r>
      <w:r w:rsidR="00361051" w:rsidRPr="002A6F85">
        <w:t>a </w:t>
      </w:r>
      <w:r w:rsidRPr="002A6F85">
        <w:t xml:space="preserve">stavu výzkumu, vývoje </w:t>
      </w:r>
      <w:r w:rsidR="00361051" w:rsidRPr="002A6F85">
        <w:t>a </w:t>
      </w:r>
      <w:r w:rsidRPr="002A6F85">
        <w:t>inovací</w:t>
      </w:r>
      <w:r w:rsidR="00EB0FF6" w:rsidRPr="002A6F85">
        <w:t xml:space="preserve"> </w:t>
      </w:r>
      <w:r w:rsidR="00361051" w:rsidRPr="002A6F85">
        <w:t>v </w:t>
      </w:r>
      <w:r w:rsidRPr="002A6F85">
        <w:t xml:space="preserve">České republice </w:t>
      </w:r>
      <w:r w:rsidR="00361051" w:rsidRPr="002A6F85">
        <w:t>a </w:t>
      </w:r>
      <w:r w:rsidRPr="002A6F85">
        <w:t>jejich srovnání se zahraničím</w:t>
      </w:r>
      <w:r w:rsidR="00EB0FF6" w:rsidRPr="002A6F85">
        <w:t xml:space="preserve"> </w:t>
      </w:r>
      <w:r w:rsidR="00361051" w:rsidRPr="002A6F85">
        <w:t>v </w:t>
      </w:r>
      <w:r w:rsidR="00D86061" w:rsidRPr="00D86061">
        <w:t>ROCE 202</w:t>
      </w:r>
      <w:r w:rsidR="00FA0175">
        <w:t>0</w:t>
      </w:r>
    </w:p>
    <w:p w14:paraId="7D0091DA" w14:textId="77777777" w:rsidR="007A5EC1" w:rsidRDefault="007A5EC1" w:rsidP="008A7C6F">
      <w:pPr>
        <w:pStyle w:val="Nzev"/>
      </w:pPr>
    </w:p>
    <w:p w14:paraId="19E86091" w14:textId="77777777" w:rsidR="005C4B3F" w:rsidRDefault="00D86061" w:rsidP="008A7C6F">
      <w:pPr>
        <w:pStyle w:val="Nzev"/>
      </w:pPr>
      <w:r>
        <w:t>shrnutí</w:t>
      </w:r>
    </w:p>
    <w:p w14:paraId="02CD64A2" w14:textId="488927EF" w:rsidR="00523402" w:rsidRPr="009B29AF" w:rsidRDefault="001D1E68" w:rsidP="005F5A7B">
      <w:pPr>
        <w:spacing w:before="6000"/>
        <w:jc w:val="center"/>
        <w:rPr>
          <w:rFonts w:ascii="Arial" w:hAnsi="Arial" w:cs="Arial"/>
          <w:i/>
          <w:color w:val="FFFFFF" w:themeColor="background1"/>
          <w:sz w:val="18"/>
          <w:szCs w:val="18"/>
        </w:rPr>
      </w:pPr>
      <w:r w:rsidRPr="009B29AF">
        <w:rPr>
          <w:rFonts w:ascii="Arial" w:hAnsi="Arial" w:cs="Arial"/>
          <w:i/>
          <w:color w:val="FFFFFF" w:themeColor="background1"/>
          <w:sz w:val="18"/>
          <w:szCs w:val="18"/>
        </w:rPr>
        <w:t xml:space="preserve">verze </w:t>
      </w:r>
      <w:r w:rsidR="00523402" w:rsidRPr="009B29AF">
        <w:rPr>
          <w:rFonts w:ascii="Arial" w:hAnsi="Arial" w:cs="Arial"/>
          <w:i/>
          <w:color w:val="FFFFFF" w:themeColor="background1"/>
          <w:sz w:val="18"/>
          <w:szCs w:val="18"/>
        </w:rPr>
        <w:t xml:space="preserve">ze dne </w:t>
      </w:r>
      <w:r w:rsidR="00523402" w:rsidRPr="009B29AF">
        <w:rPr>
          <w:rFonts w:ascii="Arial" w:hAnsi="Arial" w:cs="Arial"/>
          <w:i/>
          <w:color w:val="FFFFFF" w:themeColor="background1"/>
          <w:sz w:val="18"/>
          <w:szCs w:val="18"/>
        </w:rPr>
        <w:fldChar w:fldCharType="begin"/>
      </w:r>
      <w:r w:rsidR="00523402" w:rsidRPr="009B29AF">
        <w:rPr>
          <w:rFonts w:ascii="Arial" w:hAnsi="Arial" w:cs="Arial"/>
          <w:i/>
          <w:color w:val="FFFFFF" w:themeColor="background1"/>
          <w:sz w:val="18"/>
          <w:szCs w:val="18"/>
        </w:rPr>
        <w:instrText xml:space="preserve"> DATE  \@ "dd.MM.yyyy"  \* MERGEFORMAT </w:instrText>
      </w:r>
      <w:r w:rsidR="00523402" w:rsidRPr="009B29AF">
        <w:rPr>
          <w:rFonts w:ascii="Arial" w:hAnsi="Arial" w:cs="Arial"/>
          <w:i/>
          <w:color w:val="FFFFFF" w:themeColor="background1"/>
          <w:sz w:val="18"/>
          <w:szCs w:val="18"/>
        </w:rPr>
        <w:fldChar w:fldCharType="separate"/>
      </w:r>
      <w:r w:rsidR="00FB3AA0">
        <w:rPr>
          <w:rFonts w:ascii="Arial" w:hAnsi="Arial" w:cs="Arial"/>
          <w:i/>
          <w:noProof/>
          <w:color w:val="FFFFFF" w:themeColor="background1"/>
          <w:sz w:val="18"/>
          <w:szCs w:val="18"/>
        </w:rPr>
        <w:t>08.02.2022</w:t>
      </w:r>
      <w:r w:rsidR="00523402" w:rsidRPr="009B29AF">
        <w:rPr>
          <w:rFonts w:ascii="Arial" w:hAnsi="Arial" w:cs="Arial"/>
          <w:i/>
          <w:color w:val="FFFFFF" w:themeColor="background1"/>
          <w:sz w:val="18"/>
          <w:szCs w:val="18"/>
        </w:rPr>
        <w:fldChar w:fldCharType="end"/>
      </w:r>
    </w:p>
    <w:p w14:paraId="1C9A590B" w14:textId="77777777" w:rsidR="00523402" w:rsidRPr="00855319" w:rsidRDefault="00523402" w:rsidP="00523402">
      <w:pPr>
        <w:rPr>
          <w:rFonts w:asciiTheme="majorHAnsi" w:hAnsiTheme="majorHAnsi"/>
          <w:sz w:val="36"/>
          <w:szCs w:val="36"/>
          <w:highlight w:val="lightGray"/>
        </w:rPr>
      </w:pPr>
    </w:p>
    <w:p w14:paraId="6856CBB2" w14:textId="77777777" w:rsidR="001D1E68" w:rsidRPr="00855319" w:rsidRDefault="001D1E68" w:rsidP="00523402">
      <w:pPr>
        <w:rPr>
          <w:rFonts w:asciiTheme="majorHAnsi" w:hAnsiTheme="majorHAnsi"/>
          <w:sz w:val="36"/>
          <w:szCs w:val="36"/>
          <w:highlight w:val="lightGray"/>
        </w:rPr>
        <w:sectPr w:rsidR="001D1E68" w:rsidRPr="00855319" w:rsidSect="00057D91">
          <w:headerReference w:type="default" r:id="rId8"/>
          <w:footerReference w:type="default" r:id="rId9"/>
          <w:headerReference w:type="first" r:id="rId10"/>
          <w:pgSz w:w="11906" w:h="16838"/>
          <w:pgMar w:top="1134" w:right="1134" w:bottom="1134" w:left="1134" w:header="709" w:footer="709" w:gutter="0"/>
          <w:cols w:space="708"/>
          <w:titlePg/>
          <w:docGrid w:linePitch="360"/>
        </w:sectPr>
      </w:pPr>
    </w:p>
    <w:p w14:paraId="64D14E31" w14:textId="77777777" w:rsidR="004F4F18" w:rsidRPr="00515BC4" w:rsidRDefault="004B71AC" w:rsidP="008A7C6F">
      <w:pPr>
        <w:pStyle w:val="Souhrn"/>
      </w:pPr>
      <w:bookmarkStart w:id="0" w:name="_Toc87340752"/>
      <w:bookmarkStart w:id="1" w:name="_Toc92369580"/>
      <w:bookmarkStart w:id="2" w:name="_Toc427676893"/>
      <w:bookmarkStart w:id="3" w:name="_GoBack"/>
      <w:bookmarkEnd w:id="3"/>
      <w:r>
        <w:lastRenderedPageBreak/>
        <w:t>Manažerské</w:t>
      </w:r>
      <w:r w:rsidR="00937521">
        <w:t xml:space="preserve"> </w:t>
      </w:r>
      <w:bookmarkEnd w:id="0"/>
      <w:r>
        <w:t>shrnutí</w:t>
      </w:r>
      <w:bookmarkEnd w:id="1"/>
    </w:p>
    <w:p w14:paraId="4CB1A888" w14:textId="77777777" w:rsidR="00A04BB6" w:rsidRDefault="00A04BB6" w:rsidP="00A04BB6">
      <w:pPr>
        <w:spacing w:before="120" w:after="120" w:line="360" w:lineRule="auto"/>
        <w:jc w:val="both"/>
        <w:rPr>
          <w:rFonts w:ascii="Arial" w:hAnsi="Arial" w:cs="Arial"/>
        </w:rPr>
      </w:pPr>
      <w:r>
        <w:rPr>
          <w:rFonts w:ascii="Arial" w:hAnsi="Arial" w:cs="Arial"/>
        </w:rPr>
        <w:t>Zpracování Analýzy</w:t>
      </w:r>
      <w:r w:rsidRPr="00340A80">
        <w:rPr>
          <w:rFonts w:ascii="Arial" w:hAnsi="Arial" w:cs="Arial"/>
        </w:rPr>
        <w:t xml:space="preserve"> stavu výzkumu, vývoje a inovací v České republice a jejich srovnání se zahraničím </w:t>
      </w:r>
      <w:r>
        <w:rPr>
          <w:rFonts w:ascii="Arial" w:hAnsi="Arial" w:cs="Arial"/>
        </w:rPr>
        <w:t>zajišťuje</w:t>
      </w:r>
      <w:r w:rsidRPr="00340A80">
        <w:rPr>
          <w:rFonts w:ascii="Arial" w:hAnsi="Arial" w:cs="Arial"/>
        </w:rPr>
        <w:t xml:space="preserve"> každoročně Rada pro výzkum, vývoj a inovace podle zákona </w:t>
      </w:r>
      <w:r>
        <w:rPr>
          <w:rFonts w:ascii="Arial" w:hAnsi="Arial" w:cs="Arial"/>
        </w:rPr>
        <w:t>č. </w:t>
      </w:r>
      <w:r w:rsidRPr="00340A80">
        <w:rPr>
          <w:rFonts w:ascii="Arial" w:hAnsi="Arial" w:cs="Arial"/>
        </w:rPr>
        <w:t>130/2002</w:t>
      </w:r>
      <w:r>
        <w:rPr>
          <w:rFonts w:ascii="Arial" w:hAnsi="Arial" w:cs="Arial"/>
        </w:rPr>
        <w:t> </w:t>
      </w:r>
      <w:r w:rsidRPr="00340A80">
        <w:rPr>
          <w:rFonts w:ascii="Arial" w:hAnsi="Arial" w:cs="Arial"/>
        </w:rPr>
        <w:t>Sb. o podpoře výzkumu, ex</w:t>
      </w:r>
      <w:r>
        <w:rPr>
          <w:rFonts w:ascii="Arial" w:hAnsi="Arial" w:cs="Arial"/>
        </w:rPr>
        <w:t xml:space="preserve">perimentálního vývoje a inovací. Již sedmý rok v řadě je Analýza VaVaI </w:t>
      </w:r>
      <w:r w:rsidRPr="006453CF">
        <w:rPr>
          <w:rFonts w:ascii="Arial" w:hAnsi="Arial" w:cs="Arial"/>
        </w:rPr>
        <w:t>zpracována Odborem Rady Úřadu vlády ČR</w:t>
      </w:r>
      <w:r>
        <w:rPr>
          <w:rFonts w:ascii="Arial" w:hAnsi="Arial" w:cs="Arial"/>
        </w:rPr>
        <w:t>.</w:t>
      </w:r>
    </w:p>
    <w:p w14:paraId="569B577A" w14:textId="77777777" w:rsidR="00A04BB6" w:rsidRDefault="00A04BB6" w:rsidP="00A04BB6">
      <w:pPr>
        <w:spacing w:after="0" w:line="360" w:lineRule="auto"/>
        <w:jc w:val="both"/>
        <w:rPr>
          <w:rFonts w:ascii="Arial" w:hAnsi="Arial" w:cs="Arial"/>
        </w:rPr>
      </w:pPr>
      <w:r w:rsidRPr="003D73A0">
        <w:rPr>
          <w:rFonts w:ascii="Arial" w:hAnsi="Arial" w:cs="Arial"/>
        </w:rPr>
        <w:t>Analýza</w:t>
      </w:r>
      <w:r>
        <w:rPr>
          <w:rFonts w:ascii="Arial" w:hAnsi="Arial" w:cs="Arial"/>
        </w:rPr>
        <w:t xml:space="preserve"> VaVaI za rok 2020</w:t>
      </w:r>
      <w:r w:rsidRPr="003D73A0">
        <w:rPr>
          <w:rFonts w:ascii="Arial" w:hAnsi="Arial" w:cs="Arial"/>
        </w:rPr>
        <w:t xml:space="preserve"> </w:t>
      </w:r>
      <w:r>
        <w:rPr>
          <w:rFonts w:ascii="Arial" w:hAnsi="Arial" w:cs="Arial"/>
        </w:rPr>
        <w:t xml:space="preserve">obsahuje </w:t>
      </w:r>
      <w:r w:rsidRPr="003D73A0">
        <w:rPr>
          <w:rFonts w:ascii="Arial" w:hAnsi="Arial" w:cs="Arial"/>
        </w:rPr>
        <w:t>indikátor</w:t>
      </w:r>
      <w:r>
        <w:rPr>
          <w:rFonts w:ascii="Arial" w:hAnsi="Arial" w:cs="Arial"/>
        </w:rPr>
        <w:t>y</w:t>
      </w:r>
      <w:r w:rsidRPr="003D73A0">
        <w:rPr>
          <w:rFonts w:ascii="Arial" w:hAnsi="Arial" w:cs="Arial"/>
        </w:rPr>
        <w:t xml:space="preserve"> vypovídající o stavu VaVaI v</w:t>
      </w:r>
      <w:r>
        <w:rPr>
          <w:rFonts w:ascii="Arial" w:hAnsi="Arial" w:cs="Arial"/>
        </w:rPr>
        <w:t> </w:t>
      </w:r>
      <w:r w:rsidRPr="003D73A0">
        <w:rPr>
          <w:rFonts w:ascii="Arial" w:hAnsi="Arial" w:cs="Arial"/>
        </w:rPr>
        <w:t>ČR</w:t>
      </w:r>
      <w:r>
        <w:rPr>
          <w:rFonts w:ascii="Arial" w:hAnsi="Arial" w:cs="Arial"/>
        </w:rPr>
        <w:t xml:space="preserve"> a jejich mezinárodní srovnání, včetně indikátorů stanovených ve strategickém dokumentu Národní politika výzkumu, vývoje a inovací České republiky na léta 2016–2020 a hodnotí 9 klíčových témat:</w:t>
      </w:r>
    </w:p>
    <w:p w14:paraId="2077B6A5" w14:textId="77777777" w:rsidR="00A04BB6" w:rsidRDefault="00A04BB6" w:rsidP="00A04BB6">
      <w:pPr>
        <w:pStyle w:val="Odstavecseseznamem"/>
        <w:numPr>
          <w:ilvl w:val="0"/>
          <w:numId w:val="25"/>
        </w:numPr>
        <w:spacing w:after="60" w:line="288" w:lineRule="auto"/>
        <w:ind w:left="714" w:hanging="357"/>
        <w:contextualSpacing w:val="0"/>
        <w:jc w:val="both"/>
        <w:rPr>
          <w:rFonts w:ascii="Arial" w:hAnsi="Arial" w:cs="Arial"/>
        </w:rPr>
      </w:pPr>
      <w:r>
        <w:rPr>
          <w:rFonts w:ascii="Arial" w:hAnsi="Arial" w:cs="Arial"/>
        </w:rPr>
        <w:t>Finanční toky ve výzkumu a vývoji</w:t>
      </w:r>
    </w:p>
    <w:p w14:paraId="2BA68AD2" w14:textId="77777777" w:rsidR="00A04BB6" w:rsidRDefault="00A04BB6" w:rsidP="00A04BB6">
      <w:pPr>
        <w:pStyle w:val="Odstavecseseznamem"/>
        <w:numPr>
          <w:ilvl w:val="0"/>
          <w:numId w:val="25"/>
        </w:numPr>
        <w:spacing w:after="60" w:line="288" w:lineRule="auto"/>
        <w:ind w:left="714" w:hanging="357"/>
        <w:contextualSpacing w:val="0"/>
        <w:jc w:val="both"/>
        <w:rPr>
          <w:rFonts w:ascii="Arial" w:hAnsi="Arial" w:cs="Arial"/>
        </w:rPr>
      </w:pPr>
      <w:r>
        <w:rPr>
          <w:rFonts w:ascii="Arial" w:hAnsi="Arial" w:cs="Arial"/>
        </w:rPr>
        <w:t>Financování výzkumu, vývoje ze státního rozpočtu</w:t>
      </w:r>
    </w:p>
    <w:p w14:paraId="2F285A94" w14:textId="77777777" w:rsidR="00A04BB6" w:rsidRDefault="00A04BB6" w:rsidP="00A04BB6">
      <w:pPr>
        <w:pStyle w:val="Odstavecseseznamem"/>
        <w:numPr>
          <w:ilvl w:val="0"/>
          <w:numId w:val="25"/>
        </w:numPr>
        <w:spacing w:after="60" w:line="288" w:lineRule="auto"/>
        <w:ind w:left="714" w:hanging="357"/>
        <w:contextualSpacing w:val="0"/>
        <w:jc w:val="both"/>
        <w:rPr>
          <w:rFonts w:ascii="Arial" w:hAnsi="Arial" w:cs="Arial"/>
        </w:rPr>
      </w:pPr>
      <w:r w:rsidRPr="009C15F9">
        <w:rPr>
          <w:rFonts w:ascii="Arial" w:hAnsi="Arial" w:cs="Arial"/>
        </w:rPr>
        <w:t xml:space="preserve">Podpora výzkumu, vývoje a inovací v ČR z evropských prostředků </w:t>
      </w:r>
    </w:p>
    <w:p w14:paraId="3A27B3C3" w14:textId="77777777" w:rsidR="00A04BB6" w:rsidRDefault="00A04BB6" w:rsidP="00A04BB6">
      <w:pPr>
        <w:pStyle w:val="Odstavecseseznamem"/>
        <w:numPr>
          <w:ilvl w:val="0"/>
          <w:numId w:val="25"/>
        </w:numPr>
        <w:spacing w:after="60" w:line="288" w:lineRule="auto"/>
        <w:ind w:left="714" w:hanging="357"/>
        <w:contextualSpacing w:val="0"/>
        <w:jc w:val="both"/>
        <w:rPr>
          <w:rFonts w:ascii="Arial" w:hAnsi="Arial" w:cs="Arial"/>
        </w:rPr>
      </w:pPr>
      <w:r w:rsidRPr="009C15F9">
        <w:rPr>
          <w:rFonts w:ascii="Arial" w:hAnsi="Arial" w:cs="Arial"/>
        </w:rPr>
        <w:t>Implementace RIS3 strategie v ČR</w:t>
      </w:r>
    </w:p>
    <w:p w14:paraId="20280B12" w14:textId="77777777" w:rsidR="00A04BB6" w:rsidRDefault="00A04BB6" w:rsidP="00A04BB6">
      <w:pPr>
        <w:pStyle w:val="Odstavecseseznamem"/>
        <w:numPr>
          <w:ilvl w:val="0"/>
          <w:numId w:val="25"/>
        </w:numPr>
        <w:spacing w:after="60" w:line="288" w:lineRule="auto"/>
        <w:ind w:left="714" w:hanging="357"/>
        <w:contextualSpacing w:val="0"/>
        <w:jc w:val="both"/>
        <w:rPr>
          <w:rFonts w:ascii="Arial" w:hAnsi="Arial" w:cs="Arial"/>
        </w:rPr>
      </w:pPr>
      <w:r>
        <w:rPr>
          <w:rFonts w:ascii="Arial" w:hAnsi="Arial" w:cs="Arial"/>
        </w:rPr>
        <w:t>Lidé</w:t>
      </w:r>
      <w:r w:rsidRPr="009C15F9">
        <w:rPr>
          <w:rFonts w:ascii="Arial" w:hAnsi="Arial" w:cs="Arial"/>
        </w:rPr>
        <w:t xml:space="preserve"> ve výzkumu a vývoji</w:t>
      </w:r>
    </w:p>
    <w:p w14:paraId="3B3D731A" w14:textId="77777777" w:rsidR="00A04BB6" w:rsidRDefault="00A04BB6" w:rsidP="00A04BB6">
      <w:pPr>
        <w:pStyle w:val="Odstavecseseznamem"/>
        <w:numPr>
          <w:ilvl w:val="0"/>
          <w:numId w:val="25"/>
        </w:numPr>
        <w:spacing w:after="60" w:line="288" w:lineRule="auto"/>
        <w:ind w:left="714" w:hanging="357"/>
        <w:contextualSpacing w:val="0"/>
        <w:jc w:val="both"/>
        <w:rPr>
          <w:rFonts w:ascii="Arial" w:hAnsi="Arial" w:cs="Arial"/>
        </w:rPr>
      </w:pPr>
      <w:r>
        <w:rPr>
          <w:rFonts w:ascii="Arial" w:hAnsi="Arial" w:cs="Arial"/>
        </w:rPr>
        <w:t>Výzkumné infrastruktury</w:t>
      </w:r>
    </w:p>
    <w:p w14:paraId="3F7583D0" w14:textId="77777777" w:rsidR="00A04BB6" w:rsidRDefault="00A04BB6" w:rsidP="00A04BB6">
      <w:pPr>
        <w:pStyle w:val="Odstavecseseznamem"/>
        <w:numPr>
          <w:ilvl w:val="0"/>
          <w:numId w:val="25"/>
        </w:numPr>
        <w:spacing w:after="60" w:line="288" w:lineRule="auto"/>
        <w:ind w:left="714" w:hanging="357"/>
        <w:contextualSpacing w:val="0"/>
        <w:jc w:val="both"/>
        <w:rPr>
          <w:rFonts w:ascii="Arial" w:hAnsi="Arial" w:cs="Arial"/>
        </w:rPr>
      </w:pPr>
      <w:r>
        <w:rPr>
          <w:rFonts w:ascii="Arial" w:hAnsi="Arial" w:cs="Arial"/>
        </w:rPr>
        <w:t>Výsledky výzkumu a vývoje</w:t>
      </w:r>
    </w:p>
    <w:p w14:paraId="1A4E9476" w14:textId="77777777" w:rsidR="00A04BB6" w:rsidRDefault="00A04BB6" w:rsidP="00A04BB6">
      <w:pPr>
        <w:pStyle w:val="Odstavecseseznamem"/>
        <w:numPr>
          <w:ilvl w:val="0"/>
          <w:numId w:val="25"/>
        </w:numPr>
        <w:spacing w:after="60" w:line="288" w:lineRule="auto"/>
        <w:ind w:left="714" w:hanging="357"/>
        <w:contextualSpacing w:val="0"/>
        <w:jc w:val="both"/>
        <w:rPr>
          <w:rFonts w:ascii="Arial" w:hAnsi="Arial" w:cs="Arial"/>
        </w:rPr>
      </w:pPr>
      <w:r>
        <w:rPr>
          <w:rFonts w:ascii="Arial" w:hAnsi="Arial" w:cs="Arial"/>
        </w:rPr>
        <w:t>Inovační výkonnost české ekonomiky a její mezinárodní srovnání</w:t>
      </w:r>
    </w:p>
    <w:p w14:paraId="53A23ACC" w14:textId="77777777" w:rsidR="00A04BB6" w:rsidRPr="00480B44" w:rsidRDefault="00A04BB6" w:rsidP="00A04BB6">
      <w:pPr>
        <w:pStyle w:val="Odstavecseseznamem"/>
        <w:numPr>
          <w:ilvl w:val="0"/>
          <w:numId w:val="25"/>
        </w:numPr>
        <w:spacing w:after="60" w:line="288" w:lineRule="auto"/>
        <w:ind w:left="714" w:hanging="357"/>
        <w:contextualSpacing w:val="0"/>
        <w:jc w:val="both"/>
        <w:rPr>
          <w:rFonts w:ascii="Arial" w:hAnsi="Arial" w:cs="Arial"/>
        </w:rPr>
      </w:pPr>
      <w:r>
        <w:rPr>
          <w:rFonts w:ascii="Arial" w:hAnsi="Arial" w:cs="Arial"/>
        </w:rPr>
        <w:t>Mezinárodní spolupráce ve výzkumu, vývoji a inovacích</w:t>
      </w:r>
    </w:p>
    <w:p w14:paraId="11B68C56" w14:textId="77777777" w:rsidR="00A04BB6" w:rsidRDefault="00A04BB6" w:rsidP="00A04BB6">
      <w:pPr>
        <w:spacing w:before="120" w:after="120" w:line="360" w:lineRule="auto"/>
        <w:jc w:val="both"/>
        <w:rPr>
          <w:rFonts w:ascii="Arial" w:hAnsi="Arial" w:cs="Arial"/>
        </w:rPr>
      </w:pPr>
      <w:r w:rsidRPr="00135EB3">
        <w:rPr>
          <w:rFonts w:ascii="Arial" w:hAnsi="Arial" w:cs="Arial"/>
        </w:rPr>
        <w:t xml:space="preserve">Na základě </w:t>
      </w:r>
      <w:r w:rsidRPr="00F045E0">
        <w:rPr>
          <w:rFonts w:ascii="Arial" w:hAnsi="Arial" w:cs="Arial"/>
        </w:rPr>
        <w:t>analýz</w:t>
      </w:r>
      <w:r>
        <w:rPr>
          <w:rFonts w:ascii="Arial" w:hAnsi="Arial" w:cs="Arial"/>
        </w:rPr>
        <w:t>y</w:t>
      </w:r>
      <w:r w:rsidRPr="00F045E0">
        <w:rPr>
          <w:rFonts w:ascii="Arial" w:hAnsi="Arial" w:cs="Arial"/>
        </w:rPr>
        <w:t xml:space="preserve"> formulovala Rada pro výzkum, vývoj a inovace tzv. silné</w:t>
      </w:r>
      <w:r>
        <w:rPr>
          <w:rFonts w:ascii="Arial" w:hAnsi="Arial" w:cs="Arial"/>
        </w:rPr>
        <w:t xml:space="preserve">, </w:t>
      </w:r>
      <w:r w:rsidRPr="00F045E0">
        <w:rPr>
          <w:rFonts w:ascii="Arial" w:hAnsi="Arial" w:cs="Arial"/>
        </w:rPr>
        <w:t>slabé stránky</w:t>
      </w:r>
      <w:r>
        <w:rPr>
          <w:rFonts w:ascii="Arial" w:hAnsi="Arial" w:cs="Arial"/>
        </w:rPr>
        <w:t xml:space="preserve"> a příležitosti</w:t>
      </w:r>
      <w:r w:rsidRPr="00F045E0">
        <w:rPr>
          <w:rFonts w:ascii="Arial" w:hAnsi="Arial" w:cs="Arial"/>
        </w:rPr>
        <w:t xml:space="preserve"> systému VaVaI</w:t>
      </w:r>
      <w:r>
        <w:rPr>
          <w:rFonts w:ascii="Arial" w:hAnsi="Arial" w:cs="Arial"/>
        </w:rPr>
        <w:t>:</w:t>
      </w:r>
    </w:p>
    <w:p w14:paraId="23328C1F" w14:textId="77777777" w:rsidR="00A04BB6" w:rsidRPr="002C3A31" w:rsidRDefault="00A04BB6" w:rsidP="00A04BB6">
      <w:pPr>
        <w:spacing w:after="0" w:line="360" w:lineRule="auto"/>
        <w:jc w:val="both"/>
        <w:rPr>
          <w:rFonts w:ascii="Arial" w:hAnsi="Arial" w:cs="Arial"/>
          <w:b/>
        </w:rPr>
      </w:pPr>
      <w:r w:rsidRPr="002C3A31">
        <w:rPr>
          <w:rFonts w:ascii="Arial" w:hAnsi="Arial" w:cs="Arial"/>
          <w:b/>
        </w:rPr>
        <w:t>Silné stránky</w:t>
      </w:r>
    </w:p>
    <w:p w14:paraId="653642AC" w14:textId="77777777" w:rsidR="00A04BB6" w:rsidRDefault="00A04BB6" w:rsidP="00A04BB6">
      <w:pPr>
        <w:pStyle w:val="Odstavecseseznamem"/>
        <w:numPr>
          <w:ilvl w:val="0"/>
          <w:numId w:val="20"/>
        </w:numPr>
        <w:pBdr>
          <w:top w:val="single" w:sz="18" w:space="1" w:color="4F81BD" w:themeColor="accent1"/>
          <w:left w:val="single" w:sz="18" w:space="4" w:color="4F81BD" w:themeColor="accent1"/>
          <w:bottom w:val="single" w:sz="18" w:space="1" w:color="4F81BD" w:themeColor="accent1"/>
          <w:right w:val="single" w:sz="18" w:space="4" w:color="4F81BD" w:themeColor="accent1"/>
        </w:pBdr>
        <w:shd w:val="clear" w:color="auto" w:fill="F1F4F9"/>
        <w:spacing w:after="0"/>
        <w:ind w:left="426" w:hanging="284"/>
        <w:jc w:val="both"/>
        <w:rPr>
          <w:rFonts w:ascii="Arial" w:eastAsia="Times New Roman" w:hAnsi="Arial" w:cs="Arial"/>
          <w:i/>
          <w:lang w:eastAsia="cs-CZ"/>
        </w:rPr>
      </w:pPr>
      <w:r w:rsidRPr="00D1226B">
        <w:rPr>
          <w:rFonts w:ascii="Arial" w:eastAsia="Times New Roman" w:hAnsi="Arial" w:cs="Arial"/>
          <w:i/>
          <w:lang w:eastAsia="cs-CZ"/>
        </w:rPr>
        <w:t>Ekonomický potenciál ČR</w:t>
      </w:r>
    </w:p>
    <w:p w14:paraId="6DA8B046" w14:textId="77777777" w:rsidR="00A04BB6" w:rsidRDefault="00A04BB6" w:rsidP="00A04BB6">
      <w:pPr>
        <w:pStyle w:val="Odstavecseseznamem"/>
        <w:numPr>
          <w:ilvl w:val="0"/>
          <w:numId w:val="20"/>
        </w:numPr>
        <w:pBdr>
          <w:top w:val="single" w:sz="18" w:space="1" w:color="4F81BD" w:themeColor="accent1"/>
          <w:left w:val="single" w:sz="18" w:space="4" w:color="4F81BD" w:themeColor="accent1"/>
          <w:bottom w:val="single" w:sz="18" w:space="1" w:color="4F81BD" w:themeColor="accent1"/>
          <w:right w:val="single" w:sz="18" w:space="4" w:color="4F81BD" w:themeColor="accent1"/>
        </w:pBdr>
        <w:shd w:val="clear" w:color="auto" w:fill="F1F4F9"/>
        <w:spacing w:after="0"/>
        <w:ind w:left="426" w:hanging="284"/>
        <w:jc w:val="both"/>
        <w:rPr>
          <w:rFonts w:ascii="Arial" w:eastAsia="Times New Roman" w:hAnsi="Arial" w:cs="Arial"/>
          <w:i/>
          <w:lang w:eastAsia="cs-CZ"/>
        </w:rPr>
      </w:pPr>
      <w:r>
        <w:rPr>
          <w:rFonts w:ascii="Arial" w:eastAsia="Times New Roman" w:hAnsi="Arial" w:cs="Arial"/>
          <w:i/>
          <w:lang w:eastAsia="cs-CZ"/>
        </w:rPr>
        <w:t>R</w:t>
      </w:r>
      <w:r w:rsidRPr="00D1226B">
        <w:rPr>
          <w:rFonts w:ascii="Arial" w:eastAsia="Times New Roman" w:hAnsi="Arial" w:cs="Arial"/>
          <w:i/>
          <w:lang w:eastAsia="cs-CZ"/>
        </w:rPr>
        <w:t xml:space="preserve">ostoucí </w:t>
      </w:r>
      <w:r>
        <w:rPr>
          <w:rFonts w:ascii="Arial" w:eastAsia="Times New Roman" w:hAnsi="Arial" w:cs="Arial"/>
          <w:i/>
          <w:lang w:eastAsia="cs-CZ"/>
        </w:rPr>
        <w:t xml:space="preserve">soukromé a veřejné </w:t>
      </w:r>
      <w:r w:rsidRPr="00D1226B">
        <w:rPr>
          <w:rFonts w:ascii="Arial" w:eastAsia="Times New Roman" w:hAnsi="Arial" w:cs="Arial"/>
          <w:i/>
          <w:lang w:eastAsia="cs-CZ"/>
        </w:rPr>
        <w:t>výdaj</w:t>
      </w:r>
      <w:r>
        <w:rPr>
          <w:rFonts w:ascii="Arial" w:eastAsia="Times New Roman" w:hAnsi="Arial" w:cs="Arial"/>
          <w:i/>
          <w:lang w:eastAsia="cs-CZ"/>
        </w:rPr>
        <w:t>e</w:t>
      </w:r>
      <w:r w:rsidRPr="00D1226B">
        <w:rPr>
          <w:rFonts w:ascii="Arial" w:eastAsia="Times New Roman" w:hAnsi="Arial" w:cs="Arial"/>
          <w:i/>
          <w:lang w:eastAsia="cs-CZ"/>
        </w:rPr>
        <w:t xml:space="preserve"> na VaVaI</w:t>
      </w:r>
    </w:p>
    <w:p w14:paraId="7B7F6DEE" w14:textId="77777777" w:rsidR="00A04BB6" w:rsidRDefault="00A04BB6" w:rsidP="00A04BB6">
      <w:pPr>
        <w:pStyle w:val="Odstavecseseznamem"/>
        <w:numPr>
          <w:ilvl w:val="0"/>
          <w:numId w:val="20"/>
        </w:numPr>
        <w:pBdr>
          <w:top w:val="single" w:sz="18" w:space="1" w:color="4F81BD" w:themeColor="accent1"/>
          <w:left w:val="single" w:sz="18" w:space="4" w:color="4F81BD" w:themeColor="accent1"/>
          <w:bottom w:val="single" w:sz="18" w:space="1" w:color="4F81BD" w:themeColor="accent1"/>
          <w:right w:val="single" w:sz="18" w:space="4" w:color="4F81BD" w:themeColor="accent1"/>
        </w:pBdr>
        <w:shd w:val="clear" w:color="auto" w:fill="F1F4F9"/>
        <w:spacing w:after="0"/>
        <w:ind w:left="426" w:hanging="284"/>
        <w:jc w:val="both"/>
        <w:rPr>
          <w:rFonts w:ascii="Arial" w:eastAsia="Times New Roman" w:hAnsi="Arial" w:cs="Arial"/>
          <w:i/>
          <w:lang w:eastAsia="cs-CZ"/>
        </w:rPr>
      </w:pPr>
      <w:r>
        <w:rPr>
          <w:rFonts w:ascii="Arial" w:eastAsia="Times New Roman" w:hAnsi="Arial" w:cs="Arial"/>
          <w:i/>
          <w:lang w:eastAsia="cs-CZ"/>
        </w:rPr>
        <w:t>V</w:t>
      </w:r>
      <w:r w:rsidRPr="00D1226B">
        <w:rPr>
          <w:rFonts w:ascii="Arial" w:eastAsia="Times New Roman" w:hAnsi="Arial" w:cs="Arial"/>
          <w:i/>
          <w:lang w:eastAsia="cs-CZ"/>
        </w:rPr>
        <w:t>ybudovan</w:t>
      </w:r>
      <w:r>
        <w:rPr>
          <w:rFonts w:ascii="Arial" w:eastAsia="Times New Roman" w:hAnsi="Arial" w:cs="Arial"/>
          <w:i/>
          <w:lang w:eastAsia="cs-CZ"/>
        </w:rPr>
        <w:t>á</w:t>
      </w:r>
      <w:r w:rsidRPr="00D1226B">
        <w:rPr>
          <w:rFonts w:ascii="Arial" w:eastAsia="Times New Roman" w:hAnsi="Arial" w:cs="Arial"/>
          <w:i/>
          <w:lang w:eastAsia="cs-CZ"/>
        </w:rPr>
        <w:t xml:space="preserve"> výzkumn</w:t>
      </w:r>
      <w:r>
        <w:rPr>
          <w:rFonts w:ascii="Arial" w:eastAsia="Times New Roman" w:hAnsi="Arial" w:cs="Arial"/>
          <w:i/>
          <w:lang w:eastAsia="cs-CZ"/>
        </w:rPr>
        <w:t>á</w:t>
      </w:r>
      <w:r w:rsidRPr="00D1226B">
        <w:rPr>
          <w:rFonts w:ascii="Arial" w:eastAsia="Times New Roman" w:hAnsi="Arial" w:cs="Arial"/>
          <w:i/>
          <w:lang w:eastAsia="cs-CZ"/>
        </w:rPr>
        <w:t xml:space="preserve"> infrastruktur</w:t>
      </w:r>
      <w:r>
        <w:rPr>
          <w:rFonts w:ascii="Arial" w:eastAsia="Times New Roman" w:hAnsi="Arial" w:cs="Arial"/>
          <w:i/>
          <w:lang w:eastAsia="cs-CZ"/>
        </w:rPr>
        <w:t>a</w:t>
      </w:r>
    </w:p>
    <w:p w14:paraId="62A93114" w14:textId="77777777" w:rsidR="00A04BB6" w:rsidRDefault="00A04BB6" w:rsidP="00A04BB6">
      <w:pPr>
        <w:pStyle w:val="Odstavecseseznamem"/>
        <w:numPr>
          <w:ilvl w:val="0"/>
          <w:numId w:val="20"/>
        </w:numPr>
        <w:pBdr>
          <w:top w:val="single" w:sz="18" w:space="1" w:color="4F81BD" w:themeColor="accent1"/>
          <w:left w:val="single" w:sz="18" w:space="4" w:color="4F81BD" w:themeColor="accent1"/>
          <w:bottom w:val="single" w:sz="18" w:space="1" w:color="4F81BD" w:themeColor="accent1"/>
          <w:right w:val="single" w:sz="18" w:space="4" w:color="4F81BD" w:themeColor="accent1"/>
        </w:pBdr>
        <w:shd w:val="clear" w:color="auto" w:fill="F1F4F9"/>
        <w:spacing w:after="0"/>
        <w:ind w:left="426" w:hanging="284"/>
        <w:jc w:val="both"/>
        <w:rPr>
          <w:rFonts w:ascii="Arial" w:eastAsia="Times New Roman" w:hAnsi="Arial" w:cs="Arial"/>
          <w:i/>
          <w:lang w:eastAsia="cs-CZ"/>
        </w:rPr>
      </w:pPr>
      <w:r w:rsidRPr="00D1226B">
        <w:rPr>
          <w:rFonts w:ascii="Arial" w:eastAsia="Times New Roman" w:hAnsi="Arial" w:cs="Arial"/>
          <w:i/>
          <w:lang w:eastAsia="cs-CZ"/>
        </w:rPr>
        <w:t>Silná kultura publikační činnosti</w:t>
      </w:r>
    </w:p>
    <w:p w14:paraId="0FCCC295" w14:textId="77777777" w:rsidR="00A04BB6" w:rsidRDefault="00A04BB6" w:rsidP="00A04BB6">
      <w:pPr>
        <w:pStyle w:val="Odstavecseseznamem"/>
        <w:numPr>
          <w:ilvl w:val="0"/>
          <w:numId w:val="20"/>
        </w:numPr>
        <w:pBdr>
          <w:top w:val="single" w:sz="18" w:space="1" w:color="4F81BD" w:themeColor="accent1"/>
          <w:left w:val="single" w:sz="18" w:space="4" w:color="4F81BD" w:themeColor="accent1"/>
          <w:bottom w:val="single" w:sz="18" w:space="1" w:color="4F81BD" w:themeColor="accent1"/>
          <w:right w:val="single" w:sz="18" w:space="4" w:color="4F81BD" w:themeColor="accent1"/>
        </w:pBdr>
        <w:shd w:val="clear" w:color="auto" w:fill="F1F4F9"/>
        <w:spacing w:after="0"/>
        <w:ind w:left="426" w:hanging="284"/>
        <w:jc w:val="both"/>
        <w:rPr>
          <w:rFonts w:ascii="Arial" w:eastAsia="Times New Roman" w:hAnsi="Arial" w:cs="Arial"/>
          <w:i/>
          <w:lang w:eastAsia="cs-CZ"/>
        </w:rPr>
      </w:pPr>
      <w:r>
        <w:rPr>
          <w:rFonts w:ascii="Arial" w:eastAsia="Times New Roman" w:hAnsi="Arial" w:cs="Arial"/>
          <w:i/>
          <w:lang w:eastAsia="cs-CZ"/>
        </w:rPr>
        <w:t>P</w:t>
      </w:r>
      <w:r w:rsidRPr="00D1226B">
        <w:rPr>
          <w:rFonts w:ascii="Arial" w:eastAsia="Times New Roman" w:hAnsi="Arial" w:cs="Arial"/>
          <w:i/>
          <w:lang w:eastAsia="cs-CZ"/>
        </w:rPr>
        <w:t>ostupně se rozvíjející internacionalizace vedoucí k excelenci některých vědeckých oborů</w:t>
      </w:r>
    </w:p>
    <w:p w14:paraId="3D517A56" w14:textId="77777777" w:rsidR="00A04BB6" w:rsidRPr="002C3A31" w:rsidRDefault="00A04BB6" w:rsidP="00A04BB6">
      <w:pPr>
        <w:pStyle w:val="Odstavecseseznamem"/>
        <w:numPr>
          <w:ilvl w:val="0"/>
          <w:numId w:val="20"/>
        </w:numPr>
        <w:pBdr>
          <w:top w:val="single" w:sz="18" w:space="1" w:color="4F81BD" w:themeColor="accent1"/>
          <w:left w:val="single" w:sz="18" w:space="4" w:color="4F81BD" w:themeColor="accent1"/>
          <w:bottom w:val="single" w:sz="18" w:space="1" w:color="4F81BD" w:themeColor="accent1"/>
          <w:right w:val="single" w:sz="18" w:space="4" w:color="4F81BD" w:themeColor="accent1"/>
        </w:pBdr>
        <w:shd w:val="clear" w:color="auto" w:fill="F1F4F9"/>
        <w:spacing w:after="0"/>
        <w:ind w:left="426" w:hanging="284"/>
        <w:jc w:val="both"/>
        <w:rPr>
          <w:rFonts w:ascii="Arial" w:eastAsia="Times New Roman" w:hAnsi="Arial" w:cs="Arial"/>
          <w:i/>
          <w:lang w:eastAsia="cs-CZ"/>
        </w:rPr>
      </w:pPr>
      <w:r w:rsidRPr="002C3A31">
        <w:rPr>
          <w:rFonts w:ascii="Arial" w:eastAsia="Times New Roman" w:hAnsi="Arial" w:cs="Arial"/>
          <w:i/>
          <w:lang w:eastAsia="cs-CZ"/>
        </w:rPr>
        <w:t>Kvalifikovan</w:t>
      </w:r>
      <w:r>
        <w:rPr>
          <w:rFonts w:ascii="Arial" w:eastAsia="Times New Roman" w:hAnsi="Arial" w:cs="Arial"/>
          <w:i/>
          <w:lang w:eastAsia="cs-CZ"/>
        </w:rPr>
        <w:t>í</w:t>
      </w:r>
      <w:r w:rsidRPr="002C3A31">
        <w:rPr>
          <w:rFonts w:ascii="Arial" w:eastAsia="Times New Roman" w:hAnsi="Arial" w:cs="Arial"/>
          <w:i/>
          <w:lang w:eastAsia="cs-CZ"/>
        </w:rPr>
        <w:t xml:space="preserve"> lid</w:t>
      </w:r>
      <w:r>
        <w:rPr>
          <w:rFonts w:ascii="Arial" w:eastAsia="Times New Roman" w:hAnsi="Arial" w:cs="Arial"/>
          <w:i/>
          <w:lang w:eastAsia="cs-CZ"/>
        </w:rPr>
        <w:t xml:space="preserve">é </w:t>
      </w:r>
      <w:r w:rsidRPr="002C3A31">
        <w:rPr>
          <w:rFonts w:ascii="Arial" w:eastAsia="Times New Roman" w:hAnsi="Arial" w:cs="Arial"/>
          <w:i/>
          <w:lang w:eastAsia="cs-CZ"/>
        </w:rPr>
        <w:t>a tradičně silné akademické zázemí</w:t>
      </w:r>
    </w:p>
    <w:p w14:paraId="79CF1586" w14:textId="77777777" w:rsidR="00A04BB6" w:rsidRPr="002C3A31" w:rsidRDefault="00A04BB6" w:rsidP="00A04BB6">
      <w:pPr>
        <w:spacing w:before="120" w:after="0" w:line="360" w:lineRule="auto"/>
        <w:jc w:val="both"/>
        <w:rPr>
          <w:rFonts w:ascii="Arial" w:hAnsi="Arial" w:cs="Arial"/>
          <w:b/>
        </w:rPr>
      </w:pPr>
      <w:r w:rsidRPr="002C3A31">
        <w:rPr>
          <w:rFonts w:ascii="Arial" w:hAnsi="Arial" w:cs="Arial"/>
          <w:b/>
        </w:rPr>
        <w:t>Slabé stránky</w:t>
      </w:r>
    </w:p>
    <w:p w14:paraId="18799F2E" w14:textId="77777777" w:rsidR="00A04BB6" w:rsidRDefault="00A04BB6" w:rsidP="00A04BB6">
      <w:pPr>
        <w:pStyle w:val="Odstavecseseznamem"/>
        <w:numPr>
          <w:ilvl w:val="0"/>
          <w:numId w:val="21"/>
        </w:numPr>
        <w:pBdr>
          <w:top w:val="single" w:sz="18" w:space="1" w:color="C00000"/>
          <w:left w:val="single" w:sz="18" w:space="4" w:color="C00000"/>
          <w:bottom w:val="single" w:sz="18" w:space="1" w:color="C00000"/>
          <w:right w:val="single" w:sz="18" w:space="4" w:color="C00000"/>
        </w:pBdr>
        <w:shd w:val="clear" w:color="auto" w:fill="F7E9E9"/>
        <w:spacing w:after="0"/>
        <w:ind w:left="425" w:hanging="283"/>
        <w:jc w:val="both"/>
        <w:rPr>
          <w:rFonts w:ascii="Arial" w:eastAsia="Times New Roman" w:hAnsi="Arial" w:cs="Arial"/>
          <w:i/>
          <w:lang w:eastAsia="cs-CZ"/>
        </w:rPr>
      </w:pPr>
      <w:r>
        <w:rPr>
          <w:rFonts w:ascii="Arial" w:eastAsia="Times New Roman" w:hAnsi="Arial" w:cs="Arial"/>
          <w:i/>
          <w:lang w:eastAsia="cs-CZ"/>
        </w:rPr>
        <w:t>Soukromé výdaje</w:t>
      </w:r>
      <w:r w:rsidRPr="00F045E0">
        <w:rPr>
          <w:rFonts w:ascii="Arial" w:eastAsia="Times New Roman" w:hAnsi="Arial" w:cs="Arial"/>
          <w:i/>
          <w:lang w:eastAsia="cs-CZ"/>
        </w:rPr>
        <w:t xml:space="preserve"> systému VaVaI </w:t>
      </w:r>
      <w:r>
        <w:rPr>
          <w:rFonts w:ascii="Arial" w:eastAsia="Times New Roman" w:hAnsi="Arial" w:cs="Arial"/>
          <w:i/>
          <w:lang w:eastAsia="cs-CZ"/>
        </w:rPr>
        <w:t xml:space="preserve">spotřebovávané </w:t>
      </w:r>
      <w:r w:rsidRPr="00F045E0">
        <w:rPr>
          <w:rFonts w:ascii="Arial" w:eastAsia="Times New Roman" w:hAnsi="Arial" w:cs="Arial"/>
          <w:i/>
          <w:lang w:eastAsia="cs-CZ"/>
        </w:rPr>
        <w:t>převážně v soukromé sféře</w:t>
      </w:r>
      <w:r>
        <w:rPr>
          <w:rFonts w:ascii="Arial" w:eastAsia="Times New Roman" w:hAnsi="Arial" w:cs="Arial"/>
          <w:i/>
          <w:lang w:eastAsia="cs-CZ"/>
        </w:rPr>
        <w:t xml:space="preserve"> a tedy dlouhodobě nízká míra spolupráce</w:t>
      </w:r>
      <w:r w:rsidRPr="00F045E0">
        <w:rPr>
          <w:rFonts w:ascii="Arial" w:eastAsia="Times New Roman" w:hAnsi="Arial" w:cs="Arial"/>
          <w:i/>
          <w:lang w:eastAsia="cs-CZ"/>
        </w:rPr>
        <w:t xml:space="preserve"> soukromé a veřejné sféry v systému VaVaI</w:t>
      </w:r>
    </w:p>
    <w:p w14:paraId="0CDC77F6" w14:textId="77777777" w:rsidR="00A04BB6" w:rsidRPr="00F045E0" w:rsidRDefault="00A04BB6" w:rsidP="00A04BB6">
      <w:pPr>
        <w:pStyle w:val="Odstavecseseznamem"/>
        <w:numPr>
          <w:ilvl w:val="0"/>
          <w:numId w:val="21"/>
        </w:numPr>
        <w:pBdr>
          <w:top w:val="single" w:sz="18" w:space="1" w:color="C00000"/>
          <w:left w:val="single" w:sz="18" w:space="4" w:color="C00000"/>
          <w:bottom w:val="single" w:sz="18" w:space="1" w:color="C00000"/>
          <w:right w:val="single" w:sz="18" w:space="4" w:color="C00000"/>
        </w:pBdr>
        <w:shd w:val="clear" w:color="auto" w:fill="F7E9E9"/>
        <w:spacing w:after="0"/>
        <w:ind w:left="425" w:hanging="283"/>
        <w:jc w:val="both"/>
        <w:rPr>
          <w:rFonts w:ascii="Arial" w:eastAsia="Times New Roman" w:hAnsi="Arial" w:cs="Arial"/>
          <w:i/>
          <w:lang w:eastAsia="cs-CZ"/>
        </w:rPr>
      </w:pPr>
      <w:r w:rsidRPr="00F045E0">
        <w:rPr>
          <w:rFonts w:ascii="Arial" w:eastAsia="Times New Roman" w:hAnsi="Arial" w:cs="Arial"/>
          <w:i/>
          <w:lang w:eastAsia="cs-CZ"/>
        </w:rPr>
        <w:t>Neuspokojivá účast českých výzkumných organizací a týmů v rámcovém programu Horizont 2020</w:t>
      </w:r>
    </w:p>
    <w:p w14:paraId="00F2E074" w14:textId="77777777" w:rsidR="00A04BB6" w:rsidRDefault="00A04BB6" w:rsidP="00A04BB6">
      <w:pPr>
        <w:pStyle w:val="Odstavecseseznamem"/>
        <w:numPr>
          <w:ilvl w:val="0"/>
          <w:numId w:val="21"/>
        </w:numPr>
        <w:pBdr>
          <w:top w:val="single" w:sz="18" w:space="1" w:color="C00000"/>
          <w:left w:val="single" w:sz="18" w:space="4" w:color="C00000"/>
          <w:bottom w:val="single" w:sz="18" w:space="1" w:color="C00000"/>
          <w:right w:val="single" w:sz="18" w:space="4" w:color="C00000"/>
        </w:pBdr>
        <w:shd w:val="clear" w:color="auto" w:fill="F7E9E9"/>
        <w:spacing w:after="0"/>
        <w:ind w:left="426" w:hanging="284"/>
        <w:jc w:val="both"/>
        <w:rPr>
          <w:rFonts w:ascii="Arial" w:eastAsia="Times New Roman" w:hAnsi="Arial" w:cs="Arial"/>
          <w:i/>
          <w:lang w:eastAsia="cs-CZ"/>
        </w:rPr>
      </w:pPr>
      <w:r>
        <w:rPr>
          <w:rFonts w:ascii="Arial" w:eastAsia="Times New Roman" w:hAnsi="Arial" w:cs="Arial"/>
          <w:i/>
          <w:lang w:eastAsia="cs-CZ"/>
        </w:rPr>
        <w:t xml:space="preserve">Nastavení </w:t>
      </w:r>
      <w:r w:rsidRPr="00821452">
        <w:rPr>
          <w:rFonts w:ascii="Arial" w:eastAsia="Times New Roman" w:hAnsi="Arial" w:cs="Arial"/>
          <w:i/>
          <w:lang w:eastAsia="cs-CZ"/>
        </w:rPr>
        <w:t>rozv</w:t>
      </w:r>
      <w:r>
        <w:rPr>
          <w:rFonts w:ascii="Arial" w:eastAsia="Times New Roman" w:hAnsi="Arial" w:cs="Arial"/>
          <w:i/>
          <w:lang w:eastAsia="cs-CZ"/>
        </w:rPr>
        <w:t>íjení potřebných</w:t>
      </w:r>
      <w:r w:rsidRPr="00821452">
        <w:rPr>
          <w:rFonts w:ascii="Arial" w:eastAsia="Times New Roman" w:hAnsi="Arial" w:cs="Arial"/>
          <w:i/>
          <w:lang w:eastAsia="cs-CZ"/>
        </w:rPr>
        <w:t xml:space="preserve"> profesních schopností a dovedností výzkumných pracovníků a </w:t>
      </w:r>
      <w:r>
        <w:rPr>
          <w:rFonts w:ascii="Arial" w:eastAsia="Times New Roman" w:hAnsi="Arial" w:cs="Arial"/>
          <w:i/>
          <w:lang w:eastAsia="cs-CZ"/>
        </w:rPr>
        <w:t xml:space="preserve">tím nedostatečné </w:t>
      </w:r>
      <w:r w:rsidRPr="00821452">
        <w:rPr>
          <w:rFonts w:ascii="Arial" w:eastAsia="Times New Roman" w:hAnsi="Arial" w:cs="Arial"/>
          <w:i/>
          <w:lang w:eastAsia="cs-CZ"/>
        </w:rPr>
        <w:t>využití jejich potenciálu</w:t>
      </w:r>
    </w:p>
    <w:p w14:paraId="00996B95" w14:textId="77777777" w:rsidR="00A04BB6" w:rsidRDefault="00A04BB6" w:rsidP="00A04BB6">
      <w:pPr>
        <w:pStyle w:val="Odstavecseseznamem"/>
        <w:numPr>
          <w:ilvl w:val="0"/>
          <w:numId w:val="21"/>
        </w:numPr>
        <w:pBdr>
          <w:top w:val="single" w:sz="18" w:space="1" w:color="C00000"/>
          <w:left w:val="single" w:sz="18" w:space="4" w:color="C00000"/>
          <w:bottom w:val="single" w:sz="18" w:space="1" w:color="C00000"/>
          <w:right w:val="single" w:sz="18" w:space="4" w:color="C00000"/>
        </w:pBdr>
        <w:shd w:val="clear" w:color="auto" w:fill="F7E9E9"/>
        <w:spacing w:after="0"/>
        <w:ind w:left="426" w:hanging="284"/>
        <w:jc w:val="both"/>
        <w:rPr>
          <w:rFonts w:ascii="Arial" w:eastAsia="Times New Roman" w:hAnsi="Arial" w:cs="Arial"/>
          <w:i/>
          <w:lang w:eastAsia="cs-CZ"/>
        </w:rPr>
      </w:pPr>
      <w:r>
        <w:rPr>
          <w:rFonts w:ascii="Arial" w:eastAsia="Times New Roman" w:hAnsi="Arial" w:cs="Arial"/>
          <w:i/>
          <w:lang w:eastAsia="cs-CZ"/>
        </w:rPr>
        <w:t>N</w:t>
      </w:r>
      <w:r w:rsidRPr="00821452">
        <w:rPr>
          <w:rFonts w:ascii="Arial" w:eastAsia="Times New Roman" w:hAnsi="Arial" w:cs="Arial"/>
          <w:i/>
          <w:lang w:eastAsia="cs-CZ"/>
        </w:rPr>
        <w:t>ízké zastoupení žen ve výzkum</w:t>
      </w:r>
      <w:r>
        <w:rPr>
          <w:rFonts w:ascii="Arial" w:eastAsia="Times New Roman" w:hAnsi="Arial" w:cs="Arial"/>
          <w:i/>
          <w:lang w:eastAsia="cs-CZ"/>
        </w:rPr>
        <w:t xml:space="preserve">u </w:t>
      </w:r>
    </w:p>
    <w:p w14:paraId="18C0D167" w14:textId="77777777" w:rsidR="00A04BB6" w:rsidRDefault="00A04BB6" w:rsidP="00A04BB6">
      <w:pPr>
        <w:pStyle w:val="Odstavecseseznamem"/>
        <w:numPr>
          <w:ilvl w:val="0"/>
          <w:numId w:val="21"/>
        </w:numPr>
        <w:pBdr>
          <w:top w:val="single" w:sz="18" w:space="1" w:color="C00000"/>
          <w:left w:val="single" w:sz="18" w:space="4" w:color="C00000"/>
          <w:bottom w:val="single" w:sz="18" w:space="1" w:color="C00000"/>
          <w:right w:val="single" w:sz="18" w:space="4" w:color="C00000"/>
        </w:pBdr>
        <w:shd w:val="clear" w:color="auto" w:fill="F7E9E9"/>
        <w:spacing w:after="0"/>
        <w:ind w:left="426" w:hanging="284"/>
        <w:jc w:val="both"/>
        <w:rPr>
          <w:rFonts w:ascii="Arial" w:eastAsia="Times New Roman" w:hAnsi="Arial" w:cs="Arial"/>
          <w:i/>
          <w:lang w:eastAsia="cs-CZ"/>
        </w:rPr>
      </w:pPr>
      <w:r>
        <w:rPr>
          <w:rFonts w:ascii="Arial" w:eastAsia="Times New Roman" w:hAnsi="Arial" w:cs="Arial"/>
          <w:i/>
          <w:lang w:eastAsia="cs-CZ"/>
        </w:rPr>
        <w:t>Nedostatečné p</w:t>
      </w:r>
      <w:r w:rsidRPr="00F045E0">
        <w:rPr>
          <w:rFonts w:ascii="Arial" w:eastAsia="Times New Roman" w:hAnsi="Arial" w:cs="Arial"/>
          <w:i/>
          <w:lang w:eastAsia="cs-CZ"/>
        </w:rPr>
        <w:t>odmínky pro efektivní fungování a rozvoj inovačních aktivit</w:t>
      </w:r>
    </w:p>
    <w:p w14:paraId="382E2A14" w14:textId="77777777" w:rsidR="00A04BB6" w:rsidRPr="00262DFF" w:rsidRDefault="00A04BB6" w:rsidP="00A04BB6">
      <w:pPr>
        <w:pStyle w:val="Odstavecseseznamem"/>
        <w:numPr>
          <w:ilvl w:val="0"/>
          <w:numId w:val="21"/>
        </w:numPr>
        <w:pBdr>
          <w:top w:val="single" w:sz="18" w:space="1" w:color="C00000"/>
          <w:left w:val="single" w:sz="18" w:space="4" w:color="C00000"/>
          <w:bottom w:val="single" w:sz="18" w:space="1" w:color="C00000"/>
          <w:right w:val="single" w:sz="18" w:space="4" w:color="C00000"/>
        </w:pBdr>
        <w:shd w:val="clear" w:color="auto" w:fill="F7E9E9"/>
        <w:spacing w:after="0"/>
        <w:ind w:left="426" w:hanging="284"/>
        <w:jc w:val="both"/>
        <w:rPr>
          <w:rFonts w:ascii="Arial" w:eastAsia="Times New Roman" w:hAnsi="Arial" w:cs="Arial"/>
          <w:i/>
          <w:lang w:eastAsia="cs-CZ"/>
        </w:rPr>
      </w:pPr>
      <w:r w:rsidRPr="00262DFF">
        <w:rPr>
          <w:rFonts w:ascii="Arial" w:eastAsia="Times New Roman" w:hAnsi="Arial" w:cs="Arial"/>
          <w:i/>
          <w:lang w:eastAsia="cs-CZ"/>
        </w:rPr>
        <w:t>Nedostatečn</w:t>
      </w:r>
      <w:r>
        <w:rPr>
          <w:rFonts w:ascii="Arial" w:eastAsia="Times New Roman" w:hAnsi="Arial" w:cs="Arial"/>
          <w:i/>
          <w:lang w:eastAsia="cs-CZ"/>
        </w:rPr>
        <w:t xml:space="preserve">é využívání možností </w:t>
      </w:r>
      <w:r w:rsidRPr="00262DFF">
        <w:rPr>
          <w:rFonts w:ascii="Arial" w:eastAsia="Times New Roman" w:hAnsi="Arial" w:cs="Arial"/>
          <w:i/>
          <w:lang w:eastAsia="cs-CZ"/>
        </w:rPr>
        <w:t>ochran</w:t>
      </w:r>
      <w:r>
        <w:rPr>
          <w:rFonts w:ascii="Arial" w:eastAsia="Times New Roman" w:hAnsi="Arial" w:cs="Arial"/>
          <w:i/>
          <w:lang w:eastAsia="cs-CZ"/>
        </w:rPr>
        <w:t>y</w:t>
      </w:r>
      <w:r w:rsidRPr="00262DFF">
        <w:rPr>
          <w:rFonts w:ascii="Arial" w:eastAsia="Times New Roman" w:hAnsi="Arial" w:cs="Arial"/>
          <w:i/>
          <w:lang w:eastAsia="cs-CZ"/>
        </w:rPr>
        <w:t xml:space="preserve"> duševního vlastnictví</w:t>
      </w:r>
    </w:p>
    <w:p w14:paraId="5E1121A9" w14:textId="77777777" w:rsidR="00A04BB6" w:rsidRPr="002C3A31" w:rsidRDefault="00A04BB6" w:rsidP="00A04BB6">
      <w:pPr>
        <w:keepNext/>
        <w:spacing w:before="120" w:after="0" w:line="360" w:lineRule="auto"/>
        <w:jc w:val="both"/>
        <w:rPr>
          <w:rFonts w:ascii="Arial" w:hAnsi="Arial" w:cs="Arial"/>
          <w:b/>
        </w:rPr>
      </w:pPr>
      <w:r w:rsidRPr="002C3A31">
        <w:rPr>
          <w:rFonts w:ascii="Arial" w:hAnsi="Arial" w:cs="Arial"/>
          <w:b/>
        </w:rPr>
        <w:lastRenderedPageBreak/>
        <w:t>Příležitosti</w:t>
      </w:r>
    </w:p>
    <w:p w14:paraId="52453133" w14:textId="77777777" w:rsidR="00A04BB6" w:rsidRDefault="00A04BB6" w:rsidP="00A04BB6">
      <w:pPr>
        <w:spacing w:after="60" w:line="360" w:lineRule="auto"/>
        <w:jc w:val="both"/>
        <w:rPr>
          <w:rFonts w:ascii="Arial" w:hAnsi="Arial" w:cs="Arial"/>
        </w:rPr>
      </w:pPr>
      <w:r w:rsidRPr="00D1226B">
        <w:rPr>
          <w:rFonts w:ascii="Arial" w:hAnsi="Arial" w:cs="Arial"/>
        </w:rPr>
        <w:t>Česká republika má silnou průmyslovou i výzkumnou základnu a moderní výzkumné infrastruktury</w:t>
      </w:r>
      <w:r>
        <w:rPr>
          <w:rFonts w:ascii="Arial" w:hAnsi="Arial" w:cs="Arial"/>
        </w:rPr>
        <w:t>, ale p</w:t>
      </w:r>
      <w:r w:rsidRPr="00D1226B">
        <w:rPr>
          <w:rFonts w:ascii="Arial" w:hAnsi="Arial" w:cs="Arial"/>
        </w:rPr>
        <w:t>otřeby podnikatelské a výzkumné sféry se ne vždy potkávají, což se odráží v doposud stále nízké míře spolupráce těchto dvou sfér.</w:t>
      </w:r>
    </w:p>
    <w:p w14:paraId="437D6571" w14:textId="77777777" w:rsidR="00A04BB6" w:rsidRPr="00D1226B" w:rsidRDefault="00A04BB6" w:rsidP="00A04BB6">
      <w:pPr>
        <w:spacing w:after="60" w:line="360" w:lineRule="auto"/>
        <w:jc w:val="both"/>
        <w:rPr>
          <w:rFonts w:ascii="Arial" w:hAnsi="Arial" w:cs="Arial"/>
        </w:rPr>
      </w:pPr>
      <w:r w:rsidRPr="00D1226B">
        <w:rPr>
          <w:rFonts w:ascii="Arial" w:hAnsi="Arial" w:cs="Arial"/>
        </w:rPr>
        <w:t>ČR musí pokračovat v</w:t>
      </w:r>
      <w:r>
        <w:rPr>
          <w:rFonts w:ascii="Arial" w:hAnsi="Arial" w:cs="Arial"/>
        </w:rPr>
        <w:t>e</w:t>
      </w:r>
      <w:r w:rsidRPr="00D1226B">
        <w:rPr>
          <w:rFonts w:ascii="Arial" w:hAnsi="Arial" w:cs="Arial"/>
        </w:rPr>
        <w:t xml:space="preserve"> </w:t>
      </w:r>
      <w:r>
        <w:rPr>
          <w:rFonts w:ascii="Arial" w:hAnsi="Arial" w:cs="Arial"/>
        </w:rPr>
        <w:t xml:space="preserve">vytváření prostředí pro rozvoj inovačního potenciálu. K tomu patří </w:t>
      </w:r>
      <w:r>
        <w:rPr>
          <w:rFonts w:ascii="Arial" w:hAnsi="Arial" w:cs="Arial"/>
          <w:b/>
        </w:rPr>
        <w:t>podpora investic</w:t>
      </w:r>
      <w:r w:rsidRPr="00D1226B">
        <w:rPr>
          <w:rFonts w:ascii="Arial" w:hAnsi="Arial" w:cs="Arial"/>
        </w:rPr>
        <w:t xml:space="preserve"> rizikového kapitálu</w:t>
      </w:r>
      <w:r>
        <w:rPr>
          <w:rFonts w:ascii="Arial" w:hAnsi="Arial" w:cs="Arial"/>
        </w:rPr>
        <w:t xml:space="preserve"> a</w:t>
      </w:r>
      <w:r w:rsidRPr="00D1226B">
        <w:rPr>
          <w:rFonts w:ascii="Arial" w:hAnsi="Arial" w:cs="Arial"/>
        </w:rPr>
        <w:t xml:space="preserve"> </w:t>
      </w:r>
      <w:r w:rsidRPr="001F22E2">
        <w:rPr>
          <w:rFonts w:ascii="Arial" w:hAnsi="Arial" w:cs="Arial"/>
          <w:b/>
        </w:rPr>
        <w:t>vyšší využití ochrany duševního vlastnictví</w:t>
      </w:r>
      <w:r w:rsidRPr="00D1226B">
        <w:rPr>
          <w:rFonts w:ascii="Arial" w:hAnsi="Arial" w:cs="Arial"/>
        </w:rPr>
        <w:t xml:space="preserve"> formou mezinárodních patentů.</w:t>
      </w:r>
      <w:r>
        <w:rPr>
          <w:rFonts w:ascii="Arial" w:hAnsi="Arial" w:cs="Arial"/>
        </w:rPr>
        <w:t xml:space="preserve"> Příležitostí je vytvoření vhodných podmínek a pobídek pro investice do start-ups a zajištění efektivního využívání nástrojů ochrany průmyslového vlastnictví včetně podpory znalostní báze ochrany průmyslového vlastnictví.</w:t>
      </w:r>
    </w:p>
    <w:p w14:paraId="3CA979D1" w14:textId="77777777" w:rsidR="00A04BB6" w:rsidRDefault="00A04BB6" w:rsidP="00A04BB6">
      <w:pPr>
        <w:spacing w:after="60" w:line="360" w:lineRule="auto"/>
        <w:jc w:val="both"/>
        <w:rPr>
          <w:rFonts w:ascii="Arial" w:hAnsi="Arial" w:cs="Arial"/>
        </w:rPr>
      </w:pPr>
      <w:r w:rsidRPr="00D1226B">
        <w:rPr>
          <w:rFonts w:ascii="Arial" w:hAnsi="Arial" w:cs="Arial"/>
        </w:rPr>
        <w:t xml:space="preserve">Pro systém řízení VaVaI v ČR je zásadní </w:t>
      </w:r>
      <w:r w:rsidRPr="006F415F">
        <w:rPr>
          <w:rFonts w:ascii="Arial" w:hAnsi="Arial" w:cs="Arial"/>
          <w:b/>
        </w:rPr>
        <w:t xml:space="preserve">nastavení </w:t>
      </w:r>
      <w:r w:rsidRPr="007647C9">
        <w:rPr>
          <w:rFonts w:ascii="Arial" w:hAnsi="Arial" w:cs="Arial"/>
          <w:b/>
        </w:rPr>
        <w:t>nástrojů přímé a nepřímé veřejné podpory</w:t>
      </w:r>
      <w:r w:rsidRPr="00D1226B">
        <w:rPr>
          <w:rFonts w:ascii="Arial" w:hAnsi="Arial" w:cs="Arial"/>
        </w:rPr>
        <w:t xml:space="preserve"> tak, aby docházelo k </w:t>
      </w:r>
      <w:r w:rsidRPr="002C32CC">
        <w:rPr>
          <w:rFonts w:ascii="Arial" w:hAnsi="Arial" w:cs="Arial"/>
        </w:rPr>
        <w:t xml:space="preserve">akceleraci soukromých výdajů </w:t>
      </w:r>
      <w:r w:rsidR="001F22E2">
        <w:rPr>
          <w:rFonts w:ascii="Arial" w:hAnsi="Arial" w:cs="Arial"/>
        </w:rPr>
        <w:t>na VaVaI a zvýšení orientace výzkumu a vývoje</w:t>
      </w:r>
      <w:r w:rsidRPr="002C32CC">
        <w:rPr>
          <w:rFonts w:ascii="Arial" w:hAnsi="Arial" w:cs="Arial"/>
        </w:rPr>
        <w:t xml:space="preserve"> na aplikaci výsledků VaV ve společnosti. </w:t>
      </w:r>
    </w:p>
    <w:p w14:paraId="4CB311A1" w14:textId="77777777" w:rsidR="00A04BB6" w:rsidRDefault="00A04BB6" w:rsidP="00A04BB6">
      <w:pPr>
        <w:spacing w:after="60" w:line="360" w:lineRule="auto"/>
        <w:jc w:val="both"/>
        <w:rPr>
          <w:rFonts w:ascii="Arial" w:hAnsi="Arial" w:cs="Arial"/>
        </w:rPr>
      </w:pPr>
      <w:r w:rsidRPr="00D1226B">
        <w:rPr>
          <w:rFonts w:ascii="Arial" w:hAnsi="Arial" w:cs="Arial"/>
        </w:rPr>
        <w:t>Vedle efektivního nastavení veřejné podpory musí současně docházet k </w:t>
      </w:r>
      <w:r w:rsidRPr="006F415F">
        <w:rPr>
          <w:rFonts w:ascii="Arial" w:hAnsi="Arial" w:cs="Arial"/>
          <w:b/>
        </w:rPr>
        <w:t>rozvoji personální základny systému VaVaI</w:t>
      </w:r>
      <w:r w:rsidRPr="00D1226B">
        <w:rPr>
          <w:rFonts w:ascii="Arial" w:hAnsi="Arial" w:cs="Arial"/>
        </w:rPr>
        <w:t>. Jedním z přetrvávajících problémů v této oblasti je nízké zastoupení žen.</w:t>
      </w:r>
      <w:r>
        <w:rPr>
          <w:rFonts w:ascii="Arial" w:hAnsi="Arial" w:cs="Arial"/>
        </w:rPr>
        <w:t xml:space="preserve"> Příležitostí je v</w:t>
      </w:r>
      <w:r w:rsidRPr="00CC6A31">
        <w:rPr>
          <w:rFonts w:ascii="Arial" w:hAnsi="Arial" w:cs="Arial"/>
        </w:rPr>
        <w:t>ytvářet podmínky pro kombinaci výzkumné práce a rodičovství</w:t>
      </w:r>
      <w:r>
        <w:rPr>
          <w:rFonts w:ascii="Arial" w:hAnsi="Arial" w:cs="Arial"/>
        </w:rPr>
        <w:t xml:space="preserve"> a uplatnění žen po mateřské a rodičovské dovolené.</w:t>
      </w:r>
    </w:p>
    <w:p w14:paraId="0CB82B01" w14:textId="77777777" w:rsidR="00A04BB6" w:rsidRDefault="00A04BB6" w:rsidP="00A04BB6">
      <w:pPr>
        <w:spacing w:after="60" w:line="360" w:lineRule="auto"/>
        <w:jc w:val="both"/>
        <w:rPr>
          <w:rFonts w:ascii="Arial" w:hAnsi="Arial" w:cs="Arial"/>
        </w:rPr>
      </w:pPr>
      <w:r w:rsidRPr="00D1226B">
        <w:rPr>
          <w:rFonts w:ascii="Arial" w:hAnsi="Arial" w:cs="Arial"/>
        </w:rPr>
        <w:t>Je zásadní budovat vztahy se zahraničními partnery</w:t>
      </w:r>
      <w:r>
        <w:rPr>
          <w:rFonts w:ascii="Arial" w:hAnsi="Arial" w:cs="Arial"/>
        </w:rPr>
        <w:t>,</w:t>
      </w:r>
      <w:r w:rsidRPr="00D1226B">
        <w:rPr>
          <w:rFonts w:ascii="Arial" w:hAnsi="Arial" w:cs="Arial"/>
        </w:rPr>
        <w:t xml:space="preserve"> vytvářet dlouhodobé vazby se špičkovými vědeckými pracovišti</w:t>
      </w:r>
      <w:r>
        <w:rPr>
          <w:rFonts w:ascii="Arial" w:hAnsi="Arial" w:cs="Arial"/>
        </w:rPr>
        <w:t xml:space="preserve"> a </w:t>
      </w:r>
      <w:r w:rsidRPr="00A048CD">
        <w:rPr>
          <w:rFonts w:ascii="Arial" w:hAnsi="Arial" w:cs="Arial"/>
          <w:b/>
        </w:rPr>
        <w:t>posilovat mezinárodní spolupráci</w:t>
      </w:r>
      <w:r>
        <w:rPr>
          <w:rFonts w:ascii="Arial" w:hAnsi="Arial" w:cs="Arial"/>
        </w:rPr>
        <w:t xml:space="preserve"> včetně zvyšování účasti </w:t>
      </w:r>
      <w:r w:rsidRPr="009D5478">
        <w:rPr>
          <w:rFonts w:ascii="Arial" w:hAnsi="Arial" w:cs="Arial"/>
        </w:rPr>
        <w:t>českých výzkumných organizací a týmů v rámcovém programu Horizont 2020</w:t>
      </w:r>
      <w:r>
        <w:rPr>
          <w:rFonts w:ascii="Arial" w:hAnsi="Arial" w:cs="Arial"/>
        </w:rPr>
        <w:t>, resp. Horizont Evropa (</w:t>
      </w:r>
      <w:r w:rsidRPr="0007264E">
        <w:rPr>
          <w:rFonts w:ascii="Arial" w:hAnsi="Arial" w:cs="Arial"/>
        </w:rPr>
        <w:t xml:space="preserve">zejména </w:t>
      </w:r>
      <w:r>
        <w:rPr>
          <w:rFonts w:ascii="Arial" w:hAnsi="Arial" w:cs="Arial"/>
        </w:rPr>
        <w:t xml:space="preserve">u </w:t>
      </w:r>
      <w:r w:rsidRPr="0007264E">
        <w:rPr>
          <w:rFonts w:ascii="Arial" w:hAnsi="Arial" w:cs="Arial"/>
        </w:rPr>
        <w:t>aktivit ERC, partnerství a schémat v rámci EIC)</w:t>
      </w:r>
      <w:r>
        <w:rPr>
          <w:rFonts w:ascii="Arial" w:hAnsi="Arial" w:cs="Arial"/>
        </w:rPr>
        <w:t>.</w:t>
      </w:r>
    </w:p>
    <w:p w14:paraId="10566CDB" w14:textId="77777777" w:rsidR="00A04BB6" w:rsidRPr="00480B44" w:rsidRDefault="00A04BB6" w:rsidP="00A04BB6">
      <w:pPr>
        <w:spacing w:after="60" w:line="360" w:lineRule="auto"/>
        <w:jc w:val="both"/>
        <w:rPr>
          <w:rFonts w:ascii="Arial" w:hAnsi="Arial" w:cs="Arial"/>
        </w:rPr>
      </w:pPr>
      <w:r w:rsidRPr="00D1226B">
        <w:rPr>
          <w:rFonts w:ascii="Arial" w:hAnsi="Arial" w:cs="Arial"/>
        </w:rPr>
        <w:t xml:space="preserve">K tomu, aby mohly být efektivně využívány výzkumné kapacity, je potřeba </w:t>
      </w:r>
      <w:r w:rsidRPr="006F415F">
        <w:rPr>
          <w:rFonts w:ascii="Arial" w:hAnsi="Arial" w:cs="Arial"/>
          <w:b/>
        </w:rPr>
        <w:t xml:space="preserve">fungující </w:t>
      </w:r>
      <w:r>
        <w:rPr>
          <w:rFonts w:ascii="Arial" w:hAnsi="Arial" w:cs="Arial"/>
          <w:b/>
        </w:rPr>
        <w:t>legislativní</w:t>
      </w:r>
      <w:r w:rsidRPr="006F415F">
        <w:rPr>
          <w:rFonts w:ascii="Arial" w:hAnsi="Arial" w:cs="Arial"/>
          <w:b/>
        </w:rPr>
        <w:t xml:space="preserve"> prostředí</w:t>
      </w:r>
      <w:r w:rsidRPr="00D1226B">
        <w:rPr>
          <w:rFonts w:ascii="Arial" w:hAnsi="Arial" w:cs="Arial"/>
        </w:rPr>
        <w:t xml:space="preserve">. </w:t>
      </w:r>
      <w:r>
        <w:rPr>
          <w:rFonts w:ascii="Arial" w:hAnsi="Arial" w:cs="Arial"/>
        </w:rPr>
        <w:t xml:space="preserve">Hlavním cílem by mělo být </w:t>
      </w:r>
      <w:r w:rsidRPr="00480B44">
        <w:rPr>
          <w:rFonts w:ascii="Arial" w:hAnsi="Arial" w:cs="Arial"/>
        </w:rPr>
        <w:t xml:space="preserve">zavedení nových nástrojů </w:t>
      </w:r>
      <w:r>
        <w:rPr>
          <w:rFonts w:ascii="Arial" w:hAnsi="Arial" w:cs="Arial"/>
        </w:rPr>
        <w:t xml:space="preserve">účelové podpory inovací a nepřímé podpory VaV, </w:t>
      </w:r>
      <w:r w:rsidRPr="00480B44">
        <w:rPr>
          <w:rFonts w:ascii="Arial" w:hAnsi="Arial" w:cs="Arial"/>
        </w:rPr>
        <w:t>zjednodušení administrativy v oblasti VaVaI</w:t>
      </w:r>
      <w:r>
        <w:rPr>
          <w:rFonts w:ascii="Arial" w:hAnsi="Arial" w:cs="Arial"/>
        </w:rPr>
        <w:t xml:space="preserve"> a další zkvalitňování hodnocení stavu VaVaI včetně odpovídajícího </w:t>
      </w:r>
      <w:r w:rsidRPr="00480B44">
        <w:rPr>
          <w:rFonts w:ascii="Arial" w:hAnsi="Arial" w:cs="Arial"/>
        </w:rPr>
        <w:t>hodnocení programů účelové podpory.</w:t>
      </w:r>
    </w:p>
    <w:p w14:paraId="5E9AB678" w14:textId="77777777" w:rsidR="00A04BB6" w:rsidRPr="006F415F" w:rsidRDefault="00A04BB6" w:rsidP="00A04BB6">
      <w:pPr>
        <w:spacing w:after="60" w:line="360" w:lineRule="auto"/>
        <w:jc w:val="both"/>
        <w:rPr>
          <w:rFonts w:ascii="Arial" w:hAnsi="Arial" w:cs="Arial"/>
        </w:rPr>
      </w:pPr>
      <w:r>
        <w:rPr>
          <w:rFonts w:ascii="Arial" w:hAnsi="Arial" w:cs="Arial"/>
        </w:rPr>
        <w:t>P</w:t>
      </w:r>
      <w:r w:rsidRPr="00F045E0">
        <w:rPr>
          <w:rFonts w:ascii="Arial" w:hAnsi="Arial" w:cs="Arial"/>
        </w:rPr>
        <w:t>ro Českou republiku je klíčové, aby efektivně za</w:t>
      </w:r>
      <w:r>
        <w:rPr>
          <w:rFonts w:ascii="Arial" w:hAnsi="Arial" w:cs="Arial"/>
        </w:rPr>
        <w:t>cílila své kapacity výzkumu, vývoje a inovací</w:t>
      </w:r>
      <w:r w:rsidRPr="00F045E0">
        <w:rPr>
          <w:rFonts w:ascii="Arial" w:hAnsi="Arial" w:cs="Arial"/>
        </w:rPr>
        <w:t xml:space="preserve"> a</w:t>
      </w:r>
      <w:r>
        <w:rPr>
          <w:rFonts w:ascii="Arial" w:hAnsi="Arial" w:cs="Arial"/>
        </w:rPr>
        <w:t> </w:t>
      </w:r>
      <w:r w:rsidRPr="00F045E0">
        <w:rPr>
          <w:rFonts w:ascii="Arial" w:hAnsi="Arial" w:cs="Arial"/>
        </w:rPr>
        <w:t>dokázala reagovat na dynamický vývoj</w:t>
      </w:r>
      <w:r>
        <w:rPr>
          <w:rFonts w:ascii="Arial" w:hAnsi="Arial" w:cs="Arial"/>
        </w:rPr>
        <w:t xml:space="preserve"> ve společnosti včetně rychlého rozvoje nových technologií, </w:t>
      </w:r>
      <w:r w:rsidRPr="00F045E0">
        <w:rPr>
          <w:rFonts w:ascii="Arial" w:hAnsi="Arial" w:cs="Arial"/>
        </w:rPr>
        <w:t>především</w:t>
      </w:r>
      <w:r>
        <w:rPr>
          <w:rFonts w:ascii="Arial" w:hAnsi="Arial" w:cs="Arial"/>
        </w:rPr>
        <w:t xml:space="preserve"> však</w:t>
      </w:r>
      <w:r w:rsidRPr="00F045E0">
        <w:rPr>
          <w:rFonts w:ascii="Arial" w:hAnsi="Arial" w:cs="Arial"/>
        </w:rPr>
        <w:t xml:space="preserve"> na tzv.</w:t>
      </w:r>
      <w:r>
        <w:rPr>
          <w:rFonts w:ascii="Arial" w:hAnsi="Arial" w:cs="Arial"/>
        </w:rPr>
        <w:t> </w:t>
      </w:r>
      <w:r w:rsidRPr="00F045E0">
        <w:rPr>
          <w:rFonts w:ascii="Arial" w:hAnsi="Arial" w:cs="Arial"/>
        </w:rPr>
        <w:t>velké společenské výzvy.</w:t>
      </w:r>
      <w:r>
        <w:rPr>
          <w:rFonts w:ascii="Arial" w:hAnsi="Arial" w:cs="Arial"/>
        </w:rPr>
        <w:t xml:space="preserve"> Je potřeba věcně vymezit priority ke zvýšení odolnosti společnosti a motivovat poskytovatele k podpoře specificky zaměřených výzkumných programů relevantních pro oblasti definovaných hrozeb s celospolečenským dopadem.</w:t>
      </w:r>
    </w:p>
    <w:p w14:paraId="7056FA2C" w14:textId="77777777" w:rsidR="00A04BB6" w:rsidRPr="006F415F" w:rsidRDefault="00A04BB6" w:rsidP="00A04BB6">
      <w:pPr>
        <w:spacing w:after="60" w:line="360" w:lineRule="auto"/>
        <w:jc w:val="both"/>
        <w:rPr>
          <w:rFonts w:ascii="Arial" w:hAnsi="Arial" w:cs="Arial"/>
        </w:rPr>
      </w:pPr>
      <w:r>
        <w:rPr>
          <w:rFonts w:ascii="Arial" w:hAnsi="Arial" w:cs="Arial"/>
        </w:rPr>
        <w:t>U</w:t>
      </w:r>
      <w:r w:rsidRPr="006F415F">
        <w:rPr>
          <w:rFonts w:ascii="Arial" w:hAnsi="Arial" w:cs="Arial"/>
        </w:rPr>
        <w:t>dálosti spojené s pandemií COVID-19 budou mít zásadní vliv na směřování systému VaVaI. Prioritizace podpory jednotlivých oborů i multidisciplinárních týmů dozná změn směrem k</w:t>
      </w:r>
      <w:r>
        <w:rPr>
          <w:rFonts w:ascii="Arial" w:hAnsi="Arial" w:cs="Arial"/>
        </w:rPr>
        <w:t> </w:t>
      </w:r>
      <w:r w:rsidRPr="006F415F">
        <w:rPr>
          <w:rFonts w:ascii="Arial" w:hAnsi="Arial" w:cs="Arial"/>
        </w:rPr>
        <w:t xml:space="preserve">odvrácení dalších hrozeb tohoto typu. Nebude se však jednat pouze o podporu medicínských oborů, ale celé škály odvětví, která se mohou podílet na zmírnění následků takových hrozeb a jejich předcházení. Jako </w:t>
      </w:r>
      <w:r>
        <w:rPr>
          <w:rFonts w:ascii="Arial" w:hAnsi="Arial" w:cs="Arial"/>
        </w:rPr>
        <w:t xml:space="preserve">zásadní se </w:t>
      </w:r>
      <w:r w:rsidRPr="006F415F">
        <w:rPr>
          <w:rFonts w:ascii="Arial" w:hAnsi="Arial" w:cs="Arial"/>
        </w:rPr>
        <w:t xml:space="preserve">jeví orientace na řešení hlavních politických priorit EU, </w:t>
      </w:r>
      <w:r>
        <w:rPr>
          <w:rFonts w:ascii="Arial" w:hAnsi="Arial" w:cs="Arial"/>
        </w:rPr>
        <w:t>jejichž řešení je postaveno na disruptivních inovacích, tedy</w:t>
      </w:r>
      <w:r w:rsidRPr="006F415F">
        <w:rPr>
          <w:rFonts w:ascii="Arial" w:hAnsi="Arial" w:cs="Arial"/>
        </w:rPr>
        <w:t xml:space="preserve"> především European </w:t>
      </w:r>
      <w:r>
        <w:rPr>
          <w:rFonts w:ascii="Arial" w:hAnsi="Arial" w:cs="Arial"/>
        </w:rPr>
        <w:t>G</w:t>
      </w:r>
      <w:r w:rsidRPr="006F415F">
        <w:rPr>
          <w:rFonts w:ascii="Arial" w:hAnsi="Arial" w:cs="Arial"/>
        </w:rPr>
        <w:t xml:space="preserve">reen </w:t>
      </w:r>
      <w:r>
        <w:rPr>
          <w:rFonts w:ascii="Arial" w:hAnsi="Arial" w:cs="Arial"/>
        </w:rPr>
        <w:t>D</w:t>
      </w:r>
      <w:r w:rsidRPr="006F415F">
        <w:rPr>
          <w:rFonts w:ascii="Arial" w:hAnsi="Arial" w:cs="Arial"/>
        </w:rPr>
        <w:t>eal (EGD), digitální transformace a</w:t>
      </w:r>
      <w:r>
        <w:rPr>
          <w:rFonts w:ascii="Arial" w:hAnsi="Arial" w:cs="Arial"/>
        </w:rPr>
        <w:t> </w:t>
      </w:r>
      <w:r w:rsidRPr="006F415F">
        <w:rPr>
          <w:rFonts w:ascii="Arial" w:hAnsi="Arial" w:cs="Arial"/>
        </w:rPr>
        <w:t>připravenost společnosti na pandemie včetně řešení situ</w:t>
      </w:r>
      <w:r>
        <w:rPr>
          <w:rFonts w:ascii="Arial" w:hAnsi="Arial" w:cs="Arial"/>
        </w:rPr>
        <w:t>ace vyvolané výskytem COVID-19.</w:t>
      </w:r>
    </w:p>
    <w:p w14:paraId="53C86F5B" w14:textId="77777777" w:rsidR="00D1434E" w:rsidRDefault="00D1434E" w:rsidP="0012626C">
      <w:pPr>
        <w:spacing w:after="0" w:line="360" w:lineRule="auto"/>
        <w:contextualSpacing/>
        <w:jc w:val="both"/>
        <w:rPr>
          <w:rFonts w:ascii="Arial" w:eastAsia="Times New Roman" w:hAnsi="Arial" w:cs="Arial"/>
          <w:highlight w:val="lightGray"/>
          <w:lang w:eastAsia="cs-CZ"/>
        </w:rPr>
      </w:pPr>
    </w:p>
    <w:p w14:paraId="4B64DC2F" w14:textId="77777777" w:rsidR="002A0B40" w:rsidRPr="00855319" w:rsidRDefault="002A0B40" w:rsidP="00937521">
      <w:pPr>
        <w:spacing w:after="0" w:line="360" w:lineRule="auto"/>
        <w:contextualSpacing/>
        <w:jc w:val="both"/>
        <w:rPr>
          <w:rFonts w:ascii="Arial" w:eastAsia="Times New Roman" w:hAnsi="Arial" w:cs="Arial"/>
          <w:highlight w:val="lightGray"/>
          <w:lang w:eastAsia="cs-CZ"/>
        </w:rPr>
        <w:sectPr w:rsidR="002A0B40" w:rsidRPr="00855319" w:rsidSect="00BF0527">
          <w:footerReference w:type="default" r:id="rId11"/>
          <w:pgSz w:w="11906" w:h="16838"/>
          <w:pgMar w:top="1134" w:right="1134" w:bottom="1134" w:left="1134" w:header="709" w:footer="709" w:gutter="0"/>
          <w:cols w:space="708"/>
        </w:sectPr>
      </w:pPr>
    </w:p>
    <w:p w14:paraId="775FE704" w14:textId="77777777" w:rsidR="00053E38" w:rsidRDefault="00011DB4" w:rsidP="008A7C6F">
      <w:pPr>
        <w:pStyle w:val="Souhrn"/>
      </w:pPr>
      <w:bookmarkStart w:id="4" w:name="_Toc87340753"/>
      <w:bookmarkStart w:id="5" w:name="_Toc92369581"/>
      <w:r w:rsidRPr="00A96E6D">
        <w:lastRenderedPageBreak/>
        <w:t>Výkladová část</w:t>
      </w:r>
      <w:bookmarkEnd w:id="4"/>
      <w:bookmarkEnd w:id="5"/>
    </w:p>
    <w:p w14:paraId="352E6C88" w14:textId="77777777" w:rsidR="00D14A06" w:rsidRPr="00F045E0" w:rsidRDefault="00D14A06" w:rsidP="00D14A06">
      <w:pPr>
        <w:spacing w:after="0" w:line="360" w:lineRule="auto"/>
        <w:ind w:firstLine="709"/>
        <w:jc w:val="both"/>
        <w:rPr>
          <w:rFonts w:ascii="Arial" w:hAnsi="Arial" w:cs="Arial"/>
        </w:rPr>
      </w:pPr>
      <w:r>
        <w:rPr>
          <w:rFonts w:ascii="Arial" w:hAnsi="Arial" w:cs="Arial"/>
        </w:rPr>
        <w:t>P</w:t>
      </w:r>
      <w:r w:rsidRPr="00F045E0">
        <w:rPr>
          <w:rFonts w:ascii="Arial" w:hAnsi="Arial" w:cs="Arial"/>
        </w:rPr>
        <w:t xml:space="preserve">rostředí výzkumu, vývoje a </w:t>
      </w:r>
      <w:r w:rsidRPr="00AD6B7E">
        <w:rPr>
          <w:rFonts w:ascii="Arial" w:hAnsi="Arial" w:cs="Arial"/>
        </w:rPr>
        <w:t>inovací (VaVaI) v ČR se v</w:t>
      </w:r>
      <w:r w:rsidRPr="00F045E0">
        <w:rPr>
          <w:rFonts w:ascii="Arial" w:hAnsi="Arial" w:cs="Arial"/>
        </w:rPr>
        <w:t xml:space="preserve"> posledních deseti letech dynamicky rozvíjí. Tabulka S. 1 ukazuje vývoj základních finančních ukazatelů VaVaI, jejich meziroční vývoj včetně vybraných makroekonomických ukazatelů.</w:t>
      </w:r>
    </w:p>
    <w:p w14:paraId="51065C6C" w14:textId="77777777" w:rsidR="00D14A06" w:rsidRPr="00F045E0" w:rsidRDefault="00D14A06" w:rsidP="00D14A06">
      <w:pPr>
        <w:pStyle w:val="Obrzek-nadpis"/>
        <w:rPr>
          <w:rFonts w:cs="Arial"/>
        </w:rPr>
      </w:pPr>
      <w:r w:rsidRPr="00F045E0">
        <w:rPr>
          <w:rFonts w:cs="Arial"/>
        </w:rPr>
        <w:t>Tabulka S. 1: Výdaje na výzkum a vývoj a jejich meziroční změny v porovnání se základními makroekonomickými ukazateli</w:t>
      </w:r>
    </w:p>
    <w:tbl>
      <w:tblPr>
        <w:tblW w:w="5000" w:type="pct"/>
        <w:tblCellMar>
          <w:left w:w="70" w:type="dxa"/>
          <w:right w:w="70" w:type="dxa"/>
        </w:tblCellMar>
        <w:tblLook w:val="04A0" w:firstRow="1" w:lastRow="0" w:firstColumn="1" w:lastColumn="0" w:noHBand="0" w:noVBand="1"/>
      </w:tblPr>
      <w:tblGrid>
        <w:gridCol w:w="1584"/>
        <w:gridCol w:w="622"/>
        <w:gridCol w:w="676"/>
        <w:gridCol w:w="676"/>
        <w:gridCol w:w="676"/>
        <w:gridCol w:w="677"/>
        <w:gridCol w:w="677"/>
        <w:gridCol w:w="677"/>
        <w:gridCol w:w="677"/>
        <w:gridCol w:w="677"/>
        <w:gridCol w:w="677"/>
        <w:gridCol w:w="677"/>
        <w:gridCol w:w="665"/>
      </w:tblGrid>
      <w:tr w:rsidR="00D14A06" w:rsidRPr="00613684" w14:paraId="2B75D2EF" w14:textId="77777777" w:rsidTr="00236A4A">
        <w:trPr>
          <w:trHeight w:val="397"/>
        </w:trPr>
        <w:tc>
          <w:tcPr>
            <w:tcW w:w="822" w:type="pct"/>
            <w:tcBorders>
              <w:top w:val="single" w:sz="8" w:space="0" w:color="auto"/>
              <w:left w:val="nil"/>
              <w:bottom w:val="single" w:sz="8" w:space="0" w:color="auto"/>
              <w:right w:val="nil"/>
            </w:tcBorders>
            <w:shd w:val="clear" w:color="auto" w:fill="F2F2F2" w:themeFill="background1" w:themeFillShade="F2"/>
            <w:noWrap/>
            <w:vAlign w:val="center"/>
            <w:hideMark/>
          </w:tcPr>
          <w:p w14:paraId="7C146BDB" w14:textId="77777777" w:rsidR="00D14A06" w:rsidRPr="00613684" w:rsidRDefault="00D14A06" w:rsidP="00D14A06">
            <w:pPr>
              <w:spacing w:after="0" w:line="240" w:lineRule="auto"/>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 </w:t>
            </w:r>
          </w:p>
        </w:tc>
        <w:tc>
          <w:tcPr>
            <w:tcW w:w="323" w:type="pct"/>
            <w:tcBorders>
              <w:top w:val="single" w:sz="8" w:space="0" w:color="auto"/>
              <w:left w:val="nil"/>
              <w:bottom w:val="single" w:sz="8" w:space="0" w:color="auto"/>
              <w:right w:val="nil"/>
            </w:tcBorders>
            <w:shd w:val="clear" w:color="auto" w:fill="F2F2F2" w:themeFill="background1" w:themeFillShade="F2"/>
            <w:noWrap/>
            <w:vAlign w:val="center"/>
            <w:hideMark/>
          </w:tcPr>
          <w:p w14:paraId="367A9B7B" w14:textId="77777777" w:rsidR="00D14A06" w:rsidRPr="00613684" w:rsidRDefault="00D14A06" w:rsidP="00D14A06">
            <w:pPr>
              <w:spacing w:after="0" w:line="240" w:lineRule="auto"/>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 </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18AB9F51"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2010</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0B0BB3E8"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2011</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5B0177B6"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2012</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625A764E"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2013</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43796B79"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2014</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241CD255"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2015</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00BDC466"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2016</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0B243568"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2017</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07217AAD"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2018</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2A6BFE0D"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2019</w:t>
            </w:r>
          </w:p>
        </w:tc>
        <w:tc>
          <w:tcPr>
            <w:tcW w:w="347" w:type="pct"/>
            <w:tcBorders>
              <w:top w:val="single" w:sz="8" w:space="0" w:color="auto"/>
              <w:left w:val="nil"/>
              <w:bottom w:val="single" w:sz="8" w:space="0" w:color="auto"/>
              <w:right w:val="nil"/>
            </w:tcBorders>
            <w:shd w:val="clear" w:color="auto" w:fill="F2F2F2" w:themeFill="background1" w:themeFillShade="F2"/>
            <w:noWrap/>
            <w:vAlign w:val="center"/>
            <w:hideMark/>
          </w:tcPr>
          <w:p w14:paraId="0BFE0797"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2020</w:t>
            </w:r>
          </w:p>
        </w:tc>
      </w:tr>
      <w:tr w:rsidR="00D14A06" w:rsidRPr="00613684" w14:paraId="70E21CA3" w14:textId="77777777" w:rsidTr="00236A4A">
        <w:trPr>
          <w:trHeight w:val="397"/>
        </w:trPr>
        <w:tc>
          <w:tcPr>
            <w:tcW w:w="822" w:type="pct"/>
            <w:tcBorders>
              <w:top w:val="nil"/>
              <w:left w:val="nil"/>
              <w:bottom w:val="single" w:sz="4" w:space="0" w:color="auto"/>
              <w:right w:val="nil"/>
            </w:tcBorders>
            <w:shd w:val="clear" w:color="auto" w:fill="auto"/>
            <w:vAlign w:val="center"/>
            <w:hideMark/>
          </w:tcPr>
          <w:p w14:paraId="6229D6F4"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celkové výdaje na VaV (GERD)</w:t>
            </w:r>
          </w:p>
        </w:tc>
        <w:tc>
          <w:tcPr>
            <w:tcW w:w="323" w:type="pct"/>
            <w:tcBorders>
              <w:top w:val="nil"/>
              <w:left w:val="nil"/>
              <w:bottom w:val="single" w:sz="4" w:space="0" w:color="auto"/>
              <w:right w:val="nil"/>
            </w:tcBorders>
            <w:shd w:val="clear" w:color="auto" w:fill="auto"/>
            <w:noWrap/>
            <w:vAlign w:val="center"/>
            <w:hideMark/>
          </w:tcPr>
          <w:p w14:paraId="7A2832B4"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mld. Kč</w:t>
            </w:r>
          </w:p>
        </w:tc>
        <w:tc>
          <w:tcPr>
            <w:tcW w:w="351" w:type="pct"/>
            <w:tcBorders>
              <w:top w:val="nil"/>
              <w:left w:val="nil"/>
              <w:bottom w:val="single" w:sz="4" w:space="0" w:color="auto"/>
              <w:right w:val="nil"/>
            </w:tcBorders>
            <w:shd w:val="clear" w:color="auto" w:fill="auto"/>
            <w:noWrap/>
            <w:vAlign w:val="center"/>
            <w:hideMark/>
          </w:tcPr>
          <w:p w14:paraId="732E26A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53.0</w:t>
            </w:r>
          </w:p>
        </w:tc>
        <w:tc>
          <w:tcPr>
            <w:tcW w:w="351" w:type="pct"/>
            <w:tcBorders>
              <w:top w:val="nil"/>
              <w:left w:val="nil"/>
              <w:bottom w:val="single" w:sz="4" w:space="0" w:color="auto"/>
              <w:right w:val="nil"/>
            </w:tcBorders>
            <w:shd w:val="clear" w:color="auto" w:fill="auto"/>
            <w:noWrap/>
            <w:vAlign w:val="center"/>
            <w:hideMark/>
          </w:tcPr>
          <w:p w14:paraId="4C8E2A9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62.8</w:t>
            </w:r>
          </w:p>
        </w:tc>
        <w:tc>
          <w:tcPr>
            <w:tcW w:w="351" w:type="pct"/>
            <w:tcBorders>
              <w:top w:val="nil"/>
              <w:left w:val="nil"/>
              <w:bottom w:val="single" w:sz="4" w:space="0" w:color="auto"/>
              <w:right w:val="nil"/>
            </w:tcBorders>
            <w:shd w:val="clear" w:color="auto" w:fill="auto"/>
            <w:noWrap/>
            <w:vAlign w:val="center"/>
            <w:hideMark/>
          </w:tcPr>
          <w:p w14:paraId="0504ACD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72.4</w:t>
            </w:r>
          </w:p>
        </w:tc>
        <w:tc>
          <w:tcPr>
            <w:tcW w:w="351" w:type="pct"/>
            <w:tcBorders>
              <w:top w:val="nil"/>
              <w:left w:val="nil"/>
              <w:bottom w:val="single" w:sz="4" w:space="0" w:color="auto"/>
              <w:right w:val="nil"/>
            </w:tcBorders>
            <w:shd w:val="clear" w:color="auto" w:fill="auto"/>
            <w:noWrap/>
            <w:vAlign w:val="center"/>
            <w:hideMark/>
          </w:tcPr>
          <w:p w14:paraId="1F6665C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77.9</w:t>
            </w:r>
          </w:p>
        </w:tc>
        <w:tc>
          <w:tcPr>
            <w:tcW w:w="351" w:type="pct"/>
            <w:tcBorders>
              <w:top w:val="nil"/>
              <w:left w:val="nil"/>
              <w:bottom w:val="single" w:sz="4" w:space="0" w:color="auto"/>
              <w:right w:val="nil"/>
            </w:tcBorders>
            <w:shd w:val="clear" w:color="auto" w:fill="auto"/>
            <w:noWrap/>
            <w:vAlign w:val="center"/>
            <w:hideMark/>
          </w:tcPr>
          <w:p w14:paraId="365A6DD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85.1</w:t>
            </w:r>
          </w:p>
        </w:tc>
        <w:tc>
          <w:tcPr>
            <w:tcW w:w="351" w:type="pct"/>
            <w:tcBorders>
              <w:top w:val="nil"/>
              <w:left w:val="nil"/>
              <w:bottom w:val="single" w:sz="4" w:space="0" w:color="auto"/>
              <w:right w:val="nil"/>
            </w:tcBorders>
            <w:shd w:val="clear" w:color="auto" w:fill="auto"/>
            <w:noWrap/>
            <w:vAlign w:val="center"/>
            <w:hideMark/>
          </w:tcPr>
          <w:p w14:paraId="46339017"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88.7</w:t>
            </w:r>
          </w:p>
        </w:tc>
        <w:tc>
          <w:tcPr>
            <w:tcW w:w="351" w:type="pct"/>
            <w:tcBorders>
              <w:top w:val="nil"/>
              <w:left w:val="nil"/>
              <w:bottom w:val="single" w:sz="4" w:space="0" w:color="auto"/>
              <w:right w:val="nil"/>
            </w:tcBorders>
            <w:shd w:val="clear" w:color="auto" w:fill="auto"/>
            <w:noWrap/>
            <w:vAlign w:val="center"/>
            <w:hideMark/>
          </w:tcPr>
          <w:p w14:paraId="432B9FC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80.1</w:t>
            </w:r>
          </w:p>
        </w:tc>
        <w:tc>
          <w:tcPr>
            <w:tcW w:w="351" w:type="pct"/>
            <w:tcBorders>
              <w:top w:val="nil"/>
              <w:left w:val="nil"/>
              <w:bottom w:val="single" w:sz="4" w:space="0" w:color="auto"/>
              <w:right w:val="nil"/>
            </w:tcBorders>
            <w:shd w:val="clear" w:color="auto" w:fill="auto"/>
            <w:noWrap/>
            <w:vAlign w:val="center"/>
            <w:hideMark/>
          </w:tcPr>
          <w:p w14:paraId="7B9DF5A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90.4</w:t>
            </w:r>
          </w:p>
        </w:tc>
        <w:tc>
          <w:tcPr>
            <w:tcW w:w="351" w:type="pct"/>
            <w:tcBorders>
              <w:top w:val="nil"/>
              <w:left w:val="nil"/>
              <w:bottom w:val="single" w:sz="4" w:space="0" w:color="auto"/>
              <w:right w:val="nil"/>
            </w:tcBorders>
            <w:shd w:val="clear" w:color="auto" w:fill="auto"/>
            <w:noWrap/>
            <w:vAlign w:val="center"/>
            <w:hideMark/>
          </w:tcPr>
          <w:p w14:paraId="75E4F4E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102.8</w:t>
            </w:r>
          </w:p>
        </w:tc>
        <w:tc>
          <w:tcPr>
            <w:tcW w:w="351" w:type="pct"/>
            <w:tcBorders>
              <w:top w:val="nil"/>
              <w:left w:val="nil"/>
              <w:bottom w:val="single" w:sz="4" w:space="0" w:color="auto"/>
              <w:right w:val="nil"/>
            </w:tcBorders>
            <w:shd w:val="clear" w:color="auto" w:fill="auto"/>
            <w:noWrap/>
            <w:vAlign w:val="center"/>
            <w:hideMark/>
          </w:tcPr>
          <w:p w14:paraId="6B93626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111.6</w:t>
            </w:r>
          </w:p>
        </w:tc>
        <w:tc>
          <w:tcPr>
            <w:tcW w:w="347" w:type="pct"/>
            <w:tcBorders>
              <w:top w:val="nil"/>
              <w:left w:val="nil"/>
              <w:bottom w:val="single" w:sz="4" w:space="0" w:color="auto"/>
              <w:right w:val="nil"/>
            </w:tcBorders>
            <w:shd w:val="clear" w:color="auto" w:fill="auto"/>
            <w:noWrap/>
            <w:vAlign w:val="center"/>
            <w:hideMark/>
          </w:tcPr>
          <w:p w14:paraId="1032332E"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113.4</w:t>
            </w:r>
          </w:p>
        </w:tc>
      </w:tr>
      <w:tr w:rsidR="00D14A06" w:rsidRPr="00613684" w14:paraId="6D88131B" w14:textId="77777777" w:rsidTr="00236A4A">
        <w:trPr>
          <w:trHeight w:val="397"/>
        </w:trPr>
        <w:tc>
          <w:tcPr>
            <w:tcW w:w="822" w:type="pct"/>
            <w:tcBorders>
              <w:top w:val="nil"/>
              <w:left w:val="nil"/>
              <w:bottom w:val="nil"/>
              <w:right w:val="nil"/>
            </w:tcBorders>
            <w:shd w:val="clear" w:color="auto" w:fill="auto"/>
            <w:noWrap/>
            <w:vAlign w:val="center"/>
            <w:hideMark/>
          </w:tcPr>
          <w:p w14:paraId="2D718A82"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podíl GERD na HDP</w:t>
            </w:r>
          </w:p>
        </w:tc>
        <w:tc>
          <w:tcPr>
            <w:tcW w:w="323" w:type="pct"/>
            <w:tcBorders>
              <w:top w:val="nil"/>
              <w:left w:val="nil"/>
              <w:bottom w:val="nil"/>
              <w:right w:val="nil"/>
            </w:tcBorders>
            <w:shd w:val="clear" w:color="auto" w:fill="auto"/>
            <w:noWrap/>
            <w:vAlign w:val="center"/>
            <w:hideMark/>
          </w:tcPr>
          <w:p w14:paraId="77DB6947"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w:t>
            </w:r>
          </w:p>
        </w:tc>
        <w:tc>
          <w:tcPr>
            <w:tcW w:w="351" w:type="pct"/>
            <w:tcBorders>
              <w:top w:val="nil"/>
              <w:left w:val="nil"/>
              <w:bottom w:val="nil"/>
              <w:right w:val="nil"/>
            </w:tcBorders>
            <w:shd w:val="clear" w:color="auto" w:fill="auto"/>
            <w:noWrap/>
            <w:vAlign w:val="center"/>
            <w:hideMark/>
          </w:tcPr>
          <w:p w14:paraId="3762B0A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1.33</w:t>
            </w:r>
          </w:p>
        </w:tc>
        <w:tc>
          <w:tcPr>
            <w:tcW w:w="351" w:type="pct"/>
            <w:tcBorders>
              <w:top w:val="nil"/>
              <w:left w:val="nil"/>
              <w:bottom w:val="nil"/>
              <w:right w:val="nil"/>
            </w:tcBorders>
            <w:shd w:val="clear" w:color="auto" w:fill="auto"/>
            <w:noWrap/>
            <w:vAlign w:val="center"/>
            <w:hideMark/>
          </w:tcPr>
          <w:p w14:paraId="601F7A7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1.54</w:t>
            </w:r>
          </w:p>
        </w:tc>
        <w:tc>
          <w:tcPr>
            <w:tcW w:w="351" w:type="pct"/>
            <w:tcBorders>
              <w:top w:val="nil"/>
              <w:left w:val="nil"/>
              <w:bottom w:val="nil"/>
              <w:right w:val="nil"/>
            </w:tcBorders>
            <w:shd w:val="clear" w:color="auto" w:fill="auto"/>
            <w:noWrap/>
            <w:vAlign w:val="center"/>
            <w:hideMark/>
          </w:tcPr>
          <w:p w14:paraId="32AAF15E"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1.77</w:t>
            </w:r>
          </w:p>
        </w:tc>
        <w:tc>
          <w:tcPr>
            <w:tcW w:w="351" w:type="pct"/>
            <w:tcBorders>
              <w:top w:val="nil"/>
              <w:left w:val="nil"/>
              <w:bottom w:val="nil"/>
              <w:right w:val="nil"/>
            </w:tcBorders>
            <w:shd w:val="clear" w:color="auto" w:fill="auto"/>
            <w:noWrap/>
            <w:vAlign w:val="center"/>
            <w:hideMark/>
          </w:tcPr>
          <w:p w14:paraId="62FA627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1.88</w:t>
            </w:r>
          </w:p>
        </w:tc>
        <w:tc>
          <w:tcPr>
            <w:tcW w:w="351" w:type="pct"/>
            <w:tcBorders>
              <w:top w:val="nil"/>
              <w:left w:val="nil"/>
              <w:bottom w:val="nil"/>
              <w:right w:val="nil"/>
            </w:tcBorders>
            <w:shd w:val="clear" w:color="auto" w:fill="auto"/>
            <w:noWrap/>
            <w:vAlign w:val="center"/>
            <w:hideMark/>
          </w:tcPr>
          <w:p w14:paraId="3AA0355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1.96</w:t>
            </w:r>
          </w:p>
        </w:tc>
        <w:tc>
          <w:tcPr>
            <w:tcW w:w="351" w:type="pct"/>
            <w:tcBorders>
              <w:top w:val="nil"/>
              <w:left w:val="nil"/>
              <w:bottom w:val="nil"/>
              <w:right w:val="nil"/>
            </w:tcBorders>
            <w:shd w:val="clear" w:color="auto" w:fill="auto"/>
            <w:noWrap/>
            <w:vAlign w:val="center"/>
            <w:hideMark/>
          </w:tcPr>
          <w:p w14:paraId="2F2C0B3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1.92</w:t>
            </w:r>
          </w:p>
        </w:tc>
        <w:tc>
          <w:tcPr>
            <w:tcW w:w="351" w:type="pct"/>
            <w:tcBorders>
              <w:top w:val="nil"/>
              <w:left w:val="nil"/>
              <w:bottom w:val="nil"/>
              <w:right w:val="nil"/>
            </w:tcBorders>
            <w:shd w:val="clear" w:color="auto" w:fill="auto"/>
            <w:noWrap/>
            <w:vAlign w:val="center"/>
            <w:hideMark/>
          </w:tcPr>
          <w:p w14:paraId="47B76CC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1.67</w:t>
            </w:r>
          </w:p>
        </w:tc>
        <w:tc>
          <w:tcPr>
            <w:tcW w:w="351" w:type="pct"/>
            <w:tcBorders>
              <w:top w:val="nil"/>
              <w:left w:val="nil"/>
              <w:bottom w:val="nil"/>
              <w:right w:val="nil"/>
            </w:tcBorders>
            <w:shd w:val="clear" w:color="auto" w:fill="auto"/>
            <w:noWrap/>
            <w:vAlign w:val="center"/>
            <w:hideMark/>
          </w:tcPr>
          <w:p w14:paraId="62D4539F"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1.77</w:t>
            </w:r>
          </w:p>
        </w:tc>
        <w:tc>
          <w:tcPr>
            <w:tcW w:w="351" w:type="pct"/>
            <w:tcBorders>
              <w:top w:val="nil"/>
              <w:left w:val="nil"/>
              <w:bottom w:val="nil"/>
              <w:right w:val="nil"/>
            </w:tcBorders>
            <w:shd w:val="clear" w:color="auto" w:fill="auto"/>
            <w:noWrap/>
            <w:vAlign w:val="center"/>
            <w:hideMark/>
          </w:tcPr>
          <w:p w14:paraId="0698F25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1.90</w:t>
            </w:r>
          </w:p>
        </w:tc>
        <w:tc>
          <w:tcPr>
            <w:tcW w:w="351" w:type="pct"/>
            <w:tcBorders>
              <w:top w:val="nil"/>
              <w:left w:val="nil"/>
              <w:bottom w:val="nil"/>
              <w:right w:val="nil"/>
            </w:tcBorders>
            <w:shd w:val="clear" w:color="auto" w:fill="auto"/>
            <w:noWrap/>
            <w:vAlign w:val="center"/>
            <w:hideMark/>
          </w:tcPr>
          <w:p w14:paraId="34961647"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1.93</w:t>
            </w:r>
          </w:p>
        </w:tc>
        <w:tc>
          <w:tcPr>
            <w:tcW w:w="347" w:type="pct"/>
            <w:tcBorders>
              <w:top w:val="nil"/>
              <w:left w:val="nil"/>
              <w:bottom w:val="nil"/>
              <w:right w:val="nil"/>
            </w:tcBorders>
            <w:shd w:val="clear" w:color="auto" w:fill="auto"/>
            <w:noWrap/>
            <w:vAlign w:val="center"/>
            <w:hideMark/>
          </w:tcPr>
          <w:p w14:paraId="7CE1626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1.99</w:t>
            </w:r>
          </w:p>
        </w:tc>
      </w:tr>
      <w:tr w:rsidR="00D14A06" w:rsidRPr="00613684" w14:paraId="1EAE40CB" w14:textId="77777777" w:rsidTr="00236A4A">
        <w:trPr>
          <w:trHeight w:val="397"/>
        </w:trPr>
        <w:tc>
          <w:tcPr>
            <w:tcW w:w="822" w:type="pct"/>
            <w:tcBorders>
              <w:top w:val="single" w:sz="8" w:space="0" w:color="auto"/>
              <w:left w:val="nil"/>
              <w:bottom w:val="single" w:sz="8" w:space="0" w:color="auto"/>
              <w:right w:val="nil"/>
            </w:tcBorders>
            <w:shd w:val="clear" w:color="auto" w:fill="auto"/>
            <w:vAlign w:val="center"/>
            <w:hideMark/>
          </w:tcPr>
          <w:p w14:paraId="1851D3FE"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 xml:space="preserve">Průměrná roční míra inflace </w:t>
            </w:r>
          </w:p>
        </w:tc>
        <w:tc>
          <w:tcPr>
            <w:tcW w:w="323" w:type="pct"/>
            <w:tcBorders>
              <w:top w:val="single" w:sz="8" w:space="0" w:color="auto"/>
              <w:left w:val="nil"/>
              <w:bottom w:val="single" w:sz="8" w:space="0" w:color="auto"/>
              <w:right w:val="nil"/>
            </w:tcBorders>
            <w:shd w:val="clear" w:color="auto" w:fill="auto"/>
            <w:noWrap/>
            <w:vAlign w:val="center"/>
            <w:hideMark/>
          </w:tcPr>
          <w:p w14:paraId="163E816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w:t>
            </w:r>
          </w:p>
        </w:tc>
        <w:tc>
          <w:tcPr>
            <w:tcW w:w="351" w:type="pct"/>
            <w:tcBorders>
              <w:top w:val="single" w:sz="8" w:space="0" w:color="auto"/>
              <w:left w:val="nil"/>
              <w:bottom w:val="single" w:sz="8" w:space="0" w:color="auto"/>
              <w:right w:val="nil"/>
            </w:tcBorders>
            <w:shd w:val="clear" w:color="auto" w:fill="auto"/>
            <w:noWrap/>
            <w:vAlign w:val="center"/>
            <w:hideMark/>
          </w:tcPr>
          <w:p w14:paraId="76F6325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1.5</w:t>
            </w:r>
          </w:p>
        </w:tc>
        <w:tc>
          <w:tcPr>
            <w:tcW w:w="351" w:type="pct"/>
            <w:tcBorders>
              <w:top w:val="single" w:sz="8" w:space="0" w:color="auto"/>
              <w:left w:val="nil"/>
              <w:bottom w:val="single" w:sz="8" w:space="0" w:color="auto"/>
              <w:right w:val="nil"/>
            </w:tcBorders>
            <w:shd w:val="clear" w:color="auto" w:fill="auto"/>
            <w:noWrap/>
            <w:vAlign w:val="center"/>
            <w:hideMark/>
          </w:tcPr>
          <w:p w14:paraId="5DF7089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1.9</w:t>
            </w:r>
          </w:p>
        </w:tc>
        <w:tc>
          <w:tcPr>
            <w:tcW w:w="351" w:type="pct"/>
            <w:tcBorders>
              <w:top w:val="single" w:sz="8" w:space="0" w:color="auto"/>
              <w:left w:val="nil"/>
              <w:bottom w:val="single" w:sz="8" w:space="0" w:color="auto"/>
              <w:right w:val="nil"/>
            </w:tcBorders>
            <w:shd w:val="clear" w:color="auto" w:fill="auto"/>
            <w:noWrap/>
            <w:vAlign w:val="center"/>
            <w:hideMark/>
          </w:tcPr>
          <w:p w14:paraId="6911EEA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3.3</w:t>
            </w:r>
          </w:p>
        </w:tc>
        <w:tc>
          <w:tcPr>
            <w:tcW w:w="351" w:type="pct"/>
            <w:tcBorders>
              <w:top w:val="single" w:sz="8" w:space="0" w:color="auto"/>
              <w:left w:val="nil"/>
              <w:bottom w:val="single" w:sz="8" w:space="0" w:color="auto"/>
              <w:right w:val="nil"/>
            </w:tcBorders>
            <w:shd w:val="clear" w:color="auto" w:fill="auto"/>
            <w:noWrap/>
            <w:vAlign w:val="center"/>
            <w:hideMark/>
          </w:tcPr>
          <w:p w14:paraId="6FFDA6C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1.4</w:t>
            </w:r>
          </w:p>
        </w:tc>
        <w:tc>
          <w:tcPr>
            <w:tcW w:w="351" w:type="pct"/>
            <w:tcBorders>
              <w:top w:val="single" w:sz="8" w:space="0" w:color="auto"/>
              <w:left w:val="nil"/>
              <w:bottom w:val="single" w:sz="8" w:space="0" w:color="auto"/>
              <w:right w:val="nil"/>
            </w:tcBorders>
            <w:shd w:val="clear" w:color="auto" w:fill="auto"/>
            <w:noWrap/>
            <w:vAlign w:val="center"/>
            <w:hideMark/>
          </w:tcPr>
          <w:p w14:paraId="70F3206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0.4</w:t>
            </w:r>
          </w:p>
        </w:tc>
        <w:tc>
          <w:tcPr>
            <w:tcW w:w="351" w:type="pct"/>
            <w:tcBorders>
              <w:top w:val="single" w:sz="8" w:space="0" w:color="auto"/>
              <w:left w:val="nil"/>
              <w:bottom w:val="single" w:sz="8" w:space="0" w:color="auto"/>
              <w:right w:val="nil"/>
            </w:tcBorders>
            <w:shd w:val="clear" w:color="auto" w:fill="auto"/>
            <w:noWrap/>
            <w:vAlign w:val="center"/>
            <w:hideMark/>
          </w:tcPr>
          <w:p w14:paraId="3A2E73E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0.3</w:t>
            </w:r>
          </w:p>
        </w:tc>
        <w:tc>
          <w:tcPr>
            <w:tcW w:w="351" w:type="pct"/>
            <w:tcBorders>
              <w:top w:val="single" w:sz="8" w:space="0" w:color="auto"/>
              <w:left w:val="nil"/>
              <w:bottom w:val="single" w:sz="8" w:space="0" w:color="auto"/>
              <w:right w:val="nil"/>
            </w:tcBorders>
            <w:shd w:val="clear" w:color="auto" w:fill="auto"/>
            <w:noWrap/>
            <w:vAlign w:val="center"/>
            <w:hideMark/>
          </w:tcPr>
          <w:p w14:paraId="2321E54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0.7</w:t>
            </w:r>
          </w:p>
        </w:tc>
        <w:tc>
          <w:tcPr>
            <w:tcW w:w="351" w:type="pct"/>
            <w:tcBorders>
              <w:top w:val="single" w:sz="8" w:space="0" w:color="auto"/>
              <w:left w:val="nil"/>
              <w:bottom w:val="single" w:sz="8" w:space="0" w:color="auto"/>
              <w:right w:val="nil"/>
            </w:tcBorders>
            <w:shd w:val="clear" w:color="auto" w:fill="auto"/>
            <w:noWrap/>
            <w:vAlign w:val="center"/>
            <w:hideMark/>
          </w:tcPr>
          <w:p w14:paraId="66648AC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2.5</w:t>
            </w:r>
          </w:p>
        </w:tc>
        <w:tc>
          <w:tcPr>
            <w:tcW w:w="351" w:type="pct"/>
            <w:tcBorders>
              <w:top w:val="single" w:sz="8" w:space="0" w:color="auto"/>
              <w:left w:val="nil"/>
              <w:bottom w:val="single" w:sz="8" w:space="0" w:color="auto"/>
              <w:right w:val="nil"/>
            </w:tcBorders>
            <w:shd w:val="clear" w:color="auto" w:fill="auto"/>
            <w:noWrap/>
            <w:vAlign w:val="center"/>
            <w:hideMark/>
          </w:tcPr>
          <w:p w14:paraId="3A2D264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2.1</w:t>
            </w:r>
          </w:p>
        </w:tc>
        <w:tc>
          <w:tcPr>
            <w:tcW w:w="351" w:type="pct"/>
            <w:tcBorders>
              <w:top w:val="single" w:sz="8" w:space="0" w:color="auto"/>
              <w:left w:val="nil"/>
              <w:bottom w:val="single" w:sz="8" w:space="0" w:color="auto"/>
              <w:right w:val="nil"/>
            </w:tcBorders>
            <w:shd w:val="clear" w:color="auto" w:fill="auto"/>
            <w:noWrap/>
            <w:vAlign w:val="center"/>
            <w:hideMark/>
          </w:tcPr>
          <w:p w14:paraId="712127EF"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2.8</w:t>
            </w:r>
          </w:p>
        </w:tc>
        <w:tc>
          <w:tcPr>
            <w:tcW w:w="347" w:type="pct"/>
            <w:tcBorders>
              <w:top w:val="single" w:sz="8" w:space="0" w:color="auto"/>
              <w:left w:val="nil"/>
              <w:bottom w:val="single" w:sz="8" w:space="0" w:color="auto"/>
              <w:right w:val="nil"/>
            </w:tcBorders>
            <w:shd w:val="clear" w:color="auto" w:fill="auto"/>
            <w:noWrap/>
            <w:vAlign w:val="center"/>
            <w:hideMark/>
          </w:tcPr>
          <w:p w14:paraId="2005EEFE"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3.2</w:t>
            </w:r>
          </w:p>
        </w:tc>
      </w:tr>
      <w:tr w:rsidR="00D14A06" w:rsidRPr="00613684" w14:paraId="2D654773" w14:textId="77777777" w:rsidTr="00236A4A">
        <w:trPr>
          <w:trHeight w:val="397"/>
        </w:trPr>
        <w:tc>
          <w:tcPr>
            <w:tcW w:w="822" w:type="pct"/>
            <w:tcBorders>
              <w:top w:val="nil"/>
              <w:left w:val="nil"/>
              <w:bottom w:val="nil"/>
              <w:right w:val="nil"/>
            </w:tcBorders>
            <w:shd w:val="clear" w:color="auto" w:fill="auto"/>
            <w:vAlign w:val="center"/>
            <w:hideMark/>
          </w:tcPr>
          <w:p w14:paraId="1DF88045"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Podíl rozpočtovaných výdajů na VaVaI ze SR na celkovém SR ČR</w:t>
            </w:r>
          </w:p>
        </w:tc>
        <w:tc>
          <w:tcPr>
            <w:tcW w:w="323" w:type="pct"/>
            <w:tcBorders>
              <w:top w:val="nil"/>
              <w:left w:val="nil"/>
              <w:bottom w:val="nil"/>
              <w:right w:val="nil"/>
            </w:tcBorders>
            <w:shd w:val="clear" w:color="auto" w:fill="auto"/>
            <w:noWrap/>
            <w:vAlign w:val="center"/>
            <w:hideMark/>
          </w:tcPr>
          <w:p w14:paraId="615D8658"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w:t>
            </w:r>
          </w:p>
        </w:tc>
        <w:tc>
          <w:tcPr>
            <w:tcW w:w="351" w:type="pct"/>
            <w:tcBorders>
              <w:top w:val="nil"/>
              <w:left w:val="nil"/>
              <w:bottom w:val="nil"/>
              <w:right w:val="nil"/>
            </w:tcBorders>
            <w:shd w:val="clear" w:color="auto" w:fill="auto"/>
            <w:noWrap/>
            <w:vAlign w:val="center"/>
            <w:hideMark/>
          </w:tcPr>
          <w:p w14:paraId="5BF7CF6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2.14</w:t>
            </w:r>
          </w:p>
        </w:tc>
        <w:tc>
          <w:tcPr>
            <w:tcW w:w="351" w:type="pct"/>
            <w:tcBorders>
              <w:top w:val="nil"/>
              <w:left w:val="nil"/>
              <w:bottom w:val="nil"/>
              <w:right w:val="nil"/>
            </w:tcBorders>
            <w:shd w:val="clear" w:color="auto" w:fill="auto"/>
            <w:noWrap/>
            <w:vAlign w:val="center"/>
            <w:hideMark/>
          </w:tcPr>
          <w:p w14:paraId="4CDCC92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2.20</w:t>
            </w:r>
          </w:p>
        </w:tc>
        <w:tc>
          <w:tcPr>
            <w:tcW w:w="351" w:type="pct"/>
            <w:tcBorders>
              <w:top w:val="nil"/>
              <w:left w:val="nil"/>
              <w:bottom w:val="nil"/>
              <w:right w:val="nil"/>
            </w:tcBorders>
            <w:shd w:val="clear" w:color="auto" w:fill="auto"/>
            <w:noWrap/>
            <w:vAlign w:val="center"/>
            <w:hideMark/>
          </w:tcPr>
          <w:p w14:paraId="4D1CFCF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2.24</w:t>
            </w:r>
          </w:p>
        </w:tc>
        <w:tc>
          <w:tcPr>
            <w:tcW w:w="351" w:type="pct"/>
            <w:tcBorders>
              <w:top w:val="nil"/>
              <w:left w:val="nil"/>
              <w:bottom w:val="nil"/>
              <w:right w:val="nil"/>
            </w:tcBorders>
            <w:shd w:val="clear" w:color="auto" w:fill="auto"/>
            <w:noWrap/>
            <w:vAlign w:val="center"/>
            <w:hideMark/>
          </w:tcPr>
          <w:p w14:paraId="6C213A8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2.21</w:t>
            </w:r>
          </w:p>
        </w:tc>
        <w:tc>
          <w:tcPr>
            <w:tcW w:w="351" w:type="pct"/>
            <w:tcBorders>
              <w:top w:val="nil"/>
              <w:left w:val="nil"/>
              <w:bottom w:val="nil"/>
              <w:right w:val="nil"/>
            </w:tcBorders>
            <w:shd w:val="clear" w:color="auto" w:fill="auto"/>
            <w:noWrap/>
            <w:vAlign w:val="center"/>
            <w:hideMark/>
          </w:tcPr>
          <w:p w14:paraId="51CEA8E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2.20</w:t>
            </w:r>
          </w:p>
        </w:tc>
        <w:tc>
          <w:tcPr>
            <w:tcW w:w="351" w:type="pct"/>
            <w:tcBorders>
              <w:top w:val="nil"/>
              <w:left w:val="nil"/>
              <w:bottom w:val="nil"/>
              <w:right w:val="nil"/>
            </w:tcBorders>
            <w:shd w:val="clear" w:color="auto" w:fill="auto"/>
            <w:noWrap/>
            <w:vAlign w:val="center"/>
            <w:hideMark/>
          </w:tcPr>
          <w:p w14:paraId="0033775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2.21</w:t>
            </w:r>
          </w:p>
        </w:tc>
        <w:tc>
          <w:tcPr>
            <w:tcW w:w="351" w:type="pct"/>
            <w:tcBorders>
              <w:top w:val="nil"/>
              <w:left w:val="nil"/>
              <w:bottom w:val="nil"/>
              <w:right w:val="nil"/>
            </w:tcBorders>
            <w:shd w:val="clear" w:color="auto" w:fill="auto"/>
            <w:noWrap/>
            <w:vAlign w:val="center"/>
            <w:hideMark/>
          </w:tcPr>
          <w:p w14:paraId="51755BD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2.33</w:t>
            </w:r>
          </w:p>
        </w:tc>
        <w:tc>
          <w:tcPr>
            <w:tcW w:w="351" w:type="pct"/>
            <w:tcBorders>
              <w:top w:val="nil"/>
              <w:left w:val="nil"/>
              <w:bottom w:val="nil"/>
              <w:right w:val="nil"/>
            </w:tcBorders>
            <w:shd w:val="clear" w:color="auto" w:fill="auto"/>
            <w:noWrap/>
            <w:vAlign w:val="center"/>
            <w:hideMark/>
          </w:tcPr>
          <w:p w14:paraId="1E51BCF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2.49</w:t>
            </w:r>
          </w:p>
        </w:tc>
        <w:tc>
          <w:tcPr>
            <w:tcW w:w="351" w:type="pct"/>
            <w:tcBorders>
              <w:top w:val="nil"/>
              <w:left w:val="nil"/>
              <w:bottom w:val="nil"/>
              <w:right w:val="nil"/>
            </w:tcBorders>
            <w:shd w:val="clear" w:color="auto" w:fill="auto"/>
            <w:noWrap/>
            <w:vAlign w:val="center"/>
            <w:hideMark/>
          </w:tcPr>
          <w:p w14:paraId="40CA76B7"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2.55</w:t>
            </w:r>
          </w:p>
        </w:tc>
        <w:tc>
          <w:tcPr>
            <w:tcW w:w="351" w:type="pct"/>
            <w:tcBorders>
              <w:top w:val="nil"/>
              <w:left w:val="nil"/>
              <w:bottom w:val="nil"/>
              <w:right w:val="nil"/>
            </w:tcBorders>
            <w:shd w:val="clear" w:color="auto" w:fill="auto"/>
            <w:noWrap/>
            <w:vAlign w:val="center"/>
            <w:hideMark/>
          </w:tcPr>
          <w:p w14:paraId="32392C6A" w14:textId="13609728"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w:t>
            </w:r>
            <w:r w:rsidR="00FF0657">
              <w:rPr>
                <w:rFonts w:ascii="Calibri" w:eastAsia="Times New Roman" w:hAnsi="Calibri" w:cs="Calibri"/>
                <w:color w:val="000000"/>
                <w:sz w:val="16"/>
                <w:szCs w:val="16"/>
                <w:lang w:eastAsia="cs-CZ"/>
              </w:rPr>
              <w:t>39</w:t>
            </w:r>
          </w:p>
        </w:tc>
        <w:tc>
          <w:tcPr>
            <w:tcW w:w="347" w:type="pct"/>
            <w:tcBorders>
              <w:top w:val="nil"/>
              <w:left w:val="nil"/>
              <w:bottom w:val="nil"/>
              <w:right w:val="nil"/>
            </w:tcBorders>
            <w:shd w:val="clear" w:color="auto" w:fill="auto"/>
            <w:noWrap/>
            <w:vAlign w:val="center"/>
            <w:hideMark/>
          </w:tcPr>
          <w:p w14:paraId="5669A17E" w14:textId="68DCDD25"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w:t>
            </w:r>
            <w:r w:rsidR="00FF0657">
              <w:rPr>
                <w:rFonts w:ascii="Calibri" w:eastAsia="Times New Roman" w:hAnsi="Calibri" w:cs="Calibri"/>
                <w:color w:val="000000"/>
                <w:sz w:val="16"/>
                <w:szCs w:val="16"/>
                <w:lang w:eastAsia="cs-CZ"/>
              </w:rPr>
              <w:t>24</w:t>
            </w:r>
          </w:p>
        </w:tc>
      </w:tr>
      <w:tr w:rsidR="00D14A06" w:rsidRPr="00613684" w14:paraId="67EA6063" w14:textId="77777777" w:rsidTr="00236A4A">
        <w:trPr>
          <w:trHeight w:val="397"/>
        </w:trPr>
        <w:tc>
          <w:tcPr>
            <w:tcW w:w="822" w:type="pct"/>
            <w:tcBorders>
              <w:top w:val="single" w:sz="8" w:space="0" w:color="auto"/>
              <w:left w:val="nil"/>
              <w:bottom w:val="nil"/>
              <w:right w:val="nil"/>
            </w:tcBorders>
            <w:shd w:val="clear" w:color="auto" w:fill="auto"/>
            <w:vAlign w:val="center"/>
            <w:hideMark/>
          </w:tcPr>
          <w:p w14:paraId="2172D71A"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výdaje na VaV v podnikatelském sektoru (BERD)</w:t>
            </w:r>
          </w:p>
        </w:tc>
        <w:tc>
          <w:tcPr>
            <w:tcW w:w="323" w:type="pct"/>
            <w:tcBorders>
              <w:top w:val="single" w:sz="8" w:space="0" w:color="auto"/>
              <w:left w:val="nil"/>
              <w:bottom w:val="nil"/>
              <w:right w:val="nil"/>
            </w:tcBorders>
            <w:shd w:val="clear" w:color="auto" w:fill="auto"/>
            <w:vAlign w:val="center"/>
            <w:hideMark/>
          </w:tcPr>
          <w:p w14:paraId="4DB2CF7F"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mld. Kč</w:t>
            </w:r>
          </w:p>
        </w:tc>
        <w:tc>
          <w:tcPr>
            <w:tcW w:w="351" w:type="pct"/>
            <w:tcBorders>
              <w:top w:val="single" w:sz="8" w:space="0" w:color="auto"/>
              <w:left w:val="nil"/>
              <w:bottom w:val="nil"/>
              <w:right w:val="nil"/>
            </w:tcBorders>
            <w:shd w:val="clear" w:color="auto" w:fill="auto"/>
            <w:noWrap/>
            <w:vAlign w:val="center"/>
            <w:hideMark/>
          </w:tcPr>
          <w:p w14:paraId="5FCF06D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30.0</w:t>
            </w:r>
          </w:p>
        </w:tc>
        <w:tc>
          <w:tcPr>
            <w:tcW w:w="351" w:type="pct"/>
            <w:tcBorders>
              <w:top w:val="single" w:sz="8" w:space="0" w:color="auto"/>
              <w:left w:val="nil"/>
              <w:bottom w:val="nil"/>
              <w:right w:val="nil"/>
            </w:tcBorders>
            <w:shd w:val="clear" w:color="auto" w:fill="auto"/>
            <w:noWrap/>
            <w:vAlign w:val="center"/>
            <w:hideMark/>
          </w:tcPr>
          <w:p w14:paraId="244544F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34.1</w:t>
            </w:r>
          </w:p>
        </w:tc>
        <w:tc>
          <w:tcPr>
            <w:tcW w:w="351" w:type="pct"/>
            <w:tcBorders>
              <w:top w:val="single" w:sz="8" w:space="0" w:color="auto"/>
              <w:left w:val="nil"/>
              <w:bottom w:val="nil"/>
              <w:right w:val="nil"/>
            </w:tcBorders>
            <w:shd w:val="clear" w:color="auto" w:fill="auto"/>
            <w:noWrap/>
            <w:vAlign w:val="center"/>
            <w:hideMark/>
          </w:tcPr>
          <w:p w14:paraId="107269D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38.2</w:t>
            </w:r>
          </w:p>
        </w:tc>
        <w:tc>
          <w:tcPr>
            <w:tcW w:w="351" w:type="pct"/>
            <w:tcBorders>
              <w:top w:val="single" w:sz="8" w:space="0" w:color="auto"/>
              <w:left w:val="nil"/>
              <w:bottom w:val="nil"/>
              <w:right w:val="nil"/>
            </w:tcBorders>
            <w:shd w:val="clear" w:color="auto" w:fill="auto"/>
            <w:noWrap/>
            <w:vAlign w:val="center"/>
            <w:hideMark/>
          </w:tcPr>
          <w:p w14:paraId="1052BE2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41.5</w:t>
            </w:r>
          </w:p>
        </w:tc>
        <w:tc>
          <w:tcPr>
            <w:tcW w:w="351" w:type="pct"/>
            <w:tcBorders>
              <w:top w:val="single" w:sz="8" w:space="0" w:color="auto"/>
              <w:left w:val="nil"/>
              <w:bottom w:val="nil"/>
              <w:right w:val="nil"/>
            </w:tcBorders>
            <w:shd w:val="clear" w:color="auto" w:fill="auto"/>
            <w:noWrap/>
            <w:vAlign w:val="center"/>
            <w:hideMark/>
          </w:tcPr>
          <w:p w14:paraId="5156040F"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47.0</w:t>
            </w:r>
          </w:p>
        </w:tc>
        <w:tc>
          <w:tcPr>
            <w:tcW w:w="351" w:type="pct"/>
            <w:tcBorders>
              <w:top w:val="single" w:sz="8" w:space="0" w:color="auto"/>
              <w:left w:val="nil"/>
              <w:bottom w:val="nil"/>
              <w:right w:val="nil"/>
            </w:tcBorders>
            <w:shd w:val="clear" w:color="auto" w:fill="auto"/>
            <w:noWrap/>
            <w:vAlign w:val="center"/>
            <w:hideMark/>
          </w:tcPr>
          <w:p w14:paraId="6BE6932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48.1</w:t>
            </w:r>
          </w:p>
        </w:tc>
        <w:tc>
          <w:tcPr>
            <w:tcW w:w="351" w:type="pct"/>
            <w:tcBorders>
              <w:top w:val="single" w:sz="8" w:space="0" w:color="auto"/>
              <w:left w:val="nil"/>
              <w:bottom w:val="nil"/>
              <w:right w:val="nil"/>
            </w:tcBorders>
            <w:shd w:val="clear" w:color="auto" w:fill="auto"/>
            <w:noWrap/>
            <w:vAlign w:val="center"/>
            <w:hideMark/>
          </w:tcPr>
          <w:p w14:paraId="07A7577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49.0</w:t>
            </w:r>
          </w:p>
        </w:tc>
        <w:tc>
          <w:tcPr>
            <w:tcW w:w="351" w:type="pct"/>
            <w:tcBorders>
              <w:top w:val="single" w:sz="8" w:space="0" w:color="auto"/>
              <w:left w:val="nil"/>
              <w:bottom w:val="nil"/>
              <w:right w:val="nil"/>
            </w:tcBorders>
            <w:shd w:val="clear" w:color="auto" w:fill="auto"/>
            <w:noWrap/>
            <w:vAlign w:val="center"/>
            <w:hideMark/>
          </w:tcPr>
          <w:p w14:paraId="39D3617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56.8</w:t>
            </w:r>
          </w:p>
        </w:tc>
        <w:tc>
          <w:tcPr>
            <w:tcW w:w="351" w:type="pct"/>
            <w:tcBorders>
              <w:top w:val="single" w:sz="8" w:space="0" w:color="auto"/>
              <w:left w:val="nil"/>
              <w:bottom w:val="nil"/>
              <w:right w:val="nil"/>
            </w:tcBorders>
            <w:shd w:val="clear" w:color="auto" w:fill="auto"/>
            <w:noWrap/>
            <w:vAlign w:val="center"/>
            <w:hideMark/>
          </w:tcPr>
          <w:p w14:paraId="7D4E3DD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63.7</w:t>
            </w:r>
          </w:p>
        </w:tc>
        <w:tc>
          <w:tcPr>
            <w:tcW w:w="351" w:type="pct"/>
            <w:tcBorders>
              <w:top w:val="single" w:sz="8" w:space="0" w:color="auto"/>
              <w:left w:val="nil"/>
              <w:bottom w:val="nil"/>
              <w:right w:val="nil"/>
            </w:tcBorders>
            <w:shd w:val="clear" w:color="auto" w:fill="auto"/>
            <w:noWrap/>
            <w:vAlign w:val="center"/>
            <w:hideMark/>
          </w:tcPr>
          <w:p w14:paraId="3DA80CE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68.8</w:t>
            </w:r>
          </w:p>
        </w:tc>
        <w:tc>
          <w:tcPr>
            <w:tcW w:w="347" w:type="pct"/>
            <w:tcBorders>
              <w:top w:val="single" w:sz="8" w:space="0" w:color="auto"/>
              <w:left w:val="nil"/>
              <w:bottom w:val="nil"/>
              <w:right w:val="nil"/>
            </w:tcBorders>
            <w:shd w:val="clear" w:color="auto" w:fill="auto"/>
            <w:noWrap/>
            <w:vAlign w:val="center"/>
            <w:hideMark/>
          </w:tcPr>
          <w:p w14:paraId="73037D4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69.1</w:t>
            </w:r>
          </w:p>
        </w:tc>
      </w:tr>
      <w:tr w:rsidR="00D14A06" w:rsidRPr="00613684" w14:paraId="3AB3C111" w14:textId="77777777" w:rsidTr="00236A4A">
        <w:trPr>
          <w:trHeight w:val="397"/>
        </w:trPr>
        <w:tc>
          <w:tcPr>
            <w:tcW w:w="822" w:type="pct"/>
            <w:tcBorders>
              <w:top w:val="single" w:sz="8" w:space="0" w:color="auto"/>
              <w:left w:val="nil"/>
              <w:bottom w:val="single" w:sz="4" w:space="0" w:color="auto"/>
              <w:right w:val="nil"/>
            </w:tcBorders>
            <w:shd w:val="clear" w:color="auto" w:fill="auto"/>
            <w:vAlign w:val="center"/>
            <w:hideMark/>
          </w:tcPr>
          <w:p w14:paraId="2580B45F"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Nepřímá podpora soukromým podnikům</w:t>
            </w:r>
          </w:p>
        </w:tc>
        <w:tc>
          <w:tcPr>
            <w:tcW w:w="323" w:type="pct"/>
            <w:tcBorders>
              <w:top w:val="single" w:sz="8" w:space="0" w:color="auto"/>
              <w:left w:val="nil"/>
              <w:bottom w:val="single" w:sz="4" w:space="0" w:color="auto"/>
              <w:right w:val="nil"/>
            </w:tcBorders>
            <w:shd w:val="clear" w:color="auto" w:fill="auto"/>
            <w:noWrap/>
            <w:vAlign w:val="center"/>
            <w:hideMark/>
          </w:tcPr>
          <w:p w14:paraId="5594646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mld. Kč</w:t>
            </w:r>
          </w:p>
        </w:tc>
        <w:tc>
          <w:tcPr>
            <w:tcW w:w="351" w:type="pct"/>
            <w:tcBorders>
              <w:top w:val="single" w:sz="8" w:space="0" w:color="auto"/>
              <w:left w:val="nil"/>
              <w:bottom w:val="single" w:sz="4" w:space="0" w:color="auto"/>
              <w:right w:val="nil"/>
            </w:tcBorders>
            <w:shd w:val="clear" w:color="auto" w:fill="auto"/>
            <w:noWrap/>
            <w:vAlign w:val="center"/>
            <w:hideMark/>
          </w:tcPr>
          <w:p w14:paraId="38DC664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1.32</w:t>
            </w:r>
          </w:p>
        </w:tc>
        <w:tc>
          <w:tcPr>
            <w:tcW w:w="351" w:type="pct"/>
            <w:tcBorders>
              <w:top w:val="single" w:sz="8" w:space="0" w:color="auto"/>
              <w:left w:val="nil"/>
              <w:bottom w:val="single" w:sz="4" w:space="0" w:color="auto"/>
              <w:right w:val="nil"/>
            </w:tcBorders>
            <w:shd w:val="clear" w:color="auto" w:fill="auto"/>
            <w:noWrap/>
            <w:vAlign w:val="center"/>
            <w:hideMark/>
          </w:tcPr>
          <w:p w14:paraId="7A4BDD9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1.84</w:t>
            </w:r>
          </w:p>
        </w:tc>
        <w:tc>
          <w:tcPr>
            <w:tcW w:w="351" w:type="pct"/>
            <w:tcBorders>
              <w:top w:val="single" w:sz="8" w:space="0" w:color="auto"/>
              <w:left w:val="nil"/>
              <w:bottom w:val="single" w:sz="4" w:space="0" w:color="auto"/>
              <w:right w:val="nil"/>
            </w:tcBorders>
            <w:shd w:val="clear" w:color="auto" w:fill="auto"/>
            <w:noWrap/>
            <w:vAlign w:val="center"/>
            <w:hideMark/>
          </w:tcPr>
          <w:p w14:paraId="4B8023F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1.99</w:t>
            </w:r>
          </w:p>
        </w:tc>
        <w:tc>
          <w:tcPr>
            <w:tcW w:w="351" w:type="pct"/>
            <w:tcBorders>
              <w:top w:val="single" w:sz="8" w:space="0" w:color="auto"/>
              <w:left w:val="nil"/>
              <w:bottom w:val="single" w:sz="4" w:space="0" w:color="auto"/>
              <w:right w:val="nil"/>
            </w:tcBorders>
            <w:shd w:val="clear" w:color="auto" w:fill="auto"/>
            <w:noWrap/>
            <w:vAlign w:val="center"/>
            <w:hideMark/>
          </w:tcPr>
          <w:p w14:paraId="0DEFE92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2.30</w:t>
            </w:r>
          </w:p>
        </w:tc>
        <w:tc>
          <w:tcPr>
            <w:tcW w:w="351" w:type="pct"/>
            <w:tcBorders>
              <w:top w:val="single" w:sz="8" w:space="0" w:color="auto"/>
              <w:left w:val="nil"/>
              <w:bottom w:val="single" w:sz="4" w:space="0" w:color="auto"/>
              <w:right w:val="nil"/>
            </w:tcBorders>
            <w:shd w:val="clear" w:color="auto" w:fill="auto"/>
            <w:noWrap/>
            <w:vAlign w:val="center"/>
            <w:hideMark/>
          </w:tcPr>
          <w:p w14:paraId="47CF9E9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2.27</w:t>
            </w:r>
          </w:p>
        </w:tc>
        <w:tc>
          <w:tcPr>
            <w:tcW w:w="351" w:type="pct"/>
            <w:tcBorders>
              <w:top w:val="single" w:sz="8" w:space="0" w:color="auto"/>
              <w:left w:val="nil"/>
              <w:bottom w:val="single" w:sz="4" w:space="0" w:color="auto"/>
              <w:right w:val="nil"/>
            </w:tcBorders>
            <w:shd w:val="clear" w:color="auto" w:fill="auto"/>
            <w:noWrap/>
            <w:vAlign w:val="center"/>
            <w:hideMark/>
          </w:tcPr>
          <w:p w14:paraId="030497A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2.53</w:t>
            </w:r>
          </w:p>
        </w:tc>
        <w:tc>
          <w:tcPr>
            <w:tcW w:w="351" w:type="pct"/>
            <w:tcBorders>
              <w:top w:val="single" w:sz="8" w:space="0" w:color="auto"/>
              <w:left w:val="nil"/>
              <w:bottom w:val="single" w:sz="4" w:space="0" w:color="auto"/>
              <w:right w:val="nil"/>
            </w:tcBorders>
            <w:shd w:val="clear" w:color="auto" w:fill="auto"/>
            <w:noWrap/>
            <w:vAlign w:val="center"/>
            <w:hideMark/>
          </w:tcPr>
          <w:p w14:paraId="623B628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2.39</w:t>
            </w:r>
          </w:p>
        </w:tc>
        <w:tc>
          <w:tcPr>
            <w:tcW w:w="351" w:type="pct"/>
            <w:tcBorders>
              <w:top w:val="single" w:sz="8" w:space="0" w:color="auto"/>
              <w:left w:val="nil"/>
              <w:bottom w:val="single" w:sz="4" w:space="0" w:color="auto"/>
              <w:right w:val="nil"/>
            </w:tcBorders>
            <w:shd w:val="clear" w:color="auto" w:fill="auto"/>
            <w:noWrap/>
            <w:vAlign w:val="center"/>
            <w:hideMark/>
          </w:tcPr>
          <w:p w14:paraId="1B3F7BA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2.52</w:t>
            </w:r>
          </w:p>
        </w:tc>
        <w:tc>
          <w:tcPr>
            <w:tcW w:w="351" w:type="pct"/>
            <w:tcBorders>
              <w:top w:val="single" w:sz="8" w:space="0" w:color="auto"/>
              <w:left w:val="nil"/>
              <w:bottom w:val="single" w:sz="4" w:space="0" w:color="auto"/>
              <w:right w:val="nil"/>
            </w:tcBorders>
            <w:shd w:val="clear" w:color="auto" w:fill="auto"/>
            <w:noWrap/>
            <w:vAlign w:val="center"/>
            <w:hideMark/>
          </w:tcPr>
          <w:p w14:paraId="6D76D53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2.59</w:t>
            </w:r>
          </w:p>
        </w:tc>
        <w:tc>
          <w:tcPr>
            <w:tcW w:w="351" w:type="pct"/>
            <w:tcBorders>
              <w:top w:val="single" w:sz="8" w:space="0" w:color="auto"/>
              <w:left w:val="nil"/>
              <w:bottom w:val="single" w:sz="4" w:space="0" w:color="auto"/>
              <w:right w:val="nil"/>
            </w:tcBorders>
            <w:shd w:val="clear" w:color="auto" w:fill="auto"/>
            <w:noWrap/>
            <w:vAlign w:val="center"/>
            <w:hideMark/>
          </w:tcPr>
          <w:p w14:paraId="02DF4168"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2.74</w:t>
            </w:r>
          </w:p>
        </w:tc>
        <w:tc>
          <w:tcPr>
            <w:tcW w:w="347" w:type="pct"/>
            <w:tcBorders>
              <w:top w:val="single" w:sz="8" w:space="0" w:color="auto"/>
              <w:left w:val="nil"/>
              <w:bottom w:val="single" w:sz="4" w:space="0" w:color="auto"/>
              <w:right w:val="nil"/>
            </w:tcBorders>
            <w:shd w:val="clear" w:color="auto" w:fill="auto"/>
            <w:noWrap/>
            <w:vAlign w:val="center"/>
            <w:hideMark/>
          </w:tcPr>
          <w:p w14:paraId="49DCE7C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w:t>
            </w:r>
          </w:p>
        </w:tc>
      </w:tr>
      <w:tr w:rsidR="00D14A06" w:rsidRPr="00613684" w14:paraId="1685E32B" w14:textId="77777777" w:rsidTr="00236A4A">
        <w:trPr>
          <w:trHeight w:val="397"/>
        </w:trPr>
        <w:tc>
          <w:tcPr>
            <w:tcW w:w="822" w:type="pct"/>
            <w:tcBorders>
              <w:top w:val="nil"/>
              <w:left w:val="nil"/>
              <w:bottom w:val="nil"/>
              <w:right w:val="nil"/>
            </w:tcBorders>
            <w:shd w:val="clear" w:color="auto" w:fill="auto"/>
            <w:vAlign w:val="center"/>
            <w:hideMark/>
          </w:tcPr>
          <w:p w14:paraId="1D026D83"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Pracovníci ve VaV</w:t>
            </w:r>
          </w:p>
        </w:tc>
        <w:tc>
          <w:tcPr>
            <w:tcW w:w="323" w:type="pct"/>
            <w:tcBorders>
              <w:top w:val="nil"/>
              <w:left w:val="nil"/>
              <w:bottom w:val="nil"/>
              <w:right w:val="nil"/>
            </w:tcBorders>
            <w:shd w:val="clear" w:color="auto" w:fill="auto"/>
            <w:noWrap/>
            <w:vAlign w:val="center"/>
            <w:hideMark/>
          </w:tcPr>
          <w:p w14:paraId="0130073F"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FTE</w:t>
            </w:r>
          </w:p>
        </w:tc>
        <w:tc>
          <w:tcPr>
            <w:tcW w:w="351" w:type="pct"/>
            <w:tcBorders>
              <w:top w:val="nil"/>
              <w:left w:val="nil"/>
              <w:bottom w:val="nil"/>
              <w:right w:val="nil"/>
            </w:tcBorders>
            <w:shd w:val="clear" w:color="auto" w:fill="auto"/>
            <w:noWrap/>
            <w:vAlign w:val="center"/>
            <w:hideMark/>
          </w:tcPr>
          <w:p w14:paraId="2A92A86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52 290</w:t>
            </w:r>
          </w:p>
        </w:tc>
        <w:tc>
          <w:tcPr>
            <w:tcW w:w="351" w:type="pct"/>
            <w:tcBorders>
              <w:top w:val="nil"/>
              <w:left w:val="nil"/>
              <w:bottom w:val="nil"/>
              <w:right w:val="nil"/>
            </w:tcBorders>
            <w:shd w:val="clear" w:color="auto" w:fill="auto"/>
            <w:noWrap/>
            <w:vAlign w:val="center"/>
            <w:hideMark/>
          </w:tcPr>
          <w:p w14:paraId="5753007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55 697</w:t>
            </w:r>
          </w:p>
        </w:tc>
        <w:tc>
          <w:tcPr>
            <w:tcW w:w="351" w:type="pct"/>
            <w:tcBorders>
              <w:top w:val="nil"/>
              <w:left w:val="nil"/>
              <w:bottom w:val="nil"/>
              <w:right w:val="nil"/>
            </w:tcBorders>
            <w:shd w:val="clear" w:color="auto" w:fill="auto"/>
            <w:noWrap/>
            <w:vAlign w:val="center"/>
            <w:hideMark/>
          </w:tcPr>
          <w:p w14:paraId="2646799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60 329</w:t>
            </w:r>
          </w:p>
        </w:tc>
        <w:tc>
          <w:tcPr>
            <w:tcW w:w="351" w:type="pct"/>
            <w:tcBorders>
              <w:top w:val="nil"/>
              <w:left w:val="nil"/>
              <w:bottom w:val="nil"/>
              <w:right w:val="nil"/>
            </w:tcBorders>
            <w:shd w:val="clear" w:color="auto" w:fill="auto"/>
            <w:noWrap/>
            <w:vAlign w:val="center"/>
            <w:hideMark/>
          </w:tcPr>
          <w:p w14:paraId="78B269A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61 976</w:t>
            </w:r>
          </w:p>
        </w:tc>
        <w:tc>
          <w:tcPr>
            <w:tcW w:w="351" w:type="pct"/>
            <w:tcBorders>
              <w:top w:val="nil"/>
              <w:left w:val="nil"/>
              <w:bottom w:val="nil"/>
              <w:right w:val="nil"/>
            </w:tcBorders>
            <w:shd w:val="clear" w:color="auto" w:fill="auto"/>
            <w:noWrap/>
            <w:vAlign w:val="center"/>
            <w:hideMark/>
          </w:tcPr>
          <w:p w14:paraId="6F8CB59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64 443</w:t>
            </w:r>
          </w:p>
        </w:tc>
        <w:tc>
          <w:tcPr>
            <w:tcW w:w="351" w:type="pct"/>
            <w:tcBorders>
              <w:top w:val="nil"/>
              <w:left w:val="nil"/>
              <w:bottom w:val="nil"/>
              <w:right w:val="nil"/>
            </w:tcBorders>
            <w:shd w:val="clear" w:color="auto" w:fill="auto"/>
            <w:noWrap/>
            <w:vAlign w:val="center"/>
            <w:hideMark/>
          </w:tcPr>
          <w:p w14:paraId="041F2E1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66 433</w:t>
            </w:r>
          </w:p>
        </w:tc>
        <w:tc>
          <w:tcPr>
            <w:tcW w:w="351" w:type="pct"/>
            <w:tcBorders>
              <w:top w:val="nil"/>
              <w:left w:val="nil"/>
              <w:bottom w:val="nil"/>
              <w:right w:val="nil"/>
            </w:tcBorders>
            <w:shd w:val="clear" w:color="auto" w:fill="auto"/>
            <w:noWrap/>
            <w:vAlign w:val="center"/>
            <w:hideMark/>
          </w:tcPr>
          <w:p w14:paraId="3B36C4F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65 783</w:t>
            </w:r>
          </w:p>
        </w:tc>
        <w:tc>
          <w:tcPr>
            <w:tcW w:w="351" w:type="pct"/>
            <w:tcBorders>
              <w:top w:val="nil"/>
              <w:left w:val="nil"/>
              <w:bottom w:val="nil"/>
              <w:right w:val="nil"/>
            </w:tcBorders>
            <w:shd w:val="clear" w:color="auto" w:fill="auto"/>
            <w:noWrap/>
            <w:vAlign w:val="center"/>
            <w:hideMark/>
          </w:tcPr>
          <w:p w14:paraId="3F2E6D67"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69 736</w:t>
            </w:r>
          </w:p>
        </w:tc>
        <w:tc>
          <w:tcPr>
            <w:tcW w:w="351" w:type="pct"/>
            <w:tcBorders>
              <w:top w:val="nil"/>
              <w:left w:val="nil"/>
              <w:bottom w:val="nil"/>
              <w:right w:val="nil"/>
            </w:tcBorders>
            <w:shd w:val="clear" w:color="auto" w:fill="auto"/>
            <w:noWrap/>
            <w:vAlign w:val="center"/>
            <w:hideMark/>
          </w:tcPr>
          <w:p w14:paraId="7327DB1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74 969</w:t>
            </w:r>
          </w:p>
        </w:tc>
        <w:tc>
          <w:tcPr>
            <w:tcW w:w="351" w:type="pct"/>
            <w:tcBorders>
              <w:top w:val="nil"/>
              <w:left w:val="nil"/>
              <w:bottom w:val="nil"/>
              <w:right w:val="nil"/>
            </w:tcBorders>
            <w:shd w:val="clear" w:color="auto" w:fill="auto"/>
            <w:noWrap/>
            <w:vAlign w:val="center"/>
            <w:hideMark/>
          </w:tcPr>
          <w:p w14:paraId="5B0BDC1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79 245</w:t>
            </w:r>
          </w:p>
        </w:tc>
        <w:tc>
          <w:tcPr>
            <w:tcW w:w="347" w:type="pct"/>
            <w:tcBorders>
              <w:top w:val="nil"/>
              <w:left w:val="nil"/>
              <w:bottom w:val="nil"/>
              <w:right w:val="nil"/>
            </w:tcBorders>
            <w:shd w:val="clear" w:color="auto" w:fill="auto"/>
            <w:noWrap/>
            <w:vAlign w:val="center"/>
            <w:hideMark/>
          </w:tcPr>
          <w:p w14:paraId="7106375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80 958</w:t>
            </w:r>
          </w:p>
        </w:tc>
      </w:tr>
      <w:tr w:rsidR="00D14A06" w:rsidRPr="00613684" w14:paraId="3F5EC62E" w14:textId="77777777" w:rsidTr="00236A4A">
        <w:trPr>
          <w:trHeight w:val="397"/>
        </w:trPr>
        <w:tc>
          <w:tcPr>
            <w:tcW w:w="822" w:type="pct"/>
            <w:tcBorders>
              <w:top w:val="single" w:sz="8" w:space="0" w:color="auto"/>
              <w:left w:val="nil"/>
              <w:bottom w:val="nil"/>
              <w:right w:val="nil"/>
            </w:tcBorders>
            <w:shd w:val="clear" w:color="auto" w:fill="auto"/>
            <w:vAlign w:val="center"/>
            <w:hideMark/>
          </w:tcPr>
          <w:p w14:paraId="2968A517"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Patenty udělené v ČR</w:t>
            </w:r>
          </w:p>
        </w:tc>
        <w:tc>
          <w:tcPr>
            <w:tcW w:w="323" w:type="pct"/>
            <w:tcBorders>
              <w:top w:val="single" w:sz="8" w:space="0" w:color="auto"/>
              <w:left w:val="nil"/>
              <w:bottom w:val="nil"/>
              <w:right w:val="nil"/>
            </w:tcBorders>
            <w:shd w:val="clear" w:color="auto" w:fill="auto"/>
            <w:noWrap/>
            <w:vAlign w:val="center"/>
            <w:hideMark/>
          </w:tcPr>
          <w:p w14:paraId="2E922D3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počet</w:t>
            </w:r>
          </w:p>
        </w:tc>
        <w:tc>
          <w:tcPr>
            <w:tcW w:w="351" w:type="pct"/>
            <w:tcBorders>
              <w:top w:val="single" w:sz="8" w:space="0" w:color="auto"/>
              <w:left w:val="nil"/>
              <w:bottom w:val="nil"/>
              <w:right w:val="nil"/>
            </w:tcBorders>
            <w:shd w:val="clear" w:color="auto" w:fill="auto"/>
            <w:noWrap/>
            <w:vAlign w:val="center"/>
            <w:hideMark/>
          </w:tcPr>
          <w:p w14:paraId="38DE346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1372</w:t>
            </w:r>
          </w:p>
        </w:tc>
        <w:tc>
          <w:tcPr>
            <w:tcW w:w="351" w:type="pct"/>
            <w:tcBorders>
              <w:top w:val="single" w:sz="8" w:space="0" w:color="auto"/>
              <w:left w:val="nil"/>
              <w:bottom w:val="nil"/>
              <w:right w:val="nil"/>
            </w:tcBorders>
            <w:shd w:val="clear" w:color="auto" w:fill="auto"/>
            <w:noWrap/>
            <w:vAlign w:val="center"/>
            <w:hideMark/>
          </w:tcPr>
          <w:p w14:paraId="3F8C686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1806</w:t>
            </w:r>
          </w:p>
        </w:tc>
        <w:tc>
          <w:tcPr>
            <w:tcW w:w="351" w:type="pct"/>
            <w:tcBorders>
              <w:top w:val="single" w:sz="8" w:space="0" w:color="auto"/>
              <w:left w:val="nil"/>
              <w:bottom w:val="nil"/>
              <w:right w:val="nil"/>
            </w:tcBorders>
            <w:shd w:val="clear" w:color="auto" w:fill="auto"/>
            <w:noWrap/>
            <w:vAlign w:val="center"/>
            <w:hideMark/>
          </w:tcPr>
          <w:p w14:paraId="088EC264"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2204</w:t>
            </w:r>
          </w:p>
        </w:tc>
        <w:tc>
          <w:tcPr>
            <w:tcW w:w="351" w:type="pct"/>
            <w:tcBorders>
              <w:top w:val="single" w:sz="8" w:space="0" w:color="auto"/>
              <w:left w:val="nil"/>
              <w:bottom w:val="single" w:sz="4" w:space="0" w:color="auto"/>
              <w:right w:val="nil"/>
            </w:tcBorders>
            <w:shd w:val="clear" w:color="auto" w:fill="auto"/>
            <w:noWrap/>
            <w:vAlign w:val="center"/>
            <w:hideMark/>
          </w:tcPr>
          <w:p w14:paraId="67C430E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2552</w:t>
            </w:r>
          </w:p>
        </w:tc>
        <w:tc>
          <w:tcPr>
            <w:tcW w:w="351" w:type="pct"/>
            <w:tcBorders>
              <w:top w:val="single" w:sz="8" w:space="0" w:color="auto"/>
              <w:left w:val="nil"/>
              <w:bottom w:val="nil"/>
              <w:right w:val="nil"/>
            </w:tcBorders>
            <w:shd w:val="clear" w:color="auto" w:fill="auto"/>
            <w:noWrap/>
            <w:vAlign w:val="center"/>
            <w:hideMark/>
          </w:tcPr>
          <w:p w14:paraId="6C95A938"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2901</w:t>
            </w:r>
          </w:p>
        </w:tc>
        <w:tc>
          <w:tcPr>
            <w:tcW w:w="351" w:type="pct"/>
            <w:tcBorders>
              <w:top w:val="single" w:sz="8" w:space="0" w:color="auto"/>
              <w:left w:val="nil"/>
              <w:bottom w:val="nil"/>
              <w:right w:val="nil"/>
            </w:tcBorders>
            <w:shd w:val="clear" w:color="auto" w:fill="auto"/>
            <w:noWrap/>
            <w:vAlign w:val="center"/>
            <w:hideMark/>
          </w:tcPr>
          <w:p w14:paraId="4489C13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3505</w:t>
            </w:r>
          </w:p>
        </w:tc>
        <w:tc>
          <w:tcPr>
            <w:tcW w:w="351" w:type="pct"/>
            <w:tcBorders>
              <w:top w:val="single" w:sz="8" w:space="0" w:color="auto"/>
              <w:left w:val="nil"/>
              <w:bottom w:val="nil"/>
              <w:right w:val="nil"/>
            </w:tcBorders>
            <w:shd w:val="clear" w:color="auto" w:fill="auto"/>
            <w:noWrap/>
            <w:vAlign w:val="center"/>
            <w:hideMark/>
          </w:tcPr>
          <w:p w14:paraId="73C6BFE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4874</w:t>
            </w:r>
          </w:p>
        </w:tc>
        <w:tc>
          <w:tcPr>
            <w:tcW w:w="351" w:type="pct"/>
            <w:tcBorders>
              <w:top w:val="single" w:sz="8" w:space="0" w:color="auto"/>
              <w:left w:val="nil"/>
              <w:bottom w:val="nil"/>
              <w:right w:val="nil"/>
            </w:tcBorders>
            <w:shd w:val="clear" w:color="auto" w:fill="auto"/>
            <w:noWrap/>
            <w:vAlign w:val="center"/>
            <w:hideMark/>
          </w:tcPr>
          <w:p w14:paraId="2ABC3DEF"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6013</w:t>
            </w:r>
          </w:p>
        </w:tc>
        <w:tc>
          <w:tcPr>
            <w:tcW w:w="351" w:type="pct"/>
            <w:tcBorders>
              <w:top w:val="single" w:sz="8" w:space="0" w:color="auto"/>
              <w:left w:val="nil"/>
              <w:bottom w:val="nil"/>
              <w:right w:val="nil"/>
            </w:tcBorders>
            <w:shd w:val="clear" w:color="auto" w:fill="auto"/>
            <w:noWrap/>
            <w:vAlign w:val="center"/>
            <w:hideMark/>
          </w:tcPr>
          <w:p w14:paraId="12A0C4F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6670</w:t>
            </w:r>
          </w:p>
        </w:tc>
        <w:tc>
          <w:tcPr>
            <w:tcW w:w="351" w:type="pct"/>
            <w:tcBorders>
              <w:top w:val="single" w:sz="8" w:space="0" w:color="auto"/>
              <w:left w:val="nil"/>
              <w:bottom w:val="nil"/>
              <w:right w:val="nil"/>
            </w:tcBorders>
            <w:shd w:val="clear" w:color="auto" w:fill="auto"/>
            <w:noWrap/>
            <w:vAlign w:val="center"/>
            <w:hideMark/>
          </w:tcPr>
          <w:p w14:paraId="3CB18BC7"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7741</w:t>
            </w:r>
          </w:p>
        </w:tc>
        <w:tc>
          <w:tcPr>
            <w:tcW w:w="347" w:type="pct"/>
            <w:tcBorders>
              <w:top w:val="single" w:sz="8" w:space="0" w:color="auto"/>
              <w:left w:val="nil"/>
              <w:bottom w:val="nil"/>
              <w:right w:val="nil"/>
            </w:tcBorders>
            <w:shd w:val="clear" w:color="auto" w:fill="auto"/>
            <w:noWrap/>
            <w:vAlign w:val="center"/>
            <w:hideMark/>
          </w:tcPr>
          <w:p w14:paraId="024C2CC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7427</w:t>
            </w:r>
          </w:p>
        </w:tc>
      </w:tr>
      <w:tr w:rsidR="00D14A06" w:rsidRPr="00613684" w14:paraId="3107A948" w14:textId="77777777" w:rsidTr="00236A4A">
        <w:trPr>
          <w:trHeight w:val="397"/>
        </w:trPr>
        <w:tc>
          <w:tcPr>
            <w:tcW w:w="822" w:type="pct"/>
            <w:tcBorders>
              <w:top w:val="single" w:sz="8" w:space="0" w:color="auto"/>
              <w:left w:val="nil"/>
              <w:bottom w:val="nil"/>
              <w:right w:val="nil"/>
            </w:tcBorders>
            <w:shd w:val="clear" w:color="auto" w:fill="auto"/>
            <w:vAlign w:val="center"/>
            <w:hideMark/>
          </w:tcPr>
          <w:p w14:paraId="31E59E2B"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přihlašovatelům z ČR</w:t>
            </w:r>
          </w:p>
        </w:tc>
        <w:tc>
          <w:tcPr>
            <w:tcW w:w="323" w:type="pct"/>
            <w:tcBorders>
              <w:top w:val="single" w:sz="8" w:space="0" w:color="auto"/>
              <w:left w:val="nil"/>
              <w:bottom w:val="nil"/>
              <w:right w:val="nil"/>
            </w:tcBorders>
            <w:shd w:val="clear" w:color="auto" w:fill="auto"/>
            <w:noWrap/>
            <w:vAlign w:val="center"/>
            <w:hideMark/>
          </w:tcPr>
          <w:p w14:paraId="50F19EB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počet</w:t>
            </w:r>
          </w:p>
        </w:tc>
        <w:tc>
          <w:tcPr>
            <w:tcW w:w="351" w:type="pct"/>
            <w:tcBorders>
              <w:top w:val="single" w:sz="8" w:space="0" w:color="auto"/>
              <w:left w:val="nil"/>
              <w:bottom w:val="nil"/>
              <w:right w:val="nil"/>
            </w:tcBorders>
            <w:shd w:val="clear" w:color="auto" w:fill="auto"/>
            <w:noWrap/>
            <w:vAlign w:val="center"/>
            <w:hideMark/>
          </w:tcPr>
          <w:p w14:paraId="60632DDE"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65</w:t>
            </w:r>
          </w:p>
        </w:tc>
        <w:tc>
          <w:tcPr>
            <w:tcW w:w="351" w:type="pct"/>
            <w:tcBorders>
              <w:top w:val="single" w:sz="8" w:space="0" w:color="auto"/>
              <w:left w:val="nil"/>
              <w:bottom w:val="nil"/>
              <w:right w:val="nil"/>
            </w:tcBorders>
            <w:shd w:val="clear" w:color="auto" w:fill="auto"/>
            <w:noWrap/>
            <w:vAlign w:val="center"/>
            <w:hideMark/>
          </w:tcPr>
          <w:p w14:paraId="57E397D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94</w:t>
            </w:r>
          </w:p>
        </w:tc>
        <w:tc>
          <w:tcPr>
            <w:tcW w:w="351" w:type="pct"/>
            <w:tcBorders>
              <w:top w:val="single" w:sz="8" w:space="0" w:color="auto"/>
              <w:left w:val="nil"/>
              <w:bottom w:val="nil"/>
              <w:right w:val="nil"/>
            </w:tcBorders>
            <w:shd w:val="clear" w:color="auto" w:fill="auto"/>
            <w:noWrap/>
            <w:vAlign w:val="center"/>
            <w:hideMark/>
          </w:tcPr>
          <w:p w14:paraId="5145903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149</w:t>
            </w:r>
          </w:p>
        </w:tc>
        <w:tc>
          <w:tcPr>
            <w:tcW w:w="351" w:type="pct"/>
            <w:tcBorders>
              <w:top w:val="single" w:sz="4" w:space="0" w:color="auto"/>
              <w:left w:val="nil"/>
              <w:bottom w:val="nil"/>
              <w:right w:val="nil"/>
            </w:tcBorders>
            <w:shd w:val="clear" w:color="auto" w:fill="auto"/>
            <w:noWrap/>
            <w:vAlign w:val="center"/>
            <w:hideMark/>
          </w:tcPr>
          <w:p w14:paraId="74BA57C8"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175</w:t>
            </w:r>
          </w:p>
        </w:tc>
        <w:tc>
          <w:tcPr>
            <w:tcW w:w="351" w:type="pct"/>
            <w:tcBorders>
              <w:top w:val="single" w:sz="8" w:space="0" w:color="auto"/>
              <w:left w:val="nil"/>
              <w:bottom w:val="nil"/>
              <w:right w:val="nil"/>
            </w:tcBorders>
            <w:shd w:val="clear" w:color="auto" w:fill="auto"/>
            <w:noWrap/>
            <w:vAlign w:val="center"/>
            <w:hideMark/>
          </w:tcPr>
          <w:p w14:paraId="2BC690A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255</w:t>
            </w:r>
          </w:p>
        </w:tc>
        <w:tc>
          <w:tcPr>
            <w:tcW w:w="351" w:type="pct"/>
            <w:tcBorders>
              <w:top w:val="single" w:sz="8" w:space="0" w:color="auto"/>
              <w:left w:val="nil"/>
              <w:bottom w:val="nil"/>
              <w:right w:val="nil"/>
            </w:tcBorders>
            <w:shd w:val="clear" w:color="auto" w:fill="auto"/>
            <w:noWrap/>
            <w:vAlign w:val="center"/>
            <w:hideMark/>
          </w:tcPr>
          <w:p w14:paraId="7BA79627"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369</w:t>
            </w:r>
          </w:p>
        </w:tc>
        <w:tc>
          <w:tcPr>
            <w:tcW w:w="351" w:type="pct"/>
            <w:tcBorders>
              <w:top w:val="single" w:sz="8" w:space="0" w:color="auto"/>
              <w:left w:val="nil"/>
              <w:bottom w:val="nil"/>
              <w:right w:val="nil"/>
            </w:tcBorders>
            <w:shd w:val="clear" w:color="auto" w:fill="auto"/>
            <w:noWrap/>
            <w:vAlign w:val="center"/>
            <w:hideMark/>
          </w:tcPr>
          <w:p w14:paraId="6738474F"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457</w:t>
            </w:r>
          </w:p>
        </w:tc>
        <w:tc>
          <w:tcPr>
            <w:tcW w:w="351" w:type="pct"/>
            <w:tcBorders>
              <w:top w:val="single" w:sz="8" w:space="0" w:color="auto"/>
              <w:left w:val="nil"/>
              <w:bottom w:val="nil"/>
              <w:right w:val="nil"/>
            </w:tcBorders>
            <w:shd w:val="clear" w:color="auto" w:fill="auto"/>
            <w:noWrap/>
            <w:vAlign w:val="center"/>
            <w:hideMark/>
          </w:tcPr>
          <w:p w14:paraId="7514865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455</w:t>
            </w:r>
          </w:p>
        </w:tc>
        <w:tc>
          <w:tcPr>
            <w:tcW w:w="351" w:type="pct"/>
            <w:tcBorders>
              <w:top w:val="single" w:sz="8" w:space="0" w:color="auto"/>
              <w:left w:val="nil"/>
              <w:bottom w:val="nil"/>
              <w:right w:val="nil"/>
            </w:tcBorders>
            <w:shd w:val="clear" w:color="auto" w:fill="auto"/>
            <w:noWrap/>
            <w:vAlign w:val="center"/>
            <w:hideMark/>
          </w:tcPr>
          <w:p w14:paraId="2F721C2F"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415</w:t>
            </w:r>
          </w:p>
        </w:tc>
        <w:tc>
          <w:tcPr>
            <w:tcW w:w="351" w:type="pct"/>
            <w:tcBorders>
              <w:top w:val="single" w:sz="8" w:space="0" w:color="auto"/>
              <w:left w:val="nil"/>
              <w:bottom w:val="nil"/>
              <w:right w:val="nil"/>
            </w:tcBorders>
            <w:shd w:val="clear" w:color="auto" w:fill="auto"/>
            <w:noWrap/>
            <w:vAlign w:val="center"/>
            <w:hideMark/>
          </w:tcPr>
          <w:p w14:paraId="47AFFEA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480</w:t>
            </w:r>
          </w:p>
        </w:tc>
        <w:tc>
          <w:tcPr>
            <w:tcW w:w="347" w:type="pct"/>
            <w:tcBorders>
              <w:top w:val="single" w:sz="8" w:space="0" w:color="auto"/>
              <w:left w:val="nil"/>
              <w:bottom w:val="nil"/>
              <w:right w:val="nil"/>
            </w:tcBorders>
            <w:shd w:val="clear" w:color="auto" w:fill="auto"/>
            <w:noWrap/>
            <w:vAlign w:val="center"/>
            <w:hideMark/>
          </w:tcPr>
          <w:p w14:paraId="45C8523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523</w:t>
            </w:r>
          </w:p>
        </w:tc>
      </w:tr>
      <w:tr w:rsidR="00D14A06" w:rsidRPr="00613684" w14:paraId="55568CC2" w14:textId="77777777" w:rsidTr="00236A4A">
        <w:trPr>
          <w:trHeight w:val="397"/>
        </w:trPr>
        <w:tc>
          <w:tcPr>
            <w:tcW w:w="822" w:type="pct"/>
            <w:tcBorders>
              <w:top w:val="single" w:sz="8" w:space="0" w:color="auto"/>
              <w:left w:val="nil"/>
              <w:bottom w:val="single" w:sz="4" w:space="0" w:color="auto"/>
              <w:right w:val="nil"/>
            </w:tcBorders>
            <w:shd w:val="clear" w:color="auto" w:fill="auto"/>
            <w:vAlign w:val="center"/>
            <w:hideMark/>
          </w:tcPr>
          <w:p w14:paraId="0DF5EEB3"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přihlašovatelům ze zahraničí</w:t>
            </w:r>
          </w:p>
        </w:tc>
        <w:tc>
          <w:tcPr>
            <w:tcW w:w="323" w:type="pct"/>
            <w:tcBorders>
              <w:top w:val="single" w:sz="8" w:space="0" w:color="auto"/>
              <w:left w:val="nil"/>
              <w:bottom w:val="single" w:sz="4" w:space="0" w:color="auto"/>
              <w:right w:val="nil"/>
            </w:tcBorders>
            <w:shd w:val="clear" w:color="auto" w:fill="auto"/>
            <w:noWrap/>
            <w:vAlign w:val="center"/>
            <w:hideMark/>
          </w:tcPr>
          <w:p w14:paraId="2ED2FDB4"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počet</w:t>
            </w:r>
          </w:p>
        </w:tc>
        <w:tc>
          <w:tcPr>
            <w:tcW w:w="351" w:type="pct"/>
            <w:tcBorders>
              <w:top w:val="single" w:sz="8" w:space="0" w:color="auto"/>
              <w:left w:val="nil"/>
              <w:bottom w:val="single" w:sz="4" w:space="0" w:color="auto"/>
              <w:right w:val="nil"/>
            </w:tcBorders>
            <w:shd w:val="clear" w:color="auto" w:fill="auto"/>
            <w:noWrap/>
            <w:vAlign w:val="center"/>
            <w:hideMark/>
          </w:tcPr>
          <w:p w14:paraId="6F5BB077"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1 307</w:t>
            </w:r>
          </w:p>
        </w:tc>
        <w:tc>
          <w:tcPr>
            <w:tcW w:w="351" w:type="pct"/>
            <w:tcBorders>
              <w:top w:val="single" w:sz="8" w:space="0" w:color="auto"/>
              <w:left w:val="nil"/>
              <w:bottom w:val="single" w:sz="4" w:space="0" w:color="auto"/>
              <w:right w:val="nil"/>
            </w:tcBorders>
            <w:shd w:val="clear" w:color="auto" w:fill="auto"/>
            <w:noWrap/>
            <w:vAlign w:val="center"/>
            <w:hideMark/>
          </w:tcPr>
          <w:p w14:paraId="2B8DA96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1 712</w:t>
            </w:r>
          </w:p>
        </w:tc>
        <w:tc>
          <w:tcPr>
            <w:tcW w:w="351" w:type="pct"/>
            <w:tcBorders>
              <w:top w:val="single" w:sz="8" w:space="0" w:color="auto"/>
              <w:left w:val="nil"/>
              <w:bottom w:val="single" w:sz="4" w:space="0" w:color="auto"/>
              <w:right w:val="nil"/>
            </w:tcBorders>
            <w:shd w:val="clear" w:color="auto" w:fill="auto"/>
            <w:noWrap/>
            <w:vAlign w:val="center"/>
            <w:hideMark/>
          </w:tcPr>
          <w:p w14:paraId="74A8F57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2 055</w:t>
            </w:r>
          </w:p>
        </w:tc>
        <w:tc>
          <w:tcPr>
            <w:tcW w:w="351" w:type="pct"/>
            <w:tcBorders>
              <w:top w:val="single" w:sz="8" w:space="0" w:color="auto"/>
              <w:left w:val="nil"/>
              <w:bottom w:val="single" w:sz="4" w:space="0" w:color="auto"/>
              <w:right w:val="nil"/>
            </w:tcBorders>
            <w:shd w:val="clear" w:color="auto" w:fill="auto"/>
            <w:noWrap/>
            <w:vAlign w:val="center"/>
            <w:hideMark/>
          </w:tcPr>
          <w:p w14:paraId="10DCB0C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2 377</w:t>
            </w:r>
          </w:p>
        </w:tc>
        <w:tc>
          <w:tcPr>
            <w:tcW w:w="351" w:type="pct"/>
            <w:tcBorders>
              <w:top w:val="single" w:sz="8" w:space="0" w:color="auto"/>
              <w:left w:val="nil"/>
              <w:bottom w:val="single" w:sz="4" w:space="0" w:color="auto"/>
              <w:right w:val="nil"/>
            </w:tcBorders>
            <w:shd w:val="clear" w:color="auto" w:fill="auto"/>
            <w:noWrap/>
            <w:vAlign w:val="center"/>
            <w:hideMark/>
          </w:tcPr>
          <w:p w14:paraId="7D770CD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2 646</w:t>
            </w:r>
          </w:p>
        </w:tc>
        <w:tc>
          <w:tcPr>
            <w:tcW w:w="351" w:type="pct"/>
            <w:tcBorders>
              <w:top w:val="single" w:sz="8" w:space="0" w:color="auto"/>
              <w:left w:val="nil"/>
              <w:bottom w:val="single" w:sz="4" w:space="0" w:color="auto"/>
              <w:right w:val="nil"/>
            </w:tcBorders>
            <w:shd w:val="clear" w:color="auto" w:fill="auto"/>
            <w:noWrap/>
            <w:vAlign w:val="center"/>
            <w:hideMark/>
          </w:tcPr>
          <w:p w14:paraId="5B33D384"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3 136</w:t>
            </w:r>
          </w:p>
        </w:tc>
        <w:tc>
          <w:tcPr>
            <w:tcW w:w="351" w:type="pct"/>
            <w:tcBorders>
              <w:top w:val="single" w:sz="8" w:space="0" w:color="auto"/>
              <w:left w:val="nil"/>
              <w:bottom w:val="single" w:sz="4" w:space="0" w:color="auto"/>
              <w:right w:val="nil"/>
            </w:tcBorders>
            <w:shd w:val="clear" w:color="auto" w:fill="auto"/>
            <w:noWrap/>
            <w:vAlign w:val="center"/>
            <w:hideMark/>
          </w:tcPr>
          <w:p w14:paraId="6E46594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4 417</w:t>
            </w:r>
          </w:p>
        </w:tc>
        <w:tc>
          <w:tcPr>
            <w:tcW w:w="351" w:type="pct"/>
            <w:tcBorders>
              <w:top w:val="single" w:sz="8" w:space="0" w:color="auto"/>
              <w:left w:val="nil"/>
              <w:bottom w:val="single" w:sz="4" w:space="0" w:color="auto"/>
              <w:right w:val="nil"/>
            </w:tcBorders>
            <w:shd w:val="clear" w:color="auto" w:fill="auto"/>
            <w:noWrap/>
            <w:vAlign w:val="center"/>
            <w:hideMark/>
          </w:tcPr>
          <w:p w14:paraId="1BDBC8F8"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5 558</w:t>
            </w:r>
          </w:p>
        </w:tc>
        <w:tc>
          <w:tcPr>
            <w:tcW w:w="351" w:type="pct"/>
            <w:tcBorders>
              <w:top w:val="single" w:sz="8" w:space="0" w:color="auto"/>
              <w:left w:val="nil"/>
              <w:bottom w:val="single" w:sz="4" w:space="0" w:color="auto"/>
              <w:right w:val="nil"/>
            </w:tcBorders>
            <w:shd w:val="clear" w:color="auto" w:fill="auto"/>
            <w:noWrap/>
            <w:vAlign w:val="center"/>
            <w:hideMark/>
          </w:tcPr>
          <w:p w14:paraId="59B9935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6 255</w:t>
            </w:r>
          </w:p>
        </w:tc>
        <w:tc>
          <w:tcPr>
            <w:tcW w:w="351" w:type="pct"/>
            <w:tcBorders>
              <w:top w:val="single" w:sz="8" w:space="0" w:color="auto"/>
              <w:left w:val="nil"/>
              <w:bottom w:val="single" w:sz="4" w:space="0" w:color="auto"/>
              <w:right w:val="nil"/>
            </w:tcBorders>
            <w:shd w:val="clear" w:color="auto" w:fill="auto"/>
            <w:noWrap/>
            <w:vAlign w:val="center"/>
            <w:hideMark/>
          </w:tcPr>
          <w:p w14:paraId="3F56EBE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7 261</w:t>
            </w:r>
          </w:p>
        </w:tc>
        <w:tc>
          <w:tcPr>
            <w:tcW w:w="347" w:type="pct"/>
            <w:tcBorders>
              <w:top w:val="single" w:sz="8" w:space="0" w:color="auto"/>
              <w:left w:val="nil"/>
              <w:bottom w:val="single" w:sz="4" w:space="0" w:color="auto"/>
              <w:right w:val="nil"/>
            </w:tcBorders>
            <w:shd w:val="clear" w:color="auto" w:fill="auto"/>
            <w:noWrap/>
            <w:vAlign w:val="center"/>
            <w:hideMark/>
          </w:tcPr>
          <w:p w14:paraId="04A5526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6 904</w:t>
            </w:r>
          </w:p>
        </w:tc>
      </w:tr>
      <w:tr w:rsidR="00D14A06" w:rsidRPr="00613684" w14:paraId="02CC2E6C" w14:textId="77777777" w:rsidTr="00236A4A">
        <w:trPr>
          <w:trHeight w:val="397"/>
        </w:trPr>
        <w:tc>
          <w:tcPr>
            <w:tcW w:w="822" w:type="pct"/>
            <w:tcBorders>
              <w:top w:val="nil"/>
              <w:left w:val="nil"/>
              <w:bottom w:val="single" w:sz="8" w:space="0" w:color="auto"/>
              <w:right w:val="nil"/>
            </w:tcBorders>
            <w:shd w:val="clear" w:color="auto" w:fill="auto"/>
            <w:vAlign w:val="center"/>
            <w:hideMark/>
          </w:tcPr>
          <w:p w14:paraId="7462E4C9"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Příjmy z poskytnutých patentových licencí</w:t>
            </w:r>
          </w:p>
        </w:tc>
        <w:tc>
          <w:tcPr>
            <w:tcW w:w="323" w:type="pct"/>
            <w:tcBorders>
              <w:top w:val="nil"/>
              <w:left w:val="nil"/>
              <w:bottom w:val="single" w:sz="8" w:space="0" w:color="auto"/>
              <w:right w:val="nil"/>
            </w:tcBorders>
            <w:shd w:val="clear" w:color="auto" w:fill="auto"/>
            <w:noWrap/>
            <w:vAlign w:val="center"/>
            <w:hideMark/>
          </w:tcPr>
          <w:p w14:paraId="10EFEBF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mld. Kč</w:t>
            </w:r>
          </w:p>
        </w:tc>
        <w:tc>
          <w:tcPr>
            <w:tcW w:w="351" w:type="pct"/>
            <w:tcBorders>
              <w:top w:val="nil"/>
              <w:left w:val="nil"/>
              <w:bottom w:val="single" w:sz="8" w:space="0" w:color="auto"/>
              <w:right w:val="nil"/>
            </w:tcBorders>
            <w:shd w:val="clear" w:color="auto" w:fill="auto"/>
            <w:noWrap/>
            <w:vAlign w:val="center"/>
            <w:hideMark/>
          </w:tcPr>
          <w:p w14:paraId="5F3BD01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1.43</w:t>
            </w:r>
          </w:p>
        </w:tc>
        <w:tc>
          <w:tcPr>
            <w:tcW w:w="351" w:type="pct"/>
            <w:tcBorders>
              <w:top w:val="nil"/>
              <w:left w:val="nil"/>
              <w:bottom w:val="single" w:sz="8" w:space="0" w:color="auto"/>
              <w:right w:val="nil"/>
            </w:tcBorders>
            <w:shd w:val="clear" w:color="auto" w:fill="auto"/>
            <w:noWrap/>
            <w:vAlign w:val="center"/>
            <w:hideMark/>
          </w:tcPr>
          <w:p w14:paraId="14AA39F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1.52</w:t>
            </w:r>
          </w:p>
        </w:tc>
        <w:tc>
          <w:tcPr>
            <w:tcW w:w="351" w:type="pct"/>
            <w:tcBorders>
              <w:top w:val="nil"/>
              <w:left w:val="nil"/>
              <w:bottom w:val="single" w:sz="8" w:space="0" w:color="auto"/>
              <w:right w:val="nil"/>
            </w:tcBorders>
            <w:shd w:val="clear" w:color="auto" w:fill="auto"/>
            <w:noWrap/>
            <w:vAlign w:val="center"/>
            <w:hideMark/>
          </w:tcPr>
          <w:p w14:paraId="617EF3D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1.87</w:t>
            </w:r>
          </w:p>
        </w:tc>
        <w:tc>
          <w:tcPr>
            <w:tcW w:w="351" w:type="pct"/>
            <w:tcBorders>
              <w:top w:val="nil"/>
              <w:left w:val="nil"/>
              <w:bottom w:val="single" w:sz="8" w:space="0" w:color="auto"/>
              <w:right w:val="nil"/>
            </w:tcBorders>
            <w:shd w:val="clear" w:color="auto" w:fill="auto"/>
            <w:noWrap/>
            <w:vAlign w:val="center"/>
            <w:hideMark/>
          </w:tcPr>
          <w:p w14:paraId="5E5CD4D8"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2.29</w:t>
            </w:r>
          </w:p>
        </w:tc>
        <w:tc>
          <w:tcPr>
            <w:tcW w:w="351" w:type="pct"/>
            <w:tcBorders>
              <w:top w:val="nil"/>
              <w:left w:val="nil"/>
              <w:bottom w:val="single" w:sz="8" w:space="0" w:color="auto"/>
              <w:right w:val="nil"/>
            </w:tcBorders>
            <w:shd w:val="clear" w:color="auto" w:fill="auto"/>
            <w:noWrap/>
            <w:vAlign w:val="center"/>
            <w:hideMark/>
          </w:tcPr>
          <w:p w14:paraId="2A5E5197"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2.73</w:t>
            </w:r>
          </w:p>
        </w:tc>
        <w:tc>
          <w:tcPr>
            <w:tcW w:w="351" w:type="pct"/>
            <w:tcBorders>
              <w:top w:val="nil"/>
              <w:left w:val="nil"/>
              <w:bottom w:val="single" w:sz="8" w:space="0" w:color="auto"/>
              <w:right w:val="nil"/>
            </w:tcBorders>
            <w:shd w:val="clear" w:color="auto" w:fill="auto"/>
            <w:noWrap/>
            <w:vAlign w:val="center"/>
            <w:hideMark/>
          </w:tcPr>
          <w:p w14:paraId="7F6CCFA4"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3.32</w:t>
            </w:r>
          </w:p>
        </w:tc>
        <w:tc>
          <w:tcPr>
            <w:tcW w:w="351" w:type="pct"/>
            <w:tcBorders>
              <w:top w:val="nil"/>
              <w:left w:val="nil"/>
              <w:bottom w:val="single" w:sz="8" w:space="0" w:color="auto"/>
              <w:right w:val="nil"/>
            </w:tcBorders>
            <w:shd w:val="clear" w:color="auto" w:fill="auto"/>
            <w:noWrap/>
            <w:vAlign w:val="center"/>
            <w:hideMark/>
          </w:tcPr>
          <w:p w14:paraId="0C66B2D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3.36</w:t>
            </w:r>
          </w:p>
        </w:tc>
        <w:tc>
          <w:tcPr>
            <w:tcW w:w="351" w:type="pct"/>
            <w:tcBorders>
              <w:top w:val="nil"/>
              <w:left w:val="nil"/>
              <w:bottom w:val="single" w:sz="8" w:space="0" w:color="auto"/>
              <w:right w:val="nil"/>
            </w:tcBorders>
            <w:shd w:val="clear" w:color="auto" w:fill="auto"/>
            <w:noWrap/>
            <w:vAlign w:val="center"/>
            <w:hideMark/>
          </w:tcPr>
          <w:p w14:paraId="5AE81AC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1.93</w:t>
            </w:r>
          </w:p>
        </w:tc>
        <w:tc>
          <w:tcPr>
            <w:tcW w:w="351" w:type="pct"/>
            <w:tcBorders>
              <w:top w:val="nil"/>
              <w:left w:val="nil"/>
              <w:bottom w:val="single" w:sz="8" w:space="0" w:color="auto"/>
              <w:right w:val="nil"/>
            </w:tcBorders>
            <w:shd w:val="clear" w:color="auto" w:fill="auto"/>
            <w:noWrap/>
            <w:vAlign w:val="center"/>
            <w:hideMark/>
          </w:tcPr>
          <w:p w14:paraId="155920D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1.60</w:t>
            </w:r>
          </w:p>
        </w:tc>
        <w:tc>
          <w:tcPr>
            <w:tcW w:w="351" w:type="pct"/>
            <w:tcBorders>
              <w:top w:val="nil"/>
              <w:left w:val="nil"/>
              <w:bottom w:val="single" w:sz="8" w:space="0" w:color="auto"/>
              <w:right w:val="nil"/>
            </w:tcBorders>
            <w:shd w:val="clear" w:color="auto" w:fill="auto"/>
            <w:noWrap/>
            <w:vAlign w:val="center"/>
            <w:hideMark/>
          </w:tcPr>
          <w:p w14:paraId="174E7177"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2.17</w:t>
            </w:r>
          </w:p>
        </w:tc>
        <w:tc>
          <w:tcPr>
            <w:tcW w:w="347" w:type="pct"/>
            <w:tcBorders>
              <w:top w:val="nil"/>
              <w:left w:val="nil"/>
              <w:bottom w:val="single" w:sz="8" w:space="0" w:color="auto"/>
              <w:right w:val="nil"/>
            </w:tcBorders>
            <w:shd w:val="clear" w:color="auto" w:fill="auto"/>
            <w:noWrap/>
            <w:vAlign w:val="center"/>
            <w:hideMark/>
          </w:tcPr>
          <w:p w14:paraId="37639808"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3.05</w:t>
            </w:r>
          </w:p>
        </w:tc>
      </w:tr>
      <w:tr w:rsidR="00D14A06" w:rsidRPr="00613684" w14:paraId="7E81466B" w14:textId="77777777" w:rsidTr="00236A4A">
        <w:trPr>
          <w:trHeight w:val="397"/>
        </w:trPr>
        <w:tc>
          <w:tcPr>
            <w:tcW w:w="5000" w:type="pct"/>
            <w:gridSpan w:val="13"/>
            <w:tcBorders>
              <w:top w:val="nil"/>
              <w:left w:val="nil"/>
              <w:bottom w:val="nil"/>
              <w:right w:val="nil"/>
            </w:tcBorders>
            <w:shd w:val="clear" w:color="auto" w:fill="auto"/>
            <w:vAlign w:val="center"/>
            <w:hideMark/>
          </w:tcPr>
          <w:p w14:paraId="6E1D8B98" w14:textId="77777777" w:rsidR="00D14A06" w:rsidRPr="00613684" w:rsidRDefault="00D14A06" w:rsidP="00D14A06">
            <w:pPr>
              <w:spacing w:after="0" w:line="240" w:lineRule="auto"/>
              <w:rPr>
                <w:rFonts w:ascii="Times New Roman" w:eastAsia="Times New Roman" w:hAnsi="Times New Roman" w:cs="Times New Roman"/>
                <w:sz w:val="16"/>
                <w:szCs w:val="16"/>
                <w:lang w:eastAsia="cs-CZ"/>
              </w:rPr>
            </w:pPr>
            <w:r w:rsidRPr="00613684">
              <w:rPr>
                <w:rFonts w:ascii="Calibri" w:eastAsia="Times New Roman" w:hAnsi="Calibri" w:cs="Calibri"/>
                <w:b/>
                <w:bCs/>
                <w:color w:val="000000"/>
                <w:sz w:val="16"/>
                <w:szCs w:val="16"/>
                <w:lang w:eastAsia="cs-CZ"/>
              </w:rPr>
              <w:t>Zahraniční obchod s high-tech zbožím</w:t>
            </w:r>
          </w:p>
        </w:tc>
      </w:tr>
      <w:tr w:rsidR="00D14A06" w:rsidRPr="00613684" w14:paraId="085B0AB1" w14:textId="77777777" w:rsidTr="00236A4A">
        <w:trPr>
          <w:trHeight w:val="397"/>
        </w:trPr>
        <w:tc>
          <w:tcPr>
            <w:tcW w:w="822" w:type="pct"/>
            <w:tcBorders>
              <w:top w:val="single" w:sz="4" w:space="0" w:color="auto"/>
              <w:left w:val="nil"/>
              <w:bottom w:val="single" w:sz="4" w:space="0" w:color="auto"/>
              <w:right w:val="nil"/>
            </w:tcBorders>
            <w:shd w:val="clear" w:color="auto" w:fill="auto"/>
            <w:vAlign w:val="center"/>
            <w:hideMark/>
          </w:tcPr>
          <w:p w14:paraId="407785E9"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vývoz high-tech zboží</w:t>
            </w:r>
          </w:p>
        </w:tc>
        <w:tc>
          <w:tcPr>
            <w:tcW w:w="323" w:type="pct"/>
            <w:tcBorders>
              <w:top w:val="single" w:sz="4" w:space="0" w:color="auto"/>
              <w:left w:val="nil"/>
              <w:bottom w:val="single" w:sz="4" w:space="0" w:color="auto"/>
              <w:right w:val="nil"/>
            </w:tcBorders>
            <w:shd w:val="clear" w:color="auto" w:fill="auto"/>
            <w:noWrap/>
            <w:vAlign w:val="center"/>
            <w:hideMark/>
          </w:tcPr>
          <w:p w14:paraId="44590C0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mld. Kč</w:t>
            </w:r>
          </w:p>
        </w:tc>
        <w:tc>
          <w:tcPr>
            <w:tcW w:w="351" w:type="pct"/>
            <w:tcBorders>
              <w:top w:val="single" w:sz="4" w:space="0" w:color="auto"/>
              <w:left w:val="nil"/>
              <w:bottom w:val="single" w:sz="4" w:space="0" w:color="auto"/>
              <w:right w:val="nil"/>
            </w:tcBorders>
            <w:shd w:val="clear" w:color="auto" w:fill="auto"/>
            <w:noWrap/>
            <w:vAlign w:val="center"/>
            <w:hideMark/>
          </w:tcPr>
          <w:p w14:paraId="272FD804"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410.2</w:t>
            </w:r>
          </w:p>
        </w:tc>
        <w:tc>
          <w:tcPr>
            <w:tcW w:w="351" w:type="pct"/>
            <w:tcBorders>
              <w:top w:val="single" w:sz="4" w:space="0" w:color="auto"/>
              <w:left w:val="nil"/>
              <w:bottom w:val="single" w:sz="4" w:space="0" w:color="auto"/>
              <w:right w:val="nil"/>
            </w:tcBorders>
            <w:shd w:val="clear" w:color="auto" w:fill="auto"/>
            <w:noWrap/>
            <w:vAlign w:val="center"/>
            <w:hideMark/>
          </w:tcPr>
          <w:p w14:paraId="717ED90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476.0</w:t>
            </w:r>
          </w:p>
        </w:tc>
        <w:tc>
          <w:tcPr>
            <w:tcW w:w="351" w:type="pct"/>
            <w:tcBorders>
              <w:top w:val="single" w:sz="4" w:space="0" w:color="auto"/>
              <w:left w:val="nil"/>
              <w:bottom w:val="single" w:sz="4" w:space="0" w:color="auto"/>
              <w:right w:val="nil"/>
            </w:tcBorders>
            <w:shd w:val="clear" w:color="auto" w:fill="auto"/>
            <w:noWrap/>
            <w:vAlign w:val="center"/>
            <w:hideMark/>
          </w:tcPr>
          <w:p w14:paraId="2A580D7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501.8</w:t>
            </w:r>
          </w:p>
        </w:tc>
        <w:tc>
          <w:tcPr>
            <w:tcW w:w="351" w:type="pct"/>
            <w:tcBorders>
              <w:top w:val="single" w:sz="4" w:space="0" w:color="auto"/>
              <w:left w:val="nil"/>
              <w:bottom w:val="single" w:sz="4" w:space="0" w:color="auto"/>
              <w:right w:val="nil"/>
            </w:tcBorders>
            <w:shd w:val="clear" w:color="auto" w:fill="auto"/>
            <w:noWrap/>
            <w:vAlign w:val="center"/>
            <w:hideMark/>
          </w:tcPr>
          <w:p w14:paraId="0F09BC98"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483.2</w:t>
            </w:r>
          </w:p>
        </w:tc>
        <w:tc>
          <w:tcPr>
            <w:tcW w:w="351" w:type="pct"/>
            <w:tcBorders>
              <w:top w:val="single" w:sz="4" w:space="0" w:color="auto"/>
              <w:left w:val="nil"/>
              <w:bottom w:val="single" w:sz="4" w:space="0" w:color="auto"/>
              <w:right w:val="nil"/>
            </w:tcBorders>
            <w:shd w:val="clear" w:color="auto" w:fill="auto"/>
            <w:noWrap/>
            <w:vAlign w:val="center"/>
            <w:hideMark/>
          </w:tcPr>
          <w:p w14:paraId="0394BA5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559.8</w:t>
            </w:r>
          </w:p>
        </w:tc>
        <w:tc>
          <w:tcPr>
            <w:tcW w:w="351" w:type="pct"/>
            <w:tcBorders>
              <w:top w:val="single" w:sz="4" w:space="0" w:color="auto"/>
              <w:left w:val="nil"/>
              <w:bottom w:val="single" w:sz="4" w:space="0" w:color="auto"/>
              <w:right w:val="nil"/>
            </w:tcBorders>
            <w:shd w:val="clear" w:color="auto" w:fill="auto"/>
            <w:noWrap/>
            <w:vAlign w:val="center"/>
            <w:hideMark/>
          </w:tcPr>
          <w:p w14:paraId="7BBD21A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610.0</w:t>
            </w:r>
          </w:p>
        </w:tc>
        <w:tc>
          <w:tcPr>
            <w:tcW w:w="351" w:type="pct"/>
            <w:tcBorders>
              <w:top w:val="single" w:sz="4" w:space="0" w:color="auto"/>
              <w:left w:val="nil"/>
              <w:bottom w:val="single" w:sz="4" w:space="0" w:color="auto"/>
              <w:right w:val="nil"/>
            </w:tcBorders>
            <w:shd w:val="clear" w:color="auto" w:fill="auto"/>
            <w:noWrap/>
            <w:vAlign w:val="center"/>
            <w:hideMark/>
          </w:tcPr>
          <w:p w14:paraId="21C1B8A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604.8</w:t>
            </w:r>
          </w:p>
        </w:tc>
        <w:tc>
          <w:tcPr>
            <w:tcW w:w="351" w:type="pct"/>
            <w:tcBorders>
              <w:top w:val="single" w:sz="4" w:space="0" w:color="auto"/>
              <w:left w:val="nil"/>
              <w:bottom w:val="single" w:sz="4" w:space="0" w:color="auto"/>
              <w:right w:val="nil"/>
            </w:tcBorders>
            <w:shd w:val="clear" w:color="auto" w:fill="auto"/>
            <w:noWrap/>
            <w:vAlign w:val="center"/>
            <w:hideMark/>
          </w:tcPr>
          <w:p w14:paraId="1FD67B9F"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687.1</w:t>
            </w:r>
          </w:p>
        </w:tc>
        <w:tc>
          <w:tcPr>
            <w:tcW w:w="351" w:type="pct"/>
            <w:tcBorders>
              <w:top w:val="single" w:sz="4" w:space="0" w:color="auto"/>
              <w:left w:val="nil"/>
              <w:bottom w:val="single" w:sz="4" w:space="0" w:color="auto"/>
              <w:right w:val="nil"/>
            </w:tcBorders>
            <w:shd w:val="clear" w:color="auto" w:fill="auto"/>
            <w:noWrap/>
            <w:vAlign w:val="center"/>
            <w:hideMark/>
          </w:tcPr>
          <w:p w14:paraId="0251542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790.2</w:t>
            </w:r>
          </w:p>
        </w:tc>
        <w:tc>
          <w:tcPr>
            <w:tcW w:w="351" w:type="pct"/>
            <w:tcBorders>
              <w:top w:val="single" w:sz="4" w:space="0" w:color="auto"/>
              <w:left w:val="nil"/>
              <w:bottom w:val="single" w:sz="4" w:space="0" w:color="auto"/>
              <w:right w:val="nil"/>
            </w:tcBorders>
            <w:shd w:val="clear" w:color="auto" w:fill="auto"/>
            <w:noWrap/>
            <w:vAlign w:val="center"/>
            <w:hideMark/>
          </w:tcPr>
          <w:p w14:paraId="0515803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870.9</w:t>
            </w:r>
          </w:p>
        </w:tc>
        <w:tc>
          <w:tcPr>
            <w:tcW w:w="347" w:type="pct"/>
            <w:tcBorders>
              <w:top w:val="single" w:sz="4" w:space="0" w:color="auto"/>
              <w:left w:val="nil"/>
              <w:bottom w:val="single" w:sz="4" w:space="0" w:color="auto"/>
              <w:right w:val="nil"/>
            </w:tcBorders>
            <w:shd w:val="clear" w:color="auto" w:fill="auto"/>
            <w:noWrap/>
            <w:vAlign w:val="center"/>
            <w:hideMark/>
          </w:tcPr>
          <w:p w14:paraId="24E5362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920.6</w:t>
            </w:r>
          </w:p>
        </w:tc>
      </w:tr>
      <w:tr w:rsidR="00D14A06" w:rsidRPr="00613684" w14:paraId="2B110502" w14:textId="77777777" w:rsidTr="00236A4A">
        <w:trPr>
          <w:trHeight w:val="397"/>
        </w:trPr>
        <w:tc>
          <w:tcPr>
            <w:tcW w:w="822" w:type="pct"/>
            <w:tcBorders>
              <w:top w:val="single" w:sz="4" w:space="0" w:color="auto"/>
              <w:left w:val="nil"/>
              <w:bottom w:val="nil"/>
              <w:right w:val="nil"/>
            </w:tcBorders>
            <w:shd w:val="clear" w:color="auto" w:fill="auto"/>
            <w:vAlign w:val="center"/>
            <w:hideMark/>
          </w:tcPr>
          <w:p w14:paraId="27B5EA0D"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podíl na celkovém vývozu zboží ČR</w:t>
            </w:r>
          </w:p>
        </w:tc>
        <w:tc>
          <w:tcPr>
            <w:tcW w:w="323" w:type="pct"/>
            <w:tcBorders>
              <w:top w:val="single" w:sz="4" w:space="0" w:color="auto"/>
              <w:left w:val="nil"/>
              <w:bottom w:val="nil"/>
              <w:right w:val="nil"/>
            </w:tcBorders>
            <w:shd w:val="clear" w:color="auto" w:fill="auto"/>
            <w:noWrap/>
            <w:vAlign w:val="center"/>
            <w:hideMark/>
          </w:tcPr>
          <w:p w14:paraId="08E0CA5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w:t>
            </w:r>
          </w:p>
        </w:tc>
        <w:tc>
          <w:tcPr>
            <w:tcW w:w="351" w:type="pct"/>
            <w:tcBorders>
              <w:top w:val="single" w:sz="4" w:space="0" w:color="auto"/>
              <w:left w:val="nil"/>
              <w:bottom w:val="nil"/>
              <w:right w:val="nil"/>
            </w:tcBorders>
            <w:shd w:val="clear" w:color="auto" w:fill="auto"/>
            <w:noWrap/>
            <w:vAlign w:val="center"/>
            <w:hideMark/>
          </w:tcPr>
          <w:p w14:paraId="32BED34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16.20</w:t>
            </w:r>
          </w:p>
        </w:tc>
        <w:tc>
          <w:tcPr>
            <w:tcW w:w="351" w:type="pct"/>
            <w:tcBorders>
              <w:top w:val="single" w:sz="4" w:space="0" w:color="auto"/>
              <w:left w:val="nil"/>
              <w:bottom w:val="nil"/>
              <w:right w:val="nil"/>
            </w:tcBorders>
            <w:shd w:val="clear" w:color="auto" w:fill="auto"/>
            <w:noWrap/>
            <w:vAlign w:val="center"/>
            <w:hideMark/>
          </w:tcPr>
          <w:p w14:paraId="5DBCAD1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16.53</w:t>
            </w:r>
          </w:p>
        </w:tc>
        <w:tc>
          <w:tcPr>
            <w:tcW w:w="351" w:type="pct"/>
            <w:tcBorders>
              <w:top w:val="single" w:sz="4" w:space="0" w:color="auto"/>
              <w:left w:val="nil"/>
              <w:bottom w:val="nil"/>
              <w:right w:val="nil"/>
            </w:tcBorders>
            <w:shd w:val="clear" w:color="auto" w:fill="auto"/>
            <w:noWrap/>
            <w:vAlign w:val="center"/>
            <w:hideMark/>
          </w:tcPr>
          <w:p w14:paraId="2A4A10F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16.33</w:t>
            </w:r>
          </w:p>
        </w:tc>
        <w:tc>
          <w:tcPr>
            <w:tcW w:w="351" w:type="pct"/>
            <w:tcBorders>
              <w:top w:val="single" w:sz="4" w:space="0" w:color="auto"/>
              <w:left w:val="nil"/>
              <w:bottom w:val="nil"/>
              <w:right w:val="nil"/>
            </w:tcBorders>
            <w:shd w:val="clear" w:color="auto" w:fill="auto"/>
            <w:noWrap/>
            <w:vAlign w:val="center"/>
            <w:hideMark/>
          </w:tcPr>
          <w:p w14:paraId="767959DF"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15.22</w:t>
            </w:r>
          </w:p>
        </w:tc>
        <w:tc>
          <w:tcPr>
            <w:tcW w:w="351" w:type="pct"/>
            <w:tcBorders>
              <w:top w:val="single" w:sz="4" w:space="0" w:color="auto"/>
              <w:left w:val="nil"/>
              <w:bottom w:val="nil"/>
              <w:right w:val="nil"/>
            </w:tcBorders>
            <w:shd w:val="clear" w:color="auto" w:fill="auto"/>
            <w:noWrap/>
            <w:vAlign w:val="center"/>
            <w:hideMark/>
          </w:tcPr>
          <w:p w14:paraId="2879BC2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15.43</w:t>
            </w:r>
          </w:p>
        </w:tc>
        <w:tc>
          <w:tcPr>
            <w:tcW w:w="351" w:type="pct"/>
            <w:tcBorders>
              <w:top w:val="single" w:sz="4" w:space="0" w:color="auto"/>
              <w:left w:val="nil"/>
              <w:bottom w:val="nil"/>
              <w:right w:val="nil"/>
            </w:tcBorders>
            <w:shd w:val="clear" w:color="auto" w:fill="auto"/>
            <w:noWrap/>
            <w:vAlign w:val="center"/>
            <w:hideMark/>
          </w:tcPr>
          <w:p w14:paraId="613496B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15.71</w:t>
            </w:r>
          </w:p>
        </w:tc>
        <w:tc>
          <w:tcPr>
            <w:tcW w:w="351" w:type="pct"/>
            <w:tcBorders>
              <w:top w:val="single" w:sz="4" w:space="0" w:color="auto"/>
              <w:left w:val="nil"/>
              <w:bottom w:val="nil"/>
              <w:right w:val="nil"/>
            </w:tcBorders>
            <w:shd w:val="clear" w:color="auto" w:fill="auto"/>
            <w:noWrap/>
            <w:vAlign w:val="center"/>
            <w:hideMark/>
          </w:tcPr>
          <w:p w14:paraId="39869CD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15.22</w:t>
            </w:r>
          </w:p>
        </w:tc>
        <w:tc>
          <w:tcPr>
            <w:tcW w:w="351" w:type="pct"/>
            <w:tcBorders>
              <w:top w:val="single" w:sz="4" w:space="0" w:color="auto"/>
              <w:left w:val="nil"/>
              <w:bottom w:val="nil"/>
              <w:right w:val="nil"/>
            </w:tcBorders>
            <w:shd w:val="clear" w:color="auto" w:fill="auto"/>
            <w:noWrap/>
            <w:vAlign w:val="center"/>
            <w:hideMark/>
          </w:tcPr>
          <w:p w14:paraId="7C3B739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16.19</w:t>
            </w:r>
          </w:p>
        </w:tc>
        <w:tc>
          <w:tcPr>
            <w:tcW w:w="351" w:type="pct"/>
            <w:tcBorders>
              <w:top w:val="single" w:sz="4" w:space="0" w:color="auto"/>
              <w:left w:val="nil"/>
              <w:bottom w:val="nil"/>
              <w:right w:val="nil"/>
            </w:tcBorders>
            <w:shd w:val="clear" w:color="auto" w:fill="auto"/>
            <w:noWrap/>
            <w:vAlign w:val="center"/>
            <w:hideMark/>
          </w:tcPr>
          <w:p w14:paraId="0FCF3EE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17.94</w:t>
            </w:r>
          </w:p>
        </w:tc>
        <w:tc>
          <w:tcPr>
            <w:tcW w:w="351" w:type="pct"/>
            <w:tcBorders>
              <w:top w:val="single" w:sz="4" w:space="0" w:color="auto"/>
              <w:left w:val="nil"/>
              <w:bottom w:val="nil"/>
              <w:right w:val="nil"/>
            </w:tcBorders>
            <w:shd w:val="clear" w:color="auto" w:fill="auto"/>
            <w:noWrap/>
            <w:vAlign w:val="center"/>
            <w:hideMark/>
          </w:tcPr>
          <w:p w14:paraId="1CAC067F"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19.02</w:t>
            </w:r>
          </w:p>
        </w:tc>
        <w:tc>
          <w:tcPr>
            <w:tcW w:w="347" w:type="pct"/>
            <w:tcBorders>
              <w:top w:val="single" w:sz="4" w:space="0" w:color="auto"/>
              <w:left w:val="nil"/>
              <w:bottom w:val="nil"/>
              <w:right w:val="nil"/>
            </w:tcBorders>
            <w:shd w:val="clear" w:color="auto" w:fill="auto"/>
            <w:noWrap/>
            <w:vAlign w:val="center"/>
            <w:hideMark/>
          </w:tcPr>
          <w:p w14:paraId="0E81F7E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20.72</w:t>
            </w:r>
          </w:p>
        </w:tc>
      </w:tr>
      <w:tr w:rsidR="00D14A06" w:rsidRPr="00613684" w14:paraId="473FA747" w14:textId="77777777" w:rsidTr="00236A4A">
        <w:trPr>
          <w:trHeight w:val="397"/>
        </w:trPr>
        <w:tc>
          <w:tcPr>
            <w:tcW w:w="822" w:type="pct"/>
            <w:tcBorders>
              <w:top w:val="single" w:sz="4" w:space="0" w:color="auto"/>
              <w:left w:val="nil"/>
              <w:bottom w:val="single" w:sz="4" w:space="0" w:color="auto"/>
              <w:right w:val="nil"/>
            </w:tcBorders>
            <w:shd w:val="clear" w:color="auto" w:fill="auto"/>
            <w:vAlign w:val="center"/>
            <w:hideMark/>
          </w:tcPr>
          <w:p w14:paraId="46F9E343"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dovoz high-tech zboží</w:t>
            </w:r>
          </w:p>
        </w:tc>
        <w:tc>
          <w:tcPr>
            <w:tcW w:w="323" w:type="pct"/>
            <w:tcBorders>
              <w:top w:val="single" w:sz="4" w:space="0" w:color="auto"/>
              <w:left w:val="nil"/>
              <w:bottom w:val="single" w:sz="4" w:space="0" w:color="auto"/>
              <w:right w:val="nil"/>
            </w:tcBorders>
            <w:shd w:val="clear" w:color="auto" w:fill="auto"/>
            <w:noWrap/>
            <w:vAlign w:val="center"/>
            <w:hideMark/>
          </w:tcPr>
          <w:p w14:paraId="7B904A64"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mld. Kč</w:t>
            </w:r>
          </w:p>
        </w:tc>
        <w:tc>
          <w:tcPr>
            <w:tcW w:w="351" w:type="pct"/>
            <w:tcBorders>
              <w:top w:val="single" w:sz="4" w:space="0" w:color="auto"/>
              <w:left w:val="nil"/>
              <w:bottom w:val="single" w:sz="4" w:space="0" w:color="auto"/>
              <w:right w:val="nil"/>
            </w:tcBorders>
            <w:shd w:val="clear" w:color="auto" w:fill="auto"/>
            <w:noWrap/>
            <w:vAlign w:val="center"/>
            <w:hideMark/>
          </w:tcPr>
          <w:p w14:paraId="6982E25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462.3</w:t>
            </w:r>
          </w:p>
        </w:tc>
        <w:tc>
          <w:tcPr>
            <w:tcW w:w="351" w:type="pct"/>
            <w:tcBorders>
              <w:top w:val="single" w:sz="4" w:space="0" w:color="auto"/>
              <w:left w:val="nil"/>
              <w:bottom w:val="single" w:sz="4" w:space="0" w:color="auto"/>
              <w:right w:val="nil"/>
            </w:tcBorders>
            <w:shd w:val="clear" w:color="auto" w:fill="auto"/>
            <w:noWrap/>
            <w:vAlign w:val="center"/>
            <w:hideMark/>
          </w:tcPr>
          <w:p w14:paraId="5D3272A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473.6</w:t>
            </w:r>
          </w:p>
        </w:tc>
        <w:tc>
          <w:tcPr>
            <w:tcW w:w="351" w:type="pct"/>
            <w:tcBorders>
              <w:top w:val="single" w:sz="4" w:space="0" w:color="auto"/>
              <w:left w:val="nil"/>
              <w:bottom w:val="single" w:sz="4" w:space="0" w:color="auto"/>
              <w:right w:val="nil"/>
            </w:tcBorders>
            <w:shd w:val="clear" w:color="auto" w:fill="auto"/>
            <w:noWrap/>
            <w:vAlign w:val="center"/>
            <w:hideMark/>
          </w:tcPr>
          <w:p w14:paraId="736485D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474.1</w:t>
            </w:r>
          </w:p>
        </w:tc>
        <w:tc>
          <w:tcPr>
            <w:tcW w:w="351" w:type="pct"/>
            <w:tcBorders>
              <w:top w:val="single" w:sz="4" w:space="0" w:color="auto"/>
              <w:left w:val="nil"/>
              <w:bottom w:val="single" w:sz="4" w:space="0" w:color="auto"/>
              <w:right w:val="nil"/>
            </w:tcBorders>
            <w:shd w:val="clear" w:color="auto" w:fill="auto"/>
            <w:noWrap/>
            <w:vAlign w:val="center"/>
            <w:hideMark/>
          </w:tcPr>
          <w:p w14:paraId="726EA26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465.5</w:t>
            </w:r>
          </w:p>
        </w:tc>
        <w:tc>
          <w:tcPr>
            <w:tcW w:w="351" w:type="pct"/>
            <w:tcBorders>
              <w:top w:val="single" w:sz="4" w:space="0" w:color="auto"/>
              <w:left w:val="nil"/>
              <w:bottom w:val="single" w:sz="4" w:space="0" w:color="auto"/>
              <w:right w:val="nil"/>
            </w:tcBorders>
            <w:shd w:val="clear" w:color="auto" w:fill="auto"/>
            <w:noWrap/>
            <w:vAlign w:val="center"/>
            <w:hideMark/>
          </w:tcPr>
          <w:p w14:paraId="19583C08"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546.2</w:t>
            </w:r>
          </w:p>
        </w:tc>
        <w:tc>
          <w:tcPr>
            <w:tcW w:w="351" w:type="pct"/>
            <w:tcBorders>
              <w:top w:val="single" w:sz="4" w:space="0" w:color="auto"/>
              <w:left w:val="nil"/>
              <w:bottom w:val="single" w:sz="4" w:space="0" w:color="auto"/>
              <w:right w:val="nil"/>
            </w:tcBorders>
            <w:shd w:val="clear" w:color="auto" w:fill="auto"/>
            <w:noWrap/>
            <w:vAlign w:val="center"/>
            <w:hideMark/>
          </w:tcPr>
          <w:p w14:paraId="6903BBD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648.3</w:t>
            </w:r>
          </w:p>
        </w:tc>
        <w:tc>
          <w:tcPr>
            <w:tcW w:w="351" w:type="pct"/>
            <w:tcBorders>
              <w:top w:val="single" w:sz="4" w:space="0" w:color="auto"/>
              <w:left w:val="nil"/>
              <w:bottom w:val="single" w:sz="4" w:space="0" w:color="auto"/>
              <w:right w:val="nil"/>
            </w:tcBorders>
            <w:shd w:val="clear" w:color="auto" w:fill="auto"/>
            <w:noWrap/>
            <w:vAlign w:val="center"/>
            <w:hideMark/>
          </w:tcPr>
          <w:p w14:paraId="4F495AF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602.8</w:t>
            </w:r>
          </w:p>
        </w:tc>
        <w:tc>
          <w:tcPr>
            <w:tcW w:w="351" w:type="pct"/>
            <w:tcBorders>
              <w:top w:val="single" w:sz="4" w:space="0" w:color="auto"/>
              <w:left w:val="nil"/>
              <w:bottom w:val="single" w:sz="4" w:space="0" w:color="auto"/>
              <w:right w:val="nil"/>
            </w:tcBorders>
            <w:shd w:val="clear" w:color="auto" w:fill="auto"/>
            <w:noWrap/>
            <w:vAlign w:val="center"/>
            <w:hideMark/>
          </w:tcPr>
          <w:p w14:paraId="4C34140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706.7</w:t>
            </w:r>
          </w:p>
        </w:tc>
        <w:tc>
          <w:tcPr>
            <w:tcW w:w="351" w:type="pct"/>
            <w:tcBorders>
              <w:top w:val="single" w:sz="4" w:space="0" w:color="auto"/>
              <w:left w:val="nil"/>
              <w:bottom w:val="single" w:sz="4" w:space="0" w:color="auto"/>
              <w:right w:val="nil"/>
            </w:tcBorders>
            <w:shd w:val="clear" w:color="auto" w:fill="auto"/>
            <w:noWrap/>
            <w:vAlign w:val="center"/>
            <w:hideMark/>
          </w:tcPr>
          <w:p w14:paraId="04F1C11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811.9</w:t>
            </w:r>
          </w:p>
        </w:tc>
        <w:tc>
          <w:tcPr>
            <w:tcW w:w="351" w:type="pct"/>
            <w:tcBorders>
              <w:top w:val="single" w:sz="4" w:space="0" w:color="auto"/>
              <w:left w:val="nil"/>
              <w:bottom w:val="single" w:sz="4" w:space="0" w:color="auto"/>
              <w:right w:val="nil"/>
            </w:tcBorders>
            <w:shd w:val="clear" w:color="auto" w:fill="auto"/>
            <w:noWrap/>
            <w:vAlign w:val="center"/>
            <w:hideMark/>
          </w:tcPr>
          <w:p w14:paraId="49885F3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869.7</w:t>
            </w:r>
          </w:p>
        </w:tc>
        <w:tc>
          <w:tcPr>
            <w:tcW w:w="347" w:type="pct"/>
            <w:tcBorders>
              <w:top w:val="single" w:sz="4" w:space="0" w:color="auto"/>
              <w:left w:val="nil"/>
              <w:bottom w:val="single" w:sz="4" w:space="0" w:color="auto"/>
              <w:right w:val="nil"/>
            </w:tcBorders>
            <w:shd w:val="clear" w:color="auto" w:fill="auto"/>
            <w:noWrap/>
            <w:vAlign w:val="center"/>
            <w:hideMark/>
          </w:tcPr>
          <w:p w14:paraId="0FB8FFF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934.8</w:t>
            </w:r>
          </w:p>
        </w:tc>
      </w:tr>
      <w:tr w:rsidR="00D14A06" w:rsidRPr="00613684" w14:paraId="20E11B22" w14:textId="77777777" w:rsidTr="00236A4A">
        <w:trPr>
          <w:trHeight w:val="397"/>
        </w:trPr>
        <w:tc>
          <w:tcPr>
            <w:tcW w:w="822" w:type="pct"/>
            <w:tcBorders>
              <w:top w:val="single" w:sz="4" w:space="0" w:color="auto"/>
              <w:left w:val="nil"/>
              <w:bottom w:val="nil"/>
              <w:right w:val="nil"/>
            </w:tcBorders>
            <w:shd w:val="clear" w:color="auto" w:fill="auto"/>
            <w:vAlign w:val="center"/>
            <w:hideMark/>
          </w:tcPr>
          <w:p w14:paraId="700129C1" w14:textId="77777777" w:rsidR="00D14A06" w:rsidRPr="00613684" w:rsidRDefault="00D14A06" w:rsidP="00D14A06">
            <w:pPr>
              <w:spacing w:after="0" w:line="240" w:lineRule="auto"/>
              <w:ind w:firstLineChars="100" w:firstLine="160"/>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podíl na celkovém dovozu zboží ČR</w:t>
            </w:r>
          </w:p>
        </w:tc>
        <w:tc>
          <w:tcPr>
            <w:tcW w:w="323" w:type="pct"/>
            <w:tcBorders>
              <w:top w:val="single" w:sz="4" w:space="0" w:color="auto"/>
              <w:left w:val="nil"/>
              <w:bottom w:val="nil"/>
              <w:right w:val="nil"/>
            </w:tcBorders>
            <w:shd w:val="clear" w:color="auto" w:fill="auto"/>
            <w:noWrap/>
            <w:vAlign w:val="center"/>
            <w:hideMark/>
          </w:tcPr>
          <w:p w14:paraId="77ABBE9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w:t>
            </w:r>
          </w:p>
        </w:tc>
        <w:tc>
          <w:tcPr>
            <w:tcW w:w="351" w:type="pct"/>
            <w:tcBorders>
              <w:top w:val="single" w:sz="4" w:space="0" w:color="auto"/>
              <w:left w:val="nil"/>
              <w:bottom w:val="nil"/>
              <w:right w:val="nil"/>
            </w:tcBorders>
            <w:shd w:val="clear" w:color="auto" w:fill="auto"/>
            <w:noWrap/>
            <w:vAlign w:val="center"/>
            <w:hideMark/>
          </w:tcPr>
          <w:p w14:paraId="12BB428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19.17</w:t>
            </w:r>
          </w:p>
        </w:tc>
        <w:tc>
          <w:tcPr>
            <w:tcW w:w="351" w:type="pct"/>
            <w:tcBorders>
              <w:top w:val="single" w:sz="4" w:space="0" w:color="auto"/>
              <w:left w:val="nil"/>
              <w:bottom w:val="nil"/>
              <w:right w:val="nil"/>
            </w:tcBorders>
            <w:shd w:val="clear" w:color="auto" w:fill="auto"/>
            <w:noWrap/>
            <w:vAlign w:val="center"/>
            <w:hideMark/>
          </w:tcPr>
          <w:p w14:paraId="34F329C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17.62</w:t>
            </w:r>
          </w:p>
        </w:tc>
        <w:tc>
          <w:tcPr>
            <w:tcW w:w="351" w:type="pct"/>
            <w:tcBorders>
              <w:top w:val="single" w:sz="4" w:space="0" w:color="auto"/>
              <w:left w:val="nil"/>
              <w:bottom w:val="nil"/>
              <w:right w:val="nil"/>
            </w:tcBorders>
            <w:shd w:val="clear" w:color="auto" w:fill="auto"/>
            <w:noWrap/>
            <w:vAlign w:val="center"/>
            <w:hideMark/>
          </w:tcPr>
          <w:p w14:paraId="6F95914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17.13</w:t>
            </w:r>
          </w:p>
        </w:tc>
        <w:tc>
          <w:tcPr>
            <w:tcW w:w="351" w:type="pct"/>
            <w:tcBorders>
              <w:top w:val="single" w:sz="4" w:space="0" w:color="auto"/>
              <w:left w:val="nil"/>
              <w:bottom w:val="nil"/>
              <w:right w:val="nil"/>
            </w:tcBorders>
            <w:shd w:val="clear" w:color="auto" w:fill="auto"/>
            <w:noWrap/>
            <w:vAlign w:val="center"/>
            <w:hideMark/>
          </w:tcPr>
          <w:p w14:paraId="57F230A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16.49</w:t>
            </w:r>
          </w:p>
        </w:tc>
        <w:tc>
          <w:tcPr>
            <w:tcW w:w="351" w:type="pct"/>
            <w:tcBorders>
              <w:top w:val="single" w:sz="4" w:space="0" w:color="auto"/>
              <w:left w:val="nil"/>
              <w:bottom w:val="nil"/>
              <w:right w:val="nil"/>
            </w:tcBorders>
            <w:shd w:val="clear" w:color="auto" w:fill="auto"/>
            <w:noWrap/>
            <w:vAlign w:val="center"/>
            <w:hideMark/>
          </w:tcPr>
          <w:p w14:paraId="01420A0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17.07</w:t>
            </w:r>
          </w:p>
        </w:tc>
        <w:tc>
          <w:tcPr>
            <w:tcW w:w="351" w:type="pct"/>
            <w:tcBorders>
              <w:top w:val="single" w:sz="4" w:space="0" w:color="auto"/>
              <w:left w:val="nil"/>
              <w:bottom w:val="nil"/>
              <w:right w:val="nil"/>
            </w:tcBorders>
            <w:shd w:val="clear" w:color="auto" w:fill="auto"/>
            <w:noWrap/>
            <w:vAlign w:val="center"/>
            <w:hideMark/>
          </w:tcPr>
          <w:p w14:paraId="5D879CB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18.64</w:t>
            </w:r>
          </w:p>
        </w:tc>
        <w:tc>
          <w:tcPr>
            <w:tcW w:w="351" w:type="pct"/>
            <w:tcBorders>
              <w:top w:val="single" w:sz="4" w:space="0" w:color="auto"/>
              <w:left w:val="nil"/>
              <w:bottom w:val="nil"/>
              <w:right w:val="nil"/>
            </w:tcBorders>
            <w:shd w:val="clear" w:color="auto" w:fill="auto"/>
            <w:noWrap/>
            <w:vAlign w:val="center"/>
            <w:hideMark/>
          </w:tcPr>
          <w:p w14:paraId="3692E63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17.25</w:t>
            </w:r>
          </w:p>
        </w:tc>
        <w:tc>
          <w:tcPr>
            <w:tcW w:w="351" w:type="pct"/>
            <w:tcBorders>
              <w:top w:val="single" w:sz="4" w:space="0" w:color="auto"/>
              <w:left w:val="nil"/>
              <w:bottom w:val="nil"/>
              <w:right w:val="nil"/>
            </w:tcBorders>
            <w:shd w:val="clear" w:color="auto" w:fill="auto"/>
            <w:noWrap/>
            <w:vAlign w:val="center"/>
            <w:hideMark/>
          </w:tcPr>
          <w:p w14:paraId="3C971FA7"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18.59</w:t>
            </w:r>
          </w:p>
        </w:tc>
        <w:tc>
          <w:tcPr>
            <w:tcW w:w="351" w:type="pct"/>
            <w:tcBorders>
              <w:top w:val="single" w:sz="4" w:space="0" w:color="auto"/>
              <w:left w:val="nil"/>
              <w:bottom w:val="nil"/>
              <w:right w:val="nil"/>
            </w:tcBorders>
            <w:shd w:val="clear" w:color="auto" w:fill="auto"/>
            <w:noWrap/>
            <w:vAlign w:val="center"/>
            <w:hideMark/>
          </w:tcPr>
          <w:p w14:paraId="0CA628AE"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20.18</w:t>
            </w:r>
          </w:p>
        </w:tc>
        <w:tc>
          <w:tcPr>
            <w:tcW w:w="351" w:type="pct"/>
            <w:tcBorders>
              <w:top w:val="single" w:sz="4" w:space="0" w:color="auto"/>
              <w:left w:val="nil"/>
              <w:bottom w:val="nil"/>
              <w:right w:val="nil"/>
            </w:tcBorders>
            <w:shd w:val="clear" w:color="auto" w:fill="auto"/>
            <w:noWrap/>
            <w:vAlign w:val="center"/>
            <w:hideMark/>
          </w:tcPr>
          <w:p w14:paraId="5D735AF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21.12</w:t>
            </w:r>
          </w:p>
        </w:tc>
        <w:tc>
          <w:tcPr>
            <w:tcW w:w="347" w:type="pct"/>
            <w:tcBorders>
              <w:top w:val="single" w:sz="4" w:space="0" w:color="auto"/>
              <w:left w:val="nil"/>
              <w:bottom w:val="nil"/>
              <w:right w:val="nil"/>
            </w:tcBorders>
            <w:shd w:val="clear" w:color="auto" w:fill="auto"/>
            <w:noWrap/>
            <w:vAlign w:val="center"/>
            <w:hideMark/>
          </w:tcPr>
          <w:p w14:paraId="2D75F267"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23.66</w:t>
            </w:r>
          </w:p>
        </w:tc>
      </w:tr>
      <w:tr w:rsidR="00D14A06" w:rsidRPr="00613684" w14:paraId="639FD81A" w14:textId="77777777" w:rsidTr="00236A4A">
        <w:trPr>
          <w:trHeight w:val="397"/>
        </w:trPr>
        <w:tc>
          <w:tcPr>
            <w:tcW w:w="822" w:type="pct"/>
            <w:tcBorders>
              <w:top w:val="single" w:sz="8" w:space="0" w:color="auto"/>
              <w:left w:val="nil"/>
              <w:bottom w:val="single" w:sz="8" w:space="0" w:color="auto"/>
              <w:right w:val="nil"/>
            </w:tcBorders>
            <w:shd w:val="clear" w:color="auto" w:fill="F2F2F2" w:themeFill="background1" w:themeFillShade="F2"/>
            <w:noWrap/>
            <w:vAlign w:val="center"/>
            <w:hideMark/>
          </w:tcPr>
          <w:p w14:paraId="76DAA64A"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meziroční změny</w:t>
            </w:r>
          </w:p>
        </w:tc>
        <w:tc>
          <w:tcPr>
            <w:tcW w:w="323" w:type="pct"/>
            <w:tcBorders>
              <w:top w:val="single" w:sz="8" w:space="0" w:color="auto"/>
              <w:left w:val="nil"/>
              <w:bottom w:val="single" w:sz="8" w:space="0" w:color="auto"/>
              <w:right w:val="nil"/>
            </w:tcBorders>
            <w:shd w:val="clear" w:color="auto" w:fill="F2F2F2" w:themeFill="background1" w:themeFillShade="F2"/>
            <w:noWrap/>
            <w:vAlign w:val="center"/>
            <w:hideMark/>
          </w:tcPr>
          <w:p w14:paraId="3D2A54E7"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 </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1C07EAAD"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 </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76C2B0A2"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11/10</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25FF2320"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12/11</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47F3483C"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13/12</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5B26F5D2"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14/13</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00B152D5"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15/14</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2DC36B2E"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16/15</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3CF38739"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17/16</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65976DEF"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18/17</w:t>
            </w:r>
          </w:p>
        </w:tc>
        <w:tc>
          <w:tcPr>
            <w:tcW w:w="351" w:type="pct"/>
            <w:tcBorders>
              <w:top w:val="single" w:sz="8" w:space="0" w:color="auto"/>
              <w:left w:val="nil"/>
              <w:bottom w:val="single" w:sz="8" w:space="0" w:color="auto"/>
              <w:right w:val="nil"/>
            </w:tcBorders>
            <w:shd w:val="clear" w:color="auto" w:fill="F2F2F2" w:themeFill="background1" w:themeFillShade="F2"/>
            <w:noWrap/>
            <w:vAlign w:val="center"/>
            <w:hideMark/>
          </w:tcPr>
          <w:p w14:paraId="7D615245"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19/18</w:t>
            </w:r>
          </w:p>
        </w:tc>
        <w:tc>
          <w:tcPr>
            <w:tcW w:w="347" w:type="pct"/>
            <w:tcBorders>
              <w:top w:val="single" w:sz="8" w:space="0" w:color="auto"/>
              <w:left w:val="nil"/>
              <w:bottom w:val="single" w:sz="8" w:space="0" w:color="auto"/>
              <w:right w:val="nil"/>
            </w:tcBorders>
            <w:shd w:val="clear" w:color="auto" w:fill="F2F2F2" w:themeFill="background1" w:themeFillShade="F2"/>
            <w:noWrap/>
            <w:vAlign w:val="center"/>
            <w:hideMark/>
          </w:tcPr>
          <w:p w14:paraId="199E2937" w14:textId="77777777" w:rsidR="00D14A06" w:rsidRPr="00613684" w:rsidRDefault="00D14A06" w:rsidP="00D14A06">
            <w:pPr>
              <w:spacing w:after="0" w:line="240" w:lineRule="auto"/>
              <w:jc w:val="center"/>
              <w:rPr>
                <w:rFonts w:ascii="Calibri" w:eastAsia="Times New Roman" w:hAnsi="Calibri" w:cs="Calibri"/>
                <w:b/>
                <w:bCs/>
                <w:color w:val="000000"/>
                <w:sz w:val="16"/>
                <w:szCs w:val="16"/>
                <w:lang w:eastAsia="cs-CZ"/>
              </w:rPr>
            </w:pPr>
            <w:r w:rsidRPr="00613684">
              <w:rPr>
                <w:rFonts w:ascii="Calibri" w:eastAsia="Times New Roman" w:hAnsi="Calibri" w:cs="Calibri"/>
                <w:b/>
                <w:bCs/>
                <w:color w:val="000000"/>
                <w:sz w:val="16"/>
                <w:szCs w:val="16"/>
                <w:lang w:eastAsia="cs-CZ"/>
              </w:rPr>
              <w:t>20/19</w:t>
            </w:r>
          </w:p>
        </w:tc>
      </w:tr>
      <w:tr w:rsidR="00D14A06" w:rsidRPr="00613684" w14:paraId="4205792C" w14:textId="77777777" w:rsidTr="00236A4A">
        <w:trPr>
          <w:trHeight w:val="397"/>
        </w:trPr>
        <w:tc>
          <w:tcPr>
            <w:tcW w:w="822" w:type="pct"/>
            <w:tcBorders>
              <w:top w:val="nil"/>
              <w:left w:val="nil"/>
              <w:bottom w:val="single" w:sz="4" w:space="0" w:color="auto"/>
              <w:right w:val="nil"/>
            </w:tcBorders>
            <w:shd w:val="clear" w:color="auto" w:fill="auto"/>
            <w:noWrap/>
            <w:vAlign w:val="center"/>
            <w:hideMark/>
          </w:tcPr>
          <w:p w14:paraId="06325556"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celkové výdaje na VaV</w:t>
            </w:r>
          </w:p>
        </w:tc>
        <w:tc>
          <w:tcPr>
            <w:tcW w:w="323" w:type="pct"/>
            <w:tcBorders>
              <w:top w:val="nil"/>
              <w:left w:val="nil"/>
              <w:bottom w:val="single" w:sz="4" w:space="0" w:color="auto"/>
              <w:right w:val="nil"/>
            </w:tcBorders>
            <w:shd w:val="clear" w:color="auto" w:fill="auto"/>
            <w:noWrap/>
            <w:vAlign w:val="center"/>
            <w:hideMark/>
          </w:tcPr>
          <w:p w14:paraId="5400695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w:t>
            </w:r>
          </w:p>
        </w:tc>
        <w:tc>
          <w:tcPr>
            <w:tcW w:w="351" w:type="pct"/>
            <w:tcBorders>
              <w:top w:val="nil"/>
              <w:left w:val="nil"/>
              <w:bottom w:val="single" w:sz="4" w:space="0" w:color="auto"/>
              <w:right w:val="nil"/>
            </w:tcBorders>
            <w:shd w:val="clear" w:color="auto" w:fill="auto"/>
            <w:noWrap/>
            <w:vAlign w:val="center"/>
            <w:hideMark/>
          </w:tcPr>
          <w:p w14:paraId="2ED5B85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p>
        </w:tc>
        <w:tc>
          <w:tcPr>
            <w:tcW w:w="351" w:type="pct"/>
            <w:tcBorders>
              <w:top w:val="nil"/>
              <w:left w:val="nil"/>
              <w:bottom w:val="single" w:sz="4" w:space="0" w:color="auto"/>
              <w:right w:val="nil"/>
            </w:tcBorders>
            <w:shd w:val="clear" w:color="auto" w:fill="auto"/>
            <w:noWrap/>
            <w:vAlign w:val="center"/>
            <w:hideMark/>
          </w:tcPr>
          <w:p w14:paraId="580DF95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18.46</w:t>
            </w:r>
          </w:p>
        </w:tc>
        <w:tc>
          <w:tcPr>
            <w:tcW w:w="351" w:type="pct"/>
            <w:tcBorders>
              <w:top w:val="nil"/>
              <w:left w:val="nil"/>
              <w:bottom w:val="single" w:sz="4" w:space="0" w:color="auto"/>
              <w:right w:val="nil"/>
            </w:tcBorders>
            <w:shd w:val="clear" w:color="auto" w:fill="auto"/>
            <w:noWrap/>
            <w:vAlign w:val="center"/>
            <w:hideMark/>
          </w:tcPr>
          <w:p w14:paraId="2B232B44"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15.31</w:t>
            </w:r>
          </w:p>
        </w:tc>
        <w:tc>
          <w:tcPr>
            <w:tcW w:w="351" w:type="pct"/>
            <w:tcBorders>
              <w:top w:val="nil"/>
              <w:left w:val="nil"/>
              <w:bottom w:val="single" w:sz="4" w:space="0" w:color="auto"/>
              <w:right w:val="nil"/>
            </w:tcBorders>
            <w:shd w:val="clear" w:color="auto" w:fill="auto"/>
            <w:noWrap/>
            <w:vAlign w:val="center"/>
            <w:hideMark/>
          </w:tcPr>
          <w:p w14:paraId="7F3F8D1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7.59</w:t>
            </w:r>
          </w:p>
        </w:tc>
        <w:tc>
          <w:tcPr>
            <w:tcW w:w="351" w:type="pct"/>
            <w:tcBorders>
              <w:top w:val="nil"/>
              <w:left w:val="nil"/>
              <w:bottom w:val="single" w:sz="4" w:space="0" w:color="auto"/>
              <w:right w:val="nil"/>
            </w:tcBorders>
            <w:shd w:val="clear" w:color="auto" w:fill="auto"/>
            <w:noWrap/>
            <w:vAlign w:val="center"/>
            <w:hideMark/>
          </w:tcPr>
          <w:p w14:paraId="4413BC5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9.31</w:t>
            </w:r>
          </w:p>
        </w:tc>
        <w:tc>
          <w:tcPr>
            <w:tcW w:w="351" w:type="pct"/>
            <w:tcBorders>
              <w:top w:val="nil"/>
              <w:left w:val="nil"/>
              <w:bottom w:val="single" w:sz="4" w:space="0" w:color="auto"/>
              <w:right w:val="nil"/>
            </w:tcBorders>
            <w:shd w:val="clear" w:color="auto" w:fill="auto"/>
            <w:noWrap/>
            <w:vAlign w:val="center"/>
            <w:hideMark/>
          </w:tcPr>
          <w:p w14:paraId="442C1BB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4.18</w:t>
            </w:r>
          </w:p>
        </w:tc>
        <w:tc>
          <w:tcPr>
            <w:tcW w:w="351" w:type="pct"/>
            <w:tcBorders>
              <w:top w:val="nil"/>
              <w:left w:val="nil"/>
              <w:bottom w:val="single" w:sz="4" w:space="0" w:color="auto"/>
              <w:right w:val="nil"/>
            </w:tcBorders>
            <w:shd w:val="clear" w:color="auto" w:fill="auto"/>
            <w:noWrap/>
            <w:vAlign w:val="center"/>
            <w:hideMark/>
          </w:tcPr>
          <w:p w14:paraId="6B2FD60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-9.65</w:t>
            </w:r>
          </w:p>
        </w:tc>
        <w:tc>
          <w:tcPr>
            <w:tcW w:w="351" w:type="pct"/>
            <w:tcBorders>
              <w:top w:val="nil"/>
              <w:left w:val="nil"/>
              <w:bottom w:val="single" w:sz="4" w:space="0" w:color="auto"/>
              <w:right w:val="nil"/>
            </w:tcBorders>
            <w:shd w:val="clear" w:color="auto" w:fill="auto"/>
            <w:noWrap/>
            <w:vAlign w:val="center"/>
            <w:hideMark/>
          </w:tcPr>
          <w:p w14:paraId="2531C9BE"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12.83</w:t>
            </w:r>
          </w:p>
        </w:tc>
        <w:tc>
          <w:tcPr>
            <w:tcW w:w="351" w:type="pct"/>
            <w:tcBorders>
              <w:top w:val="nil"/>
              <w:left w:val="nil"/>
              <w:bottom w:val="single" w:sz="4" w:space="0" w:color="auto"/>
              <w:right w:val="nil"/>
            </w:tcBorders>
            <w:shd w:val="clear" w:color="auto" w:fill="auto"/>
            <w:noWrap/>
            <w:vAlign w:val="center"/>
            <w:hideMark/>
          </w:tcPr>
          <w:p w14:paraId="02154EB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13.68</w:t>
            </w:r>
          </w:p>
        </w:tc>
        <w:tc>
          <w:tcPr>
            <w:tcW w:w="351" w:type="pct"/>
            <w:tcBorders>
              <w:top w:val="nil"/>
              <w:left w:val="nil"/>
              <w:bottom w:val="single" w:sz="4" w:space="0" w:color="auto"/>
              <w:right w:val="nil"/>
            </w:tcBorders>
            <w:shd w:val="clear" w:color="auto" w:fill="auto"/>
            <w:noWrap/>
            <w:vAlign w:val="center"/>
            <w:hideMark/>
          </w:tcPr>
          <w:p w14:paraId="0679DAB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8.63</w:t>
            </w:r>
          </w:p>
        </w:tc>
        <w:tc>
          <w:tcPr>
            <w:tcW w:w="347" w:type="pct"/>
            <w:tcBorders>
              <w:top w:val="nil"/>
              <w:left w:val="nil"/>
              <w:bottom w:val="single" w:sz="4" w:space="0" w:color="auto"/>
              <w:right w:val="nil"/>
            </w:tcBorders>
            <w:shd w:val="clear" w:color="auto" w:fill="auto"/>
            <w:noWrap/>
            <w:vAlign w:val="center"/>
            <w:hideMark/>
          </w:tcPr>
          <w:p w14:paraId="0BC93BB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1.58</w:t>
            </w:r>
          </w:p>
        </w:tc>
      </w:tr>
      <w:tr w:rsidR="00D14A06" w:rsidRPr="00613684" w14:paraId="7E856BBC" w14:textId="77777777" w:rsidTr="00236A4A">
        <w:trPr>
          <w:trHeight w:val="397"/>
        </w:trPr>
        <w:tc>
          <w:tcPr>
            <w:tcW w:w="822" w:type="pct"/>
            <w:tcBorders>
              <w:top w:val="single" w:sz="4" w:space="0" w:color="auto"/>
              <w:left w:val="nil"/>
              <w:bottom w:val="single" w:sz="4" w:space="0" w:color="auto"/>
              <w:right w:val="nil"/>
            </w:tcBorders>
            <w:shd w:val="clear" w:color="auto" w:fill="auto"/>
            <w:noWrap/>
            <w:vAlign w:val="center"/>
            <w:hideMark/>
          </w:tcPr>
          <w:p w14:paraId="67066E6B"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HDP (b.c.)</w:t>
            </w:r>
          </w:p>
        </w:tc>
        <w:tc>
          <w:tcPr>
            <w:tcW w:w="323" w:type="pct"/>
            <w:tcBorders>
              <w:top w:val="single" w:sz="4" w:space="0" w:color="auto"/>
              <w:left w:val="nil"/>
              <w:bottom w:val="single" w:sz="4" w:space="0" w:color="auto"/>
              <w:right w:val="nil"/>
            </w:tcBorders>
            <w:shd w:val="clear" w:color="auto" w:fill="auto"/>
            <w:noWrap/>
            <w:vAlign w:val="center"/>
            <w:hideMark/>
          </w:tcPr>
          <w:p w14:paraId="7CC6E538"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w:t>
            </w:r>
          </w:p>
        </w:tc>
        <w:tc>
          <w:tcPr>
            <w:tcW w:w="351" w:type="pct"/>
            <w:tcBorders>
              <w:top w:val="single" w:sz="4" w:space="0" w:color="auto"/>
              <w:left w:val="nil"/>
              <w:bottom w:val="single" w:sz="4" w:space="0" w:color="auto"/>
              <w:right w:val="nil"/>
            </w:tcBorders>
            <w:shd w:val="clear" w:color="auto" w:fill="auto"/>
            <w:noWrap/>
            <w:vAlign w:val="center"/>
            <w:hideMark/>
          </w:tcPr>
          <w:p w14:paraId="75549A3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p>
        </w:tc>
        <w:tc>
          <w:tcPr>
            <w:tcW w:w="351" w:type="pct"/>
            <w:tcBorders>
              <w:top w:val="single" w:sz="4" w:space="0" w:color="auto"/>
              <w:left w:val="nil"/>
              <w:bottom w:val="single" w:sz="4" w:space="0" w:color="auto"/>
              <w:right w:val="nil"/>
            </w:tcBorders>
            <w:shd w:val="clear" w:color="auto" w:fill="auto"/>
            <w:noWrap/>
            <w:vAlign w:val="center"/>
            <w:hideMark/>
          </w:tcPr>
          <w:p w14:paraId="49AC259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1.74</w:t>
            </w:r>
          </w:p>
        </w:tc>
        <w:tc>
          <w:tcPr>
            <w:tcW w:w="351" w:type="pct"/>
            <w:tcBorders>
              <w:top w:val="single" w:sz="4" w:space="0" w:color="auto"/>
              <w:left w:val="nil"/>
              <w:bottom w:val="single" w:sz="4" w:space="0" w:color="auto"/>
              <w:right w:val="nil"/>
            </w:tcBorders>
            <w:shd w:val="clear" w:color="auto" w:fill="auto"/>
            <w:noWrap/>
            <w:vAlign w:val="center"/>
            <w:hideMark/>
          </w:tcPr>
          <w:p w14:paraId="6C2AD8F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0.65</w:t>
            </w:r>
          </w:p>
        </w:tc>
        <w:tc>
          <w:tcPr>
            <w:tcW w:w="351" w:type="pct"/>
            <w:tcBorders>
              <w:top w:val="single" w:sz="4" w:space="0" w:color="auto"/>
              <w:left w:val="nil"/>
              <w:bottom w:val="single" w:sz="4" w:space="0" w:color="auto"/>
              <w:right w:val="nil"/>
            </w:tcBorders>
            <w:shd w:val="clear" w:color="auto" w:fill="auto"/>
            <w:noWrap/>
            <w:vAlign w:val="center"/>
            <w:hideMark/>
          </w:tcPr>
          <w:p w14:paraId="42D23DAB"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1.32</w:t>
            </w:r>
          </w:p>
        </w:tc>
        <w:tc>
          <w:tcPr>
            <w:tcW w:w="351" w:type="pct"/>
            <w:tcBorders>
              <w:top w:val="single" w:sz="4" w:space="0" w:color="auto"/>
              <w:left w:val="nil"/>
              <w:bottom w:val="single" w:sz="4" w:space="0" w:color="auto"/>
              <w:right w:val="nil"/>
            </w:tcBorders>
            <w:shd w:val="clear" w:color="auto" w:fill="auto"/>
            <w:noWrap/>
            <w:vAlign w:val="center"/>
            <w:hideMark/>
          </w:tcPr>
          <w:p w14:paraId="16949CF8"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4.90</w:t>
            </w:r>
          </w:p>
        </w:tc>
        <w:tc>
          <w:tcPr>
            <w:tcW w:w="351" w:type="pct"/>
            <w:tcBorders>
              <w:top w:val="single" w:sz="4" w:space="0" w:color="auto"/>
              <w:left w:val="nil"/>
              <w:bottom w:val="single" w:sz="4" w:space="0" w:color="auto"/>
              <w:right w:val="nil"/>
            </w:tcBorders>
            <w:shd w:val="clear" w:color="auto" w:fill="auto"/>
            <w:noWrap/>
            <w:vAlign w:val="center"/>
            <w:hideMark/>
          </w:tcPr>
          <w:p w14:paraId="5E569362"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6.43</w:t>
            </w:r>
          </w:p>
        </w:tc>
        <w:tc>
          <w:tcPr>
            <w:tcW w:w="351" w:type="pct"/>
            <w:tcBorders>
              <w:top w:val="single" w:sz="4" w:space="0" w:color="auto"/>
              <w:left w:val="nil"/>
              <w:bottom w:val="single" w:sz="4" w:space="0" w:color="auto"/>
              <w:right w:val="nil"/>
            </w:tcBorders>
            <w:shd w:val="clear" w:color="auto" w:fill="auto"/>
            <w:noWrap/>
            <w:vAlign w:val="center"/>
            <w:hideMark/>
          </w:tcPr>
          <w:p w14:paraId="3A6106C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3.71</w:t>
            </w:r>
          </w:p>
        </w:tc>
        <w:tc>
          <w:tcPr>
            <w:tcW w:w="351" w:type="pct"/>
            <w:tcBorders>
              <w:top w:val="single" w:sz="4" w:space="0" w:color="auto"/>
              <w:left w:val="nil"/>
              <w:bottom w:val="single" w:sz="4" w:space="0" w:color="auto"/>
              <w:right w:val="nil"/>
            </w:tcBorders>
            <w:shd w:val="clear" w:color="auto" w:fill="auto"/>
            <w:noWrap/>
            <w:vAlign w:val="center"/>
            <w:hideMark/>
          </w:tcPr>
          <w:p w14:paraId="374D8A2F"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6.54</w:t>
            </w:r>
          </w:p>
        </w:tc>
        <w:tc>
          <w:tcPr>
            <w:tcW w:w="351" w:type="pct"/>
            <w:tcBorders>
              <w:top w:val="single" w:sz="4" w:space="0" w:color="auto"/>
              <w:left w:val="nil"/>
              <w:bottom w:val="single" w:sz="4" w:space="0" w:color="auto"/>
              <w:right w:val="nil"/>
            </w:tcBorders>
            <w:shd w:val="clear" w:color="auto" w:fill="auto"/>
            <w:noWrap/>
            <w:vAlign w:val="center"/>
            <w:hideMark/>
          </w:tcPr>
          <w:p w14:paraId="34BB0604"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5.85</w:t>
            </w:r>
          </w:p>
        </w:tc>
        <w:tc>
          <w:tcPr>
            <w:tcW w:w="351" w:type="pct"/>
            <w:tcBorders>
              <w:top w:val="single" w:sz="4" w:space="0" w:color="auto"/>
              <w:left w:val="nil"/>
              <w:bottom w:val="single" w:sz="4" w:space="0" w:color="auto"/>
              <w:right w:val="nil"/>
            </w:tcBorders>
            <w:shd w:val="clear" w:color="auto" w:fill="auto"/>
            <w:noWrap/>
            <w:vAlign w:val="center"/>
            <w:hideMark/>
          </w:tcPr>
          <w:p w14:paraId="05E2923C"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7.04</w:t>
            </w:r>
          </w:p>
        </w:tc>
        <w:tc>
          <w:tcPr>
            <w:tcW w:w="347" w:type="pct"/>
            <w:tcBorders>
              <w:top w:val="single" w:sz="4" w:space="0" w:color="auto"/>
              <w:left w:val="nil"/>
              <w:bottom w:val="single" w:sz="4" w:space="0" w:color="auto"/>
              <w:right w:val="nil"/>
            </w:tcBorders>
            <w:shd w:val="clear" w:color="auto" w:fill="auto"/>
            <w:noWrap/>
            <w:vAlign w:val="center"/>
            <w:hideMark/>
          </w:tcPr>
          <w:p w14:paraId="6010C5E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-1.65</w:t>
            </w:r>
          </w:p>
        </w:tc>
      </w:tr>
      <w:tr w:rsidR="00D14A06" w:rsidRPr="00613684" w14:paraId="08F52107" w14:textId="77777777" w:rsidTr="00236A4A">
        <w:trPr>
          <w:trHeight w:val="397"/>
        </w:trPr>
        <w:tc>
          <w:tcPr>
            <w:tcW w:w="822" w:type="pct"/>
            <w:tcBorders>
              <w:top w:val="single" w:sz="4" w:space="0" w:color="auto"/>
              <w:left w:val="nil"/>
              <w:bottom w:val="single" w:sz="8" w:space="0" w:color="auto"/>
              <w:right w:val="nil"/>
            </w:tcBorders>
            <w:shd w:val="clear" w:color="auto" w:fill="auto"/>
            <w:noWrap/>
            <w:vAlign w:val="center"/>
            <w:hideMark/>
          </w:tcPr>
          <w:p w14:paraId="5F83014F" w14:textId="77777777" w:rsidR="00D14A06" w:rsidRPr="00613684" w:rsidRDefault="00D14A06" w:rsidP="00D14A06">
            <w:pPr>
              <w:spacing w:after="0" w:line="240" w:lineRule="auto"/>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vývoz zboží a služeb</w:t>
            </w:r>
          </w:p>
        </w:tc>
        <w:tc>
          <w:tcPr>
            <w:tcW w:w="323" w:type="pct"/>
            <w:tcBorders>
              <w:top w:val="single" w:sz="4" w:space="0" w:color="auto"/>
              <w:left w:val="nil"/>
              <w:bottom w:val="single" w:sz="8" w:space="0" w:color="auto"/>
              <w:right w:val="nil"/>
            </w:tcBorders>
            <w:shd w:val="clear" w:color="auto" w:fill="auto"/>
            <w:noWrap/>
            <w:vAlign w:val="center"/>
            <w:hideMark/>
          </w:tcPr>
          <w:p w14:paraId="3FD610D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w:t>
            </w:r>
          </w:p>
        </w:tc>
        <w:tc>
          <w:tcPr>
            <w:tcW w:w="351" w:type="pct"/>
            <w:tcBorders>
              <w:top w:val="single" w:sz="4" w:space="0" w:color="auto"/>
              <w:left w:val="nil"/>
              <w:bottom w:val="single" w:sz="8" w:space="0" w:color="auto"/>
              <w:right w:val="nil"/>
            </w:tcBorders>
            <w:shd w:val="clear" w:color="auto" w:fill="auto"/>
            <w:noWrap/>
            <w:vAlign w:val="center"/>
            <w:hideMark/>
          </w:tcPr>
          <w:p w14:paraId="1250B31E"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 </w:t>
            </w:r>
          </w:p>
        </w:tc>
        <w:tc>
          <w:tcPr>
            <w:tcW w:w="351" w:type="pct"/>
            <w:tcBorders>
              <w:top w:val="single" w:sz="4" w:space="0" w:color="auto"/>
              <w:left w:val="nil"/>
              <w:bottom w:val="single" w:sz="8" w:space="0" w:color="auto"/>
              <w:right w:val="nil"/>
            </w:tcBorders>
            <w:shd w:val="clear" w:color="auto" w:fill="auto"/>
            <w:noWrap/>
            <w:vAlign w:val="center"/>
            <w:hideMark/>
          </w:tcPr>
          <w:p w14:paraId="3CF4436A"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9.89</w:t>
            </w:r>
          </w:p>
        </w:tc>
        <w:tc>
          <w:tcPr>
            <w:tcW w:w="351" w:type="pct"/>
            <w:tcBorders>
              <w:top w:val="single" w:sz="4" w:space="0" w:color="auto"/>
              <w:left w:val="nil"/>
              <w:bottom w:val="single" w:sz="8" w:space="0" w:color="auto"/>
              <w:right w:val="nil"/>
            </w:tcBorders>
            <w:shd w:val="clear" w:color="auto" w:fill="auto"/>
            <w:noWrap/>
            <w:vAlign w:val="center"/>
            <w:hideMark/>
          </w:tcPr>
          <w:p w14:paraId="01CB1839"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7.43</w:t>
            </w:r>
          </w:p>
        </w:tc>
        <w:tc>
          <w:tcPr>
            <w:tcW w:w="351" w:type="pct"/>
            <w:tcBorders>
              <w:top w:val="single" w:sz="4" w:space="0" w:color="auto"/>
              <w:left w:val="nil"/>
              <w:bottom w:val="single" w:sz="8" w:space="0" w:color="auto"/>
              <w:right w:val="nil"/>
            </w:tcBorders>
            <w:shd w:val="clear" w:color="auto" w:fill="auto"/>
            <w:noWrap/>
            <w:vAlign w:val="center"/>
            <w:hideMark/>
          </w:tcPr>
          <w:p w14:paraId="676CE698"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1.95</w:t>
            </w:r>
          </w:p>
        </w:tc>
        <w:tc>
          <w:tcPr>
            <w:tcW w:w="351" w:type="pct"/>
            <w:tcBorders>
              <w:top w:val="single" w:sz="4" w:space="0" w:color="auto"/>
              <w:left w:val="nil"/>
              <w:bottom w:val="single" w:sz="8" w:space="0" w:color="auto"/>
              <w:right w:val="nil"/>
            </w:tcBorders>
            <w:shd w:val="clear" w:color="auto" w:fill="auto"/>
            <w:noWrap/>
            <w:vAlign w:val="center"/>
            <w:hideMark/>
          </w:tcPr>
          <w:p w14:paraId="57D755A6"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13.05</w:t>
            </w:r>
          </w:p>
        </w:tc>
        <w:tc>
          <w:tcPr>
            <w:tcW w:w="351" w:type="pct"/>
            <w:tcBorders>
              <w:top w:val="single" w:sz="4" w:space="0" w:color="auto"/>
              <w:left w:val="nil"/>
              <w:bottom w:val="single" w:sz="8" w:space="0" w:color="auto"/>
              <w:right w:val="nil"/>
            </w:tcBorders>
            <w:shd w:val="clear" w:color="auto" w:fill="auto"/>
            <w:noWrap/>
            <w:vAlign w:val="center"/>
            <w:hideMark/>
          </w:tcPr>
          <w:p w14:paraId="7AFD9885"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4.74</w:t>
            </w:r>
          </w:p>
        </w:tc>
        <w:tc>
          <w:tcPr>
            <w:tcW w:w="351" w:type="pct"/>
            <w:tcBorders>
              <w:top w:val="single" w:sz="4" w:space="0" w:color="auto"/>
              <w:left w:val="nil"/>
              <w:bottom w:val="single" w:sz="8" w:space="0" w:color="auto"/>
              <w:right w:val="nil"/>
            </w:tcBorders>
            <w:shd w:val="clear" w:color="auto" w:fill="auto"/>
            <w:noWrap/>
            <w:vAlign w:val="center"/>
            <w:hideMark/>
          </w:tcPr>
          <w:p w14:paraId="6DD110A3"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1.81</w:t>
            </w:r>
          </w:p>
        </w:tc>
        <w:tc>
          <w:tcPr>
            <w:tcW w:w="351" w:type="pct"/>
            <w:tcBorders>
              <w:top w:val="single" w:sz="4" w:space="0" w:color="auto"/>
              <w:left w:val="nil"/>
              <w:bottom w:val="single" w:sz="8" w:space="0" w:color="auto"/>
              <w:right w:val="nil"/>
            </w:tcBorders>
            <w:shd w:val="clear" w:color="auto" w:fill="auto"/>
            <w:noWrap/>
            <w:vAlign w:val="center"/>
            <w:hideMark/>
          </w:tcPr>
          <w:p w14:paraId="087833D4"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6.47</w:t>
            </w:r>
          </w:p>
        </w:tc>
        <w:tc>
          <w:tcPr>
            <w:tcW w:w="351" w:type="pct"/>
            <w:tcBorders>
              <w:top w:val="single" w:sz="4" w:space="0" w:color="auto"/>
              <w:left w:val="nil"/>
              <w:bottom w:val="single" w:sz="8" w:space="0" w:color="auto"/>
              <w:right w:val="nil"/>
            </w:tcBorders>
            <w:shd w:val="clear" w:color="auto" w:fill="auto"/>
            <w:noWrap/>
            <w:vAlign w:val="center"/>
            <w:hideMark/>
          </w:tcPr>
          <w:p w14:paraId="0669142D"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3.15</w:t>
            </w:r>
          </w:p>
        </w:tc>
        <w:tc>
          <w:tcPr>
            <w:tcW w:w="351" w:type="pct"/>
            <w:tcBorders>
              <w:top w:val="single" w:sz="4" w:space="0" w:color="auto"/>
              <w:left w:val="nil"/>
              <w:bottom w:val="single" w:sz="8" w:space="0" w:color="auto"/>
              <w:right w:val="nil"/>
            </w:tcBorders>
            <w:shd w:val="clear" w:color="auto" w:fill="auto"/>
            <w:noWrap/>
            <w:vAlign w:val="center"/>
            <w:hideMark/>
          </w:tcPr>
          <w:p w14:paraId="0837B2C1"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2.82</w:t>
            </w:r>
          </w:p>
        </w:tc>
        <w:tc>
          <w:tcPr>
            <w:tcW w:w="347" w:type="pct"/>
            <w:tcBorders>
              <w:top w:val="single" w:sz="4" w:space="0" w:color="auto"/>
              <w:left w:val="nil"/>
              <w:bottom w:val="single" w:sz="8" w:space="0" w:color="auto"/>
              <w:right w:val="nil"/>
            </w:tcBorders>
            <w:shd w:val="clear" w:color="auto" w:fill="auto"/>
            <w:noWrap/>
            <w:vAlign w:val="center"/>
            <w:hideMark/>
          </w:tcPr>
          <w:p w14:paraId="5BD156A0" w14:textId="77777777" w:rsidR="00D14A06" w:rsidRPr="00613684" w:rsidRDefault="00D14A06" w:rsidP="00D14A06">
            <w:pPr>
              <w:spacing w:after="0" w:line="240" w:lineRule="auto"/>
              <w:jc w:val="center"/>
              <w:rPr>
                <w:rFonts w:ascii="Calibri" w:eastAsia="Times New Roman" w:hAnsi="Calibri" w:cs="Calibri"/>
                <w:color w:val="000000"/>
                <w:sz w:val="16"/>
                <w:szCs w:val="16"/>
                <w:lang w:eastAsia="cs-CZ"/>
              </w:rPr>
            </w:pPr>
            <w:r w:rsidRPr="00613684">
              <w:rPr>
                <w:rFonts w:ascii="Calibri" w:eastAsia="Times New Roman" w:hAnsi="Calibri" w:cs="Calibri"/>
                <w:color w:val="000000"/>
                <w:sz w:val="16"/>
                <w:szCs w:val="16"/>
                <w:lang w:eastAsia="cs-CZ"/>
              </w:rPr>
              <w:t>-5.42</w:t>
            </w:r>
          </w:p>
        </w:tc>
      </w:tr>
    </w:tbl>
    <w:p w14:paraId="3F00C868" w14:textId="77777777" w:rsidR="00D14A06" w:rsidRPr="00F045E0" w:rsidRDefault="00D14A06" w:rsidP="005B032C">
      <w:pPr>
        <w:spacing w:before="120" w:after="120" w:line="240" w:lineRule="auto"/>
        <w:rPr>
          <w:rFonts w:ascii="Arial" w:hAnsi="Arial" w:cs="Arial"/>
          <w:i/>
          <w:sz w:val="18"/>
          <w:szCs w:val="18"/>
        </w:rPr>
      </w:pPr>
      <w:r w:rsidRPr="00F045E0">
        <w:rPr>
          <w:rFonts w:ascii="Arial" w:hAnsi="Arial" w:cs="Arial"/>
          <w:i/>
          <w:sz w:val="18"/>
          <w:szCs w:val="18"/>
        </w:rPr>
        <w:t>Zdroj: ČSÚ – Šetření o výzkumu a vývoji, Národní účty, Hlavní ekonomické ukazatele ČR a zákony o SR v letech 2009 až 2019</w:t>
      </w:r>
      <w:r w:rsidR="005B032C">
        <w:rPr>
          <w:rFonts w:ascii="Arial" w:hAnsi="Arial" w:cs="Arial"/>
          <w:i/>
          <w:sz w:val="18"/>
          <w:szCs w:val="18"/>
        </w:rPr>
        <w:t xml:space="preserve"> </w:t>
      </w:r>
      <w:r w:rsidR="005B032C" w:rsidRPr="00754E91">
        <w:rPr>
          <w:lang w:val="en-US"/>
        </w:rPr>
        <w:t>|</w:t>
      </w:r>
      <w:r w:rsidR="005B032C">
        <w:rPr>
          <w:lang w:val="en-US"/>
        </w:rPr>
        <w:t xml:space="preserve"> </w:t>
      </w:r>
      <w:r w:rsidRPr="00F045E0">
        <w:rPr>
          <w:rFonts w:ascii="Arial" w:hAnsi="Arial" w:cs="Arial"/>
          <w:i/>
          <w:sz w:val="18"/>
          <w:szCs w:val="18"/>
        </w:rPr>
        <w:t>Pozn.: Výdaje na VaVaI ze SR jsou uvedeny bez výdajů, které mají být kryty prostředky z rozpočtu EU a z finančních mechanismů.</w:t>
      </w:r>
    </w:p>
    <w:p w14:paraId="61203F31" w14:textId="77777777" w:rsidR="00FF0657" w:rsidRDefault="00FF0657" w:rsidP="00FF0657">
      <w:pPr>
        <w:spacing w:line="360" w:lineRule="auto"/>
        <w:ind w:firstLine="426"/>
        <w:contextualSpacing/>
        <w:jc w:val="both"/>
        <w:rPr>
          <w:rFonts w:ascii="Arial" w:hAnsi="Arial" w:cs="Arial"/>
        </w:rPr>
      </w:pPr>
      <w:r>
        <w:rPr>
          <w:rFonts w:ascii="Arial" w:eastAsia="Times New Roman" w:hAnsi="Arial" w:cs="Arial"/>
          <w:lang w:eastAsia="cs-CZ"/>
        </w:rPr>
        <w:t xml:space="preserve">Následující text shrnutí Analýzy stavu výzkumu, vývoje a inovací v České republice a jejich srovnání se zahraničím 2020 je členěn do devíti kapitol. </w:t>
      </w:r>
      <w:r>
        <w:rPr>
          <w:rFonts w:ascii="Arial" w:hAnsi="Arial" w:cs="Arial"/>
        </w:rPr>
        <w:t>Monitoring kvantitativních indikátorů plnění cílů Národní politiky výzkumu, vývoje a inovací 2016–2020 je uveden v Příloze 1.</w:t>
      </w:r>
    </w:p>
    <w:p w14:paraId="727F862D" w14:textId="77777777" w:rsidR="00D14A06" w:rsidRDefault="00D14A06" w:rsidP="00D14A06">
      <w:pPr>
        <w:spacing w:after="0" w:line="360" w:lineRule="auto"/>
        <w:ind w:firstLine="709"/>
        <w:jc w:val="both"/>
        <w:rPr>
          <w:rFonts w:ascii="Arial" w:eastAsia="Times New Roman" w:hAnsi="Arial" w:cs="Arial"/>
          <w:lang w:eastAsia="cs-CZ"/>
        </w:rPr>
        <w:sectPr w:rsidR="00D14A06" w:rsidSect="00247CA5">
          <w:pgSz w:w="11906" w:h="16838"/>
          <w:pgMar w:top="1134" w:right="1134" w:bottom="1134" w:left="1134" w:header="709" w:footer="709" w:gutter="0"/>
          <w:cols w:space="708"/>
          <w:docGrid w:linePitch="299"/>
        </w:sectPr>
      </w:pPr>
    </w:p>
    <w:p w14:paraId="214B7385" w14:textId="77777777" w:rsidR="002B71BE" w:rsidRDefault="002B71BE" w:rsidP="006C54AA">
      <w:pPr>
        <w:pStyle w:val="Nadpis1"/>
        <w:numPr>
          <w:ilvl w:val="0"/>
          <w:numId w:val="0"/>
        </w:numPr>
        <w:spacing w:before="0"/>
        <w:ind w:left="432" w:hanging="432"/>
      </w:pPr>
      <w:bookmarkStart w:id="6" w:name="_Toc87340755"/>
      <w:bookmarkStart w:id="7" w:name="_Toc92369582"/>
      <w:r w:rsidRPr="00B86974">
        <w:lastRenderedPageBreak/>
        <w:t>Finanční toky</w:t>
      </w:r>
      <w:bookmarkEnd w:id="2"/>
      <w:r w:rsidR="000D733A" w:rsidRPr="00B86974">
        <w:t xml:space="preserve"> ve výzkumu </w:t>
      </w:r>
      <w:r w:rsidR="00361051" w:rsidRPr="00B86974">
        <w:t>a </w:t>
      </w:r>
      <w:r w:rsidR="000D733A" w:rsidRPr="00B86974">
        <w:t>vývoji</w:t>
      </w:r>
      <w:bookmarkEnd w:id="6"/>
      <w:bookmarkEnd w:id="7"/>
    </w:p>
    <w:p w14:paraId="669B82DD" w14:textId="77777777" w:rsidR="006C54AA" w:rsidRDefault="006C54AA" w:rsidP="006C54AA">
      <w:pPr>
        <w:spacing w:after="0" w:line="360" w:lineRule="auto"/>
        <w:ind w:firstLine="709"/>
        <w:jc w:val="both"/>
        <w:rPr>
          <w:rFonts w:ascii="Arial" w:eastAsia="Times New Roman" w:hAnsi="Arial" w:cs="Arial"/>
          <w:lang w:eastAsia="cs-CZ"/>
        </w:rPr>
      </w:pPr>
      <w:r w:rsidRPr="00064EA9">
        <w:rPr>
          <w:rFonts w:ascii="Arial" w:eastAsia="Times New Roman" w:hAnsi="Arial" w:cs="Arial"/>
          <w:b/>
          <w:lang w:eastAsia="cs-CZ"/>
        </w:rPr>
        <w:t>Celkové výdaje na VaV v ČR</w:t>
      </w:r>
      <w:r w:rsidRPr="00064EA9">
        <w:rPr>
          <w:rFonts w:ascii="Arial" w:eastAsia="Times New Roman" w:hAnsi="Arial" w:cs="Arial"/>
          <w:lang w:eastAsia="cs-CZ"/>
        </w:rPr>
        <w:t xml:space="preserve"> vykaz</w:t>
      </w:r>
      <w:r>
        <w:rPr>
          <w:rFonts w:ascii="Arial" w:eastAsia="Times New Roman" w:hAnsi="Arial" w:cs="Arial"/>
          <w:lang w:eastAsia="cs-CZ"/>
        </w:rPr>
        <w:t>ují dlouhodobě růst</w:t>
      </w:r>
      <w:r w:rsidRPr="00064EA9">
        <w:rPr>
          <w:rFonts w:ascii="Arial" w:eastAsia="Times New Roman" w:hAnsi="Arial" w:cs="Arial"/>
          <w:lang w:eastAsia="cs-CZ"/>
        </w:rPr>
        <w:t>. V desetileté časové řadě v letech 2011</w:t>
      </w:r>
      <w:r w:rsidRPr="00064EA9">
        <w:rPr>
          <w:rFonts w:ascii="Arial" w:hAnsi="Arial" w:cs="Arial"/>
        </w:rPr>
        <w:t>−</w:t>
      </w:r>
      <w:r w:rsidRPr="00064EA9">
        <w:rPr>
          <w:rFonts w:ascii="Arial" w:eastAsia="Times New Roman" w:hAnsi="Arial" w:cs="Arial"/>
          <w:lang w:eastAsia="cs-CZ"/>
        </w:rPr>
        <w:t xml:space="preserve">2020 byl pravidelný meziroční růst narušen pouze v roce 2016, kdy došlo vlivem přechodu na nové programové období k výpadku veřejných zdrojů ze zahraničí. </w:t>
      </w:r>
      <w:r w:rsidRPr="00064EA9">
        <w:rPr>
          <w:rFonts w:ascii="Arial" w:eastAsia="Times New Roman" w:hAnsi="Arial" w:cs="Arial"/>
          <w:b/>
          <w:lang w:eastAsia="cs-CZ"/>
        </w:rPr>
        <w:t>Absolutní výše celkových výdajů v roce 2020 činila </w:t>
      </w:r>
      <w:r>
        <w:rPr>
          <w:rFonts w:ascii="Arial" w:eastAsia="Times New Roman" w:hAnsi="Arial" w:cs="Arial"/>
          <w:b/>
          <w:lang w:eastAsia="cs-CZ"/>
        </w:rPr>
        <w:t xml:space="preserve">poprvé </w:t>
      </w:r>
      <w:r w:rsidRPr="00064EA9">
        <w:rPr>
          <w:rFonts w:ascii="Arial" w:eastAsia="Times New Roman" w:hAnsi="Arial" w:cs="Arial"/>
          <w:b/>
          <w:lang w:eastAsia="cs-CZ"/>
        </w:rPr>
        <w:t>rekordních 113,4 mld. Kč</w:t>
      </w:r>
      <w:r w:rsidR="00FA0175">
        <w:rPr>
          <w:rFonts w:ascii="Arial" w:eastAsia="Times New Roman" w:hAnsi="Arial" w:cs="Arial"/>
          <w:b/>
          <w:lang w:eastAsia="cs-CZ"/>
        </w:rPr>
        <w:t>, tj. 1,99 % HDP</w:t>
      </w:r>
      <w:r w:rsidRPr="00064EA9">
        <w:rPr>
          <w:rFonts w:ascii="Arial" w:eastAsia="Times New Roman" w:hAnsi="Arial" w:cs="Arial"/>
          <w:b/>
          <w:lang w:eastAsia="cs-CZ"/>
        </w:rPr>
        <w:t>.</w:t>
      </w:r>
      <w:r w:rsidRPr="00064EA9">
        <w:rPr>
          <w:rFonts w:ascii="Arial" w:eastAsia="Times New Roman" w:hAnsi="Arial" w:cs="Arial"/>
          <w:lang w:eastAsia="cs-CZ"/>
        </w:rPr>
        <w:t xml:space="preserve"> Ukazatel R&amp;D Intensity (tj. výdaje na VaV jako % HDP) měl v minulých letech až na drobné výchylky také rostoucí trend. K</w:t>
      </w:r>
      <w:r>
        <w:rPr>
          <w:rFonts w:ascii="Arial" w:eastAsia="Times New Roman" w:hAnsi="Arial" w:cs="Arial"/>
          <w:lang w:eastAsia="cs-CZ"/>
        </w:rPr>
        <w:t> </w:t>
      </w:r>
      <w:r w:rsidRPr="00064EA9">
        <w:rPr>
          <w:rFonts w:ascii="Arial" w:eastAsia="Times New Roman" w:hAnsi="Arial" w:cs="Arial"/>
          <w:lang w:eastAsia="cs-CZ"/>
        </w:rPr>
        <w:t xml:space="preserve">dlouhodobému růstu celkových výdajů na VaV v ČR přispívá zejména trvalý růst </w:t>
      </w:r>
      <w:r w:rsidRPr="00064EA9">
        <w:rPr>
          <w:rFonts w:ascii="Arial" w:eastAsia="Times New Roman" w:hAnsi="Arial" w:cs="Arial"/>
          <w:b/>
          <w:lang w:eastAsia="cs-CZ"/>
        </w:rPr>
        <w:t>podnikatelských zdrojů</w:t>
      </w:r>
      <w:r w:rsidRPr="00064EA9">
        <w:rPr>
          <w:rFonts w:ascii="Arial" w:eastAsia="Times New Roman" w:hAnsi="Arial" w:cs="Arial"/>
          <w:lang w:eastAsia="cs-CZ"/>
        </w:rPr>
        <w:t xml:space="preserve">, </w:t>
      </w:r>
      <w:r w:rsidRPr="00064EA9">
        <w:rPr>
          <w:rFonts w:ascii="Arial" w:eastAsia="Times New Roman" w:hAnsi="Arial" w:cs="Arial"/>
          <w:b/>
          <w:lang w:eastAsia="cs-CZ"/>
        </w:rPr>
        <w:t>v roce 2020 činily téměř 66,1 mld. Kč</w:t>
      </w:r>
      <w:r w:rsidRPr="00064EA9">
        <w:rPr>
          <w:rFonts w:ascii="Arial" w:eastAsia="Times New Roman" w:hAnsi="Arial" w:cs="Arial"/>
          <w:lang w:eastAsia="cs-CZ"/>
        </w:rPr>
        <w:t>, tj. téměř 2,2 krát více, než tomu bylo v roce 2011.</w:t>
      </w:r>
    </w:p>
    <w:p w14:paraId="76F85869" w14:textId="77777777" w:rsidR="006C54AA" w:rsidRPr="006058D1" w:rsidRDefault="006C54AA" w:rsidP="006C54AA">
      <w:pPr>
        <w:pStyle w:val="Obrzek-nadpis"/>
      </w:pPr>
      <w:r w:rsidRPr="006058D1">
        <w:t>Celkové výdaje na výzkum a vývoj (GERD) v ČR v letech 2011–2020 podle zdrojů financování (v běžných cenách)</w:t>
      </w:r>
    </w:p>
    <w:p w14:paraId="3064A536" w14:textId="77777777" w:rsidR="006C54AA" w:rsidRPr="006058D1" w:rsidRDefault="006C54AA" w:rsidP="006C54AA">
      <w:pPr>
        <w:spacing w:after="240" w:line="240" w:lineRule="auto"/>
        <w:jc w:val="center"/>
        <w:rPr>
          <w:rFonts w:ascii="Times New Roman" w:eastAsia="Times New Roman" w:hAnsi="Times New Roman" w:cs="Times New Roman"/>
          <w:b/>
          <w:sz w:val="24"/>
          <w:szCs w:val="24"/>
          <w:lang w:eastAsia="cs-CZ"/>
        </w:rPr>
      </w:pPr>
      <w:r w:rsidRPr="006058D1">
        <w:rPr>
          <w:noProof/>
          <w:lang w:eastAsia="cs-CZ"/>
        </w:rPr>
        <w:drawing>
          <wp:inline distT="0" distB="0" distL="0" distR="0" wp14:anchorId="141FE24D" wp14:editId="26396071">
            <wp:extent cx="5543550" cy="2838450"/>
            <wp:effectExtent l="0" t="0" r="0" b="0"/>
            <wp:docPr id="41" name="Graf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022E634" w14:textId="77777777" w:rsidR="006C54AA" w:rsidRDefault="006C54AA" w:rsidP="006C54AA">
      <w:pPr>
        <w:pStyle w:val="Zdrojapoznmka"/>
      </w:pPr>
      <w:r w:rsidRPr="006058D1">
        <w:t>Zdroj: ČSÚ, Roční výkaz o výzkumu a vývoji</w:t>
      </w:r>
    </w:p>
    <w:p w14:paraId="75E62DB5" w14:textId="77777777" w:rsidR="002D7367" w:rsidRPr="00FA0175" w:rsidRDefault="002D7367"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A0175">
        <w:rPr>
          <w:rFonts w:ascii="Arial" w:eastAsia="Times New Roman" w:hAnsi="Arial" w:cs="Arial"/>
          <w:lang w:eastAsia="cs-CZ"/>
        </w:rPr>
        <w:t>Výdaje na VaV z podnikatelských zdrojů činily 66,1 mld. Kč (tj. meziroční nárůst o 2 %), což představuje 1,16 % podílu HDP. Nej</w:t>
      </w:r>
      <w:r w:rsidR="008B19B1" w:rsidRPr="00FA0175">
        <w:rPr>
          <w:rFonts w:ascii="Arial" w:eastAsia="Times New Roman" w:hAnsi="Arial" w:cs="Arial"/>
          <w:lang w:eastAsia="cs-CZ"/>
        </w:rPr>
        <w:t xml:space="preserve">více prostředků na VaV se v ČR </w:t>
      </w:r>
      <w:r w:rsidRPr="00FA0175">
        <w:rPr>
          <w:rFonts w:ascii="Arial" w:eastAsia="Times New Roman" w:hAnsi="Arial" w:cs="Arial"/>
          <w:lang w:eastAsia="cs-CZ"/>
        </w:rPr>
        <w:t>dlouhodobě vynakládá v podnikatelském sektoru, a to především v automobilovém průmyslu a v oblasti ICT. Částku vyšší než 0,5 mld. Kč vynaložilo v roce 2020 na VaV na území ČR 26 podniků, z toho 21 bylo pod zahraniční kontrolou.</w:t>
      </w:r>
    </w:p>
    <w:p w14:paraId="1A746A46" w14:textId="77777777" w:rsidR="002D7367" w:rsidRPr="00FA0175" w:rsidRDefault="002D7367"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A0175">
        <w:rPr>
          <w:rFonts w:ascii="Arial" w:eastAsia="Times New Roman" w:hAnsi="Arial" w:cs="Arial"/>
          <w:lang w:eastAsia="cs-CZ"/>
        </w:rPr>
        <w:t>Z veřejných zdrojů dosáhly výdaje na VaV rekordních 45,8 mld. Kč, z toho veřejné domácí zdroje činily 38,6 mld. Kč a  veřejné zahraniční byly ve výši 7,2 mld. Kč. Výdaje na VaV z veřejných zdrojů celkem představovaly v roce 2020 0,8 % HDP.</w:t>
      </w:r>
    </w:p>
    <w:p w14:paraId="7F1DBA18" w14:textId="77777777" w:rsidR="002D7367" w:rsidRDefault="002D7367"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A0175">
        <w:rPr>
          <w:rFonts w:ascii="Arial" w:eastAsia="Times New Roman" w:hAnsi="Arial" w:cs="Arial"/>
          <w:lang w:eastAsia="cs-CZ"/>
        </w:rPr>
        <w:t>Z hlediska GERD v přepočtu na HDP ČR v mezinárodním srovnání mírně zaostává za evropským průměrem, mezi roky 2010 a 2019 v ČR nicméně vzrostla Intenzita výzkumu a vývoje (GERD jako % HDP) o 0,60 p. b., což byl třetí nejvyšší nárůst ze všech členských států</w:t>
      </w:r>
      <w:r w:rsidR="00435C1A" w:rsidRPr="00FA0175">
        <w:rPr>
          <w:rFonts w:ascii="Arial" w:eastAsia="Times New Roman" w:hAnsi="Arial" w:cs="Arial"/>
          <w:lang w:eastAsia="cs-CZ"/>
        </w:rPr>
        <w:t> </w:t>
      </w:r>
      <w:r w:rsidRPr="00FA0175">
        <w:rPr>
          <w:rFonts w:ascii="Arial" w:eastAsia="Times New Roman" w:hAnsi="Arial" w:cs="Arial"/>
          <w:lang w:eastAsia="cs-CZ"/>
        </w:rPr>
        <w:t>EU.</w:t>
      </w:r>
    </w:p>
    <w:p w14:paraId="3279338A" w14:textId="77777777" w:rsidR="002D7367" w:rsidRPr="00FA0175" w:rsidRDefault="002D7367"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A0175">
        <w:rPr>
          <w:rFonts w:ascii="Arial" w:eastAsia="Times New Roman" w:hAnsi="Arial" w:cs="Arial"/>
          <w:lang w:eastAsia="cs-CZ"/>
        </w:rPr>
        <w:lastRenderedPageBreak/>
        <w:t>Podnikatelské zdroje jsou téměř výhradně využívány k financování VaV v podnikatelském sektoru. Objem podpory veřejného VaV z tuzemských podnikatelských zdrojů je stále relativně nízký, avšak meziročně vzrostl o 1,2 mld. Kč – za vysokoškolský a vládní sektor v roce 2020 dosáhl necelé 3,5 mld. Kč. Podnikatelské subjekty získaly veřejnou podporu ve výši 6,6 mld. Kč, což je historicky nejvyšší částka za posledních 5 let.</w:t>
      </w:r>
    </w:p>
    <w:p w14:paraId="6EBB02AE" w14:textId="77777777" w:rsidR="002D7367" w:rsidRPr="00FA0175" w:rsidRDefault="002D7367"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A0175">
        <w:rPr>
          <w:rFonts w:ascii="Arial" w:eastAsia="Times New Roman" w:hAnsi="Arial" w:cs="Arial"/>
          <w:lang w:eastAsia="cs-CZ"/>
        </w:rPr>
        <w:t>Veřejné tuzemské finanční zdroje směřovaly především do VaV realizovaného ve vládním a vysokoškolském sektoru, celkem zde bylo zapojeno 33,7 mld. Kč z veřejných zdrojů.</w:t>
      </w:r>
    </w:p>
    <w:p w14:paraId="1762CD57" w14:textId="77777777" w:rsidR="002D7367" w:rsidRPr="00FA0175" w:rsidRDefault="002D7367"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A0175">
        <w:rPr>
          <w:rFonts w:ascii="Arial" w:eastAsia="Times New Roman" w:hAnsi="Arial" w:cs="Arial"/>
          <w:lang w:eastAsia="cs-CZ"/>
        </w:rPr>
        <w:t>V podnikatelském sektoru převážnou část (63 %) finančních prostředků na VaV v roce 2020 utratily soukromé podniky pod zahraniční kontrolou, ve vládním sektoru to byly ústavy Akademie věd České republiky (75 %) a ve vysokoškolském sektoru vysoké školy (94 %).</w:t>
      </w:r>
    </w:p>
    <w:p w14:paraId="446C4D75" w14:textId="77777777" w:rsidR="002D7367" w:rsidRPr="00FA0175" w:rsidRDefault="002D7367"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A0175">
        <w:rPr>
          <w:rFonts w:ascii="Arial" w:eastAsia="Times New Roman" w:hAnsi="Arial" w:cs="Arial"/>
          <w:lang w:eastAsia="cs-CZ"/>
        </w:rPr>
        <w:t>Z pohledu objemu financí jsou v českém systému VaV 4 typy „silových“ skupin výzkumných organizací – soukromé podniky pod zahraniční kontrolou (43,7 mld. Kč), vysoké školy (23,1 mld.</w:t>
      </w:r>
      <w:r w:rsidR="00435C1A" w:rsidRPr="00FA0175">
        <w:rPr>
          <w:rFonts w:ascii="Arial" w:eastAsia="Times New Roman" w:hAnsi="Arial" w:cs="Arial"/>
          <w:lang w:eastAsia="cs-CZ"/>
        </w:rPr>
        <w:t> </w:t>
      </w:r>
      <w:r w:rsidRPr="00FA0175">
        <w:rPr>
          <w:rFonts w:ascii="Arial" w:eastAsia="Times New Roman" w:hAnsi="Arial" w:cs="Arial"/>
          <w:lang w:eastAsia="cs-CZ"/>
        </w:rPr>
        <w:t>Kč), dále následují soukromé domácí podniky (23,1 mld. Kč) a s relativně velkým odstupem jsou na 4. místě ústavy AV ČR (14,6 mld. Kč).</w:t>
      </w:r>
    </w:p>
    <w:p w14:paraId="09E46CF4" w14:textId="77777777" w:rsidR="002D7367" w:rsidRPr="00BD32CB" w:rsidRDefault="002D7367"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A0175">
        <w:rPr>
          <w:rFonts w:ascii="Arial" w:eastAsia="Times New Roman" w:hAnsi="Arial" w:cs="Arial"/>
          <w:lang w:eastAsia="cs-CZ"/>
        </w:rPr>
        <w:t>Soukromé podniky v ČR jsou ze státního rozpočtu podporovány přímo (čerpaná podpora ze SR představovala v roce 2020 cca 4 mld. Kč) i nepřímo formou položek odčitatelných od základu daně z příjmů právnických osob (2,7 mld. Kč v roce 2019). Dlouhodobě vyšší objem nepřímé podpory využívaly velké podniky, a to především podniky pod zahraniční kontrolou.</w:t>
      </w:r>
    </w:p>
    <w:p w14:paraId="1B349240" w14:textId="77777777" w:rsidR="002D7367" w:rsidRPr="00BD32CB" w:rsidRDefault="002D7367"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A0175">
        <w:rPr>
          <w:rFonts w:ascii="Arial" w:eastAsia="Times New Roman" w:hAnsi="Arial" w:cs="Arial"/>
          <w:lang w:eastAsia="cs-CZ"/>
        </w:rPr>
        <w:t>V ČR je využíván pouze jeden typ nástroje nepřímé podpory (daňový odpočet), přičemž v zahraničí je nepřímá veřejná podpora VaV činnosti prováděné v podnikatelském sektoru obvykle poskytována součinností vícero nástrojů.</w:t>
      </w:r>
    </w:p>
    <w:p w14:paraId="4ADB7146" w14:textId="77777777" w:rsidR="00462013" w:rsidRPr="00D16BBB" w:rsidRDefault="00462013" w:rsidP="00462013">
      <w:pPr>
        <w:pStyle w:val="Obrzek-nadpis"/>
        <w:jc w:val="left"/>
      </w:pPr>
      <w:r w:rsidRPr="00D16BBB">
        <w:t>Vývoj přímé a nepřímé veřejn</w:t>
      </w:r>
      <w:r>
        <w:t>é</w:t>
      </w:r>
      <w:r w:rsidRPr="00D16BBB">
        <w:t xml:space="preserve"> podpor</w:t>
      </w:r>
      <w:r>
        <w:t>y</w:t>
      </w:r>
      <w:r w:rsidRPr="00D16BBB">
        <w:t xml:space="preserve"> VaV v soukromých podnicích v ČR</w:t>
      </w:r>
    </w:p>
    <w:p w14:paraId="5F9563F8" w14:textId="77777777" w:rsidR="00462013" w:rsidRPr="00D16BBB" w:rsidRDefault="00462013" w:rsidP="00462013">
      <w:pPr>
        <w:spacing w:after="0" w:line="360" w:lineRule="auto"/>
        <w:jc w:val="center"/>
        <w:rPr>
          <w:rFonts w:ascii="Arial" w:eastAsia="Times New Roman" w:hAnsi="Arial" w:cs="Arial"/>
          <w:lang w:eastAsia="cs-CZ"/>
        </w:rPr>
      </w:pPr>
      <w:r w:rsidRPr="00D16BBB">
        <w:rPr>
          <w:rFonts w:ascii="Arial" w:eastAsia="Times New Roman" w:hAnsi="Arial" w:cs="Arial"/>
          <w:noProof/>
          <w:lang w:eastAsia="cs-CZ"/>
        </w:rPr>
        <w:drawing>
          <wp:inline distT="0" distB="0" distL="0" distR="0" wp14:anchorId="023598EF" wp14:editId="5D38C00B">
            <wp:extent cx="5416032" cy="2865440"/>
            <wp:effectExtent l="0" t="0" r="0" b="0"/>
            <wp:docPr id="85" name="Obráze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b="6979"/>
                    <a:stretch/>
                  </pic:blipFill>
                  <pic:spPr bwMode="auto">
                    <a:xfrm>
                      <a:off x="0" y="0"/>
                      <a:ext cx="5419531" cy="2867291"/>
                    </a:xfrm>
                    <a:prstGeom prst="rect">
                      <a:avLst/>
                    </a:prstGeom>
                    <a:ln>
                      <a:noFill/>
                    </a:ln>
                    <a:extLst>
                      <a:ext uri="{53640926-AAD7-44D8-BBD7-CCE9431645EC}">
                        <a14:shadowObscured xmlns:a14="http://schemas.microsoft.com/office/drawing/2010/main"/>
                      </a:ext>
                    </a:extLst>
                  </pic:spPr>
                </pic:pic>
              </a:graphicData>
            </a:graphic>
          </wp:inline>
        </w:drawing>
      </w:r>
    </w:p>
    <w:p w14:paraId="0128FD42" w14:textId="77777777" w:rsidR="00462013" w:rsidRPr="00D16BBB" w:rsidRDefault="00462013" w:rsidP="00462013">
      <w:pPr>
        <w:pStyle w:val="Zdrojapoznmka"/>
      </w:pPr>
      <w:r w:rsidRPr="00D16BBB">
        <w:t>Zdroj: ČSÚ</w:t>
      </w:r>
      <w:r>
        <w:t xml:space="preserve"> | Pozn.: Průměrná roční nepřímá podpora veřejným podnikům byla ve sledovaném období 5 mil. Kč a využilo jí ročně do 10 podniků.</w:t>
      </w:r>
    </w:p>
    <w:p w14:paraId="1C88907D" w14:textId="77777777" w:rsidR="000C39F7" w:rsidRPr="002D7367" w:rsidRDefault="000C39F7">
      <w:pPr>
        <w:rPr>
          <w:rFonts w:ascii="Arial" w:eastAsia="Times New Roman" w:hAnsi="Arial" w:cs="Arial"/>
          <w:highlight w:val="yellow"/>
          <w:lang w:eastAsia="cs-CZ"/>
        </w:rPr>
      </w:pPr>
      <w:r w:rsidRPr="002D7367">
        <w:rPr>
          <w:rFonts w:ascii="Arial" w:eastAsia="Times New Roman" w:hAnsi="Arial" w:cs="Arial"/>
          <w:highlight w:val="yellow"/>
          <w:lang w:eastAsia="cs-CZ"/>
        </w:rPr>
        <w:br w:type="page"/>
      </w:r>
    </w:p>
    <w:p w14:paraId="3E1BD823" w14:textId="77777777" w:rsidR="00A92D5B" w:rsidRDefault="00A92D5B" w:rsidP="00FA0175">
      <w:pPr>
        <w:pStyle w:val="Nadpis1"/>
        <w:numPr>
          <w:ilvl w:val="0"/>
          <w:numId w:val="0"/>
        </w:numPr>
        <w:ind w:left="432" w:hanging="432"/>
      </w:pPr>
      <w:bookmarkStart w:id="8" w:name="_Toc87340759"/>
      <w:bookmarkStart w:id="9" w:name="_Toc92369586"/>
      <w:r w:rsidRPr="0004149B">
        <w:lastRenderedPageBreak/>
        <w:t xml:space="preserve">Financování výzkumu </w:t>
      </w:r>
      <w:r w:rsidR="00361051" w:rsidRPr="0004149B">
        <w:t>a </w:t>
      </w:r>
      <w:r w:rsidRPr="0004149B">
        <w:t>vývoje ze státníh</w:t>
      </w:r>
      <w:r w:rsidR="00361051" w:rsidRPr="0004149B">
        <w:t>o</w:t>
      </w:r>
      <w:r w:rsidR="002822E0" w:rsidRPr="0004149B">
        <w:t xml:space="preserve"> </w:t>
      </w:r>
      <w:r w:rsidRPr="0004149B">
        <w:t>rozpočtu</w:t>
      </w:r>
      <w:bookmarkEnd w:id="8"/>
      <w:bookmarkEnd w:id="9"/>
    </w:p>
    <w:p w14:paraId="4D3F9C0E" w14:textId="77777777" w:rsidR="00462013" w:rsidRDefault="00FA0175" w:rsidP="007A5EC1">
      <w:pPr>
        <w:spacing w:after="0" w:line="360" w:lineRule="auto"/>
        <w:ind w:firstLine="708"/>
        <w:jc w:val="both"/>
        <w:rPr>
          <w:rFonts w:ascii="Arial" w:eastAsia="Times New Roman" w:hAnsi="Arial" w:cs="Arial"/>
          <w:lang w:eastAsia="cs-CZ"/>
        </w:rPr>
      </w:pPr>
      <w:r w:rsidRPr="00CC1174">
        <w:rPr>
          <w:rFonts w:ascii="Arial" w:eastAsia="Times New Roman" w:hAnsi="Arial" w:cs="Arial"/>
          <w:lang w:eastAsia="cs-CZ"/>
        </w:rPr>
        <w:t>Příprava návrhu státního rozpočtu na V</w:t>
      </w:r>
      <w:r>
        <w:rPr>
          <w:rFonts w:ascii="Arial" w:eastAsia="Times New Roman" w:hAnsi="Arial" w:cs="Arial"/>
          <w:lang w:eastAsia="cs-CZ"/>
        </w:rPr>
        <w:t xml:space="preserve">aVaI je kontinuální a komplexní. </w:t>
      </w:r>
      <w:r w:rsidRPr="00CC1174">
        <w:rPr>
          <w:rFonts w:ascii="Arial" w:eastAsia="Times New Roman" w:hAnsi="Arial" w:cs="Arial"/>
          <w:lang w:eastAsia="cs-CZ"/>
        </w:rPr>
        <w:t>Podle § 35 odst. 2</w:t>
      </w:r>
      <w:r w:rsidR="007A5EC1">
        <w:rPr>
          <w:rFonts w:ascii="Arial" w:eastAsia="Times New Roman" w:hAnsi="Arial" w:cs="Arial"/>
          <w:lang w:eastAsia="cs-CZ"/>
        </w:rPr>
        <w:t> </w:t>
      </w:r>
      <w:r w:rsidRPr="00CC1174">
        <w:rPr>
          <w:rFonts w:ascii="Arial" w:eastAsia="Times New Roman" w:hAnsi="Arial" w:cs="Arial"/>
          <w:lang w:eastAsia="cs-CZ"/>
        </w:rPr>
        <w:t>písm. k) a l) zákona č. 130/2002 Sb., o podpoře výzkumu, experimentálního vývoje a inovací R</w:t>
      </w:r>
      <w:r>
        <w:rPr>
          <w:rFonts w:ascii="Arial" w:eastAsia="Times New Roman" w:hAnsi="Arial" w:cs="Arial"/>
          <w:lang w:eastAsia="cs-CZ"/>
        </w:rPr>
        <w:t>ada pro výzkum, vývoj a inovace</w:t>
      </w:r>
      <w:r w:rsidRPr="00CC1174">
        <w:rPr>
          <w:rFonts w:ascii="Arial" w:eastAsia="Times New Roman" w:hAnsi="Arial" w:cs="Arial"/>
          <w:lang w:eastAsia="cs-CZ"/>
        </w:rPr>
        <w:t xml:space="preserve"> </w:t>
      </w:r>
      <w:r>
        <w:rPr>
          <w:rFonts w:ascii="Arial" w:eastAsia="Times New Roman" w:hAnsi="Arial" w:cs="Arial"/>
          <w:lang w:eastAsia="cs-CZ"/>
        </w:rPr>
        <w:t xml:space="preserve">každoročně </w:t>
      </w:r>
      <w:r w:rsidRPr="00CC1174">
        <w:rPr>
          <w:rFonts w:ascii="Arial" w:eastAsia="Times New Roman" w:hAnsi="Arial" w:cs="Arial"/>
          <w:lang w:eastAsia="cs-CZ"/>
        </w:rPr>
        <w:t>zabezpečuje zpracování návrhu výše celkových výdajů na VaVaI jednotlivých rozpočtových kapitol a jejich střednědobý výhled.</w:t>
      </w:r>
      <w:r w:rsidR="007A5EC1">
        <w:rPr>
          <w:rFonts w:ascii="Arial" w:eastAsia="Times New Roman" w:hAnsi="Arial" w:cs="Arial"/>
          <w:lang w:eastAsia="cs-CZ"/>
        </w:rPr>
        <w:t xml:space="preserve"> </w:t>
      </w:r>
      <w:bookmarkStart w:id="10" w:name="_Toc87340760"/>
      <w:r w:rsidR="00462013" w:rsidRPr="00980403">
        <w:rPr>
          <w:rFonts w:ascii="Arial" w:eastAsia="Times New Roman" w:hAnsi="Arial" w:cs="Arial"/>
          <w:lang w:eastAsia="cs-CZ"/>
        </w:rPr>
        <w:t>Veřejné domácí zdroje určené k provádění výzkumu, vývoje a inovací v ČR tvoří primárně státní rozpočet na výzkum, vývoj a</w:t>
      </w:r>
      <w:r w:rsidR="007A5EC1">
        <w:rPr>
          <w:rFonts w:ascii="Arial" w:eastAsia="Times New Roman" w:hAnsi="Arial" w:cs="Arial"/>
          <w:lang w:eastAsia="cs-CZ"/>
        </w:rPr>
        <w:t> </w:t>
      </w:r>
      <w:r w:rsidR="00462013" w:rsidRPr="00980403">
        <w:rPr>
          <w:rFonts w:ascii="Arial" w:eastAsia="Times New Roman" w:hAnsi="Arial" w:cs="Arial"/>
          <w:lang w:eastAsia="cs-CZ"/>
        </w:rPr>
        <w:t>inovace, který v roce 2020 dosáhl 36,25 mld. Kč.</w:t>
      </w:r>
    </w:p>
    <w:p w14:paraId="1C52A572" w14:textId="77777777" w:rsidR="007A5EC1" w:rsidRPr="008029D2" w:rsidRDefault="007A5EC1" w:rsidP="007A5EC1">
      <w:pPr>
        <w:pStyle w:val="Obrzek-nadpis"/>
        <w:spacing w:before="0" w:after="120"/>
      </w:pPr>
      <w:r w:rsidRPr="008029D2">
        <w:t>Vývoj celkových rozpočtovaných výdajů státního rozpočtu na VaVaI (v mld. Kč)</w:t>
      </w:r>
    </w:p>
    <w:p w14:paraId="29A1D085" w14:textId="77777777" w:rsidR="007A5EC1" w:rsidRPr="00CC1174" w:rsidRDefault="007A5EC1" w:rsidP="007A5EC1">
      <w:pPr>
        <w:jc w:val="center"/>
        <w:rPr>
          <w:rFonts w:ascii="Arial" w:eastAsia="Times New Roman" w:hAnsi="Arial" w:cs="Arial"/>
          <w:highlight w:val="yellow"/>
          <w:lang w:eastAsia="cs-CZ"/>
        </w:rPr>
      </w:pPr>
      <w:r>
        <w:rPr>
          <w:noProof/>
          <w:lang w:eastAsia="cs-CZ"/>
        </w:rPr>
        <w:drawing>
          <wp:inline distT="0" distB="0" distL="0" distR="0" wp14:anchorId="652C612E" wp14:editId="729903DD">
            <wp:extent cx="5940000" cy="3420000"/>
            <wp:effectExtent l="0" t="0" r="0" b="0"/>
            <wp:docPr id="52" name="Graf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3FC94A72" w14:textId="77777777" w:rsidR="007A5EC1" w:rsidRPr="008029D2" w:rsidRDefault="007A5EC1" w:rsidP="007A5EC1">
      <w:pPr>
        <w:pStyle w:val="Zdrojapoznmka"/>
      </w:pPr>
      <w:r w:rsidRPr="008029D2">
        <w:t>Zdroj: zákony o státních rozpočtech v příslušných letech</w:t>
      </w:r>
    </w:p>
    <w:p w14:paraId="2839BFDF" w14:textId="77777777" w:rsidR="00462013" w:rsidRPr="007A5EC1" w:rsidRDefault="00462013"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Zabezpečení zpracování návrhu výdajů státního rozpočtu na VaVaI a jejich střednědobý výhled je v kompetenci Rady pro výzkum, vývoj a inovace. Návrh je od roku 2017 strukturován do 15</w:t>
      </w:r>
      <w:r w:rsidR="00BA543E" w:rsidRPr="007A5EC1">
        <w:rPr>
          <w:rFonts w:ascii="Arial" w:eastAsia="Times New Roman" w:hAnsi="Arial" w:cs="Arial"/>
          <w:lang w:eastAsia="cs-CZ"/>
        </w:rPr>
        <w:t> </w:t>
      </w:r>
      <w:r w:rsidRPr="007A5EC1">
        <w:rPr>
          <w:rFonts w:ascii="Arial" w:eastAsia="Times New Roman" w:hAnsi="Arial" w:cs="Arial"/>
          <w:lang w:eastAsia="cs-CZ"/>
        </w:rPr>
        <w:t>rozpočtových kapitol, přičemž prostředky rozpočtované na jejich „provoz“ činily v roce 2020 celkem 2 389 mil. Kč, tj. 6,6 % rozpočtovaných výdajů.</w:t>
      </w:r>
    </w:p>
    <w:p w14:paraId="4A829A4A" w14:textId="77777777" w:rsidR="00462013" w:rsidRPr="007A5EC1" w:rsidRDefault="00462013"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U institucionálních výdajů došlo meziročně k navýšení o 1,03 mld. Kč, naopak účelové výdaje poklesly o 0,75 mld. Kč. Podle údajů IS VaVaI vysoké školy v roce 2020 čerpaly podporu ze státního rozpočtu (bez podpory z operačních programů) ve výši 16 mld. Kč, ústavy AV ČR 8,3</w:t>
      </w:r>
      <w:r w:rsidR="00BA543E" w:rsidRPr="007A5EC1">
        <w:rPr>
          <w:rFonts w:ascii="Arial" w:eastAsia="Times New Roman" w:hAnsi="Arial" w:cs="Arial"/>
          <w:lang w:eastAsia="cs-CZ"/>
        </w:rPr>
        <w:t> </w:t>
      </w:r>
      <w:r w:rsidRPr="007A5EC1">
        <w:rPr>
          <w:rFonts w:ascii="Arial" w:eastAsia="Times New Roman" w:hAnsi="Arial" w:cs="Arial"/>
          <w:lang w:eastAsia="cs-CZ"/>
        </w:rPr>
        <w:t>mld. Kč, subjekty podnikatelského sektoru necelých 5 mld. Kč a ostatní výzkumné organizace 3,5 mld. Kč.</w:t>
      </w:r>
    </w:p>
    <w:p w14:paraId="0F65DF47" w14:textId="77777777" w:rsidR="00462013" w:rsidRPr="007A5EC1" w:rsidRDefault="00462013"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 xml:space="preserve">Instituce provádějící výzkum a vývoj jsou financovány vícezdrojově – z celkové podpory v roce 2020 tvořila účelová složka podpory výrazně převažující podíl pouze u podniků, u ostatních typů výzkumných organizací je viditelný trend postupného navyšování podílu institucionální podpory. U subjektů v podnikatelském sektoru lze zásadní převahu účelové podpory považovat </w:t>
      </w:r>
      <w:r w:rsidRPr="007A5EC1">
        <w:rPr>
          <w:rFonts w:ascii="Arial" w:eastAsia="Times New Roman" w:hAnsi="Arial" w:cs="Arial"/>
          <w:lang w:eastAsia="cs-CZ"/>
        </w:rPr>
        <w:lastRenderedPageBreak/>
        <w:t>za</w:t>
      </w:r>
      <w:r w:rsidR="00BA543E" w:rsidRPr="007A5EC1">
        <w:rPr>
          <w:rFonts w:ascii="Arial" w:eastAsia="Times New Roman" w:hAnsi="Arial" w:cs="Arial"/>
          <w:lang w:eastAsia="cs-CZ"/>
        </w:rPr>
        <w:t> </w:t>
      </w:r>
      <w:r w:rsidRPr="007A5EC1">
        <w:rPr>
          <w:rFonts w:ascii="Arial" w:eastAsia="Times New Roman" w:hAnsi="Arial" w:cs="Arial"/>
          <w:lang w:eastAsia="cs-CZ"/>
        </w:rPr>
        <w:t>žádoucí, avšak u veřejných subjektů by indikoval zvýšené riziko meziroční nestability ve</w:t>
      </w:r>
      <w:r w:rsidR="00BA543E" w:rsidRPr="007A5EC1">
        <w:rPr>
          <w:rFonts w:ascii="Arial" w:eastAsia="Times New Roman" w:hAnsi="Arial" w:cs="Arial"/>
          <w:lang w:eastAsia="cs-CZ"/>
        </w:rPr>
        <w:t> </w:t>
      </w:r>
      <w:r w:rsidRPr="007A5EC1">
        <w:rPr>
          <w:rFonts w:ascii="Arial" w:eastAsia="Times New Roman" w:hAnsi="Arial" w:cs="Arial"/>
          <w:lang w:eastAsia="cs-CZ"/>
        </w:rPr>
        <w:t>financování.</w:t>
      </w:r>
    </w:p>
    <w:p w14:paraId="52336AD4" w14:textId="77777777" w:rsidR="00462013" w:rsidRPr="007A5EC1" w:rsidRDefault="00462013"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Největší objem institucionální podpory na dlouhodobý koncepční rozvoj výzkumných organizací poskytují v ČR ze svých kapitol MŠMT a Akademie věd ČR. V roce 2020 čerpaly veřejné a</w:t>
      </w:r>
      <w:r w:rsidR="00BA543E" w:rsidRPr="007A5EC1">
        <w:rPr>
          <w:rFonts w:ascii="Arial" w:eastAsia="Times New Roman" w:hAnsi="Arial" w:cs="Arial"/>
          <w:lang w:eastAsia="cs-CZ"/>
        </w:rPr>
        <w:t> </w:t>
      </w:r>
      <w:r w:rsidRPr="007A5EC1">
        <w:rPr>
          <w:rFonts w:ascii="Arial" w:eastAsia="Times New Roman" w:hAnsi="Arial" w:cs="Arial"/>
          <w:lang w:eastAsia="cs-CZ"/>
        </w:rPr>
        <w:t>soukromé vysoké školy prostředky na dlouhodobý koncepční rozvoj ve výši téměř 7,7 mld. Kč a ústavy AV ČR čerpaly 4,16 mld. Kč.</w:t>
      </w:r>
    </w:p>
    <w:p w14:paraId="19961E29" w14:textId="77777777" w:rsidR="00462013" w:rsidRPr="007A5EC1" w:rsidRDefault="00462013"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Vysokým školám je z kapitoly MŠMT poskytována podpora na specifický vysokoškolský výzkum (1,2 mld. Kč), která má charakter institucionální podpory. Ústavům AV ČR je zase v rámci kapitoly AV ČR poskytována podpora tzv. náklady na činnost (2 mld. Kč), která je z velké části čerpána na aktivity spojené s VaVaI, v rámci této položky je např. hrazen poplatek ELI-ERIC ve výši 210 mil. Kč ročně.</w:t>
      </w:r>
    </w:p>
    <w:p w14:paraId="2F0FC7E3" w14:textId="77777777" w:rsidR="00462013" w:rsidRPr="007A5EC1" w:rsidRDefault="00462013"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Účelovou podporu poskytují zejména Grantová agentura ČR – využívají ji především vysoké školy a ústavy AV ČR, Technologická agentura ČR – podpora směřuje především do podniků a</w:t>
      </w:r>
      <w:r w:rsidR="00435C1A" w:rsidRPr="007A5EC1">
        <w:rPr>
          <w:rFonts w:ascii="Arial" w:eastAsia="Times New Roman" w:hAnsi="Arial" w:cs="Arial"/>
          <w:lang w:eastAsia="cs-CZ"/>
        </w:rPr>
        <w:t> </w:t>
      </w:r>
      <w:r w:rsidRPr="007A5EC1">
        <w:rPr>
          <w:rFonts w:ascii="Arial" w:eastAsia="Times New Roman" w:hAnsi="Arial" w:cs="Arial"/>
          <w:lang w:eastAsia="cs-CZ"/>
        </w:rPr>
        <w:t>vysokých škol. Účelovou podporu ostatních resortů kromě jimi zřízených subjektů s úspěchem využívají také vysoké školy.</w:t>
      </w:r>
    </w:p>
    <w:p w14:paraId="0B7423C3" w14:textId="77777777" w:rsidR="00462013" w:rsidRPr="007A5EC1" w:rsidRDefault="00462013"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Účelová podpora poskytovaná z kapitoly MŠMT je specifická v tom, že zahrnuje dotační tituly na Projekty velkých infrastruktur pro VaVaI a Specifický vysokoškolský výzkum, které však mají charakter spíše institucionální podpory, kdy podpora není poskytnuta po provedení veřejné soutěže. Navíc finanční prostředky z programů Národní plán udržitelnosti I a II končící v roce 2020 postupně přecházely do položky podpora na dlouhodobý koncepční rozvoj výzkumných organizací.</w:t>
      </w:r>
    </w:p>
    <w:p w14:paraId="018CB095" w14:textId="77777777" w:rsidR="00462013" w:rsidRPr="007A5EC1" w:rsidRDefault="00462013"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Z oborového hlediska směřuje účelová podpora v ČR především do oborových skupin Průmysl (4,6 mld. Kč) následovaný Společenskými a humanitními vědami (1,7 mld. Kč), Biovědami (1,6</w:t>
      </w:r>
      <w:r w:rsidR="00BA543E" w:rsidRPr="007A5EC1">
        <w:rPr>
          <w:rFonts w:ascii="Arial" w:eastAsia="Times New Roman" w:hAnsi="Arial" w:cs="Arial"/>
          <w:lang w:eastAsia="cs-CZ"/>
        </w:rPr>
        <w:t> </w:t>
      </w:r>
      <w:r w:rsidRPr="007A5EC1">
        <w:rPr>
          <w:rFonts w:ascii="Arial" w:eastAsia="Times New Roman" w:hAnsi="Arial" w:cs="Arial"/>
          <w:lang w:eastAsia="cs-CZ"/>
        </w:rPr>
        <w:t>mld. Kč) a Lékařskými vědami (1,3 mld. Kč). Finanční podporu přesahující 1 mld. Kč vykázaly také skupiny Chemie a Fyzika a matematika.</w:t>
      </w:r>
    </w:p>
    <w:p w14:paraId="0D5EF536" w14:textId="77777777" w:rsidR="00462013" w:rsidRPr="007A5EC1" w:rsidRDefault="00462013"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 xml:space="preserve">Od roku 2017 dochází u nově zahájených projektů ke vkládání dat do informačního systému výzkumu, vývoje a inovací ve struktuře OECD </w:t>
      </w:r>
      <w:r w:rsidRPr="00BD32CB">
        <w:rPr>
          <w:rFonts w:ascii="Arial" w:eastAsia="Times New Roman" w:hAnsi="Arial" w:cs="Arial"/>
          <w:lang w:eastAsia="cs-CZ"/>
        </w:rPr>
        <w:t>Fields</w:t>
      </w:r>
      <w:r w:rsidRPr="007A5EC1">
        <w:rPr>
          <w:rFonts w:ascii="Arial" w:eastAsia="Times New Roman" w:hAnsi="Arial" w:cs="Arial"/>
          <w:lang w:eastAsia="cs-CZ"/>
        </w:rPr>
        <w:t xml:space="preserve"> </w:t>
      </w:r>
      <w:r w:rsidRPr="00BD32CB">
        <w:rPr>
          <w:rFonts w:ascii="Arial" w:eastAsia="Times New Roman" w:hAnsi="Arial" w:cs="Arial"/>
          <w:lang w:eastAsia="cs-CZ"/>
        </w:rPr>
        <w:t>of</w:t>
      </w:r>
      <w:r w:rsidRPr="007A5EC1">
        <w:rPr>
          <w:rFonts w:ascii="Arial" w:eastAsia="Times New Roman" w:hAnsi="Arial" w:cs="Arial"/>
          <w:lang w:eastAsia="cs-CZ"/>
        </w:rPr>
        <w:t xml:space="preserve"> </w:t>
      </w:r>
      <w:r w:rsidRPr="00BD32CB">
        <w:rPr>
          <w:rFonts w:ascii="Arial" w:eastAsia="Times New Roman" w:hAnsi="Arial" w:cs="Arial"/>
          <w:lang w:eastAsia="cs-CZ"/>
        </w:rPr>
        <w:t>Research</w:t>
      </w:r>
      <w:r w:rsidRPr="007A5EC1">
        <w:rPr>
          <w:rFonts w:ascii="Arial" w:eastAsia="Times New Roman" w:hAnsi="Arial" w:cs="Arial"/>
          <w:lang w:eastAsia="cs-CZ"/>
        </w:rPr>
        <w:t xml:space="preserve"> and </w:t>
      </w:r>
      <w:r w:rsidRPr="00BD32CB">
        <w:rPr>
          <w:rFonts w:ascii="Arial" w:eastAsia="Times New Roman" w:hAnsi="Arial" w:cs="Arial"/>
          <w:lang w:eastAsia="cs-CZ"/>
        </w:rPr>
        <w:t>Development</w:t>
      </w:r>
      <w:r w:rsidRPr="007A5EC1">
        <w:rPr>
          <w:rFonts w:ascii="Arial" w:eastAsia="Times New Roman" w:hAnsi="Arial" w:cs="Arial"/>
          <w:lang w:eastAsia="cs-CZ"/>
        </w:rPr>
        <w:t>. Převedení číselníku do struktury OECD bylo nezbytné pro realizaci národní úrovně hodnocení výzkumných organizací podle Metodiky 2017+.</w:t>
      </w:r>
    </w:p>
    <w:p w14:paraId="0EF1CB20" w14:textId="77777777" w:rsidR="00462013" w:rsidRPr="00BD32CB" w:rsidRDefault="00462013"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Institucionální podporu nelze v současnosti spolehlivě oborově členit z důvodu chybějících dat o distribuci uvnitř výzkumných organizací (zejména vysokých škol).</w:t>
      </w:r>
    </w:p>
    <w:p w14:paraId="6D0A3392" w14:textId="77777777" w:rsidR="00462013" w:rsidRPr="00BD32CB" w:rsidRDefault="00462013"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Podle statistik OECD směřovalo ve veřejném sektoru nejvíce výdajů na VaV v ČR do oboru Natural Sciences (50 %), u ostatních států se pohybuje podíl financí na VaV v tomto oboru mezi 14–40 %. Podíl výdajů na VaV ve veřejném sektoru zaměřených na obor Medical and Health Sciences dosahoval v ČR 11 %, což jak minulé analýzy ukázaly, představuje oproti Dánsku či Nizozemsku výrazně nižší podíl. V případě podnikatelského sektoru je vidět dominance oboru Engineering and Technology.</w:t>
      </w:r>
    </w:p>
    <w:bookmarkEnd w:id="10"/>
    <w:p w14:paraId="3B695F4A" w14:textId="77777777" w:rsidR="002A3E10" w:rsidRPr="002D7367" w:rsidRDefault="002A3E10" w:rsidP="002A3E10">
      <w:pPr>
        <w:spacing w:after="0" w:line="360" w:lineRule="auto"/>
        <w:ind w:firstLine="708"/>
        <w:jc w:val="both"/>
        <w:rPr>
          <w:rFonts w:ascii="Arial" w:eastAsia="Times New Roman" w:hAnsi="Arial" w:cs="Arial"/>
          <w:highlight w:val="yellow"/>
          <w:lang w:eastAsia="cs-CZ"/>
        </w:rPr>
        <w:sectPr w:rsidR="002A3E10" w:rsidRPr="002D7367" w:rsidSect="00E454E8">
          <w:headerReference w:type="first" r:id="rId15"/>
          <w:pgSz w:w="11906" w:h="16838"/>
          <w:pgMar w:top="1134" w:right="1134" w:bottom="1134" w:left="1134" w:header="709" w:footer="709" w:gutter="0"/>
          <w:cols w:space="708"/>
          <w:docGrid w:linePitch="360"/>
        </w:sectPr>
      </w:pPr>
    </w:p>
    <w:p w14:paraId="547963B0" w14:textId="77777777" w:rsidR="002A3E10" w:rsidRPr="0004149B" w:rsidRDefault="002A3E10" w:rsidP="00496AAE">
      <w:pPr>
        <w:pStyle w:val="Obrzek-nadpis"/>
        <w:spacing w:before="0" w:after="120"/>
        <w:jc w:val="left"/>
      </w:pPr>
      <w:r w:rsidRPr="0004149B">
        <w:lastRenderedPageBreak/>
        <w:t>Tvorba návrh</w:t>
      </w:r>
      <w:r w:rsidR="00462013" w:rsidRPr="0004149B">
        <w:t>u výdajů SR na VaVaI na rok 2020</w:t>
      </w:r>
      <w:r w:rsidRPr="0004149B">
        <w:t xml:space="preserve"> (v mil. Kč): odpovědnost kapitol, role ústředního orgánu a finanční toky (bez</w:t>
      </w:r>
      <w:r w:rsidR="002840AB" w:rsidRPr="0004149B">
        <w:t> </w:t>
      </w:r>
      <w:r w:rsidRPr="0004149B">
        <w:t>evropských finančních zdrojů a jejich spolufinancování ze SR)</w:t>
      </w:r>
    </w:p>
    <w:p w14:paraId="4FF22D8E" w14:textId="77777777" w:rsidR="002A3E10" w:rsidRPr="002D7367" w:rsidRDefault="00462013" w:rsidP="002A3E10">
      <w:pPr>
        <w:pStyle w:val="Obrzek-nadpis"/>
        <w:spacing w:before="0" w:after="120"/>
        <w:jc w:val="center"/>
        <w:rPr>
          <w:highlight w:val="yellow"/>
        </w:rPr>
      </w:pPr>
      <w:r>
        <w:rPr>
          <w:noProof/>
        </w:rPr>
        <w:drawing>
          <wp:inline distT="0" distB="0" distL="0" distR="0" wp14:anchorId="73363389" wp14:editId="01641186">
            <wp:extent cx="7578975" cy="5414838"/>
            <wp:effectExtent l="0" t="0" r="3175" b="0"/>
            <wp:docPr id="119" name="Obráze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7580991" cy="5416278"/>
                    </a:xfrm>
                    <a:prstGeom prst="rect">
                      <a:avLst/>
                    </a:prstGeom>
                  </pic:spPr>
                </pic:pic>
              </a:graphicData>
            </a:graphic>
          </wp:inline>
        </w:drawing>
      </w:r>
    </w:p>
    <w:p w14:paraId="18CA7987" w14:textId="77777777" w:rsidR="002A3E10" w:rsidRPr="002D7367" w:rsidRDefault="002A3E10" w:rsidP="002A3E10">
      <w:pPr>
        <w:pStyle w:val="Obrzek"/>
        <w:rPr>
          <w:highlight w:val="yellow"/>
        </w:rPr>
      </w:pPr>
    </w:p>
    <w:p w14:paraId="2AA4FAD3" w14:textId="77777777" w:rsidR="002A3E10" w:rsidRPr="002D7367" w:rsidRDefault="002A3E10" w:rsidP="002A3E10">
      <w:pPr>
        <w:spacing w:after="0" w:line="360" w:lineRule="auto"/>
        <w:ind w:firstLine="708"/>
        <w:jc w:val="both"/>
        <w:rPr>
          <w:rFonts w:ascii="Arial" w:eastAsia="Times New Roman" w:hAnsi="Arial" w:cs="Arial"/>
          <w:highlight w:val="yellow"/>
          <w:lang w:eastAsia="cs-CZ"/>
        </w:rPr>
        <w:sectPr w:rsidR="002A3E10" w:rsidRPr="002D7367" w:rsidSect="00BF13E7">
          <w:pgSz w:w="16838" w:h="11906" w:orient="landscape"/>
          <w:pgMar w:top="1134" w:right="1134" w:bottom="1134" w:left="1134" w:header="709" w:footer="709" w:gutter="0"/>
          <w:cols w:space="708"/>
          <w:docGrid w:linePitch="360"/>
        </w:sectPr>
      </w:pPr>
    </w:p>
    <w:p w14:paraId="16372EC5" w14:textId="77777777" w:rsidR="0004149B" w:rsidRPr="00D61005" w:rsidRDefault="0004149B" w:rsidP="0004149B">
      <w:pPr>
        <w:pStyle w:val="Obrzek-nadpis"/>
        <w:spacing w:before="0" w:after="120"/>
      </w:pPr>
      <w:r w:rsidRPr="00D61005">
        <w:lastRenderedPageBreak/>
        <w:t xml:space="preserve">Způsob financování výzkumu a vývoje ze státního rozpočtu s objemy prostředků </w:t>
      </w:r>
      <w:r>
        <w:t xml:space="preserve">vynaložených </w:t>
      </w:r>
      <w:r w:rsidRPr="00D61005">
        <w:t>v roce 2020 (v mil. Kč)</w:t>
      </w:r>
    </w:p>
    <w:tbl>
      <w:tblPr>
        <w:tblStyle w:val="Mkatabul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1"/>
        <w:gridCol w:w="3844"/>
        <w:gridCol w:w="3213"/>
      </w:tblGrid>
      <w:tr w:rsidR="0004149B" w:rsidRPr="00D61005" w14:paraId="4CB98B09" w14:textId="77777777" w:rsidTr="0004149B">
        <w:tc>
          <w:tcPr>
            <w:tcW w:w="1339" w:type="pct"/>
            <w:vAlign w:val="center"/>
          </w:tcPr>
          <w:p w14:paraId="5E0A054B" w14:textId="77777777" w:rsidR="0004149B" w:rsidRPr="00D61005" w:rsidRDefault="0004149B" w:rsidP="0004149B">
            <w:pPr>
              <w:pStyle w:val="Obrzek-nadpis"/>
              <w:spacing w:before="0" w:after="120"/>
              <w:jc w:val="center"/>
              <w:rPr>
                <w:rFonts w:ascii="Times New Roman" w:hAnsi="Times New Roman"/>
              </w:rPr>
            </w:pPr>
            <w:r w:rsidRPr="00D61005">
              <w:rPr>
                <w:rFonts w:ascii="Times New Roman" w:hAnsi="Times New Roman"/>
              </w:rPr>
              <w:t>Poskytovatelé</w:t>
            </w:r>
          </w:p>
        </w:tc>
        <w:tc>
          <w:tcPr>
            <w:tcW w:w="1994" w:type="pct"/>
            <w:vAlign w:val="center"/>
          </w:tcPr>
          <w:p w14:paraId="417A0442" w14:textId="77777777" w:rsidR="0004149B" w:rsidRPr="00D61005" w:rsidRDefault="0004149B" w:rsidP="0004149B">
            <w:pPr>
              <w:pStyle w:val="Obrzek-nadpis"/>
              <w:spacing w:before="0" w:after="120"/>
              <w:jc w:val="center"/>
              <w:rPr>
                <w:rFonts w:ascii="Times New Roman" w:hAnsi="Times New Roman"/>
              </w:rPr>
            </w:pPr>
            <w:r w:rsidRPr="00D61005">
              <w:rPr>
                <w:rFonts w:ascii="Times New Roman" w:hAnsi="Times New Roman"/>
              </w:rPr>
              <w:t>Kategorie podpor</w:t>
            </w:r>
          </w:p>
        </w:tc>
        <w:tc>
          <w:tcPr>
            <w:tcW w:w="1667" w:type="pct"/>
            <w:vAlign w:val="center"/>
          </w:tcPr>
          <w:p w14:paraId="0102350B" w14:textId="77777777" w:rsidR="0004149B" w:rsidRPr="00D61005" w:rsidRDefault="0004149B" w:rsidP="0004149B">
            <w:pPr>
              <w:pStyle w:val="Obrzek-nadpis"/>
              <w:spacing w:before="0" w:after="120"/>
              <w:jc w:val="center"/>
              <w:rPr>
                <w:rFonts w:ascii="Times New Roman" w:hAnsi="Times New Roman"/>
              </w:rPr>
            </w:pPr>
            <w:r w:rsidRPr="00D61005">
              <w:rPr>
                <w:rFonts w:ascii="Times New Roman" w:hAnsi="Times New Roman"/>
              </w:rPr>
              <w:t>Subjekty provádějící VaVaI</w:t>
            </w:r>
          </w:p>
        </w:tc>
      </w:tr>
      <w:tr w:rsidR="0004149B" w:rsidRPr="00D61005" w14:paraId="674A15D0" w14:textId="77777777" w:rsidTr="0004149B">
        <w:tc>
          <w:tcPr>
            <w:tcW w:w="1339" w:type="pct"/>
            <w:vAlign w:val="center"/>
          </w:tcPr>
          <w:p w14:paraId="0517C046"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Rozpočtované výdaje SR</w:t>
            </w:r>
          </w:p>
        </w:tc>
        <w:tc>
          <w:tcPr>
            <w:tcW w:w="1994" w:type="pct"/>
            <w:vAlign w:val="center"/>
          </w:tcPr>
          <w:p w14:paraId="7B3800DD"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Rozpočtované výdaje SR</w:t>
            </w:r>
          </w:p>
        </w:tc>
        <w:tc>
          <w:tcPr>
            <w:tcW w:w="1667" w:type="pct"/>
            <w:vAlign w:val="center"/>
          </w:tcPr>
          <w:p w14:paraId="2E860A68"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Čerpaná podpora SR</w:t>
            </w:r>
          </w:p>
        </w:tc>
      </w:tr>
      <w:tr w:rsidR="0004149B" w:rsidRPr="00D61005" w14:paraId="1F72C72C" w14:textId="77777777" w:rsidTr="0004149B">
        <w:tc>
          <w:tcPr>
            <w:tcW w:w="1339" w:type="pct"/>
            <w:vAlign w:val="center"/>
          </w:tcPr>
          <w:p w14:paraId="2033CB32"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36 180</w:t>
            </w:r>
          </w:p>
        </w:tc>
        <w:tc>
          <w:tcPr>
            <w:tcW w:w="1994" w:type="pct"/>
            <w:vAlign w:val="center"/>
          </w:tcPr>
          <w:p w14:paraId="7E06EF96"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33 859</w:t>
            </w:r>
          </w:p>
        </w:tc>
        <w:tc>
          <w:tcPr>
            <w:tcW w:w="1667" w:type="pct"/>
            <w:vAlign w:val="center"/>
          </w:tcPr>
          <w:p w14:paraId="6B22570F"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32 675</w:t>
            </w:r>
          </w:p>
        </w:tc>
      </w:tr>
      <w:tr w:rsidR="0004149B" w:rsidRPr="00D61005" w14:paraId="436FDFCD" w14:textId="77777777" w:rsidTr="0004149B">
        <w:tc>
          <w:tcPr>
            <w:tcW w:w="1339" w:type="pct"/>
            <w:vAlign w:val="center"/>
          </w:tcPr>
          <w:p w14:paraId="114FAC0B"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z toho náklady na činnost,</w:t>
            </w:r>
          </w:p>
          <w:p w14:paraId="3887D94B"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hodnocení projektů, ad.</w:t>
            </w:r>
          </w:p>
          <w:p w14:paraId="4EA7EE08" w14:textId="77777777" w:rsidR="0004149B" w:rsidRPr="00D61005" w:rsidRDefault="0004149B" w:rsidP="0004149B">
            <w:pPr>
              <w:pStyle w:val="Obrzek-nadpis"/>
              <w:spacing w:before="0" w:after="0"/>
              <w:jc w:val="center"/>
              <w:rPr>
                <w:rFonts w:ascii="Times New Roman" w:hAnsi="Times New Roman"/>
                <w:b w:val="0"/>
                <w:lang w:val="en-GB"/>
              </w:rPr>
            </w:pPr>
            <w:r w:rsidRPr="00D61005">
              <w:rPr>
                <w:rFonts w:ascii="Times New Roman" w:hAnsi="Times New Roman"/>
                <w:b w:val="0"/>
                <w:lang w:val="en-GB"/>
              </w:rPr>
              <w:t>[2 321]</w:t>
            </w:r>
          </w:p>
          <w:p w14:paraId="1B63964E" w14:textId="77777777" w:rsidR="0004149B" w:rsidRPr="00D61005" w:rsidRDefault="0004149B" w:rsidP="0004149B">
            <w:pPr>
              <w:pStyle w:val="Obrzek-nadpis"/>
              <w:spacing w:before="0" w:after="0"/>
              <w:jc w:val="center"/>
              <w:rPr>
                <w:rFonts w:ascii="Times New Roman" w:hAnsi="Times New Roman"/>
                <w:b w:val="0"/>
              </w:rPr>
            </w:pPr>
          </w:p>
        </w:tc>
        <w:tc>
          <w:tcPr>
            <w:tcW w:w="1994" w:type="pct"/>
            <w:vAlign w:val="center"/>
          </w:tcPr>
          <w:p w14:paraId="5689E94E"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Celková čerpaná podpora SR</w:t>
            </w:r>
          </w:p>
          <w:p w14:paraId="03C82D4E" w14:textId="77777777" w:rsidR="0004149B" w:rsidRPr="00D61005" w:rsidRDefault="0004149B" w:rsidP="0004149B">
            <w:pPr>
              <w:pStyle w:val="Obrzek-nadpis"/>
              <w:spacing w:before="0" w:after="0"/>
              <w:jc w:val="center"/>
              <w:rPr>
                <w:rFonts w:ascii="Times New Roman" w:hAnsi="Times New Roman"/>
                <w:b w:val="0"/>
                <w:lang w:val="en-GB"/>
              </w:rPr>
            </w:pPr>
            <w:r w:rsidRPr="00D61005">
              <w:rPr>
                <w:rFonts w:ascii="Times New Roman" w:hAnsi="Times New Roman"/>
                <w:b w:val="0"/>
                <w:lang w:val="en-GB"/>
              </w:rPr>
              <w:t>[33 796]</w:t>
            </w:r>
          </w:p>
          <w:p w14:paraId="317EC641" w14:textId="77777777" w:rsidR="0004149B" w:rsidRPr="00D61005" w:rsidRDefault="0004149B" w:rsidP="0004149B">
            <w:pPr>
              <w:pStyle w:val="Obrzek-nadpis"/>
              <w:spacing w:before="0" w:after="0"/>
              <w:jc w:val="center"/>
              <w:rPr>
                <w:rFonts w:ascii="Times New Roman" w:hAnsi="Times New Roman"/>
                <w:b w:val="0"/>
                <w:lang w:val="en-GB"/>
              </w:rPr>
            </w:pPr>
          </w:p>
        </w:tc>
        <w:tc>
          <w:tcPr>
            <w:tcW w:w="1667" w:type="pct"/>
            <w:vAlign w:val="center"/>
          </w:tcPr>
          <w:p w14:paraId="678878F0"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 OP a SPOLUFIN</w:t>
            </w:r>
          </w:p>
          <w:p w14:paraId="79947A68"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5 764</w:t>
            </w:r>
          </w:p>
          <w:p w14:paraId="5028E536"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 ZAHR</w:t>
            </w:r>
          </w:p>
          <w:p w14:paraId="4BEE2527" w14:textId="77777777" w:rsidR="0004149B" w:rsidRPr="00D61005" w:rsidRDefault="0004149B" w:rsidP="0004149B">
            <w:pPr>
              <w:pStyle w:val="Obrzek-nadpis"/>
              <w:spacing w:before="0" w:after="0"/>
              <w:jc w:val="center"/>
              <w:rPr>
                <w:rFonts w:ascii="Times New Roman" w:hAnsi="Times New Roman"/>
                <w:b w:val="0"/>
              </w:rPr>
            </w:pPr>
            <w:r w:rsidRPr="00D61005">
              <w:rPr>
                <w:rFonts w:ascii="Times New Roman" w:hAnsi="Times New Roman"/>
                <w:b w:val="0"/>
              </w:rPr>
              <w:t>1 134</w:t>
            </w:r>
          </w:p>
          <w:p w14:paraId="0A142F86" w14:textId="77777777" w:rsidR="0004149B" w:rsidRPr="00D61005" w:rsidRDefault="0004149B" w:rsidP="0004149B">
            <w:pPr>
              <w:pStyle w:val="Obrzek-nadpis"/>
              <w:spacing w:before="0" w:after="0"/>
              <w:jc w:val="center"/>
              <w:rPr>
                <w:rFonts w:ascii="Times New Roman" w:hAnsi="Times New Roman"/>
                <w:b w:val="0"/>
              </w:rPr>
            </w:pPr>
          </w:p>
        </w:tc>
      </w:tr>
    </w:tbl>
    <w:p w14:paraId="35E99730" w14:textId="77777777" w:rsidR="0004149B" w:rsidRPr="00CC1174" w:rsidRDefault="00036207" w:rsidP="0004149B">
      <w:pPr>
        <w:pStyle w:val="Obrzek-nadpis"/>
        <w:spacing w:before="0" w:after="120"/>
        <w:jc w:val="center"/>
        <w:rPr>
          <w:highlight w:val="yellow"/>
        </w:rPr>
      </w:pPr>
      <w:r>
        <w:rPr>
          <w:noProof/>
        </w:rPr>
        <w:drawing>
          <wp:inline distT="0" distB="0" distL="0" distR="0" wp14:anchorId="7700F3CE" wp14:editId="7A961387">
            <wp:extent cx="5247109" cy="6166087"/>
            <wp:effectExtent l="0" t="0" r="0" b="635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47109" cy="6166087"/>
                    </a:xfrm>
                    <a:prstGeom prst="rect">
                      <a:avLst/>
                    </a:prstGeom>
                  </pic:spPr>
                </pic:pic>
              </a:graphicData>
            </a:graphic>
          </wp:inline>
        </w:drawing>
      </w:r>
    </w:p>
    <w:p w14:paraId="5D59CC80" w14:textId="77777777" w:rsidR="0004149B" w:rsidRPr="00D61005" w:rsidRDefault="0004149B" w:rsidP="0004149B">
      <w:pPr>
        <w:pStyle w:val="Zdrojapoznmka"/>
      </w:pPr>
      <w:r w:rsidRPr="00D61005">
        <w:rPr>
          <w:b/>
        </w:rPr>
        <w:t>AV </w:t>
      </w:r>
      <w:r w:rsidRPr="00D61005">
        <w:t xml:space="preserve">– veřejné výzkumné instituce, které zřídila AV ČR dle zákona č. 341/2005 Sb.; </w:t>
      </w:r>
      <w:r w:rsidRPr="00D61005">
        <w:rPr>
          <w:b/>
        </w:rPr>
        <w:t>VS</w:t>
      </w:r>
      <w:r w:rsidRPr="00D61005">
        <w:t xml:space="preserve"> – vysoké školy (veřejné, státní a soukromé); </w:t>
      </w:r>
      <w:r w:rsidRPr="00D61005">
        <w:rPr>
          <w:b/>
        </w:rPr>
        <w:t>SP</w:t>
      </w:r>
      <w:r w:rsidRPr="00D61005">
        <w:t xml:space="preserve"> – státní příspěvkové organizace, organizační složky státu a veřejné výzkumné instituce mimo ústavů AV ČR a státních vysokých škol; </w:t>
      </w:r>
      <w:r w:rsidRPr="00D61005">
        <w:rPr>
          <w:b/>
        </w:rPr>
        <w:t>PF</w:t>
      </w:r>
      <w:r w:rsidRPr="00D61005">
        <w:t xml:space="preserve"> – právnické a fyzické osoby, jednotlivci a instituce nespadající do žádné z výše uvedených skupin, např. akciová společnost, společnost s ručením omezeným, obecně prospěšná společnost, nadace, občanské sdružení, </w:t>
      </w:r>
      <w:r w:rsidRPr="008E20FE">
        <w:rPr>
          <w:b/>
        </w:rPr>
        <w:t>ZAHR</w:t>
      </w:r>
      <w:r w:rsidRPr="00D61005">
        <w:t xml:space="preserve"> – zahraniční subjekty</w:t>
      </w:r>
    </w:p>
    <w:p w14:paraId="59072FF4" w14:textId="77777777" w:rsidR="0004149B" w:rsidRPr="00D61005" w:rsidRDefault="0004149B" w:rsidP="0004149B">
      <w:pPr>
        <w:pStyle w:val="Zdrojapoznmka"/>
        <w:rPr>
          <w:rFonts w:cs="Arial"/>
        </w:rPr>
      </w:pPr>
      <w:r w:rsidRPr="00D61005">
        <w:rPr>
          <w:b/>
        </w:rPr>
        <w:t>PROJEKTY</w:t>
      </w:r>
      <w:r w:rsidRPr="00D61005">
        <w:t xml:space="preserve"> – grantový nebo programový projekt</w:t>
      </w:r>
      <w:r w:rsidRPr="00D61005">
        <w:rPr>
          <w:rFonts w:cs="Arial"/>
        </w:rPr>
        <w:t xml:space="preserve">; </w:t>
      </w:r>
      <w:r w:rsidRPr="00D61005">
        <w:rPr>
          <w:rFonts w:cs="Arial"/>
          <w:b/>
        </w:rPr>
        <w:t>SVV </w:t>
      </w:r>
      <w:r w:rsidRPr="00D61005">
        <w:t xml:space="preserve">– specifický vysokoškolský výzkum; </w:t>
      </w:r>
      <w:r w:rsidRPr="00D61005">
        <w:rPr>
          <w:b/>
        </w:rPr>
        <w:t>INFRA </w:t>
      </w:r>
      <w:r w:rsidRPr="00D61005">
        <w:t xml:space="preserve">– projekty velkých výzkumných infrastruktur; </w:t>
      </w:r>
      <w:r w:rsidRPr="00D61005">
        <w:rPr>
          <w:b/>
        </w:rPr>
        <w:t>NPU</w:t>
      </w:r>
      <w:r w:rsidRPr="00D61005">
        <w:t xml:space="preserve"> – Národní program udržitelnosti I. a II.; </w:t>
      </w:r>
      <w:r w:rsidRPr="00D61005">
        <w:rPr>
          <w:b/>
        </w:rPr>
        <w:t>SPOLUFIN</w:t>
      </w:r>
      <w:r w:rsidRPr="00D61005">
        <w:t xml:space="preserve"> – spolufinancování OP; </w:t>
      </w:r>
      <w:r w:rsidRPr="00D61005">
        <w:rPr>
          <w:b/>
        </w:rPr>
        <w:t>MEZINAR</w:t>
      </w:r>
      <w:r w:rsidRPr="00D61005">
        <w:t xml:space="preserve"> – mezinárodní spolupráce; </w:t>
      </w:r>
      <w:r w:rsidRPr="00D61005">
        <w:rPr>
          <w:b/>
        </w:rPr>
        <w:t>RVO </w:t>
      </w:r>
      <w:r w:rsidRPr="00D61005">
        <w:t>– dlouhodobý koncepční rozvoj VO</w:t>
      </w:r>
    </w:p>
    <w:p w14:paraId="03C77B3C" w14:textId="77777777" w:rsidR="006338C7" w:rsidRDefault="006338C7" w:rsidP="007A5EC1">
      <w:pPr>
        <w:pStyle w:val="Nadpis1"/>
        <w:numPr>
          <w:ilvl w:val="0"/>
          <w:numId w:val="0"/>
        </w:numPr>
        <w:ind w:left="432" w:hanging="432"/>
      </w:pPr>
      <w:bookmarkStart w:id="11" w:name="_Toc87340763"/>
      <w:bookmarkStart w:id="12" w:name="_Toc92369590"/>
      <w:r w:rsidRPr="00B86974">
        <w:lastRenderedPageBreak/>
        <w:t>P</w:t>
      </w:r>
      <w:r w:rsidR="00321A9B" w:rsidRPr="00B86974">
        <w:t>odpor</w:t>
      </w:r>
      <w:r w:rsidR="00361051" w:rsidRPr="00B86974">
        <w:t>a</w:t>
      </w:r>
      <w:r w:rsidR="00E11546" w:rsidRPr="00B86974">
        <w:t xml:space="preserve"> </w:t>
      </w:r>
      <w:r w:rsidR="005025F4" w:rsidRPr="00B86974">
        <w:t xml:space="preserve">výzkumu, vývoje </w:t>
      </w:r>
      <w:r w:rsidR="00361051" w:rsidRPr="00B86974">
        <w:t>a </w:t>
      </w:r>
      <w:r w:rsidR="005025F4" w:rsidRPr="00B86974">
        <w:t>inovací</w:t>
      </w:r>
      <w:r w:rsidR="00EB0FF6" w:rsidRPr="00B86974">
        <w:t xml:space="preserve"> </w:t>
      </w:r>
      <w:r w:rsidR="00361051" w:rsidRPr="00B86974">
        <w:t>v </w:t>
      </w:r>
      <w:r w:rsidRPr="00B86974">
        <w:t>ČR</w:t>
      </w:r>
      <w:r w:rsidR="00361051" w:rsidRPr="00B86974">
        <w:t xml:space="preserve"> z </w:t>
      </w:r>
      <w:r w:rsidR="00321A9B" w:rsidRPr="00B86974">
        <w:t>evropských prostředků</w:t>
      </w:r>
      <w:bookmarkEnd w:id="11"/>
      <w:bookmarkEnd w:id="12"/>
    </w:p>
    <w:p w14:paraId="16CF6D3D" w14:textId="77777777" w:rsidR="007A5EC1" w:rsidRPr="00EE5185" w:rsidRDefault="007A5EC1" w:rsidP="007A5EC1">
      <w:pPr>
        <w:spacing w:before="240" w:after="0" w:line="360" w:lineRule="auto"/>
        <w:ind w:firstLine="709"/>
        <w:jc w:val="both"/>
        <w:rPr>
          <w:rFonts w:ascii="Arial" w:eastAsia="Times New Roman" w:hAnsi="Arial" w:cs="Arial"/>
          <w:lang w:eastAsia="cs-CZ"/>
        </w:rPr>
      </w:pPr>
      <w:r w:rsidRPr="00EE5185">
        <w:rPr>
          <w:rFonts w:ascii="Arial" w:eastAsia="Times New Roman" w:hAnsi="Arial" w:cs="Arial"/>
          <w:lang w:eastAsia="cs-CZ"/>
        </w:rPr>
        <w:t>Strukturální fondy EU jsou prostřednictvím jednotlivých operačních programů jedním ze stěžejních veřejných zahraničních zdrojů, které stojí za finanční podporou aktivit spojených s VaV</w:t>
      </w:r>
      <w:r>
        <w:rPr>
          <w:rFonts w:ascii="Arial" w:eastAsia="Times New Roman" w:hAnsi="Arial" w:cs="Arial"/>
          <w:lang w:eastAsia="cs-CZ"/>
        </w:rPr>
        <w:t>aI</w:t>
      </w:r>
      <w:r w:rsidRPr="00EE5185">
        <w:rPr>
          <w:rFonts w:ascii="Arial" w:eastAsia="Times New Roman" w:hAnsi="Arial" w:cs="Arial"/>
          <w:lang w:eastAsia="cs-CZ"/>
        </w:rPr>
        <w:t xml:space="preserve">. Z pohledu českého výzkumu a vývoje jsou </w:t>
      </w:r>
      <w:r>
        <w:rPr>
          <w:rFonts w:ascii="Arial" w:eastAsia="Times New Roman" w:hAnsi="Arial" w:cs="Arial"/>
          <w:lang w:eastAsia="cs-CZ"/>
        </w:rPr>
        <w:t xml:space="preserve">aktuálně </w:t>
      </w:r>
      <w:r w:rsidRPr="00EE5185">
        <w:rPr>
          <w:rFonts w:ascii="Arial" w:eastAsia="Times New Roman" w:hAnsi="Arial" w:cs="Arial"/>
          <w:lang w:eastAsia="cs-CZ"/>
        </w:rPr>
        <w:t>nejvýznamnější především Operační program Podnikání a inovace pro konkurenceschopnost a Operační program Výzkum, vývoj a vzdělávání, částečně také Operační pro</w:t>
      </w:r>
      <w:r>
        <w:rPr>
          <w:rFonts w:ascii="Arial" w:eastAsia="Times New Roman" w:hAnsi="Arial" w:cs="Arial"/>
          <w:lang w:eastAsia="cs-CZ"/>
        </w:rPr>
        <w:t>gram Praha – pól růstu ČR</w:t>
      </w:r>
      <w:r w:rsidRPr="00EE5185">
        <w:rPr>
          <w:rFonts w:ascii="Arial" w:eastAsia="Times New Roman" w:hAnsi="Arial" w:cs="Arial"/>
          <w:lang w:eastAsia="cs-CZ"/>
        </w:rPr>
        <w:t>. Dalšími veřejnými zahraničními zdroji je i</w:t>
      </w:r>
      <w:r>
        <w:rPr>
          <w:rFonts w:ascii="Arial" w:eastAsia="Times New Roman" w:hAnsi="Arial" w:cs="Arial"/>
          <w:lang w:eastAsia="cs-CZ"/>
        </w:rPr>
        <w:t> </w:t>
      </w:r>
      <w:r w:rsidRPr="00EE5185">
        <w:rPr>
          <w:rFonts w:ascii="Arial" w:eastAsia="Times New Roman" w:hAnsi="Arial" w:cs="Arial"/>
          <w:lang w:eastAsia="cs-CZ"/>
        </w:rPr>
        <w:t>jiná podpora z rozpočtu EU (jedná se především o rámcové programy – aktuálně Horizont 2020) a</w:t>
      </w:r>
      <w:r>
        <w:rPr>
          <w:rFonts w:ascii="Arial" w:eastAsia="Times New Roman" w:hAnsi="Arial" w:cs="Arial"/>
          <w:lang w:eastAsia="cs-CZ"/>
        </w:rPr>
        <w:t> </w:t>
      </w:r>
      <w:r w:rsidRPr="00EE5185">
        <w:rPr>
          <w:rFonts w:ascii="Arial" w:eastAsia="Times New Roman" w:hAnsi="Arial" w:cs="Arial"/>
          <w:lang w:eastAsia="cs-CZ"/>
        </w:rPr>
        <w:t>dále pak zdroje z mezinárodních, vládních či veřejných organizací mimo EU (například CERN, ILL, ESA, NATO, OECD, OSN, WHO, Norské fondy/EHP aj.).</w:t>
      </w:r>
    </w:p>
    <w:p w14:paraId="2E9E78BB" w14:textId="77777777" w:rsidR="007A5EC1" w:rsidRPr="00EE5185" w:rsidRDefault="007A5EC1" w:rsidP="007A5EC1">
      <w:pPr>
        <w:pStyle w:val="Obrzek-nadpis"/>
      </w:pPr>
      <w:r w:rsidRPr="00EE5185">
        <w:t xml:space="preserve">Obrázek: 3.1: Výdaje na VaV ze zahraničních zdrojů </w:t>
      </w:r>
      <w:r>
        <w:t>dle typu příjemce za období 2011–2020</w:t>
      </w:r>
    </w:p>
    <w:p w14:paraId="108A60EC" w14:textId="77777777" w:rsidR="007A5EC1" w:rsidRPr="00EE5185" w:rsidRDefault="007A5EC1" w:rsidP="007A5EC1">
      <w:pPr>
        <w:jc w:val="center"/>
        <w:rPr>
          <w:noProof/>
          <w:lang w:eastAsia="cs-CZ"/>
        </w:rPr>
      </w:pPr>
      <w:r w:rsidRPr="00545DDA">
        <w:rPr>
          <w:noProof/>
          <w:lang w:eastAsia="cs-CZ"/>
        </w:rPr>
        <w:drawing>
          <wp:inline distT="0" distB="0" distL="0" distR="0" wp14:anchorId="6A782AC9" wp14:editId="1F0E4DE5">
            <wp:extent cx="4800319" cy="2876550"/>
            <wp:effectExtent l="0" t="0" r="0" b="0"/>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l="9135" t="3812" r="7874" b="3577"/>
                    <a:stretch/>
                  </pic:blipFill>
                  <pic:spPr bwMode="auto">
                    <a:xfrm>
                      <a:off x="0" y="0"/>
                      <a:ext cx="4801807" cy="2877442"/>
                    </a:xfrm>
                    <a:prstGeom prst="rect">
                      <a:avLst/>
                    </a:prstGeom>
                    <a:noFill/>
                    <a:ln>
                      <a:noFill/>
                    </a:ln>
                    <a:extLst>
                      <a:ext uri="{53640926-AAD7-44D8-BBD7-CCE9431645EC}">
                        <a14:shadowObscured xmlns:a14="http://schemas.microsoft.com/office/drawing/2010/main"/>
                      </a:ext>
                    </a:extLst>
                  </pic:spPr>
                </pic:pic>
              </a:graphicData>
            </a:graphic>
          </wp:inline>
        </w:drawing>
      </w:r>
    </w:p>
    <w:p w14:paraId="27B5000C" w14:textId="77777777" w:rsidR="007A5EC1" w:rsidRDefault="007A5EC1" w:rsidP="007A5EC1">
      <w:pPr>
        <w:pStyle w:val="Zdrojapoznmka"/>
      </w:pPr>
      <w:r w:rsidRPr="00EE5185">
        <w:t>Zdroj: ČSÚ, vlastní zpracování</w:t>
      </w:r>
    </w:p>
    <w:p w14:paraId="65CF9CAE" w14:textId="77777777" w:rsidR="00BA543E" w:rsidRDefault="00BA543E" w:rsidP="007A5EC1">
      <w:pPr>
        <w:spacing w:after="0" w:line="360" w:lineRule="auto"/>
        <w:jc w:val="both"/>
        <w:rPr>
          <w:rFonts w:ascii="Arial" w:eastAsia="Times New Roman" w:hAnsi="Arial" w:cs="Arial"/>
          <w:lang w:eastAsia="cs-CZ"/>
        </w:rPr>
      </w:pPr>
      <w:r w:rsidRPr="007A5EC1">
        <w:rPr>
          <w:rFonts w:ascii="Arial" w:eastAsia="Times New Roman" w:hAnsi="Arial" w:cs="Arial"/>
          <w:lang w:eastAsia="cs-CZ"/>
        </w:rPr>
        <w:t>Nejúspěšnější sektor v čerpání veřejných zahraničních zdrojů na aktivity VaVaI je vysokoškolský, konkrétně vysoké školy. Dalšími úspěšnými příjemci jsou pracoviště AV ČR a soukromé domácí podniky.</w:t>
      </w:r>
    </w:p>
    <w:p w14:paraId="68BAB49F" w14:textId="77777777" w:rsidR="007A5EC1" w:rsidRDefault="007A5EC1" w:rsidP="007A5EC1">
      <w:pPr>
        <w:spacing w:after="0" w:line="360" w:lineRule="auto"/>
        <w:ind w:firstLine="709"/>
        <w:jc w:val="both"/>
        <w:rPr>
          <w:rFonts w:ascii="Arial" w:eastAsia="Calibri" w:hAnsi="Arial" w:cs="Arial"/>
        </w:rPr>
        <w:sectPr w:rsidR="007A5EC1" w:rsidSect="00D25D90">
          <w:footerReference w:type="default" r:id="rId19"/>
          <w:pgSz w:w="11906" w:h="16838"/>
          <w:pgMar w:top="1134" w:right="1134" w:bottom="1134" w:left="1134" w:header="708" w:footer="708" w:gutter="0"/>
          <w:cols w:space="708"/>
          <w:docGrid w:linePitch="360"/>
        </w:sectPr>
      </w:pPr>
    </w:p>
    <w:p w14:paraId="5DB029CD" w14:textId="77777777" w:rsidR="007A5EC1" w:rsidRDefault="007A5EC1" w:rsidP="007A5EC1">
      <w:pPr>
        <w:pStyle w:val="Obrzek-nadpis"/>
        <w:rPr>
          <w:noProof/>
        </w:rPr>
      </w:pPr>
      <w:r>
        <w:lastRenderedPageBreak/>
        <w:t>Schéma 3.1</w:t>
      </w:r>
      <w:r w:rsidRPr="006855FB">
        <w:t xml:space="preserve">: </w:t>
      </w:r>
      <w:r>
        <w:t>Zaměření operačních programů MŠMT a MPO</w:t>
      </w:r>
    </w:p>
    <w:p w14:paraId="4A4088D8" w14:textId="77777777" w:rsidR="007A5EC1" w:rsidRDefault="007A5EC1" w:rsidP="007A5EC1">
      <w:pPr>
        <w:rPr>
          <w:rFonts w:ascii="Arial" w:eastAsia="Calibri" w:hAnsi="Arial" w:cs="Arial"/>
        </w:rPr>
      </w:pPr>
      <w:r>
        <w:rPr>
          <w:noProof/>
          <w:lang w:eastAsia="cs-CZ"/>
        </w:rPr>
        <mc:AlternateContent>
          <mc:Choice Requires="wps">
            <w:drawing>
              <wp:anchor distT="45720" distB="45720" distL="114300" distR="114300" simplePos="0" relativeHeight="251831296" behindDoc="0" locked="0" layoutInCell="1" allowOverlap="1" wp14:anchorId="02CEFAC0" wp14:editId="59763FD6">
                <wp:simplePos x="0" y="0"/>
                <wp:positionH relativeFrom="margin">
                  <wp:posOffset>5315447</wp:posOffset>
                </wp:positionH>
                <wp:positionV relativeFrom="paragraph">
                  <wp:posOffset>855124</wp:posOffset>
                </wp:positionV>
                <wp:extent cx="1685676" cy="1190625"/>
                <wp:effectExtent l="0" t="0" r="0" b="0"/>
                <wp:wrapNone/>
                <wp:docPr id="9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676" cy="1190625"/>
                        </a:xfrm>
                        <a:prstGeom prst="rect">
                          <a:avLst/>
                        </a:prstGeom>
                        <a:noFill/>
                        <a:ln w="9525">
                          <a:noFill/>
                          <a:miter lim="800000"/>
                          <a:headEnd/>
                          <a:tailEnd/>
                        </a:ln>
                      </wps:spPr>
                      <wps:txbx>
                        <w:txbxContent>
                          <w:p w14:paraId="1CCAA20D" w14:textId="77777777" w:rsidR="00FF0657" w:rsidRPr="00D26B09" w:rsidRDefault="00FF0657" w:rsidP="007A5EC1">
                            <w:pPr>
                              <w:numPr>
                                <w:ilvl w:val="0"/>
                                <w:numId w:val="9"/>
                              </w:numPr>
                              <w:spacing w:after="0" w:line="240" w:lineRule="auto"/>
                              <w:ind w:left="714" w:hanging="357"/>
                              <w:rPr>
                                <w:sz w:val="18"/>
                                <w:szCs w:val="18"/>
                              </w:rPr>
                            </w:pPr>
                            <w:r w:rsidRPr="00D26B09">
                              <w:rPr>
                                <w:sz w:val="18"/>
                                <w:szCs w:val="18"/>
                              </w:rPr>
                              <w:t xml:space="preserve">důraz na znalostní </w:t>
                            </w:r>
                            <w:r>
                              <w:rPr>
                                <w:sz w:val="18"/>
                                <w:szCs w:val="18"/>
                              </w:rPr>
                              <w:br/>
                            </w:r>
                            <w:r w:rsidRPr="00D26B09">
                              <w:rPr>
                                <w:sz w:val="18"/>
                                <w:szCs w:val="18"/>
                              </w:rPr>
                              <w:t xml:space="preserve">ekonomiku, </w:t>
                            </w:r>
                            <w:r>
                              <w:rPr>
                                <w:sz w:val="18"/>
                                <w:szCs w:val="18"/>
                              </w:rPr>
                              <w:br/>
                            </w:r>
                            <w:r w:rsidRPr="00D26B09">
                              <w:rPr>
                                <w:sz w:val="18"/>
                                <w:szCs w:val="18"/>
                              </w:rPr>
                              <w:t>spolupráci VaV</w:t>
                            </w:r>
                            <w:r>
                              <w:rPr>
                                <w:sz w:val="18"/>
                                <w:szCs w:val="18"/>
                              </w:rPr>
                              <w:br/>
                            </w:r>
                            <w:r w:rsidRPr="00D26B09">
                              <w:rPr>
                                <w:sz w:val="18"/>
                                <w:szCs w:val="18"/>
                              </w:rPr>
                              <w:t xml:space="preserve"> s</w:t>
                            </w:r>
                            <w:r>
                              <w:rPr>
                                <w:sz w:val="18"/>
                                <w:szCs w:val="18"/>
                              </w:rPr>
                              <w:t> </w:t>
                            </w:r>
                            <w:r w:rsidRPr="00D26B09">
                              <w:rPr>
                                <w:sz w:val="18"/>
                                <w:szCs w:val="18"/>
                              </w:rPr>
                              <w:t>inovačními</w:t>
                            </w:r>
                            <w:r>
                              <w:rPr>
                                <w:sz w:val="18"/>
                                <w:szCs w:val="18"/>
                              </w:rPr>
                              <w:br/>
                            </w:r>
                            <w:r w:rsidRPr="00D26B09">
                              <w:rPr>
                                <w:sz w:val="18"/>
                                <w:szCs w:val="18"/>
                              </w:rPr>
                              <w:t xml:space="preserve"> firmami a využívání </w:t>
                            </w:r>
                            <w:r>
                              <w:rPr>
                                <w:sz w:val="18"/>
                                <w:szCs w:val="18"/>
                              </w:rPr>
                              <w:br/>
                            </w:r>
                            <w:r w:rsidRPr="00D26B09">
                              <w:rPr>
                                <w:sz w:val="18"/>
                                <w:szCs w:val="18"/>
                              </w:rPr>
                              <w:t>nových forem podpory</w:t>
                            </w:r>
                          </w:p>
                          <w:p w14:paraId="24B77EB4" w14:textId="77777777" w:rsidR="00FF0657" w:rsidRPr="00E2274B" w:rsidRDefault="00FF0657" w:rsidP="007A5EC1">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CEFAC0" id="_x0000_t202" coordsize="21600,21600" o:spt="202" path="m,l,21600r21600,l21600,xe">
                <v:stroke joinstyle="miter"/>
                <v:path gradientshapeok="t" o:connecttype="rect"/>
              </v:shapetype>
              <v:shape id="Textové pole 2" o:spid="_x0000_s1026" type="#_x0000_t202" style="position:absolute;margin-left:418.55pt;margin-top:67.35pt;width:132.75pt;height:93.75pt;z-index:2518312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" filled="f" stroked="f">
                <v:textbox>
                  <w:txbxContent>
                    <w:p w14:paraId="1CCAA20D" w14:textId="77777777" w:rsidR="00FF0657" w:rsidRPr="00D26B09" w:rsidRDefault="00FF0657" w:rsidP="007A5EC1">
                      <w:pPr>
                        <w:numPr>
                          <w:ilvl w:val="0"/>
                          <w:numId w:val="9"/>
                        </w:numPr>
                        <w:spacing w:after="0" w:line="240" w:lineRule="auto"/>
                        <w:ind w:left="714" w:hanging="357"/>
                        <w:rPr>
                          <w:sz w:val="18"/>
                          <w:szCs w:val="18"/>
                        </w:rPr>
                      </w:pPr>
                      <w:r w:rsidRPr="00D26B09">
                        <w:rPr>
                          <w:sz w:val="18"/>
                          <w:szCs w:val="18"/>
                        </w:rPr>
                        <w:t xml:space="preserve">důraz na znalostní </w:t>
                      </w:r>
                      <w:r>
                        <w:rPr>
                          <w:sz w:val="18"/>
                          <w:szCs w:val="18"/>
                        </w:rPr>
                        <w:br/>
                      </w:r>
                      <w:r w:rsidRPr="00D26B09">
                        <w:rPr>
                          <w:sz w:val="18"/>
                          <w:szCs w:val="18"/>
                        </w:rPr>
                        <w:t xml:space="preserve">ekonomiku, </w:t>
                      </w:r>
                      <w:r>
                        <w:rPr>
                          <w:sz w:val="18"/>
                          <w:szCs w:val="18"/>
                        </w:rPr>
                        <w:br/>
                      </w:r>
                      <w:r w:rsidRPr="00D26B09">
                        <w:rPr>
                          <w:sz w:val="18"/>
                          <w:szCs w:val="18"/>
                        </w:rPr>
                        <w:t>spolupráci VaV</w:t>
                      </w:r>
                      <w:r>
                        <w:rPr>
                          <w:sz w:val="18"/>
                          <w:szCs w:val="18"/>
                        </w:rPr>
                        <w:br/>
                      </w:r>
                      <w:r w:rsidRPr="00D26B09">
                        <w:rPr>
                          <w:sz w:val="18"/>
                          <w:szCs w:val="18"/>
                        </w:rPr>
                        <w:t xml:space="preserve"> s</w:t>
                      </w:r>
                      <w:r>
                        <w:rPr>
                          <w:sz w:val="18"/>
                          <w:szCs w:val="18"/>
                        </w:rPr>
                        <w:t> </w:t>
                      </w:r>
                      <w:r w:rsidRPr="00D26B09">
                        <w:rPr>
                          <w:sz w:val="18"/>
                          <w:szCs w:val="18"/>
                        </w:rPr>
                        <w:t>inovačními</w:t>
                      </w:r>
                      <w:r>
                        <w:rPr>
                          <w:sz w:val="18"/>
                          <w:szCs w:val="18"/>
                        </w:rPr>
                        <w:br/>
                      </w:r>
                      <w:r w:rsidRPr="00D26B09">
                        <w:rPr>
                          <w:sz w:val="18"/>
                          <w:szCs w:val="18"/>
                        </w:rPr>
                        <w:t xml:space="preserve"> firmami a využívání </w:t>
                      </w:r>
                      <w:r>
                        <w:rPr>
                          <w:sz w:val="18"/>
                          <w:szCs w:val="18"/>
                        </w:rPr>
                        <w:br/>
                      </w:r>
                      <w:r w:rsidRPr="00D26B09">
                        <w:rPr>
                          <w:sz w:val="18"/>
                          <w:szCs w:val="18"/>
                        </w:rPr>
                        <w:t>nových forem podpory</w:t>
                      </w:r>
                    </w:p>
                    <w:p w14:paraId="24B77EB4" w14:textId="77777777" w:rsidR="00FF0657" w:rsidRPr="00E2274B" w:rsidRDefault="00FF0657" w:rsidP="007A5EC1">
                      <w:pPr>
                        <w:rPr>
                          <w:sz w:val="18"/>
                          <w:szCs w:val="18"/>
                        </w:rPr>
                      </w:pPr>
                    </w:p>
                  </w:txbxContent>
                </v:textbox>
                <w10:wrap anchorx="margin"/>
              </v:shape>
            </w:pict>
          </mc:Fallback>
        </mc:AlternateContent>
      </w:r>
      <w:r>
        <w:rPr>
          <w:noProof/>
          <w:lang w:eastAsia="cs-CZ"/>
        </w:rPr>
        <mc:AlternateContent>
          <mc:Choice Requires="wps">
            <w:drawing>
              <wp:anchor distT="45720" distB="45720" distL="114300" distR="114300" simplePos="0" relativeHeight="251827200" behindDoc="0" locked="0" layoutInCell="1" allowOverlap="1" wp14:anchorId="287BD567" wp14:editId="31B6A709">
                <wp:simplePos x="0" y="0"/>
                <wp:positionH relativeFrom="margin">
                  <wp:posOffset>3073345</wp:posOffset>
                </wp:positionH>
                <wp:positionV relativeFrom="paragraph">
                  <wp:posOffset>1280602</wp:posOffset>
                </wp:positionV>
                <wp:extent cx="1771650" cy="885825"/>
                <wp:effectExtent l="0" t="0" r="0" b="0"/>
                <wp:wrapNone/>
                <wp:docPr id="9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1650" cy="885825"/>
                        </a:xfrm>
                        <a:prstGeom prst="rect">
                          <a:avLst/>
                        </a:prstGeom>
                        <a:noFill/>
                        <a:ln w="9525">
                          <a:noFill/>
                          <a:miter lim="800000"/>
                          <a:headEnd/>
                          <a:tailEnd/>
                        </a:ln>
                      </wps:spPr>
                      <wps:txbx>
                        <w:txbxContent>
                          <w:p w14:paraId="2B1A961B" w14:textId="77777777" w:rsidR="00FF0657" w:rsidRPr="005854FB" w:rsidRDefault="00FF0657" w:rsidP="007A5EC1">
                            <w:pPr>
                              <w:numPr>
                                <w:ilvl w:val="0"/>
                                <w:numId w:val="9"/>
                              </w:numPr>
                              <w:spacing w:after="0" w:line="240" w:lineRule="auto"/>
                              <w:ind w:left="714" w:hanging="357"/>
                              <w:rPr>
                                <w:sz w:val="18"/>
                                <w:szCs w:val="18"/>
                              </w:rPr>
                            </w:pPr>
                            <w:r w:rsidRPr="005854FB">
                              <w:rPr>
                                <w:sz w:val="18"/>
                                <w:szCs w:val="18"/>
                              </w:rPr>
                              <w:t>podpora VaV</w:t>
                            </w:r>
                            <w:r w:rsidRPr="005854FB">
                              <w:rPr>
                                <w:sz w:val="18"/>
                                <w:szCs w:val="18"/>
                              </w:rPr>
                              <w:br/>
                              <w:t xml:space="preserve"> ve firmách (Potenciál), </w:t>
                            </w:r>
                            <w:r w:rsidRPr="005854FB">
                              <w:rPr>
                                <w:sz w:val="18"/>
                                <w:szCs w:val="18"/>
                              </w:rPr>
                              <w:br/>
                              <w:t>spolupráce mezi</w:t>
                            </w:r>
                            <w:r w:rsidRPr="005854FB">
                              <w:rPr>
                                <w:sz w:val="18"/>
                                <w:szCs w:val="18"/>
                              </w:rPr>
                              <w:br/>
                              <w:t xml:space="preserve"> terciální </w:t>
                            </w:r>
                            <w:r w:rsidRPr="005854FB">
                              <w:rPr>
                                <w:sz w:val="18"/>
                                <w:szCs w:val="18"/>
                              </w:rPr>
                              <w:br/>
                              <w:t>sférou a průmyslem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7BD567" id="_x0000_s1027" type="#_x0000_t202" style="position:absolute;margin-left:242pt;margin-top:100.85pt;width:139.5pt;height:69.75pt;z-index:2518272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" filled="f" stroked="f">
                <v:textbox>
                  <w:txbxContent>
                    <w:p w14:paraId="2B1A961B" w14:textId="77777777" w:rsidR="00FF0657" w:rsidRPr="005854FB" w:rsidRDefault="00FF0657" w:rsidP="007A5EC1">
                      <w:pPr>
                        <w:numPr>
                          <w:ilvl w:val="0"/>
                          <w:numId w:val="9"/>
                        </w:numPr>
                        <w:spacing w:after="0" w:line="240" w:lineRule="auto"/>
                        <w:ind w:left="714" w:hanging="357"/>
                        <w:rPr>
                          <w:sz w:val="18"/>
                          <w:szCs w:val="18"/>
                        </w:rPr>
                      </w:pPr>
                      <w:r w:rsidRPr="005854FB">
                        <w:rPr>
                          <w:sz w:val="18"/>
                          <w:szCs w:val="18"/>
                        </w:rPr>
                        <w:t>podpora VaV</w:t>
                      </w:r>
                      <w:r w:rsidRPr="005854FB">
                        <w:rPr>
                          <w:sz w:val="18"/>
                          <w:szCs w:val="18"/>
                        </w:rPr>
                        <w:br/>
                        <w:t xml:space="preserve"> ve firmách (Potenciál), </w:t>
                      </w:r>
                      <w:r w:rsidRPr="005854FB">
                        <w:rPr>
                          <w:sz w:val="18"/>
                          <w:szCs w:val="18"/>
                        </w:rPr>
                        <w:br/>
                        <w:t>spolupráce mezi</w:t>
                      </w:r>
                      <w:r w:rsidRPr="005854FB">
                        <w:rPr>
                          <w:sz w:val="18"/>
                          <w:szCs w:val="18"/>
                        </w:rPr>
                        <w:br/>
                        <w:t xml:space="preserve"> terciální </w:t>
                      </w:r>
                      <w:r w:rsidRPr="005854FB">
                        <w:rPr>
                          <w:sz w:val="18"/>
                          <w:szCs w:val="18"/>
                        </w:rPr>
                        <w:br/>
                        <w:t>sférou a průmyslem</w:t>
                      </w:r>
                    </w:p>
                  </w:txbxContent>
                </v:textbox>
                <w10:wrap anchorx="margin"/>
              </v:shape>
            </w:pict>
          </mc:Fallback>
        </mc:AlternateContent>
      </w:r>
      <w:r>
        <w:rPr>
          <w:noProof/>
          <w:lang w:eastAsia="cs-CZ"/>
        </w:rPr>
        <mc:AlternateContent>
          <mc:Choice Requires="wps">
            <w:drawing>
              <wp:anchor distT="45720" distB="45720" distL="114300" distR="114300" simplePos="0" relativeHeight="251829248" behindDoc="0" locked="0" layoutInCell="1" allowOverlap="1" wp14:anchorId="4732DD36" wp14:editId="055D2B66">
                <wp:simplePos x="0" y="0"/>
                <wp:positionH relativeFrom="margin">
                  <wp:posOffset>536714</wp:posOffset>
                </wp:positionH>
                <wp:positionV relativeFrom="paragraph">
                  <wp:posOffset>1674108</wp:posOffset>
                </wp:positionV>
                <wp:extent cx="1463040" cy="409575"/>
                <wp:effectExtent l="0" t="0" r="0" b="0"/>
                <wp:wrapNone/>
                <wp:docPr id="9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3040" cy="409575"/>
                        </a:xfrm>
                        <a:prstGeom prst="rect">
                          <a:avLst/>
                        </a:prstGeom>
                        <a:noFill/>
                        <a:ln w="9525">
                          <a:noFill/>
                          <a:miter lim="800000"/>
                          <a:headEnd/>
                          <a:tailEnd/>
                        </a:ln>
                      </wps:spPr>
                      <wps:txbx>
                        <w:txbxContent>
                          <w:p w14:paraId="5207A9F4" w14:textId="77777777" w:rsidR="00FF0657" w:rsidRPr="00F1712F" w:rsidRDefault="00FF0657" w:rsidP="007A5EC1">
                            <w:pPr>
                              <w:numPr>
                                <w:ilvl w:val="0"/>
                                <w:numId w:val="9"/>
                              </w:numPr>
                              <w:spacing w:after="0" w:line="240" w:lineRule="auto"/>
                              <w:ind w:left="714" w:hanging="357"/>
                              <w:rPr>
                                <w:sz w:val="18"/>
                                <w:szCs w:val="18"/>
                              </w:rPr>
                            </w:pPr>
                            <w:r w:rsidRPr="00F1712F">
                              <w:rPr>
                                <w:sz w:val="18"/>
                                <w:szCs w:val="18"/>
                              </w:rPr>
                              <w:t>počátek inovační</w:t>
                            </w:r>
                            <w:r>
                              <w:rPr>
                                <w:sz w:val="18"/>
                                <w:szCs w:val="18"/>
                              </w:rPr>
                              <w:br/>
                            </w:r>
                            <w:r w:rsidRPr="00F1712F">
                              <w:rPr>
                                <w:sz w:val="18"/>
                                <w:szCs w:val="18"/>
                              </w:rPr>
                              <w:t xml:space="preserve"> podpory</w:t>
                            </w:r>
                          </w:p>
                          <w:p w14:paraId="0B0FDE18" w14:textId="77777777" w:rsidR="00FF0657" w:rsidRPr="00E2274B" w:rsidRDefault="00FF0657" w:rsidP="007A5EC1">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32DD36" id="_x0000_s1028" type="#_x0000_t202" style="position:absolute;margin-left:42.25pt;margin-top:131.8pt;width:115.2pt;height:32.25pt;z-index:251829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" filled="f" stroked="f">
                <v:textbox>
                  <w:txbxContent>
                    <w:p w14:paraId="5207A9F4" w14:textId="77777777" w:rsidR="00FF0657" w:rsidRPr="00F1712F" w:rsidRDefault="00FF0657" w:rsidP="007A5EC1">
                      <w:pPr>
                        <w:numPr>
                          <w:ilvl w:val="0"/>
                          <w:numId w:val="9"/>
                        </w:numPr>
                        <w:spacing w:after="0" w:line="240" w:lineRule="auto"/>
                        <w:ind w:left="714" w:hanging="357"/>
                        <w:rPr>
                          <w:sz w:val="18"/>
                          <w:szCs w:val="18"/>
                        </w:rPr>
                      </w:pPr>
                      <w:r w:rsidRPr="00F1712F">
                        <w:rPr>
                          <w:sz w:val="18"/>
                          <w:szCs w:val="18"/>
                        </w:rPr>
                        <w:t>počátek inovační</w:t>
                      </w:r>
                      <w:r>
                        <w:rPr>
                          <w:sz w:val="18"/>
                          <w:szCs w:val="18"/>
                        </w:rPr>
                        <w:br/>
                      </w:r>
                      <w:r w:rsidRPr="00F1712F">
                        <w:rPr>
                          <w:sz w:val="18"/>
                          <w:szCs w:val="18"/>
                        </w:rPr>
                        <w:t xml:space="preserve"> podpory</w:t>
                      </w:r>
                    </w:p>
                    <w:p w14:paraId="0B0FDE18" w14:textId="77777777" w:rsidR="00FF0657" w:rsidRPr="00E2274B" w:rsidRDefault="00FF0657" w:rsidP="007A5EC1">
                      <w:pPr>
                        <w:rPr>
                          <w:sz w:val="18"/>
                          <w:szCs w:val="18"/>
                        </w:rPr>
                      </w:pPr>
                    </w:p>
                  </w:txbxContent>
                </v:textbox>
                <w10:wrap anchorx="margin"/>
              </v:shape>
            </w:pict>
          </mc:Fallback>
        </mc:AlternateContent>
      </w:r>
      <w:r>
        <w:rPr>
          <w:noProof/>
          <w:lang w:eastAsia="cs-CZ"/>
        </w:rPr>
        <mc:AlternateContent>
          <mc:Choice Requires="wps">
            <w:drawing>
              <wp:anchor distT="45720" distB="45720" distL="114300" distR="114300" simplePos="0" relativeHeight="251851776" behindDoc="0" locked="0" layoutInCell="1" allowOverlap="1" wp14:anchorId="6256A62B" wp14:editId="3131AFB7">
                <wp:simplePos x="0" y="0"/>
                <wp:positionH relativeFrom="margin">
                  <wp:posOffset>7486650</wp:posOffset>
                </wp:positionH>
                <wp:positionV relativeFrom="paragraph">
                  <wp:posOffset>4034155</wp:posOffset>
                </wp:positionV>
                <wp:extent cx="2409825" cy="257175"/>
                <wp:effectExtent l="0" t="0" r="0" b="0"/>
                <wp:wrapNone/>
                <wp:docPr id="95"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825" cy="257175"/>
                        </a:xfrm>
                        <a:prstGeom prst="rect">
                          <a:avLst/>
                        </a:prstGeom>
                        <a:noFill/>
                        <a:ln w="9525">
                          <a:noFill/>
                          <a:miter lim="800000"/>
                          <a:headEnd/>
                          <a:tailEnd/>
                        </a:ln>
                      </wps:spPr>
                      <wps:txbx>
                        <w:txbxContent>
                          <w:p w14:paraId="64D3EC20"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internacionalizace výzkumných týmů</w:t>
                            </w:r>
                          </w:p>
                          <w:p w14:paraId="3116788B" w14:textId="77777777" w:rsidR="00FF0657" w:rsidRPr="00E2274B" w:rsidRDefault="00FF0657" w:rsidP="007A5EC1">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56A62B" id="_x0000_s1029" type="#_x0000_t202" style="position:absolute;margin-left:589.5pt;margin-top:317.65pt;width:189.75pt;height:20.25pt;z-index:251851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" filled="f" stroked="f">
                <v:textbox>
                  <w:txbxContent>
                    <w:p w14:paraId="64D3EC20"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internacionalizace výzkumných týmů</w:t>
                      </w:r>
                    </w:p>
                    <w:p w14:paraId="3116788B" w14:textId="77777777" w:rsidR="00FF0657" w:rsidRPr="00E2274B" w:rsidRDefault="00FF0657" w:rsidP="007A5EC1">
                      <w:pPr>
                        <w:rPr>
                          <w:sz w:val="18"/>
                          <w:szCs w:val="18"/>
                        </w:rPr>
                      </w:pPr>
                    </w:p>
                  </w:txbxContent>
                </v:textbox>
                <w10:wrap anchorx="margin"/>
              </v:shape>
            </w:pict>
          </mc:Fallback>
        </mc:AlternateContent>
      </w:r>
      <w:r>
        <w:rPr>
          <w:noProof/>
          <w:lang w:eastAsia="cs-CZ"/>
        </w:rPr>
        <mc:AlternateContent>
          <mc:Choice Requires="wps">
            <w:drawing>
              <wp:anchor distT="45720" distB="45720" distL="114300" distR="114300" simplePos="0" relativeHeight="251852800" behindDoc="0" locked="0" layoutInCell="1" allowOverlap="1" wp14:anchorId="5A2ECF21" wp14:editId="50CD020C">
                <wp:simplePos x="0" y="0"/>
                <wp:positionH relativeFrom="margin">
                  <wp:posOffset>7362825</wp:posOffset>
                </wp:positionH>
                <wp:positionV relativeFrom="paragraph">
                  <wp:posOffset>3731260</wp:posOffset>
                </wp:positionV>
                <wp:extent cx="6276975" cy="371475"/>
                <wp:effectExtent l="0" t="0" r="0" b="0"/>
                <wp:wrapNone/>
                <wp:docPr id="96"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371475"/>
                        </a:xfrm>
                        <a:prstGeom prst="rect">
                          <a:avLst/>
                        </a:prstGeom>
                        <a:noFill/>
                        <a:ln w="9525">
                          <a:noFill/>
                          <a:miter lim="800000"/>
                          <a:headEnd/>
                          <a:tailEnd/>
                        </a:ln>
                      </wps:spPr>
                      <wps:txbx>
                        <w:txbxContent>
                          <w:p w14:paraId="1DDC54A2"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 xml:space="preserve">mezinárodní a mezisektorové mobility, </w:t>
                            </w:r>
                            <w:r>
                              <w:rPr>
                                <w:sz w:val="18"/>
                                <w:szCs w:val="18"/>
                              </w:rPr>
                              <w:br/>
                            </w:r>
                            <w:r w:rsidRPr="00513371">
                              <w:rPr>
                                <w:sz w:val="18"/>
                                <w:szCs w:val="18"/>
                              </w:rPr>
                              <w:t>síťování s VO ze zahraničí</w:t>
                            </w:r>
                          </w:p>
                          <w:p w14:paraId="28A79961" w14:textId="77777777" w:rsidR="00FF0657" w:rsidRPr="00E2274B" w:rsidRDefault="00FF0657" w:rsidP="007A5EC1">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2ECF21" id="_x0000_s1030" type="#_x0000_t202" style="position:absolute;margin-left:579.75pt;margin-top:293.8pt;width:494.25pt;height:29.25pt;z-index:2518528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" filled="f" stroked="f">
                <v:textbox>
                  <w:txbxContent>
                    <w:p w14:paraId="1DDC54A2"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 xml:space="preserve">mezinárodní a mezisektorové mobility, </w:t>
                      </w:r>
                      <w:r>
                        <w:rPr>
                          <w:sz w:val="18"/>
                          <w:szCs w:val="18"/>
                        </w:rPr>
                        <w:br/>
                      </w:r>
                      <w:r w:rsidRPr="00513371">
                        <w:rPr>
                          <w:sz w:val="18"/>
                          <w:szCs w:val="18"/>
                        </w:rPr>
                        <w:t>síťování s VO ze zahraničí</w:t>
                      </w:r>
                    </w:p>
                    <w:p w14:paraId="28A79961" w14:textId="77777777" w:rsidR="00FF0657" w:rsidRPr="00E2274B" w:rsidRDefault="00FF0657" w:rsidP="007A5EC1">
                      <w:pPr>
                        <w:rPr>
                          <w:sz w:val="18"/>
                          <w:szCs w:val="18"/>
                        </w:rPr>
                      </w:pPr>
                    </w:p>
                  </w:txbxContent>
                </v:textbox>
                <w10:wrap anchorx="margin"/>
              </v:shape>
            </w:pict>
          </mc:Fallback>
        </mc:AlternateContent>
      </w:r>
      <w:r>
        <w:rPr>
          <w:noProof/>
          <w:lang w:eastAsia="cs-CZ"/>
        </w:rPr>
        <mc:AlternateContent>
          <mc:Choice Requires="wps">
            <w:drawing>
              <wp:anchor distT="45720" distB="45720" distL="114300" distR="114300" simplePos="0" relativeHeight="251853824" behindDoc="0" locked="0" layoutInCell="1" allowOverlap="1" wp14:anchorId="63D47720" wp14:editId="68EAEEA0">
                <wp:simplePos x="0" y="0"/>
                <wp:positionH relativeFrom="margin">
                  <wp:posOffset>7515225</wp:posOffset>
                </wp:positionH>
                <wp:positionV relativeFrom="paragraph">
                  <wp:posOffset>4220844</wp:posOffset>
                </wp:positionV>
                <wp:extent cx="4600575" cy="428625"/>
                <wp:effectExtent l="0" t="0" r="0" b="0"/>
                <wp:wrapNone/>
                <wp:docPr id="9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00575" cy="428625"/>
                        </a:xfrm>
                        <a:prstGeom prst="rect">
                          <a:avLst/>
                        </a:prstGeom>
                        <a:noFill/>
                        <a:ln w="9525">
                          <a:noFill/>
                          <a:miter lim="800000"/>
                          <a:headEnd/>
                          <a:tailEnd/>
                        </a:ln>
                      </wps:spPr>
                      <wps:txbx>
                        <w:txbxContent>
                          <w:p w14:paraId="4F92135B" w14:textId="77777777" w:rsidR="00FF0657" w:rsidRPr="00A20C8C" w:rsidRDefault="00FF0657" w:rsidP="007A5EC1">
                            <w:pPr>
                              <w:numPr>
                                <w:ilvl w:val="0"/>
                                <w:numId w:val="9"/>
                              </w:numPr>
                              <w:spacing w:after="0" w:line="240" w:lineRule="auto"/>
                              <w:ind w:left="714" w:hanging="357"/>
                              <w:rPr>
                                <w:sz w:val="18"/>
                                <w:szCs w:val="18"/>
                              </w:rPr>
                            </w:pPr>
                            <w:r w:rsidRPr="00A20C8C">
                              <w:rPr>
                                <w:sz w:val="18"/>
                                <w:szCs w:val="18"/>
                              </w:rPr>
                              <w:t>rozvoj personálních kapacit</w:t>
                            </w:r>
                            <w:r>
                              <w:rPr>
                                <w:sz w:val="18"/>
                                <w:szCs w:val="18"/>
                              </w:rPr>
                              <w:br/>
                            </w:r>
                            <w:r w:rsidRPr="00A20C8C">
                              <w:rPr>
                                <w:sz w:val="18"/>
                                <w:szCs w:val="18"/>
                              </w:rPr>
                              <w:t xml:space="preserve"> pro transfer technologií a znalostí</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D47720" id="_x0000_s1031" type="#_x0000_t202" style="position:absolute;margin-left:591.75pt;margin-top:332.35pt;width:362.25pt;height:33.75pt;z-index:2518538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" filled="f" stroked="f">
                <v:textbox>
                  <w:txbxContent>
                    <w:p w14:paraId="4F92135B" w14:textId="77777777" w:rsidR="00FF0657" w:rsidRPr="00A20C8C" w:rsidRDefault="00FF0657" w:rsidP="007A5EC1">
                      <w:pPr>
                        <w:numPr>
                          <w:ilvl w:val="0"/>
                          <w:numId w:val="9"/>
                        </w:numPr>
                        <w:spacing w:after="0" w:line="240" w:lineRule="auto"/>
                        <w:ind w:left="714" w:hanging="357"/>
                        <w:rPr>
                          <w:sz w:val="18"/>
                          <w:szCs w:val="18"/>
                        </w:rPr>
                      </w:pPr>
                      <w:r w:rsidRPr="00A20C8C">
                        <w:rPr>
                          <w:sz w:val="18"/>
                          <w:szCs w:val="18"/>
                        </w:rPr>
                        <w:t>rozvoj personálních kapacit</w:t>
                      </w:r>
                      <w:r>
                        <w:rPr>
                          <w:sz w:val="18"/>
                          <w:szCs w:val="18"/>
                        </w:rPr>
                        <w:br/>
                      </w:r>
                      <w:r w:rsidRPr="00A20C8C">
                        <w:rPr>
                          <w:sz w:val="18"/>
                          <w:szCs w:val="18"/>
                        </w:rPr>
                        <w:t xml:space="preserve"> pro transfer technologií a znalostí</w:t>
                      </w:r>
                    </w:p>
                  </w:txbxContent>
                </v:textbox>
                <w10:wrap anchorx="margin"/>
              </v:shape>
            </w:pict>
          </mc:Fallback>
        </mc:AlternateContent>
      </w:r>
      <w:r>
        <w:rPr>
          <w:noProof/>
          <w:lang w:eastAsia="cs-CZ"/>
        </w:rPr>
        <mc:AlternateContent>
          <mc:Choice Requires="wps">
            <w:drawing>
              <wp:anchor distT="45720" distB="45720" distL="114300" distR="114300" simplePos="0" relativeHeight="251854848" behindDoc="0" locked="0" layoutInCell="1" allowOverlap="1" wp14:anchorId="17D14E76" wp14:editId="53BBD2A4">
                <wp:simplePos x="0" y="0"/>
                <wp:positionH relativeFrom="margin">
                  <wp:posOffset>7367905</wp:posOffset>
                </wp:positionH>
                <wp:positionV relativeFrom="paragraph">
                  <wp:posOffset>4457700</wp:posOffset>
                </wp:positionV>
                <wp:extent cx="6276975" cy="409575"/>
                <wp:effectExtent l="0" t="0" r="0" b="0"/>
                <wp:wrapNone/>
                <wp:docPr id="99"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409575"/>
                        </a:xfrm>
                        <a:prstGeom prst="rect">
                          <a:avLst/>
                        </a:prstGeom>
                        <a:noFill/>
                        <a:ln w="9525">
                          <a:noFill/>
                          <a:miter lim="800000"/>
                          <a:headEnd/>
                          <a:tailEnd/>
                        </a:ln>
                      </wps:spPr>
                      <wps:txbx>
                        <w:txbxContent>
                          <w:p w14:paraId="6235F17B"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vytváření a r</w:t>
                            </w:r>
                            <w:r>
                              <w:rPr>
                                <w:sz w:val="18"/>
                                <w:szCs w:val="18"/>
                              </w:rPr>
                              <w:t xml:space="preserve">ozvoj welcome office, </w:t>
                            </w:r>
                            <w:r>
                              <w:rPr>
                                <w:sz w:val="18"/>
                                <w:szCs w:val="18"/>
                              </w:rPr>
                              <w:br/>
                              <w:t>grant offi</w:t>
                            </w:r>
                            <w:r w:rsidRPr="00513371">
                              <w:rPr>
                                <w:sz w:val="18"/>
                                <w:szCs w:val="18"/>
                              </w:rPr>
                              <w:t>ce, CTT office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D14E76" id="_x0000_s1032" type="#_x0000_t202" style="position:absolute;margin-left:580.15pt;margin-top:351pt;width:494.25pt;height:32.25pt;z-index:2518548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" filled="f" stroked="f">
                <v:textbox>
                  <w:txbxContent>
                    <w:p w14:paraId="6235F17B"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vytváření a r</w:t>
                      </w:r>
                      <w:r>
                        <w:rPr>
                          <w:sz w:val="18"/>
                          <w:szCs w:val="18"/>
                        </w:rPr>
                        <w:t xml:space="preserve">ozvoj welcome office, </w:t>
                      </w:r>
                      <w:r>
                        <w:rPr>
                          <w:sz w:val="18"/>
                          <w:szCs w:val="18"/>
                        </w:rPr>
                        <w:br/>
                        <w:t>grant offi</w:t>
                      </w:r>
                      <w:r w:rsidRPr="00513371">
                        <w:rPr>
                          <w:sz w:val="18"/>
                          <w:szCs w:val="18"/>
                        </w:rPr>
                        <w:t>ce, CTT office</w:t>
                      </w:r>
                    </w:p>
                  </w:txbxContent>
                </v:textbox>
                <w10:wrap anchorx="margin"/>
              </v:shape>
            </w:pict>
          </mc:Fallback>
        </mc:AlternateContent>
      </w:r>
      <w:r>
        <w:rPr>
          <w:noProof/>
          <w:lang w:eastAsia="cs-CZ"/>
        </w:rPr>
        <mc:AlternateContent>
          <mc:Choice Requires="wps">
            <w:drawing>
              <wp:anchor distT="45720" distB="45720" distL="114300" distR="114300" simplePos="0" relativeHeight="251855872" behindDoc="0" locked="0" layoutInCell="1" allowOverlap="1" wp14:anchorId="678CCC3F" wp14:editId="1F847198">
                <wp:simplePos x="0" y="0"/>
                <wp:positionH relativeFrom="margin">
                  <wp:posOffset>7029450</wp:posOffset>
                </wp:positionH>
                <wp:positionV relativeFrom="paragraph">
                  <wp:posOffset>4719955</wp:posOffset>
                </wp:positionV>
                <wp:extent cx="6276975" cy="247650"/>
                <wp:effectExtent l="0" t="0" r="0" b="0"/>
                <wp:wrapNone/>
                <wp:docPr id="10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247650"/>
                        </a:xfrm>
                        <a:prstGeom prst="rect">
                          <a:avLst/>
                        </a:prstGeom>
                        <a:noFill/>
                        <a:ln w="9525">
                          <a:noFill/>
                          <a:miter lim="800000"/>
                          <a:headEnd/>
                          <a:tailEnd/>
                        </a:ln>
                      </wps:spPr>
                      <wps:txbx>
                        <w:txbxContent>
                          <w:p w14:paraId="5CB99635"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příprava na implementaci iniciativy EOSC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8CCC3F" id="_x0000_s1033" type="#_x0000_t202" style="position:absolute;margin-left:553.5pt;margin-top:371.65pt;width:494.25pt;height:19.5pt;z-index:2518558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" filled="f" stroked="f">
                <v:textbox>
                  <w:txbxContent>
                    <w:p w14:paraId="5CB99635"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příprava na implementaci iniciativy EOSC</w:t>
                      </w:r>
                    </w:p>
                  </w:txbxContent>
                </v:textbox>
                <w10:wrap anchorx="margin"/>
              </v:shape>
            </w:pict>
          </mc:Fallback>
        </mc:AlternateContent>
      </w:r>
      <w:r>
        <w:rPr>
          <w:noProof/>
          <w:lang w:eastAsia="cs-CZ"/>
        </w:rPr>
        <mc:AlternateContent>
          <mc:Choice Requires="wps">
            <w:drawing>
              <wp:anchor distT="45720" distB="45720" distL="114300" distR="114300" simplePos="0" relativeHeight="251828224" behindDoc="0" locked="0" layoutInCell="1" allowOverlap="1" wp14:anchorId="37068C7E" wp14:editId="11488110">
                <wp:simplePos x="0" y="0"/>
                <wp:positionH relativeFrom="margin">
                  <wp:posOffset>652780</wp:posOffset>
                </wp:positionH>
                <wp:positionV relativeFrom="paragraph">
                  <wp:posOffset>1271905</wp:posOffset>
                </wp:positionV>
                <wp:extent cx="1571625" cy="390525"/>
                <wp:effectExtent l="0" t="0" r="0" b="0"/>
                <wp:wrapNone/>
                <wp:docPr id="101" name="Textové pole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390525"/>
                        </a:xfrm>
                        <a:prstGeom prst="rect">
                          <a:avLst/>
                        </a:prstGeom>
                        <a:noFill/>
                        <a:ln w="9525">
                          <a:noFill/>
                          <a:miter lim="800000"/>
                          <a:headEnd/>
                          <a:tailEnd/>
                        </a:ln>
                      </wps:spPr>
                      <wps:txbx>
                        <w:txbxContent>
                          <w:p w14:paraId="442C2445" w14:textId="77777777" w:rsidR="00FF0657" w:rsidRPr="00F1712F" w:rsidRDefault="00FF0657" w:rsidP="007A5EC1">
                            <w:pPr>
                              <w:numPr>
                                <w:ilvl w:val="0"/>
                                <w:numId w:val="9"/>
                              </w:numPr>
                              <w:spacing w:after="0" w:line="240" w:lineRule="auto"/>
                              <w:ind w:left="714" w:hanging="357"/>
                              <w:rPr>
                                <w:sz w:val="18"/>
                                <w:szCs w:val="18"/>
                              </w:rPr>
                            </w:pPr>
                            <w:r w:rsidRPr="00F1712F">
                              <w:rPr>
                                <w:sz w:val="18"/>
                                <w:szCs w:val="18"/>
                              </w:rPr>
                              <w:t>důraz na rozvojové</w:t>
                            </w:r>
                            <w:r>
                              <w:rPr>
                                <w:sz w:val="18"/>
                                <w:szCs w:val="18"/>
                              </w:rPr>
                              <w:br/>
                            </w:r>
                            <w:r w:rsidRPr="00F1712F">
                              <w:rPr>
                                <w:sz w:val="18"/>
                                <w:szCs w:val="18"/>
                              </w:rPr>
                              <w:t xml:space="preserve"> podpory</w:t>
                            </w:r>
                          </w:p>
                          <w:p w14:paraId="6C783B50" w14:textId="77777777" w:rsidR="00FF0657" w:rsidRPr="00E2274B" w:rsidRDefault="00FF0657" w:rsidP="007A5EC1">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068C7E" id="Textové pole 101" o:spid="_x0000_s1034" type="#_x0000_t202" style="position:absolute;margin-left:51.4pt;margin-top:100.15pt;width:123.75pt;height:30.75pt;z-index:2518282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" filled="f" stroked="f">
                <v:textbox>
                  <w:txbxContent>
                    <w:p w14:paraId="442C2445" w14:textId="77777777" w:rsidR="00FF0657" w:rsidRPr="00F1712F" w:rsidRDefault="00FF0657" w:rsidP="007A5EC1">
                      <w:pPr>
                        <w:numPr>
                          <w:ilvl w:val="0"/>
                          <w:numId w:val="9"/>
                        </w:numPr>
                        <w:spacing w:after="0" w:line="240" w:lineRule="auto"/>
                        <w:ind w:left="714" w:hanging="357"/>
                        <w:rPr>
                          <w:sz w:val="18"/>
                          <w:szCs w:val="18"/>
                        </w:rPr>
                      </w:pPr>
                      <w:r w:rsidRPr="00F1712F">
                        <w:rPr>
                          <w:sz w:val="18"/>
                          <w:szCs w:val="18"/>
                        </w:rPr>
                        <w:t>důraz na rozvojové</w:t>
                      </w:r>
                      <w:r>
                        <w:rPr>
                          <w:sz w:val="18"/>
                          <w:szCs w:val="18"/>
                        </w:rPr>
                        <w:br/>
                      </w:r>
                      <w:r w:rsidRPr="00F1712F">
                        <w:rPr>
                          <w:sz w:val="18"/>
                          <w:szCs w:val="18"/>
                        </w:rPr>
                        <w:t xml:space="preserve"> podpory</w:t>
                      </w:r>
                    </w:p>
                    <w:p w14:paraId="6C783B50" w14:textId="77777777" w:rsidR="00FF0657" w:rsidRPr="00E2274B" w:rsidRDefault="00FF0657" w:rsidP="007A5EC1">
                      <w:pPr>
                        <w:rPr>
                          <w:sz w:val="18"/>
                          <w:szCs w:val="18"/>
                        </w:rPr>
                      </w:pPr>
                    </w:p>
                  </w:txbxContent>
                </v:textbox>
                <w10:wrap anchorx="margin"/>
              </v:shape>
            </w:pict>
          </mc:Fallback>
        </mc:AlternateContent>
      </w:r>
      <w:r>
        <w:rPr>
          <w:noProof/>
          <w:lang w:eastAsia="cs-CZ"/>
        </w:rPr>
        <mc:AlternateContent>
          <mc:Choice Requires="wps">
            <w:drawing>
              <wp:anchor distT="45720" distB="45720" distL="114300" distR="114300" simplePos="0" relativeHeight="251832320" behindDoc="0" locked="0" layoutInCell="1" allowOverlap="1" wp14:anchorId="258BFAA3" wp14:editId="061AFF0F">
                <wp:simplePos x="0" y="0"/>
                <wp:positionH relativeFrom="margin">
                  <wp:posOffset>7672705</wp:posOffset>
                </wp:positionH>
                <wp:positionV relativeFrom="paragraph">
                  <wp:posOffset>881380</wp:posOffset>
                </wp:positionV>
                <wp:extent cx="1914525" cy="1190625"/>
                <wp:effectExtent l="0" t="0" r="0" b="0"/>
                <wp:wrapNone/>
                <wp:docPr id="10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1190625"/>
                        </a:xfrm>
                        <a:prstGeom prst="rect">
                          <a:avLst/>
                        </a:prstGeom>
                        <a:noFill/>
                        <a:ln w="9525">
                          <a:noFill/>
                          <a:miter lim="800000"/>
                          <a:headEnd/>
                          <a:tailEnd/>
                        </a:ln>
                      </wps:spPr>
                      <wps:txbx>
                        <w:txbxContent>
                          <w:p w14:paraId="1904FD2E" w14:textId="77777777" w:rsidR="00FF0657" w:rsidRPr="00D26B09" w:rsidRDefault="00FF0657" w:rsidP="007A5EC1">
                            <w:pPr>
                              <w:numPr>
                                <w:ilvl w:val="0"/>
                                <w:numId w:val="9"/>
                              </w:numPr>
                              <w:spacing w:after="0" w:line="240" w:lineRule="auto"/>
                              <w:rPr>
                                <w:sz w:val="18"/>
                                <w:szCs w:val="18"/>
                              </w:rPr>
                            </w:pPr>
                            <w:r w:rsidRPr="00D26B09">
                              <w:rPr>
                                <w:sz w:val="18"/>
                                <w:szCs w:val="18"/>
                              </w:rPr>
                              <w:t>Důraz na Průmysl 4.0</w:t>
                            </w:r>
                            <w:r>
                              <w:rPr>
                                <w:sz w:val="18"/>
                                <w:szCs w:val="18"/>
                              </w:rPr>
                              <w:t xml:space="preserve">, </w:t>
                            </w:r>
                            <w:r w:rsidRPr="00D26B09">
                              <w:rPr>
                                <w:sz w:val="18"/>
                                <w:szCs w:val="18"/>
                              </w:rPr>
                              <w:t>digitalizaci a automatizaci, znalostní ekonomiku</w:t>
                            </w:r>
                            <w:r>
                              <w:rPr>
                                <w:sz w:val="18"/>
                                <w:szCs w:val="18"/>
                              </w:rPr>
                              <w:t xml:space="preserve"> </w:t>
                            </w:r>
                            <w:r w:rsidRPr="00D26B09">
                              <w:rPr>
                                <w:sz w:val="18"/>
                                <w:szCs w:val="18"/>
                              </w:rPr>
                              <w:t>a vyšší přidanou hodnotu, inovativnost MSP, posun k</w:t>
                            </w:r>
                            <w:r>
                              <w:rPr>
                                <w:sz w:val="18"/>
                                <w:szCs w:val="18"/>
                              </w:rPr>
                              <w:t> </w:t>
                            </w:r>
                            <w:r w:rsidRPr="00D26B09">
                              <w:rPr>
                                <w:sz w:val="18"/>
                                <w:szCs w:val="18"/>
                              </w:rPr>
                              <w:t>nízkouhlíkovému a</w:t>
                            </w:r>
                            <w:r>
                              <w:rPr>
                                <w:sz w:val="18"/>
                                <w:szCs w:val="18"/>
                              </w:rPr>
                              <w:t> </w:t>
                            </w:r>
                            <w:r w:rsidRPr="00D26B09">
                              <w:rPr>
                                <w:sz w:val="18"/>
                                <w:szCs w:val="18"/>
                              </w:rPr>
                              <w:t>oběhovému hospodářství</w:t>
                            </w:r>
                          </w:p>
                          <w:p w14:paraId="6F7179EB" w14:textId="77777777" w:rsidR="00FF0657" w:rsidRPr="00E2274B" w:rsidRDefault="00FF0657" w:rsidP="007A5EC1">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8BFAA3" id="_x0000_s1035" type="#_x0000_t202" style="position:absolute;margin-left:604.15pt;margin-top:69.4pt;width:150.75pt;height:93.75pt;z-index:2518323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" filled="f" stroked="f">
                <v:textbox>
                  <w:txbxContent>
                    <w:p w14:paraId="1904FD2E" w14:textId="77777777" w:rsidR="00FF0657" w:rsidRPr="00D26B09" w:rsidRDefault="00FF0657" w:rsidP="007A5EC1">
                      <w:pPr>
                        <w:numPr>
                          <w:ilvl w:val="0"/>
                          <w:numId w:val="9"/>
                        </w:numPr>
                        <w:spacing w:after="0" w:line="240" w:lineRule="auto"/>
                        <w:rPr>
                          <w:sz w:val="18"/>
                          <w:szCs w:val="18"/>
                        </w:rPr>
                      </w:pPr>
                      <w:r w:rsidRPr="00D26B09">
                        <w:rPr>
                          <w:sz w:val="18"/>
                          <w:szCs w:val="18"/>
                        </w:rPr>
                        <w:t>Důraz na Průmysl 4.0</w:t>
                      </w:r>
                      <w:r>
                        <w:rPr>
                          <w:sz w:val="18"/>
                          <w:szCs w:val="18"/>
                        </w:rPr>
                        <w:t xml:space="preserve">, </w:t>
                      </w:r>
                      <w:r w:rsidRPr="00D26B09">
                        <w:rPr>
                          <w:sz w:val="18"/>
                          <w:szCs w:val="18"/>
                        </w:rPr>
                        <w:t>digitalizaci a automatizaci, znalostní ekonomiku</w:t>
                      </w:r>
                      <w:r>
                        <w:rPr>
                          <w:sz w:val="18"/>
                          <w:szCs w:val="18"/>
                        </w:rPr>
                        <w:t xml:space="preserve"> </w:t>
                      </w:r>
                      <w:r w:rsidRPr="00D26B09">
                        <w:rPr>
                          <w:sz w:val="18"/>
                          <w:szCs w:val="18"/>
                        </w:rPr>
                        <w:t>a vyšší přidanou hodnotu, inovativnost MSP, posun k</w:t>
                      </w:r>
                      <w:r>
                        <w:rPr>
                          <w:sz w:val="18"/>
                          <w:szCs w:val="18"/>
                        </w:rPr>
                        <w:t> </w:t>
                      </w:r>
                      <w:r w:rsidRPr="00D26B09">
                        <w:rPr>
                          <w:sz w:val="18"/>
                          <w:szCs w:val="18"/>
                        </w:rPr>
                        <w:t>nízkouhlíkovému a</w:t>
                      </w:r>
                      <w:r>
                        <w:rPr>
                          <w:sz w:val="18"/>
                          <w:szCs w:val="18"/>
                        </w:rPr>
                        <w:t> </w:t>
                      </w:r>
                      <w:r w:rsidRPr="00D26B09">
                        <w:rPr>
                          <w:sz w:val="18"/>
                          <w:szCs w:val="18"/>
                        </w:rPr>
                        <w:t>oběhovému hospodářství</w:t>
                      </w:r>
                    </w:p>
                    <w:p w14:paraId="6F7179EB" w14:textId="77777777" w:rsidR="00FF0657" w:rsidRPr="00E2274B" w:rsidRDefault="00FF0657" w:rsidP="007A5EC1">
                      <w:pPr>
                        <w:rPr>
                          <w:sz w:val="18"/>
                          <w:szCs w:val="18"/>
                        </w:rPr>
                      </w:pPr>
                    </w:p>
                  </w:txbxContent>
                </v:textbox>
                <w10:wrap anchorx="margin"/>
              </v:shape>
            </w:pict>
          </mc:Fallback>
        </mc:AlternateContent>
      </w:r>
      <w:r>
        <w:rPr>
          <w:noProof/>
          <w:lang w:eastAsia="cs-CZ"/>
        </w:rPr>
        <mc:AlternateContent>
          <mc:Choice Requires="wps">
            <w:drawing>
              <wp:anchor distT="45720" distB="45720" distL="114300" distR="114300" simplePos="0" relativeHeight="251848704" behindDoc="0" locked="0" layoutInCell="1" allowOverlap="1" wp14:anchorId="54B78CA2" wp14:editId="209B06CF">
                <wp:simplePos x="0" y="0"/>
                <wp:positionH relativeFrom="margin">
                  <wp:posOffset>6482080</wp:posOffset>
                </wp:positionH>
                <wp:positionV relativeFrom="paragraph">
                  <wp:posOffset>4853305</wp:posOffset>
                </wp:positionV>
                <wp:extent cx="6276975" cy="400050"/>
                <wp:effectExtent l="0" t="0" r="0" b="0"/>
                <wp:wrapNone/>
                <wp:docPr id="10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400050"/>
                        </a:xfrm>
                        <a:prstGeom prst="rect">
                          <a:avLst/>
                        </a:prstGeom>
                        <a:noFill/>
                        <a:ln w="9525">
                          <a:noFill/>
                          <a:miter lim="800000"/>
                          <a:headEnd/>
                          <a:tailEnd/>
                        </a:ln>
                      </wps:spPr>
                      <wps:txbx>
                        <w:txbxContent>
                          <w:p w14:paraId="2C754C3E"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zefektivnění systému přístupu k informacím</w:t>
                            </w:r>
                          </w:p>
                          <w:p w14:paraId="2AFABDD1" w14:textId="77777777" w:rsidR="00FF0657" w:rsidRPr="00A20C8C" w:rsidRDefault="00FF0657" w:rsidP="007A5EC1">
                            <w:pPr>
                              <w:numPr>
                                <w:ilvl w:val="0"/>
                                <w:numId w:val="9"/>
                              </w:numPr>
                              <w:spacing w:after="0" w:line="240" w:lineRule="auto"/>
                              <w:ind w:left="714" w:hanging="357"/>
                              <w:rPr>
                                <w:sz w:val="18"/>
                                <w:szCs w:val="18"/>
                              </w:rPr>
                            </w:pPr>
                            <w:r w:rsidRPr="00A20C8C">
                              <w:rPr>
                                <w:sz w:val="18"/>
                                <w:szCs w:val="18"/>
                              </w:rPr>
                              <w:t>propagace výsledků VaVaI v ČR i v zahraničí</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B78CA2" id="_x0000_s1036" type="#_x0000_t202" style="position:absolute;margin-left:510.4pt;margin-top:382.15pt;width:494.25pt;height:31.5pt;z-index:251848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" filled="f" stroked="f">
                <v:textbox>
                  <w:txbxContent>
                    <w:p w14:paraId="2C754C3E"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zefektivnění systému přístupu k informacím</w:t>
                      </w:r>
                    </w:p>
                    <w:p w14:paraId="2AFABDD1" w14:textId="77777777" w:rsidR="00FF0657" w:rsidRPr="00A20C8C" w:rsidRDefault="00FF0657" w:rsidP="007A5EC1">
                      <w:pPr>
                        <w:numPr>
                          <w:ilvl w:val="0"/>
                          <w:numId w:val="9"/>
                        </w:numPr>
                        <w:spacing w:after="0" w:line="240" w:lineRule="auto"/>
                        <w:ind w:left="714" w:hanging="357"/>
                        <w:rPr>
                          <w:sz w:val="18"/>
                          <w:szCs w:val="18"/>
                        </w:rPr>
                      </w:pPr>
                      <w:r w:rsidRPr="00A20C8C">
                        <w:rPr>
                          <w:sz w:val="18"/>
                          <w:szCs w:val="18"/>
                        </w:rPr>
                        <w:t>propagace výsledků VaVaI v ČR i v zahraničí</w:t>
                      </w:r>
                    </w:p>
                  </w:txbxContent>
                </v:textbox>
                <w10:wrap anchorx="margin"/>
              </v:shape>
            </w:pict>
          </mc:Fallback>
        </mc:AlternateContent>
      </w:r>
      <w:r>
        <w:rPr>
          <w:noProof/>
          <w:lang w:eastAsia="cs-CZ"/>
        </w:rPr>
        <mc:AlternateContent>
          <mc:Choice Requires="wps">
            <w:drawing>
              <wp:anchor distT="45720" distB="45720" distL="114300" distR="114300" simplePos="0" relativeHeight="251850752" behindDoc="0" locked="0" layoutInCell="1" allowOverlap="1" wp14:anchorId="7660F283" wp14:editId="00447817">
                <wp:simplePos x="0" y="0"/>
                <wp:positionH relativeFrom="page">
                  <wp:posOffset>7400925</wp:posOffset>
                </wp:positionH>
                <wp:positionV relativeFrom="paragraph">
                  <wp:posOffset>3439795</wp:posOffset>
                </wp:positionV>
                <wp:extent cx="3219450" cy="438150"/>
                <wp:effectExtent l="0" t="0" r="0" b="0"/>
                <wp:wrapNone/>
                <wp:docPr id="10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9450" cy="438150"/>
                        </a:xfrm>
                        <a:prstGeom prst="rect">
                          <a:avLst/>
                        </a:prstGeom>
                        <a:noFill/>
                        <a:ln w="9525">
                          <a:noFill/>
                          <a:miter lim="800000"/>
                          <a:headEnd/>
                          <a:tailEnd/>
                        </a:ln>
                      </wps:spPr>
                      <wps:txbx>
                        <w:txbxContent>
                          <w:p w14:paraId="65C32E9C"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 xml:space="preserve">rozvoj vybavení pro aktivity zaměřené na budování </w:t>
                            </w:r>
                            <w:r>
                              <w:rPr>
                                <w:sz w:val="18"/>
                                <w:szCs w:val="18"/>
                              </w:rPr>
                              <w:br/>
                            </w:r>
                            <w:r w:rsidRPr="00513371">
                              <w:rPr>
                                <w:sz w:val="18"/>
                                <w:szCs w:val="18"/>
                              </w:rPr>
                              <w:t>spo</w:t>
                            </w:r>
                            <w:r>
                              <w:rPr>
                                <w:sz w:val="18"/>
                                <w:szCs w:val="18"/>
                              </w:rPr>
                              <w:t>l</w:t>
                            </w:r>
                            <w:r w:rsidRPr="00513371">
                              <w:rPr>
                                <w:sz w:val="18"/>
                                <w:szCs w:val="18"/>
                              </w:rPr>
                              <w:t>u</w:t>
                            </w:r>
                            <w:r>
                              <w:rPr>
                                <w:sz w:val="18"/>
                                <w:szCs w:val="18"/>
                              </w:rPr>
                              <w:t>p</w:t>
                            </w:r>
                            <w:r w:rsidRPr="00513371">
                              <w:rPr>
                                <w:sz w:val="18"/>
                                <w:szCs w:val="18"/>
                              </w:rPr>
                              <w:t>ráce mezi výzkumnou a aplikační sférou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60F283" id="_x0000_s1037" type="#_x0000_t202" style="position:absolute;margin-left:582.75pt;margin-top:270.85pt;width:253.5pt;height:34.5pt;z-index:25185075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" filled="f" stroked="f">
                <v:textbox>
                  <w:txbxContent>
                    <w:p w14:paraId="65C32E9C"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 xml:space="preserve">rozvoj vybavení pro aktivity zaměřené na budování </w:t>
                      </w:r>
                      <w:r>
                        <w:rPr>
                          <w:sz w:val="18"/>
                          <w:szCs w:val="18"/>
                        </w:rPr>
                        <w:br/>
                      </w:r>
                      <w:r w:rsidRPr="00513371">
                        <w:rPr>
                          <w:sz w:val="18"/>
                          <w:szCs w:val="18"/>
                        </w:rPr>
                        <w:t>spo</w:t>
                      </w:r>
                      <w:r>
                        <w:rPr>
                          <w:sz w:val="18"/>
                          <w:szCs w:val="18"/>
                        </w:rPr>
                        <w:t>l</w:t>
                      </w:r>
                      <w:r w:rsidRPr="00513371">
                        <w:rPr>
                          <w:sz w:val="18"/>
                          <w:szCs w:val="18"/>
                        </w:rPr>
                        <w:t>u</w:t>
                      </w:r>
                      <w:r>
                        <w:rPr>
                          <w:sz w:val="18"/>
                          <w:szCs w:val="18"/>
                        </w:rPr>
                        <w:t>p</w:t>
                      </w:r>
                      <w:r w:rsidRPr="00513371">
                        <w:rPr>
                          <w:sz w:val="18"/>
                          <w:szCs w:val="18"/>
                        </w:rPr>
                        <w:t>ráce mezi výzkumnou a aplikační sférou</w:t>
                      </w:r>
                    </w:p>
                  </w:txbxContent>
                </v:textbox>
                <w10:wrap anchorx="page"/>
              </v:shape>
            </w:pict>
          </mc:Fallback>
        </mc:AlternateContent>
      </w:r>
      <w:r>
        <w:rPr>
          <w:noProof/>
          <w:lang w:eastAsia="cs-CZ"/>
        </w:rPr>
        <mc:AlternateContent>
          <mc:Choice Requires="wps">
            <w:drawing>
              <wp:anchor distT="45720" distB="45720" distL="114300" distR="114300" simplePos="0" relativeHeight="251849728" behindDoc="0" locked="0" layoutInCell="1" allowOverlap="1" wp14:anchorId="5DBFBE6E" wp14:editId="1FF96505">
                <wp:simplePos x="0" y="0"/>
                <wp:positionH relativeFrom="margin">
                  <wp:posOffset>6548755</wp:posOffset>
                </wp:positionH>
                <wp:positionV relativeFrom="paragraph">
                  <wp:posOffset>3272155</wp:posOffset>
                </wp:positionV>
                <wp:extent cx="2800350" cy="257175"/>
                <wp:effectExtent l="0" t="0" r="0" b="0"/>
                <wp:wrapNone/>
                <wp:docPr id="105"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0" cy="257175"/>
                        </a:xfrm>
                        <a:prstGeom prst="rect">
                          <a:avLst/>
                        </a:prstGeom>
                        <a:noFill/>
                        <a:ln w="9525">
                          <a:noFill/>
                          <a:miter lim="800000"/>
                          <a:headEnd/>
                          <a:tailEnd/>
                        </a:ln>
                      </wps:spPr>
                      <wps:txbx>
                        <w:txbxContent>
                          <w:p w14:paraId="2B370AF3" w14:textId="77777777" w:rsidR="00FF0657" w:rsidRPr="00513371" w:rsidRDefault="00FF0657" w:rsidP="007A5EC1">
                            <w:pPr>
                              <w:numPr>
                                <w:ilvl w:val="0"/>
                                <w:numId w:val="9"/>
                              </w:numPr>
                              <w:spacing w:after="0" w:line="240" w:lineRule="auto"/>
                              <w:rPr>
                                <w:sz w:val="18"/>
                                <w:szCs w:val="18"/>
                              </w:rPr>
                            </w:pPr>
                            <w:r w:rsidRPr="00513371">
                              <w:rPr>
                                <w:sz w:val="18"/>
                                <w:szCs w:val="18"/>
                              </w:rPr>
                              <w:t>modernizace, výstavba</w:t>
                            </w:r>
                            <w:r>
                              <w:rPr>
                                <w:sz w:val="18"/>
                                <w:szCs w:val="18"/>
                              </w:rPr>
                              <w:t xml:space="preserve"> </w:t>
                            </w:r>
                            <w:r w:rsidRPr="00534422">
                              <w:rPr>
                                <w:sz w:val="18"/>
                                <w:szCs w:val="18"/>
                              </w:rPr>
                              <w:t>výzkumného vybavení</w:t>
                            </w:r>
                          </w:p>
                          <w:p w14:paraId="79ABDE2C" w14:textId="77777777" w:rsidR="00FF0657" w:rsidRPr="00E2274B" w:rsidRDefault="00FF0657" w:rsidP="007A5EC1">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BFBE6E" id="_x0000_s1038" type="#_x0000_t202" style="position:absolute;margin-left:515.65pt;margin-top:257.65pt;width:220.5pt;height:20.25pt;z-index:251849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" filled="f" stroked="f">
                <v:textbox>
                  <w:txbxContent>
                    <w:p w14:paraId="2B370AF3" w14:textId="77777777" w:rsidR="00FF0657" w:rsidRPr="00513371" w:rsidRDefault="00FF0657" w:rsidP="007A5EC1">
                      <w:pPr>
                        <w:numPr>
                          <w:ilvl w:val="0"/>
                          <w:numId w:val="9"/>
                        </w:numPr>
                        <w:spacing w:after="0" w:line="240" w:lineRule="auto"/>
                        <w:rPr>
                          <w:sz w:val="18"/>
                          <w:szCs w:val="18"/>
                        </w:rPr>
                      </w:pPr>
                      <w:r w:rsidRPr="00513371">
                        <w:rPr>
                          <w:sz w:val="18"/>
                          <w:szCs w:val="18"/>
                        </w:rPr>
                        <w:t>modernizace, výstavba</w:t>
                      </w:r>
                      <w:r>
                        <w:rPr>
                          <w:sz w:val="18"/>
                          <w:szCs w:val="18"/>
                        </w:rPr>
                        <w:t xml:space="preserve"> </w:t>
                      </w:r>
                      <w:r w:rsidRPr="00534422">
                        <w:rPr>
                          <w:sz w:val="18"/>
                          <w:szCs w:val="18"/>
                        </w:rPr>
                        <w:t>výzkumného vybavení</w:t>
                      </w:r>
                    </w:p>
                    <w:p w14:paraId="79ABDE2C" w14:textId="77777777" w:rsidR="00FF0657" w:rsidRPr="00E2274B" w:rsidRDefault="00FF0657" w:rsidP="007A5EC1">
                      <w:pPr>
                        <w:rPr>
                          <w:sz w:val="18"/>
                          <w:szCs w:val="18"/>
                        </w:rPr>
                      </w:pPr>
                    </w:p>
                  </w:txbxContent>
                </v:textbox>
                <w10:wrap anchorx="margin"/>
              </v:shape>
            </w:pict>
          </mc:Fallback>
        </mc:AlternateContent>
      </w:r>
      <w:r>
        <w:rPr>
          <w:noProof/>
          <w:lang w:eastAsia="cs-CZ"/>
        </w:rPr>
        <mc:AlternateContent>
          <mc:Choice Requires="wps">
            <w:drawing>
              <wp:anchor distT="45720" distB="45720" distL="114300" distR="114300" simplePos="0" relativeHeight="251839488" behindDoc="0" locked="0" layoutInCell="1" allowOverlap="1" wp14:anchorId="3DA537A0" wp14:editId="0653C18E">
                <wp:simplePos x="0" y="0"/>
                <wp:positionH relativeFrom="margin">
                  <wp:posOffset>3262630</wp:posOffset>
                </wp:positionH>
                <wp:positionV relativeFrom="paragraph">
                  <wp:posOffset>4948555</wp:posOffset>
                </wp:positionV>
                <wp:extent cx="2524125" cy="238125"/>
                <wp:effectExtent l="0" t="0" r="0" b="0"/>
                <wp:wrapNone/>
                <wp:docPr id="106"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4125" cy="238125"/>
                        </a:xfrm>
                        <a:prstGeom prst="rect">
                          <a:avLst/>
                        </a:prstGeom>
                        <a:noFill/>
                        <a:ln w="9525">
                          <a:noFill/>
                          <a:miter lim="800000"/>
                          <a:headEnd/>
                          <a:tailEnd/>
                        </a:ln>
                      </wps:spPr>
                      <wps:txbx>
                        <w:txbxContent>
                          <w:p w14:paraId="63EA8804"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výzvy zaměřené na podporu excelence</w:t>
                            </w:r>
                          </w:p>
                          <w:p w14:paraId="3770F4B2" w14:textId="77777777" w:rsidR="00FF0657" w:rsidRPr="00E2274B" w:rsidRDefault="00FF0657" w:rsidP="007A5EC1">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A537A0" id="_x0000_s1039" type="#_x0000_t202" style="position:absolute;margin-left:256.9pt;margin-top:389.65pt;width:198.75pt;height:18.75pt;z-index:2518394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" filled="f" stroked="f">
                <v:textbox>
                  <w:txbxContent>
                    <w:p w14:paraId="63EA8804" w14:textId="77777777" w:rsidR="00FF0657" w:rsidRPr="00513371" w:rsidRDefault="00FF0657" w:rsidP="007A5EC1">
                      <w:pPr>
                        <w:numPr>
                          <w:ilvl w:val="0"/>
                          <w:numId w:val="9"/>
                        </w:numPr>
                        <w:spacing w:after="0" w:line="240" w:lineRule="auto"/>
                        <w:ind w:left="714" w:hanging="357"/>
                        <w:rPr>
                          <w:sz w:val="18"/>
                          <w:szCs w:val="18"/>
                        </w:rPr>
                      </w:pPr>
                      <w:r w:rsidRPr="00513371">
                        <w:rPr>
                          <w:sz w:val="18"/>
                          <w:szCs w:val="18"/>
                        </w:rPr>
                        <w:t>výzvy zaměřené na podporu excelence</w:t>
                      </w:r>
                    </w:p>
                    <w:p w14:paraId="3770F4B2" w14:textId="77777777" w:rsidR="00FF0657" w:rsidRPr="00E2274B" w:rsidRDefault="00FF0657" w:rsidP="007A5EC1">
                      <w:pPr>
                        <w:rPr>
                          <w:sz w:val="18"/>
                          <w:szCs w:val="18"/>
                        </w:rPr>
                      </w:pPr>
                    </w:p>
                  </w:txbxContent>
                </v:textbox>
                <w10:wrap anchorx="margin"/>
              </v:shape>
            </w:pict>
          </mc:Fallback>
        </mc:AlternateContent>
      </w:r>
      <w:r>
        <w:rPr>
          <w:noProof/>
          <w:lang w:eastAsia="cs-CZ"/>
        </w:rPr>
        <mc:AlternateContent>
          <mc:Choice Requires="wps">
            <w:drawing>
              <wp:anchor distT="45720" distB="45720" distL="114300" distR="114300" simplePos="0" relativeHeight="251846656" behindDoc="0" locked="0" layoutInCell="1" allowOverlap="1" wp14:anchorId="5635228D" wp14:editId="4F7B5D61">
                <wp:simplePos x="0" y="0"/>
                <wp:positionH relativeFrom="margin">
                  <wp:align>center</wp:align>
                </wp:positionH>
                <wp:positionV relativeFrom="paragraph">
                  <wp:posOffset>4786630</wp:posOffset>
                </wp:positionV>
                <wp:extent cx="2752725" cy="257175"/>
                <wp:effectExtent l="0" t="0" r="0" b="0"/>
                <wp:wrapNone/>
                <wp:docPr id="10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2725" cy="257175"/>
                        </a:xfrm>
                        <a:prstGeom prst="rect">
                          <a:avLst/>
                        </a:prstGeom>
                        <a:noFill/>
                        <a:ln w="9525">
                          <a:noFill/>
                          <a:miter lim="800000"/>
                          <a:headEnd/>
                          <a:tailEnd/>
                        </a:ln>
                      </wps:spPr>
                      <wps:txbx>
                        <w:txbxContent>
                          <w:p w14:paraId="4A8A52B2" w14:textId="77777777" w:rsidR="00FF0657" w:rsidRPr="00814708" w:rsidRDefault="00FF0657" w:rsidP="007A5EC1">
                            <w:pPr>
                              <w:numPr>
                                <w:ilvl w:val="0"/>
                                <w:numId w:val="9"/>
                              </w:numPr>
                              <w:spacing w:after="0" w:line="240" w:lineRule="auto"/>
                              <w:ind w:left="714" w:hanging="357"/>
                              <w:rPr>
                                <w:sz w:val="18"/>
                                <w:szCs w:val="18"/>
                              </w:rPr>
                            </w:pPr>
                            <w:r w:rsidRPr="00513371">
                              <w:rPr>
                                <w:sz w:val="18"/>
                                <w:szCs w:val="18"/>
                              </w:rPr>
                              <w:t>personální zajištění interní grantové podpory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35228D" id="_x0000_s1040" type="#_x0000_t202" style="position:absolute;margin-left:0;margin-top:376.9pt;width:216.75pt;height:20.25pt;z-index:25184665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" filled="f" stroked="f">
                <v:textbox>
                  <w:txbxContent>
                    <w:p w14:paraId="4A8A52B2" w14:textId="77777777" w:rsidR="00FF0657" w:rsidRPr="00814708" w:rsidRDefault="00FF0657" w:rsidP="007A5EC1">
                      <w:pPr>
                        <w:numPr>
                          <w:ilvl w:val="0"/>
                          <w:numId w:val="9"/>
                        </w:numPr>
                        <w:spacing w:after="0" w:line="240" w:lineRule="auto"/>
                        <w:ind w:left="714" w:hanging="357"/>
                        <w:rPr>
                          <w:sz w:val="18"/>
                          <w:szCs w:val="18"/>
                        </w:rPr>
                      </w:pPr>
                      <w:r w:rsidRPr="00513371">
                        <w:rPr>
                          <w:sz w:val="18"/>
                          <w:szCs w:val="18"/>
                        </w:rPr>
                        <w:t>personální zajištění interní grantové podpory</w:t>
                      </w:r>
                    </w:p>
                  </w:txbxContent>
                </v:textbox>
                <w10:wrap anchorx="margin"/>
              </v:shape>
            </w:pict>
          </mc:Fallback>
        </mc:AlternateContent>
      </w:r>
      <w:r>
        <w:rPr>
          <w:noProof/>
          <w:lang w:eastAsia="cs-CZ"/>
        </w:rPr>
        <mc:AlternateContent>
          <mc:Choice Requires="wps">
            <w:drawing>
              <wp:anchor distT="45720" distB="45720" distL="114300" distR="114300" simplePos="0" relativeHeight="251847680" behindDoc="0" locked="0" layoutInCell="1" allowOverlap="1" wp14:anchorId="4ABA2A21" wp14:editId="62EF104C">
                <wp:simplePos x="0" y="0"/>
                <wp:positionH relativeFrom="margin">
                  <wp:align>center</wp:align>
                </wp:positionH>
                <wp:positionV relativeFrom="paragraph">
                  <wp:posOffset>4634230</wp:posOffset>
                </wp:positionV>
                <wp:extent cx="2057400" cy="285750"/>
                <wp:effectExtent l="0" t="0" r="0" b="0"/>
                <wp:wrapNone/>
                <wp:docPr id="10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285750"/>
                        </a:xfrm>
                        <a:prstGeom prst="rect">
                          <a:avLst/>
                        </a:prstGeom>
                        <a:noFill/>
                        <a:ln w="9525">
                          <a:noFill/>
                          <a:miter lim="800000"/>
                          <a:headEnd/>
                          <a:tailEnd/>
                        </a:ln>
                      </wps:spPr>
                      <wps:txbx>
                        <w:txbxContent>
                          <w:p w14:paraId="298FB605" w14:textId="77777777" w:rsidR="00FF0657" w:rsidRPr="005854FB" w:rsidRDefault="00FF0657" w:rsidP="007A5EC1">
                            <w:pPr>
                              <w:numPr>
                                <w:ilvl w:val="0"/>
                                <w:numId w:val="9"/>
                              </w:numPr>
                              <w:spacing w:after="0" w:line="240" w:lineRule="auto"/>
                              <w:ind w:left="714" w:hanging="357"/>
                              <w:rPr>
                                <w:sz w:val="18"/>
                                <w:szCs w:val="18"/>
                              </w:rPr>
                            </w:pPr>
                            <w:r w:rsidRPr="005854FB">
                              <w:rPr>
                                <w:sz w:val="18"/>
                                <w:szCs w:val="18"/>
                              </w:rPr>
                              <w:t>podpora genderové rovnosti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BA2A21" id="_x0000_s1041" type="#_x0000_t202" style="position:absolute;margin-left:0;margin-top:364.9pt;width:162pt;height:22.5pt;z-index:251847680;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" filled="f" stroked="f">
                <v:textbox>
                  <w:txbxContent>
                    <w:p w14:paraId="298FB605" w14:textId="77777777" w:rsidR="00FF0657" w:rsidRPr="005854FB" w:rsidRDefault="00FF0657" w:rsidP="007A5EC1">
                      <w:pPr>
                        <w:numPr>
                          <w:ilvl w:val="0"/>
                          <w:numId w:val="9"/>
                        </w:numPr>
                        <w:spacing w:after="0" w:line="240" w:lineRule="auto"/>
                        <w:ind w:left="714" w:hanging="357"/>
                        <w:rPr>
                          <w:sz w:val="18"/>
                          <w:szCs w:val="18"/>
                        </w:rPr>
                      </w:pPr>
                      <w:r w:rsidRPr="005854FB">
                        <w:rPr>
                          <w:sz w:val="18"/>
                          <w:szCs w:val="18"/>
                        </w:rPr>
                        <w:t>podpora genderové rovnosti</w:t>
                      </w:r>
                    </w:p>
                  </w:txbxContent>
                </v:textbox>
                <w10:wrap anchorx="margin"/>
              </v:shape>
            </w:pict>
          </mc:Fallback>
        </mc:AlternateContent>
      </w:r>
      <w:r>
        <w:rPr>
          <w:noProof/>
          <w:lang w:eastAsia="cs-CZ"/>
        </w:rPr>
        <mc:AlternateContent>
          <mc:Choice Requires="wps">
            <w:drawing>
              <wp:anchor distT="45720" distB="45720" distL="114300" distR="114300" simplePos="0" relativeHeight="251845632" behindDoc="0" locked="0" layoutInCell="1" allowOverlap="1" wp14:anchorId="08512B6C" wp14:editId="2CFB92B8">
                <wp:simplePos x="0" y="0"/>
                <wp:positionH relativeFrom="margin">
                  <wp:posOffset>4063365</wp:posOffset>
                </wp:positionH>
                <wp:positionV relativeFrom="paragraph">
                  <wp:posOffset>4462780</wp:posOffset>
                </wp:positionV>
                <wp:extent cx="2038350" cy="238125"/>
                <wp:effectExtent l="0" t="0" r="0" b="0"/>
                <wp:wrapNone/>
                <wp:docPr id="109"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238125"/>
                        </a:xfrm>
                        <a:prstGeom prst="rect">
                          <a:avLst/>
                        </a:prstGeom>
                        <a:noFill/>
                        <a:ln w="9525">
                          <a:noFill/>
                          <a:miter lim="800000"/>
                          <a:headEnd/>
                          <a:tailEnd/>
                        </a:ln>
                      </wps:spPr>
                      <wps:txbx>
                        <w:txbxContent>
                          <w:p w14:paraId="7676D6EE" w14:textId="77777777" w:rsidR="00FF0657" w:rsidRPr="00814708" w:rsidRDefault="00FF0657" w:rsidP="007A5EC1">
                            <w:pPr>
                              <w:numPr>
                                <w:ilvl w:val="0"/>
                                <w:numId w:val="9"/>
                              </w:numPr>
                              <w:spacing w:after="0" w:line="240" w:lineRule="auto"/>
                              <w:ind w:left="714" w:hanging="357"/>
                              <w:rPr>
                                <w:sz w:val="18"/>
                                <w:szCs w:val="18"/>
                              </w:rPr>
                            </w:pPr>
                            <w:r w:rsidRPr="00814708">
                              <w:rPr>
                                <w:sz w:val="18"/>
                                <w:szCs w:val="18"/>
                              </w:rPr>
                              <w:t>řízení RIS3 na národní úrovni</w:t>
                            </w:r>
                          </w:p>
                          <w:p w14:paraId="48204C7D" w14:textId="77777777" w:rsidR="00FF0657" w:rsidRPr="00E2274B" w:rsidRDefault="00FF0657" w:rsidP="007A5EC1">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512B6C" id="_x0000_s1042" type="#_x0000_t202" style="position:absolute;margin-left:319.95pt;margin-top:351.4pt;width:160.5pt;height:18.75pt;z-index:2518456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" filled="f" stroked="f">
                <v:textbox>
                  <w:txbxContent>
                    <w:p w14:paraId="7676D6EE" w14:textId="77777777" w:rsidR="00FF0657" w:rsidRPr="00814708" w:rsidRDefault="00FF0657" w:rsidP="007A5EC1">
                      <w:pPr>
                        <w:numPr>
                          <w:ilvl w:val="0"/>
                          <w:numId w:val="9"/>
                        </w:numPr>
                        <w:spacing w:after="0" w:line="240" w:lineRule="auto"/>
                        <w:ind w:left="714" w:hanging="357"/>
                        <w:rPr>
                          <w:sz w:val="18"/>
                          <w:szCs w:val="18"/>
                        </w:rPr>
                      </w:pPr>
                      <w:r w:rsidRPr="00814708">
                        <w:rPr>
                          <w:sz w:val="18"/>
                          <w:szCs w:val="18"/>
                        </w:rPr>
                        <w:t>řízení RIS3 na národní úrovni</w:t>
                      </w:r>
                    </w:p>
                    <w:p w14:paraId="48204C7D" w14:textId="77777777" w:rsidR="00FF0657" w:rsidRPr="00E2274B" w:rsidRDefault="00FF0657" w:rsidP="007A5EC1">
                      <w:pPr>
                        <w:rPr>
                          <w:sz w:val="18"/>
                          <w:szCs w:val="18"/>
                        </w:rPr>
                      </w:pPr>
                    </w:p>
                  </w:txbxContent>
                </v:textbox>
                <w10:wrap anchorx="margin"/>
              </v:shape>
            </w:pict>
          </mc:Fallback>
        </mc:AlternateContent>
      </w:r>
      <w:r>
        <w:rPr>
          <w:noProof/>
          <w:lang w:eastAsia="cs-CZ"/>
        </w:rPr>
        <mc:AlternateContent>
          <mc:Choice Requires="wps">
            <w:drawing>
              <wp:anchor distT="45720" distB="45720" distL="114300" distR="114300" simplePos="0" relativeHeight="251844608" behindDoc="0" locked="0" layoutInCell="1" allowOverlap="1" wp14:anchorId="4A38776F" wp14:editId="734AA7F3">
                <wp:simplePos x="0" y="0"/>
                <wp:positionH relativeFrom="margin">
                  <wp:posOffset>4149090</wp:posOffset>
                </wp:positionH>
                <wp:positionV relativeFrom="paragraph">
                  <wp:posOffset>4188460</wp:posOffset>
                </wp:positionV>
                <wp:extent cx="2505075" cy="581025"/>
                <wp:effectExtent l="0" t="0" r="0" b="0"/>
                <wp:wrapNone/>
                <wp:docPr id="11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581025"/>
                        </a:xfrm>
                        <a:prstGeom prst="rect">
                          <a:avLst/>
                        </a:prstGeom>
                        <a:noFill/>
                        <a:ln w="9525">
                          <a:noFill/>
                          <a:miter lim="800000"/>
                          <a:headEnd/>
                          <a:tailEnd/>
                        </a:ln>
                      </wps:spPr>
                      <wps:txbx>
                        <w:txbxContent>
                          <w:p w14:paraId="55F99555" w14:textId="77777777" w:rsidR="00FF0657" w:rsidRPr="005854FB" w:rsidRDefault="00FF0657" w:rsidP="007A5EC1">
                            <w:pPr>
                              <w:numPr>
                                <w:ilvl w:val="0"/>
                                <w:numId w:val="9"/>
                              </w:numPr>
                              <w:spacing w:after="0" w:line="240" w:lineRule="auto"/>
                              <w:ind w:left="714" w:hanging="357"/>
                              <w:rPr>
                                <w:sz w:val="18"/>
                                <w:szCs w:val="18"/>
                              </w:rPr>
                            </w:pPr>
                            <w:r w:rsidRPr="005854FB">
                              <w:rPr>
                                <w:sz w:val="18"/>
                                <w:szCs w:val="18"/>
                              </w:rPr>
                              <w:t>rozvoj expertních kapacit pro transfer technologií</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38776F" id="_x0000_s1043" type="#_x0000_t202" style="position:absolute;margin-left:326.7pt;margin-top:329.8pt;width:197.25pt;height:45.75pt;z-index:2518446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" filled="f" stroked="f">
                <v:textbox>
                  <w:txbxContent>
                    <w:p w14:paraId="55F99555" w14:textId="77777777" w:rsidR="00FF0657" w:rsidRPr="005854FB" w:rsidRDefault="00FF0657" w:rsidP="007A5EC1">
                      <w:pPr>
                        <w:numPr>
                          <w:ilvl w:val="0"/>
                          <w:numId w:val="9"/>
                        </w:numPr>
                        <w:spacing w:after="0" w:line="240" w:lineRule="auto"/>
                        <w:ind w:left="714" w:hanging="357"/>
                        <w:rPr>
                          <w:sz w:val="18"/>
                          <w:szCs w:val="18"/>
                        </w:rPr>
                      </w:pPr>
                      <w:r w:rsidRPr="005854FB">
                        <w:rPr>
                          <w:sz w:val="18"/>
                          <w:szCs w:val="18"/>
                        </w:rPr>
                        <w:t>rozvoj expertních kapacit pro transfer technologií</w:t>
                      </w:r>
                    </w:p>
                  </w:txbxContent>
                </v:textbox>
                <w10:wrap anchorx="margin"/>
              </v:shape>
            </w:pict>
          </mc:Fallback>
        </mc:AlternateContent>
      </w:r>
      <w:r>
        <w:rPr>
          <w:noProof/>
          <w:lang w:eastAsia="cs-CZ"/>
        </w:rPr>
        <mc:AlternateContent>
          <mc:Choice Requires="wps">
            <w:drawing>
              <wp:anchor distT="45720" distB="45720" distL="114300" distR="114300" simplePos="0" relativeHeight="251841536" behindDoc="0" locked="0" layoutInCell="1" allowOverlap="1" wp14:anchorId="121A1230" wp14:editId="0D386720">
                <wp:simplePos x="0" y="0"/>
                <wp:positionH relativeFrom="margin">
                  <wp:posOffset>4095750</wp:posOffset>
                </wp:positionH>
                <wp:positionV relativeFrom="paragraph">
                  <wp:posOffset>3967480</wp:posOffset>
                </wp:positionV>
                <wp:extent cx="2360930" cy="314325"/>
                <wp:effectExtent l="0" t="0" r="0" b="0"/>
                <wp:wrapNone/>
                <wp:docPr id="11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314325"/>
                        </a:xfrm>
                        <a:prstGeom prst="rect">
                          <a:avLst/>
                        </a:prstGeom>
                        <a:noFill/>
                        <a:ln w="9525">
                          <a:noFill/>
                          <a:miter lim="800000"/>
                          <a:headEnd/>
                          <a:tailEnd/>
                        </a:ln>
                      </wps:spPr>
                      <wps:txbx>
                        <w:txbxContent>
                          <w:p w14:paraId="2E3624F3" w14:textId="77777777" w:rsidR="00FF0657" w:rsidRPr="005E625F" w:rsidRDefault="00FF0657" w:rsidP="007A5EC1">
                            <w:pPr>
                              <w:numPr>
                                <w:ilvl w:val="0"/>
                                <w:numId w:val="9"/>
                              </w:numPr>
                              <w:spacing w:after="0" w:line="240" w:lineRule="auto"/>
                              <w:ind w:left="714" w:hanging="357"/>
                              <w:rPr>
                                <w:sz w:val="18"/>
                                <w:szCs w:val="18"/>
                              </w:rPr>
                            </w:pPr>
                            <w:r w:rsidRPr="005E625F">
                              <w:rPr>
                                <w:sz w:val="18"/>
                                <w:szCs w:val="18"/>
                              </w:rPr>
                              <w:t>rozvoj výzkumných a expertních kapacit</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121A1230" id="_x0000_s1044" type="#_x0000_t202" style="position:absolute;margin-left:322.5pt;margin-top:312.4pt;width:185.9pt;height:24.75pt;z-index:251841536;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" filled="f" stroked="f">
                <v:textbox>
                  <w:txbxContent>
                    <w:p w14:paraId="2E3624F3" w14:textId="77777777" w:rsidR="00FF0657" w:rsidRPr="005E625F" w:rsidRDefault="00FF0657" w:rsidP="007A5EC1">
                      <w:pPr>
                        <w:numPr>
                          <w:ilvl w:val="0"/>
                          <w:numId w:val="9"/>
                        </w:numPr>
                        <w:spacing w:after="0" w:line="240" w:lineRule="auto"/>
                        <w:ind w:left="714" w:hanging="357"/>
                        <w:rPr>
                          <w:sz w:val="18"/>
                          <w:szCs w:val="18"/>
                        </w:rPr>
                      </w:pPr>
                      <w:r w:rsidRPr="005E625F">
                        <w:rPr>
                          <w:sz w:val="18"/>
                          <w:szCs w:val="18"/>
                        </w:rPr>
                        <w:t>rozvoj výzkumných a expertních kapacit</w:t>
                      </w:r>
                    </w:p>
                  </w:txbxContent>
                </v:textbox>
                <w10:wrap anchorx="margin"/>
              </v:shape>
            </w:pict>
          </mc:Fallback>
        </mc:AlternateContent>
      </w:r>
      <w:r>
        <w:rPr>
          <w:noProof/>
          <w:lang w:eastAsia="cs-CZ"/>
        </w:rPr>
        <mc:AlternateContent>
          <mc:Choice Requires="wps">
            <w:drawing>
              <wp:anchor distT="45720" distB="45720" distL="114300" distR="114300" simplePos="0" relativeHeight="251843584" behindDoc="0" locked="0" layoutInCell="1" allowOverlap="1" wp14:anchorId="47D8E621" wp14:editId="67015FF8">
                <wp:simplePos x="0" y="0"/>
                <wp:positionH relativeFrom="margin">
                  <wp:posOffset>4000500</wp:posOffset>
                </wp:positionH>
                <wp:positionV relativeFrom="paragraph">
                  <wp:posOffset>3738880</wp:posOffset>
                </wp:positionV>
                <wp:extent cx="1981200" cy="257175"/>
                <wp:effectExtent l="0" t="0" r="0" b="0"/>
                <wp:wrapNone/>
                <wp:docPr id="11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257175"/>
                        </a:xfrm>
                        <a:prstGeom prst="rect">
                          <a:avLst/>
                        </a:prstGeom>
                        <a:noFill/>
                        <a:ln w="9525">
                          <a:noFill/>
                          <a:miter lim="800000"/>
                          <a:headEnd/>
                          <a:tailEnd/>
                        </a:ln>
                      </wps:spPr>
                      <wps:txbx>
                        <w:txbxContent>
                          <w:p w14:paraId="664569AD" w14:textId="77777777" w:rsidR="00FF0657" w:rsidRPr="00814708" w:rsidRDefault="00FF0657" w:rsidP="007A5EC1">
                            <w:pPr>
                              <w:numPr>
                                <w:ilvl w:val="0"/>
                                <w:numId w:val="9"/>
                              </w:numPr>
                              <w:spacing w:after="0" w:line="240" w:lineRule="auto"/>
                              <w:ind w:left="714" w:hanging="357"/>
                              <w:rPr>
                                <w:sz w:val="18"/>
                                <w:szCs w:val="18"/>
                              </w:rPr>
                            </w:pPr>
                            <w:r w:rsidRPr="00814708">
                              <w:rPr>
                                <w:sz w:val="18"/>
                                <w:szCs w:val="18"/>
                              </w:rPr>
                              <w:t>Juniorské výzkumné granty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D8E621" id="_x0000_s1045" type="#_x0000_t202" style="position:absolute;margin-left:315pt;margin-top:294.4pt;width:156pt;height:20.25pt;z-index:251843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" filled="f" stroked="f">
                <v:textbox>
                  <w:txbxContent>
                    <w:p w14:paraId="664569AD" w14:textId="77777777" w:rsidR="00FF0657" w:rsidRPr="00814708" w:rsidRDefault="00FF0657" w:rsidP="007A5EC1">
                      <w:pPr>
                        <w:numPr>
                          <w:ilvl w:val="0"/>
                          <w:numId w:val="9"/>
                        </w:numPr>
                        <w:spacing w:after="0" w:line="240" w:lineRule="auto"/>
                        <w:ind w:left="714" w:hanging="357"/>
                        <w:rPr>
                          <w:sz w:val="18"/>
                          <w:szCs w:val="18"/>
                        </w:rPr>
                      </w:pPr>
                      <w:r w:rsidRPr="00814708">
                        <w:rPr>
                          <w:sz w:val="18"/>
                          <w:szCs w:val="18"/>
                        </w:rPr>
                        <w:t>Juniorské výzkumné granty</w:t>
                      </w:r>
                    </w:p>
                  </w:txbxContent>
                </v:textbox>
                <w10:wrap anchorx="margin"/>
              </v:shape>
            </w:pict>
          </mc:Fallback>
        </mc:AlternateContent>
      </w:r>
      <w:r>
        <w:rPr>
          <w:noProof/>
          <w:lang w:eastAsia="cs-CZ"/>
        </w:rPr>
        <mc:AlternateContent>
          <mc:Choice Requires="wps">
            <w:drawing>
              <wp:anchor distT="45720" distB="45720" distL="114300" distR="114300" simplePos="0" relativeHeight="251842560" behindDoc="0" locked="0" layoutInCell="1" allowOverlap="1" wp14:anchorId="3ACBA115" wp14:editId="30EF835D">
                <wp:simplePos x="0" y="0"/>
                <wp:positionH relativeFrom="margin">
                  <wp:posOffset>3822065</wp:posOffset>
                </wp:positionH>
                <wp:positionV relativeFrom="paragraph">
                  <wp:posOffset>3576955</wp:posOffset>
                </wp:positionV>
                <wp:extent cx="1676400" cy="266700"/>
                <wp:effectExtent l="0" t="0" r="0" b="0"/>
                <wp:wrapNone/>
                <wp:docPr id="11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266700"/>
                        </a:xfrm>
                        <a:prstGeom prst="rect">
                          <a:avLst/>
                        </a:prstGeom>
                        <a:noFill/>
                        <a:ln w="9525">
                          <a:noFill/>
                          <a:miter lim="800000"/>
                          <a:headEnd/>
                          <a:tailEnd/>
                        </a:ln>
                      </wps:spPr>
                      <wps:txbx>
                        <w:txbxContent>
                          <w:p w14:paraId="1E79F006" w14:textId="77777777" w:rsidR="00FF0657" w:rsidRPr="00513371" w:rsidRDefault="00FF0657" w:rsidP="007A5EC1">
                            <w:pPr>
                              <w:numPr>
                                <w:ilvl w:val="0"/>
                                <w:numId w:val="9"/>
                              </w:numPr>
                              <w:spacing w:after="0" w:line="240" w:lineRule="auto"/>
                              <w:ind w:left="714" w:hanging="357"/>
                              <w:rPr>
                                <w:sz w:val="18"/>
                                <w:szCs w:val="18"/>
                              </w:rPr>
                            </w:pPr>
                            <w:r w:rsidRPr="00814708">
                              <w:rPr>
                                <w:sz w:val="18"/>
                                <w:szCs w:val="18"/>
                              </w:rPr>
                              <w:t>mezinárodní mobilita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CBA115" id="_x0000_s1046" type="#_x0000_t202" style="position:absolute;margin-left:300.95pt;margin-top:281.65pt;width:132pt;height:21pt;z-index:2518425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" filled="f" stroked="f">
                <v:textbox>
                  <w:txbxContent>
                    <w:p w14:paraId="1E79F006" w14:textId="77777777" w:rsidR="00FF0657" w:rsidRPr="00513371" w:rsidRDefault="00FF0657" w:rsidP="007A5EC1">
                      <w:pPr>
                        <w:numPr>
                          <w:ilvl w:val="0"/>
                          <w:numId w:val="9"/>
                        </w:numPr>
                        <w:spacing w:after="0" w:line="240" w:lineRule="auto"/>
                        <w:ind w:left="714" w:hanging="357"/>
                        <w:rPr>
                          <w:sz w:val="18"/>
                          <w:szCs w:val="18"/>
                        </w:rPr>
                      </w:pPr>
                      <w:r w:rsidRPr="00814708">
                        <w:rPr>
                          <w:sz w:val="18"/>
                          <w:szCs w:val="18"/>
                        </w:rPr>
                        <w:t>mezinárodní mobilita</w:t>
                      </w:r>
                    </w:p>
                  </w:txbxContent>
                </v:textbox>
                <w10:wrap anchorx="margin"/>
              </v:shape>
            </w:pict>
          </mc:Fallback>
        </mc:AlternateContent>
      </w:r>
      <w:r>
        <w:rPr>
          <w:noProof/>
          <w:lang w:eastAsia="cs-CZ"/>
        </w:rPr>
        <mc:AlternateContent>
          <mc:Choice Requires="wps">
            <w:drawing>
              <wp:anchor distT="45720" distB="45720" distL="114300" distR="114300" simplePos="0" relativeHeight="251830272" behindDoc="0" locked="0" layoutInCell="1" allowOverlap="1" wp14:anchorId="6F8F4D5D" wp14:editId="6797ED08">
                <wp:simplePos x="0" y="0"/>
                <wp:positionH relativeFrom="margin">
                  <wp:posOffset>2738755</wp:posOffset>
                </wp:positionH>
                <wp:positionV relativeFrom="paragraph">
                  <wp:posOffset>766445</wp:posOffset>
                </wp:positionV>
                <wp:extent cx="1914525" cy="409575"/>
                <wp:effectExtent l="0" t="0" r="0" b="0"/>
                <wp:wrapNone/>
                <wp:docPr id="116"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409575"/>
                        </a:xfrm>
                        <a:prstGeom prst="rect">
                          <a:avLst/>
                        </a:prstGeom>
                        <a:noFill/>
                        <a:ln w="9525">
                          <a:noFill/>
                          <a:miter lim="800000"/>
                          <a:headEnd/>
                          <a:tailEnd/>
                        </a:ln>
                      </wps:spPr>
                      <wps:txbx>
                        <w:txbxContent>
                          <w:p w14:paraId="77414922" w14:textId="77777777" w:rsidR="00FF0657" w:rsidRPr="00F1712F" w:rsidRDefault="00FF0657" w:rsidP="007A5EC1">
                            <w:pPr>
                              <w:numPr>
                                <w:ilvl w:val="0"/>
                                <w:numId w:val="9"/>
                              </w:numPr>
                              <w:spacing w:after="0" w:line="240" w:lineRule="auto"/>
                              <w:ind w:left="714" w:hanging="357"/>
                              <w:rPr>
                                <w:sz w:val="18"/>
                                <w:szCs w:val="18"/>
                              </w:rPr>
                            </w:pPr>
                            <w:r w:rsidRPr="00F1712F">
                              <w:rPr>
                                <w:sz w:val="18"/>
                                <w:szCs w:val="18"/>
                              </w:rPr>
                              <w:t>důraz na inovační</w:t>
                            </w:r>
                            <w:r>
                              <w:rPr>
                                <w:sz w:val="18"/>
                                <w:szCs w:val="18"/>
                              </w:rPr>
                              <w:br/>
                            </w:r>
                            <w:r w:rsidRPr="00F1712F">
                              <w:rPr>
                                <w:sz w:val="18"/>
                                <w:szCs w:val="18"/>
                              </w:rPr>
                              <w:t xml:space="preserve"> podpory</w:t>
                            </w:r>
                          </w:p>
                          <w:p w14:paraId="1E9F8A60" w14:textId="77777777" w:rsidR="00FF0657" w:rsidRPr="00E2274B" w:rsidRDefault="00FF0657" w:rsidP="007A5EC1">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8F4D5D" id="_x0000_s1047" type="#_x0000_t202" style="position:absolute;margin-left:215.65pt;margin-top:60.35pt;width:150.75pt;height:32.25pt;z-index:2518302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" filled="f" stroked="f">
                <v:textbox>
                  <w:txbxContent>
                    <w:p w14:paraId="77414922" w14:textId="77777777" w:rsidR="00FF0657" w:rsidRPr="00F1712F" w:rsidRDefault="00FF0657" w:rsidP="007A5EC1">
                      <w:pPr>
                        <w:numPr>
                          <w:ilvl w:val="0"/>
                          <w:numId w:val="9"/>
                        </w:numPr>
                        <w:spacing w:after="0" w:line="240" w:lineRule="auto"/>
                        <w:ind w:left="714" w:hanging="357"/>
                        <w:rPr>
                          <w:sz w:val="18"/>
                          <w:szCs w:val="18"/>
                        </w:rPr>
                      </w:pPr>
                      <w:r w:rsidRPr="00F1712F">
                        <w:rPr>
                          <w:sz w:val="18"/>
                          <w:szCs w:val="18"/>
                        </w:rPr>
                        <w:t>důraz na inovační</w:t>
                      </w:r>
                      <w:r>
                        <w:rPr>
                          <w:sz w:val="18"/>
                          <w:szCs w:val="18"/>
                        </w:rPr>
                        <w:br/>
                      </w:r>
                      <w:r w:rsidRPr="00F1712F">
                        <w:rPr>
                          <w:sz w:val="18"/>
                          <w:szCs w:val="18"/>
                        </w:rPr>
                        <w:t xml:space="preserve"> podpory</w:t>
                      </w:r>
                    </w:p>
                    <w:p w14:paraId="1E9F8A60" w14:textId="77777777" w:rsidR="00FF0657" w:rsidRPr="00E2274B" w:rsidRDefault="00FF0657" w:rsidP="007A5EC1">
                      <w:pPr>
                        <w:rPr>
                          <w:sz w:val="18"/>
                          <w:szCs w:val="18"/>
                        </w:rPr>
                      </w:pPr>
                    </w:p>
                  </w:txbxContent>
                </v:textbox>
                <w10:wrap anchorx="margin"/>
              </v:shape>
            </w:pict>
          </mc:Fallback>
        </mc:AlternateContent>
      </w:r>
      <w:r>
        <w:rPr>
          <w:noProof/>
          <w:lang w:eastAsia="cs-CZ"/>
        </w:rPr>
        <mc:AlternateContent>
          <mc:Choice Requires="wps">
            <w:drawing>
              <wp:anchor distT="45720" distB="45720" distL="114300" distR="114300" simplePos="0" relativeHeight="251840512" behindDoc="0" locked="0" layoutInCell="1" allowOverlap="1" wp14:anchorId="4A6D3CAC" wp14:editId="5BBD7A7C">
                <wp:simplePos x="0" y="0"/>
                <wp:positionH relativeFrom="margin">
                  <wp:posOffset>3243580</wp:posOffset>
                </wp:positionH>
                <wp:positionV relativeFrom="paragraph">
                  <wp:posOffset>3291205</wp:posOffset>
                </wp:positionV>
                <wp:extent cx="2990850" cy="352425"/>
                <wp:effectExtent l="0" t="0" r="0" b="0"/>
                <wp:wrapNone/>
                <wp:docPr id="1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0850" cy="352425"/>
                        </a:xfrm>
                        <a:prstGeom prst="rect">
                          <a:avLst/>
                        </a:prstGeom>
                        <a:noFill/>
                        <a:ln w="9525">
                          <a:noFill/>
                          <a:miter lim="800000"/>
                          <a:headEnd/>
                          <a:tailEnd/>
                        </a:ln>
                      </wps:spPr>
                      <wps:txbx>
                        <w:txbxContent>
                          <w:p w14:paraId="4504133A" w14:textId="77777777" w:rsidR="00FF0657" w:rsidRPr="00814708" w:rsidRDefault="00FF0657" w:rsidP="007A5EC1">
                            <w:pPr>
                              <w:numPr>
                                <w:ilvl w:val="0"/>
                                <w:numId w:val="9"/>
                              </w:numPr>
                              <w:spacing w:after="0" w:line="240" w:lineRule="auto"/>
                              <w:ind w:left="714" w:hanging="357"/>
                              <w:rPr>
                                <w:sz w:val="18"/>
                                <w:szCs w:val="18"/>
                              </w:rPr>
                            </w:pPr>
                            <w:r w:rsidRPr="00814708">
                              <w:rPr>
                                <w:sz w:val="18"/>
                                <w:szCs w:val="18"/>
                              </w:rPr>
                              <w:t>budování nové či modernizace stávající vědeckovýzkumné infrastruktury a center v Praze</w:t>
                            </w:r>
                          </w:p>
                          <w:p w14:paraId="4862755B" w14:textId="77777777" w:rsidR="00FF0657" w:rsidRPr="00E2274B" w:rsidRDefault="00FF0657" w:rsidP="007A5EC1">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6D3CAC" id="_x0000_s1048" type="#_x0000_t202" style="position:absolute;margin-left:255.4pt;margin-top:259.15pt;width:235.5pt;height:27.75pt;z-index:2518405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" filled="f" stroked="f">
                <v:textbox>
                  <w:txbxContent>
                    <w:p w14:paraId="4504133A" w14:textId="77777777" w:rsidR="00FF0657" w:rsidRPr="00814708" w:rsidRDefault="00FF0657" w:rsidP="007A5EC1">
                      <w:pPr>
                        <w:numPr>
                          <w:ilvl w:val="0"/>
                          <w:numId w:val="9"/>
                        </w:numPr>
                        <w:spacing w:after="0" w:line="240" w:lineRule="auto"/>
                        <w:ind w:left="714" w:hanging="357"/>
                        <w:rPr>
                          <w:sz w:val="18"/>
                          <w:szCs w:val="18"/>
                        </w:rPr>
                      </w:pPr>
                      <w:r w:rsidRPr="00814708">
                        <w:rPr>
                          <w:sz w:val="18"/>
                          <w:szCs w:val="18"/>
                        </w:rPr>
                        <w:t>budování nové či modernizace stávající vědeckovýzkumné infrastruktury a center v Praze</w:t>
                      </w:r>
                    </w:p>
                    <w:p w14:paraId="4862755B" w14:textId="77777777" w:rsidR="00FF0657" w:rsidRPr="00E2274B" w:rsidRDefault="00FF0657" w:rsidP="007A5EC1">
                      <w:pPr>
                        <w:rPr>
                          <w:sz w:val="18"/>
                          <w:szCs w:val="18"/>
                        </w:rPr>
                      </w:pPr>
                    </w:p>
                  </w:txbxContent>
                </v:textbox>
                <w10:wrap anchorx="margin"/>
              </v:shape>
            </w:pict>
          </mc:Fallback>
        </mc:AlternateContent>
      </w:r>
      <w:r>
        <w:rPr>
          <w:noProof/>
          <w:lang w:eastAsia="cs-CZ"/>
        </w:rPr>
        <mc:AlternateContent>
          <mc:Choice Requires="wps">
            <w:drawing>
              <wp:anchor distT="45720" distB="45720" distL="114300" distR="114300" simplePos="0" relativeHeight="251835392" behindDoc="0" locked="0" layoutInCell="1" allowOverlap="1" wp14:anchorId="0F10C563" wp14:editId="11710E61">
                <wp:simplePos x="0" y="0"/>
                <wp:positionH relativeFrom="column">
                  <wp:posOffset>771525</wp:posOffset>
                </wp:positionH>
                <wp:positionV relativeFrom="paragraph">
                  <wp:posOffset>3749040</wp:posOffset>
                </wp:positionV>
                <wp:extent cx="2360930" cy="1404620"/>
                <wp:effectExtent l="0" t="0" r="0" b="1905"/>
                <wp:wrapNone/>
                <wp:docPr id="11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33B708C9" w14:textId="77777777" w:rsidR="00FF0657" w:rsidRPr="00E2274B" w:rsidRDefault="00FF0657" w:rsidP="007A5EC1">
                            <w:pPr>
                              <w:numPr>
                                <w:ilvl w:val="0"/>
                                <w:numId w:val="9"/>
                              </w:numPr>
                              <w:spacing w:after="0" w:line="240" w:lineRule="auto"/>
                              <w:ind w:left="714" w:hanging="357"/>
                              <w:rPr>
                                <w:sz w:val="18"/>
                                <w:szCs w:val="18"/>
                              </w:rPr>
                            </w:pPr>
                            <w:r w:rsidRPr="00E2274B">
                              <w:rPr>
                                <w:sz w:val="18"/>
                                <w:szCs w:val="18"/>
                              </w:rPr>
                              <w:t>podpora vzniku výzkumných týmů</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F10C563" id="_x0000_s1049" type="#_x0000_t202" style="position:absolute;margin-left:60.75pt;margin-top:295.2pt;width:185.9pt;height:110.6pt;z-index:25183539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" filled="f" stroked="f">
                <v:textbox style="mso-fit-shape-to-text:t">
                  <w:txbxContent>
                    <w:p w14:paraId="33B708C9" w14:textId="77777777" w:rsidR="00FF0657" w:rsidRPr="00E2274B" w:rsidRDefault="00FF0657" w:rsidP="007A5EC1">
                      <w:pPr>
                        <w:numPr>
                          <w:ilvl w:val="0"/>
                          <w:numId w:val="9"/>
                        </w:numPr>
                        <w:spacing w:after="0" w:line="240" w:lineRule="auto"/>
                        <w:ind w:left="714" w:hanging="357"/>
                        <w:rPr>
                          <w:sz w:val="18"/>
                          <w:szCs w:val="18"/>
                        </w:rPr>
                      </w:pPr>
                      <w:r w:rsidRPr="00E2274B">
                        <w:rPr>
                          <w:sz w:val="18"/>
                          <w:szCs w:val="18"/>
                        </w:rPr>
                        <w:t>podpora vzniku výzkumných týmů</w:t>
                      </w:r>
                    </w:p>
                  </w:txbxContent>
                </v:textbox>
              </v:shape>
            </w:pict>
          </mc:Fallback>
        </mc:AlternateContent>
      </w:r>
      <w:r>
        <w:rPr>
          <w:noProof/>
          <w:lang w:eastAsia="cs-CZ"/>
        </w:rPr>
        <mc:AlternateContent>
          <mc:Choice Requires="wps">
            <w:drawing>
              <wp:anchor distT="45720" distB="45720" distL="114300" distR="114300" simplePos="0" relativeHeight="251834368" behindDoc="0" locked="0" layoutInCell="1" allowOverlap="1" wp14:anchorId="3941678B" wp14:editId="1D2E2434">
                <wp:simplePos x="0" y="0"/>
                <wp:positionH relativeFrom="margin">
                  <wp:posOffset>352425</wp:posOffset>
                </wp:positionH>
                <wp:positionV relativeFrom="paragraph">
                  <wp:posOffset>3401695</wp:posOffset>
                </wp:positionV>
                <wp:extent cx="2360930" cy="390525"/>
                <wp:effectExtent l="0" t="0" r="0" b="0"/>
                <wp:wrapNone/>
                <wp:docPr id="12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390525"/>
                        </a:xfrm>
                        <a:prstGeom prst="rect">
                          <a:avLst/>
                        </a:prstGeom>
                        <a:noFill/>
                        <a:ln w="9525">
                          <a:noFill/>
                          <a:miter lim="800000"/>
                          <a:headEnd/>
                          <a:tailEnd/>
                        </a:ln>
                      </wps:spPr>
                      <wps:txbx>
                        <w:txbxContent>
                          <w:p w14:paraId="0F0EBFE6" w14:textId="77777777" w:rsidR="00FF0657" w:rsidRPr="00E2274B" w:rsidRDefault="00FF0657" w:rsidP="007A5EC1">
                            <w:pPr>
                              <w:numPr>
                                <w:ilvl w:val="0"/>
                                <w:numId w:val="9"/>
                              </w:numPr>
                              <w:spacing w:after="0" w:line="240" w:lineRule="auto"/>
                              <w:ind w:left="714" w:hanging="357"/>
                              <w:rPr>
                                <w:sz w:val="18"/>
                                <w:szCs w:val="18"/>
                              </w:rPr>
                            </w:pPr>
                            <w:r w:rsidRPr="00E2274B">
                              <w:rPr>
                                <w:sz w:val="18"/>
                                <w:szCs w:val="18"/>
                              </w:rPr>
                              <w:t xml:space="preserve">vznik a rozvoj kvalitně vybavených </w:t>
                            </w:r>
                            <w:r>
                              <w:rPr>
                                <w:sz w:val="18"/>
                                <w:szCs w:val="18"/>
                              </w:rPr>
                              <w:br/>
                              <w:t xml:space="preserve">výzkumných </w:t>
                            </w:r>
                            <w:r w:rsidRPr="00E2274B">
                              <w:rPr>
                                <w:sz w:val="18"/>
                                <w:szCs w:val="18"/>
                              </w:rPr>
                              <w:t>pracovišť</w:t>
                            </w:r>
                          </w:p>
                          <w:p w14:paraId="43E48B68" w14:textId="77777777" w:rsidR="00FF0657" w:rsidRPr="00E2274B" w:rsidRDefault="00FF0657" w:rsidP="007A5EC1">
                            <w:pPr>
                              <w:rPr>
                                <w:sz w:val="18"/>
                                <w:szCs w:val="18"/>
                              </w:rPr>
                            </w:pP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3941678B" id="_x0000_s1050" type="#_x0000_t202" style="position:absolute;margin-left:27.75pt;margin-top:267.85pt;width:185.9pt;height:30.75pt;z-index:251834368;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" filled="f" stroked="f">
                <v:textbox>
                  <w:txbxContent>
                    <w:p w14:paraId="0F0EBFE6" w14:textId="77777777" w:rsidR="00FF0657" w:rsidRPr="00E2274B" w:rsidRDefault="00FF0657" w:rsidP="007A5EC1">
                      <w:pPr>
                        <w:numPr>
                          <w:ilvl w:val="0"/>
                          <w:numId w:val="9"/>
                        </w:numPr>
                        <w:spacing w:after="0" w:line="240" w:lineRule="auto"/>
                        <w:ind w:left="714" w:hanging="357"/>
                        <w:rPr>
                          <w:sz w:val="18"/>
                          <w:szCs w:val="18"/>
                        </w:rPr>
                      </w:pPr>
                      <w:r w:rsidRPr="00E2274B">
                        <w:rPr>
                          <w:sz w:val="18"/>
                          <w:szCs w:val="18"/>
                        </w:rPr>
                        <w:t xml:space="preserve">vznik a rozvoj kvalitně vybavených </w:t>
                      </w:r>
                      <w:r>
                        <w:rPr>
                          <w:sz w:val="18"/>
                          <w:szCs w:val="18"/>
                        </w:rPr>
                        <w:br/>
                        <w:t xml:space="preserve">výzkumných </w:t>
                      </w:r>
                      <w:r w:rsidRPr="00E2274B">
                        <w:rPr>
                          <w:sz w:val="18"/>
                          <w:szCs w:val="18"/>
                        </w:rPr>
                        <w:t>pracovišť</w:t>
                      </w:r>
                    </w:p>
                    <w:p w14:paraId="43E48B68" w14:textId="77777777" w:rsidR="00FF0657" w:rsidRPr="00E2274B" w:rsidRDefault="00FF0657" w:rsidP="007A5EC1">
                      <w:pPr>
                        <w:rPr>
                          <w:sz w:val="18"/>
                          <w:szCs w:val="18"/>
                        </w:rPr>
                      </w:pPr>
                    </w:p>
                  </w:txbxContent>
                </v:textbox>
                <w10:wrap anchorx="margin"/>
              </v:shape>
            </w:pict>
          </mc:Fallback>
        </mc:AlternateContent>
      </w:r>
      <w:r>
        <w:rPr>
          <w:noProof/>
          <w:lang w:eastAsia="cs-CZ"/>
        </w:rPr>
        <mc:AlternateContent>
          <mc:Choice Requires="wps">
            <w:drawing>
              <wp:anchor distT="45720" distB="45720" distL="114300" distR="114300" simplePos="0" relativeHeight="251837440" behindDoc="0" locked="0" layoutInCell="1" allowOverlap="1" wp14:anchorId="0E2F972A" wp14:editId="52C6E98B">
                <wp:simplePos x="0" y="0"/>
                <wp:positionH relativeFrom="column">
                  <wp:posOffset>871855</wp:posOffset>
                </wp:positionH>
                <wp:positionV relativeFrom="paragraph">
                  <wp:posOffset>4236085</wp:posOffset>
                </wp:positionV>
                <wp:extent cx="1981200" cy="1404620"/>
                <wp:effectExtent l="0" t="0" r="0" b="0"/>
                <wp:wrapNone/>
                <wp:docPr id="12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404620"/>
                        </a:xfrm>
                        <a:prstGeom prst="rect">
                          <a:avLst/>
                        </a:prstGeom>
                        <a:noFill/>
                        <a:ln w="9525">
                          <a:noFill/>
                          <a:miter lim="800000"/>
                          <a:headEnd/>
                          <a:tailEnd/>
                        </a:ln>
                      </wps:spPr>
                      <wps:txbx>
                        <w:txbxContent>
                          <w:p w14:paraId="6D7B7EFB" w14:textId="77777777" w:rsidR="00FF0657" w:rsidRPr="00E2274B" w:rsidRDefault="00FF0657" w:rsidP="007A5EC1">
                            <w:pPr>
                              <w:numPr>
                                <w:ilvl w:val="0"/>
                                <w:numId w:val="9"/>
                              </w:numPr>
                              <w:spacing w:after="0" w:line="240" w:lineRule="auto"/>
                              <w:ind w:left="714" w:hanging="357"/>
                              <w:rPr>
                                <w:sz w:val="18"/>
                                <w:szCs w:val="18"/>
                              </w:rPr>
                            </w:pPr>
                            <w:r w:rsidRPr="00E2274B">
                              <w:rPr>
                                <w:sz w:val="18"/>
                                <w:szCs w:val="18"/>
                              </w:rPr>
                              <w:t>vytváření partnerství a sítí</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E2F972A" id="_x0000_s1051" type="#_x0000_t202" style="position:absolute;margin-left:68.65pt;margin-top:333.55pt;width:156pt;height:110.6pt;z-index:2518374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" filled="f" stroked="f">
                <v:textbox style="mso-fit-shape-to-text:t">
                  <w:txbxContent>
                    <w:p w14:paraId="6D7B7EFB" w14:textId="77777777" w:rsidR="00FF0657" w:rsidRPr="00E2274B" w:rsidRDefault="00FF0657" w:rsidP="007A5EC1">
                      <w:pPr>
                        <w:numPr>
                          <w:ilvl w:val="0"/>
                          <w:numId w:val="9"/>
                        </w:numPr>
                        <w:spacing w:after="0" w:line="240" w:lineRule="auto"/>
                        <w:ind w:left="714" w:hanging="357"/>
                        <w:rPr>
                          <w:sz w:val="18"/>
                          <w:szCs w:val="18"/>
                        </w:rPr>
                      </w:pPr>
                      <w:r w:rsidRPr="00E2274B">
                        <w:rPr>
                          <w:sz w:val="18"/>
                          <w:szCs w:val="18"/>
                        </w:rPr>
                        <w:t>vytváření partnerství a sítí</w:t>
                      </w:r>
                    </w:p>
                  </w:txbxContent>
                </v:textbox>
              </v:shape>
            </w:pict>
          </mc:Fallback>
        </mc:AlternateContent>
      </w:r>
      <w:r>
        <w:rPr>
          <w:noProof/>
          <w:lang w:eastAsia="cs-CZ"/>
        </w:rPr>
        <mc:AlternateContent>
          <mc:Choice Requires="wps">
            <w:drawing>
              <wp:anchor distT="45720" distB="45720" distL="114300" distR="114300" simplePos="0" relativeHeight="251836416" behindDoc="0" locked="0" layoutInCell="1" allowOverlap="1" wp14:anchorId="33FA57AF" wp14:editId="2602946A">
                <wp:simplePos x="0" y="0"/>
                <wp:positionH relativeFrom="column">
                  <wp:posOffset>824230</wp:posOffset>
                </wp:positionH>
                <wp:positionV relativeFrom="paragraph">
                  <wp:posOffset>3996055</wp:posOffset>
                </wp:positionV>
                <wp:extent cx="2324100" cy="1404620"/>
                <wp:effectExtent l="0" t="0" r="0" b="0"/>
                <wp:wrapNone/>
                <wp:docPr id="12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4100" cy="1404620"/>
                        </a:xfrm>
                        <a:prstGeom prst="rect">
                          <a:avLst/>
                        </a:prstGeom>
                        <a:noFill/>
                        <a:ln w="9525">
                          <a:noFill/>
                          <a:miter lim="800000"/>
                          <a:headEnd/>
                          <a:tailEnd/>
                        </a:ln>
                      </wps:spPr>
                      <wps:txbx>
                        <w:txbxContent>
                          <w:p w14:paraId="20140964" w14:textId="77777777" w:rsidR="00FF0657" w:rsidRPr="00E2274B" w:rsidRDefault="00FF0657" w:rsidP="007A5EC1">
                            <w:pPr>
                              <w:numPr>
                                <w:ilvl w:val="0"/>
                                <w:numId w:val="9"/>
                              </w:numPr>
                              <w:spacing w:after="0" w:line="240" w:lineRule="auto"/>
                              <w:ind w:left="714" w:hanging="357"/>
                              <w:rPr>
                                <w:sz w:val="18"/>
                                <w:szCs w:val="18"/>
                              </w:rPr>
                            </w:pPr>
                            <w:r w:rsidRPr="00E2274B">
                              <w:rPr>
                                <w:sz w:val="18"/>
                                <w:szCs w:val="18"/>
                              </w:rPr>
                              <w:t>propagace, popularizace a mediace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3FA57AF" id="_x0000_s1052" type="#_x0000_t202" style="position:absolute;margin-left:64.9pt;margin-top:314.65pt;width:183pt;height:110.6pt;z-index:2518364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" filled="f" stroked="f">
                <v:textbox style="mso-fit-shape-to-text:t">
                  <w:txbxContent>
                    <w:p w14:paraId="20140964" w14:textId="77777777" w:rsidR="00FF0657" w:rsidRPr="00E2274B" w:rsidRDefault="00FF0657" w:rsidP="007A5EC1">
                      <w:pPr>
                        <w:numPr>
                          <w:ilvl w:val="0"/>
                          <w:numId w:val="9"/>
                        </w:numPr>
                        <w:spacing w:after="0" w:line="240" w:lineRule="auto"/>
                        <w:ind w:left="714" w:hanging="357"/>
                        <w:rPr>
                          <w:sz w:val="18"/>
                          <w:szCs w:val="18"/>
                        </w:rPr>
                      </w:pPr>
                      <w:r w:rsidRPr="00E2274B">
                        <w:rPr>
                          <w:sz w:val="18"/>
                          <w:szCs w:val="18"/>
                        </w:rPr>
                        <w:t>propagace, popularizace a mediace</w:t>
                      </w:r>
                    </w:p>
                  </w:txbxContent>
                </v:textbox>
              </v:shape>
            </w:pict>
          </mc:Fallback>
        </mc:AlternateContent>
      </w:r>
      <w:r>
        <w:rPr>
          <w:noProof/>
          <w:lang w:eastAsia="cs-CZ"/>
        </w:rPr>
        <mc:AlternateContent>
          <mc:Choice Requires="wps">
            <w:drawing>
              <wp:anchor distT="45720" distB="45720" distL="114300" distR="114300" simplePos="0" relativeHeight="251838464" behindDoc="0" locked="0" layoutInCell="1" allowOverlap="1" wp14:anchorId="4C04770E" wp14:editId="6258380A">
                <wp:simplePos x="0" y="0"/>
                <wp:positionH relativeFrom="column">
                  <wp:posOffset>762000</wp:posOffset>
                </wp:positionH>
                <wp:positionV relativeFrom="paragraph">
                  <wp:posOffset>4436745</wp:posOffset>
                </wp:positionV>
                <wp:extent cx="2360930" cy="1404620"/>
                <wp:effectExtent l="0" t="0" r="0" b="1905"/>
                <wp:wrapNone/>
                <wp:docPr id="12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45238B83" w14:textId="77777777" w:rsidR="00FF0657" w:rsidRDefault="00FF0657" w:rsidP="007A5EC1">
                            <w:pPr>
                              <w:numPr>
                                <w:ilvl w:val="0"/>
                                <w:numId w:val="9"/>
                              </w:numPr>
                              <w:spacing w:after="0" w:line="240" w:lineRule="auto"/>
                              <w:ind w:left="714" w:hanging="357"/>
                            </w:pPr>
                            <w:r w:rsidRPr="00453595">
                              <w:rPr>
                                <w:sz w:val="18"/>
                                <w:szCs w:val="18"/>
                              </w:rPr>
                              <w:t xml:space="preserve">budování zázemí pro komercializaci </w:t>
                            </w:r>
                            <w:r w:rsidRPr="00453595">
                              <w:rPr>
                                <w:sz w:val="18"/>
                                <w:szCs w:val="18"/>
                              </w:rPr>
                              <w:br/>
                              <w:t xml:space="preserve">výsledků VO a ochranu jejich </w:t>
                            </w:r>
                            <w:r w:rsidRPr="00453595">
                              <w:rPr>
                                <w:sz w:val="18"/>
                                <w:szCs w:val="18"/>
                              </w:rPr>
                              <w:br/>
                              <w:t>duševního vlastnictví</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4C04770E" id="_x0000_s1053" type="#_x0000_t202" style="position:absolute;margin-left:60pt;margin-top:349.35pt;width:185.9pt;height:110.6pt;z-index:25183846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" filled="f" stroked="f">
                <v:textbox style="mso-fit-shape-to-text:t">
                  <w:txbxContent>
                    <w:p w14:paraId="45238B83" w14:textId="77777777" w:rsidR="00FF0657" w:rsidRDefault="00FF0657" w:rsidP="007A5EC1">
                      <w:pPr>
                        <w:numPr>
                          <w:ilvl w:val="0"/>
                          <w:numId w:val="9"/>
                        </w:numPr>
                        <w:spacing w:after="0" w:line="240" w:lineRule="auto"/>
                        <w:ind w:left="714" w:hanging="357"/>
                      </w:pPr>
                      <w:r w:rsidRPr="00453595">
                        <w:rPr>
                          <w:sz w:val="18"/>
                          <w:szCs w:val="18"/>
                        </w:rPr>
                        <w:t xml:space="preserve">budování zázemí pro komercializaci </w:t>
                      </w:r>
                      <w:r w:rsidRPr="00453595">
                        <w:rPr>
                          <w:sz w:val="18"/>
                          <w:szCs w:val="18"/>
                        </w:rPr>
                        <w:br/>
                        <w:t xml:space="preserve">výsledků VO a ochranu jejich </w:t>
                      </w:r>
                      <w:r w:rsidRPr="00453595">
                        <w:rPr>
                          <w:sz w:val="18"/>
                          <w:szCs w:val="18"/>
                        </w:rPr>
                        <w:br/>
                        <w:t>duševního vlastnictví</w:t>
                      </w:r>
                    </w:p>
                  </w:txbxContent>
                </v:textbox>
              </v:shape>
            </w:pict>
          </mc:Fallback>
        </mc:AlternateContent>
      </w:r>
      <w:r>
        <w:rPr>
          <w:noProof/>
          <w:lang w:eastAsia="cs-CZ"/>
        </w:rPr>
        <mc:AlternateContent>
          <mc:Choice Requires="wps">
            <w:drawing>
              <wp:anchor distT="45720" distB="45720" distL="114300" distR="114300" simplePos="0" relativeHeight="251833344" behindDoc="0" locked="0" layoutInCell="1" allowOverlap="1" wp14:anchorId="6D6ABD4F" wp14:editId="32ED6C32">
                <wp:simplePos x="0" y="0"/>
                <wp:positionH relativeFrom="column">
                  <wp:posOffset>153035</wp:posOffset>
                </wp:positionH>
                <wp:positionV relativeFrom="paragraph">
                  <wp:posOffset>4840605</wp:posOffset>
                </wp:positionV>
                <wp:extent cx="2360930" cy="1404620"/>
                <wp:effectExtent l="0" t="0" r="0" b="1905"/>
                <wp:wrapNone/>
                <wp:docPr id="13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035443E8" w14:textId="77777777" w:rsidR="00FF0657" w:rsidRDefault="00FF0657" w:rsidP="007A5EC1">
                            <w:pPr>
                              <w:numPr>
                                <w:ilvl w:val="0"/>
                                <w:numId w:val="9"/>
                              </w:numPr>
                              <w:spacing w:after="0" w:line="240" w:lineRule="auto"/>
                              <w:ind w:left="714" w:hanging="357"/>
                            </w:pPr>
                            <w:r w:rsidRPr="00814708">
                              <w:rPr>
                                <w:sz w:val="18"/>
                                <w:szCs w:val="18"/>
                              </w:rPr>
                              <w:t>IPN metodika</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6D6ABD4F" id="_x0000_s1054" type="#_x0000_t202" style="position:absolute;margin-left:12.05pt;margin-top:381.15pt;width:185.9pt;height:110.6pt;z-index:25183334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" filled="f" stroked="f">
                <v:textbox style="mso-fit-shape-to-text:t">
                  <w:txbxContent>
                    <w:p w14:paraId="035443E8" w14:textId="77777777" w:rsidR="00FF0657" w:rsidRDefault="00FF0657" w:rsidP="007A5EC1">
                      <w:pPr>
                        <w:numPr>
                          <w:ilvl w:val="0"/>
                          <w:numId w:val="9"/>
                        </w:numPr>
                        <w:spacing w:after="0" w:line="240" w:lineRule="auto"/>
                        <w:ind w:left="714" w:hanging="357"/>
                      </w:pPr>
                      <w:r w:rsidRPr="00814708">
                        <w:rPr>
                          <w:sz w:val="18"/>
                          <w:szCs w:val="18"/>
                        </w:rPr>
                        <w:t>IPN metodika</w:t>
                      </w:r>
                    </w:p>
                  </w:txbxContent>
                </v:textbox>
              </v:shape>
            </w:pict>
          </mc:Fallback>
        </mc:AlternateContent>
      </w:r>
      <w:r>
        <w:rPr>
          <w:noProof/>
          <w:lang w:eastAsia="cs-CZ"/>
        </w:rPr>
        <w:drawing>
          <wp:inline distT="0" distB="0" distL="0" distR="0" wp14:anchorId="595C949A" wp14:editId="4FBDBB00">
            <wp:extent cx="9667875" cy="2867025"/>
            <wp:effectExtent l="0" t="0" r="28575" b="0"/>
            <wp:docPr id="133" name="Diagram 1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r>
        <w:rPr>
          <w:noProof/>
          <w:lang w:eastAsia="cs-CZ"/>
        </w:rPr>
        <w:drawing>
          <wp:inline distT="0" distB="0" distL="0" distR="0" wp14:anchorId="3CBBCDC9" wp14:editId="0BD2693F">
            <wp:extent cx="9867900" cy="2609850"/>
            <wp:effectExtent l="0" t="57150" r="38100" b="76200"/>
            <wp:docPr id="134" name="Diagram 13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28CEAB79" w14:textId="77777777" w:rsidR="007A5EC1" w:rsidRPr="005854FB" w:rsidRDefault="007A5EC1" w:rsidP="007A5EC1">
      <w:pPr>
        <w:pStyle w:val="Zdrojapoznmka"/>
      </w:pPr>
      <w:r w:rsidRPr="005854FB">
        <w:t>Zdroj: vlastní zpracování dle podkladů MŠMT a MPO</w:t>
      </w:r>
    </w:p>
    <w:p w14:paraId="1B95151B" w14:textId="77777777" w:rsidR="007A5EC1" w:rsidRDefault="007A5EC1" w:rsidP="007A5EC1">
      <w:pPr>
        <w:spacing w:after="0" w:line="360" w:lineRule="auto"/>
        <w:ind w:firstLine="709"/>
        <w:jc w:val="both"/>
        <w:rPr>
          <w:rFonts w:ascii="Arial" w:eastAsia="Calibri" w:hAnsi="Arial" w:cs="Arial"/>
        </w:rPr>
        <w:sectPr w:rsidR="007A5EC1" w:rsidSect="00D25D90">
          <w:pgSz w:w="16838" w:h="11906" w:orient="landscape"/>
          <w:pgMar w:top="720" w:right="720" w:bottom="720" w:left="720" w:header="708" w:footer="708" w:gutter="0"/>
          <w:cols w:space="708"/>
          <w:docGrid w:linePitch="360"/>
        </w:sectPr>
      </w:pPr>
    </w:p>
    <w:p w14:paraId="41575F9C" w14:textId="77777777" w:rsidR="00BA543E" w:rsidRPr="00EF151C" w:rsidRDefault="00BA543E" w:rsidP="007A5EC1">
      <w:pPr>
        <w:spacing w:after="0" w:line="360" w:lineRule="auto"/>
        <w:ind w:left="426" w:hanging="426"/>
        <w:jc w:val="both"/>
        <w:rPr>
          <w:rFonts w:ascii="Arial" w:eastAsia="Times New Roman" w:hAnsi="Arial" w:cs="Arial"/>
          <w:b/>
          <w:lang w:eastAsia="cs-CZ"/>
        </w:rPr>
      </w:pPr>
      <w:r>
        <w:rPr>
          <w:rFonts w:ascii="Arial" w:eastAsia="Times New Roman" w:hAnsi="Arial" w:cs="Arial"/>
          <w:b/>
          <w:lang w:eastAsia="cs-CZ"/>
        </w:rPr>
        <w:lastRenderedPageBreak/>
        <w:t>OP VVV</w:t>
      </w:r>
    </w:p>
    <w:p w14:paraId="4FFBC35B" w14:textId="77777777" w:rsidR="00BA543E" w:rsidRPr="007A5EC1" w:rsidRDefault="00BA543E"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Celkem je evidováno 601 projektů VaVaI, přičemž se do jejich řešení zapojilo 158 subjektů. Čerpaná podpora na projekty VaVaI činila do roku 2020 přes 28 mld. Kč. Podporu vyšší než 1</w:t>
      </w:r>
      <w:r w:rsidR="00435C1A" w:rsidRPr="00BD32CB">
        <w:rPr>
          <w:rFonts w:ascii="Arial" w:eastAsia="Times New Roman" w:hAnsi="Arial" w:cs="Arial"/>
          <w:lang w:eastAsia="cs-CZ"/>
        </w:rPr>
        <w:t> </w:t>
      </w:r>
      <w:r w:rsidRPr="00BD32CB">
        <w:rPr>
          <w:rFonts w:ascii="Arial" w:eastAsia="Times New Roman" w:hAnsi="Arial" w:cs="Arial"/>
          <w:lang w:eastAsia="cs-CZ"/>
        </w:rPr>
        <w:t>mld. Kč získaly subjekty z 5 krajů: Hl. město Praha, Jihomoravský kraj, Středočeský kraj, Moravskoslezský kraj a Olomoucký kraj. Největší podíl podpory získaly vysoké školy, s odstupem pak ústavy AV ČR. Celkem je evidováno 11 463 výsledků, z toho 8 192 je recenzovaný odborný článek, přičemž 95 % těchto článků bylo publikováno v periodikách indexovaných v databází WoS nebo Scopus. Na vzniku výsledků se podílelo přes 9 500 výzkumných pracovníků, z toho jednu pětinu tvořili zahraniční výzkumníci. Ukazuje se, že 67 % participujících vědců byli muži.</w:t>
      </w:r>
    </w:p>
    <w:p w14:paraId="0882522E" w14:textId="77777777" w:rsidR="00BA543E" w:rsidRPr="00FF5C6F" w:rsidRDefault="00BA543E" w:rsidP="007A5EC1">
      <w:pPr>
        <w:spacing w:after="0" w:line="360" w:lineRule="auto"/>
        <w:ind w:left="426" w:hanging="426"/>
        <w:jc w:val="both"/>
        <w:rPr>
          <w:rFonts w:ascii="Arial" w:eastAsia="Times New Roman" w:hAnsi="Arial" w:cs="Arial"/>
          <w:b/>
          <w:lang w:eastAsia="cs-CZ"/>
        </w:rPr>
      </w:pPr>
      <w:r w:rsidRPr="00FF5C6F">
        <w:rPr>
          <w:rFonts w:ascii="Arial" w:eastAsia="Times New Roman" w:hAnsi="Arial" w:cs="Arial"/>
          <w:b/>
          <w:lang w:eastAsia="cs-CZ"/>
        </w:rPr>
        <w:t xml:space="preserve">OP </w:t>
      </w:r>
      <w:r>
        <w:rPr>
          <w:rFonts w:ascii="Arial" w:eastAsia="Times New Roman" w:hAnsi="Arial" w:cs="Arial"/>
          <w:b/>
          <w:lang w:eastAsia="cs-CZ"/>
        </w:rPr>
        <w:t>PIK</w:t>
      </w:r>
    </w:p>
    <w:p w14:paraId="0A975334" w14:textId="77777777" w:rsidR="00BA543E" w:rsidRPr="00BD32CB" w:rsidRDefault="00BA543E"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Celkem je evidováno 1 175 projektů VaVaI, do jejich řešení se zapojilo 407 subjektů. Čerpaná podpora na projekty VaVaI evidovaných v informačním systému IS VaVaI činila do roku 2020 přes 1,4 mld. Kč. Podporu vyšší než 250 mil. Kč získaly subjekty z  Jihomoravského kraje (251 mil. Kč). Největší podíl podpory získaly dle očekávání podniky. Celkem je evidováno 1 443 výsledků, z toho 90 % jsou výsledky nepublikační aplikované. Na vzniku výsledků se podílelo přes 2 460 výzkumných pracovníků, z toho 4 % tvořili zahraniční výzkumníci. Téměř 90 % participujících vědců byli muži.</w:t>
      </w:r>
    </w:p>
    <w:p w14:paraId="6A5FB6F9" w14:textId="77777777" w:rsidR="00BA543E" w:rsidRPr="00A55726" w:rsidRDefault="00BA543E" w:rsidP="007A5EC1">
      <w:pPr>
        <w:spacing w:after="0" w:line="360" w:lineRule="auto"/>
        <w:ind w:left="426" w:hanging="426"/>
        <w:jc w:val="both"/>
        <w:rPr>
          <w:rFonts w:ascii="Arial" w:eastAsia="Times New Roman" w:hAnsi="Arial" w:cs="Arial"/>
          <w:b/>
          <w:lang w:eastAsia="cs-CZ"/>
        </w:rPr>
      </w:pPr>
      <w:r>
        <w:rPr>
          <w:rFonts w:ascii="Arial" w:eastAsia="Times New Roman" w:hAnsi="Arial" w:cs="Arial"/>
          <w:b/>
          <w:lang w:eastAsia="cs-CZ"/>
        </w:rPr>
        <w:t>H2020</w:t>
      </w:r>
    </w:p>
    <w:p w14:paraId="74FB5A6D" w14:textId="77777777" w:rsidR="00BA543E" w:rsidRPr="007A5EC1" w:rsidRDefault="00BA543E"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Největší podíl řešených projektů mají dle očekávání instituce se sídlem v Hl. městě Praha, následně pak v krajích Středočeském a Jihomoravském. Největší objem finančních prostředků byl přidělen vysokým a střením školám, druhý největší objem získaly subjekty ze soukromého sektoru a na třetím místě jsou ostatní výzkumné organizace.</w:t>
      </w:r>
    </w:p>
    <w:p w14:paraId="69C8FDFB" w14:textId="77777777" w:rsidR="00BA543E" w:rsidRPr="007A5EC1" w:rsidRDefault="00BA543E"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Nejvyšší podpory dosáhly tyto organizace: Masarykova univerzita, Univerzita Karlova, ČVUT v Praze a Honeywell international.</w:t>
      </w:r>
    </w:p>
    <w:p w14:paraId="5EC48616" w14:textId="77777777" w:rsidR="00BA543E" w:rsidRPr="007A5EC1" w:rsidRDefault="00BA543E"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V rámci analýzy projektové a finanční úspěšnosti ČR v H2020 byla porovnávána ČR, Rakousko, Slovensko, Německo a Francie. Míra úspěšnosti ČR při získávání grantů je srovnatelná s ostatními státy (tj. 15,17 %).</w:t>
      </w:r>
    </w:p>
    <w:p w14:paraId="3458D628" w14:textId="77777777" w:rsidR="00BA543E" w:rsidRDefault="00BA543E"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Z analytických studií EK a TC AV ČR vyplývá, že ČR se řadí mezi členské státy EU s velmi nízkou aktivitou výzkumníků v H2020, ale zároveň ČR dosahuje dobré projektové úspěšnosti.</w:t>
      </w:r>
    </w:p>
    <w:p w14:paraId="4F1C800B" w14:textId="77777777" w:rsidR="00BD32CB" w:rsidRPr="00A55726" w:rsidRDefault="00BD32CB" w:rsidP="00BD32CB">
      <w:pPr>
        <w:keepNext/>
        <w:spacing w:after="0" w:line="360" w:lineRule="auto"/>
        <w:ind w:left="425" w:hanging="425"/>
        <w:jc w:val="both"/>
        <w:rPr>
          <w:rFonts w:ascii="Arial" w:eastAsia="Times New Roman" w:hAnsi="Arial" w:cs="Arial"/>
          <w:b/>
          <w:lang w:eastAsia="cs-CZ"/>
        </w:rPr>
      </w:pPr>
      <w:r>
        <w:rPr>
          <w:rFonts w:ascii="Arial" w:eastAsia="Times New Roman" w:hAnsi="Arial" w:cs="Arial"/>
          <w:b/>
          <w:lang w:eastAsia="cs-CZ"/>
        </w:rPr>
        <w:t>ERC</w:t>
      </w:r>
    </w:p>
    <w:p w14:paraId="1368F2BA" w14:textId="77777777" w:rsidR="00BD32CB" w:rsidRPr="007A5EC1" w:rsidRDefault="00BD32C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Aktivita ČR v grantech ERC a jejich úspěšnosti v podávání žádostí významně vzrostla a to hlavně v oblastech Starting Grant a Consolidator Grants.</w:t>
      </w:r>
    </w:p>
    <w:p w14:paraId="3C347D0C" w14:textId="77777777" w:rsidR="00BD32CB" w:rsidRPr="007A5EC1" w:rsidRDefault="00BD32C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7A5EC1">
        <w:rPr>
          <w:rFonts w:ascii="Arial" w:eastAsia="Times New Roman" w:hAnsi="Arial" w:cs="Arial"/>
          <w:lang w:eastAsia="cs-CZ"/>
        </w:rPr>
        <w:t>GA ČR na podporu iniciativy ERC zahájil v roce 2016 program „Podpora ERC žadatelů“, v roce 2020 GA ČR finančně podpořil 16 projektů EXPRO a 30 projektů JUNIOR STAR.</w:t>
      </w:r>
    </w:p>
    <w:p w14:paraId="44AE0708" w14:textId="77777777" w:rsidR="007A5EC1" w:rsidRPr="00F65EB7" w:rsidRDefault="007A5EC1" w:rsidP="007A5EC1">
      <w:pPr>
        <w:pStyle w:val="Obrzek-nadpis"/>
      </w:pPr>
      <w:r w:rsidRPr="00F65EB7">
        <w:lastRenderedPageBreak/>
        <w:t>Aktivita a finanční příspěvek členských států EU v programu Horizont 2020</w:t>
      </w:r>
    </w:p>
    <w:p w14:paraId="6350974B" w14:textId="77777777" w:rsidR="007A5EC1" w:rsidRPr="00F65EB7" w:rsidRDefault="007A5EC1" w:rsidP="007A5EC1">
      <w:pPr>
        <w:spacing w:after="120" w:line="240" w:lineRule="auto"/>
        <w:jc w:val="center"/>
        <w:rPr>
          <w:rFonts w:ascii="Arial" w:hAnsi="Arial" w:cs="Arial"/>
        </w:rPr>
      </w:pPr>
      <w:r w:rsidRPr="00F65EB7">
        <w:rPr>
          <w:rFonts w:ascii="Arial" w:hAnsi="Arial" w:cs="Arial"/>
          <w:noProof/>
          <w:lang w:eastAsia="cs-CZ"/>
        </w:rPr>
        <w:drawing>
          <wp:inline distT="0" distB="0" distL="0" distR="0" wp14:anchorId="221C4578" wp14:editId="31A1CD2F">
            <wp:extent cx="5660735" cy="3315694"/>
            <wp:effectExtent l="0" t="0" r="0" b="0"/>
            <wp:docPr id="135" name="Obrázek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0">
                      <a:extLst>
                        <a:ext uri="{28A0092B-C50C-407E-A947-70E740481C1C}">
                          <a14:useLocalDpi xmlns:a14="http://schemas.microsoft.com/office/drawing/2010/main" val="0"/>
                        </a:ext>
                      </a:extLst>
                    </a:blip>
                    <a:srcRect t="8430" b="2762"/>
                    <a:stretch/>
                  </pic:blipFill>
                  <pic:spPr bwMode="auto">
                    <a:xfrm>
                      <a:off x="0" y="0"/>
                      <a:ext cx="5671021" cy="3321719"/>
                    </a:xfrm>
                    <a:prstGeom prst="rect">
                      <a:avLst/>
                    </a:prstGeom>
                    <a:noFill/>
                    <a:ln>
                      <a:noFill/>
                    </a:ln>
                    <a:extLst>
                      <a:ext uri="{53640926-AAD7-44D8-BBD7-CCE9431645EC}">
                        <a14:shadowObscured xmlns:a14="http://schemas.microsoft.com/office/drawing/2010/main"/>
                      </a:ext>
                    </a:extLst>
                  </pic:spPr>
                </pic:pic>
              </a:graphicData>
            </a:graphic>
          </wp:inline>
        </w:drawing>
      </w:r>
    </w:p>
    <w:p w14:paraId="25C90CD6" w14:textId="77777777" w:rsidR="007A5EC1" w:rsidRPr="00F65EB7" w:rsidRDefault="007A5EC1" w:rsidP="007A5EC1">
      <w:pPr>
        <w:pStyle w:val="Zdrojapoznmka"/>
      </w:pPr>
      <w:r w:rsidRPr="00F65EB7">
        <w:t>Zdroj: H2020 Dashboard (k 5. 10. 2021), EUROSTAT</w:t>
      </w:r>
    </w:p>
    <w:p w14:paraId="2CFE397F" w14:textId="77777777" w:rsidR="000C39F7" w:rsidRDefault="000C39F7" w:rsidP="007A5EC1">
      <w:pPr>
        <w:pStyle w:val="Nadpis1"/>
        <w:pageBreakBefore/>
        <w:numPr>
          <w:ilvl w:val="0"/>
          <w:numId w:val="0"/>
        </w:numPr>
        <w:ind w:left="432" w:hanging="432"/>
      </w:pPr>
      <w:bookmarkStart w:id="13" w:name="_Toc87340767"/>
      <w:bookmarkStart w:id="14" w:name="_Toc92369593"/>
      <w:r w:rsidRPr="002739B9">
        <w:lastRenderedPageBreak/>
        <w:t xml:space="preserve">Implementace </w:t>
      </w:r>
      <w:bookmarkEnd w:id="13"/>
      <w:r w:rsidR="004C788D" w:rsidRPr="002739B9">
        <w:t>RIS3 strategie v</w:t>
      </w:r>
      <w:r w:rsidR="007A5EC1">
        <w:t> </w:t>
      </w:r>
      <w:r w:rsidR="004C788D" w:rsidRPr="002739B9">
        <w:t>ČR</w:t>
      </w:r>
      <w:bookmarkEnd w:id="14"/>
    </w:p>
    <w:p w14:paraId="2FF0891E" w14:textId="77777777" w:rsidR="007A5EC1" w:rsidRDefault="007A5EC1" w:rsidP="007A5EC1">
      <w:pPr>
        <w:spacing w:after="0" w:line="360" w:lineRule="auto"/>
        <w:ind w:firstLine="709"/>
        <w:jc w:val="both"/>
        <w:rPr>
          <w:rFonts w:ascii="Arial" w:eastAsia="Times New Roman" w:hAnsi="Arial" w:cs="Arial"/>
          <w:lang w:eastAsia="cs-CZ"/>
        </w:rPr>
      </w:pPr>
      <w:r>
        <w:rPr>
          <w:rFonts w:ascii="Arial" w:eastAsia="Times New Roman" w:hAnsi="Arial" w:cs="Arial"/>
          <w:lang w:eastAsia="cs-CZ"/>
        </w:rPr>
        <w:t xml:space="preserve">Národní </w:t>
      </w:r>
      <w:r w:rsidRPr="00C2412E">
        <w:rPr>
          <w:rFonts w:ascii="Arial" w:eastAsia="Times New Roman" w:hAnsi="Arial" w:cs="Arial"/>
          <w:lang w:eastAsia="cs-CZ"/>
        </w:rPr>
        <w:t xml:space="preserve">RIS3 </w:t>
      </w:r>
      <w:r>
        <w:rPr>
          <w:rFonts w:ascii="Arial" w:eastAsia="Times New Roman" w:hAnsi="Arial" w:cs="Arial"/>
          <w:lang w:eastAsia="cs-CZ"/>
        </w:rPr>
        <w:t xml:space="preserve">strategie </w:t>
      </w:r>
      <w:r w:rsidRPr="00C2412E">
        <w:rPr>
          <w:rFonts w:ascii="Arial" w:eastAsia="Times New Roman" w:hAnsi="Arial" w:cs="Arial"/>
          <w:lang w:eastAsia="cs-CZ"/>
        </w:rPr>
        <w:t xml:space="preserve">představuje jeden z implementačních nástrojů </w:t>
      </w:r>
      <w:r w:rsidR="00130CAD">
        <w:rPr>
          <w:rFonts w:ascii="Arial" w:eastAsia="Times New Roman" w:hAnsi="Arial" w:cs="Arial"/>
          <w:lang w:eastAsia="cs-CZ"/>
        </w:rPr>
        <w:t>NP VaVaI</w:t>
      </w:r>
      <w:r w:rsidRPr="00C2412E">
        <w:rPr>
          <w:rFonts w:ascii="Arial" w:eastAsia="Times New Roman" w:hAnsi="Arial" w:cs="Arial"/>
          <w:lang w:eastAsia="cs-CZ"/>
        </w:rPr>
        <w:t xml:space="preserve"> ČR v oblasti orientovaného a aplikovaného výzkumu v ČR a</w:t>
      </w:r>
      <w:r>
        <w:rPr>
          <w:rFonts w:ascii="Arial" w:eastAsia="Times New Roman" w:hAnsi="Arial" w:cs="Arial"/>
          <w:lang w:eastAsia="cs-CZ"/>
        </w:rPr>
        <w:t> </w:t>
      </w:r>
      <w:r w:rsidRPr="00C2412E">
        <w:rPr>
          <w:rFonts w:ascii="Arial" w:eastAsia="Times New Roman" w:hAnsi="Arial" w:cs="Arial"/>
          <w:lang w:eastAsia="cs-CZ"/>
        </w:rPr>
        <w:t>zároveň musí naplňovat základní podmínku pro uskutečňování intervencí regionální politiky EU v</w:t>
      </w:r>
      <w:r>
        <w:rPr>
          <w:rFonts w:ascii="Arial" w:eastAsia="Times New Roman" w:hAnsi="Arial" w:cs="Arial"/>
          <w:lang w:eastAsia="cs-CZ"/>
        </w:rPr>
        <w:t> </w:t>
      </w:r>
      <w:r w:rsidRPr="00C2412E">
        <w:rPr>
          <w:rFonts w:ascii="Arial" w:eastAsia="Times New Roman" w:hAnsi="Arial" w:cs="Arial"/>
          <w:lang w:eastAsia="cs-CZ"/>
        </w:rPr>
        <w:t>oblasti výzkumu, vývoje a inovací.</w:t>
      </w:r>
      <w:r>
        <w:rPr>
          <w:rFonts w:ascii="Arial" w:eastAsia="Times New Roman" w:hAnsi="Arial" w:cs="Arial"/>
          <w:lang w:eastAsia="cs-CZ"/>
        </w:rPr>
        <w:t xml:space="preserve"> </w:t>
      </w:r>
      <w:r w:rsidRPr="000E3248">
        <w:rPr>
          <w:rFonts w:ascii="Arial" w:eastAsia="Times New Roman" w:hAnsi="Arial" w:cs="Arial"/>
          <w:lang w:eastAsia="cs-CZ"/>
        </w:rPr>
        <w:t xml:space="preserve">NRIS3 se </w:t>
      </w:r>
      <w:r>
        <w:rPr>
          <w:rFonts w:ascii="Arial" w:eastAsia="Times New Roman" w:hAnsi="Arial" w:cs="Arial"/>
          <w:lang w:eastAsia="cs-CZ"/>
        </w:rPr>
        <w:t>zaměřuje</w:t>
      </w:r>
      <w:r w:rsidRPr="000E3248">
        <w:rPr>
          <w:rFonts w:ascii="Arial" w:eastAsia="Times New Roman" w:hAnsi="Arial" w:cs="Arial"/>
          <w:lang w:eastAsia="cs-CZ"/>
        </w:rPr>
        <w:t xml:space="preserve"> na podporu perspektivních odvětví a jejich transformaci k vyšší přidané hodnotě, mimo jiné pomocí zvýšeného důrazu na podporu digitalizace a dalších klíčových technologií a znalostí.</w:t>
      </w:r>
      <w:r>
        <w:rPr>
          <w:rFonts w:ascii="Arial" w:eastAsia="Times New Roman" w:hAnsi="Arial" w:cs="Arial"/>
          <w:lang w:eastAsia="cs-CZ"/>
        </w:rPr>
        <w:t xml:space="preserve"> </w:t>
      </w:r>
    </w:p>
    <w:p w14:paraId="39C8FE6B" w14:textId="77777777" w:rsidR="004C788D" w:rsidRPr="00130CAD" w:rsidRDefault="004C788D" w:rsidP="00130CAD">
      <w:pPr>
        <w:spacing w:after="0" w:line="360" w:lineRule="auto"/>
        <w:jc w:val="both"/>
        <w:rPr>
          <w:rFonts w:ascii="Arial" w:eastAsia="Times New Roman" w:hAnsi="Arial" w:cs="Arial"/>
          <w:lang w:eastAsia="cs-CZ"/>
        </w:rPr>
      </w:pPr>
      <w:bookmarkStart w:id="15" w:name="_Toc87340768"/>
      <w:r w:rsidRPr="001172D0">
        <w:rPr>
          <w:rFonts w:ascii="Arial" w:eastAsia="Times New Roman" w:hAnsi="Arial" w:cs="Arial"/>
          <w:lang w:eastAsia="cs-CZ"/>
        </w:rPr>
        <w:t>Na základě dl</w:t>
      </w:r>
      <w:r>
        <w:rPr>
          <w:rFonts w:ascii="Arial" w:eastAsia="Times New Roman" w:hAnsi="Arial" w:cs="Arial"/>
          <w:lang w:eastAsia="cs-CZ"/>
        </w:rPr>
        <w:t>ouhodobého monitoringu (01.2015–</w:t>
      </w:r>
      <w:r w:rsidRPr="001172D0">
        <w:rPr>
          <w:rFonts w:ascii="Arial" w:eastAsia="Times New Roman" w:hAnsi="Arial" w:cs="Arial"/>
          <w:lang w:eastAsia="cs-CZ"/>
        </w:rPr>
        <w:t>10.2020) lze k</w:t>
      </w:r>
      <w:r>
        <w:rPr>
          <w:rFonts w:ascii="Arial" w:eastAsia="Times New Roman" w:hAnsi="Arial" w:cs="Arial"/>
          <w:lang w:eastAsia="cs-CZ"/>
        </w:rPr>
        <w:t> </w:t>
      </w:r>
      <w:r w:rsidRPr="001172D0">
        <w:rPr>
          <w:rFonts w:ascii="Arial" w:eastAsia="Times New Roman" w:hAnsi="Arial" w:cs="Arial"/>
          <w:lang w:eastAsia="cs-CZ"/>
        </w:rPr>
        <w:t>do</w:t>
      </w:r>
      <w:r w:rsidR="00130CAD">
        <w:rPr>
          <w:rFonts w:ascii="Arial" w:eastAsia="Times New Roman" w:hAnsi="Arial" w:cs="Arial"/>
          <w:lang w:eastAsia="cs-CZ"/>
        </w:rPr>
        <w:t xml:space="preserve">padům strategie RIS3 konstatovat, že </w:t>
      </w:r>
      <w:r w:rsidRPr="00130CAD">
        <w:rPr>
          <w:rFonts w:ascii="Arial" w:eastAsia="Times New Roman" w:hAnsi="Arial" w:cs="Arial"/>
          <w:lang w:eastAsia="cs-CZ"/>
        </w:rPr>
        <w:t>v databázi je na podporu NRIS3 evidováno celkem 5 971 projektů z operačních programů, 1</w:t>
      </w:r>
      <w:r w:rsidR="002739B9" w:rsidRPr="00130CAD">
        <w:rPr>
          <w:rFonts w:ascii="Arial" w:eastAsia="Times New Roman" w:hAnsi="Arial" w:cs="Arial"/>
          <w:lang w:eastAsia="cs-CZ"/>
        </w:rPr>
        <w:t> </w:t>
      </w:r>
      <w:r w:rsidRPr="00130CAD">
        <w:rPr>
          <w:rFonts w:ascii="Arial" w:eastAsia="Times New Roman" w:hAnsi="Arial" w:cs="Arial"/>
          <w:lang w:eastAsia="cs-CZ"/>
        </w:rPr>
        <w:t>608 projektů TA ČR, 1 5</w:t>
      </w:r>
      <w:r w:rsidR="00130CAD" w:rsidRPr="00130CAD">
        <w:rPr>
          <w:rFonts w:ascii="Arial" w:eastAsia="Times New Roman" w:hAnsi="Arial" w:cs="Arial"/>
          <w:lang w:eastAsia="cs-CZ"/>
        </w:rPr>
        <w:t xml:space="preserve">94 projektů rezortních programů. Dále </w:t>
      </w:r>
      <w:r w:rsidRPr="00130CAD">
        <w:rPr>
          <w:rFonts w:ascii="Arial" w:eastAsia="Times New Roman" w:hAnsi="Arial" w:cs="Arial"/>
          <w:lang w:eastAsia="cs-CZ"/>
        </w:rPr>
        <w:t>celková finanční podpora NRIS3 činí 148,0 mld. Kč v operačních programech (podpora EU 61</w:t>
      </w:r>
      <w:r w:rsidR="002739B9" w:rsidRPr="00130CAD">
        <w:rPr>
          <w:rFonts w:ascii="Arial" w:eastAsia="Times New Roman" w:hAnsi="Arial" w:cs="Arial"/>
          <w:lang w:eastAsia="cs-CZ"/>
        </w:rPr>
        <w:t> </w:t>
      </w:r>
      <w:r w:rsidRPr="00130CAD">
        <w:rPr>
          <w:rFonts w:ascii="Arial" w:eastAsia="Times New Roman" w:hAnsi="Arial" w:cs="Arial"/>
          <w:lang w:eastAsia="cs-CZ"/>
        </w:rPr>
        <w:t>%) a 45,91 mld. Kč v národních programech (z toho podpora ze SR 75 %)</w:t>
      </w:r>
      <w:r w:rsidR="00130CAD">
        <w:rPr>
          <w:rFonts w:ascii="Arial" w:eastAsia="Times New Roman" w:hAnsi="Arial" w:cs="Arial"/>
          <w:lang w:eastAsia="cs-CZ"/>
        </w:rPr>
        <w:t>.</w:t>
      </w:r>
    </w:p>
    <w:p w14:paraId="6ED52363" w14:textId="77777777" w:rsidR="004C788D" w:rsidRPr="00130CAD" w:rsidRDefault="00130CAD" w:rsidP="00130CAD">
      <w:pPr>
        <w:spacing w:after="0" w:line="360" w:lineRule="auto"/>
        <w:jc w:val="both"/>
        <w:rPr>
          <w:rFonts w:ascii="Arial" w:eastAsia="Times New Roman" w:hAnsi="Arial" w:cs="Arial"/>
          <w:lang w:eastAsia="cs-CZ"/>
        </w:rPr>
      </w:pPr>
      <w:r>
        <w:rPr>
          <w:rFonts w:ascii="Arial" w:eastAsia="Times New Roman" w:hAnsi="Arial" w:cs="Arial"/>
          <w:lang w:eastAsia="cs-CZ"/>
        </w:rPr>
        <w:t>V</w:t>
      </w:r>
      <w:r w:rsidR="004C788D" w:rsidRPr="009D4697">
        <w:rPr>
          <w:rFonts w:ascii="Arial" w:eastAsia="Times New Roman" w:hAnsi="Arial" w:cs="Arial"/>
          <w:lang w:eastAsia="cs-CZ"/>
        </w:rPr>
        <w:t xml:space="preserve"> operačních programech je nejvíce podpořeným specifickým cílem </w:t>
      </w:r>
      <w:r w:rsidR="004C788D">
        <w:rPr>
          <w:rFonts w:ascii="Arial" w:eastAsia="Times New Roman" w:hAnsi="Arial" w:cs="Arial"/>
          <w:lang w:eastAsia="cs-CZ"/>
        </w:rPr>
        <w:t>N</w:t>
      </w:r>
      <w:r w:rsidR="004C788D" w:rsidRPr="009D4697">
        <w:rPr>
          <w:rFonts w:ascii="Arial" w:eastAsia="Times New Roman" w:hAnsi="Arial" w:cs="Arial"/>
          <w:lang w:eastAsia="cs-CZ"/>
        </w:rPr>
        <w:t xml:space="preserve">RIS3 posílení VaVaI kapacit podniků (30 % celkové podpory; 44,85 mld. Kč) – nejvyšší podíl činí soukromé zdroje (59 % </w:t>
      </w:r>
      <w:r>
        <w:rPr>
          <w:rFonts w:ascii="Arial" w:eastAsia="Times New Roman" w:hAnsi="Arial" w:cs="Arial"/>
          <w:lang w:eastAsia="cs-CZ"/>
        </w:rPr>
        <w:t>celkové podpory; 27,40 mld. Kč).</w:t>
      </w:r>
    </w:p>
    <w:p w14:paraId="01BB88FA" w14:textId="77777777" w:rsidR="004C788D" w:rsidRPr="00130CAD" w:rsidRDefault="00130CAD" w:rsidP="00BD32CB">
      <w:pPr>
        <w:pStyle w:val="Odstavecseseznamem"/>
        <w:numPr>
          <w:ilvl w:val="0"/>
          <w:numId w:val="3"/>
        </w:numPr>
        <w:spacing w:after="0" w:line="360" w:lineRule="auto"/>
        <w:ind w:left="426" w:hanging="426"/>
        <w:jc w:val="both"/>
        <w:rPr>
          <w:rFonts w:ascii="Arial" w:eastAsia="Times New Roman" w:hAnsi="Arial" w:cs="Arial"/>
          <w:lang w:eastAsia="cs-CZ"/>
        </w:rPr>
      </w:pPr>
      <w:r>
        <w:rPr>
          <w:rFonts w:ascii="Arial" w:eastAsia="Times New Roman" w:hAnsi="Arial" w:cs="Arial"/>
          <w:lang w:eastAsia="cs-CZ"/>
        </w:rPr>
        <w:t>N</w:t>
      </w:r>
      <w:r w:rsidR="004C788D" w:rsidRPr="006C456B">
        <w:rPr>
          <w:rFonts w:ascii="Arial" w:eastAsia="Times New Roman" w:hAnsi="Arial" w:cs="Arial"/>
          <w:lang w:eastAsia="cs-CZ"/>
        </w:rPr>
        <w:t xml:space="preserve">árodní programy v </w:t>
      </w:r>
      <w:r w:rsidR="004C788D">
        <w:rPr>
          <w:rFonts w:ascii="Arial" w:eastAsia="Times New Roman" w:hAnsi="Arial" w:cs="Arial"/>
          <w:lang w:eastAsia="cs-CZ"/>
        </w:rPr>
        <w:t>N</w:t>
      </w:r>
      <w:r w:rsidR="004C788D" w:rsidRPr="006C456B">
        <w:rPr>
          <w:rFonts w:ascii="Arial" w:eastAsia="Times New Roman" w:hAnsi="Arial" w:cs="Arial"/>
          <w:lang w:eastAsia="cs-CZ"/>
        </w:rPr>
        <w:t xml:space="preserve">RIS3 kladou </w:t>
      </w:r>
      <w:r w:rsidR="004C788D">
        <w:rPr>
          <w:rFonts w:ascii="Arial" w:eastAsia="Times New Roman" w:hAnsi="Arial" w:cs="Arial"/>
          <w:lang w:eastAsia="cs-CZ"/>
        </w:rPr>
        <w:t xml:space="preserve">oproti operačním programům </w:t>
      </w:r>
      <w:r w:rsidR="004C788D" w:rsidRPr="006C456B">
        <w:rPr>
          <w:rFonts w:ascii="Arial" w:eastAsia="Times New Roman" w:hAnsi="Arial" w:cs="Arial"/>
          <w:lang w:eastAsia="cs-CZ"/>
        </w:rPr>
        <w:t>větší důraz na</w:t>
      </w:r>
      <w:r w:rsidR="004C788D">
        <w:rPr>
          <w:rFonts w:ascii="Arial" w:eastAsia="Times New Roman" w:hAnsi="Arial" w:cs="Arial"/>
          <w:lang w:eastAsia="cs-CZ"/>
        </w:rPr>
        <w:t> </w:t>
      </w:r>
      <w:r w:rsidR="004C788D" w:rsidRPr="006C456B">
        <w:rPr>
          <w:rFonts w:ascii="Arial" w:eastAsia="Times New Roman" w:hAnsi="Arial" w:cs="Arial"/>
          <w:lang w:eastAsia="cs-CZ"/>
        </w:rPr>
        <w:t>podporu spolupráce VO a firem (44 % celkové podpory; 20,10 mld. Kč) a na řešení společenských výzev pomocí VaVaI (22 % celkové podpory; 10,13 mld. Kč)</w:t>
      </w:r>
      <w:r>
        <w:rPr>
          <w:rFonts w:ascii="Arial" w:eastAsia="Times New Roman" w:hAnsi="Arial" w:cs="Arial"/>
          <w:lang w:eastAsia="cs-CZ"/>
        </w:rPr>
        <w:t>.</w:t>
      </w:r>
    </w:p>
    <w:p w14:paraId="1282839D" w14:textId="77777777" w:rsidR="004C788D" w:rsidRPr="00130CAD" w:rsidRDefault="00130CAD" w:rsidP="00BD32CB">
      <w:pPr>
        <w:pStyle w:val="Odstavecseseznamem"/>
        <w:numPr>
          <w:ilvl w:val="0"/>
          <w:numId w:val="3"/>
        </w:numPr>
        <w:spacing w:after="0" w:line="360" w:lineRule="auto"/>
        <w:ind w:left="426" w:hanging="426"/>
        <w:jc w:val="both"/>
        <w:rPr>
          <w:rFonts w:ascii="Arial" w:eastAsia="Times New Roman" w:hAnsi="Arial" w:cs="Arial"/>
          <w:lang w:eastAsia="cs-CZ"/>
        </w:rPr>
      </w:pPr>
      <w:r>
        <w:rPr>
          <w:rFonts w:ascii="Arial" w:eastAsia="Times New Roman" w:hAnsi="Arial" w:cs="Arial"/>
          <w:lang w:eastAsia="cs-CZ"/>
        </w:rPr>
        <w:t>V</w:t>
      </w:r>
      <w:r w:rsidR="004C788D" w:rsidRPr="009D4697">
        <w:rPr>
          <w:rFonts w:ascii="Arial" w:eastAsia="Times New Roman" w:hAnsi="Arial" w:cs="Arial"/>
          <w:lang w:eastAsia="cs-CZ"/>
        </w:rPr>
        <w:t xml:space="preserve"> rámci sektorové specializace byla v operačních programech nejvíce podpořena Digitální ekonomika a digitální obsah (</w:t>
      </w:r>
      <w:r w:rsidR="004C788D">
        <w:rPr>
          <w:rFonts w:ascii="Arial" w:eastAsia="Times New Roman" w:hAnsi="Arial" w:cs="Arial"/>
          <w:lang w:eastAsia="cs-CZ"/>
        </w:rPr>
        <w:t>21 % celkové podpory</w:t>
      </w:r>
      <w:r w:rsidR="004C788D" w:rsidRPr="009D4697">
        <w:rPr>
          <w:rFonts w:ascii="Arial" w:eastAsia="Times New Roman" w:hAnsi="Arial" w:cs="Arial"/>
          <w:lang w:eastAsia="cs-CZ"/>
        </w:rPr>
        <w:t>;</w:t>
      </w:r>
      <w:r w:rsidR="004C788D">
        <w:rPr>
          <w:rFonts w:ascii="Arial" w:eastAsia="Times New Roman" w:hAnsi="Arial" w:cs="Arial"/>
          <w:lang w:eastAsia="cs-CZ"/>
        </w:rPr>
        <w:t xml:space="preserve"> </w:t>
      </w:r>
      <w:r w:rsidR="004C788D" w:rsidRPr="009D4697">
        <w:rPr>
          <w:rFonts w:ascii="Arial" w:eastAsia="Times New Roman" w:hAnsi="Arial" w:cs="Arial"/>
          <w:lang w:eastAsia="cs-CZ"/>
        </w:rPr>
        <w:t>30,84 mld. Kč) a</w:t>
      </w:r>
      <w:r w:rsidR="004C788D">
        <w:rPr>
          <w:rFonts w:ascii="Arial" w:eastAsia="Times New Roman" w:hAnsi="Arial" w:cs="Arial"/>
          <w:lang w:eastAsia="cs-CZ"/>
        </w:rPr>
        <w:t> </w:t>
      </w:r>
      <w:r w:rsidR="004C788D" w:rsidRPr="009D4697">
        <w:rPr>
          <w:rFonts w:ascii="Arial" w:eastAsia="Times New Roman" w:hAnsi="Arial" w:cs="Arial"/>
          <w:lang w:eastAsia="cs-CZ"/>
        </w:rPr>
        <w:t>Strojírenství – mechatronika (</w:t>
      </w:r>
      <w:r w:rsidR="004C788D">
        <w:rPr>
          <w:rFonts w:ascii="Arial" w:eastAsia="Times New Roman" w:hAnsi="Arial" w:cs="Arial"/>
          <w:lang w:eastAsia="cs-CZ"/>
        </w:rPr>
        <w:t>13 % celkové podpory</w:t>
      </w:r>
      <w:r w:rsidR="004C788D" w:rsidRPr="009D4697">
        <w:rPr>
          <w:rFonts w:ascii="Arial" w:eastAsia="Times New Roman" w:hAnsi="Arial" w:cs="Arial"/>
          <w:lang w:eastAsia="cs-CZ"/>
        </w:rPr>
        <w:t>;</w:t>
      </w:r>
      <w:r w:rsidR="004C788D">
        <w:rPr>
          <w:rFonts w:ascii="Arial" w:eastAsia="Times New Roman" w:hAnsi="Arial" w:cs="Arial"/>
          <w:lang w:eastAsia="cs-CZ"/>
        </w:rPr>
        <w:t xml:space="preserve"> </w:t>
      </w:r>
      <w:r w:rsidR="004C788D" w:rsidRPr="009D4697">
        <w:rPr>
          <w:rFonts w:ascii="Arial" w:eastAsia="Times New Roman" w:hAnsi="Arial" w:cs="Arial"/>
          <w:lang w:eastAsia="cs-CZ"/>
        </w:rPr>
        <w:t>19,02 mld. Kč)</w:t>
      </w:r>
      <w:r w:rsidR="004C788D">
        <w:rPr>
          <w:rFonts w:ascii="Arial" w:eastAsia="Times New Roman" w:hAnsi="Arial" w:cs="Arial"/>
          <w:lang w:eastAsia="cs-CZ"/>
        </w:rPr>
        <w:t>.</w:t>
      </w:r>
    </w:p>
    <w:p w14:paraId="33FFD8A2" w14:textId="77777777" w:rsidR="004C788D" w:rsidRPr="00BD32CB" w:rsidRDefault="004C788D"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130CAD">
        <w:rPr>
          <w:rFonts w:ascii="Arial" w:eastAsia="Times New Roman" w:hAnsi="Arial" w:cs="Arial"/>
          <w:lang w:eastAsia="cs-CZ"/>
        </w:rPr>
        <w:t>Pozitivním výsledkem je převaha podpory malých a středních podniků (MSP) – na podporu MSP směřuje v programu OP PIK 70 % evropských finančních prostředků (25 mld. Kč) a 58 % neveřejných (soukromých) finančních prostředků (26 mld. Kč).</w:t>
      </w:r>
      <w:r w:rsidRPr="00BD32CB">
        <w:rPr>
          <w:rFonts w:ascii="Arial" w:eastAsia="Times New Roman" w:hAnsi="Arial" w:cs="Arial"/>
          <w:lang w:eastAsia="cs-CZ"/>
        </w:rPr>
        <w:t xml:space="preserve"> </w:t>
      </w:r>
    </w:p>
    <w:p w14:paraId="79268AFA" w14:textId="77777777" w:rsidR="004C788D" w:rsidRPr="00BD32CB" w:rsidRDefault="004C788D"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130CAD">
        <w:rPr>
          <w:rFonts w:ascii="Arial" w:eastAsia="Times New Roman" w:hAnsi="Arial" w:cs="Arial"/>
          <w:lang w:eastAsia="cs-CZ"/>
        </w:rPr>
        <w:t>Z rozložení podpory dle místa realizace projektů s vazbou na NRIS3 v operačních programech vyplývá, že celkově nejvyšší podpora na 1 obyvatele kraje směřuje do Jihomoravského kraje (13 %; 21 475 Kč / 1 obyv.), do kterého směřuje také nejvyšší podpora z EU (13 %; 12 021 Kč / 1 obyv.).</w:t>
      </w:r>
    </w:p>
    <w:p w14:paraId="56AE87A3" w14:textId="77777777" w:rsidR="004C788D" w:rsidRPr="00BD32CB" w:rsidRDefault="004C788D"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V oblasti plnění věcných indikátorů NRIS3 v operačních programech lze vyzvednout podporu při zavádění inovací (1 382 inovací), podporu internacionalizace MSP (3 995 účastí na výstavách a</w:t>
      </w:r>
      <w:r w:rsidR="00130CAD" w:rsidRPr="00BD32CB">
        <w:rPr>
          <w:rFonts w:ascii="Arial" w:eastAsia="Times New Roman" w:hAnsi="Arial" w:cs="Arial"/>
          <w:lang w:eastAsia="cs-CZ"/>
        </w:rPr>
        <w:t> </w:t>
      </w:r>
      <w:r w:rsidRPr="00BD32CB">
        <w:rPr>
          <w:rFonts w:ascii="Arial" w:eastAsia="Times New Roman" w:hAnsi="Arial" w:cs="Arial"/>
          <w:lang w:eastAsia="cs-CZ"/>
        </w:rPr>
        <w:t>veletrzích v zahraničí), posílení výzkumných personálních kapacit (5 573 podpořených výzkumných a akademických pracovníků), podporu spolupráce VO a firem (1 224 podpořených spoluprací), podporu nových či modernizovaných výzkumně zaměřených studijních programů akreditovaných i pro výuku v cizím jazyce (159 programů) a podporu zvýšení zaměstnanosti v ICT podnicích (3 733 FTE). V rámci podpory NRIS3 strategie je také nutno vyzvednout zapojení národních programů TAČR, které se jeví jako velmi úspěšné, alespoň z pohledu realizovaných projektů a v rámci těchto pak vzniklých aplikovaných výsledků (3 147).</w:t>
      </w:r>
    </w:p>
    <w:p w14:paraId="00966AEF" w14:textId="77777777" w:rsidR="006338C7" w:rsidRDefault="00FB6E97" w:rsidP="00130CAD">
      <w:pPr>
        <w:pStyle w:val="Nadpis1"/>
        <w:pageBreakBefore/>
        <w:numPr>
          <w:ilvl w:val="0"/>
          <w:numId w:val="0"/>
        </w:numPr>
        <w:ind w:left="432" w:hanging="432"/>
      </w:pPr>
      <w:bookmarkStart w:id="16" w:name="_Toc427676898"/>
      <w:bookmarkStart w:id="17" w:name="_Toc87340771"/>
      <w:bookmarkStart w:id="18" w:name="_Toc92369597"/>
      <w:bookmarkEnd w:id="15"/>
      <w:r>
        <w:lastRenderedPageBreak/>
        <w:t>Lidé</w:t>
      </w:r>
      <w:r w:rsidR="006338C7" w:rsidRPr="006F7E88">
        <w:t xml:space="preserve"> ve výzkumu </w:t>
      </w:r>
      <w:r w:rsidR="00361051" w:rsidRPr="006F7E88">
        <w:t>a </w:t>
      </w:r>
      <w:r w:rsidR="006338C7" w:rsidRPr="006F7E88">
        <w:t>vývoji</w:t>
      </w:r>
      <w:bookmarkEnd w:id="16"/>
      <w:bookmarkEnd w:id="17"/>
      <w:bookmarkEnd w:id="18"/>
    </w:p>
    <w:p w14:paraId="259109D3" w14:textId="77777777" w:rsidR="00130CAD" w:rsidRDefault="00130CAD" w:rsidP="00130CAD">
      <w:pPr>
        <w:spacing w:after="0" w:line="360" w:lineRule="auto"/>
        <w:ind w:firstLine="709"/>
        <w:jc w:val="both"/>
        <w:rPr>
          <w:rFonts w:ascii="Arial" w:eastAsia="Times New Roman" w:hAnsi="Arial" w:cs="Arial"/>
        </w:rPr>
      </w:pPr>
      <w:r w:rsidRPr="00BF220A">
        <w:rPr>
          <w:rFonts w:ascii="Arial" w:eastAsia="Times New Roman" w:hAnsi="Arial" w:cs="Arial"/>
        </w:rPr>
        <w:t xml:space="preserve">Jedním z nejzásadnějších vstupů všech aktivit jsou </w:t>
      </w:r>
      <w:r>
        <w:rPr>
          <w:rFonts w:ascii="Arial" w:eastAsia="Times New Roman" w:hAnsi="Arial" w:cs="Arial"/>
        </w:rPr>
        <w:t>lidé</w:t>
      </w:r>
      <w:r w:rsidRPr="00BF220A">
        <w:rPr>
          <w:rFonts w:ascii="Arial" w:eastAsia="Times New Roman" w:hAnsi="Arial" w:cs="Arial"/>
        </w:rPr>
        <w:t>.</w:t>
      </w:r>
      <w:r>
        <w:rPr>
          <w:rFonts w:ascii="Arial" w:eastAsia="Times New Roman" w:hAnsi="Arial" w:cs="Arial"/>
        </w:rPr>
        <w:t xml:space="preserve"> Také v činnostech VaV se bez nich nelze obejít a jejich osobní a odborné kvality určují intenzitu a kvalitu VaV, od které se následně odvíjí úspěšnost celého procesu přeměny výstupů VaV do nových poznatků v praxi. Pod osobami</w:t>
      </w:r>
      <w:r w:rsidRPr="00CB1141">
        <w:rPr>
          <w:rFonts w:ascii="Arial" w:eastAsia="Times New Roman" w:hAnsi="Arial" w:cs="Arial"/>
        </w:rPr>
        <w:t xml:space="preserve"> ve VaV </w:t>
      </w:r>
      <w:r>
        <w:rPr>
          <w:rFonts w:ascii="Arial" w:eastAsia="Times New Roman" w:hAnsi="Arial" w:cs="Arial"/>
        </w:rPr>
        <w:t>nelze vnímat jen samotné výzkumné pracovníky, ale také technické a odborné pracovníky</w:t>
      </w:r>
      <w:r w:rsidRPr="00CB1141">
        <w:rPr>
          <w:rFonts w:ascii="Arial" w:eastAsia="Times New Roman" w:hAnsi="Arial" w:cs="Arial"/>
        </w:rPr>
        <w:t xml:space="preserve"> ve VaV a další podpůrný personál, bez kterého by nebylo možné činnosti VaV efektivně realizovat.</w:t>
      </w:r>
    </w:p>
    <w:p w14:paraId="4832A391" w14:textId="77777777" w:rsidR="00130CAD" w:rsidRPr="005C06BA" w:rsidRDefault="00130CAD" w:rsidP="00130CAD">
      <w:pPr>
        <w:pStyle w:val="Obrzek-nadpis"/>
      </w:pPr>
      <w:r w:rsidRPr="00F951E9">
        <w:t>Vývoj počtu zaměstnanců ve VaV (HC) a podíl dle pracovních činností (2005–2020)</w:t>
      </w:r>
    </w:p>
    <w:p w14:paraId="59B9D4B1" w14:textId="77777777" w:rsidR="00130CAD" w:rsidRPr="005C06BA" w:rsidRDefault="00130CAD" w:rsidP="00130CAD">
      <w:pPr>
        <w:pStyle w:val="Obrzek-nadpis"/>
        <w:jc w:val="center"/>
      </w:pPr>
      <w:r w:rsidRPr="005C06BA">
        <w:rPr>
          <w:noProof/>
        </w:rPr>
        <w:drawing>
          <wp:inline distT="0" distB="0" distL="0" distR="0" wp14:anchorId="27494D95" wp14:editId="423207DF">
            <wp:extent cx="5419916" cy="2995627"/>
            <wp:effectExtent l="0" t="0" r="0" b="0"/>
            <wp:docPr id="136" name="Obrázek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31061" cy="3001787"/>
                    </a:xfrm>
                    <a:prstGeom prst="rect">
                      <a:avLst/>
                    </a:prstGeom>
                    <a:noFill/>
                  </pic:spPr>
                </pic:pic>
              </a:graphicData>
            </a:graphic>
          </wp:inline>
        </w:drawing>
      </w:r>
    </w:p>
    <w:p w14:paraId="492178BF" w14:textId="77777777" w:rsidR="00130CAD" w:rsidRDefault="00130CAD" w:rsidP="00130CAD">
      <w:pPr>
        <w:pStyle w:val="Zdrojapoznmka"/>
      </w:pPr>
      <w:r w:rsidRPr="005C06BA">
        <w:t>Zdroj: vlastní zpracování dle ČSÚ</w:t>
      </w:r>
    </w:p>
    <w:p w14:paraId="24220730" w14:textId="77777777" w:rsidR="006F7E88" w:rsidRPr="00BD32CB" w:rsidRDefault="006F7E88"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V roce 2020 pracovalo v ČR přes 118 tisíc osob, které se v rámci svého zaměstnání plně nebo částečně věnovali činnostem VaV. Po přepočtu na plný úvazek se činnostem VaV věnovalo téměř 81 tisíc zaměstnanců.</w:t>
      </w:r>
    </w:p>
    <w:p w14:paraId="487A8112" w14:textId="77777777" w:rsidR="006F7E88" w:rsidRPr="00BD32CB" w:rsidRDefault="006F7E88"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Většinu zaměstnanců VaV tvoří výzkumní pracovníci (přibližně 55 %), následují techničtí pracovníci (přibližně 31 %) a ostatní pracovníci (přibližně 14 %).</w:t>
      </w:r>
    </w:p>
    <w:p w14:paraId="1EB67811" w14:textId="77777777" w:rsidR="006F7E88" w:rsidRPr="00BD32CB" w:rsidRDefault="006F7E88"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Nejvyšší počet zaměstnanců ve VaV vykazuje podnikatelský sektor (podíl podnikatelského sektoru na celkové zaměstnanosti ve VaV stále roste). Naopak nejvíce výzkumných pracovníků pracuje ve vysokoškolském sektoru, za kterým těsně následuje sektor podnikatelský.</w:t>
      </w:r>
    </w:p>
    <w:p w14:paraId="5928E690" w14:textId="77777777" w:rsidR="006F7E88" w:rsidRPr="00BD32CB" w:rsidRDefault="006F7E88"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V mezinárodním srovnání počtu zaměstnanců ve VaV v zemích EU 27 se ČR pohybuje stejně jako v předchozích letech okolo 10. místa (mezi Rakouskem a Dánskem). Ve srovnání počtu výzkumných pracovníků v rámci zemí EU 27 se ČR umístila na 12. pozici.</w:t>
      </w:r>
    </w:p>
    <w:p w14:paraId="1121F99B" w14:textId="77777777" w:rsidR="006F7E88" w:rsidRPr="00BD32CB" w:rsidRDefault="006F7E88"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Růst počtu výzkumných pracovníků v podnikatelském sektoru se odehrával z převážné části ve velkých podnicích pod zahraniční kontrolou. Druhou nejvýznamnější skupinou jsou domácí malé a střední podniky.</w:t>
      </w:r>
    </w:p>
    <w:p w14:paraId="5F717A3C" w14:textId="77777777" w:rsidR="006F7E88" w:rsidRPr="00BD32CB" w:rsidRDefault="006F7E88"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lastRenderedPageBreak/>
        <w:t>Nejvíce výzkumných pracovníků v rámci podnikatelského sektoru působí ve zpracovatelském průmyslu, informační a komunikační činnosti a profesní, vědecké a technické činnosti.</w:t>
      </w:r>
    </w:p>
    <w:p w14:paraId="1F6B4237" w14:textId="77777777" w:rsidR="006F7E88" w:rsidRPr="00BD32CB" w:rsidRDefault="006F7E88"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Z nově zaměstnaných mladých výzkumných pracovníků je více než polovina s magisterským vzděláním. Tito zaměstnanci míří v rámci vysokoškolského sektoru nejčastěji do veřejných a státních vysokých škol, dále do veřejných podniků a na pracoviště AV ČR.</w:t>
      </w:r>
    </w:p>
    <w:p w14:paraId="70D7F977" w14:textId="77777777" w:rsidR="006F7E88" w:rsidRPr="00BD32CB" w:rsidRDefault="006F7E88"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Stále trvá genderová nevyváženost výzkumných pracovníků ve všech sektorech. Podíl žen na výzkumných pracovnících ČR se pohybuje pouze okolo 27 %. Největší nepoměr mezi výzkumnými pracovníky (muži vs. ženy) je v podnikatelském sektoru (pouze přibližně 13 %). Naopak největší zastoupení žen na výzkumných pracovnících je ve vládním sektoru (40 %).</w:t>
      </w:r>
    </w:p>
    <w:p w14:paraId="288A40FE" w14:textId="77777777" w:rsidR="006F7E88" w:rsidRPr="00BD32CB" w:rsidRDefault="006F7E88"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 xml:space="preserve">Ženy jsou ve skupině nově zaměstnaných mladých výzkumných pracovníků zastoupeny jen 30 %. Více než polovina nově zaměstnaných mladých výzkumných pracovníků ve vládním sektoru jsou ženy, naopak v podnikatelském sektoru je tento podíl jen 18 %. </w:t>
      </w:r>
    </w:p>
    <w:p w14:paraId="5AEC265D" w14:textId="77777777" w:rsidR="006F7E88" w:rsidRPr="00BD32CB" w:rsidRDefault="006F7E88"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BD32CB">
        <w:rPr>
          <w:rFonts w:ascii="Arial" w:eastAsia="Times New Roman" w:hAnsi="Arial" w:cs="Arial"/>
          <w:lang w:eastAsia="cs-CZ"/>
        </w:rPr>
        <w:t>Z pohledu zastoupení žen na pracovnících VaV i na výzkumných pracovnících je ČR v žebříčku zemí EU 27 na posledních příčkách (21. pozice, 24–29 %).</w:t>
      </w:r>
    </w:p>
    <w:p w14:paraId="3088B2AD" w14:textId="77777777" w:rsidR="00130CAD" w:rsidRPr="005B032C" w:rsidRDefault="00130CAD" w:rsidP="00130CAD">
      <w:pPr>
        <w:pStyle w:val="Obrzek-nadpis"/>
      </w:pPr>
      <w:r w:rsidRPr="005B032C">
        <w:t>Zastoupení žen na pracovnících VaV v mezinárodním srovnání (FTE, 2019)</w:t>
      </w:r>
    </w:p>
    <w:p w14:paraId="073B581D" w14:textId="77777777" w:rsidR="00130CAD" w:rsidRPr="005B032C" w:rsidRDefault="00130CAD" w:rsidP="00130CAD">
      <w:pPr>
        <w:pStyle w:val="Zdrojapoznmka"/>
      </w:pPr>
      <w:r w:rsidRPr="005B032C">
        <w:rPr>
          <w:noProof/>
        </w:rPr>
        <w:drawing>
          <wp:inline distT="0" distB="0" distL="0" distR="0" wp14:anchorId="1464DF70" wp14:editId="7CDC94F7">
            <wp:extent cx="5782512" cy="3179298"/>
            <wp:effectExtent l="0" t="0" r="0" b="2540"/>
            <wp:docPr id="137" name="Obrázek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2">
                      <a:extLst>
                        <a:ext uri="{28A0092B-C50C-407E-A947-70E740481C1C}">
                          <a14:useLocalDpi xmlns:a14="http://schemas.microsoft.com/office/drawing/2010/main" val="0"/>
                        </a:ext>
                      </a:extLst>
                    </a:blip>
                    <a:srcRect l="1291" t="334" r="583" b="1854"/>
                    <a:stretch/>
                  </pic:blipFill>
                  <pic:spPr bwMode="auto">
                    <a:xfrm>
                      <a:off x="0" y="0"/>
                      <a:ext cx="5815026" cy="3197175"/>
                    </a:xfrm>
                    <a:prstGeom prst="rect">
                      <a:avLst/>
                    </a:prstGeom>
                    <a:noFill/>
                    <a:ln>
                      <a:noFill/>
                    </a:ln>
                    <a:extLst>
                      <a:ext uri="{53640926-AAD7-44D8-BBD7-CCE9431645EC}">
                        <a14:shadowObscured xmlns:a14="http://schemas.microsoft.com/office/drawing/2010/main"/>
                      </a:ext>
                    </a:extLst>
                  </pic:spPr>
                </pic:pic>
              </a:graphicData>
            </a:graphic>
          </wp:inline>
        </w:drawing>
      </w:r>
    </w:p>
    <w:p w14:paraId="0AB00C08" w14:textId="77777777" w:rsidR="00130CAD" w:rsidRPr="00AC1E5E" w:rsidRDefault="00130CAD" w:rsidP="00130CAD">
      <w:pPr>
        <w:pStyle w:val="Zdrojapoznmka"/>
      </w:pPr>
      <w:r w:rsidRPr="005B032C">
        <w:t xml:space="preserve">Zdroj: Eurostat | Francie </w:t>
      </w:r>
      <w:r>
        <w:t>–</w:t>
      </w:r>
      <w:r w:rsidRPr="005B032C">
        <w:t xml:space="preserve"> údaje za rok 2018; Belgie, Finsko a Nizozemsko – hodnoty celkem (bez uvedení zastoupení žen); ABS Německo – 735 584, ABS Francie – 452 970, ABS Itálie – 355 854, ABS Španělsko – 231</w:t>
      </w:r>
      <w:r>
        <w:t> </w:t>
      </w:r>
      <w:r w:rsidRPr="005B032C">
        <w:t>413</w:t>
      </w:r>
    </w:p>
    <w:p w14:paraId="1ECA4AED" w14:textId="77777777" w:rsidR="00130CAD" w:rsidRDefault="00130CAD" w:rsidP="00130CAD">
      <w:pPr>
        <w:spacing w:after="0" w:line="360" w:lineRule="auto"/>
        <w:jc w:val="both"/>
        <w:rPr>
          <w:rFonts w:ascii="Arial" w:eastAsia="Times New Roman" w:hAnsi="Arial" w:cs="Arial"/>
          <w:lang w:eastAsia="cs-CZ"/>
        </w:rPr>
      </w:pPr>
    </w:p>
    <w:p w14:paraId="51A92C88" w14:textId="77777777" w:rsidR="00130CAD" w:rsidRDefault="00130CAD" w:rsidP="00130CAD">
      <w:pPr>
        <w:spacing w:after="0" w:line="360" w:lineRule="auto"/>
        <w:jc w:val="both"/>
        <w:rPr>
          <w:rFonts w:ascii="Arial" w:eastAsia="Times New Roman" w:hAnsi="Arial" w:cs="Arial"/>
          <w:lang w:eastAsia="cs-CZ"/>
        </w:rPr>
      </w:pPr>
    </w:p>
    <w:p w14:paraId="621E2D5A" w14:textId="77777777" w:rsidR="00130CAD" w:rsidRDefault="00130CAD" w:rsidP="00130CAD">
      <w:pPr>
        <w:spacing w:after="0" w:line="360" w:lineRule="auto"/>
        <w:jc w:val="both"/>
        <w:rPr>
          <w:rFonts w:ascii="Arial" w:eastAsia="Times New Roman" w:hAnsi="Arial" w:cs="Arial"/>
          <w:lang w:eastAsia="cs-CZ"/>
        </w:rPr>
      </w:pPr>
    </w:p>
    <w:p w14:paraId="3ABECEA1" w14:textId="77777777" w:rsidR="00130CAD" w:rsidRPr="00130CAD" w:rsidRDefault="00130CAD" w:rsidP="00130C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sectPr w:rsidR="00130CAD" w:rsidRPr="00130CAD" w:rsidSect="00D25D90">
          <w:headerReference w:type="first" r:id="rId33"/>
          <w:footerReference w:type="first" r:id="rId34"/>
          <w:pgSz w:w="11906" w:h="16838"/>
          <w:pgMar w:top="1134" w:right="1134" w:bottom="1134" w:left="1134" w:header="708" w:footer="708" w:gutter="0"/>
          <w:cols w:space="708"/>
          <w:docGrid w:linePitch="360"/>
        </w:sectPr>
      </w:pPr>
    </w:p>
    <w:p w14:paraId="4509D6C5" w14:textId="77777777" w:rsidR="0058151E" w:rsidRDefault="00103A47" w:rsidP="00130CAD">
      <w:pPr>
        <w:pStyle w:val="Nadpis1"/>
        <w:pageBreakBefore/>
        <w:numPr>
          <w:ilvl w:val="0"/>
          <w:numId w:val="0"/>
        </w:numPr>
        <w:ind w:left="432" w:hanging="432"/>
      </w:pPr>
      <w:bookmarkStart w:id="19" w:name="_Toc87340775"/>
      <w:bookmarkStart w:id="20" w:name="_Toc92369601"/>
      <w:bookmarkStart w:id="21" w:name="_Toc427676900"/>
      <w:r w:rsidRPr="0048026B">
        <w:lastRenderedPageBreak/>
        <w:t>Výzkumné infrastruktury</w:t>
      </w:r>
      <w:bookmarkEnd w:id="19"/>
      <w:bookmarkEnd w:id="20"/>
    </w:p>
    <w:p w14:paraId="25812D11" w14:textId="77777777" w:rsidR="00130CAD" w:rsidRPr="002739B9" w:rsidRDefault="00130CAD" w:rsidP="00130CAD">
      <w:pPr>
        <w:spacing w:after="0" w:line="360" w:lineRule="auto"/>
        <w:ind w:firstLine="709"/>
        <w:jc w:val="both"/>
        <w:rPr>
          <w:rFonts w:ascii="Arial" w:eastAsia="Calibri" w:hAnsi="Arial" w:cs="Arial"/>
        </w:rPr>
      </w:pPr>
      <w:r w:rsidRPr="00D625F4">
        <w:rPr>
          <w:rFonts w:ascii="Arial" w:eastAsia="Calibri" w:hAnsi="Arial" w:cs="Arial"/>
        </w:rPr>
        <w:t>Výzkumné infrastruktury mají významný vliv na rozvoj národních výzkumných systémů a</w:t>
      </w:r>
      <w:r>
        <w:rPr>
          <w:rFonts w:ascii="Arial" w:eastAsia="Calibri" w:hAnsi="Arial" w:cs="Arial"/>
        </w:rPr>
        <w:t> </w:t>
      </w:r>
      <w:r w:rsidRPr="00D625F4">
        <w:rPr>
          <w:rFonts w:ascii="Arial" w:eastAsia="Calibri" w:hAnsi="Arial" w:cs="Arial"/>
        </w:rPr>
        <w:t>dalších uskupení makro-regionálního, popř. globálního rozměru. Nejmodernějším a</w:t>
      </w:r>
      <w:r>
        <w:rPr>
          <w:rFonts w:ascii="Arial" w:eastAsia="Calibri" w:hAnsi="Arial" w:cs="Arial"/>
        </w:rPr>
        <w:t> </w:t>
      </w:r>
      <w:r w:rsidRPr="00D625F4">
        <w:rPr>
          <w:rFonts w:ascii="Arial" w:eastAsia="Calibri" w:hAnsi="Arial" w:cs="Arial"/>
        </w:rPr>
        <w:t>především speciálním vybavením zprostředkovávají je</w:t>
      </w:r>
      <w:r>
        <w:rPr>
          <w:rFonts w:ascii="Arial" w:eastAsia="Calibri" w:hAnsi="Arial" w:cs="Arial"/>
        </w:rPr>
        <w:t>dinečnou možnost ostatním výzkumníkům</w:t>
      </w:r>
      <w:r w:rsidRPr="002739B9">
        <w:rPr>
          <w:rFonts w:ascii="Arial" w:eastAsia="Calibri" w:hAnsi="Arial" w:cs="Arial"/>
        </w:rPr>
        <w:t xml:space="preserve"> </w:t>
      </w:r>
      <w:r w:rsidRPr="00EE6E87">
        <w:rPr>
          <w:rFonts w:ascii="Arial" w:eastAsia="Calibri" w:hAnsi="Arial" w:cs="Arial"/>
        </w:rPr>
        <w:t>realizovat své výjimečné vědecké experimenty a šetření</w:t>
      </w:r>
      <w:r>
        <w:rPr>
          <w:rFonts w:ascii="Arial" w:eastAsia="Calibri" w:hAnsi="Arial" w:cs="Arial"/>
        </w:rPr>
        <w:t xml:space="preserve">. </w:t>
      </w:r>
      <w:r w:rsidRPr="002739B9">
        <w:rPr>
          <w:rFonts w:ascii="Arial" w:eastAsia="Calibri" w:hAnsi="Arial" w:cs="Arial"/>
        </w:rPr>
        <w:t>Pomocí otevřeného přístupu je možné efektivněji adresovat socioekonomické výzvy naší společnosti.</w:t>
      </w:r>
    </w:p>
    <w:p w14:paraId="67AAB56C" w14:textId="77777777" w:rsidR="002739B9" w:rsidRPr="008C3B30" w:rsidRDefault="002739B9" w:rsidP="00130CAD">
      <w:pPr>
        <w:pStyle w:val="Odstavecseseznamem"/>
        <w:numPr>
          <w:ilvl w:val="0"/>
          <w:numId w:val="3"/>
        </w:numPr>
        <w:spacing w:after="0" w:line="360" w:lineRule="auto"/>
        <w:ind w:left="426" w:hanging="426"/>
        <w:jc w:val="both"/>
        <w:rPr>
          <w:rFonts w:ascii="Arial" w:eastAsia="Times New Roman" w:hAnsi="Arial" w:cs="Arial"/>
          <w:lang w:eastAsia="cs-CZ"/>
        </w:rPr>
      </w:pPr>
      <w:r>
        <w:rPr>
          <w:rFonts w:ascii="Arial" w:eastAsia="Times New Roman" w:hAnsi="Arial" w:cs="Arial"/>
          <w:lang w:eastAsia="cs-CZ"/>
        </w:rPr>
        <w:t>Výzkumné infrastruktury p</w:t>
      </w:r>
      <w:r w:rsidRPr="00B74155">
        <w:rPr>
          <w:rFonts w:ascii="Arial" w:eastAsia="Times New Roman" w:hAnsi="Arial" w:cs="Arial"/>
          <w:lang w:eastAsia="cs-CZ"/>
        </w:rPr>
        <w:t>ředstavují místa určená k efektivnímu propojování všech segmentů inovačního řetězce a interakci subjektů zapojených do vzdělávání, veřejného výzkumu a</w:t>
      </w:r>
      <w:r>
        <w:rPr>
          <w:rFonts w:ascii="Arial" w:eastAsia="Times New Roman" w:hAnsi="Arial" w:cs="Arial"/>
          <w:lang w:eastAsia="cs-CZ"/>
        </w:rPr>
        <w:t> </w:t>
      </w:r>
      <w:r w:rsidRPr="00B74155">
        <w:rPr>
          <w:rFonts w:ascii="Arial" w:eastAsia="Times New Roman" w:hAnsi="Arial" w:cs="Arial"/>
          <w:lang w:eastAsia="cs-CZ"/>
        </w:rPr>
        <w:t>podnikatelské sféry s finálním efektem v podobě zboží a služeb s vysokou přidanou hodnotou. Obvykle nemají právní subjektivitu, jsou zakládány, rozvíjeny a</w:t>
      </w:r>
      <w:r>
        <w:rPr>
          <w:rFonts w:ascii="Arial" w:eastAsia="Times New Roman" w:hAnsi="Arial" w:cs="Arial"/>
          <w:lang w:eastAsia="cs-CZ"/>
        </w:rPr>
        <w:t> </w:t>
      </w:r>
      <w:r w:rsidRPr="00B74155">
        <w:rPr>
          <w:rFonts w:ascii="Arial" w:eastAsia="Times New Roman" w:hAnsi="Arial" w:cs="Arial"/>
          <w:lang w:eastAsia="cs-CZ"/>
        </w:rPr>
        <w:t xml:space="preserve">provozovány nejčastěji výzkumnými organizacemi a lze je považovat za elementární složku základny výzkumu, vývoje a inovací </w:t>
      </w:r>
      <w:r w:rsidRPr="008C3B30">
        <w:rPr>
          <w:rFonts w:ascii="Arial" w:eastAsia="Times New Roman" w:hAnsi="Arial" w:cs="Arial"/>
          <w:lang w:eastAsia="cs-CZ"/>
        </w:rPr>
        <w:t>v ČR.</w:t>
      </w:r>
    </w:p>
    <w:p w14:paraId="1AFEDEAE" w14:textId="77777777" w:rsidR="002739B9" w:rsidRPr="008C3B30" w:rsidRDefault="002739B9" w:rsidP="00130CAD">
      <w:pPr>
        <w:pStyle w:val="Odstavecseseznamem"/>
        <w:numPr>
          <w:ilvl w:val="0"/>
          <w:numId w:val="3"/>
        </w:numPr>
        <w:spacing w:after="0" w:line="360" w:lineRule="auto"/>
        <w:ind w:left="426" w:hanging="426"/>
        <w:jc w:val="both"/>
        <w:rPr>
          <w:rFonts w:ascii="Arial" w:eastAsia="Times New Roman" w:hAnsi="Arial" w:cs="Arial"/>
          <w:lang w:eastAsia="cs-CZ"/>
        </w:rPr>
      </w:pPr>
      <w:r w:rsidRPr="008C3B30">
        <w:rPr>
          <w:rFonts w:ascii="Arial" w:eastAsia="Times New Roman" w:hAnsi="Arial" w:cs="Arial"/>
          <w:lang w:eastAsia="cs-CZ"/>
        </w:rPr>
        <w:t xml:space="preserve">V ČR jsou financovány vícezdrojově </w:t>
      </w:r>
      <w:r>
        <w:rPr>
          <w:rFonts w:ascii="Arial" w:eastAsia="Times New Roman" w:hAnsi="Arial" w:cs="Arial"/>
          <w:lang w:eastAsia="cs-CZ"/>
        </w:rPr>
        <w:t xml:space="preserve">zejména </w:t>
      </w:r>
      <w:r w:rsidRPr="008C3B30">
        <w:rPr>
          <w:rFonts w:ascii="Arial" w:eastAsia="Times New Roman" w:hAnsi="Arial" w:cs="Arial"/>
          <w:lang w:eastAsia="cs-CZ"/>
        </w:rPr>
        <w:t>z</w:t>
      </w:r>
      <w:r>
        <w:rPr>
          <w:rFonts w:ascii="Arial" w:eastAsia="Times New Roman" w:hAnsi="Arial" w:cs="Arial"/>
          <w:lang w:eastAsia="cs-CZ"/>
        </w:rPr>
        <w:t xml:space="preserve"> veřejných </w:t>
      </w:r>
      <w:r w:rsidRPr="008C3B30">
        <w:rPr>
          <w:rFonts w:ascii="Arial" w:eastAsia="Times New Roman" w:hAnsi="Arial" w:cs="Arial"/>
          <w:lang w:eastAsia="cs-CZ"/>
        </w:rPr>
        <w:t>prostředků tuzemských i zahraničních. V roce 2020 byly na podporu výzkumných infrastruktur vynaloženy prostředky ze státního rozpočtu prostřednictvím národních grantových a programových projektů účelové podpory v celkové výši 4,2 mld. Kč</w:t>
      </w:r>
      <w:r>
        <w:rPr>
          <w:rFonts w:ascii="Arial" w:eastAsia="Times New Roman" w:hAnsi="Arial" w:cs="Arial"/>
          <w:lang w:eastAsia="cs-CZ"/>
        </w:rPr>
        <w:t xml:space="preserve"> a dále byla čerpaná podpora z OP VVV 1,7 mld. Kč.</w:t>
      </w:r>
    </w:p>
    <w:p w14:paraId="3EB18903" w14:textId="77777777" w:rsidR="002739B9" w:rsidRPr="008C3B30" w:rsidRDefault="002739B9" w:rsidP="00130CAD">
      <w:pPr>
        <w:pStyle w:val="Odstavecseseznamem"/>
        <w:numPr>
          <w:ilvl w:val="0"/>
          <w:numId w:val="3"/>
        </w:numPr>
        <w:spacing w:after="0" w:line="360" w:lineRule="auto"/>
        <w:ind w:left="426" w:hanging="426"/>
        <w:jc w:val="both"/>
        <w:rPr>
          <w:rFonts w:ascii="Arial" w:eastAsia="Times New Roman" w:hAnsi="Arial" w:cs="Arial"/>
          <w:lang w:eastAsia="cs-CZ"/>
        </w:rPr>
      </w:pPr>
      <w:r w:rsidRPr="00533979">
        <w:rPr>
          <w:rFonts w:ascii="Arial" w:hAnsi="Arial" w:cs="Arial"/>
        </w:rPr>
        <w:t xml:space="preserve">MŠMT plní roli gestora mezinárodní spolupráce ČR ve VaV a podporuje také internacionalizaci velkých výzkumných infrastruktur, resp. mezinárodní spolupráci a zapojování do mezinárodních právních uskupení, zejména právnických osob ERIC. </w:t>
      </w:r>
      <w:r>
        <w:rPr>
          <w:rFonts w:ascii="Arial" w:hAnsi="Arial" w:cs="Arial"/>
        </w:rPr>
        <w:t>Celková částka za ERIC hrazená</w:t>
      </w:r>
      <w:r w:rsidRPr="00533979">
        <w:rPr>
          <w:rFonts w:ascii="Arial" w:hAnsi="Arial" w:cs="Arial"/>
        </w:rPr>
        <w:t xml:space="preserve"> ze státního rozpočtu ČR činila v roce 2020 téměř 215 mil.</w:t>
      </w:r>
      <w:r>
        <w:rPr>
          <w:rFonts w:ascii="Arial" w:hAnsi="Arial" w:cs="Arial"/>
        </w:rPr>
        <w:t> </w:t>
      </w:r>
      <w:r w:rsidRPr="00533979">
        <w:rPr>
          <w:rFonts w:ascii="Arial" w:hAnsi="Arial" w:cs="Arial"/>
        </w:rPr>
        <w:t>Kč.</w:t>
      </w:r>
    </w:p>
    <w:p w14:paraId="3BE1FCBA" w14:textId="77777777" w:rsidR="002739B9" w:rsidRPr="00533979" w:rsidRDefault="002739B9" w:rsidP="00130CAD">
      <w:pPr>
        <w:pStyle w:val="Odstavecseseznamem"/>
        <w:numPr>
          <w:ilvl w:val="0"/>
          <w:numId w:val="3"/>
        </w:numPr>
        <w:spacing w:after="0" w:line="360" w:lineRule="auto"/>
        <w:ind w:left="426" w:hanging="426"/>
        <w:jc w:val="both"/>
        <w:rPr>
          <w:rFonts w:ascii="Arial" w:eastAsia="Times New Roman" w:hAnsi="Arial" w:cs="Arial"/>
          <w:lang w:eastAsia="cs-CZ"/>
        </w:rPr>
      </w:pPr>
      <w:r w:rsidRPr="00533979">
        <w:rPr>
          <w:rFonts w:ascii="Arial" w:hAnsi="Arial" w:cs="Arial"/>
        </w:rPr>
        <w:t xml:space="preserve">Specifickým typem výzkumných infrastruktur jsou </w:t>
      </w:r>
      <w:r>
        <w:rPr>
          <w:rFonts w:ascii="Arial" w:hAnsi="Arial" w:cs="Arial"/>
        </w:rPr>
        <w:t xml:space="preserve">infrastruktury fungující v rámci </w:t>
      </w:r>
      <w:r w:rsidRPr="00533979">
        <w:rPr>
          <w:rFonts w:ascii="Arial" w:hAnsi="Arial" w:cs="Arial"/>
        </w:rPr>
        <w:t xml:space="preserve">mezinárodní </w:t>
      </w:r>
      <w:r>
        <w:rPr>
          <w:rFonts w:ascii="Arial" w:hAnsi="Arial" w:cs="Arial"/>
        </w:rPr>
        <w:t>spolupráce České republiky</w:t>
      </w:r>
      <w:r w:rsidRPr="00533979">
        <w:rPr>
          <w:rFonts w:ascii="Arial" w:hAnsi="Arial" w:cs="Arial"/>
        </w:rPr>
        <w:t xml:space="preserve">. V roce 2020 činil celkový poplatek ČR za účast </w:t>
      </w:r>
      <w:r>
        <w:rPr>
          <w:rFonts w:ascii="Arial" w:hAnsi="Arial" w:cs="Arial"/>
        </w:rPr>
        <w:t> </w:t>
      </w:r>
      <w:r w:rsidRPr="00533979">
        <w:rPr>
          <w:rFonts w:ascii="Arial" w:hAnsi="Arial" w:cs="Arial"/>
        </w:rPr>
        <w:t>v</w:t>
      </w:r>
      <w:r>
        <w:rPr>
          <w:rFonts w:ascii="Arial" w:hAnsi="Arial" w:cs="Arial"/>
        </w:rPr>
        <w:t> </w:t>
      </w:r>
      <w:r w:rsidRPr="00533979">
        <w:rPr>
          <w:rFonts w:ascii="Arial" w:hAnsi="Arial" w:cs="Arial"/>
        </w:rPr>
        <w:t>mezinárodních organizacích VaV téměř 833 mil. Kč.</w:t>
      </w:r>
    </w:p>
    <w:p w14:paraId="67A92DBB" w14:textId="77777777" w:rsidR="002739B9" w:rsidRDefault="002739B9" w:rsidP="00130CAD">
      <w:pPr>
        <w:pStyle w:val="Odstavecseseznamem"/>
        <w:numPr>
          <w:ilvl w:val="0"/>
          <w:numId w:val="3"/>
        </w:numPr>
        <w:spacing w:after="0" w:line="360" w:lineRule="auto"/>
        <w:ind w:left="426" w:hanging="426"/>
        <w:jc w:val="both"/>
        <w:rPr>
          <w:rFonts w:ascii="Arial" w:eastAsia="Times New Roman" w:hAnsi="Arial" w:cs="Arial"/>
          <w:lang w:eastAsia="cs-CZ"/>
        </w:rPr>
      </w:pPr>
      <w:r w:rsidRPr="00533979">
        <w:rPr>
          <w:rFonts w:ascii="Arial" w:eastAsia="Times New Roman" w:hAnsi="Arial" w:cs="Arial"/>
          <w:lang w:eastAsia="cs-CZ"/>
        </w:rPr>
        <w:t>MŠMT vydalo v roce 2019 aktualizaci „Cestovní mapy velkých výzkumných infrastruktur ČR pro léta 2016 až 2022“, která představuje zapojení vědecké komunity do jednotlivých výzev a</w:t>
      </w:r>
      <w:r>
        <w:rPr>
          <w:rFonts w:ascii="Arial" w:eastAsia="Times New Roman" w:hAnsi="Arial" w:cs="Arial"/>
          <w:lang w:eastAsia="cs-CZ"/>
        </w:rPr>
        <w:t> </w:t>
      </w:r>
      <w:r w:rsidRPr="00533979">
        <w:rPr>
          <w:rFonts w:ascii="Arial" w:eastAsia="Times New Roman" w:hAnsi="Arial" w:cs="Arial"/>
          <w:lang w:eastAsia="cs-CZ"/>
        </w:rPr>
        <w:t>příležitostí v oblasti výzkumných infrastruktur. Cestovní mapa zahrnuje celkem 48 velkých výzkumných infrastruktur</w:t>
      </w:r>
      <w:r>
        <w:t>,</w:t>
      </w:r>
      <w:r w:rsidRPr="00803788">
        <w:rPr>
          <w:rFonts w:ascii="Arial" w:eastAsia="Times New Roman" w:hAnsi="Arial" w:cs="Arial"/>
          <w:lang w:eastAsia="cs-CZ"/>
        </w:rPr>
        <w:t xml:space="preserve"> těžiště</w:t>
      </w:r>
      <w:r>
        <w:rPr>
          <w:rFonts w:ascii="Arial" w:eastAsia="Times New Roman" w:hAnsi="Arial" w:cs="Arial"/>
          <w:lang w:eastAsia="cs-CZ"/>
        </w:rPr>
        <w:t>m</w:t>
      </w:r>
      <w:r w:rsidRPr="00803788">
        <w:rPr>
          <w:rFonts w:ascii="Arial" w:eastAsia="Times New Roman" w:hAnsi="Arial" w:cs="Arial"/>
          <w:lang w:eastAsia="cs-CZ"/>
        </w:rPr>
        <w:t xml:space="preserve"> podpory velkých výzkumných infrastruktur z veřejných prostředků na provoz výzkumných infrastruktur ČR </w:t>
      </w:r>
      <w:r>
        <w:rPr>
          <w:rFonts w:ascii="Arial" w:eastAsia="Times New Roman" w:hAnsi="Arial" w:cs="Arial"/>
          <w:lang w:eastAsia="cs-CZ"/>
        </w:rPr>
        <w:t>je</w:t>
      </w:r>
      <w:r w:rsidRPr="00803788">
        <w:rPr>
          <w:rFonts w:ascii="Arial" w:eastAsia="Times New Roman" w:hAnsi="Arial" w:cs="Arial"/>
          <w:lang w:eastAsia="cs-CZ"/>
        </w:rPr>
        <w:t xml:space="preserve"> titul: Projekty velkých výzkumných</w:t>
      </w:r>
      <w:r>
        <w:rPr>
          <w:rFonts w:ascii="Arial" w:eastAsia="Times New Roman" w:hAnsi="Arial" w:cs="Arial"/>
          <w:lang w:eastAsia="cs-CZ"/>
        </w:rPr>
        <w:t xml:space="preserve"> infrastruktur, v roce 2020 bylo čerpáno ze SR 1,9 mld. Kč.</w:t>
      </w:r>
    </w:p>
    <w:p w14:paraId="604C47AF" w14:textId="77777777" w:rsidR="002739B9" w:rsidRDefault="002739B9" w:rsidP="00130CAD">
      <w:pPr>
        <w:pStyle w:val="Odstavecseseznamem"/>
        <w:numPr>
          <w:ilvl w:val="0"/>
          <w:numId w:val="3"/>
        </w:numPr>
        <w:spacing w:after="0" w:line="360" w:lineRule="auto"/>
        <w:ind w:left="426" w:hanging="426"/>
        <w:jc w:val="both"/>
        <w:rPr>
          <w:rFonts w:ascii="Arial" w:eastAsia="Times New Roman" w:hAnsi="Arial" w:cs="Arial"/>
          <w:lang w:eastAsia="cs-CZ"/>
        </w:rPr>
      </w:pPr>
      <w:r>
        <w:rPr>
          <w:rFonts w:ascii="Arial" w:eastAsia="Times New Roman" w:hAnsi="Arial" w:cs="Arial"/>
          <w:lang w:eastAsia="cs-CZ"/>
        </w:rPr>
        <w:t xml:space="preserve">V roce 2020 vzniklo celkem 2,46 tis. výsledků, na kterých se podílely velké výzkumné infrastruktury. Podíl publikačních výsledků tvořil 83 %, což </w:t>
      </w:r>
      <w:r w:rsidRPr="007A23D8">
        <w:rPr>
          <w:rFonts w:ascii="Arial" w:eastAsia="Times New Roman" w:hAnsi="Arial" w:cs="Arial"/>
          <w:lang w:eastAsia="cs-CZ"/>
        </w:rPr>
        <w:t xml:space="preserve">je </w:t>
      </w:r>
      <w:r w:rsidRPr="00E247BE">
        <w:rPr>
          <w:rFonts w:ascii="Arial" w:eastAsia="Times New Roman" w:hAnsi="Arial" w:cs="Arial"/>
          <w:lang w:eastAsia="cs-CZ"/>
        </w:rPr>
        <w:t>7</w:t>
      </w:r>
      <w:r>
        <w:rPr>
          <w:rFonts w:ascii="Arial" w:eastAsia="Times New Roman" w:hAnsi="Arial" w:cs="Arial"/>
          <w:lang w:eastAsia="cs-CZ"/>
        </w:rPr>
        <w:t xml:space="preserve"> p. b. více, než je průměr za celou Českou republiku. V případě nepublikačních aplikovaných výsledků byly nejpočetnější dva typy výsledků, jimiž jsou Software</w:t>
      </w:r>
      <w:r w:rsidR="00AA782C">
        <w:rPr>
          <w:rFonts w:ascii="Arial" w:eastAsia="Times New Roman" w:hAnsi="Arial" w:cs="Arial"/>
          <w:lang w:eastAsia="cs-CZ"/>
        </w:rPr>
        <w:t xml:space="preserve"> (tj. 29)</w:t>
      </w:r>
      <w:r>
        <w:rPr>
          <w:rFonts w:ascii="Arial" w:eastAsia="Times New Roman" w:hAnsi="Arial" w:cs="Arial"/>
          <w:lang w:eastAsia="cs-CZ"/>
        </w:rPr>
        <w:t xml:space="preserve"> a Patent</w:t>
      </w:r>
      <w:r w:rsidR="00F87675">
        <w:rPr>
          <w:rFonts w:ascii="Arial" w:eastAsia="Times New Roman" w:hAnsi="Arial" w:cs="Arial"/>
          <w:lang w:eastAsia="cs-CZ"/>
        </w:rPr>
        <w:t xml:space="preserve"> </w:t>
      </w:r>
      <w:r w:rsidR="00AA782C">
        <w:rPr>
          <w:rFonts w:ascii="Arial" w:eastAsia="Times New Roman" w:hAnsi="Arial" w:cs="Arial"/>
          <w:lang w:eastAsia="cs-CZ"/>
        </w:rPr>
        <w:t>(tj. 18)</w:t>
      </w:r>
      <w:r>
        <w:rPr>
          <w:rFonts w:ascii="Arial" w:eastAsia="Times New Roman" w:hAnsi="Arial" w:cs="Arial"/>
          <w:lang w:eastAsia="cs-CZ"/>
        </w:rPr>
        <w:t>.</w:t>
      </w:r>
    </w:p>
    <w:p w14:paraId="6966DBDD" w14:textId="77777777" w:rsidR="002739B9" w:rsidRDefault="002739B9" w:rsidP="00BD32CB">
      <w:pPr>
        <w:spacing w:after="0" w:line="360" w:lineRule="auto"/>
        <w:jc w:val="both"/>
      </w:pPr>
    </w:p>
    <w:p w14:paraId="2A0D9E94" w14:textId="77777777" w:rsidR="002739B9" w:rsidRDefault="002739B9" w:rsidP="00BD32CB"/>
    <w:p w14:paraId="67895FD1" w14:textId="77777777" w:rsidR="00BD32CB" w:rsidRDefault="00BD32CB" w:rsidP="002739B9">
      <w:pPr>
        <w:sectPr w:rsidR="00BD32CB" w:rsidSect="002739B9">
          <w:footerReference w:type="default" r:id="rId35"/>
          <w:pgSz w:w="11906" w:h="16838"/>
          <w:pgMar w:top="1134" w:right="1134" w:bottom="1134" w:left="1134" w:header="709" w:footer="709" w:gutter="0"/>
          <w:cols w:space="708"/>
          <w:docGrid w:linePitch="360"/>
        </w:sectPr>
      </w:pPr>
    </w:p>
    <w:p w14:paraId="1C2DBCC7" w14:textId="77777777" w:rsidR="006338C7" w:rsidRDefault="002E51E9" w:rsidP="00130CAD">
      <w:pPr>
        <w:pStyle w:val="Nadpis1"/>
        <w:pageBreakBefore/>
        <w:numPr>
          <w:ilvl w:val="0"/>
          <w:numId w:val="0"/>
        </w:numPr>
        <w:ind w:left="432" w:hanging="432"/>
      </w:pPr>
      <w:bookmarkStart w:id="22" w:name="_Toc87340780"/>
      <w:bookmarkStart w:id="23" w:name="_Toc92369603"/>
      <w:r w:rsidRPr="0048026B">
        <w:lastRenderedPageBreak/>
        <w:t>V</w:t>
      </w:r>
      <w:r w:rsidR="006338C7" w:rsidRPr="0048026B">
        <w:t xml:space="preserve">ýsledky výzkumu </w:t>
      </w:r>
      <w:r w:rsidR="00361051" w:rsidRPr="0048026B">
        <w:t>a </w:t>
      </w:r>
      <w:r w:rsidR="006338C7" w:rsidRPr="0048026B">
        <w:t>vývoje</w:t>
      </w:r>
      <w:bookmarkEnd w:id="21"/>
      <w:bookmarkEnd w:id="22"/>
      <w:bookmarkEnd w:id="23"/>
    </w:p>
    <w:p w14:paraId="21AFEEB1" w14:textId="77777777" w:rsidR="0050607A" w:rsidRPr="009249FB" w:rsidRDefault="0050607A" w:rsidP="0050607A">
      <w:pPr>
        <w:spacing w:after="0" w:line="360" w:lineRule="auto"/>
        <w:ind w:firstLine="709"/>
        <w:jc w:val="both"/>
        <w:rPr>
          <w:rFonts w:ascii="Arial" w:hAnsi="Arial" w:cs="Arial"/>
        </w:rPr>
      </w:pPr>
      <w:r w:rsidRPr="009249FB">
        <w:rPr>
          <w:rFonts w:ascii="Arial" w:hAnsi="Arial" w:cs="Arial"/>
        </w:rPr>
        <w:t xml:space="preserve">Výsledky jsou důležitým dokladem o provádění výzkumné a vývojové činnosti. Údaje o výsledcích z IS VaVaI graficky prezentované v této kapitole poskytují ucelený přehled o produktivitě </w:t>
      </w:r>
      <w:r>
        <w:rPr>
          <w:rFonts w:ascii="Arial" w:hAnsi="Arial" w:cs="Arial"/>
        </w:rPr>
        <w:t xml:space="preserve">systému </w:t>
      </w:r>
      <w:r w:rsidRPr="009249FB">
        <w:rPr>
          <w:rFonts w:ascii="Arial" w:hAnsi="Arial" w:cs="Arial"/>
        </w:rPr>
        <w:t>VaVaI v ČR. Ve vazbě na charakter podpory prováděného VaVaI (institucionální nebo účelov</w:t>
      </w:r>
      <w:r>
        <w:rPr>
          <w:rFonts w:ascii="Arial" w:hAnsi="Arial" w:cs="Arial"/>
        </w:rPr>
        <w:t>é</w:t>
      </w:r>
      <w:r w:rsidRPr="009249FB">
        <w:rPr>
          <w:rFonts w:ascii="Arial" w:hAnsi="Arial" w:cs="Arial"/>
        </w:rPr>
        <w:t xml:space="preserve">, podrobněji viz kapitola 2 – Financování výzkumu a vývoje </w:t>
      </w:r>
      <w:r>
        <w:rPr>
          <w:rFonts w:ascii="Arial" w:hAnsi="Arial" w:cs="Arial"/>
        </w:rPr>
        <w:t>ze </w:t>
      </w:r>
      <w:r w:rsidRPr="009249FB">
        <w:rPr>
          <w:rFonts w:ascii="Arial" w:hAnsi="Arial" w:cs="Arial"/>
        </w:rPr>
        <w:t>státního rozpočtu) lze dílčím způsobem hodnotit finanční</w:t>
      </w:r>
      <w:r>
        <w:rPr>
          <w:rFonts w:ascii="Arial" w:hAnsi="Arial" w:cs="Arial"/>
        </w:rPr>
        <w:t xml:space="preserve"> nástroje veřejné podpory VaVaI, což RVVI provádí v rámci </w:t>
      </w:r>
      <w:r w:rsidRPr="009249FB">
        <w:rPr>
          <w:rFonts w:ascii="Arial" w:hAnsi="Arial" w:cs="Arial"/>
        </w:rPr>
        <w:t xml:space="preserve">Hodnocení výsledků </w:t>
      </w:r>
      <w:r>
        <w:rPr>
          <w:rFonts w:ascii="Arial" w:hAnsi="Arial" w:cs="Arial"/>
        </w:rPr>
        <w:t xml:space="preserve">ukončených </w:t>
      </w:r>
      <w:r w:rsidRPr="009249FB">
        <w:rPr>
          <w:rFonts w:ascii="Arial" w:hAnsi="Arial" w:cs="Arial"/>
        </w:rPr>
        <w:t>pro</w:t>
      </w:r>
      <w:r>
        <w:rPr>
          <w:rFonts w:ascii="Arial" w:hAnsi="Arial" w:cs="Arial"/>
        </w:rPr>
        <w:t xml:space="preserve">gramů výzkumu, vývoje a inovací. </w:t>
      </w:r>
      <w:r w:rsidRPr="00C77525">
        <w:rPr>
          <w:rFonts w:ascii="Arial" w:hAnsi="Arial" w:cs="Arial"/>
        </w:rPr>
        <w:t>Výsledky VaVaI se v ČR významným způsobem promítají do hodnocení výzkumných organizací</w:t>
      </w:r>
      <w:r>
        <w:rPr>
          <w:rFonts w:ascii="Arial" w:hAnsi="Arial" w:cs="Arial"/>
        </w:rPr>
        <w:t>, přičemž o</w:t>
      </w:r>
      <w:r w:rsidRPr="00C77525">
        <w:rPr>
          <w:rFonts w:ascii="Arial" w:hAnsi="Arial" w:cs="Arial"/>
        </w:rPr>
        <w:t xml:space="preserve">d roku 2018 </w:t>
      </w:r>
      <w:r>
        <w:rPr>
          <w:rFonts w:ascii="Arial" w:hAnsi="Arial" w:cs="Arial"/>
        </w:rPr>
        <w:t>provádí RVVI</w:t>
      </w:r>
      <w:r w:rsidRPr="00C77525">
        <w:rPr>
          <w:rFonts w:ascii="Arial" w:hAnsi="Arial" w:cs="Arial"/>
        </w:rPr>
        <w:t xml:space="preserve"> </w:t>
      </w:r>
      <w:r>
        <w:rPr>
          <w:rFonts w:ascii="Arial" w:hAnsi="Arial" w:cs="Arial"/>
        </w:rPr>
        <w:t xml:space="preserve">toto </w:t>
      </w:r>
      <w:r w:rsidRPr="00C77525">
        <w:rPr>
          <w:rFonts w:ascii="Arial" w:hAnsi="Arial" w:cs="Arial"/>
        </w:rPr>
        <w:t xml:space="preserve">hodnocení na národní úrovni dle Metodiky 2017+, které je jednotné pro celý systém </w:t>
      </w:r>
      <w:r>
        <w:rPr>
          <w:rFonts w:ascii="Arial" w:hAnsi="Arial" w:cs="Arial"/>
        </w:rPr>
        <w:t>výzkumu, vývoje a inovací.</w:t>
      </w:r>
    </w:p>
    <w:p w14:paraId="7564D251" w14:textId="77777777" w:rsidR="0050607A" w:rsidRPr="00885DDB" w:rsidRDefault="0050607A" w:rsidP="0050607A">
      <w:pPr>
        <w:pStyle w:val="Obrzek-nadpis"/>
      </w:pPr>
      <w:r w:rsidRPr="00885DDB">
        <w:t>Počty publikačních a nepublikačních výsledků v ČR v letech 2011–2020 a jejich průměrné relativní zastoupení v letech 2011–2015 a 2016–2020</w:t>
      </w:r>
    </w:p>
    <w:p w14:paraId="37E55B59" w14:textId="77777777" w:rsidR="0050607A" w:rsidRPr="00885DDB" w:rsidRDefault="0050607A" w:rsidP="0050607A">
      <w:pPr>
        <w:pStyle w:val="Obrzek"/>
      </w:pPr>
      <w:r w:rsidRPr="009E5634">
        <w:rPr>
          <w:noProof/>
        </w:rPr>
        <w:drawing>
          <wp:inline distT="0" distB="0" distL="0" distR="0" wp14:anchorId="354BBA4C" wp14:editId="3536C51C">
            <wp:extent cx="5645150" cy="2735249"/>
            <wp:effectExtent l="0" t="0" r="0" b="8255"/>
            <wp:docPr id="138" name="Obrázek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6">
                      <a:extLst>
                        <a:ext uri="{28A0092B-C50C-407E-A947-70E740481C1C}">
                          <a14:useLocalDpi xmlns:a14="http://schemas.microsoft.com/office/drawing/2010/main" val="0"/>
                        </a:ext>
                      </a:extLst>
                    </a:blip>
                    <a:srcRect r="7749" b="2607"/>
                    <a:stretch/>
                  </pic:blipFill>
                  <pic:spPr bwMode="auto">
                    <a:xfrm>
                      <a:off x="0" y="0"/>
                      <a:ext cx="5645850" cy="2735588"/>
                    </a:xfrm>
                    <a:prstGeom prst="rect">
                      <a:avLst/>
                    </a:prstGeom>
                    <a:noFill/>
                    <a:ln>
                      <a:noFill/>
                    </a:ln>
                    <a:extLst>
                      <a:ext uri="{53640926-AAD7-44D8-BBD7-CCE9431645EC}">
                        <a14:shadowObscured xmlns:a14="http://schemas.microsoft.com/office/drawing/2010/main"/>
                      </a:ext>
                    </a:extLst>
                  </pic:spPr>
                </pic:pic>
              </a:graphicData>
            </a:graphic>
          </wp:inline>
        </w:drawing>
      </w:r>
    </w:p>
    <w:p w14:paraId="74EE2ACA" w14:textId="77777777" w:rsidR="0050607A" w:rsidRDefault="0050607A" w:rsidP="0050607A">
      <w:pPr>
        <w:pStyle w:val="Zdrojapoznmka"/>
      </w:pPr>
      <w:r w:rsidRPr="00885DDB">
        <w:t xml:space="preserve">Zdroj: IS VaVaI, stav databáze k 30. </w:t>
      </w:r>
      <w:r>
        <w:t>6. 2021</w:t>
      </w:r>
      <w:r w:rsidRPr="00885DDB">
        <w:t>, export dat 31. 7. 2021</w:t>
      </w:r>
    </w:p>
    <w:p w14:paraId="6FEC6FD5" w14:textId="77777777" w:rsidR="0048026B" w:rsidRPr="00FC407A"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bookmarkStart w:id="24" w:name="_Toc427676901"/>
      <w:bookmarkStart w:id="25" w:name="_Toc427676904"/>
      <w:r w:rsidRPr="00FC407A">
        <w:rPr>
          <w:rFonts w:ascii="Arial" w:eastAsia="Times New Roman" w:hAnsi="Arial" w:cs="Arial"/>
          <w:lang w:eastAsia="cs-CZ"/>
        </w:rPr>
        <w:t>V posledních pěti letech je možné sledovat pokles celkového počtu výsledků, i ta</w:t>
      </w:r>
      <w:r>
        <w:rPr>
          <w:rFonts w:ascii="Arial" w:eastAsia="Times New Roman" w:hAnsi="Arial" w:cs="Arial"/>
          <w:lang w:eastAsia="cs-CZ"/>
        </w:rPr>
        <w:t>k</w:t>
      </w:r>
      <w:r w:rsidRPr="00FC407A">
        <w:rPr>
          <w:rFonts w:ascii="Arial" w:eastAsia="Times New Roman" w:hAnsi="Arial" w:cs="Arial"/>
          <w:lang w:eastAsia="cs-CZ"/>
        </w:rPr>
        <w:t xml:space="preserve"> je </w:t>
      </w:r>
      <w:r>
        <w:rPr>
          <w:rFonts w:ascii="Arial" w:eastAsia="Times New Roman" w:hAnsi="Arial" w:cs="Arial"/>
          <w:lang w:eastAsia="cs-CZ"/>
        </w:rPr>
        <w:t xml:space="preserve">ale </w:t>
      </w:r>
      <w:r w:rsidRPr="00FC407A">
        <w:rPr>
          <w:rFonts w:ascii="Arial" w:eastAsia="Times New Roman" w:hAnsi="Arial" w:cs="Arial"/>
          <w:lang w:eastAsia="cs-CZ"/>
        </w:rPr>
        <w:t xml:space="preserve">celkový počet vyprodukovaných výsledků vysoký – mezi lety 2016 až 2020 vznikalo </w:t>
      </w:r>
      <w:r>
        <w:rPr>
          <w:rFonts w:ascii="Arial" w:eastAsia="Times New Roman" w:hAnsi="Arial" w:cs="Arial"/>
          <w:lang w:eastAsia="cs-CZ"/>
        </w:rPr>
        <w:t> </w:t>
      </w:r>
      <w:r w:rsidRPr="00FC407A">
        <w:rPr>
          <w:rFonts w:ascii="Arial" w:eastAsia="Times New Roman" w:hAnsi="Arial" w:cs="Arial"/>
          <w:lang w:eastAsia="cs-CZ"/>
        </w:rPr>
        <w:t>v</w:t>
      </w:r>
      <w:r>
        <w:rPr>
          <w:rFonts w:ascii="Arial" w:eastAsia="Times New Roman" w:hAnsi="Arial" w:cs="Arial"/>
          <w:lang w:eastAsia="cs-CZ"/>
        </w:rPr>
        <w:t> </w:t>
      </w:r>
      <w:r w:rsidRPr="00FC407A">
        <w:rPr>
          <w:rFonts w:ascii="Arial" w:eastAsia="Times New Roman" w:hAnsi="Arial" w:cs="Arial"/>
          <w:lang w:eastAsia="cs-CZ"/>
        </w:rPr>
        <w:t>průměru přes 56 tis. výsledků ročně.</w:t>
      </w:r>
    </w:p>
    <w:p w14:paraId="5C8B204F" w14:textId="77777777" w:rsidR="0048026B" w:rsidRPr="00FC407A"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C805DC">
        <w:rPr>
          <w:rFonts w:ascii="Arial" w:eastAsia="Times New Roman" w:hAnsi="Arial" w:cs="Arial"/>
          <w:lang w:eastAsia="cs-CZ"/>
        </w:rPr>
        <w:t xml:space="preserve">Největší podíl výsledků vzniká v ČR v oborových skupinách FORD Natural, Engineering and Technology a s mírným odstupem v Social Sciences. </w:t>
      </w:r>
      <w:r w:rsidRPr="00FC407A">
        <w:rPr>
          <w:rFonts w:ascii="Arial" w:eastAsia="Times New Roman" w:hAnsi="Arial" w:cs="Arial"/>
          <w:lang w:eastAsia="cs-CZ"/>
        </w:rPr>
        <w:t>Přechod na číselník FORD umožní v budoucnu sledovat tvorbu výsledků dle tohoto členění</w:t>
      </w:r>
      <w:r>
        <w:rPr>
          <w:rFonts w:ascii="Arial" w:eastAsia="Times New Roman" w:hAnsi="Arial" w:cs="Arial"/>
          <w:lang w:eastAsia="cs-CZ"/>
        </w:rPr>
        <w:t>.</w:t>
      </w:r>
      <w:r w:rsidRPr="00FC407A">
        <w:rPr>
          <w:rFonts w:ascii="Arial" w:eastAsia="Times New Roman" w:hAnsi="Arial" w:cs="Arial"/>
          <w:lang w:eastAsia="cs-CZ"/>
        </w:rPr>
        <w:t xml:space="preserve"> </w:t>
      </w:r>
      <w:r>
        <w:rPr>
          <w:rFonts w:ascii="Arial" w:eastAsia="Times New Roman" w:hAnsi="Arial" w:cs="Arial"/>
          <w:lang w:eastAsia="cs-CZ"/>
        </w:rPr>
        <w:t>V</w:t>
      </w:r>
      <w:r w:rsidRPr="00FC407A">
        <w:rPr>
          <w:rFonts w:ascii="Arial" w:eastAsia="Times New Roman" w:hAnsi="Arial" w:cs="Arial"/>
          <w:lang w:eastAsia="cs-CZ"/>
        </w:rPr>
        <w:t xml:space="preserve"> roce 2020 vzniklo nejvíce výsledků v oboru Natural Sciences, </w:t>
      </w:r>
      <w:r>
        <w:rPr>
          <w:rFonts w:ascii="Arial" w:eastAsia="Times New Roman" w:hAnsi="Arial" w:cs="Arial"/>
          <w:lang w:eastAsia="cs-CZ"/>
        </w:rPr>
        <w:t>následovaly</w:t>
      </w:r>
      <w:r w:rsidRPr="00FC407A">
        <w:rPr>
          <w:rFonts w:ascii="Arial" w:eastAsia="Times New Roman" w:hAnsi="Arial" w:cs="Arial"/>
          <w:lang w:eastAsia="cs-CZ"/>
        </w:rPr>
        <w:t xml:space="preserve"> obor</w:t>
      </w:r>
      <w:r>
        <w:rPr>
          <w:rFonts w:ascii="Arial" w:eastAsia="Times New Roman" w:hAnsi="Arial" w:cs="Arial"/>
          <w:lang w:eastAsia="cs-CZ"/>
        </w:rPr>
        <w:t>y</w:t>
      </w:r>
      <w:r w:rsidRPr="00FC407A">
        <w:rPr>
          <w:rFonts w:ascii="Arial" w:eastAsia="Times New Roman" w:hAnsi="Arial" w:cs="Arial"/>
          <w:lang w:eastAsia="cs-CZ"/>
        </w:rPr>
        <w:t xml:space="preserve"> Engineering and Technology a</w:t>
      </w:r>
      <w:r>
        <w:rPr>
          <w:rFonts w:ascii="Arial" w:eastAsia="Times New Roman" w:hAnsi="Arial" w:cs="Arial"/>
          <w:lang w:eastAsia="cs-CZ"/>
        </w:rPr>
        <w:t> </w:t>
      </w:r>
      <w:r w:rsidRPr="00FC407A">
        <w:rPr>
          <w:rFonts w:ascii="Arial" w:eastAsia="Times New Roman" w:hAnsi="Arial" w:cs="Arial"/>
          <w:lang w:eastAsia="cs-CZ"/>
        </w:rPr>
        <w:t>Social Sciences.</w:t>
      </w:r>
    </w:p>
    <w:p w14:paraId="6063601F" w14:textId="77777777" w:rsidR="0048026B" w:rsidRPr="00FC407A"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C407A">
        <w:rPr>
          <w:rFonts w:ascii="Arial" w:eastAsia="Times New Roman" w:hAnsi="Arial" w:cs="Arial"/>
          <w:lang w:eastAsia="cs-CZ"/>
        </w:rPr>
        <w:t>Podíl publikačních výsledků tvořil 76 % – v roce 2020 bylo vytvořeno přes 26 tis. článků v</w:t>
      </w:r>
      <w:r>
        <w:rPr>
          <w:rFonts w:ascii="Arial" w:eastAsia="Times New Roman" w:hAnsi="Arial" w:cs="Arial"/>
          <w:lang w:eastAsia="cs-CZ"/>
        </w:rPr>
        <w:t> </w:t>
      </w:r>
      <w:r w:rsidRPr="00FC407A">
        <w:rPr>
          <w:rFonts w:ascii="Arial" w:eastAsia="Times New Roman" w:hAnsi="Arial" w:cs="Arial"/>
          <w:lang w:eastAsia="cs-CZ"/>
        </w:rPr>
        <w:t>odborn</w:t>
      </w:r>
      <w:r>
        <w:rPr>
          <w:rFonts w:ascii="Arial" w:eastAsia="Times New Roman" w:hAnsi="Arial" w:cs="Arial"/>
          <w:lang w:eastAsia="cs-CZ"/>
        </w:rPr>
        <w:t xml:space="preserve">ých </w:t>
      </w:r>
      <w:r w:rsidRPr="00FC407A">
        <w:rPr>
          <w:rFonts w:ascii="Arial" w:eastAsia="Times New Roman" w:hAnsi="Arial" w:cs="Arial"/>
          <w:lang w:eastAsia="cs-CZ"/>
        </w:rPr>
        <w:t>periodik</w:t>
      </w:r>
      <w:r>
        <w:rPr>
          <w:rFonts w:ascii="Arial" w:eastAsia="Times New Roman" w:hAnsi="Arial" w:cs="Arial"/>
          <w:lang w:eastAsia="cs-CZ"/>
        </w:rPr>
        <w:t>ách.</w:t>
      </w:r>
      <w:r w:rsidRPr="00FC407A">
        <w:rPr>
          <w:rFonts w:ascii="Arial" w:eastAsia="Times New Roman" w:hAnsi="Arial" w:cs="Arial"/>
          <w:lang w:eastAsia="cs-CZ"/>
        </w:rPr>
        <w:t xml:space="preserve"> </w:t>
      </w:r>
      <w:r>
        <w:rPr>
          <w:rFonts w:ascii="Arial" w:eastAsia="Times New Roman" w:hAnsi="Arial" w:cs="Arial"/>
          <w:lang w:eastAsia="cs-CZ"/>
        </w:rPr>
        <w:t>T</w:t>
      </w:r>
      <w:r w:rsidRPr="00FC407A">
        <w:rPr>
          <w:rFonts w:ascii="Arial" w:eastAsia="Times New Roman" w:hAnsi="Arial" w:cs="Arial"/>
          <w:lang w:eastAsia="cs-CZ"/>
        </w:rPr>
        <w:t xml:space="preserve">éměř 80 % z nich vyšlo v časopisech indexovaných </w:t>
      </w:r>
      <w:r>
        <w:rPr>
          <w:rFonts w:ascii="Arial" w:eastAsia="Times New Roman" w:hAnsi="Arial" w:cs="Arial"/>
          <w:lang w:eastAsia="cs-CZ"/>
        </w:rPr>
        <w:br/>
      </w:r>
      <w:r w:rsidRPr="00FC407A">
        <w:rPr>
          <w:rFonts w:ascii="Arial" w:eastAsia="Times New Roman" w:hAnsi="Arial" w:cs="Arial"/>
          <w:lang w:eastAsia="cs-CZ"/>
        </w:rPr>
        <w:t>v databázích Web of Science či Scopus.</w:t>
      </w:r>
    </w:p>
    <w:p w14:paraId="5F6B74E7" w14:textId="77777777" w:rsidR="0048026B" w:rsidRPr="00FC407A"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C805DC">
        <w:rPr>
          <w:rFonts w:ascii="Arial" w:eastAsia="Times New Roman" w:hAnsi="Arial" w:cs="Arial"/>
          <w:lang w:eastAsia="cs-CZ"/>
        </w:rPr>
        <w:lastRenderedPageBreak/>
        <w:t>Dle očekávání mají nejvyšší podíl</w:t>
      </w:r>
      <w:r>
        <w:rPr>
          <w:rFonts w:ascii="Arial" w:eastAsia="Times New Roman" w:hAnsi="Arial" w:cs="Arial"/>
          <w:lang w:eastAsia="cs-CZ"/>
        </w:rPr>
        <w:t xml:space="preserve"> své produkce</w:t>
      </w:r>
      <w:r w:rsidRPr="00C805DC">
        <w:rPr>
          <w:rFonts w:ascii="Arial" w:eastAsia="Times New Roman" w:hAnsi="Arial" w:cs="Arial"/>
          <w:lang w:eastAsia="cs-CZ"/>
        </w:rPr>
        <w:t xml:space="preserve"> článků</w:t>
      </w:r>
      <w:r w:rsidRPr="008834FF">
        <w:rPr>
          <w:rFonts w:ascii="Arial" w:eastAsia="Times New Roman" w:hAnsi="Arial" w:cs="Arial"/>
          <w:lang w:eastAsia="cs-CZ"/>
        </w:rPr>
        <w:t xml:space="preserve"> </w:t>
      </w:r>
      <w:r w:rsidRPr="00C805DC">
        <w:rPr>
          <w:rFonts w:ascii="Arial" w:eastAsia="Times New Roman" w:hAnsi="Arial" w:cs="Arial"/>
          <w:lang w:eastAsia="cs-CZ"/>
        </w:rPr>
        <w:t>v periodikách</w:t>
      </w:r>
      <w:r w:rsidRPr="008834FF">
        <w:rPr>
          <w:rFonts w:ascii="Arial" w:eastAsia="Times New Roman" w:hAnsi="Arial" w:cs="Arial"/>
          <w:lang w:eastAsia="cs-CZ"/>
        </w:rPr>
        <w:t xml:space="preserve"> </w:t>
      </w:r>
      <w:r w:rsidRPr="00C805DC">
        <w:rPr>
          <w:rFonts w:ascii="Arial" w:eastAsia="Times New Roman" w:hAnsi="Arial" w:cs="Arial"/>
          <w:lang w:eastAsia="cs-CZ"/>
        </w:rPr>
        <w:t>indexovaných ve WoS nebo Scopus ústavy AV ČR</w:t>
      </w:r>
      <w:r>
        <w:rPr>
          <w:rFonts w:ascii="Arial" w:eastAsia="Times New Roman" w:hAnsi="Arial" w:cs="Arial"/>
          <w:lang w:eastAsia="cs-CZ"/>
        </w:rPr>
        <w:t xml:space="preserve">, </w:t>
      </w:r>
      <w:r w:rsidRPr="00C805DC">
        <w:rPr>
          <w:rFonts w:ascii="Arial" w:eastAsia="Times New Roman" w:hAnsi="Arial" w:cs="Arial"/>
          <w:lang w:eastAsia="cs-CZ"/>
        </w:rPr>
        <w:t>naopak nejnižší má skupina PF (tj. podniky).</w:t>
      </w:r>
    </w:p>
    <w:p w14:paraId="3870B47C" w14:textId="77777777" w:rsidR="0048026B" w:rsidRPr="00FC407A"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C805DC">
        <w:rPr>
          <w:rFonts w:ascii="Arial" w:eastAsia="Times New Roman" w:hAnsi="Arial" w:cs="Arial"/>
          <w:lang w:eastAsia="cs-CZ"/>
        </w:rPr>
        <w:t>V souvislosti se zavedením Metodiky 17+ klesá produkce výsledků typu D – článek ve sborníku</w:t>
      </w:r>
      <w:r>
        <w:rPr>
          <w:rFonts w:ascii="Arial" w:eastAsia="Times New Roman" w:hAnsi="Arial" w:cs="Arial"/>
          <w:lang w:eastAsia="cs-CZ"/>
        </w:rPr>
        <w:t>.</w:t>
      </w:r>
      <w:r w:rsidRPr="00C805DC">
        <w:rPr>
          <w:rFonts w:ascii="Arial" w:eastAsia="Times New Roman" w:hAnsi="Arial" w:cs="Arial"/>
          <w:lang w:eastAsia="cs-CZ"/>
        </w:rPr>
        <w:t xml:space="preserve"> </w:t>
      </w:r>
      <w:r>
        <w:rPr>
          <w:rFonts w:ascii="Arial" w:eastAsia="Times New Roman" w:hAnsi="Arial" w:cs="Arial"/>
          <w:lang w:eastAsia="cs-CZ"/>
        </w:rPr>
        <w:t>P</w:t>
      </w:r>
      <w:r w:rsidRPr="00C805DC">
        <w:rPr>
          <w:rFonts w:ascii="Arial" w:eastAsia="Times New Roman" w:hAnsi="Arial" w:cs="Arial"/>
          <w:lang w:eastAsia="cs-CZ"/>
        </w:rPr>
        <w:t>okles produkce výsledků je možné sledovat také u tzv. nepublikačních výsledků, a to především u výsledků druhu V – výzkumná zpráva a N – certifikovaná metodika, léčebný postup, specializovaná mapa.</w:t>
      </w:r>
    </w:p>
    <w:p w14:paraId="56C8C878" w14:textId="77777777" w:rsidR="0048026B" w:rsidRPr="00FC407A"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C407A">
        <w:rPr>
          <w:rFonts w:ascii="Arial" w:eastAsia="Times New Roman" w:hAnsi="Arial" w:cs="Arial"/>
          <w:lang w:eastAsia="cs-CZ"/>
        </w:rPr>
        <w:t xml:space="preserve">Dlouhodobě je bohužel </w:t>
      </w:r>
      <w:r>
        <w:rPr>
          <w:rFonts w:ascii="Arial" w:eastAsia="Times New Roman" w:hAnsi="Arial" w:cs="Arial"/>
          <w:lang w:eastAsia="cs-CZ"/>
        </w:rPr>
        <w:t>možné pozorovat</w:t>
      </w:r>
      <w:r w:rsidRPr="00FC407A">
        <w:rPr>
          <w:rFonts w:ascii="Arial" w:eastAsia="Times New Roman" w:hAnsi="Arial" w:cs="Arial"/>
          <w:lang w:eastAsia="cs-CZ"/>
        </w:rPr>
        <w:t xml:space="preserve"> nízký podíl nepublikačních výsledků na celkovém počtu výsledků</w:t>
      </w:r>
      <w:r>
        <w:rPr>
          <w:rFonts w:ascii="Arial" w:eastAsia="Times New Roman" w:hAnsi="Arial" w:cs="Arial"/>
          <w:lang w:eastAsia="cs-CZ"/>
        </w:rPr>
        <w:t>. I</w:t>
      </w:r>
      <w:r w:rsidRPr="00FC407A">
        <w:rPr>
          <w:rFonts w:ascii="Arial" w:eastAsia="Times New Roman" w:hAnsi="Arial" w:cs="Arial"/>
          <w:lang w:eastAsia="cs-CZ"/>
        </w:rPr>
        <w:t xml:space="preserve"> přes v minulosti rostoucí vývoj počtu patentů byl podíl výsledků se zvláštní právní ochranou, tj. konkrétně patentů (druh P)</w:t>
      </w:r>
      <w:r>
        <w:rPr>
          <w:rFonts w:ascii="Arial" w:eastAsia="Times New Roman" w:hAnsi="Arial" w:cs="Arial"/>
          <w:lang w:eastAsia="cs-CZ"/>
        </w:rPr>
        <w:t>,</w:t>
      </w:r>
      <w:r w:rsidRPr="00FC407A">
        <w:rPr>
          <w:rFonts w:ascii="Arial" w:eastAsia="Times New Roman" w:hAnsi="Arial" w:cs="Arial"/>
          <w:lang w:eastAsia="cs-CZ"/>
        </w:rPr>
        <w:t xml:space="preserve"> ve sledovaném období 2011–2020 velmi nízký.</w:t>
      </w:r>
    </w:p>
    <w:p w14:paraId="6FBF921C" w14:textId="77777777" w:rsidR="0048026B" w:rsidRPr="00FC407A"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C805DC">
        <w:rPr>
          <w:rFonts w:ascii="Arial" w:eastAsia="Times New Roman" w:hAnsi="Arial" w:cs="Arial"/>
          <w:lang w:eastAsia="cs-CZ"/>
        </w:rPr>
        <w:t>Největším producentem nepublikačních aplikovaných výsledků jsou vysoké školy, a to především díky produkci výsledků druhu V – výzkumná zpráva. Druhým největším producentem jsou subjekty PF (čili převážně podniky)</w:t>
      </w:r>
      <w:r>
        <w:rPr>
          <w:rFonts w:ascii="Arial" w:eastAsia="Times New Roman" w:hAnsi="Arial" w:cs="Arial"/>
          <w:lang w:eastAsia="cs-CZ"/>
        </w:rPr>
        <w:t>.</w:t>
      </w:r>
      <w:r w:rsidRPr="00C805DC">
        <w:rPr>
          <w:rFonts w:ascii="Arial" w:eastAsia="Times New Roman" w:hAnsi="Arial" w:cs="Arial"/>
          <w:lang w:eastAsia="cs-CZ"/>
        </w:rPr>
        <w:t xml:space="preserve"> </w:t>
      </w:r>
      <w:r>
        <w:rPr>
          <w:rFonts w:ascii="Arial" w:eastAsia="Times New Roman" w:hAnsi="Arial" w:cs="Arial"/>
          <w:lang w:eastAsia="cs-CZ"/>
        </w:rPr>
        <w:t>T</w:t>
      </w:r>
      <w:r w:rsidRPr="00C805DC">
        <w:rPr>
          <w:rFonts w:ascii="Arial" w:eastAsia="Times New Roman" w:hAnsi="Arial" w:cs="Arial"/>
          <w:lang w:eastAsia="cs-CZ"/>
        </w:rPr>
        <w:t>y se nejvíce soustředily na produkci výsledků typu G</w:t>
      </w:r>
      <w:r>
        <w:rPr>
          <w:rFonts w:ascii="Arial" w:eastAsia="Times New Roman" w:hAnsi="Arial" w:cs="Arial"/>
          <w:lang w:eastAsia="cs-CZ"/>
        </w:rPr>
        <w:t> </w:t>
      </w:r>
      <w:r w:rsidRPr="00C805DC">
        <w:rPr>
          <w:rFonts w:ascii="Arial" w:eastAsia="Times New Roman" w:hAnsi="Arial" w:cs="Arial"/>
          <w:lang w:eastAsia="cs-CZ"/>
        </w:rPr>
        <w:t>– prototyp a funkční vzorek. Ústavy AV ČR</w:t>
      </w:r>
      <w:r w:rsidRPr="008834FF">
        <w:rPr>
          <w:rFonts w:ascii="Arial" w:eastAsia="Times New Roman" w:hAnsi="Arial" w:cs="Arial"/>
          <w:lang w:eastAsia="cs-CZ"/>
        </w:rPr>
        <w:t xml:space="preserve"> </w:t>
      </w:r>
      <w:r w:rsidRPr="00C805DC">
        <w:rPr>
          <w:rFonts w:ascii="Arial" w:eastAsia="Times New Roman" w:hAnsi="Arial" w:cs="Arial"/>
          <w:lang w:eastAsia="cs-CZ"/>
        </w:rPr>
        <w:t>vytvořily v absolutní hodnotě nejméně nepublikačních aplikovaných výsledků</w:t>
      </w:r>
      <w:r>
        <w:rPr>
          <w:rFonts w:ascii="Arial" w:eastAsia="Times New Roman" w:hAnsi="Arial" w:cs="Arial"/>
          <w:lang w:eastAsia="cs-CZ"/>
        </w:rPr>
        <w:t>.</w:t>
      </w:r>
      <w:r w:rsidRPr="00C805DC">
        <w:rPr>
          <w:rFonts w:ascii="Arial" w:eastAsia="Times New Roman" w:hAnsi="Arial" w:cs="Arial"/>
          <w:lang w:eastAsia="cs-CZ"/>
        </w:rPr>
        <w:t xml:space="preserve"> </w:t>
      </w:r>
      <w:r>
        <w:rPr>
          <w:rFonts w:ascii="Arial" w:eastAsia="Times New Roman" w:hAnsi="Arial" w:cs="Arial"/>
          <w:lang w:eastAsia="cs-CZ"/>
        </w:rPr>
        <w:t>S</w:t>
      </w:r>
      <w:r w:rsidRPr="00C805DC">
        <w:rPr>
          <w:rFonts w:ascii="Arial" w:eastAsia="Times New Roman" w:hAnsi="Arial" w:cs="Arial"/>
          <w:lang w:eastAsia="cs-CZ"/>
        </w:rPr>
        <w:t>vou produkci soustředily do dvou typů výsledků: G – prototyp, funkční vzorek (28 %), P – patent (20 %).</w:t>
      </w:r>
    </w:p>
    <w:p w14:paraId="2355394E" w14:textId="77777777" w:rsidR="0048026B" w:rsidRPr="00FC407A"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C805DC">
        <w:rPr>
          <w:rFonts w:ascii="Arial" w:eastAsia="Times New Roman" w:hAnsi="Arial" w:cs="Arial"/>
          <w:lang w:eastAsia="cs-CZ"/>
        </w:rPr>
        <w:t>Je patrné, že dlouhodobě nejvyšší podíl nepublikačních výsledků je v ČR v oborových skupinách Agricultural Sciences a Engineering and Technology, naopak ve skupinách Natural Sciences a Medical an</w:t>
      </w:r>
      <w:r w:rsidR="00837D99">
        <w:rPr>
          <w:rFonts w:ascii="Arial" w:eastAsia="Times New Roman" w:hAnsi="Arial" w:cs="Arial"/>
          <w:lang w:eastAsia="cs-CZ"/>
        </w:rPr>
        <w:t>d Health Sciences byl zaznamenán</w:t>
      </w:r>
      <w:r w:rsidRPr="00C805DC">
        <w:rPr>
          <w:rFonts w:ascii="Arial" w:eastAsia="Times New Roman" w:hAnsi="Arial" w:cs="Arial"/>
          <w:lang w:eastAsia="cs-CZ"/>
        </w:rPr>
        <w:t xml:space="preserve"> tento podíl nejnižší.</w:t>
      </w:r>
    </w:p>
    <w:p w14:paraId="17842600" w14:textId="77777777" w:rsidR="0048026B" w:rsidRPr="00FC407A"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C407A">
        <w:rPr>
          <w:rFonts w:ascii="Arial" w:eastAsia="Times New Roman" w:hAnsi="Arial" w:cs="Arial"/>
          <w:lang w:eastAsia="cs-CZ"/>
        </w:rPr>
        <w:t>Při hodnocení kvality publikací je užitečné sledovat</w:t>
      </w:r>
      <w:r>
        <w:rPr>
          <w:rFonts w:ascii="Arial" w:eastAsia="Times New Roman" w:hAnsi="Arial" w:cs="Arial"/>
          <w:lang w:eastAsia="cs-CZ"/>
        </w:rPr>
        <w:t xml:space="preserve"> i</w:t>
      </w:r>
      <w:r w:rsidRPr="00FC407A">
        <w:rPr>
          <w:rFonts w:ascii="Arial" w:eastAsia="Times New Roman" w:hAnsi="Arial" w:cs="Arial"/>
          <w:lang w:eastAsia="cs-CZ"/>
        </w:rPr>
        <w:t xml:space="preserve"> strukturu publikací z hlediska citačního ohlasu periodik a s ní související publikační strategii, která se může oborově lišit. </w:t>
      </w:r>
      <w:r w:rsidRPr="00C805DC">
        <w:rPr>
          <w:rFonts w:ascii="Arial" w:eastAsia="Times New Roman" w:hAnsi="Arial" w:cs="Arial"/>
          <w:lang w:eastAsia="cs-CZ"/>
        </w:rPr>
        <w:t>Ukazuje se, že ve všech šesti skupinách oborů došlo k nárůstu počtu časopisů, ve kterých čeští autoři publikovali. Ve všech skupinách kromě Social Sciences vzrostl i podíl časopisů řazených dle AIS do 1. kvartilu (Q1). Počet českých časopisů (CZE) se téměř neměnil – jsou zaznamenány pouze nárůsty v řádu jednotek, navíc většina časopisů spadá do dvou spodních kvartilů (Q3 a Q4).</w:t>
      </w:r>
    </w:p>
    <w:p w14:paraId="43B29E79" w14:textId="77777777" w:rsidR="0048026B" w:rsidRPr="00FC407A"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C407A">
        <w:rPr>
          <w:rFonts w:ascii="Arial" w:eastAsia="Times New Roman" w:hAnsi="Arial" w:cs="Arial"/>
          <w:lang w:eastAsia="cs-CZ"/>
        </w:rPr>
        <w:t>Z mezinárodního srovnání vývoje normalizovaného citačního indexu pro jednotlivé oborové skupiny je patrné, že ČR patří ke státům zaostávajícím za průměrem EU15</w:t>
      </w:r>
      <w:r>
        <w:rPr>
          <w:rFonts w:ascii="Arial" w:eastAsia="Times New Roman" w:hAnsi="Arial" w:cs="Arial"/>
          <w:lang w:eastAsia="cs-CZ"/>
        </w:rPr>
        <w:t>.</w:t>
      </w:r>
      <w:r w:rsidR="004D7B78">
        <w:rPr>
          <w:rFonts w:ascii="Arial" w:eastAsia="Times New Roman" w:hAnsi="Arial" w:cs="Arial"/>
          <w:lang w:eastAsia="cs-CZ"/>
        </w:rPr>
        <w:t xml:space="preserve"> </w:t>
      </w:r>
      <w:r>
        <w:rPr>
          <w:rFonts w:ascii="Arial" w:eastAsia="Times New Roman" w:hAnsi="Arial" w:cs="Arial"/>
          <w:lang w:eastAsia="cs-CZ"/>
        </w:rPr>
        <w:t>P</w:t>
      </w:r>
      <w:r w:rsidRPr="00FC407A">
        <w:rPr>
          <w:rFonts w:ascii="Arial" w:eastAsia="Times New Roman" w:hAnsi="Arial" w:cs="Arial"/>
          <w:lang w:eastAsia="cs-CZ"/>
        </w:rPr>
        <w:t xml:space="preserve">ouze v případě skupiny Medical and Health Sciences překročila ČR průměr EU15. Z pohledu vývoje NCI si ČR </w:t>
      </w:r>
      <w:r>
        <w:rPr>
          <w:rFonts w:ascii="Arial" w:eastAsia="Times New Roman" w:hAnsi="Arial" w:cs="Arial"/>
          <w:lang w:eastAsia="cs-CZ"/>
        </w:rPr>
        <w:t xml:space="preserve">v </w:t>
      </w:r>
      <w:r w:rsidRPr="00FC407A">
        <w:rPr>
          <w:rFonts w:ascii="Arial" w:eastAsia="Times New Roman" w:hAnsi="Arial" w:cs="Arial"/>
          <w:lang w:eastAsia="cs-CZ"/>
        </w:rPr>
        <w:t>oborové skupině Social Sciences pohoršila. K vysoké citovanosti může přispívat</w:t>
      </w:r>
      <w:r>
        <w:rPr>
          <w:rFonts w:ascii="Arial" w:eastAsia="Times New Roman" w:hAnsi="Arial" w:cs="Arial"/>
          <w:lang w:eastAsia="cs-CZ"/>
        </w:rPr>
        <w:t xml:space="preserve"> také</w:t>
      </w:r>
      <w:r w:rsidRPr="00FC407A">
        <w:rPr>
          <w:rFonts w:ascii="Arial" w:eastAsia="Times New Roman" w:hAnsi="Arial" w:cs="Arial"/>
          <w:lang w:eastAsia="cs-CZ"/>
        </w:rPr>
        <w:t xml:space="preserve"> členství vědeckých pracovníků v mezinárodních konsorciích, což lze sledovat právě u oborů ze skupiny Medical and Health Sciences</w:t>
      </w:r>
      <w:r>
        <w:rPr>
          <w:rFonts w:ascii="Arial" w:eastAsia="Times New Roman" w:hAnsi="Arial" w:cs="Arial"/>
          <w:lang w:eastAsia="cs-CZ"/>
        </w:rPr>
        <w:t>.</w:t>
      </w:r>
      <w:r w:rsidRPr="00FC407A">
        <w:rPr>
          <w:rFonts w:ascii="Arial" w:eastAsia="Times New Roman" w:hAnsi="Arial" w:cs="Arial"/>
          <w:lang w:eastAsia="cs-CZ"/>
        </w:rPr>
        <w:t xml:space="preserve"> </w:t>
      </w:r>
      <w:r>
        <w:rPr>
          <w:rFonts w:ascii="Arial" w:eastAsia="Times New Roman" w:hAnsi="Arial" w:cs="Arial"/>
          <w:lang w:eastAsia="cs-CZ"/>
        </w:rPr>
        <w:t>T</w:t>
      </w:r>
      <w:r w:rsidRPr="00FC407A">
        <w:rPr>
          <w:rFonts w:ascii="Arial" w:eastAsia="Times New Roman" w:hAnsi="Arial" w:cs="Arial"/>
          <w:lang w:eastAsia="cs-CZ"/>
        </w:rPr>
        <w:t>ypicky se jedná o publikace s 30 a více autory.</w:t>
      </w:r>
    </w:p>
    <w:p w14:paraId="367664F2" w14:textId="77777777" w:rsidR="0048026B"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FC407A">
        <w:rPr>
          <w:rFonts w:ascii="Arial" w:eastAsia="Times New Roman" w:hAnsi="Arial" w:cs="Arial"/>
          <w:lang w:eastAsia="cs-CZ"/>
        </w:rPr>
        <w:t>Míra publikování s mezinárodní účastí se ve všech oborových skupinách pohybovala nad průměrem EU15. Nejvyšší míra spolupráce českých autorů byla v oborové skupině Natural Sciences, což koresponduje se zjištěním, že tato oborová skupina má největší počet článků s</w:t>
      </w:r>
      <w:r w:rsidR="00435C1A">
        <w:rPr>
          <w:rFonts w:ascii="Arial" w:eastAsia="Times New Roman" w:hAnsi="Arial" w:cs="Arial"/>
          <w:lang w:eastAsia="cs-CZ"/>
        </w:rPr>
        <w:t> </w:t>
      </w:r>
      <w:r w:rsidRPr="00FC407A">
        <w:rPr>
          <w:rFonts w:ascii="Arial" w:eastAsia="Times New Roman" w:hAnsi="Arial" w:cs="Arial"/>
          <w:lang w:eastAsia="cs-CZ"/>
        </w:rPr>
        <w:t>množstvím autorů nad 100 a více.</w:t>
      </w:r>
    </w:p>
    <w:p w14:paraId="770B5B59" w14:textId="77777777" w:rsidR="00BD32CB" w:rsidRDefault="00BD32CB" w:rsidP="00BD32CB">
      <w:pPr>
        <w:spacing w:after="0" w:line="360" w:lineRule="auto"/>
        <w:ind w:firstLine="709"/>
        <w:jc w:val="both"/>
        <w:rPr>
          <w:rFonts w:ascii="Arial" w:hAnsi="Arial" w:cs="Arial"/>
        </w:rPr>
        <w:sectPr w:rsidR="00BD32CB" w:rsidSect="00390539">
          <w:pgSz w:w="11906" w:h="16838"/>
          <w:pgMar w:top="1134" w:right="1134" w:bottom="1134" w:left="1134" w:header="709" w:footer="709" w:gutter="0"/>
          <w:cols w:space="708"/>
          <w:docGrid w:linePitch="360"/>
        </w:sectPr>
      </w:pPr>
      <w:r>
        <w:rPr>
          <w:rFonts w:ascii="Arial" w:hAnsi="Arial" w:cs="Arial"/>
        </w:rPr>
        <w:t>.</w:t>
      </w:r>
    </w:p>
    <w:p w14:paraId="09BC5175" w14:textId="77777777" w:rsidR="00BD32CB" w:rsidRPr="00B15058" w:rsidRDefault="00BD32CB" w:rsidP="00BD32CB">
      <w:pPr>
        <w:keepNext/>
        <w:spacing w:before="120" w:after="240" w:line="240" w:lineRule="auto"/>
        <w:jc w:val="both"/>
        <w:rPr>
          <w:rFonts w:ascii="Arial" w:eastAsia="Times New Roman" w:hAnsi="Arial" w:cs="Times New Roman"/>
          <w:b/>
          <w:szCs w:val="24"/>
          <w:lang w:eastAsia="cs-CZ"/>
        </w:rPr>
      </w:pPr>
      <w:r w:rsidRPr="00B15058">
        <w:rPr>
          <w:rFonts w:ascii="Arial" w:hAnsi="Arial" w:cs="Arial"/>
          <w:noProof/>
          <w:lang w:eastAsia="cs-CZ"/>
        </w:rPr>
        <w:lastRenderedPageBreak/>
        <w:drawing>
          <wp:anchor distT="0" distB="0" distL="114300" distR="114300" simplePos="0" relativeHeight="251857920" behindDoc="1" locked="0" layoutInCell="1" allowOverlap="1" wp14:anchorId="1134924D" wp14:editId="28DD4042">
            <wp:simplePos x="0" y="0"/>
            <wp:positionH relativeFrom="column">
              <wp:posOffset>4631271</wp:posOffset>
            </wp:positionH>
            <wp:positionV relativeFrom="paragraph">
              <wp:posOffset>356276</wp:posOffset>
            </wp:positionV>
            <wp:extent cx="4413290" cy="5040000"/>
            <wp:effectExtent l="0" t="0" r="6350" b="8255"/>
            <wp:wrapNone/>
            <wp:docPr id="236" name="Obrázek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13290" cy="5040000"/>
                    </a:xfrm>
                    <a:prstGeom prst="rect">
                      <a:avLst/>
                    </a:prstGeom>
                    <a:noFill/>
                  </pic:spPr>
                </pic:pic>
              </a:graphicData>
            </a:graphic>
            <wp14:sizeRelH relativeFrom="margin">
              <wp14:pctWidth>0</wp14:pctWidth>
            </wp14:sizeRelH>
            <wp14:sizeRelV relativeFrom="margin">
              <wp14:pctHeight>0</wp14:pctHeight>
            </wp14:sizeRelV>
          </wp:anchor>
        </w:drawing>
      </w:r>
      <w:r w:rsidRPr="00B15058">
        <w:rPr>
          <w:rFonts w:ascii="Arial" w:hAnsi="Arial" w:cs="Arial"/>
          <w:noProof/>
          <w:lang w:eastAsia="cs-CZ"/>
        </w:rPr>
        <w:drawing>
          <wp:anchor distT="0" distB="0" distL="114300" distR="114300" simplePos="0" relativeHeight="251858944" behindDoc="1" locked="0" layoutInCell="1" allowOverlap="1" wp14:anchorId="4AF6E4DD" wp14:editId="7CB6D7A9">
            <wp:simplePos x="0" y="0"/>
            <wp:positionH relativeFrom="margin">
              <wp:posOffset>7263454</wp:posOffset>
            </wp:positionH>
            <wp:positionV relativeFrom="paragraph">
              <wp:posOffset>212210</wp:posOffset>
            </wp:positionV>
            <wp:extent cx="2037462" cy="1940118"/>
            <wp:effectExtent l="0" t="0" r="1270" b="3175"/>
            <wp:wrapNone/>
            <wp:docPr id="237" name="Obrázek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037462" cy="1940118"/>
                    </a:xfrm>
                    <a:prstGeom prst="rect">
                      <a:avLst/>
                    </a:prstGeom>
                    <a:noFill/>
                  </pic:spPr>
                </pic:pic>
              </a:graphicData>
            </a:graphic>
            <wp14:sizeRelH relativeFrom="margin">
              <wp14:pctWidth>0</wp14:pctWidth>
            </wp14:sizeRelH>
            <wp14:sizeRelV relativeFrom="margin">
              <wp14:pctHeight>0</wp14:pctHeight>
            </wp14:sizeRelV>
          </wp:anchor>
        </w:drawing>
      </w:r>
      <w:r w:rsidRPr="00B15058">
        <w:rPr>
          <w:rFonts w:ascii="Arial" w:eastAsia="Times New Roman" w:hAnsi="Arial" w:cs="Times New Roman"/>
          <w:b/>
          <w:szCs w:val="24"/>
          <w:lang w:eastAsia="cs-CZ"/>
        </w:rPr>
        <w:t>Počty publikací českých autorů ve WoS v oborech a jejich citovanost</w:t>
      </w:r>
    </w:p>
    <w:p w14:paraId="188DAD2E" w14:textId="77777777" w:rsidR="00BD32CB" w:rsidRPr="00B15058" w:rsidRDefault="00BD32CB" w:rsidP="00BD32CB">
      <w:pPr>
        <w:spacing w:after="0" w:line="360" w:lineRule="auto"/>
        <w:ind w:firstLine="709"/>
        <w:jc w:val="both"/>
        <w:rPr>
          <w:rFonts w:ascii="Arial" w:hAnsi="Arial" w:cs="Arial"/>
        </w:rPr>
      </w:pPr>
      <w:r w:rsidRPr="00B15058">
        <w:rPr>
          <w:rFonts w:ascii="Arial" w:hAnsi="Arial" w:cs="Arial"/>
          <w:noProof/>
          <w:lang w:eastAsia="cs-CZ"/>
        </w:rPr>
        <w:drawing>
          <wp:inline distT="0" distB="0" distL="0" distR="0" wp14:anchorId="0D7C6562" wp14:editId="784A2528">
            <wp:extent cx="4369248" cy="5040000"/>
            <wp:effectExtent l="0" t="0" r="0" b="0"/>
            <wp:docPr id="248" name="Obrázek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69248" cy="5040000"/>
                    </a:xfrm>
                    <a:prstGeom prst="rect">
                      <a:avLst/>
                    </a:prstGeom>
                    <a:noFill/>
                  </pic:spPr>
                </pic:pic>
              </a:graphicData>
            </a:graphic>
          </wp:inline>
        </w:drawing>
      </w:r>
    </w:p>
    <w:p w14:paraId="0E396F9E" w14:textId="77777777" w:rsidR="00BD32CB" w:rsidRDefault="00BD32CB" w:rsidP="00BD32CB">
      <w:pPr>
        <w:pStyle w:val="Zdrojapoznmka"/>
        <w:rPr>
          <w:rFonts w:cs="Arial"/>
        </w:rPr>
      </w:pPr>
      <w:r w:rsidRPr="00B15058">
        <w:t>Zdroj: WoS, zařazeny jsou publikace typu article a review za období 2016–2020 v periodikách WoS Core, oborové členění dle OECD (Frascati Manual) | Započteny jsou publikace, u nichž má alespoň jeden z autorů v adrese uvedeno „Czech“ (není zohledněno spoluautorství). Na obrázku vlevo jsou zařazeny skupiny oborů, u nichž bylo v databázi alespoň 1 500 publikací za sledované období. Horizontální osa: Index změny v počtu publikací v letech 2016 a 2020: (2020–2016)/2016 v %. | Vertikální osa: Normalized Citation Impact k datu 30. 6. 2021 (normalizováno na úrovni jednotlivých oborů s následnou agregací indexu; v případě, že publikace náleží k více oborům, je použit aritmetický průměr); hodnota y = 1 odpovídá přibližně světovému průměru. Plocha bublin vyjadřuje počet publikací za období 2016–2020.</w:t>
      </w:r>
    </w:p>
    <w:p w14:paraId="4C7BB2D3" w14:textId="77777777" w:rsidR="00BD32CB" w:rsidRDefault="00BD32CB" w:rsidP="00BD32CB">
      <w:pPr>
        <w:spacing w:after="0" w:line="360" w:lineRule="auto"/>
        <w:ind w:firstLine="709"/>
        <w:jc w:val="both"/>
        <w:rPr>
          <w:rFonts w:ascii="Arial" w:hAnsi="Arial" w:cs="Arial"/>
        </w:rPr>
        <w:sectPr w:rsidR="00BD32CB" w:rsidSect="00EB6A62">
          <w:pgSz w:w="16838" w:h="11906" w:orient="landscape"/>
          <w:pgMar w:top="720" w:right="720" w:bottom="720" w:left="720" w:header="709" w:footer="709" w:gutter="0"/>
          <w:cols w:space="708"/>
          <w:docGrid w:linePitch="360"/>
        </w:sectPr>
      </w:pPr>
    </w:p>
    <w:p w14:paraId="43075D48" w14:textId="77777777" w:rsidR="0048026B" w:rsidRPr="00EB1CDE"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EB1CDE">
        <w:rPr>
          <w:rFonts w:ascii="Arial" w:eastAsia="Times New Roman" w:hAnsi="Arial" w:cs="Arial"/>
          <w:lang w:eastAsia="cs-CZ"/>
        </w:rPr>
        <w:lastRenderedPageBreak/>
        <w:t>V posledních letech došlo ke zvýšení podílu kvalitních publikací vytvořených v mezinárodním kolektivu autorů oproti výhradně českým publikacím. Příznivá je struktura zemí, se kterými čeští vědci v rámci publikační činnosti spolupracují. Největší počet mezinárodních publikací vytvořili v letech 2016–2020 čeští autoři ve spolupráci s autory z Německa, následovala spolupráce s kolegy z USA a Velké Británie. V případě spolupráce českých autorů s kolegy ze Španělska dochází k publikaci článků, které mají relativně vysoký NCI (tj. mezi 3–4). Nejméně věhlasné publikace z pohledu NCI vznikají ve spolupráci s kolegy ze Slovenska.</w:t>
      </w:r>
    </w:p>
    <w:p w14:paraId="0C925C24" w14:textId="77777777" w:rsidR="0048026B" w:rsidRPr="00BD32CB"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EB1CDE">
        <w:rPr>
          <w:rFonts w:ascii="Arial" w:hAnsi="Arial" w:cs="Arial"/>
        </w:rPr>
        <w:t>Počet poskytovatelů patentových licencí, stejně jako počet udělených licencí roste – zvyšující se zájem o patentování výsledků v ČR lze vnímat jako pozitivní trend, který by měl být v ideálním případě doprovázen zvyšujícími se příjmy z licenčních poplatků.</w:t>
      </w:r>
    </w:p>
    <w:p w14:paraId="65E58168" w14:textId="77777777" w:rsidR="00BD32CB" w:rsidRPr="00062ADD" w:rsidRDefault="00BD32CB" w:rsidP="00BD32CB">
      <w:pPr>
        <w:pStyle w:val="Obrzek-nadpis"/>
      </w:pPr>
      <w:r w:rsidRPr="00062ADD">
        <w:t>Počet poskytovatelů patentových licencí a výše přijatých licenčních poplatků (mil. Kč)</w:t>
      </w:r>
    </w:p>
    <w:p w14:paraId="30A252B1" w14:textId="77777777" w:rsidR="00BD32CB" w:rsidRPr="00062ADD" w:rsidRDefault="00BD32CB" w:rsidP="00BD32CB">
      <w:pPr>
        <w:pStyle w:val="Odstavecseseznamem"/>
        <w:spacing w:after="0" w:line="360" w:lineRule="auto"/>
        <w:jc w:val="center"/>
        <w:rPr>
          <w:noProof/>
          <w:lang w:eastAsia="cs-CZ"/>
        </w:rPr>
      </w:pPr>
      <w:r w:rsidRPr="00062ADD">
        <w:rPr>
          <w:noProof/>
          <w:lang w:eastAsia="cs-CZ"/>
        </w:rPr>
        <w:drawing>
          <wp:inline distT="0" distB="0" distL="0" distR="0" wp14:anchorId="4F807773" wp14:editId="0E7363CD">
            <wp:extent cx="4337974" cy="2422992"/>
            <wp:effectExtent l="0" t="0" r="0" b="0"/>
            <wp:docPr id="720" name="Obrázek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0">
                      <a:extLst>
                        <a:ext uri="{28A0092B-C50C-407E-A947-70E740481C1C}">
                          <a14:useLocalDpi xmlns:a14="http://schemas.microsoft.com/office/drawing/2010/main" val="0"/>
                        </a:ext>
                      </a:extLst>
                    </a:blip>
                    <a:srcRect l="10485" t="3027" r="14170" b="2534"/>
                    <a:stretch/>
                  </pic:blipFill>
                  <pic:spPr bwMode="auto">
                    <a:xfrm>
                      <a:off x="0" y="0"/>
                      <a:ext cx="4340359" cy="2424324"/>
                    </a:xfrm>
                    <a:prstGeom prst="rect">
                      <a:avLst/>
                    </a:prstGeom>
                    <a:noFill/>
                    <a:ln>
                      <a:noFill/>
                    </a:ln>
                    <a:extLst>
                      <a:ext uri="{53640926-AAD7-44D8-BBD7-CCE9431645EC}">
                        <a14:shadowObscured xmlns:a14="http://schemas.microsoft.com/office/drawing/2010/main"/>
                      </a:ext>
                    </a:extLst>
                  </pic:spPr>
                </pic:pic>
              </a:graphicData>
            </a:graphic>
          </wp:inline>
        </w:drawing>
      </w:r>
    </w:p>
    <w:p w14:paraId="5E4B16F5" w14:textId="77777777" w:rsidR="00BD32CB" w:rsidRPr="00581E96" w:rsidRDefault="00BD32CB" w:rsidP="00BD32CB">
      <w:pPr>
        <w:pStyle w:val="Zdrojapoznmka"/>
      </w:pPr>
      <w:r w:rsidRPr="00062ADD">
        <w:t>Zdroj: ČSÚ, vlastní zpracování</w:t>
      </w:r>
    </w:p>
    <w:p w14:paraId="01BC99DD" w14:textId="77777777" w:rsidR="0048026B" w:rsidRPr="00EB1CDE"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pPr>
      <w:r w:rsidRPr="00EB1CDE">
        <w:rPr>
          <w:rFonts w:ascii="Arial" w:hAnsi="Arial" w:cs="Arial"/>
        </w:rPr>
        <w:t>Ukazuje se, že významný počet poskytovatelů licencí 39 z 85 (tj. 46 %), měl v roce 2020 nulové přijaté licenční poplatky.</w:t>
      </w:r>
    </w:p>
    <w:p w14:paraId="3B675321" w14:textId="77777777" w:rsidR="0048026B" w:rsidRDefault="0048026B" w:rsidP="00BD32CB">
      <w:pPr>
        <w:pStyle w:val="Odstavecseseznamem"/>
        <w:numPr>
          <w:ilvl w:val="0"/>
          <w:numId w:val="3"/>
        </w:numPr>
        <w:spacing w:after="0" w:line="360" w:lineRule="auto"/>
        <w:ind w:left="426" w:hanging="426"/>
        <w:jc w:val="both"/>
        <w:rPr>
          <w:rFonts w:ascii="Arial" w:eastAsia="Times New Roman" w:hAnsi="Arial" w:cs="Arial"/>
          <w:lang w:eastAsia="cs-CZ"/>
        </w:rPr>
        <w:sectPr w:rsidR="0048026B" w:rsidSect="00390539">
          <w:headerReference w:type="first" r:id="rId41"/>
          <w:footerReference w:type="first" r:id="rId42"/>
          <w:pgSz w:w="11906" w:h="16838"/>
          <w:pgMar w:top="1134" w:right="1134" w:bottom="1134" w:left="1134" w:header="709" w:footer="709" w:gutter="0"/>
          <w:cols w:space="708"/>
          <w:docGrid w:linePitch="360"/>
        </w:sectPr>
      </w:pPr>
      <w:r w:rsidRPr="00580BDD">
        <w:rPr>
          <w:rFonts w:ascii="Arial" w:eastAsia="Times New Roman" w:hAnsi="Arial" w:cs="Arial"/>
          <w:lang w:eastAsia="cs-CZ"/>
        </w:rPr>
        <w:t>V posledních 10 letech dochází k výraznému zvýšení patentové aktivity českých vynálezců oproti předchozímu období.</w:t>
      </w:r>
      <w:r w:rsidRPr="00580BDD">
        <w:t xml:space="preserve"> </w:t>
      </w:r>
      <w:r w:rsidRPr="00580BDD">
        <w:rPr>
          <w:rFonts w:ascii="Arial" w:eastAsia="Times New Roman" w:hAnsi="Arial" w:cs="Arial"/>
          <w:lang w:eastAsia="cs-CZ"/>
        </w:rPr>
        <w:t>S růstem patentové aktivity však také dochází k růstu offshoringu patentů dosažených českými původci na pracovištích v ČR.</w:t>
      </w:r>
      <w:r w:rsidRPr="00580BDD">
        <w:t xml:space="preserve"> </w:t>
      </w:r>
      <w:r w:rsidRPr="00580BDD">
        <w:rPr>
          <w:rFonts w:ascii="Arial" w:eastAsia="Times New Roman" w:hAnsi="Arial" w:cs="Arial"/>
          <w:lang w:eastAsia="cs-CZ"/>
        </w:rPr>
        <w:t>Nejčastějšími zeměmi</w:t>
      </w:r>
      <w:r w:rsidR="00837D99">
        <w:rPr>
          <w:rFonts w:ascii="Arial" w:eastAsia="Times New Roman" w:hAnsi="Arial" w:cs="Arial"/>
          <w:lang w:eastAsia="cs-CZ"/>
        </w:rPr>
        <w:t>,</w:t>
      </w:r>
      <w:r w:rsidRPr="00580BDD">
        <w:rPr>
          <w:rFonts w:ascii="Arial" w:eastAsia="Times New Roman" w:hAnsi="Arial" w:cs="Arial"/>
          <w:lang w:eastAsia="cs-CZ"/>
        </w:rPr>
        <w:t xml:space="preserve"> kam směřuje offshoring patentů</w:t>
      </w:r>
      <w:r w:rsidR="00837D99">
        <w:rPr>
          <w:rFonts w:ascii="Arial" w:eastAsia="Times New Roman" w:hAnsi="Arial" w:cs="Arial"/>
          <w:lang w:eastAsia="cs-CZ"/>
        </w:rPr>
        <w:t>,</w:t>
      </w:r>
      <w:r w:rsidRPr="00580BDD">
        <w:rPr>
          <w:rFonts w:ascii="Arial" w:eastAsia="Times New Roman" w:hAnsi="Arial" w:cs="Arial"/>
          <w:lang w:eastAsia="cs-CZ"/>
        </w:rPr>
        <w:t xml:space="preserve"> jsou USA a Německo.</w:t>
      </w:r>
    </w:p>
    <w:p w14:paraId="05ECFA67" w14:textId="77777777" w:rsidR="00D33F0D" w:rsidRDefault="00D33F0D" w:rsidP="00BD32CB">
      <w:pPr>
        <w:pStyle w:val="Nadpis1"/>
        <w:pageBreakBefore/>
        <w:numPr>
          <w:ilvl w:val="0"/>
          <w:numId w:val="0"/>
        </w:numPr>
        <w:ind w:left="432" w:hanging="432"/>
      </w:pPr>
      <w:bookmarkStart w:id="26" w:name="_Toc87340784"/>
      <w:bookmarkStart w:id="27" w:name="_Toc92369607"/>
      <w:bookmarkEnd w:id="24"/>
      <w:r w:rsidRPr="00232067">
        <w:lastRenderedPageBreak/>
        <w:t xml:space="preserve">Inovační výkonnost české ekonomiky </w:t>
      </w:r>
      <w:r w:rsidR="00361051" w:rsidRPr="00232067">
        <w:t>a </w:t>
      </w:r>
      <w:r w:rsidR="005206B3" w:rsidRPr="00232067">
        <w:t xml:space="preserve">její </w:t>
      </w:r>
      <w:r w:rsidRPr="00232067">
        <w:t>mezinárodní srovnání</w:t>
      </w:r>
      <w:bookmarkEnd w:id="25"/>
      <w:bookmarkEnd w:id="26"/>
      <w:bookmarkEnd w:id="27"/>
    </w:p>
    <w:p w14:paraId="6F4EEAA0" w14:textId="77777777" w:rsidR="000D07B3" w:rsidRDefault="000D07B3" w:rsidP="000D07B3">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Inovační aktivity jsou klíčovým prvkem v dlouhodobém, udržitelném ekonomickém růstu a konkurenceschopnosti jednotlivých ekonomik. Inovace jsou také často označovány za prostředek k eliminaci dopadů ekonomických ale i jiných krizí. Inovační aktivity získaly na významu v poslední době také díky celosvětové pandemické situaci. Ve většině ukazatelů, které jsou součástí této kapitoly se ještě dopad pandemie COVID-19 plně neprojevil a lze tento efekt v plné síle vysledovat až v pozdějších datech.</w:t>
      </w:r>
    </w:p>
    <w:p w14:paraId="418BF895" w14:textId="77777777" w:rsidR="000D07B3" w:rsidRDefault="000D07B3" w:rsidP="000D07B3">
      <w:pPr>
        <w:pStyle w:val="Obrzek-nadpis"/>
      </w:pPr>
      <w:r w:rsidRPr="005C5928">
        <w:t>Znalostní intenzita ekonomiky ČR a její mezinárodní srovnání</w:t>
      </w:r>
    </w:p>
    <w:p w14:paraId="31CC3ABB" w14:textId="77777777" w:rsidR="000D07B3" w:rsidRPr="0097129F" w:rsidRDefault="000D07B3" w:rsidP="000D07B3">
      <w:pPr>
        <w:pStyle w:val="Obrzek-nadpis"/>
        <w:jc w:val="center"/>
      </w:pPr>
      <w:r w:rsidRPr="004F305B">
        <w:rPr>
          <w:noProof/>
        </w:rPr>
        <w:drawing>
          <wp:inline distT="0" distB="0" distL="0" distR="0" wp14:anchorId="7BC86DF6" wp14:editId="532F62F0">
            <wp:extent cx="6120130" cy="3386198"/>
            <wp:effectExtent l="0" t="0" r="0" b="5080"/>
            <wp:docPr id="721" name="Obrázek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20130" cy="3386198"/>
                    </a:xfrm>
                    <a:prstGeom prst="rect">
                      <a:avLst/>
                    </a:prstGeom>
                    <a:noFill/>
                    <a:ln>
                      <a:noFill/>
                    </a:ln>
                  </pic:spPr>
                </pic:pic>
              </a:graphicData>
            </a:graphic>
          </wp:inline>
        </w:drawing>
      </w:r>
    </w:p>
    <w:p w14:paraId="02F5E02B" w14:textId="77777777" w:rsidR="000D07B3" w:rsidRPr="000D07B3" w:rsidRDefault="000D07B3" w:rsidP="000D07B3">
      <w:pPr>
        <w:pStyle w:val="Obrzek"/>
        <w:jc w:val="both"/>
        <w:rPr>
          <w:rFonts w:eastAsiaTheme="minorHAnsi" w:cs="Arial"/>
          <w:szCs w:val="22"/>
          <w:lang w:eastAsia="en-US"/>
        </w:rPr>
      </w:pPr>
      <w:r w:rsidRPr="00B37368">
        <w:rPr>
          <w:i/>
          <w:sz w:val="18"/>
        </w:rPr>
        <w:t xml:space="preserve">Zdroj: Eurostat; OECD – MSTI database | Pro CHE jsou uvedena data za rok 2019 z roku 2017 </w:t>
      </w:r>
      <w:r>
        <w:rPr>
          <w:i/>
          <w:sz w:val="18"/>
        </w:rPr>
        <w:t>a data za rok 2010 z roku 2008.</w:t>
      </w:r>
    </w:p>
    <w:p w14:paraId="2DA588FF" w14:textId="77777777" w:rsidR="00EB6A62" w:rsidRDefault="00EB6A62" w:rsidP="000D07B3">
      <w:pPr>
        <w:pStyle w:val="Odstavecseseznamem"/>
        <w:numPr>
          <w:ilvl w:val="0"/>
          <w:numId w:val="4"/>
        </w:numPr>
        <w:spacing w:after="0" w:line="360" w:lineRule="auto"/>
        <w:ind w:left="426" w:hanging="426"/>
        <w:jc w:val="both"/>
        <w:rPr>
          <w:rFonts w:ascii="Arial" w:eastAsia="Times New Roman" w:hAnsi="Arial" w:cs="Arial"/>
          <w:lang w:eastAsia="cs-CZ"/>
        </w:rPr>
      </w:pPr>
      <w:bookmarkStart w:id="28" w:name="_Toc427676905"/>
      <w:r w:rsidRPr="003C7DC3">
        <w:rPr>
          <w:rFonts w:ascii="Arial" w:eastAsia="Times New Roman" w:hAnsi="Arial" w:cs="Arial"/>
          <w:lang w:eastAsia="cs-CZ"/>
        </w:rPr>
        <w:t>V mezinárodním srovnání znalostní intenzity za rok 2019 je ČR v rámci EU27 na 10. pozici, avšak je ČR stále za průměrem EU27.</w:t>
      </w:r>
    </w:p>
    <w:p w14:paraId="42855B08" w14:textId="77777777" w:rsidR="00EB6A62" w:rsidRPr="003C7DC3" w:rsidRDefault="00EB6A62" w:rsidP="000D07B3">
      <w:pPr>
        <w:pStyle w:val="Odstavecseseznamem"/>
        <w:numPr>
          <w:ilvl w:val="0"/>
          <w:numId w:val="4"/>
        </w:numPr>
        <w:spacing w:after="0" w:line="360" w:lineRule="auto"/>
        <w:ind w:left="426" w:hanging="426"/>
        <w:jc w:val="both"/>
        <w:rPr>
          <w:rFonts w:ascii="Arial" w:eastAsia="Times New Roman" w:hAnsi="Arial" w:cs="Arial"/>
          <w:lang w:eastAsia="cs-CZ"/>
        </w:rPr>
      </w:pPr>
      <w:r>
        <w:rPr>
          <w:rFonts w:ascii="Arial" w:eastAsia="Times New Roman" w:hAnsi="Arial" w:cs="Arial"/>
          <w:lang w:eastAsia="cs-CZ"/>
        </w:rPr>
        <w:t>Dle agentury Bloomberg je ze šedesáti nejvíce inovativních ekonomik světa ČR na 26. pozici. V tomto hodnocení ČR vyniká především v oblasti Přidaná hodnota průmyslu. Jako nejinovativnější ekonomiky jsou označeny Jižní Korea, Singapore a Švýcarsko.</w:t>
      </w:r>
    </w:p>
    <w:p w14:paraId="11021BD3" w14:textId="77777777" w:rsidR="00EB6A62" w:rsidRPr="0069133B" w:rsidRDefault="00EB6A62" w:rsidP="000D07B3">
      <w:pPr>
        <w:pStyle w:val="Odstavecseseznamem"/>
        <w:numPr>
          <w:ilvl w:val="0"/>
          <w:numId w:val="4"/>
        </w:numPr>
        <w:spacing w:after="0" w:line="360" w:lineRule="auto"/>
        <w:ind w:left="426" w:hanging="426"/>
        <w:jc w:val="both"/>
        <w:rPr>
          <w:rFonts w:ascii="Arial" w:eastAsia="Times New Roman" w:hAnsi="Arial" w:cs="Arial"/>
          <w:lang w:eastAsia="cs-CZ"/>
        </w:rPr>
      </w:pPr>
      <w:r w:rsidRPr="0069133B">
        <w:rPr>
          <w:rFonts w:ascii="Arial" w:eastAsia="Times New Roman" w:hAnsi="Arial" w:cs="Arial"/>
          <w:lang w:eastAsia="cs-CZ"/>
        </w:rPr>
        <w:t xml:space="preserve">Na základě složeného indikátoru Summary Innovation Index (SII) </w:t>
      </w:r>
      <w:r>
        <w:rPr>
          <w:rFonts w:ascii="Arial" w:eastAsia="Times New Roman" w:hAnsi="Arial" w:cs="Arial"/>
          <w:lang w:eastAsia="cs-CZ"/>
        </w:rPr>
        <w:t>patří</w:t>
      </w:r>
      <w:r w:rsidRPr="0069133B">
        <w:rPr>
          <w:rFonts w:ascii="Arial" w:eastAsia="Times New Roman" w:hAnsi="Arial" w:cs="Arial"/>
          <w:lang w:eastAsia="cs-CZ"/>
        </w:rPr>
        <w:t xml:space="preserve"> ČR do skupiny Mírných inovátorů. Do stejné skupiny jako ČR patří například Itálie, Slovinsko, Španělsko, Řecko. ČR výrazně zaostává za zeměmi, jako jsou Švédsko, Finsko, Dánsko a Belgie. V</w:t>
      </w:r>
      <w:r>
        <w:rPr>
          <w:rFonts w:ascii="Arial" w:eastAsia="Times New Roman" w:hAnsi="Arial" w:cs="Arial"/>
          <w:lang w:eastAsia="cs-CZ"/>
        </w:rPr>
        <w:t> </w:t>
      </w:r>
      <w:r w:rsidRPr="0069133B">
        <w:rPr>
          <w:rFonts w:ascii="Arial" w:eastAsia="Times New Roman" w:hAnsi="Arial" w:cs="Arial"/>
          <w:lang w:eastAsia="cs-CZ"/>
        </w:rPr>
        <w:t xml:space="preserve">rámci jednotlivých ukazatelů ČR nejvíce převyšuje průměr EU například v ukazatelích Podniky poskytující školení v oblasti ICT, Export medium a high-tech zboží, Znečištění ovzduší jemnými prachovými </w:t>
      </w:r>
      <w:r w:rsidRPr="0069133B">
        <w:rPr>
          <w:rFonts w:ascii="Arial" w:eastAsia="Times New Roman" w:hAnsi="Arial" w:cs="Arial"/>
          <w:lang w:eastAsia="cs-CZ"/>
        </w:rPr>
        <w:lastRenderedPageBreak/>
        <w:t>částicemi. Naopak silně podprůměrné hodnoty ve srovnání s</w:t>
      </w:r>
      <w:r>
        <w:rPr>
          <w:rFonts w:ascii="Arial" w:eastAsia="Times New Roman" w:hAnsi="Arial" w:cs="Arial"/>
          <w:lang w:eastAsia="cs-CZ"/>
        </w:rPr>
        <w:t> </w:t>
      </w:r>
      <w:r w:rsidRPr="0069133B">
        <w:rPr>
          <w:rFonts w:ascii="Arial" w:eastAsia="Times New Roman" w:hAnsi="Arial" w:cs="Arial"/>
          <w:lang w:eastAsia="cs-CZ"/>
        </w:rPr>
        <w:t>průměrem EU vykazuje ČR například u ukazatelů Investice rizikového kapitálu, Přihlášky PCT patentů, Nejvíce citované publikace, Mobilita pracovních míst HRST.</w:t>
      </w:r>
    </w:p>
    <w:p w14:paraId="18F21FEF" w14:textId="77777777" w:rsidR="00EB6A62" w:rsidRPr="0069133B" w:rsidRDefault="00EB6A62" w:rsidP="000D07B3">
      <w:pPr>
        <w:pStyle w:val="Odstavecseseznamem"/>
        <w:numPr>
          <w:ilvl w:val="0"/>
          <w:numId w:val="4"/>
        </w:numPr>
        <w:spacing w:after="0" w:line="360" w:lineRule="auto"/>
        <w:ind w:left="426" w:hanging="426"/>
        <w:jc w:val="both"/>
        <w:rPr>
          <w:rFonts w:ascii="Arial" w:eastAsia="Times New Roman" w:hAnsi="Arial" w:cs="Arial"/>
          <w:lang w:eastAsia="cs-CZ"/>
        </w:rPr>
      </w:pPr>
      <w:r w:rsidRPr="0069133B">
        <w:rPr>
          <w:rFonts w:ascii="Arial" w:eastAsia="Times New Roman" w:hAnsi="Arial" w:cs="Arial"/>
          <w:lang w:eastAsia="cs-CZ"/>
        </w:rPr>
        <w:t xml:space="preserve">Podle Global Innovation Index (GII) se ČR umístila na 24. místě z celkově 132 hodnocených ekonomik. První příčky v hodnocení GII 2021 obsadilo Švýcarsko, Švédsko, Spojené státy americké. Obecně lze tvrdit, že silné stránky má ČR převážně v oblasti inovačních výstupů. Konkrétními ukazateli s výborným hodnocením jsou </w:t>
      </w:r>
      <w:r>
        <w:rPr>
          <w:rFonts w:ascii="Arial" w:eastAsia="Times New Roman" w:hAnsi="Arial" w:cs="Arial"/>
          <w:lang w:eastAsia="cs-CZ"/>
        </w:rPr>
        <w:t xml:space="preserve">například </w:t>
      </w:r>
      <w:r w:rsidRPr="0069133B">
        <w:rPr>
          <w:rFonts w:ascii="Arial" w:eastAsia="Times New Roman" w:hAnsi="Arial" w:cs="Arial"/>
          <w:lang w:eastAsia="cs-CZ"/>
        </w:rPr>
        <w:t xml:space="preserve">Export kreativního zboží, High-tech výroba, GERD financovaný ze zahraničí, Dopad znalostí, Certifikáty kvality ISO 9001, Kreativní zboží a služby. </w:t>
      </w:r>
      <w:r w:rsidRPr="0069133B">
        <w:rPr>
          <w:rFonts w:ascii="Arial" w:hAnsi="Arial" w:cs="Arial"/>
        </w:rPr>
        <w:t xml:space="preserve">Naopak slabé stránky má ČR především v oblasti inovačních vstupů. Slabými stránkami je například Snadnost zahájení podnikání, Investice, Náklady na propuštění pro nadbytečnost, Příjemci rizikového kapitálu, Joint venture. </w:t>
      </w:r>
    </w:p>
    <w:p w14:paraId="1BBFC2BB" w14:textId="77777777" w:rsidR="00EB6A62" w:rsidRPr="0069133B" w:rsidRDefault="00EB6A62" w:rsidP="000D07B3">
      <w:pPr>
        <w:pStyle w:val="Odstavecseseznamem"/>
        <w:numPr>
          <w:ilvl w:val="0"/>
          <w:numId w:val="4"/>
        </w:numPr>
        <w:spacing w:after="0" w:line="360" w:lineRule="auto"/>
        <w:ind w:left="426" w:hanging="426"/>
        <w:jc w:val="both"/>
        <w:rPr>
          <w:rFonts w:ascii="Arial" w:eastAsia="Times New Roman" w:hAnsi="Arial" w:cs="Arial"/>
          <w:lang w:eastAsia="cs-CZ"/>
        </w:rPr>
      </w:pPr>
      <w:r w:rsidRPr="0069133B">
        <w:rPr>
          <w:rFonts w:ascii="Arial" w:eastAsia="Times New Roman" w:hAnsi="Arial" w:cs="Arial"/>
          <w:lang w:eastAsia="cs-CZ"/>
        </w:rPr>
        <w:t xml:space="preserve">Podniky s inovačními aktivitami považují za nejsilnější omezující faktory v oblasti inovací nedostatek vlastních finančních prostředků, nedostatek kvalifikovaných pracovníků v podniku, nedostatek finančních zdrojů mimo podnik a nízkou či nejistou návratnost investic v důsledku malé kupní síly či velikosti trhu. </w:t>
      </w:r>
      <w:r>
        <w:rPr>
          <w:rFonts w:ascii="Arial" w:hAnsi="Arial" w:cs="Arial"/>
        </w:rPr>
        <w:t xml:space="preserve">Z šetření ČSÚ </w:t>
      </w:r>
      <w:r w:rsidRPr="0069133B">
        <w:rPr>
          <w:rFonts w:ascii="Arial" w:hAnsi="Arial" w:cs="Arial"/>
        </w:rPr>
        <w:t>vyplývá, že podniky s inovačními aktivitami mají prostor k provádění inovačních aktivit z pohledu nápaditosti a interakce se zákazníky, ale nedostatečné jsou finanční zdroje a počet kvalifikovaných pracovníků.</w:t>
      </w:r>
    </w:p>
    <w:p w14:paraId="269E4E89" w14:textId="77777777" w:rsidR="00EB6A62" w:rsidRPr="0069133B" w:rsidRDefault="00EB6A62" w:rsidP="000D07B3">
      <w:pPr>
        <w:pStyle w:val="Odstavecseseznamem"/>
        <w:numPr>
          <w:ilvl w:val="0"/>
          <w:numId w:val="4"/>
        </w:numPr>
        <w:spacing w:after="0" w:line="360" w:lineRule="auto"/>
        <w:ind w:left="426" w:hanging="426"/>
        <w:jc w:val="both"/>
        <w:rPr>
          <w:rFonts w:ascii="Arial" w:eastAsia="Times New Roman" w:hAnsi="Arial" w:cs="Arial"/>
          <w:lang w:eastAsia="cs-CZ"/>
        </w:rPr>
        <w:sectPr w:rsidR="00EB6A62" w:rsidRPr="0069133B" w:rsidSect="00EB6A62">
          <w:headerReference w:type="first" r:id="rId44"/>
          <w:footerReference w:type="first" r:id="rId45"/>
          <w:pgSz w:w="11906" w:h="16838"/>
          <w:pgMar w:top="1134" w:right="1134" w:bottom="1134" w:left="1134" w:header="708" w:footer="708" w:gutter="0"/>
          <w:cols w:space="708"/>
          <w:docGrid w:linePitch="360"/>
        </w:sectPr>
      </w:pPr>
      <w:r w:rsidRPr="0069133B">
        <w:rPr>
          <w:rFonts w:ascii="Arial" w:eastAsia="Times New Roman" w:hAnsi="Arial" w:cs="Arial"/>
          <w:lang w:eastAsia="cs-CZ"/>
        </w:rPr>
        <w:t>Dle mapování inovačních kapacit (INKA) převládají firmy zaměřující se na optimalizaci výrobních procesů společně s firmami plnícími dílčí koncernové funkce. Naopak firem v</w:t>
      </w:r>
      <w:r>
        <w:rPr>
          <w:rFonts w:ascii="Arial" w:eastAsia="Times New Roman" w:hAnsi="Arial" w:cs="Arial"/>
          <w:lang w:eastAsia="cs-CZ"/>
        </w:rPr>
        <w:t> </w:t>
      </w:r>
      <w:r w:rsidRPr="0069133B">
        <w:rPr>
          <w:rFonts w:ascii="Arial" w:eastAsia="Times New Roman" w:hAnsi="Arial" w:cs="Arial"/>
          <w:lang w:eastAsia="cs-CZ"/>
        </w:rPr>
        <w:t>pozici globálních inovačních lídrů a průkopníků, kteří utvářejí trhy, je v ČR velmi málo. To přímo souvisí se skutečností, že tuzemské firmy častěji zaujímají pozice ve spodních patrech globálních hodnotových řetězců. Mezi hlavní bariéry vyšší inovační výkonnosti ve firmách patří v porovnání s vyspělými evropskými zeměmi menší podnikatelské ambice a nižší míra přijímaného rizika při rozhodování o výši investic do VaV.</w:t>
      </w:r>
    </w:p>
    <w:bookmarkEnd w:id="28"/>
    <w:p w14:paraId="2237A601" w14:textId="77777777" w:rsidR="00232067" w:rsidRDefault="00232067" w:rsidP="00232067">
      <w:pPr>
        <w:pStyle w:val="Obrzek-nadpis"/>
      </w:pPr>
      <w:r w:rsidRPr="00331DA9">
        <w:lastRenderedPageBreak/>
        <w:t>EIS 2021 a jeho dimenze inovací v porovnání ČR a vybraných zemí, vývoj hodnot SII</w:t>
      </w:r>
    </w:p>
    <w:p w14:paraId="4BE82BBC" w14:textId="77777777" w:rsidR="00232067" w:rsidRPr="00F63BD5" w:rsidRDefault="00C1541A" w:rsidP="00232067">
      <w:pPr>
        <w:pStyle w:val="Obrzek-nadpis"/>
        <w:jc w:val="center"/>
        <w:rPr>
          <w:highlight w:val="green"/>
        </w:rPr>
      </w:pPr>
      <w:r>
        <w:rPr>
          <w:noProof/>
        </w:rPr>
        <w:drawing>
          <wp:inline distT="0" distB="0" distL="0" distR="0" wp14:anchorId="5BF372AB" wp14:editId="2582F007">
            <wp:extent cx="8485027" cy="4857420"/>
            <wp:effectExtent l="0" t="0" r="0" b="635"/>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8486858" cy="4858468"/>
                    </a:xfrm>
                    <a:prstGeom prst="rect">
                      <a:avLst/>
                    </a:prstGeom>
                  </pic:spPr>
                </pic:pic>
              </a:graphicData>
            </a:graphic>
          </wp:inline>
        </w:drawing>
      </w:r>
    </w:p>
    <w:p w14:paraId="24E2AE0E" w14:textId="77777777" w:rsidR="00232067" w:rsidRDefault="00232067" w:rsidP="00232067">
      <w:pPr>
        <w:pStyle w:val="Zdrojapoznmka"/>
        <w:sectPr w:rsidR="00232067" w:rsidSect="00232067">
          <w:pgSz w:w="16838" w:h="11906" w:orient="landscape"/>
          <w:pgMar w:top="1418" w:right="1418" w:bottom="1418" w:left="1418" w:header="709" w:footer="709" w:gutter="0"/>
          <w:cols w:space="708"/>
          <w:docGrid w:linePitch="360"/>
        </w:sectPr>
      </w:pPr>
      <w:r w:rsidRPr="00614D5E">
        <w:t>Zdroj: vlastní zpracování dle EIS 2021</w:t>
      </w:r>
      <w:r>
        <w:t>; *</w:t>
      </w:r>
      <w:r w:rsidRPr="00672BCC">
        <w:t>Human resources in science and technology</w:t>
      </w:r>
      <w:r>
        <w:t xml:space="preserve"> (HRST)</w:t>
      </w:r>
    </w:p>
    <w:p w14:paraId="273C1200" w14:textId="77777777" w:rsidR="00837A2A" w:rsidRDefault="00D7580D" w:rsidP="000D07B3">
      <w:pPr>
        <w:pStyle w:val="Nadpis1"/>
        <w:pageBreakBefore/>
        <w:numPr>
          <w:ilvl w:val="0"/>
          <w:numId w:val="0"/>
        </w:numPr>
        <w:ind w:left="432" w:hanging="432"/>
      </w:pPr>
      <w:bookmarkStart w:id="29" w:name="_Toc87340788"/>
      <w:bookmarkStart w:id="30" w:name="_Toc92369611"/>
      <w:r w:rsidRPr="00D5231D">
        <w:lastRenderedPageBreak/>
        <w:t>Mezinárodní spolupráce ve výzkumu, vývoji a inovacích</w:t>
      </w:r>
      <w:bookmarkEnd w:id="29"/>
      <w:bookmarkEnd w:id="30"/>
    </w:p>
    <w:p w14:paraId="468B4558" w14:textId="77777777" w:rsidR="000D07B3" w:rsidRDefault="000D07B3" w:rsidP="000D07B3">
      <w:pPr>
        <w:spacing w:after="0" w:line="360" w:lineRule="auto"/>
        <w:ind w:firstLine="709"/>
        <w:jc w:val="both"/>
        <w:rPr>
          <w:rFonts w:ascii="Arial" w:hAnsi="Arial" w:cs="Arial"/>
        </w:rPr>
      </w:pPr>
      <w:r w:rsidRPr="00072541">
        <w:rPr>
          <w:rFonts w:ascii="Arial" w:hAnsi="Arial" w:cs="Arial"/>
        </w:rPr>
        <w:t>Mezinárodní spolupráce ve výzkumu, vývoji a inovacích ve všech svých formách přispívá ke zvyšování excelence, konkurenceschopnosti a rozvoje domácích kapacit VaVaI. Mezinárodní spolupráce ve VaVaI slouží jako nástroj pro</w:t>
      </w:r>
      <w:r>
        <w:rPr>
          <w:rFonts w:ascii="Arial" w:hAnsi="Arial" w:cs="Arial"/>
        </w:rPr>
        <w:t xml:space="preserve"> řešení komplexních vědeckých a </w:t>
      </w:r>
      <w:r w:rsidRPr="00072541">
        <w:rPr>
          <w:rFonts w:ascii="Arial" w:hAnsi="Arial" w:cs="Arial"/>
        </w:rPr>
        <w:t>technických témat a</w:t>
      </w:r>
      <w:r>
        <w:rPr>
          <w:rFonts w:ascii="Arial" w:hAnsi="Arial" w:cs="Arial"/>
        </w:rPr>
        <w:t> </w:t>
      </w:r>
      <w:r w:rsidRPr="00072541">
        <w:rPr>
          <w:rFonts w:ascii="Arial" w:hAnsi="Arial" w:cs="Arial"/>
        </w:rPr>
        <w:t>globálních problémů. V případě provozu velké infrastruktury nebo multilaterálních projektů v oblasti VaVaI umožňuje mezinárodní spolupráce synergii, sdílení rizika a zdrojů se zahraničními partnery. Širší pojetí mezinárodní spolupráce VaVaI na národní úrovni představuje vědecká diplomacie, kdy se výzkum a vývoj stávají nástrojem diplomacie a budování zahraničních vztahů. Z hle</w:t>
      </w:r>
      <w:r>
        <w:rPr>
          <w:rFonts w:ascii="Arial" w:hAnsi="Arial" w:cs="Arial"/>
        </w:rPr>
        <w:t>diska univerzit, ústavů AV ČR a </w:t>
      </w:r>
      <w:r w:rsidRPr="00072541">
        <w:rPr>
          <w:rFonts w:ascii="Arial" w:hAnsi="Arial" w:cs="Arial"/>
        </w:rPr>
        <w:t>výzkumných organizací</w:t>
      </w:r>
      <w:r w:rsidRPr="00072541">
        <w:rPr>
          <w:rFonts w:ascii="Arial" w:hAnsi="Arial" w:cs="Arial"/>
          <w:b/>
        </w:rPr>
        <w:t xml:space="preserve"> </w:t>
      </w:r>
      <w:r w:rsidRPr="00072541">
        <w:rPr>
          <w:rFonts w:ascii="Arial" w:hAnsi="Arial" w:cs="Arial"/>
        </w:rPr>
        <w:t>je mezinárodní spolupráce ve VaVaI nástrojem pro zajištění přístupu k zahraničním hmotným i nehmotným zdrojům, k novým poznatkům, lidským zdrojům a zvýšení zahraniční prestiže. Stále více nabýv</w:t>
      </w:r>
      <w:r>
        <w:rPr>
          <w:rFonts w:ascii="Arial" w:hAnsi="Arial" w:cs="Arial"/>
        </w:rPr>
        <w:t>á významu téma meziregionální a </w:t>
      </w:r>
      <w:r w:rsidRPr="00072541">
        <w:rPr>
          <w:rFonts w:ascii="Arial" w:hAnsi="Arial" w:cs="Arial"/>
        </w:rPr>
        <w:t>přeshraniční spolupráce firem, zejména malých a středních podniků (MSP), která směřuje k</w:t>
      </w:r>
      <w:r>
        <w:rPr>
          <w:rFonts w:ascii="Arial" w:hAnsi="Arial" w:cs="Arial"/>
        </w:rPr>
        <w:t> </w:t>
      </w:r>
      <w:r w:rsidRPr="00072541">
        <w:rPr>
          <w:rFonts w:ascii="Arial" w:hAnsi="Arial" w:cs="Arial"/>
        </w:rPr>
        <w:t>posunu firem v evropských hodnotových řet</w:t>
      </w:r>
      <w:r>
        <w:rPr>
          <w:rFonts w:ascii="Arial" w:hAnsi="Arial" w:cs="Arial"/>
        </w:rPr>
        <w:t>ězcích (European Value Chains).</w:t>
      </w:r>
    </w:p>
    <w:p w14:paraId="67F01569" w14:textId="77777777" w:rsidR="000D07B3" w:rsidRDefault="000D07B3" w:rsidP="000D07B3">
      <w:pPr>
        <w:spacing w:after="0" w:line="360" w:lineRule="auto"/>
        <w:ind w:firstLine="709"/>
        <w:jc w:val="both"/>
        <w:rPr>
          <w:rFonts w:ascii="Arial" w:hAnsi="Arial" w:cs="Arial"/>
        </w:rPr>
      </w:pPr>
      <w:r w:rsidRPr="002D4B35">
        <w:rPr>
          <w:rFonts w:ascii="Arial" w:hAnsi="Arial" w:cs="Arial"/>
        </w:rPr>
        <w:t>Ústředním orgánem zodpovědným za mezinárodní spolupráci ve VaVaI je dle zákona č. 130/2002 Sb. Ministerstvo školství, mládeže a tělovýchovy (MŠMT). Mezi klíčové poskytovatele podpory mezinárodní spolupráce patří také GA ČR a TA ČR, jež zabezpečují spolupráci s obdobnými zahraničními agenturami a poskytují účelovou podporu projektům mezinárodní spolupráce. Mezinárodní spolupráci ve VaVaI na národní úrovni rozvíjí i další aktéři jako např. Akademie věd ČR, Ministerstvo vnitra nebo Ministerstvo obrany.</w:t>
      </w:r>
      <w:r>
        <w:rPr>
          <w:rFonts w:ascii="Arial" w:hAnsi="Arial" w:cs="Arial"/>
        </w:rPr>
        <w:t xml:space="preserve"> </w:t>
      </w:r>
      <w:r w:rsidRPr="002D4B35">
        <w:rPr>
          <w:rFonts w:ascii="Arial" w:hAnsi="Arial" w:cs="Arial"/>
        </w:rPr>
        <w:t xml:space="preserve">Veřejná podpora od výše jmenovaných poskytovatelů </w:t>
      </w:r>
      <w:r>
        <w:rPr>
          <w:rFonts w:ascii="Arial" w:hAnsi="Arial" w:cs="Arial"/>
        </w:rPr>
        <w:t>směřuje</w:t>
      </w:r>
      <w:r w:rsidRPr="002D4B35">
        <w:rPr>
          <w:rFonts w:ascii="Arial" w:hAnsi="Arial" w:cs="Arial"/>
        </w:rPr>
        <w:t xml:space="preserve"> do veřejného a soukromého sektoru,</w:t>
      </w:r>
      <w:r w:rsidRPr="002D4B35">
        <w:rPr>
          <w:rFonts w:ascii="Arial" w:hAnsi="Arial" w:cs="Arial"/>
          <w:b/>
        </w:rPr>
        <w:t xml:space="preserve"> </w:t>
      </w:r>
      <w:r>
        <w:rPr>
          <w:rFonts w:ascii="Arial" w:hAnsi="Arial" w:cs="Arial"/>
        </w:rPr>
        <w:t xml:space="preserve">konkrétně do </w:t>
      </w:r>
      <w:r w:rsidRPr="002D4B35">
        <w:rPr>
          <w:rFonts w:ascii="Arial" w:hAnsi="Arial" w:cs="Arial"/>
        </w:rPr>
        <w:t>vysok</w:t>
      </w:r>
      <w:r>
        <w:rPr>
          <w:rFonts w:ascii="Arial" w:hAnsi="Arial" w:cs="Arial"/>
        </w:rPr>
        <w:t>ých</w:t>
      </w:r>
      <w:r w:rsidRPr="002D4B35">
        <w:rPr>
          <w:rFonts w:ascii="Arial" w:hAnsi="Arial" w:cs="Arial"/>
        </w:rPr>
        <w:t xml:space="preserve"> škol, ústav</w:t>
      </w:r>
      <w:r>
        <w:rPr>
          <w:rFonts w:ascii="Arial" w:hAnsi="Arial" w:cs="Arial"/>
        </w:rPr>
        <w:t>ů</w:t>
      </w:r>
      <w:r w:rsidRPr="002D4B35">
        <w:rPr>
          <w:rFonts w:ascii="Arial" w:hAnsi="Arial" w:cs="Arial"/>
        </w:rPr>
        <w:t xml:space="preserve"> Akademie věd ČR, </w:t>
      </w:r>
      <w:r>
        <w:rPr>
          <w:rFonts w:ascii="Arial" w:hAnsi="Arial" w:cs="Arial"/>
        </w:rPr>
        <w:t xml:space="preserve">ostatních </w:t>
      </w:r>
      <w:r w:rsidRPr="002D4B35">
        <w:rPr>
          <w:rFonts w:ascii="Arial" w:hAnsi="Arial" w:cs="Arial"/>
        </w:rPr>
        <w:t>výzkumn</w:t>
      </w:r>
      <w:r>
        <w:rPr>
          <w:rFonts w:ascii="Arial" w:hAnsi="Arial" w:cs="Arial"/>
        </w:rPr>
        <w:t>ých</w:t>
      </w:r>
      <w:r w:rsidRPr="002D4B35">
        <w:rPr>
          <w:rFonts w:ascii="Arial" w:hAnsi="Arial" w:cs="Arial"/>
        </w:rPr>
        <w:t xml:space="preserve"> organ</w:t>
      </w:r>
      <w:r>
        <w:rPr>
          <w:rFonts w:ascii="Arial" w:hAnsi="Arial" w:cs="Arial"/>
        </w:rPr>
        <w:t>izací a podniků</w:t>
      </w:r>
    </w:p>
    <w:p w14:paraId="00725230" w14:textId="77777777" w:rsidR="000D07B3" w:rsidRDefault="000D07B3" w:rsidP="000D07B3">
      <w:pPr>
        <w:pStyle w:val="Obrzek-nadpis"/>
        <w:rPr>
          <w:rFonts w:cs="Arial"/>
          <w:b w:val="0"/>
        </w:rPr>
      </w:pPr>
      <w:r w:rsidRPr="00AA571F">
        <w:rPr>
          <w:noProof/>
        </w:rPr>
        <w:drawing>
          <wp:anchor distT="0" distB="0" distL="114300" distR="114300" simplePos="0" relativeHeight="251860992" behindDoc="0" locked="0" layoutInCell="1" allowOverlap="1" wp14:anchorId="2B3EF138" wp14:editId="28B8BF6C">
            <wp:simplePos x="0" y="0"/>
            <wp:positionH relativeFrom="margin">
              <wp:posOffset>226475</wp:posOffset>
            </wp:positionH>
            <wp:positionV relativeFrom="margin">
              <wp:posOffset>5753735</wp:posOffset>
            </wp:positionV>
            <wp:extent cx="5406390" cy="1435100"/>
            <wp:effectExtent l="0" t="57150" r="0" b="107950"/>
            <wp:wrapTopAndBottom/>
            <wp:docPr id="722" name="Diagram 72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14:sizeRelH relativeFrom="margin">
              <wp14:pctWidth>0</wp14:pctWidth>
            </wp14:sizeRelH>
            <wp14:sizeRelV relativeFrom="margin">
              <wp14:pctHeight>0</wp14:pctHeight>
            </wp14:sizeRelV>
          </wp:anchor>
        </w:drawing>
      </w:r>
      <w:r w:rsidRPr="00AA571F">
        <w:t>Dimenze mezinárodní spolupráce ve VaVaI</w:t>
      </w:r>
    </w:p>
    <w:p w14:paraId="3CC7A446" w14:textId="77777777" w:rsidR="000D07B3" w:rsidRPr="00072541" w:rsidRDefault="000D07B3" w:rsidP="000D07B3">
      <w:pPr>
        <w:spacing w:after="0" w:line="360" w:lineRule="auto"/>
        <w:jc w:val="both"/>
        <w:rPr>
          <w:rFonts w:ascii="Arial" w:hAnsi="Arial" w:cs="Arial"/>
        </w:rPr>
      </w:pPr>
    </w:p>
    <w:p w14:paraId="51F5EB0B" w14:textId="77777777" w:rsidR="00232067" w:rsidRDefault="00232067" w:rsidP="000D07B3">
      <w:pPr>
        <w:pStyle w:val="Odstavecseseznamem"/>
        <w:numPr>
          <w:ilvl w:val="0"/>
          <w:numId w:val="7"/>
        </w:numPr>
        <w:spacing w:line="360" w:lineRule="auto"/>
        <w:ind w:left="360"/>
        <w:jc w:val="both"/>
        <w:rPr>
          <w:rFonts w:ascii="Arial" w:hAnsi="Arial" w:cs="Arial"/>
        </w:rPr>
      </w:pPr>
      <w:r>
        <w:rPr>
          <w:rFonts w:ascii="Arial" w:eastAsia="Calibri" w:hAnsi="Arial" w:cs="Arial"/>
          <w:lang w:eastAsia="cs-CZ"/>
        </w:rPr>
        <w:t>O</w:t>
      </w:r>
      <w:r w:rsidRPr="002D4B35">
        <w:rPr>
          <w:rFonts w:ascii="Arial" w:eastAsia="Calibri" w:hAnsi="Arial" w:cs="Arial"/>
          <w:lang w:eastAsia="cs-CZ"/>
        </w:rPr>
        <w:t xml:space="preserve">rgánem zodpovědným za mezinárodní spolupráci </w:t>
      </w:r>
      <w:r>
        <w:rPr>
          <w:rFonts w:ascii="Arial" w:eastAsia="Calibri" w:hAnsi="Arial" w:cs="Arial"/>
          <w:lang w:eastAsia="cs-CZ"/>
        </w:rPr>
        <w:t>ve VaVaI je MŠMT</w:t>
      </w:r>
      <w:r w:rsidRPr="002D4B35">
        <w:rPr>
          <w:rFonts w:ascii="Arial" w:eastAsia="Calibri" w:hAnsi="Arial" w:cs="Arial"/>
          <w:lang w:eastAsia="cs-CZ"/>
        </w:rPr>
        <w:t xml:space="preserve">. Mezi další aktéry působící v oblasti mezinárodní spolupráce ve VaVaI patří také GA ČR, TA ČR, AV ČR, ministerstvo obrany nebo ministerstvo </w:t>
      </w:r>
      <w:r>
        <w:rPr>
          <w:rFonts w:ascii="Arial" w:eastAsia="Calibri" w:hAnsi="Arial" w:cs="Arial"/>
          <w:lang w:eastAsia="cs-CZ"/>
        </w:rPr>
        <w:t xml:space="preserve">vnitra. </w:t>
      </w:r>
      <w:r w:rsidRPr="002D4B35">
        <w:rPr>
          <w:rFonts w:ascii="Arial" w:hAnsi="Arial" w:cs="Arial"/>
        </w:rPr>
        <w:t>Veřejná podpora od </w:t>
      </w:r>
      <w:r>
        <w:rPr>
          <w:rFonts w:ascii="Arial" w:hAnsi="Arial" w:cs="Arial"/>
        </w:rPr>
        <w:t xml:space="preserve">těchto </w:t>
      </w:r>
      <w:r w:rsidRPr="002D4B35">
        <w:rPr>
          <w:rFonts w:ascii="Arial" w:hAnsi="Arial" w:cs="Arial"/>
        </w:rPr>
        <w:t>poskytovatelů směřuje do veřejného a soukromého sektoru,</w:t>
      </w:r>
      <w:r w:rsidRPr="002D4B35">
        <w:rPr>
          <w:rFonts w:ascii="Arial" w:hAnsi="Arial" w:cs="Arial"/>
          <w:b/>
        </w:rPr>
        <w:t xml:space="preserve"> </w:t>
      </w:r>
      <w:r>
        <w:rPr>
          <w:rFonts w:ascii="Arial" w:hAnsi="Arial" w:cs="Arial"/>
        </w:rPr>
        <w:t xml:space="preserve">konkrétně do </w:t>
      </w:r>
      <w:r w:rsidRPr="002D4B35">
        <w:rPr>
          <w:rFonts w:ascii="Arial" w:hAnsi="Arial" w:cs="Arial"/>
        </w:rPr>
        <w:t>vysok</w:t>
      </w:r>
      <w:r>
        <w:rPr>
          <w:rFonts w:ascii="Arial" w:hAnsi="Arial" w:cs="Arial"/>
        </w:rPr>
        <w:t>ých</w:t>
      </w:r>
      <w:r w:rsidRPr="002D4B35">
        <w:rPr>
          <w:rFonts w:ascii="Arial" w:hAnsi="Arial" w:cs="Arial"/>
        </w:rPr>
        <w:t xml:space="preserve"> škol, ústav</w:t>
      </w:r>
      <w:r>
        <w:rPr>
          <w:rFonts w:ascii="Arial" w:hAnsi="Arial" w:cs="Arial"/>
        </w:rPr>
        <w:t>ů</w:t>
      </w:r>
      <w:r w:rsidRPr="002D4B35">
        <w:rPr>
          <w:rFonts w:ascii="Arial" w:hAnsi="Arial" w:cs="Arial"/>
        </w:rPr>
        <w:t xml:space="preserve"> Akademie věd ČR </w:t>
      </w:r>
      <w:r>
        <w:rPr>
          <w:rFonts w:ascii="Arial" w:hAnsi="Arial" w:cs="Arial"/>
        </w:rPr>
        <w:t xml:space="preserve">ostatních </w:t>
      </w:r>
      <w:r w:rsidRPr="002D4B35">
        <w:rPr>
          <w:rFonts w:ascii="Arial" w:hAnsi="Arial" w:cs="Arial"/>
        </w:rPr>
        <w:t>výzkumn</w:t>
      </w:r>
      <w:r>
        <w:rPr>
          <w:rFonts w:ascii="Arial" w:hAnsi="Arial" w:cs="Arial"/>
        </w:rPr>
        <w:t>ých</w:t>
      </w:r>
      <w:r w:rsidRPr="002D4B35">
        <w:rPr>
          <w:rFonts w:ascii="Arial" w:hAnsi="Arial" w:cs="Arial"/>
        </w:rPr>
        <w:t xml:space="preserve"> organ</w:t>
      </w:r>
      <w:r>
        <w:rPr>
          <w:rFonts w:ascii="Arial" w:hAnsi="Arial" w:cs="Arial"/>
        </w:rPr>
        <w:t xml:space="preserve">izací a podniků. </w:t>
      </w:r>
    </w:p>
    <w:p w14:paraId="6246F397" w14:textId="77777777" w:rsidR="00232067" w:rsidRDefault="00232067" w:rsidP="000D07B3">
      <w:pPr>
        <w:pStyle w:val="Odstavecseseznamem"/>
        <w:numPr>
          <w:ilvl w:val="0"/>
          <w:numId w:val="7"/>
        </w:numPr>
        <w:spacing w:line="360" w:lineRule="auto"/>
        <w:ind w:left="360"/>
        <w:jc w:val="both"/>
        <w:rPr>
          <w:rFonts w:ascii="Arial" w:hAnsi="Arial" w:cs="Arial"/>
        </w:rPr>
      </w:pPr>
      <w:r>
        <w:rPr>
          <w:rFonts w:ascii="Arial" w:eastAsia="Calibri" w:hAnsi="Arial" w:cs="Arial"/>
          <w:lang w:eastAsia="cs-CZ"/>
        </w:rPr>
        <w:t>Zastřešujícím dokumentem pro oblast VaVaI, včetně tematiky mezinárodní spolupráce, je Národní politika výzkumu, vývoje a inovací (NP VaVaI).</w:t>
      </w:r>
      <w:r>
        <w:rPr>
          <w:rFonts w:ascii="Arial" w:hAnsi="Arial" w:cs="Arial"/>
        </w:rPr>
        <w:t xml:space="preserve"> V červenci 2020 vláda schválila NP </w:t>
      </w:r>
      <w:r>
        <w:rPr>
          <w:rFonts w:ascii="Arial" w:hAnsi="Arial" w:cs="Arial"/>
        </w:rPr>
        <w:lastRenderedPageBreak/>
        <w:t xml:space="preserve">VaVaI 2021+, která prostřednictvím řady specifických cílů a opatření přímo cílí na rozvoj mezinárodní spolupráce. </w:t>
      </w:r>
    </w:p>
    <w:p w14:paraId="56FBC597" w14:textId="77777777" w:rsidR="00232067" w:rsidRDefault="00232067" w:rsidP="000D07B3">
      <w:pPr>
        <w:pStyle w:val="Odstavecseseznamem"/>
        <w:numPr>
          <w:ilvl w:val="0"/>
          <w:numId w:val="7"/>
        </w:numPr>
        <w:spacing w:line="360" w:lineRule="auto"/>
        <w:ind w:left="360"/>
        <w:jc w:val="both"/>
        <w:rPr>
          <w:rFonts w:ascii="Arial" w:hAnsi="Arial" w:cs="Arial"/>
        </w:rPr>
      </w:pPr>
      <w:r>
        <w:rPr>
          <w:rFonts w:ascii="Arial" w:hAnsi="Arial" w:cs="Arial"/>
        </w:rPr>
        <w:t xml:space="preserve">Systém VaVaI z pohledu mezinárodní spolupráce zůstává i přes nesporné posuny v posledních letech relativně uzavřený, což souvisí zejména se slabou mírou zapojení českých subjektů do rámcových programů EU a s omezeným počtem výzkumných týmů zapojených do mezinárodní spolupráce. V roce 2020 mezinárodní programy a aktivity ve VaVaI negativně poznamenala pandemie COVID-19. Významný pokles čerpaných výdajů ze státního rozpočtu lze spatřit zejména u projektů mobilit výzkumných pracovníků, které realizuje MŠMT a AV ČR. </w:t>
      </w:r>
    </w:p>
    <w:p w14:paraId="13D8149D" w14:textId="77777777" w:rsidR="00232067" w:rsidRPr="00A14E28" w:rsidRDefault="00232067" w:rsidP="000D07B3">
      <w:pPr>
        <w:pStyle w:val="Odstavecseseznamem"/>
        <w:numPr>
          <w:ilvl w:val="0"/>
          <w:numId w:val="7"/>
        </w:numPr>
        <w:spacing w:line="360" w:lineRule="auto"/>
        <w:ind w:left="360"/>
        <w:jc w:val="both"/>
        <w:rPr>
          <w:rFonts w:ascii="Arial" w:hAnsi="Arial" w:cs="Arial"/>
        </w:rPr>
      </w:pPr>
      <w:r>
        <w:rPr>
          <w:rFonts w:ascii="Arial" w:hAnsi="Arial" w:cs="Arial"/>
        </w:rPr>
        <w:t xml:space="preserve">Pokud </w:t>
      </w:r>
      <w:r w:rsidRPr="008719DB">
        <w:rPr>
          <w:rFonts w:ascii="Arial" w:hAnsi="Arial" w:cs="Arial"/>
        </w:rPr>
        <w:t xml:space="preserve">jde o účelovou </w:t>
      </w:r>
      <w:r w:rsidRPr="00554179">
        <w:rPr>
          <w:rFonts w:ascii="Arial" w:hAnsi="Arial" w:cs="Arial"/>
        </w:rPr>
        <w:t>podporu</w:t>
      </w:r>
      <w:r w:rsidRPr="005F6C96">
        <w:rPr>
          <w:rFonts w:ascii="Arial" w:hAnsi="Arial" w:cs="Arial"/>
        </w:rPr>
        <w:t xml:space="preserve"> na</w:t>
      </w:r>
      <w:r>
        <w:rPr>
          <w:rFonts w:ascii="Arial" w:hAnsi="Arial" w:cs="Arial"/>
          <w:b/>
        </w:rPr>
        <w:t xml:space="preserve"> </w:t>
      </w:r>
      <w:r>
        <w:rPr>
          <w:rFonts w:ascii="Arial" w:hAnsi="Arial" w:cs="Arial"/>
        </w:rPr>
        <w:t>mezinárodní spolupráci, nejvyšší objem výdajů v roce 2020 bylo vynaloženo na projekty velkých výzkumných infrastruktur (1,9 mld. Kč) a na program INTER-EXCELLENCE (760 mil. Kč</w:t>
      </w:r>
      <w:r w:rsidRPr="00AB0DE7">
        <w:rPr>
          <w:rFonts w:ascii="Arial" w:hAnsi="Arial" w:cs="Arial"/>
        </w:rPr>
        <w:t xml:space="preserve">). </w:t>
      </w:r>
      <w:r>
        <w:rPr>
          <w:rFonts w:ascii="Arial" w:hAnsi="Arial" w:cs="Arial"/>
        </w:rPr>
        <w:t xml:space="preserve">V případě programu INTER-EXCELLENCE nejvyšší podíl čerpaných prostředků v roce 2020 vykazují projekty bilaterální a multilaterální spolupráce v rámci podprogramů INTER-ACTION (288 mil. Kč) a INTER-COST (134 mil. Kč). </w:t>
      </w:r>
      <w:r w:rsidRPr="00A14E28">
        <w:rPr>
          <w:rFonts w:ascii="Arial" w:hAnsi="Arial" w:cs="Arial"/>
        </w:rPr>
        <w:t>Významný podíl účelové podpory směřoval rovněž do mezinárodních bilaterálních</w:t>
      </w:r>
      <w:r>
        <w:rPr>
          <w:rFonts w:ascii="Arial" w:hAnsi="Arial" w:cs="Arial"/>
        </w:rPr>
        <w:t xml:space="preserve"> </w:t>
      </w:r>
      <w:r w:rsidRPr="00A14E28">
        <w:rPr>
          <w:rFonts w:ascii="Arial" w:hAnsi="Arial" w:cs="Arial"/>
        </w:rPr>
        <w:t xml:space="preserve">projektů GA ČR (141 mil. Kč) a programu </w:t>
      </w:r>
      <w:r>
        <w:rPr>
          <w:rFonts w:ascii="Arial" w:hAnsi="Arial" w:cs="Arial"/>
        </w:rPr>
        <w:t>DELTA 2, který realizuje</w:t>
      </w:r>
      <w:r w:rsidRPr="00A14E28">
        <w:rPr>
          <w:rFonts w:ascii="Arial" w:hAnsi="Arial" w:cs="Arial"/>
        </w:rPr>
        <w:t xml:space="preserve"> TA ČR (77 mil Kč). </w:t>
      </w:r>
    </w:p>
    <w:p w14:paraId="639B8DF2" w14:textId="77777777" w:rsidR="00232067" w:rsidRPr="00AB0DE7" w:rsidRDefault="00232067" w:rsidP="000D07B3">
      <w:pPr>
        <w:pStyle w:val="Odstavecseseznamem"/>
        <w:numPr>
          <w:ilvl w:val="0"/>
          <w:numId w:val="7"/>
        </w:numPr>
        <w:spacing w:line="360" w:lineRule="auto"/>
        <w:ind w:left="360"/>
        <w:jc w:val="both"/>
        <w:rPr>
          <w:rFonts w:ascii="Arial" w:hAnsi="Arial" w:cs="Arial"/>
        </w:rPr>
      </w:pPr>
      <w:r>
        <w:rPr>
          <w:rFonts w:ascii="Arial" w:hAnsi="Arial" w:cs="Arial"/>
        </w:rPr>
        <w:t xml:space="preserve">Stěžejní část výdajů v oblasti </w:t>
      </w:r>
      <w:r w:rsidRPr="008719DB">
        <w:rPr>
          <w:rFonts w:ascii="Arial" w:hAnsi="Arial" w:cs="Arial"/>
        </w:rPr>
        <w:t>institucionální</w:t>
      </w:r>
      <w:r>
        <w:rPr>
          <w:rFonts w:ascii="Arial" w:hAnsi="Arial" w:cs="Arial"/>
        </w:rPr>
        <w:t xml:space="preserve"> podpory mezinárodní spolupráce tvoří výdaje na členství ČR v mezinárodních organizacích VaVaI a konsorciích ERIC (1,1 mld. Kč). Na tomto místě je však třeba zmínit i další programy MŠMT, kam v roce 2020 směřovaly významné prostředky ze státního rozpočtu. Jedná se zejména o výdaje na program Společná technologická iniciativa ECSEL (68 mil. Kč), program Eurostars-2 (30 mil. Kč) a výdaje na Evropský metrologický program pro</w:t>
      </w:r>
      <w:r w:rsidR="000D07B3">
        <w:rPr>
          <w:rFonts w:ascii="Arial" w:hAnsi="Arial" w:cs="Arial"/>
        </w:rPr>
        <w:t xml:space="preserve"> inovace a výzkum (22 mil. Kč).</w:t>
      </w:r>
    </w:p>
    <w:p w14:paraId="61A15E9E" w14:textId="77777777" w:rsidR="00ED113C" w:rsidRPr="00180A51" w:rsidRDefault="00CB6446" w:rsidP="00ED113C">
      <w:pPr>
        <w:pStyle w:val="Souhrn"/>
      </w:pPr>
      <w:bookmarkStart w:id="31" w:name="_Toc92369614"/>
      <w:bookmarkStart w:id="32" w:name="_Toc87340799"/>
      <w:r>
        <w:lastRenderedPageBreak/>
        <w:t>Závěr</w:t>
      </w:r>
      <w:bookmarkEnd w:id="31"/>
    </w:p>
    <w:p w14:paraId="06B7CE36" w14:textId="77777777" w:rsidR="005B032C" w:rsidRPr="00480B44" w:rsidRDefault="00893960" w:rsidP="005B032C">
      <w:pPr>
        <w:spacing w:line="360" w:lineRule="auto"/>
        <w:ind w:firstLine="426"/>
        <w:contextualSpacing/>
        <w:jc w:val="both"/>
        <w:rPr>
          <w:rFonts w:ascii="Arial" w:hAnsi="Arial" w:cs="Arial"/>
        </w:rPr>
      </w:pPr>
      <w:r w:rsidRPr="00135EB3">
        <w:rPr>
          <w:rFonts w:ascii="Arial" w:hAnsi="Arial" w:cs="Arial"/>
        </w:rPr>
        <w:t>Na základě provedených</w:t>
      </w:r>
      <w:r w:rsidRPr="00F045E0">
        <w:rPr>
          <w:rFonts w:ascii="Arial" w:hAnsi="Arial" w:cs="Arial"/>
        </w:rPr>
        <w:t xml:space="preserve"> rozborů a analýz formulovala Rada pro výzkum, vývoj a inovace tzv. silné a slabé stránky systému VaVaI. Minimalizace či dokonce eliminace slabých stránek a upevnění silných stránek prostřednictvím využití příležitostí by měly přispět ke stabilizaci složek systému VaVaI a do budoucna  napomoci k účinnému fungování systému VaVaI jako celku.</w:t>
      </w:r>
      <w:r w:rsidR="005B032C">
        <w:rPr>
          <w:rFonts w:ascii="Arial" w:hAnsi="Arial" w:cs="Arial"/>
        </w:rPr>
        <w:t xml:space="preserve"> P</w:t>
      </w:r>
      <w:r w:rsidR="005B032C" w:rsidRPr="00F045E0">
        <w:rPr>
          <w:rFonts w:ascii="Arial" w:hAnsi="Arial" w:cs="Arial"/>
        </w:rPr>
        <w:t>ro Českou republiku je</w:t>
      </w:r>
      <w:r w:rsidR="005B032C">
        <w:rPr>
          <w:rFonts w:ascii="Arial" w:hAnsi="Arial" w:cs="Arial"/>
        </w:rPr>
        <w:t xml:space="preserve"> proto</w:t>
      </w:r>
      <w:r w:rsidR="005B032C" w:rsidRPr="00F045E0">
        <w:rPr>
          <w:rFonts w:ascii="Arial" w:hAnsi="Arial" w:cs="Arial"/>
        </w:rPr>
        <w:t xml:space="preserve"> klíčové, aby efektivně za</w:t>
      </w:r>
      <w:r w:rsidR="005B032C">
        <w:rPr>
          <w:rFonts w:ascii="Arial" w:hAnsi="Arial" w:cs="Arial"/>
        </w:rPr>
        <w:t>cílila své kapacity výzkumu, vývoje a inovací</w:t>
      </w:r>
      <w:r w:rsidR="005B032C" w:rsidRPr="00F045E0">
        <w:rPr>
          <w:rFonts w:ascii="Arial" w:hAnsi="Arial" w:cs="Arial"/>
        </w:rPr>
        <w:t xml:space="preserve"> a</w:t>
      </w:r>
      <w:r w:rsidR="005B032C">
        <w:rPr>
          <w:rFonts w:ascii="Arial" w:hAnsi="Arial" w:cs="Arial"/>
        </w:rPr>
        <w:t> </w:t>
      </w:r>
      <w:r w:rsidR="005B032C" w:rsidRPr="00F045E0">
        <w:rPr>
          <w:rFonts w:ascii="Arial" w:hAnsi="Arial" w:cs="Arial"/>
        </w:rPr>
        <w:t>dokázala reagovat na dynamický vývoj</w:t>
      </w:r>
      <w:r w:rsidR="005B032C">
        <w:rPr>
          <w:rFonts w:ascii="Arial" w:hAnsi="Arial" w:cs="Arial"/>
        </w:rPr>
        <w:t xml:space="preserve"> technologií, </w:t>
      </w:r>
      <w:r w:rsidR="005B032C" w:rsidRPr="00F045E0">
        <w:rPr>
          <w:rFonts w:ascii="Arial" w:hAnsi="Arial" w:cs="Arial"/>
        </w:rPr>
        <w:t>především na tzv.</w:t>
      </w:r>
      <w:r w:rsidR="005B032C">
        <w:rPr>
          <w:rFonts w:ascii="Arial" w:hAnsi="Arial" w:cs="Arial"/>
        </w:rPr>
        <w:t> </w:t>
      </w:r>
      <w:r w:rsidR="005B032C" w:rsidRPr="00F045E0">
        <w:rPr>
          <w:rFonts w:ascii="Arial" w:hAnsi="Arial" w:cs="Arial"/>
        </w:rPr>
        <w:t>velké společenské výzvy.</w:t>
      </w:r>
    </w:p>
    <w:p w14:paraId="546E95ED" w14:textId="15864715" w:rsidR="00893960" w:rsidRDefault="00893960" w:rsidP="00893960">
      <w:pPr>
        <w:spacing w:line="360" w:lineRule="auto"/>
        <w:ind w:firstLine="426"/>
        <w:contextualSpacing/>
        <w:jc w:val="both"/>
        <w:rPr>
          <w:rFonts w:ascii="Arial" w:hAnsi="Arial" w:cs="Arial"/>
        </w:rPr>
      </w:pPr>
      <w:r w:rsidRPr="00F045E0">
        <w:rPr>
          <w:rFonts w:ascii="Arial" w:hAnsi="Arial" w:cs="Arial"/>
        </w:rPr>
        <w:t xml:space="preserve">Je patrné, že v některých oblastech je nezbytné provést podrobnější analýzy, což je </w:t>
      </w:r>
      <w:r>
        <w:rPr>
          <w:rFonts w:ascii="Arial" w:hAnsi="Arial" w:cs="Arial"/>
        </w:rPr>
        <w:t xml:space="preserve">bohužel často </w:t>
      </w:r>
      <w:r w:rsidRPr="00F045E0">
        <w:rPr>
          <w:rFonts w:ascii="Arial" w:hAnsi="Arial" w:cs="Arial"/>
        </w:rPr>
        <w:t>omezeno chybějící nebo nedostatečnou datovou základnou</w:t>
      </w:r>
      <w:r>
        <w:rPr>
          <w:rFonts w:ascii="Arial" w:hAnsi="Arial" w:cs="Arial"/>
        </w:rPr>
        <w:t xml:space="preserve"> a</w:t>
      </w:r>
      <w:r w:rsidRPr="00F045E0">
        <w:rPr>
          <w:rFonts w:ascii="Arial" w:hAnsi="Arial" w:cs="Arial"/>
        </w:rPr>
        <w:t xml:space="preserve"> limitovanými personálními kapacitami</w:t>
      </w:r>
      <w:r w:rsidR="00C82A6E">
        <w:rPr>
          <w:rFonts w:ascii="Arial" w:hAnsi="Arial" w:cs="Arial"/>
        </w:rPr>
        <w:t xml:space="preserve"> pro zpracování této Analýzy</w:t>
      </w:r>
      <w:r w:rsidR="00FF0657">
        <w:rPr>
          <w:rFonts w:ascii="Arial" w:hAnsi="Arial" w:cs="Arial"/>
        </w:rPr>
        <w:t xml:space="preserve"> VaVaI za rok 2020</w:t>
      </w:r>
      <w:r w:rsidRPr="00F045E0">
        <w:rPr>
          <w:rFonts w:ascii="Arial" w:hAnsi="Arial" w:cs="Arial"/>
        </w:rPr>
        <w:t>. Z tohoto důvodu jsou některá doporučení směrována do oblasti datové základny (viz Technická doporučení).</w:t>
      </w:r>
      <w:r w:rsidR="00B22B97">
        <w:rPr>
          <w:rFonts w:ascii="Arial" w:hAnsi="Arial" w:cs="Arial"/>
        </w:rPr>
        <w:t xml:space="preserve"> Monitoring kvantitativních indikátorů plnění cílů Národní politiky výzkumu, vývoje a inovací 2016–2020 je uveden v Příloze 1.</w:t>
      </w:r>
    </w:p>
    <w:p w14:paraId="317A9AA9" w14:textId="77777777" w:rsidR="00893960" w:rsidRDefault="00893960" w:rsidP="00893960">
      <w:pPr>
        <w:pStyle w:val="Doporuennadpis"/>
        <w:spacing w:before="120" w:after="120"/>
      </w:pPr>
      <w:r>
        <w:t>Silné a</w:t>
      </w:r>
      <w:r w:rsidRPr="00F045E0">
        <w:t xml:space="preserve"> slabé stránky a příležitosti:</w:t>
      </w:r>
    </w:p>
    <w:p w14:paraId="478C1F02" w14:textId="77777777" w:rsidR="00893960" w:rsidRPr="00F045E0" w:rsidRDefault="00893960" w:rsidP="00893960">
      <w:pPr>
        <w:pStyle w:val="Odstavecseseznamem"/>
        <w:keepNext/>
        <w:numPr>
          <w:ilvl w:val="0"/>
          <w:numId w:val="20"/>
        </w:numPr>
        <w:pBdr>
          <w:top w:val="single" w:sz="18" w:space="1" w:color="4F81BD" w:themeColor="accent1"/>
          <w:left w:val="single" w:sz="18" w:space="4" w:color="4F81BD" w:themeColor="accent1"/>
          <w:bottom w:val="single" w:sz="18" w:space="1" w:color="4F81BD" w:themeColor="accent1"/>
          <w:right w:val="single" w:sz="18" w:space="4" w:color="4F81BD" w:themeColor="accent1"/>
        </w:pBdr>
        <w:shd w:val="clear" w:color="auto" w:fill="F1F4F9"/>
        <w:spacing w:after="0" w:line="360" w:lineRule="auto"/>
        <w:ind w:left="425" w:hanging="283"/>
        <w:jc w:val="both"/>
        <w:rPr>
          <w:rFonts w:ascii="Arial" w:eastAsia="Times New Roman" w:hAnsi="Arial" w:cs="Arial"/>
          <w:i/>
          <w:lang w:eastAsia="cs-CZ"/>
        </w:rPr>
      </w:pPr>
      <w:r w:rsidRPr="00F045E0">
        <w:rPr>
          <w:rFonts w:ascii="Arial" w:eastAsia="Times New Roman" w:hAnsi="Arial" w:cs="Arial"/>
          <w:i/>
          <w:lang w:eastAsia="cs-CZ"/>
        </w:rPr>
        <w:t xml:space="preserve">Ekonomický potenciál ČR spolu s rostoucími </w:t>
      </w:r>
      <w:r w:rsidR="00A04BB6">
        <w:rPr>
          <w:rFonts w:ascii="Arial" w:eastAsia="Times New Roman" w:hAnsi="Arial" w:cs="Arial"/>
          <w:i/>
          <w:lang w:eastAsia="cs-CZ"/>
        </w:rPr>
        <w:t xml:space="preserve">soukromými a veřejnými </w:t>
      </w:r>
      <w:r w:rsidRPr="00F045E0">
        <w:rPr>
          <w:rFonts w:ascii="Arial" w:eastAsia="Times New Roman" w:hAnsi="Arial" w:cs="Arial"/>
          <w:i/>
          <w:lang w:eastAsia="cs-CZ"/>
        </w:rPr>
        <w:t>výdaji na VaVaI a</w:t>
      </w:r>
      <w:r w:rsidR="00A04BB6">
        <w:rPr>
          <w:rFonts w:ascii="Arial" w:eastAsia="Times New Roman" w:hAnsi="Arial" w:cs="Arial"/>
          <w:i/>
          <w:lang w:eastAsia="cs-CZ"/>
        </w:rPr>
        <w:t> </w:t>
      </w:r>
      <w:r w:rsidRPr="00F045E0">
        <w:rPr>
          <w:rFonts w:ascii="Arial" w:eastAsia="Times New Roman" w:hAnsi="Arial" w:cs="Arial"/>
          <w:i/>
          <w:lang w:eastAsia="cs-CZ"/>
        </w:rPr>
        <w:t xml:space="preserve">vybudovanou </w:t>
      </w:r>
      <w:r>
        <w:rPr>
          <w:rFonts w:ascii="Arial" w:eastAsia="Times New Roman" w:hAnsi="Arial" w:cs="Arial"/>
          <w:i/>
          <w:lang w:eastAsia="cs-CZ"/>
        </w:rPr>
        <w:t xml:space="preserve">výzkumnou </w:t>
      </w:r>
      <w:r w:rsidRPr="00F045E0">
        <w:rPr>
          <w:rFonts w:ascii="Arial" w:eastAsia="Times New Roman" w:hAnsi="Arial" w:cs="Arial"/>
          <w:i/>
          <w:lang w:eastAsia="cs-CZ"/>
        </w:rPr>
        <w:t>infrastrukturou</w:t>
      </w:r>
    </w:p>
    <w:p w14:paraId="658E72DB"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Klást při podpoře výzkumu, vývoje a inovací ze státního rozpočtu větší důraz na výzkum a vývoj v zásadních / přelomových oblastech jednotlivých vědních oborů, jejichž výsledky bude vhodné mezinárodně chránit.</w:t>
      </w:r>
    </w:p>
    <w:p w14:paraId="24D92150"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Při přípravě návrhu rozpočtu pokračovat ve stabilizaci výzkumn</w:t>
      </w:r>
      <w:r>
        <w:rPr>
          <w:rFonts w:ascii="Arial" w:eastAsia="Times New Roman" w:hAnsi="Arial" w:cs="Arial"/>
          <w:sz w:val="21"/>
          <w:szCs w:val="21"/>
          <w:lang w:eastAsia="cs-CZ"/>
        </w:rPr>
        <w:t>ých</w:t>
      </w:r>
      <w:r w:rsidRPr="00613684">
        <w:rPr>
          <w:rFonts w:ascii="Arial" w:eastAsia="Times New Roman" w:hAnsi="Arial" w:cs="Arial"/>
          <w:sz w:val="21"/>
          <w:szCs w:val="21"/>
          <w:lang w:eastAsia="cs-CZ"/>
        </w:rPr>
        <w:t xml:space="preserve"> organizac</w:t>
      </w:r>
      <w:r>
        <w:rPr>
          <w:rFonts w:ascii="Arial" w:eastAsia="Times New Roman" w:hAnsi="Arial" w:cs="Arial"/>
          <w:sz w:val="21"/>
          <w:szCs w:val="21"/>
          <w:lang w:eastAsia="cs-CZ"/>
        </w:rPr>
        <w:t>í</w:t>
      </w:r>
      <w:r w:rsidRPr="00613684">
        <w:rPr>
          <w:rFonts w:ascii="Arial" w:eastAsia="Times New Roman" w:hAnsi="Arial" w:cs="Arial"/>
          <w:sz w:val="21"/>
          <w:szCs w:val="21"/>
          <w:lang w:eastAsia="cs-CZ"/>
        </w:rPr>
        <w:t xml:space="preserve"> posilováním podílu institucionální složky státního rozpočtu na VaVaI (ukazatel dlouhodobý koncepční rozvoj výzkumných organizací) vůči účelové podpoře, a to ve vazbě na hodnocení výzkumných organizací.</w:t>
      </w:r>
    </w:p>
    <w:p w14:paraId="38DFC72A" w14:textId="77777777" w:rsidR="00893960"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Analyzovat přínosy jednotlivých nástrojů finanční podpory a výstupy analýz používat k jejich optimalizaci, čehož může být dosaženo důslednou implementací hodnocení výzkumných organizací a hodnocení programů účelové podpory výzkumu, vývoje a inovací</w:t>
      </w:r>
      <w:r>
        <w:rPr>
          <w:rFonts w:ascii="Arial" w:eastAsia="Times New Roman" w:hAnsi="Arial" w:cs="Arial"/>
          <w:sz w:val="21"/>
          <w:szCs w:val="21"/>
          <w:lang w:eastAsia="cs-CZ"/>
        </w:rPr>
        <w:t>.</w:t>
      </w:r>
    </w:p>
    <w:p w14:paraId="7BE86C92" w14:textId="77777777" w:rsidR="002104D8" w:rsidRDefault="002104D8" w:rsidP="002104D8">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Pr>
          <w:rFonts w:ascii="Arial" w:eastAsia="Times New Roman" w:hAnsi="Arial" w:cs="Arial"/>
          <w:sz w:val="21"/>
          <w:szCs w:val="21"/>
          <w:lang w:eastAsia="cs-CZ"/>
        </w:rPr>
        <w:t xml:space="preserve">Nastavit nástroje </w:t>
      </w:r>
      <w:r w:rsidR="00F55AD1">
        <w:rPr>
          <w:rFonts w:ascii="Arial" w:eastAsia="Times New Roman" w:hAnsi="Arial" w:cs="Arial"/>
          <w:sz w:val="21"/>
          <w:szCs w:val="21"/>
          <w:lang w:eastAsia="cs-CZ"/>
        </w:rPr>
        <w:t>přímé a nepřímé veřejné podpory</w:t>
      </w:r>
      <w:r>
        <w:rPr>
          <w:rFonts w:ascii="Arial" w:eastAsia="Times New Roman" w:hAnsi="Arial" w:cs="Arial"/>
          <w:sz w:val="21"/>
          <w:szCs w:val="21"/>
          <w:lang w:eastAsia="cs-CZ"/>
        </w:rPr>
        <w:t xml:space="preserve"> tak, aby docházelo k akceleraci soukromých výdajů</w:t>
      </w:r>
      <w:r w:rsidR="00A04BB6">
        <w:rPr>
          <w:rFonts w:ascii="Arial" w:eastAsia="Times New Roman" w:hAnsi="Arial" w:cs="Arial"/>
          <w:sz w:val="21"/>
          <w:szCs w:val="21"/>
          <w:lang w:eastAsia="cs-CZ"/>
        </w:rPr>
        <w:t xml:space="preserve"> a k vyšší míře spolupráce soukromého a veřejného sektoru</w:t>
      </w:r>
      <w:r>
        <w:rPr>
          <w:rFonts w:ascii="Arial" w:eastAsia="Times New Roman" w:hAnsi="Arial" w:cs="Arial"/>
          <w:sz w:val="21"/>
          <w:szCs w:val="21"/>
          <w:lang w:eastAsia="cs-CZ"/>
        </w:rPr>
        <w:t>.</w:t>
      </w:r>
    </w:p>
    <w:p w14:paraId="1E9A26D6" w14:textId="77777777" w:rsidR="002104D8"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Pr>
          <w:rFonts w:ascii="Arial" w:eastAsia="Times New Roman" w:hAnsi="Arial" w:cs="Arial"/>
          <w:sz w:val="21"/>
          <w:szCs w:val="21"/>
          <w:lang w:eastAsia="cs-CZ"/>
        </w:rPr>
        <w:t>S</w:t>
      </w:r>
      <w:r w:rsidRPr="00A3083D">
        <w:rPr>
          <w:rFonts w:ascii="Arial" w:eastAsia="Times New Roman" w:hAnsi="Arial" w:cs="Arial"/>
          <w:sz w:val="21"/>
          <w:szCs w:val="21"/>
          <w:lang w:eastAsia="cs-CZ"/>
        </w:rPr>
        <w:t>ledovat úroveň adicionality veřejné podpory, neboť cílem a smyslem veřejné podpory VaV by mělo být především doplňovat, nikoli nahrazovat soukromé z</w:t>
      </w:r>
      <w:r w:rsidR="002104D8">
        <w:rPr>
          <w:rFonts w:ascii="Arial" w:eastAsia="Times New Roman" w:hAnsi="Arial" w:cs="Arial"/>
          <w:sz w:val="21"/>
          <w:szCs w:val="21"/>
          <w:lang w:eastAsia="cs-CZ"/>
        </w:rPr>
        <w:t>droje.</w:t>
      </w:r>
    </w:p>
    <w:p w14:paraId="1AD094B8"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Využívat veřejné zahraniční zdroje pro rozvoj systému VaVaI a tak využít potenciál excelentních center VaV a velkých výzkumných infrastruktur jako základnu pro dlouhodobou spolupráci v aplikovaném výzkumu.</w:t>
      </w:r>
    </w:p>
    <w:p w14:paraId="4EE61A6E"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Klást důraz na složku institucionální podpory při plánování finančních prostředků na provoz a další rozvoj výzkumných infrastruktur, jejichž cílem je realizace významných a excelentních výzkumných záměrů, a tím i nadále podporovat a rozšiřovat mezinárodní spolupráci.</w:t>
      </w:r>
    </w:p>
    <w:p w14:paraId="6C90C1A7" w14:textId="77777777" w:rsidR="00893960" w:rsidRPr="00F045E0" w:rsidRDefault="00893960" w:rsidP="00893960">
      <w:pPr>
        <w:pStyle w:val="Odstavecseseznamem"/>
        <w:keepNext/>
        <w:numPr>
          <w:ilvl w:val="0"/>
          <w:numId w:val="21"/>
        </w:numPr>
        <w:pBdr>
          <w:top w:val="single" w:sz="18" w:space="1" w:color="C00000"/>
          <w:left w:val="single" w:sz="18" w:space="4" w:color="C00000"/>
          <w:bottom w:val="single" w:sz="18" w:space="1" w:color="C00000"/>
          <w:right w:val="single" w:sz="18" w:space="4" w:color="C00000"/>
        </w:pBdr>
        <w:shd w:val="clear" w:color="auto" w:fill="F7E9E9"/>
        <w:spacing w:after="0" w:line="360" w:lineRule="auto"/>
        <w:ind w:left="425" w:hanging="283"/>
        <w:jc w:val="both"/>
        <w:rPr>
          <w:rFonts w:ascii="Arial" w:eastAsia="Times New Roman" w:hAnsi="Arial" w:cs="Arial"/>
          <w:i/>
          <w:lang w:eastAsia="cs-CZ"/>
        </w:rPr>
      </w:pPr>
      <w:r w:rsidRPr="00F045E0">
        <w:rPr>
          <w:rFonts w:ascii="Arial" w:eastAsia="Times New Roman" w:hAnsi="Arial" w:cs="Arial"/>
          <w:i/>
          <w:lang w:eastAsia="cs-CZ"/>
        </w:rPr>
        <w:lastRenderedPageBreak/>
        <w:t xml:space="preserve">Soukromé výdaje systému VaVaI </w:t>
      </w:r>
      <w:r>
        <w:rPr>
          <w:rFonts w:ascii="Arial" w:eastAsia="Times New Roman" w:hAnsi="Arial" w:cs="Arial"/>
          <w:i/>
          <w:lang w:eastAsia="cs-CZ"/>
        </w:rPr>
        <w:t>spotřebovávané</w:t>
      </w:r>
      <w:r w:rsidRPr="00F045E0">
        <w:rPr>
          <w:rFonts w:ascii="Arial" w:eastAsia="Times New Roman" w:hAnsi="Arial" w:cs="Arial"/>
          <w:i/>
          <w:lang w:eastAsia="cs-CZ"/>
        </w:rPr>
        <w:t xml:space="preserve"> převážně v soukromé sféře</w:t>
      </w:r>
      <w:r>
        <w:rPr>
          <w:rFonts w:ascii="Arial" w:eastAsia="Times New Roman" w:hAnsi="Arial" w:cs="Arial"/>
          <w:i/>
          <w:lang w:eastAsia="cs-CZ"/>
        </w:rPr>
        <w:t xml:space="preserve"> a tedy dlouhodobě nízká míra </w:t>
      </w:r>
      <w:r w:rsidRPr="00F045E0">
        <w:rPr>
          <w:rFonts w:ascii="Arial" w:eastAsia="Times New Roman" w:hAnsi="Arial" w:cs="Arial"/>
          <w:i/>
          <w:lang w:eastAsia="cs-CZ"/>
        </w:rPr>
        <w:t>spolupráce soukromé a veřejné sféry v systému VaVaI</w:t>
      </w:r>
    </w:p>
    <w:p w14:paraId="08621FC1" w14:textId="77777777" w:rsidR="00A04BB6" w:rsidRDefault="00A04BB6"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Pr>
          <w:rFonts w:ascii="Arial" w:eastAsia="Times New Roman" w:hAnsi="Arial" w:cs="Arial"/>
          <w:sz w:val="21"/>
          <w:szCs w:val="21"/>
          <w:lang w:eastAsia="cs-CZ"/>
        </w:rPr>
        <w:t>M</w:t>
      </w:r>
      <w:r w:rsidR="00BB74C1">
        <w:rPr>
          <w:rFonts w:ascii="Arial" w:eastAsia="Times New Roman" w:hAnsi="Arial" w:cs="Arial"/>
          <w:sz w:val="21"/>
          <w:szCs w:val="21"/>
          <w:lang w:eastAsia="cs-CZ"/>
        </w:rPr>
        <w:t>otivovat k vyšší spolupráci soukromého a veřejného sektoru zvýšením finanční podpory programů účelové podpory zaměřených na aplikovaný výzkum.</w:t>
      </w:r>
    </w:p>
    <w:p w14:paraId="3768DACC"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Pr>
          <w:rFonts w:ascii="Arial" w:eastAsia="Times New Roman" w:hAnsi="Arial" w:cs="Arial"/>
          <w:sz w:val="21"/>
          <w:szCs w:val="21"/>
          <w:lang w:eastAsia="cs-CZ"/>
        </w:rPr>
        <w:t>Rozvíjet kulturu spolupráce soukromého a veřejného sektoru.</w:t>
      </w:r>
    </w:p>
    <w:p w14:paraId="4C9E99FA"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Podporovat zapojení výzkumných organizací veřejného sektoru do výzkumných činností soukromého sektoru prostřednictvím různých pobídek, zvýšených daňových odpočtů a dalších nástrojů nepřímé podpory.</w:t>
      </w:r>
    </w:p>
    <w:p w14:paraId="7B85EBCD" w14:textId="77777777" w:rsidR="00893960"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Zaměřit se v analýzách podrobněji na vazby mezi podnikatelskými subjekty a výzkumnými subjekty veřejného charakteru (vysokými školami, ústavy Akademie věd, resortními výzkumnými pracovišti), se zvláštním zřetelem na společenský a hospodářský růst (včetně zaměstnanosti v technologicky vyspělých oborech s odpovídajícím růstem reálných mezd).</w:t>
      </w:r>
    </w:p>
    <w:p w14:paraId="5BB40B76" w14:textId="77777777" w:rsidR="00893960" w:rsidRPr="00F045E0" w:rsidRDefault="00893960" w:rsidP="00893960">
      <w:pPr>
        <w:pStyle w:val="Odstavecseseznamem"/>
        <w:keepNext/>
        <w:numPr>
          <w:ilvl w:val="0"/>
          <w:numId w:val="21"/>
        </w:numPr>
        <w:pBdr>
          <w:top w:val="single" w:sz="18" w:space="1" w:color="C00000"/>
          <w:left w:val="single" w:sz="18" w:space="4" w:color="C00000"/>
          <w:bottom w:val="single" w:sz="18" w:space="1" w:color="C00000"/>
          <w:right w:val="single" w:sz="18" w:space="4" w:color="C00000"/>
        </w:pBdr>
        <w:shd w:val="clear" w:color="auto" w:fill="F7E9E9"/>
        <w:spacing w:after="0" w:line="360" w:lineRule="auto"/>
        <w:ind w:left="425" w:hanging="283"/>
        <w:jc w:val="both"/>
        <w:rPr>
          <w:rFonts w:ascii="Arial" w:eastAsia="Times New Roman" w:hAnsi="Arial" w:cs="Arial"/>
          <w:i/>
          <w:lang w:eastAsia="cs-CZ"/>
        </w:rPr>
      </w:pPr>
      <w:r w:rsidRPr="00F045E0">
        <w:rPr>
          <w:rFonts w:ascii="Arial" w:eastAsia="Times New Roman" w:hAnsi="Arial" w:cs="Arial"/>
          <w:i/>
          <w:lang w:eastAsia="cs-CZ"/>
        </w:rPr>
        <w:t>Neuspokojivá účast českých výzkumných organizací a týmů v rámcovém programu Horizont 2020</w:t>
      </w:r>
    </w:p>
    <w:p w14:paraId="25288E9A"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Provést takové intervence, které budou české výzkumné organizace (vědecké týmy) motivovat k</w:t>
      </w:r>
      <w:r w:rsidR="00F55AD1">
        <w:rPr>
          <w:rFonts w:ascii="Arial" w:eastAsia="Times New Roman" w:hAnsi="Arial" w:cs="Arial"/>
          <w:sz w:val="21"/>
          <w:szCs w:val="21"/>
          <w:lang w:eastAsia="cs-CZ"/>
        </w:rPr>
        <w:t> </w:t>
      </w:r>
      <w:r w:rsidRPr="00613684">
        <w:rPr>
          <w:rFonts w:ascii="Arial" w:eastAsia="Times New Roman" w:hAnsi="Arial" w:cs="Arial"/>
          <w:sz w:val="21"/>
          <w:szCs w:val="21"/>
          <w:lang w:eastAsia="cs-CZ"/>
        </w:rPr>
        <w:t>vyšší účasti v evropských a dalších mezinárodních programech VaVaI, a to zejména v rámcových programech EU (Horizon Europe).</w:t>
      </w:r>
    </w:p>
    <w:p w14:paraId="1FF37088"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Vytvářet podmínky pro stimulaci českých organizací k většímu zájmu o zapojování se do mezinárodních programů VaVaI, z čehož lze v důsledku vysoké účastnické úspěšnosti ČR v rámcovém programu Horizont 2020 získat značné přínosy pro český systém VaVaI.</w:t>
      </w:r>
    </w:p>
    <w:p w14:paraId="5930C8ED" w14:textId="77777777" w:rsidR="00893960" w:rsidRPr="00F045E0" w:rsidRDefault="007B3D5D" w:rsidP="00893960">
      <w:pPr>
        <w:pStyle w:val="Odstavecseseznamem"/>
        <w:keepNext/>
        <w:numPr>
          <w:ilvl w:val="0"/>
          <w:numId w:val="20"/>
        </w:numPr>
        <w:pBdr>
          <w:top w:val="single" w:sz="18" w:space="1" w:color="4F81BD" w:themeColor="accent1"/>
          <w:left w:val="single" w:sz="18" w:space="4" w:color="4F81BD" w:themeColor="accent1"/>
          <w:bottom w:val="single" w:sz="18" w:space="1" w:color="4F81BD" w:themeColor="accent1"/>
          <w:right w:val="single" w:sz="18" w:space="4" w:color="4F81BD" w:themeColor="accent1"/>
        </w:pBdr>
        <w:shd w:val="clear" w:color="auto" w:fill="F1F4F9"/>
        <w:spacing w:after="0" w:line="360" w:lineRule="auto"/>
        <w:ind w:left="426" w:hanging="284"/>
        <w:jc w:val="both"/>
        <w:rPr>
          <w:rFonts w:ascii="Arial" w:eastAsia="Times New Roman" w:hAnsi="Arial" w:cs="Arial"/>
          <w:i/>
          <w:lang w:eastAsia="cs-CZ"/>
        </w:rPr>
      </w:pPr>
      <w:r>
        <w:rPr>
          <w:rFonts w:ascii="Arial" w:eastAsia="Times New Roman" w:hAnsi="Arial" w:cs="Arial"/>
          <w:i/>
          <w:lang w:eastAsia="cs-CZ"/>
        </w:rPr>
        <w:t>Kvalifikovaní</w:t>
      </w:r>
      <w:r w:rsidR="00893960" w:rsidRPr="00F045E0">
        <w:rPr>
          <w:rFonts w:ascii="Arial" w:eastAsia="Times New Roman" w:hAnsi="Arial" w:cs="Arial"/>
          <w:i/>
          <w:lang w:eastAsia="cs-CZ"/>
        </w:rPr>
        <w:t xml:space="preserve"> </w:t>
      </w:r>
      <w:r>
        <w:rPr>
          <w:rFonts w:ascii="Arial" w:eastAsia="Times New Roman" w:hAnsi="Arial" w:cs="Arial"/>
          <w:i/>
          <w:lang w:eastAsia="cs-CZ"/>
        </w:rPr>
        <w:t>lidé</w:t>
      </w:r>
      <w:r w:rsidR="00893960" w:rsidRPr="00F045E0">
        <w:rPr>
          <w:rFonts w:ascii="Arial" w:eastAsia="Times New Roman" w:hAnsi="Arial" w:cs="Arial"/>
          <w:i/>
          <w:lang w:eastAsia="cs-CZ"/>
        </w:rPr>
        <w:t xml:space="preserve"> a tradičně silné akademické zázemí</w:t>
      </w:r>
    </w:p>
    <w:p w14:paraId="3F991CCA"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Motivovat české výzkumné pracovníky k zapojení se do zahraničních projektů prostřednictvím nových nebo již existujících nástrojů pro navazování, udržování a rozvíjení zahraničních spoluprací (např. mobility MŠMT a AV ČR, program INTER-EXCELLENCE, mezinárodní bilaterální projekty GA ČR, Mezinárodní grantové projekty „Lead Agency“, DELTA 2, projekty ekonomické diplomacie, apod</w:t>
      </w:r>
      <w:r>
        <w:rPr>
          <w:rFonts w:ascii="Arial" w:eastAsia="Times New Roman" w:hAnsi="Arial" w:cs="Arial"/>
          <w:sz w:val="21"/>
          <w:szCs w:val="21"/>
          <w:lang w:eastAsia="cs-CZ"/>
        </w:rPr>
        <w:t>.</w:t>
      </w:r>
      <w:r w:rsidRPr="00613684">
        <w:rPr>
          <w:rFonts w:ascii="Arial" w:eastAsia="Times New Roman" w:hAnsi="Arial" w:cs="Arial"/>
          <w:sz w:val="21"/>
          <w:szCs w:val="21"/>
          <w:lang w:eastAsia="cs-CZ"/>
        </w:rPr>
        <w:t>).</w:t>
      </w:r>
    </w:p>
    <w:p w14:paraId="6FF2526A"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Posílit podporu českým výzkumným pracovníkům při přípravě, podávání a obhajobě výzkumných záměrů do prestižních zahraničních projektů.</w:t>
      </w:r>
    </w:p>
    <w:p w14:paraId="3E508EF7" w14:textId="77777777" w:rsidR="00893960" w:rsidRPr="00F045E0" w:rsidRDefault="00BB74C1" w:rsidP="00893960">
      <w:pPr>
        <w:pStyle w:val="Odstavecseseznamem"/>
        <w:keepNext/>
        <w:numPr>
          <w:ilvl w:val="0"/>
          <w:numId w:val="21"/>
        </w:numPr>
        <w:pBdr>
          <w:top w:val="single" w:sz="18" w:space="1" w:color="C00000"/>
          <w:left w:val="single" w:sz="18" w:space="4" w:color="C00000"/>
          <w:bottom w:val="single" w:sz="18" w:space="1" w:color="C00000"/>
          <w:right w:val="single" w:sz="18" w:space="4" w:color="C00000"/>
        </w:pBdr>
        <w:shd w:val="clear" w:color="auto" w:fill="F7E9E9"/>
        <w:spacing w:after="0" w:line="360" w:lineRule="auto"/>
        <w:ind w:left="425" w:hanging="283"/>
        <w:jc w:val="both"/>
        <w:rPr>
          <w:rFonts w:ascii="Arial" w:eastAsia="Times New Roman" w:hAnsi="Arial" w:cs="Arial"/>
          <w:i/>
          <w:lang w:eastAsia="cs-CZ"/>
        </w:rPr>
      </w:pPr>
      <w:r>
        <w:rPr>
          <w:rFonts w:ascii="Arial" w:eastAsia="Times New Roman" w:hAnsi="Arial" w:cs="Arial"/>
          <w:i/>
          <w:lang w:eastAsia="cs-CZ"/>
        </w:rPr>
        <w:t>Nastavení rozvíjení potřebných</w:t>
      </w:r>
      <w:r w:rsidR="00893960" w:rsidRPr="00F045E0">
        <w:rPr>
          <w:rFonts w:ascii="Arial" w:eastAsia="Times New Roman" w:hAnsi="Arial" w:cs="Arial"/>
          <w:i/>
          <w:lang w:eastAsia="cs-CZ"/>
        </w:rPr>
        <w:t xml:space="preserve"> profesních schopností a dovedností výzkumných pracovníků a </w:t>
      </w:r>
      <w:r>
        <w:rPr>
          <w:rFonts w:ascii="Arial" w:eastAsia="Times New Roman" w:hAnsi="Arial" w:cs="Arial"/>
          <w:i/>
          <w:lang w:eastAsia="cs-CZ"/>
        </w:rPr>
        <w:t>tím nedostatečné</w:t>
      </w:r>
      <w:r w:rsidR="00893960" w:rsidRPr="00F045E0">
        <w:rPr>
          <w:rFonts w:ascii="Arial" w:eastAsia="Times New Roman" w:hAnsi="Arial" w:cs="Arial"/>
          <w:i/>
          <w:lang w:eastAsia="cs-CZ"/>
        </w:rPr>
        <w:t xml:space="preserve"> využití jejich potenciálu</w:t>
      </w:r>
    </w:p>
    <w:p w14:paraId="33896748"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Zaměřit se na odstranění nedostatků v oblasti personálního managementu ve výzkumu a vývoji, podporovat udržitelnost vědeckých kariér zlepšením podmínek slučitelnosti rodinného a profesního života, vytvořit podmínky pro setrvání žen ve výzkumném prostředí, motivovat absolventy k pokračování ve vědecké činnosti.</w:t>
      </w:r>
    </w:p>
    <w:p w14:paraId="394C0EEC" w14:textId="77777777" w:rsidR="00893960"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Zaměřit se na efektivní internacionalizaci českých vědeckých pracovníků a jejich tým</w:t>
      </w:r>
      <w:r>
        <w:rPr>
          <w:rFonts w:ascii="Arial" w:eastAsia="Times New Roman" w:hAnsi="Arial" w:cs="Arial"/>
          <w:sz w:val="21"/>
          <w:szCs w:val="21"/>
          <w:lang w:eastAsia="cs-CZ"/>
        </w:rPr>
        <w:t>ů</w:t>
      </w:r>
      <w:r w:rsidRPr="00613684">
        <w:rPr>
          <w:rFonts w:ascii="Arial" w:eastAsia="Times New Roman" w:hAnsi="Arial" w:cs="Arial"/>
          <w:sz w:val="21"/>
          <w:szCs w:val="21"/>
          <w:lang w:eastAsia="cs-CZ"/>
        </w:rPr>
        <w:t xml:space="preserve"> se zahraničními pracovníky a to prostřednictvím VVI, resp. </w:t>
      </w:r>
      <w:r>
        <w:rPr>
          <w:rFonts w:ascii="Arial" w:eastAsia="Times New Roman" w:hAnsi="Arial" w:cs="Arial"/>
          <w:sz w:val="21"/>
          <w:szCs w:val="21"/>
          <w:lang w:eastAsia="cs-CZ"/>
        </w:rPr>
        <w:t>m</w:t>
      </w:r>
      <w:r w:rsidRPr="00613684">
        <w:rPr>
          <w:rFonts w:ascii="Arial" w:eastAsia="Times New Roman" w:hAnsi="Arial" w:cs="Arial"/>
          <w:sz w:val="21"/>
          <w:szCs w:val="21"/>
          <w:lang w:eastAsia="cs-CZ"/>
        </w:rPr>
        <w:t>ezinárodní spolupráci a zapojování do m</w:t>
      </w:r>
      <w:r>
        <w:rPr>
          <w:rFonts w:ascii="Arial" w:eastAsia="Times New Roman" w:hAnsi="Arial" w:cs="Arial"/>
          <w:sz w:val="21"/>
          <w:szCs w:val="21"/>
          <w:lang w:eastAsia="cs-CZ"/>
        </w:rPr>
        <w:t>ezinárodních právních uskupení.</w:t>
      </w:r>
    </w:p>
    <w:p w14:paraId="35E53E70" w14:textId="360C1738" w:rsidR="00893960"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Pr>
          <w:rFonts w:ascii="Arial" w:eastAsia="Times New Roman" w:hAnsi="Arial" w:cs="Arial"/>
          <w:sz w:val="21"/>
          <w:szCs w:val="21"/>
          <w:lang w:eastAsia="cs-CZ"/>
        </w:rPr>
        <w:lastRenderedPageBreak/>
        <w:t xml:space="preserve">Zabránit </w:t>
      </w:r>
      <w:r w:rsidRPr="00A3083D">
        <w:rPr>
          <w:rFonts w:ascii="Arial" w:eastAsia="Times New Roman" w:hAnsi="Arial" w:cs="Arial"/>
          <w:sz w:val="21"/>
          <w:szCs w:val="21"/>
          <w:lang w:eastAsia="cs-CZ"/>
        </w:rPr>
        <w:t>tzv. prekarizac</w:t>
      </w:r>
      <w:r>
        <w:rPr>
          <w:rFonts w:ascii="Arial" w:eastAsia="Times New Roman" w:hAnsi="Arial" w:cs="Arial"/>
          <w:sz w:val="21"/>
          <w:szCs w:val="21"/>
          <w:lang w:eastAsia="cs-CZ"/>
        </w:rPr>
        <w:t>i</w:t>
      </w:r>
      <w:r w:rsidR="00C67149">
        <w:rPr>
          <w:rStyle w:val="Znakapoznpodarou"/>
          <w:rFonts w:ascii="Arial" w:eastAsia="Times New Roman" w:hAnsi="Arial" w:cs="Arial"/>
          <w:sz w:val="21"/>
          <w:szCs w:val="21"/>
          <w:lang w:eastAsia="cs-CZ"/>
        </w:rPr>
        <w:footnoteReference w:id="2"/>
      </w:r>
      <w:r w:rsidRPr="00A3083D">
        <w:rPr>
          <w:rFonts w:ascii="Arial" w:eastAsia="Times New Roman" w:hAnsi="Arial" w:cs="Arial"/>
          <w:sz w:val="21"/>
          <w:szCs w:val="21"/>
          <w:lang w:eastAsia="cs-CZ"/>
        </w:rPr>
        <w:t xml:space="preserve"> výzkumných pracovníků, kdy vlivem financování z</w:t>
      </w:r>
      <w:r>
        <w:rPr>
          <w:rFonts w:ascii="Arial" w:eastAsia="Times New Roman" w:hAnsi="Arial" w:cs="Arial"/>
          <w:sz w:val="21"/>
          <w:szCs w:val="21"/>
          <w:lang w:eastAsia="cs-CZ"/>
        </w:rPr>
        <w:t> </w:t>
      </w:r>
      <w:r w:rsidRPr="00A3083D">
        <w:rPr>
          <w:rFonts w:ascii="Arial" w:eastAsia="Times New Roman" w:hAnsi="Arial" w:cs="Arial"/>
          <w:sz w:val="21"/>
          <w:szCs w:val="21"/>
          <w:lang w:eastAsia="cs-CZ"/>
        </w:rPr>
        <w:t>krátkodobých projektů vzniká skupina zaměstnanců, kteří jsou zaměstnáváni většinou na krátké úvazky na dobu určitou, což může vést v kr</w:t>
      </w:r>
      <w:r>
        <w:rPr>
          <w:rFonts w:ascii="Arial" w:eastAsia="Times New Roman" w:hAnsi="Arial" w:cs="Arial"/>
          <w:sz w:val="21"/>
          <w:szCs w:val="21"/>
          <w:lang w:eastAsia="cs-CZ"/>
        </w:rPr>
        <w:t xml:space="preserve">ajním případě i k </w:t>
      </w:r>
      <w:r w:rsidRPr="00A3083D">
        <w:rPr>
          <w:rFonts w:ascii="Arial" w:eastAsia="Times New Roman" w:hAnsi="Arial" w:cs="Arial"/>
          <w:sz w:val="21"/>
          <w:szCs w:val="21"/>
          <w:lang w:eastAsia="cs-CZ"/>
        </w:rPr>
        <w:t>ukončení vědecké kariéry.</w:t>
      </w:r>
    </w:p>
    <w:p w14:paraId="36992C33" w14:textId="77777777" w:rsidR="00893960" w:rsidRPr="00F045E0" w:rsidRDefault="00893960" w:rsidP="00893960">
      <w:pPr>
        <w:pStyle w:val="Odstavecseseznamem"/>
        <w:keepNext/>
        <w:numPr>
          <w:ilvl w:val="0"/>
          <w:numId w:val="21"/>
        </w:numPr>
        <w:pBdr>
          <w:top w:val="single" w:sz="18" w:space="1" w:color="C00000"/>
          <w:left w:val="single" w:sz="18" w:space="4" w:color="C00000"/>
          <w:bottom w:val="single" w:sz="18" w:space="1" w:color="C00000"/>
          <w:right w:val="single" w:sz="18" w:space="4" w:color="C00000"/>
        </w:pBdr>
        <w:shd w:val="clear" w:color="auto" w:fill="F7E9E9"/>
        <w:spacing w:after="0" w:line="360" w:lineRule="auto"/>
        <w:ind w:left="426" w:hanging="284"/>
        <w:jc w:val="both"/>
        <w:rPr>
          <w:rFonts w:ascii="Arial" w:eastAsia="Times New Roman" w:hAnsi="Arial" w:cs="Arial"/>
          <w:i/>
          <w:lang w:eastAsia="cs-CZ"/>
        </w:rPr>
      </w:pPr>
      <w:r w:rsidRPr="00F045E0">
        <w:rPr>
          <w:rFonts w:ascii="Arial" w:eastAsia="Times New Roman" w:hAnsi="Arial" w:cs="Arial"/>
          <w:i/>
          <w:lang w:eastAsia="cs-CZ"/>
        </w:rPr>
        <w:t>Nízké zastoupení žen ve výzkumném prostředí ČR</w:t>
      </w:r>
    </w:p>
    <w:p w14:paraId="2D416E61"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Nastavit podmínky pro zvýšení motivace žen k zapojení se do výzkumných činností a setrvat ve vědecké kariérní dráze:</w:t>
      </w:r>
    </w:p>
    <w:p w14:paraId="42344E83" w14:textId="77777777" w:rsidR="00893960" w:rsidRPr="00613684" w:rsidRDefault="00893960" w:rsidP="00893960">
      <w:pPr>
        <w:pStyle w:val="Odstavecseseznamem"/>
        <w:numPr>
          <w:ilvl w:val="0"/>
          <w:numId w:val="23"/>
        </w:numPr>
        <w:spacing w:after="0" w:line="360" w:lineRule="auto"/>
        <w:ind w:left="1134"/>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formulovat doporučení vyplývající z hodnocení ukončených programů směrem k poskytovatelům podpory,</w:t>
      </w:r>
    </w:p>
    <w:p w14:paraId="6BB4D82C" w14:textId="77777777" w:rsidR="00893960" w:rsidRPr="00613684" w:rsidRDefault="00893960" w:rsidP="00893960">
      <w:pPr>
        <w:pStyle w:val="Odstavecseseznamem"/>
        <w:numPr>
          <w:ilvl w:val="0"/>
          <w:numId w:val="23"/>
        </w:numPr>
        <w:spacing w:after="0" w:line="360" w:lineRule="auto"/>
        <w:ind w:left="1134"/>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směrovat požadavky na výzkumné organizace k podpoře sloučení profesního a rodinného života (např. motivace a podpora ženám již v době doktorského studia, která bude směřovat k vyššímu zastoupení žen ve vědecké kariéře).</w:t>
      </w:r>
    </w:p>
    <w:p w14:paraId="13D5EEFF" w14:textId="77777777" w:rsidR="00893960" w:rsidRPr="00F045E0" w:rsidRDefault="00893960" w:rsidP="00893960">
      <w:pPr>
        <w:pStyle w:val="Odstavecseseznamem"/>
        <w:keepNext/>
        <w:numPr>
          <w:ilvl w:val="0"/>
          <w:numId w:val="20"/>
        </w:numPr>
        <w:pBdr>
          <w:top w:val="single" w:sz="18" w:space="1" w:color="4F81BD" w:themeColor="accent1"/>
          <w:left w:val="single" w:sz="18" w:space="4" w:color="4F81BD" w:themeColor="accent1"/>
          <w:bottom w:val="single" w:sz="18" w:space="1" w:color="4F81BD" w:themeColor="accent1"/>
          <w:right w:val="single" w:sz="18" w:space="4" w:color="4F81BD" w:themeColor="accent1"/>
        </w:pBdr>
        <w:shd w:val="clear" w:color="auto" w:fill="F1F4F9"/>
        <w:spacing w:after="0" w:line="360" w:lineRule="auto"/>
        <w:ind w:left="425" w:hanging="283"/>
        <w:jc w:val="both"/>
        <w:rPr>
          <w:rFonts w:ascii="Arial" w:eastAsia="Times New Roman" w:hAnsi="Arial" w:cs="Arial"/>
          <w:i/>
          <w:lang w:eastAsia="cs-CZ"/>
        </w:rPr>
      </w:pPr>
      <w:r w:rsidRPr="00F045E0">
        <w:rPr>
          <w:rFonts w:ascii="Arial" w:eastAsia="Times New Roman" w:hAnsi="Arial" w:cs="Arial"/>
          <w:i/>
          <w:lang w:eastAsia="cs-CZ"/>
        </w:rPr>
        <w:t>Silná kultura publikační činnosti a postupně se rozvíjející internacionalizace vedoucí k excelenci některých vědeckých oborů</w:t>
      </w:r>
    </w:p>
    <w:p w14:paraId="113E6C67"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Realizovat opatření podporující zvyšování kvality publikačních výstupů a internacionalizaci zejména v základním výzkumu.</w:t>
      </w:r>
    </w:p>
    <w:p w14:paraId="22D17500" w14:textId="77777777" w:rsidR="006775CA" w:rsidRPr="006775CA" w:rsidRDefault="00893960" w:rsidP="006775CA">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775CA">
        <w:rPr>
          <w:rFonts w:ascii="Arial" w:eastAsia="Times New Roman" w:hAnsi="Arial" w:cs="Arial"/>
          <w:sz w:val="21"/>
          <w:szCs w:val="21"/>
          <w:lang w:eastAsia="cs-CZ"/>
        </w:rPr>
        <w:t>V rámci hodnocení výzkumných organizací i hodnocení programů realizovat opatření motivující výzkumné organizace k provádění aplikovaného výzkumu, což by se mělo projevit nárůstem poměru aplikovaných výsledků vůči publikačním.</w:t>
      </w:r>
    </w:p>
    <w:p w14:paraId="588242B6" w14:textId="77777777" w:rsidR="006775CA" w:rsidRPr="006775CA" w:rsidRDefault="00893960" w:rsidP="006775CA">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775CA">
        <w:rPr>
          <w:rFonts w:ascii="Arial" w:eastAsia="Times New Roman" w:hAnsi="Arial" w:cs="Arial"/>
          <w:sz w:val="21"/>
          <w:szCs w:val="21"/>
          <w:lang w:eastAsia="cs-CZ"/>
        </w:rPr>
        <w:t>Podporovat budování vztahů se zahraničními partnery a vytvářet dlouhodobé vazby na špičková vědecká pracoviště.</w:t>
      </w:r>
    </w:p>
    <w:p w14:paraId="1846256C" w14:textId="77777777" w:rsidR="006775CA" w:rsidRDefault="006775CA" w:rsidP="006775CA">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Pr>
          <w:rFonts w:ascii="Arial" w:eastAsia="Times New Roman" w:hAnsi="Arial" w:cs="Arial"/>
          <w:sz w:val="21"/>
          <w:szCs w:val="21"/>
          <w:lang w:eastAsia="cs-CZ"/>
        </w:rPr>
        <w:t>P</w:t>
      </w:r>
      <w:r w:rsidRPr="006775CA">
        <w:rPr>
          <w:rFonts w:ascii="Arial" w:eastAsia="Times New Roman" w:hAnsi="Arial" w:cs="Arial"/>
          <w:sz w:val="21"/>
          <w:szCs w:val="21"/>
          <w:lang w:eastAsia="cs-CZ"/>
        </w:rPr>
        <w:t>okračovat a rozvíjet již existující nástroje směřujících k podpoře širšího zapojení do aktivit ERC</w:t>
      </w:r>
      <w:r>
        <w:rPr>
          <w:rFonts w:ascii="Arial" w:eastAsia="Times New Roman" w:hAnsi="Arial" w:cs="Arial"/>
          <w:sz w:val="21"/>
          <w:szCs w:val="21"/>
          <w:lang w:eastAsia="cs-CZ"/>
        </w:rPr>
        <w:t xml:space="preserve"> a tím p</w:t>
      </w:r>
      <w:r w:rsidRPr="006775CA">
        <w:rPr>
          <w:rFonts w:ascii="Arial" w:eastAsia="Times New Roman" w:hAnsi="Arial" w:cs="Arial"/>
          <w:sz w:val="21"/>
          <w:szCs w:val="21"/>
          <w:lang w:eastAsia="cs-CZ"/>
        </w:rPr>
        <w:t>odporovat ambici proniknout mezi excelentní vědecké t</w:t>
      </w:r>
      <w:r>
        <w:rPr>
          <w:rFonts w:ascii="Arial" w:eastAsia="Times New Roman" w:hAnsi="Arial" w:cs="Arial"/>
          <w:sz w:val="21"/>
          <w:szCs w:val="21"/>
          <w:lang w:eastAsia="cs-CZ"/>
        </w:rPr>
        <w:t>ýmy v Evropě.</w:t>
      </w:r>
    </w:p>
    <w:p w14:paraId="561669E3" w14:textId="77777777" w:rsidR="00893960" w:rsidRPr="006775CA" w:rsidRDefault="00893960" w:rsidP="006F7E88">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775CA">
        <w:rPr>
          <w:rFonts w:ascii="Arial" w:eastAsia="Times New Roman" w:hAnsi="Arial" w:cs="Arial"/>
          <w:sz w:val="21"/>
          <w:szCs w:val="21"/>
          <w:lang w:eastAsia="cs-CZ"/>
        </w:rPr>
        <w:t>Nadále podporovat a motivovat výzkumné pracovníky a výzkumné organizace k evidenci všech dosažených výsledků v informačním systému VaVaI.</w:t>
      </w:r>
    </w:p>
    <w:p w14:paraId="34E91882" w14:textId="77777777" w:rsidR="00893960" w:rsidRPr="00F045E0" w:rsidRDefault="00BB74C1" w:rsidP="00893960">
      <w:pPr>
        <w:pStyle w:val="Odstavecseseznamem"/>
        <w:keepNext/>
        <w:numPr>
          <w:ilvl w:val="0"/>
          <w:numId w:val="21"/>
        </w:numPr>
        <w:pBdr>
          <w:top w:val="single" w:sz="18" w:space="1" w:color="C00000"/>
          <w:left w:val="single" w:sz="18" w:space="4" w:color="C00000"/>
          <w:bottom w:val="single" w:sz="18" w:space="1" w:color="C00000"/>
          <w:right w:val="single" w:sz="18" w:space="4" w:color="C00000"/>
        </w:pBdr>
        <w:shd w:val="clear" w:color="auto" w:fill="F7E9E9"/>
        <w:spacing w:after="0" w:line="360" w:lineRule="auto"/>
        <w:ind w:left="425" w:hanging="283"/>
        <w:jc w:val="both"/>
        <w:rPr>
          <w:rFonts w:ascii="Arial" w:eastAsia="Times New Roman" w:hAnsi="Arial" w:cs="Arial"/>
          <w:i/>
          <w:lang w:eastAsia="cs-CZ"/>
        </w:rPr>
      </w:pPr>
      <w:r>
        <w:rPr>
          <w:rFonts w:ascii="Arial" w:eastAsia="Times New Roman" w:hAnsi="Arial" w:cs="Arial"/>
          <w:i/>
          <w:lang w:eastAsia="cs-CZ"/>
        </w:rPr>
        <w:t>Nedostatečné p</w:t>
      </w:r>
      <w:r w:rsidR="00893960" w:rsidRPr="00F045E0">
        <w:rPr>
          <w:rFonts w:ascii="Arial" w:eastAsia="Times New Roman" w:hAnsi="Arial" w:cs="Arial"/>
          <w:i/>
          <w:lang w:eastAsia="cs-CZ"/>
        </w:rPr>
        <w:t>odmínky pro efektivní fungování a rozvoj inovačních aktivit</w:t>
      </w:r>
      <w:r w:rsidR="00244325">
        <w:rPr>
          <w:rFonts w:ascii="Arial" w:eastAsia="Times New Roman" w:hAnsi="Arial" w:cs="Arial"/>
          <w:i/>
          <w:lang w:eastAsia="cs-CZ"/>
        </w:rPr>
        <w:t xml:space="preserve"> a nedostatečn</w:t>
      </w:r>
      <w:r>
        <w:rPr>
          <w:rFonts w:ascii="Arial" w:eastAsia="Times New Roman" w:hAnsi="Arial" w:cs="Arial"/>
          <w:i/>
          <w:lang w:eastAsia="cs-CZ"/>
        </w:rPr>
        <w:t>é</w:t>
      </w:r>
      <w:r w:rsidR="00244325">
        <w:rPr>
          <w:rFonts w:ascii="Arial" w:eastAsia="Times New Roman" w:hAnsi="Arial" w:cs="Arial"/>
          <w:i/>
          <w:lang w:eastAsia="cs-CZ"/>
        </w:rPr>
        <w:t xml:space="preserve"> </w:t>
      </w:r>
      <w:r>
        <w:rPr>
          <w:rFonts w:ascii="Arial" w:eastAsia="Times New Roman" w:hAnsi="Arial" w:cs="Arial"/>
          <w:i/>
          <w:lang w:eastAsia="cs-CZ"/>
        </w:rPr>
        <w:t>využívání možností</w:t>
      </w:r>
      <w:r w:rsidR="00244325">
        <w:rPr>
          <w:rFonts w:ascii="Arial" w:eastAsia="Times New Roman" w:hAnsi="Arial" w:cs="Arial"/>
          <w:i/>
          <w:lang w:eastAsia="cs-CZ"/>
        </w:rPr>
        <w:t xml:space="preserve"> ochrany duševního vlastnictví</w:t>
      </w:r>
    </w:p>
    <w:p w14:paraId="6D5E1468" w14:textId="77777777" w:rsidR="00893960"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Pokračovat v odstraňování hlavních bariér inovačního pokroku v ČR, kterými jsou nízké investice rizikového kapitálu, nízká míra využití ochrany duševního vlastnictví formou mezinárodních patentů, nedostatky v oblasti lidských zdrojů, a následně podporovat využívání dalších forem finančních nástrojů, včetně záruk, zvýhodněných úvěrů apod. pro rozvoj inovačních aktivit.</w:t>
      </w:r>
    </w:p>
    <w:p w14:paraId="4D41CA2C" w14:textId="77777777" w:rsidR="00244325" w:rsidRDefault="00244325"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Pr>
          <w:rFonts w:ascii="Arial" w:eastAsia="Times New Roman" w:hAnsi="Arial" w:cs="Arial"/>
          <w:sz w:val="21"/>
          <w:szCs w:val="21"/>
          <w:lang w:eastAsia="cs-CZ"/>
        </w:rPr>
        <w:t>Vytvořit vhodné podmínky a pobídky pro investice do start-ups.</w:t>
      </w:r>
    </w:p>
    <w:p w14:paraId="6FF5E581" w14:textId="77777777" w:rsidR="00244325" w:rsidRPr="00613684" w:rsidRDefault="00244325"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Pr>
          <w:rFonts w:ascii="Arial" w:eastAsia="Times New Roman" w:hAnsi="Arial" w:cs="Arial"/>
          <w:sz w:val="21"/>
          <w:szCs w:val="21"/>
          <w:lang w:eastAsia="cs-CZ"/>
        </w:rPr>
        <w:t>Zajištění efektivního využívání nástrojů ochrany duševního vlastnictví včetně podpory znalostní báze ochrany průmyslového vlastnictví.</w:t>
      </w:r>
    </w:p>
    <w:p w14:paraId="477278CE"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lastRenderedPageBreak/>
        <w:t>Věnovat se hlouběji problematice duševního vlastnictví a nastavit podmínky pro výzkumné organizace, potažmo pro vědecká pracoviště tak, aby byly dostatečně motivovány k efektivní licenční politice, a tím v budoucnu přispět k růstu výnosů z prodeje licencí patentů, ve kterých ČR značně zaostává.</w:t>
      </w:r>
    </w:p>
    <w:p w14:paraId="0D9142E4"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Prostřednictvím rozvoje a podpory inovačních aktivit posunout podnikatelské subjekty od role "plnění dílčích koncernových funkcí" směrem k roli "globálních inovačních lídrů a pr</w:t>
      </w:r>
      <w:r>
        <w:rPr>
          <w:rFonts w:ascii="Arial" w:eastAsia="Times New Roman" w:hAnsi="Arial" w:cs="Arial"/>
          <w:sz w:val="21"/>
          <w:szCs w:val="21"/>
          <w:lang w:eastAsia="cs-CZ"/>
        </w:rPr>
        <w:t>ůkopníků, kteří utvářejí trhy".</w:t>
      </w:r>
    </w:p>
    <w:p w14:paraId="18BFE651" w14:textId="77777777" w:rsidR="00893960" w:rsidRPr="00613684" w:rsidRDefault="00893960" w:rsidP="00893960">
      <w:pPr>
        <w:pStyle w:val="Odstavecseseznamem"/>
        <w:numPr>
          <w:ilvl w:val="0"/>
          <w:numId w:val="22"/>
        </w:numPr>
        <w:spacing w:after="0" w:line="360" w:lineRule="auto"/>
        <w:ind w:left="567" w:hanging="283"/>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Za pomoci vhodných nástrojů podpořit vyšší podnikatelské ambice a vyšší míru přijímaného rizika při rozhodování o výši investic směřujících do VaV. Smyslem podpory inovačních aktivit v podnicích je posun těchto subjektů ze spodních pater globálních hodnotových řetězců do pater vyšších.</w:t>
      </w:r>
    </w:p>
    <w:p w14:paraId="14F381D4" w14:textId="77777777" w:rsidR="00893960" w:rsidRPr="00F045E0" w:rsidRDefault="00893960" w:rsidP="004B71AC">
      <w:pPr>
        <w:pStyle w:val="Doporuennadpis"/>
        <w:keepNext/>
        <w:widowControl w:val="0"/>
        <w:spacing w:before="240"/>
      </w:pPr>
      <w:r w:rsidRPr="00F045E0">
        <w:t>Technická doporučení:</w:t>
      </w:r>
    </w:p>
    <w:p w14:paraId="5CC851AB" w14:textId="77777777" w:rsidR="00893960" w:rsidRPr="00613684" w:rsidRDefault="00893960" w:rsidP="00893960">
      <w:pPr>
        <w:pStyle w:val="Odstavecseseznamem"/>
        <w:numPr>
          <w:ilvl w:val="0"/>
          <w:numId w:val="22"/>
        </w:numPr>
        <w:spacing w:after="0" w:line="360" w:lineRule="auto"/>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 xml:space="preserve">V rámci IS VaVaI dále budovat robustní, aktuální a dostupnou datovou základnu. Přičemž východiskem pro rozvoj datové základny využívané pro analýzy VaVaI je úložiště dat vytvořené a spravované RVVI. </w:t>
      </w:r>
      <w:r>
        <w:rPr>
          <w:rFonts w:ascii="Arial" w:eastAsia="Times New Roman" w:hAnsi="Arial" w:cs="Arial"/>
          <w:sz w:val="21"/>
          <w:szCs w:val="21"/>
          <w:lang w:eastAsia="cs-CZ"/>
        </w:rPr>
        <w:t>Toto</w:t>
      </w:r>
      <w:r w:rsidRPr="00613684">
        <w:rPr>
          <w:rFonts w:ascii="Arial" w:eastAsia="Times New Roman" w:hAnsi="Arial" w:cs="Arial"/>
          <w:sz w:val="21"/>
          <w:szCs w:val="21"/>
          <w:lang w:eastAsia="cs-CZ"/>
        </w:rPr>
        <w:t xml:space="preserve"> řešení umožní propojování údajů IS VaVaI s údaji z různých databází a registrů relevantních pro analýzy VaVaI (např. PATSTAT, E-Corda, Web of Science, ČSÚ-VTR, ČSÚ-RES, ETER, OECD MSTI, databáze poskytovatelů, registry ČSSZ nebo GFŘ – viz také Příloha 2).</w:t>
      </w:r>
    </w:p>
    <w:p w14:paraId="0BF1FB0B" w14:textId="77777777" w:rsidR="00893960" w:rsidRPr="00613684" w:rsidRDefault="00893960" w:rsidP="00893960">
      <w:pPr>
        <w:pStyle w:val="Odstavecseseznamem"/>
        <w:numPr>
          <w:ilvl w:val="0"/>
          <w:numId w:val="22"/>
        </w:numPr>
        <w:spacing w:after="0" w:line="360" w:lineRule="auto"/>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Pokračovat v realizaci sjednocení číselníků vědních oborů v IS VaVaI a skupin oborů používaných v ČR se strukturou OECD FORD (součást tzv. Frascati manuálu).</w:t>
      </w:r>
    </w:p>
    <w:p w14:paraId="5D389A61" w14:textId="77777777" w:rsidR="00893960" w:rsidRPr="00613684" w:rsidRDefault="00893960" w:rsidP="00893960">
      <w:pPr>
        <w:pStyle w:val="Odstavecseseznamem"/>
        <w:numPr>
          <w:ilvl w:val="0"/>
          <w:numId w:val="22"/>
        </w:numPr>
        <w:spacing w:after="0" w:line="360" w:lineRule="auto"/>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Zabezpečit evidenci institucionální podpory výzkumu, vývoje a inovací v IS VaVaI podle vědních oborů, které byly podpořeny, a v případě vysokých škol zabezpečit evidenci až na úroveň fakult nebo kateder.</w:t>
      </w:r>
    </w:p>
    <w:p w14:paraId="5F875CB8" w14:textId="77777777" w:rsidR="00893960" w:rsidRPr="00613684" w:rsidRDefault="00893960" w:rsidP="00893960">
      <w:pPr>
        <w:pStyle w:val="Odstavecseseznamem"/>
        <w:numPr>
          <w:ilvl w:val="0"/>
          <w:numId w:val="22"/>
        </w:numPr>
        <w:spacing w:after="0" w:line="360" w:lineRule="auto"/>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Evidovat podporu výzkumu, vývoje a inovací v IS VaVaI ze všech veřejných zahraničních zdrojů, u operačních programů evidovat podporu také v rozdělení na část EU a část ze státního rozpočtu (spolufinancování ze SR).</w:t>
      </w:r>
    </w:p>
    <w:p w14:paraId="66FCE4BF" w14:textId="77777777" w:rsidR="00893960" w:rsidRPr="00613684" w:rsidRDefault="00893960" w:rsidP="00893960">
      <w:pPr>
        <w:pStyle w:val="Odstavecseseznamem"/>
        <w:numPr>
          <w:ilvl w:val="0"/>
          <w:numId w:val="22"/>
        </w:numPr>
        <w:spacing w:after="0" w:line="360" w:lineRule="auto"/>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Zavést pravidelný monitoring uplatnění výzkumných infrastruktur v aplikovaném výzkumu pro potřeby významných odvětví národního hospodářství ČR</w:t>
      </w:r>
      <w:r>
        <w:rPr>
          <w:rFonts w:ascii="Arial" w:eastAsia="Times New Roman" w:hAnsi="Arial" w:cs="Arial"/>
          <w:sz w:val="21"/>
          <w:szCs w:val="21"/>
          <w:lang w:eastAsia="cs-CZ"/>
        </w:rPr>
        <w:t>,</w:t>
      </w:r>
      <w:r w:rsidRPr="00613684">
        <w:rPr>
          <w:rFonts w:ascii="Arial" w:eastAsia="Times New Roman" w:hAnsi="Arial" w:cs="Arial"/>
          <w:sz w:val="21"/>
          <w:szCs w:val="21"/>
          <w:lang w:eastAsia="cs-CZ"/>
        </w:rPr>
        <w:t xml:space="preserve"> s čímž souvisí plné využívání evidence výsledků vzniklých s využitím výzkumné infrastruktury.</w:t>
      </w:r>
    </w:p>
    <w:p w14:paraId="0EE04E6E" w14:textId="77777777" w:rsidR="00893960" w:rsidRPr="00613684" w:rsidRDefault="00893960" w:rsidP="00893960">
      <w:pPr>
        <w:pStyle w:val="Odstavecseseznamem"/>
        <w:numPr>
          <w:ilvl w:val="0"/>
          <w:numId w:val="22"/>
        </w:numPr>
        <w:spacing w:after="0" w:line="360" w:lineRule="auto"/>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Zajistit evidenci informací o využití výsledků výzkumu a vývoje na národní úrovni.</w:t>
      </w:r>
    </w:p>
    <w:p w14:paraId="4E2D79AC" w14:textId="77777777" w:rsidR="00893960" w:rsidRPr="00AB09EC" w:rsidRDefault="00893960" w:rsidP="00893960">
      <w:pPr>
        <w:pStyle w:val="Odstavecseseznamem"/>
        <w:numPr>
          <w:ilvl w:val="0"/>
          <w:numId w:val="22"/>
        </w:numPr>
        <w:spacing w:after="0" w:line="360" w:lineRule="auto"/>
        <w:jc w:val="both"/>
        <w:rPr>
          <w:rFonts w:ascii="Arial" w:eastAsia="Times New Roman" w:hAnsi="Arial" w:cs="Arial"/>
          <w:sz w:val="21"/>
          <w:szCs w:val="21"/>
          <w:lang w:eastAsia="cs-CZ"/>
        </w:rPr>
      </w:pPr>
      <w:r w:rsidRPr="00613684">
        <w:rPr>
          <w:rFonts w:ascii="Arial" w:eastAsia="Times New Roman" w:hAnsi="Arial" w:cs="Arial"/>
          <w:sz w:val="21"/>
          <w:szCs w:val="21"/>
          <w:lang w:eastAsia="cs-CZ"/>
        </w:rPr>
        <w:t>Zajistit evidenci výzkumných pracovníků a jejich participací na jednotlivých projektech včetně evidence výše úvazků.</w:t>
      </w:r>
    </w:p>
    <w:bookmarkEnd w:id="32"/>
    <w:p w14:paraId="41A19FAA" w14:textId="77777777" w:rsidR="004311E6" w:rsidRPr="004B326D" w:rsidRDefault="004311E6" w:rsidP="00460154">
      <w:pPr>
        <w:pageBreakBefore/>
        <w:tabs>
          <w:tab w:val="right" w:pos="9356"/>
        </w:tabs>
        <w:rPr>
          <w:rFonts w:ascii="Arial" w:hAnsi="Arial" w:cs="Arial"/>
          <w:b/>
          <w:sz w:val="24"/>
          <w:szCs w:val="24"/>
        </w:rPr>
      </w:pPr>
      <w:r w:rsidRPr="004B326D">
        <w:rPr>
          <w:rFonts w:ascii="Arial" w:hAnsi="Arial" w:cs="Arial"/>
          <w:b/>
          <w:sz w:val="24"/>
          <w:szCs w:val="24"/>
        </w:rPr>
        <w:lastRenderedPageBreak/>
        <w:t>Zpracovatel:</w:t>
      </w:r>
    </w:p>
    <w:p w14:paraId="22D326F5" w14:textId="77777777" w:rsidR="004311E6" w:rsidRPr="004B326D" w:rsidRDefault="005F5A7B" w:rsidP="00A17C8A">
      <w:pPr>
        <w:tabs>
          <w:tab w:val="left" w:pos="6237"/>
          <w:tab w:val="right" w:pos="9356"/>
        </w:tabs>
        <w:rPr>
          <w:rFonts w:ascii="Arial" w:hAnsi="Arial" w:cs="Arial"/>
          <w:b/>
        </w:rPr>
      </w:pPr>
      <w:r w:rsidRPr="004B326D">
        <w:rPr>
          <w:rFonts w:ascii="Arial" w:hAnsi="Arial" w:cs="Arial"/>
          <w:b/>
        </w:rPr>
        <w:t xml:space="preserve">Oddělení analýz </w:t>
      </w:r>
      <w:r w:rsidR="00361051" w:rsidRPr="004B326D">
        <w:rPr>
          <w:rFonts w:ascii="Arial" w:hAnsi="Arial" w:cs="Arial"/>
          <w:b/>
        </w:rPr>
        <w:t>a </w:t>
      </w:r>
      <w:r w:rsidRPr="004B326D">
        <w:rPr>
          <w:rFonts w:ascii="Arial" w:hAnsi="Arial" w:cs="Arial"/>
          <w:b/>
        </w:rPr>
        <w:t xml:space="preserve">koordinace vědy, výzkumu </w:t>
      </w:r>
      <w:r w:rsidR="00361051" w:rsidRPr="004B326D">
        <w:rPr>
          <w:rFonts w:ascii="Arial" w:hAnsi="Arial" w:cs="Arial"/>
          <w:b/>
        </w:rPr>
        <w:t>a </w:t>
      </w:r>
      <w:r w:rsidRPr="004B326D">
        <w:rPr>
          <w:rFonts w:ascii="Arial" w:hAnsi="Arial" w:cs="Arial"/>
          <w:b/>
        </w:rPr>
        <w:t>inovací:</w:t>
      </w:r>
      <w:r w:rsidRPr="004B326D">
        <w:rPr>
          <w:rFonts w:ascii="Arial" w:hAnsi="Arial" w:cs="Arial"/>
          <w:b/>
        </w:rPr>
        <w:tab/>
      </w:r>
      <w:r w:rsidR="00266966" w:rsidRPr="004B326D">
        <w:rPr>
          <w:rFonts w:ascii="Arial" w:hAnsi="Arial" w:cs="Arial"/>
        </w:rPr>
        <w:t xml:space="preserve">vedoucí oddělení </w:t>
      </w:r>
      <w:r w:rsidR="004311E6" w:rsidRPr="004B326D">
        <w:rPr>
          <w:rFonts w:ascii="Arial" w:hAnsi="Arial" w:cs="Arial"/>
          <w:i/>
        </w:rPr>
        <w:t>Přemysl Filip</w:t>
      </w:r>
    </w:p>
    <w:p w14:paraId="198A3A48" w14:textId="77777777" w:rsidR="004311E6" w:rsidRPr="004B326D" w:rsidRDefault="004311E6" w:rsidP="00B46F87">
      <w:pPr>
        <w:tabs>
          <w:tab w:val="right" w:pos="9356"/>
        </w:tabs>
        <w:spacing w:before="240"/>
        <w:rPr>
          <w:rFonts w:ascii="Arial" w:hAnsi="Arial" w:cs="Arial"/>
          <w:b/>
          <w:sz w:val="24"/>
          <w:szCs w:val="24"/>
        </w:rPr>
      </w:pPr>
      <w:r w:rsidRPr="004B326D">
        <w:rPr>
          <w:rFonts w:ascii="Arial" w:hAnsi="Arial" w:cs="Arial"/>
          <w:b/>
          <w:sz w:val="24"/>
          <w:szCs w:val="24"/>
        </w:rPr>
        <w:t>Autoř</w:t>
      </w:r>
      <w:r w:rsidR="002E1F00">
        <w:rPr>
          <w:rFonts w:ascii="Arial" w:hAnsi="Arial" w:cs="Arial"/>
          <w:b/>
          <w:sz w:val="24"/>
          <w:szCs w:val="24"/>
        </w:rPr>
        <w:t>i jednotlivých kapitol</w:t>
      </w:r>
      <w:r w:rsidRPr="004B326D">
        <w:rPr>
          <w:rFonts w:ascii="Arial" w:hAnsi="Arial" w:cs="Arial"/>
          <w:b/>
          <w:sz w:val="24"/>
          <w:szCs w:val="24"/>
        </w:rPr>
        <w:t>:</w:t>
      </w:r>
    </w:p>
    <w:p w14:paraId="66EA9540" w14:textId="77777777" w:rsidR="00E72FE8" w:rsidRPr="004B326D" w:rsidRDefault="004311E6" w:rsidP="00A17C8A">
      <w:pPr>
        <w:tabs>
          <w:tab w:val="right" w:pos="9356"/>
        </w:tabs>
        <w:spacing w:after="0"/>
        <w:rPr>
          <w:rFonts w:ascii="Arial" w:hAnsi="Arial" w:cs="Arial"/>
        </w:rPr>
      </w:pPr>
      <w:r w:rsidRPr="004B326D">
        <w:rPr>
          <w:rFonts w:ascii="Arial" w:hAnsi="Arial" w:cs="Arial"/>
          <w:b/>
        </w:rPr>
        <w:t xml:space="preserve">Finanční toky ve výzkumu </w:t>
      </w:r>
      <w:r w:rsidR="00361051" w:rsidRPr="004B326D">
        <w:rPr>
          <w:rFonts w:ascii="Arial" w:hAnsi="Arial" w:cs="Arial"/>
          <w:b/>
        </w:rPr>
        <w:t>a </w:t>
      </w:r>
      <w:r w:rsidRPr="004B326D">
        <w:rPr>
          <w:rFonts w:ascii="Arial" w:hAnsi="Arial" w:cs="Arial"/>
          <w:b/>
        </w:rPr>
        <w:t>vývoji</w:t>
      </w:r>
    </w:p>
    <w:p w14:paraId="506CA1D3" w14:textId="77777777" w:rsidR="004311E6" w:rsidRPr="004B326D" w:rsidRDefault="00E72FE8" w:rsidP="00A17C8A">
      <w:pPr>
        <w:tabs>
          <w:tab w:val="right" w:pos="9356"/>
        </w:tabs>
        <w:rPr>
          <w:rFonts w:ascii="Arial" w:hAnsi="Arial" w:cs="Arial"/>
        </w:rPr>
      </w:pPr>
      <w:r w:rsidRPr="004B326D">
        <w:rPr>
          <w:rFonts w:ascii="Arial" w:hAnsi="Arial" w:cs="Arial"/>
          <w:i/>
        </w:rPr>
        <w:t>Lucie Kureková</w:t>
      </w:r>
    </w:p>
    <w:p w14:paraId="7288F2DE" w14:textId="77777777" w:rsidR="00E72FE8" w:rsidRPr="004B326D" w:rsidRDefault="004311E6" w:rsidP="00A17C8A">
      <w:pPr>
        <w:tabs>
          <w:tab w:val="right" w:pos="9356"/>
        </w:tabs>
        <w:spacing w:after="0"/>
        <w:rPr>
          <w:rFonts w:ascii="Arial" w:hAnsi="Arial" w:cs="Arial"/>
          <w:b/>
        </w:rPr>
      </w:pPr>
      <w:r w:rsidRPr="004B326D">
        <w:rPr>
          <w:rFonts w:ascii="Arial" w:hAnsi="Arial" w:cs="Arial"/>
          <w:b/>
        </w:rPr>
        <w:t xml:space="preserve">Financování výzkumu </w:t>
      </w:r>
      <w:r w:rsidR="00361051" w:rsidRPr="004B326D">
        <w:rPr>
          <w:rFonts w:ascii="Arial" w:hAnsi="Arial" w:cs="Arial"/>
          <w:b/>
        </w:rPr>
        <w:t>a </w:t>
      </w:r>
      <w:r w:rsidRPr="004B326D">
        <w:rPr>
          <w:rFonts w:ascii="Arial" w:hAnsi="Arial" w:cs="Arial"/>
          <w:b/>
        </w:rPr>
        <w:t>vývoje ze státníh</w:t>
      </w:r>
      <w:r w:rsidR="00361051" w:rsidRPr="004B326D">
        <w:rPr>
          <w:rFonts w:ascii="Arial" w:hAnsi="Arial" w:cs="Arial"/>
          <w:b/>
        </w:rPr>
        <w:t>o </w:t>
      </w:r>
      <w:r w:rsidRPr="004B326D">
        <w:rPr>
          <w:rFonts w:ascii="Arial" w:hAnsi="Arial" w:cs="Arial"/>
          <w:b/>
        </w:rPr>
        <w:t xml:space="preserve">rozpočtu </w:t>
      </w:r>
    </w:p>
    <w:p w14:paraId="0ADA18FA" w14:textId="77777777" w:rsidR="004311E6" w:rsidRPr="004B326D" w:rsidRDefault="004311E6" w:rsidP="00A17C8A">
      <w:pPr>
        <w:tabs>
          <w:tab w:val="right" w:pos="9356"/>
        </w:tabs>
        <w:rPr>
          <w:rFonts w:ascii="Arial" w:hAnsi="Arial" w:cs="Arial"/>
          <w:i/>
        </w:rPr>
      </w:pPr>
      <w:r w:rsidRPr="004B326D">
        <w:rPr>
          <w:rFonts w:ascii="Arial" w:hAnsi="Arial" w:cs="Arial"/>
          <w:i/>
        </w:rPr>
        <w:t>Lucie Kureková</w:t>
      </w:r>
    </w:p>
    <w:p w14:paraId="6BFCD8B4" w14:textId="77777777" w:rsidR="00E72FE8" w:rsidRPr="004B326D" w:rsidRDefault="004311E6" w:rsidP="00A17C8A">
      <w:pPr>
        <w:tabs>
          <w:tab w:val="right" w:pos="9356"/>
        </w:tabs>
        <w:spacing w:after="0"/>
        <w:rPr>
          <w:rFonts w:ascii="Arial" w:hAnsi="Arial" w:cs="Arial"/>
          <w:b/>
        </w:rPr>
      </w:pPr>
      <w:r w:rsidRPr="004B326D">
        <w:rPr>
          <w:rFonts w:ascii="Arial" w:hAnsi="Arial" w:cs="Arial"/>
          <w:b/>
        </w:rPr>
        <w:t>Podpor</w:t>
      </w:r>
      <w:r w:rsidR="00361051" w:rsidRPr="004B326D">
        <w:rPr>
          <w:rFonts w:ascii="Arial" w:hAnsi="Arial" w:cs="Arial"/>
          <w:b/>
        </w:rPr>
        <w:t>a </w:t>
      </w:r>
      <w:r w:rsidRPr="004B326D">
        <w:rPr>
          <w:rFonts w:ascii="Arial" w:hAnsi="Arial" w:cs="Arial"/>
          <w:b/>
        </w:rPr>
        <w:t xml:space="preserve">výzkumu, vývoje </w:t>
      </w:r>
      <w:r w:rsidR="00361051" w:rsidRPr="004B326D">
        <w:rPr>
          <w:rFonts w:ascii="Arial" w:hAnsi="Arial" w:cs="Arial"/>
          <w:b/>
        </w:rPr>
        <w:t>a </w:t>
      </w:r>
      <w:r w:rsidRPr="004B326D">
        <w:rPr>
          <w:rFonts w:ascii="Arial" w:hAnsi="Arial" w:cs="Arial"/>
          <w:b/>
        </w:rPr>
        <w:t>inovací</w:t>
      </w:r>
      <w:r w:rsidR="00EB0FF6" w:rsidRPr="004B326D">
        <w:rPr>
          <w:rFonts w:ascii="Arial" w:hAnsi="Arial" w:cs="Arial"/>
          <w:b/>
        </w:rPr>
        <w:t xml:space="preserve"> </w:t>
      </w:r>
      <w:r w:rsidR="00361051" w:rsidRPr="004B326D">
        <w:rPr>
          <w:rFonts w:ascii="Arial" w:hAnsi="Arial" w:cs="Arial"/>
          <w:b/>
        </w:rPr>
        <w:t>v </w:t>
      </w:r>
      <w:r w:rsidRPr="004B326D">
        <w:rPr>
          <w:rFonts w:ascii="Arial" w:hAnsi="Arial" w:cs="Arial"/>
          <w:b/>
        </w:rPr>
        <w:t>ČR</w:t>
      </w:r>
      <w:r w:rsidR="00361051" w:rsidRPr="004B326D">
        <w:rPr>
          <w:rFonts w:ascii="Arial" w:hAnsi="Arial" w:cs="Arial"/>
          <w:b/>
        </w:rPr>
        <w:t xml:space="preserve"> z </w:t>
      </w:r>
      <w:r w:rsidRPr="004B326D">
        <w:rPr>
          <w:rFonts w:ascii="Arial" w:hAnsi="Arial" w:cs="Arial"/>
          <w:b/>
        </w:rPr>
        <w:t>evropských prostředků</w:t>
      </w:r>
    </w:p>
    <w:p w14:paraId="5E125FD5" w14:textId="77777777" w:rsidR="004311E6" w:rsidRPr="004B326D" w:rsidRDefault="004B326D" w:rsidP="00A17C8A">
      <w:pPr>
        <w:tabs>
          <w:tab w:val="right" w:pos="9356"/>
        </w:tabs>
        <w:ind w:left="709" w:hanging="709"/>
        <w:rPr>
          <w:rFonts w:ascii="Arial" w:hAnsi="Arial" w:cs="Arial"/>
          <w:i/>
        </w:rPr>
      </w:pPr>
      <w:r w:rsidRPr="004B326D">
        <w:rPr>
          <w:rFonts w:ascii="Arial" w:hAnsi="Arial" w:cs="Arial"/>
          <w:i/>
        </w:rPr>
        <w:t>Lucie Kureková</w:t>
      </w:r>
      <w:r w:rsidR="00A61AA5" w:rsidRPr="004B326D">
        <w:rPr>
          <w:rFonts w:ascii="Arial" w:hAnsi="Arial" w:cs="Arial"/>
          <w:i/>
        </w:rPr>
        <w:t xml:space="preserve">, </w:t>
      </w:r>
      <w:r w:rsidR="00ED5439" w:rsidRPr="004B326D">
        <w:rPr>
          <w:rFonts w:ascii="Arial" w:hAnsi="Arial" w:cs="Arial"/>
          <w:i/>
        </w:rPr>
        <w:t>Jana Frantíkova</w:t>
      </w:r>
    </w:p>
    <w:p w14:paraId="01F364B2" w14:textId="77777777" w:rsidR="005F5A7B" w:rsidRPr="004B326D" w:rsidRDefault="005F5A7B" w:rsidP="00A17C8A">
      <w:pPr>
        <w:tabs>
          <w:tab w:val="right" w:pos="9356"/>
        </w:tabs>
        <w:spacing w:after="0"/>
        <w:rPr>
          <w:rFonts w:ascii="Arial" w:hAnsi="Arial" w:cs="Arial"/>
          <w:b/>
        </w:rPr>
      </w:pPr>
      <w:r w:rsidRPr="004B326D">
        <w:rPr>
          <w:rFonts w:ascii="Arial" w:hAnsi="Arial" w:cs="Arial"/>
          <w:b/>
        </w:rPr>
        <w:t xml:space="preserve">Implementace </w:t>
      </w:r>
      <w:r w:rsidR="00B638D9">
        <w:rPr>
          <w:rFonts w:ascii="Arial" w:hAnsi="Arial" w:cs="Arial"/>
          <w:b/>
        </w:rPr>
        <w:t>RIS3 strategie ČR</w:t>
      </w:r>
    </w:p>
    <w:p w14:paraId="716AACDE" w14:textId="77777777" w:rsidR="005F5A7B" w:rsidRPr="004B326D" w:rsidRDefault="007624AF" w:rsidP="00A17C8A">
      <w:pPr>
        <w:tabs>
          <w:tab w:val="right" w:pos="9356"/>
        </w:tabs>
        <w:ind w:left="709" w:hanging="709"/>
        <w:rPr>
          <w:rFonts w:ascii="Arial" w:hAnsi="Arial" w:cs="Arial"/>
          <w:i/>
        </w:rPr>
      </w:pPr>
      <w:r w:rsidRPr="004B326D">
        <w:rPr>
          <w:rFonts w:ascii="Arial" w:hAnsi="Arial" w:cs="Arial"/>
          <w:i/>
        </w:rPr>
        <w:t>MPO</w:t>
      </w:r>
      <w:r w:rsidR="00266966" w:rsidRPr="004B326D">
        <w:rPr>
          <w:rFonts w:ascii="Arial" w:hAnsi="Arial" w:cs="Arial"/>
          <w:i/>
        </w:rPr>
        <w:t xml:space="preserve"> RIS3</w:t>
      </w:r>
      <w:r w:rsidRPr="004B326D">
        <w:rPr>
          <w:rFonts w:ascii="Arial" w:hAnsi="Arial" w:cs="Arial"/>
          <w:i/>
        </w:rPr>
        <w:t xml:space="preserve">: </w:t>
      </w:r>
      <w:r w:rsidR="00A61AA5" w:rsidRPr="004B326D">
        <w:rPr>
          <w:rFonts w:ascii="Arial" w:hAnsi="Arial" w:cs="Arial"/>
          <w:i/>
        </w:rPr>
        <w:t xml:space="preserve">Jan Bilík </w:t>
      </w:r>
    </w:p>
    <w:p w14:paraId="2476C74D" w14:textId="77777777" w:rsidR="004311E6" w:rsidRPr="004B326D" w:rsidRDefault="007B3D5D" w:rsidP="00A17C8A">
      <w:pPr>
        <w:tabs>
          <w:tab w:val="right" w:pos="9356"/>
        </w:tabs>
        <w:spacing w:after="0"/>
        <w:rPr>
          <w:rFonts w:ascii="Arial" w:hAnsi="Arial" w:cs="Arial"/>
          <w:b/>
        </w:rPr>
      </w:pPr>
      <w:r>
        <w:rPr>
          <w:rFonts w:ascii="Arial" w:hAnsi="Arial" w:cs="Arial"/>
          <w:b/>
        </w:rPr>
        <w:t>Lidé</w:t>
      </w:r>
      <w:r w:rsidR="004311E6" w:rsidRPr="004B326D">
        <w:rPr>
          <w:rFonts w:ascii="Arial" w:hAnsi="Arial" w:cs="Arial"/>
          <w:b/>
        </w:rPr>
        <w:t xml:space="preserve"> ve výzkumu </w:t>
      </w:r>
      <w:r w:rsidR="00361051" w:rsidRPr="004B326D">
        <w:rPr>
          <w:rFonts w:ascii="Arial" w:hAnsi="Arial" w:cs="Arial"/>
          <w:b/>
        </w:rPr>
        <w:t>a </w:t>
      </w:r>
      <w:r w:rsidR="004311E6" w:rsidRPr="004B326D">
        <w:rPr>
          <w:rFonts w:ascii="Arial" w:hAnsi="Arial" w:cs="Arial"/>
          <w:b/>
        </w:rPr>
        <w:t>vývoji</w:t>
      </w:r>
    </w:p>
    <w:p w14:paraId="7BC888BF" w14:textId="77777777" w:rsidR="00E72FE8" w:rsidRPr="004B326D" w:rsidRDefault="00A61AA5" w:rsidP="00A17C8A">
      <w:pPr>
        <w:tabs>
          <w:tab w:val="right" w:pos="9356"/>
        </w:tabs>
        <w:rPr>
          <w:rFonts w:ascii="Arial" w:hAnsi="Arial" w:cs="Arial"/>
          <w:i/>
        </w:rPr>
      </w:pPr>
      <w:r w:rsidRPr="004B326D">
        <w:rPr>
          <w:rFonts w:ascii="Arial" w:hAnsi="Arial" w:cs="Arial"/>
          <w:i/>
        </w:rPr>
        <w:t>Jan</w:t>
      </w:r>
      <w:r w:rsidR="00361051" w:rsidRPr="004B326D">
        <w:rPr>
          <w:rFonts w:ascii="Arial" w:hAnsi="Arial" w:cs="Arial"/>
          <w:i/>
        </w:rPr>
        <w:t>a </w:t>
      </w:r>
      <w:r w:rsidRPr="004B326D">
        <w:rPr>
          <w:rFonts w:ascii="Arial" w:hAnsi="Arial" w:cs="Arial"/>
          <w:i/>
        </w:rPr>
        <w:t>Kubecová</w:t>
      </w:r>
    </w:p>
    <w:p w14:paraId="5732F4EE" w14:textId="77777777" w:rsidR="00E72FE8" w:rsidRPr="004B326D" w:rsidRDefault="00B638D9" w:rsidP="00A17C8A">
      <w:pPr>
        <w:tabs>
          <w:tab w:val="right" w:pos="9356"/>
        </w:tabs>
        <w:spacing w:after="0"/>
        <w:rPr>
          <w:rFonts w:ascii="Arial" w:hAnsi="Arial" w:cs="Arial"/>
          <w:b/>
        </w:rPr>
      </w:pPr>
      <w:r>
        <w:rPr>
          <w:rFonts w:ascii="Arial" w:hAnsi="Arial" w:cs="Arial"/>
          <w:b/>
        </w:rPr>
        <w:t>Výzkumné infrastruktury</w:t>
      </w:r>
    </w:p>
    <w:p w14:paraId="58EB3DE1" w14:textId="77777777" w:rsidR="004311E6" w:rsidRPr="004B326D" w:rsidRDefault="000A3BA0" w:rsidP="00A17C8A">
      <w:pPr>
        <w:tabs>
          <w:tab w:val="right" w:pos="9356"/>
        </w:tabs>
        <w:rPr>
          <w:rFonts w:ascii="Arial" w:hAnsi="Arial" w:cs="Arial"/>
          <w:i/>
        </w:rPr>
      </w:pPr>
      <w:r w:rsidRPr="004B326D">
        <w:rPr>
          <w:rFonts w:ascii="Arial" w:hAnsi="Arial" w:cs="Arial"/>
          <w:i/>
        </w:rPr>
        <w:t>Lucie Kureková</w:t>
      </w:r>
      <w:r w:rsidR="004B326D" w:rsidRPr="004B326D">
        <w:rPr>
          <w:rFonts w:ascii="Arial" w:hAnsi="Arial" w:cs="Arial"/>
          <w:i/>
        </w:rPr>
        <w:t>, Jana Frantíková</w:t>
      </w:r>
    </w:p>
    <w:p w14:paraId="53B1BE66" w14:textId="77777777" w:rsidR="008337FB" w:rsidRPr="004B326D" w:rsidRDefault="004311E6" w:rsidP="00A17C8A">
      <w:pPr>
        <w:tabs>
          <w:tab w:val="right" w:pos="9356"/>
        </w:tabs>
        <w:spacing w:after="0"/>
        <w:rPr>
          <w:rFonts w:ascii="Arial" w:hAnsi="Arial" w:cs="Arial"/>
          <w:b/>
        </w:rPr>
      </w:pPr>
      <w:r w:rsidRPr="004B326D">
        <w:rPr>
          <w:rFonts w:ascii="Arial" w:hAnsi="Arial" w:cs="Arial"/>
          <w:b/>
        </w:rPr>
        <w:t xml:space="preserve">Výsledky výzkumu </w:t>
      </w:r>
      <w:r w:rsidR="00361051" w:rsidRPr="004B326D">
        <w:rPr>
          <w:rFonts w:ascii="Arial" w:hAnsi="Arial" w:cs="Arial"/>
          <w:b/>
        </w:rPr>
        <w:t>a </w:t>
      </w:r>
      <w:r w:rsidRPr="004B326D">
        <w:rPr>
          <w:rFonts w:ascii="Arial" w:hAnsi="Arial" w:cs="Arial"/>
          <w:b/>
        </w:rPr>
        <w:t xml:space="preserve">vývoje </w:t>
      </w:r>
    </w:p>
    <w:p w14:paraId="64E22AD7" w14:textId="77777777" w:rsidR="004311E6" w:rsidRPr="004B326D" w:rsidRDefault="00A61AA5" w:rsidP="00A17C8A">
      <w:pPr>
        <w:tabs>
          <w:tab w:val="right" w:pos="9356"/>
        </w:tabs>
        <w:rPr>
          <w:rFonts w:ascii="Arial" w:hAnsi="Arial" w:cs="Arial"/>
          <w:i/>
        </w:rPr>
      </w:pPr>
      <w:r w:rsidRPr="004B326D">
        <w:rPr>
          <w:rFonts w:ascii="Arial" w:hAnsi="Arial" w:cs="Arial"/>
          <w:i/>
        </w:rPr>
        <w:t>Lucie Kureková</w:t>
      </w:r>
    </w:p>
    <w:p w14:paraId="53926780" w14:textId="77777777" w:rsidR="008337FB" w:rsidRPr="004B326D" w:rsidRDefault="004311E6" w:rsidP="00A17C8A">
      <w:pPr>
        <w:tabs>
          <w:tab w:val="right" w:pos="9356"/>
        </w:tabs>
        <w:spacing w:after="0"/>
        <w:rPr>
          <w:rFonts w:ascii="Arial" w:hAnsi="Arial" w:cs="Arial"/>
          <w:b/>
        </w:rPr>
      </w:pPr>
      <w:r w:rsidRPr="004B326D">
        <w:rPr>
          <w:rFonts w:ascii="Arial" w:hAnsi="Arial" w:cs="Arial"/>
          <w:b/>
        </w:rPr>
        <w:t xml:space="preserve">Inovační výkonnost české ekonomiky </w:t>
      </w:r>
      <w:r w:rsidR="00361051" w:rsidRPr="004B326D">
        <w:rPr>
          <w:rFonts w:ascii="Arial" w:hAnsi="Arial" w:cs="Arial"/>
          <w:b/>
        </w:rPr>
        <w:t>a </w:t>
      </w:r>
      <w:r w:rsidRPr="004B326D">
        <w:rPr>
          <w:rFonts w:ascii="Arial" w:hAnsi="Arial" w:cs="Arial"/>
          <w:b/>
        </w:rPr>
        <w:t>její mezinárodní srovnání</w:t>
      </w:r>
    </w:p>
    <w:p w14:paraId="32997AD5" w14:textId="77777777" w:rsidR="00F657F4" w:rsidRPr="004B326D" w:rsidRDefault="002B10DD" w:rsidP="00A17C8A">
      <w:pPr>
        <w:tabs>
          <w:tab w:val="right" w:pos="9356"/>
        </w:tabs>
        <w:ind w:left="709" w:hanging="709"/>
        <w:rPr>
          <w:rFonts w:ascii="Arial" w:hAnsi="Arial" w:cs="Arial"/>
          <w:i/>
        </w:rPr>
      </w:pPr>
      <w:r w:rsidRPr="004B326D">
        <w:rPr>
          <w:rFonts w:ascii="Arial" w:hAnsi="Arial" w:cs="Arial"/>
          <w:i/>
        </w:rPr>
        <w:t>Jan</w:t>
      </w:r>
      <w:r w:rsidR="00361051" w:rsidRPr="004B326D">
        <w:rPr>
          <w:rFonts w:ascii="Arial" w:hAnsi="Arial" w:cs="Arial"/>
          <w:i/>
        </w:rPr>
        <w:t>a </w:t>
      </w:r>
      <w:r w:rsidRPr="004B326D">
        <w:rPr>
          <w:rFonts w:ascii="Arial" w:hAnsi="Arial" w:cs="Arial"/>
          <w:i/>
        </w:rPr>
        <w:t>Kubecová</w:t>
      </w:r>
    </w:p>
    <w:p w14:paraId="450A1558" w14:textId="77777777" w:rsidR="001421B6" w:rsidRPr="004B326D" w:rsidRDefault="001421B6" w:rsidP="001421B6">
      <w:pPr>
        <w:tabs>
          <w:tab w:val="right" w:pos="9356"/>
        </w:tabs>
        <w:spacing w:after="0"/>
        <w:rPr>
          <w:rFonts w:ascii="Arial" w:hAnsi="Arial" w:cs="Arial"/>
          <w:b/>
        </w:rPr>
      </w:pPr>
      <w:r w:rsidRPr="004B326D">
        <w:rPr>
          <w:rFonts w:ascii="Arial" w:hAnsi="Arial" w:cs="Arial"/>
          <w:b/>
        </w:rPr>
        <w:t>Mezinárodní spolupráce ve výzkumu, vývoji a inovacích</w:t>
      </w:r>
    </w:p>
    <w:p w14:paraId="2EE1B440" w14:textId="77777777" w:rsidR="001421B6" w:rsidRPr="004B326D" w:rsidRDefault="001421B6" w:rsidP="001421B6">
      <w:pPr>
        <w:tabs>
          <w:tab w:val="right" w:pos="9356"/>
        </w:tabs>
        <w:ind w:left="709" w:hanging="709"/>
        <w:rPr>
          <w:rFonts w:ascii="Arial" w:hAnsi="Arial" w:cs="Arial"/>
          <w:i/>
        </w:rPr>
      </w:pPr>
      <w:r w:rsidRPr="004B326D">
        <w:rPr>
          <w:rFonts w:ascii="Arial" w:hAnsi="Arial" w:cs="Arial"/>
          <w:i/>
        </w:rPr>
        <w:t>Kateřina Hradilová</w:t>
      </w:r>
    </w:p>
    <w:p w14:paraId="23CCC894" w14:textId="77777777" w:rsidR="00DB6F6D" w:rsidRPr="004B326D" w:rsidRDefault="00DB6F6D" w:rsidP="00B46F87">
      <w:pPr>
        <w:tabs>
          <w:tab w:val="right" w:pos="9356"/>
        </w:tabs>
        <w:spacing w:before="240"/>
        <w:rPr>
          <w:rFonts w:ascii="Arial" w:hAnsi="Arial" w:cs="Arial"/>
          <w:b/>
          <w:sz w:val="24"/>
          <w:szCs w:val="24"/>
        </w:rPr>
      </w:pPr>
      <w:r w:rsidRPr="004B326D">
        <w:rPr>
          <w:rFonts w:ascii="Arial" w:hAnsi="Arial" w:cs="Arial"/>
          <w:b/>
          <w:sz w:val="24"/>
          <w:szCs w:val="24"/>
        </w:rPr>
        <w:t>Přílohová část:</w:t>
      </w:r>
    </w:p>
    <w:p w14:paraId="02379AA1" w14:textId="77777777" w:rsidR="002C3945" w:rsidRPr="004B326D" w:rsidRDefault="00DB6F6D" w:rsidP="00C34E9F">
      <w:pPr>
        <w:tabs>
          <w:tab w:val="right" w:pos="9356"/>
        </w:tabs>
        <w:spacing w:after="0"/>
        <w:jc w:val="both"/>
        <w:rPr>
          <w:rFonts w:ascii="Arial" w:hAnsi="Arial" w:cs="Arial"/>
          <w:b/>
        </w:rPr>
      </w:pPr>
      <w:r w:rsidRPr="004B326D">
        <w:rPr>
          <w:rFonts w:ascii="Arial" w:hAnsi="Arial" w:cs="Arial"/>
          <w:b/>
        </w:rPr>
        <w:t xml:space="preserve">P1. </w:t>
      </w:r>
      <w:r w:rsidR="002C3945" w:rsidRPr="004B326D">
        <w:rPr>
          <w:rFonts w:ascii="Arial" w:hAnsi="Arial" w:cs="Arial"/>
          <w:b/>
        </w:rPr>
        <w:t>Monitoring kvantitativních indikátorů plnění cílů Národní politiky výzkumu, vývoje a</w:t>
      </w:r>
      <w:r w:rsidR="00C34E9F" w:rsidRPr="004B326D">
        <w:rPr>
          <w:rFonts w:ascii="Arial" w:hAnsi="Arial" w:cs="Arial"/>
          <w:b/>
        </w:rPr>
        <w:t> </w:t>
      </w:r>
      <w:r w:rsidR="002C3945" w:rsidRPr="004B326D">
        <w:rPr>
          <w:rFonts w:ascii="Arial" w:hAnsi="Arial" w:cs="Arial"/>
          <w:b/>
        </w:rPr>
        <w:t>inovací ČR na léta 2016–2020</w:t>
      </w:r>
    </w:p>
    <w:p w14:paraId="2A33C331" w14:textId="77777777" w:rsidR="002C3945" w:rsidRPr="004B326D" w:rsidRDefault="002C3945" w:rsidP="002C3945">
      <w:pPr>
        <w:tabs>
          <w:tab w:val="right" w:pos="9356"/>
        </w:tabs>
        <w:ind w:left="709" w:hanging="709"/>
        <w:rPr>
          <w:rFonts w:ascii="Arial" w:hAnsi="Arial" w:cs="Arial"/>
          <w:i/>
        </w:rPr>
      </w:pPr>
      <w:r w:rsidRPr="004B326D">
        <w:rPr>
          <w:rFonts w:ascii="Arial" w:hAnsi="Arial" w:cs="Arial"/>
          <w:i/>
        </w:rPr>
        <w:t>Zpracováno ve spolupráci s Technologickým centrem AV ČR</w:t>
      </w:r>
      <w:r w:rsidR="006171E4" w:rsidRPr="004B326D">
        <w:rPr>
          <w:rFonts w:ascii="Arial" w:hAnsi="Arial" w:cs="Arial"/>
          <w:i/>
        </w:rPr>
        <w:t>.</w:t>
      </w:r>
    </w:p>
    <w:p w14:paraId="1ED40B31" w14:textId="77777777" w:rsidR="004311E6" w:rsidRPr="00FA2CA4" w:rsidRDefault="004311E6" w:rsidP="001421B6">
      <w:pPr>
        <w:spacing w:before="240" w:after="120"/>
        <w:rPr>
          <w:rFonts w:ascii="Arial" w:hAnsi="Arial" w:cs="Arial"/>
          <w:b/>
          <w:sz w:val="24"/>
          <w:szCs w:val="24"/>
        </w:rPr>
      </w:pPr>
      <w:r w:rsidRPr="00FA2CA4">
        <w:rPr>
          <w:rFonts w:ascii="Arial" w:hAnsi="Arial" w:cs="Arial"/>
          <w:b/>
          <w:sz w:val="24"/>
          <w:szCs w:val="24"/>
        </w:rPr>
        <w:t>Odborní recenzenti:</w:t>
      </w:r>
    </w:p>
    <w:p w14:paraId="47BE1FDB" w14:textId="77777777" w:rsidR="004311E6" w:rsidRPr="00FA2CA4" w:rsidRDefault="004311E6" w:rsidP="004311E6">
      <w:pPr>
        <w:rPr>
          <w:rFonts w:ascii="Arial" w:hAnsi="Arial" w:cs="Arial"/>
        </w:rPr>
      </w:pPr>
      <w:r w:rsidRPr="00FA2CA4">
        <w:rPr>
          <w:rFonts w:ascii="Arial" w:hAnsi="Arial" w:cs="Arial"/>
        </w:rPr>
        <w:t>prof. Ing. Š</w:t>
      </w:r>
      <w:r w:rsidR="00AF752B" w:rsidRPr="00FA2CA4">
        <w:rPr>
          <w:rFonts w:ascii="Arial" w:hAnsi="Arial" w:cs="Arial"/>
        </w:rPr>
        <w:t>tě</w:t>
      </w:r>
      <w:r w:rsidRPr="00FA2CA4">
        <w:rPr>
          <w:rFonts w:ascii="Arial" w:hAnsi="Arial" w:cs="Arial"/>
        </w:rPr>
        <w:t>pán Jurajda, Ph.D.</w:t>
      </w:r>
    </w:p>
    <w:p w14:paraId="63D8F238" w14:textId="77777777" w:rsidR="004311E6" w:rsidRPr="00FA2CA4" w:rsidRDefault="004311E6" w:rsidP="004311E6">
      <w:pPr>
        <w:rPr>
          <w:rFonts w:ascii="Arial" w:hAnsi="Arial" w:cs="Arial"/>
        </w:rPr>
      </w:pPr>
      <w:r w:rsidRPr="00FA2CA4">
        <w:rPr>
          <w:rFonts w:ascii="Arial" w:hAnsi="Arial" w:cs="Arial"/>
        </w:rPr>
        <w:t>doc. Ing. Karel Havlíček, Ph.D., MBA</w:t>
      </w:r>
    </w:p>
    <w:p w14:paraId="14D12A22" w14:textId="77777777" w:rsidR="00A17C8A" w:rsidRPr="00B638D9" w:rsidRDefault="004311E6" w:rsidP="007D6778">
      <w:pPr>
        <w:ind w:left="4815" w:hanging="4815"/>
        <w:jc w:val="both"/>
        <w:rPr>
          <w:rFonts w:ascii="Arial" w:hAnsi="Arial" w:cs="Arial"/>
        </w:rPr>
      </w:pPr>
      <w:r w:rsidRPr="00B638D9">
        <w:rPr>
          <w:rFonts w:ascii="Arial" w:hAnsi="Arial" w:cs="Arial"/>
        </w:rPr>
        <w:t>Ing. Martin Mana</w:t>
      </w:r>
      <w:r w:rsidR="00B2386C" w:rsidRPr="00B638D9">
        <w:rPr>
          <w:rFonts w:ascii="Arial" w:hAnsi="Arial" w:cs="Arial"/>
        </w:rPr>
        <w:t>, Mgr. Marek Štampach</w:t>
      </w:r>
      <w:r w:rsidRPr="00B638D9">
        <w:rPr>
          <w:rFonts w:ascii="Arial" w:hAnsi="Arial" w:cs="Arial"/>
        </w:rPr>
        <w:tab/>
        <w:t xml:space="preserve">kapitoly Finanční toky ve výzkumu </w:t>
      </w:r>
      <w:r w:rsidR="00361051" w:rsidRPr="00B638D9">
        <w:rPr>
          <w:rFonts w:ascii="Arial" w:hAnsi="Arial" w:cs="Arial"/>
        </w:rPr>
        <w:t>a </w:t>
      </w:r>
      <w:r w:rsidRPr="00B638D9">
        <w:rPr>
          <w:rFonts w:ascii="Arial" w:hAnsi="Arial" w:cs="Arial"/>
        </w:rPr>
        <w:t>vývoji</w:t>
      </w:r>
      <w:r w:rsidR="008337FB" w:rsidRPr="00B638D9">
        <w:rPr>
          <w:rFonts w:ascii="Arial" w:hAnsi="Arial" w:cs="Arial"/>
        </w:rPr>
        <w:t xml:space="preserve"> </w:t>
      </w:r>
      <w:r w:rsidR="00361051" w:rsidRPr="00B638D9">
        <w:rPr>
          <w:rFonts w:ascii="Arial" w:hAnsi="Arial" w:cs="Arial"/>
        </w:rPr>
        <w:t>a </w:t>
      </w:r>
      <w:r w:rsidR="007B3D5D">
        <w:rPr>
          <w:rFonts w:ascii="Arial" w:hAnsi="Arial" w:cs="Arial"/>
        </w:rPr>
        <w:t>Lidé</w:t>
      </w:r>
      <w:r w:rsidRPr="00B638D9">
        <w:rPr>
          <w:rFonts w:ascii="Arial" w:hAnsi="Arial" w:cs="Arial"/>
        </w:rPr>
        <w:t xml:space="preserve"> ve výzkumu </w:t>
      </w:r>
      <w:r w:rsidR="00361051" w:rsidRPr="00B638D9">
        <w:rPr>
          <w:rFonts w:ascii="Arial" w:hAnsi="Arial" w:cs="Arial"/>
        </w:rPr>
        <w:t>a </w:t>
      </w:r>
      <w:r w:rsidR="008337FB" w:rsidRPr="00B638D9">
        <w:rPr>
          <w:rFonts w:ascii="Arial" w:hAnsi="Arial" w:cs="Arial"/>
        </w:rPr>
        <w:t>vývoji</w:t>
      </w:r>
    </w:p>
    <w:p w14:paraId="374A2162" w14:textId="77777777" w:rsidR="007D6778" w:rsidRPr="00180A51" w:rsidRDefault="00ED5439" w:rsidP="003A1AEE">
      <w:pPr>
        <w:spacing w:after="0"/>
        <w:ind w:left="4814" w:hanging="4814"/>
        <w:jc w:val="both"/>
        <w:rPr>
          <w:rFonts w:ascii="Arial" w:hAnsi="Arial" w:cs="Arial"/>
        </w:rPr>
      </w:pPr>
      <w:r w:rsidRPr="00180A51">
        <w:rPr>
          <w:rFonts w:ascii="Arial" w:hAnsi="Arial" w:cs="Arial"/>
        </w:rPr>
        <w:t>PhDr. Lukáš Levák</w:t>
      </w:r>
      <w:r w:rsidR="003A1AEE" w:rsidRPr="00180A51">
        <w:rPr>
          <w:rFonts w:ascii="Arial" w:hAnsi="Arial" w:cs="Arial"/>
        </w:rPr>
        <w:t>,</w:t>
      </w:r>
      <w:r w:rsidR="00960420" w:rsidRPr="00180A51">
        <w:rPr>
          <w:rFonts w:ascii="Arial" w:hAnsi="Arial" w:cs="Arial"/>
        </w:rPr>
        <w:tab/>
        <w:t>kapitola Výzkumné infrastruktury</w:t>
      </w:r>
    </w:p>
    <w:p w14:paraId="31EF8DEF" w14:textId="77777777" w:rsidR="003A1AEE" w:rsidRPr="00180A51" w:rsidRDefault="003A1AEE" w:rsidP="003A1AEE">
      <w:pPr>
        <w:ind w:left="4814" w:hanging="4814"/>
        <w:jc w:val="both"/>
        <w:rPr>
          <w:rFonts w:ascii="Arial" w:hAnsi="Arial" w:cs="Arial"/>
        </w:rPr>
      </w:pPr>
      <w:r w:rsidRPr="00180A51">
        <w:rPr>
          <w:rFonts w:ascii="Arial" w:hAnsi="Arial" w:cs="Arial"/>
        </w:rPr>
        <w:t>RNDr. Marek Vy</w:t>
      </w:r>
      <w:r w:rsidRPr="00180A51">
        <w:rPr>
          <w:rFonts w:ascii="Arial" w:hAnsi="Arial" w:cs="Arial" w:hint="eastAsia"/>
        </w:rPr>
        <w:t>š</w:t>
      </w:r>
      <w:r w:rsidRPr="00180A51">
        <w:rPr>
          <w:rFonts w:ascii="Arial" w:hAnsi="Arial" w:cs="Arial"/>
        </w:rPr>
        <w:t>inka, Ph.D.</w:t>
      </w:r>
    </w:p>
    <w:p w14:paraId="4E24E1CA" w14:textId="77777777" w:rsidR="00B46F87" w:rsidRPr="00A51820" w:rsidRDefault="00B46F87" w:rsidP="003A1AEE">
      <w:pPr>
        <w:spacing w:before="120" w:after="0"/>
        <w:ind w:left="4814" w:hanging="4814"/>
        <w:jc w:val="both"/>
        <w:rPr>
          <w:rFonts w:ascii="Arial" w:hAnsi="Arial" w:cs="Arial"/>
        </w:rPr>
      </w:pPr>
      <w:r w:rsidRPr="001A536A">
        <w:rPr>
          <w:rFonts w:ascii="Arial" w:hAnsi="Arial" w:cs="Arial"/>
        </w:rPr>
        <w:t>Mgr. Jana Kola</w:t>
      </w:r>
      <w:r w:rsidRPr="001A536A">
        <w:rPr>
          <w:rFonts w:ascii="Arial" w:hAnsi="Arial" w:cs="Arial" w:hint="eastAsia"/>
        </w:rPr>
        <w:t>ří</w:t>
      </w:r>
      <w:r w:rsidRPr="001A536A">
        <w:rPr>
          <w:rFonts w:ascii="Arial" w:hAnsi="Arial" w:cs="Arial"/>
        </w:rPr>
        <w:t>kov</w:t>
      </w:r>
      <w:r w:rsidRPr="001A536A">
        <w:rPr>
          <w:rFonts w:ascii="Arial" w:hAnsi="Arial" w:cs="Arial" w:hint="eastAsia"/>
        </w:rPr>
        <w:t>á</w:t>
      </w:r>
      <w:r w:rsidRPr="001A536A">
        <w:rPr>
          <w:rFonts w:ascii="Arial" w:hAnsi="Arial" w:cs="Arial"/>
        </w:rPr>
        <w:t>, Mgr. Lu</w:t>
      </w:r>
      <w:r w:rsidRPr="001A536A">
        <w:rPr>
          <w:rFonts w:ascii="Arial" w:hAnsi="Arial" w:cs="Arial" w:hint="eastAsia"/>
        </w:rPr>
        <w:t>ď</w:t>
      </w:r>
      <w:r w:rsidR="00C541AC">
        <w:rPr>
          <w:rFonts w:ascii="Arial" w:hAnsi="Arial" w:cs="Arial"/>
        </w:rPr>
        <w:t>ek Kos</w:t>
      </w:r>
      <w:r w:rsidRPr="001A536A">
        <w:rPr>
          <w:rFonts w:ascii="Arial" w:hAnsi="Arial" w:cs="Arial"/>
        </w:rPr>
        <w:tab/>
        <w:t>kapitola Mezinárodní spolupráce ve výzkumu,</w:t>
      </w:r>
      <w:r w:rsidRPr="00A51820">
        <w:rPr>
          <w:rFonts w:ascii="Arial" w:hAnsi="Arial" w:cs="Arial"/>
        </w:rPr>
        <w:t xml:space="preserve"> </w:t>
      </w:r>
    </w:p>
    <w:p w14:paraId="77F6E5A9" w14:textId="77777777" w:rsidR="00B46F87" w:rsidRPr="002D7367" w:rsidRDefault="00B46F87" w:rsidP="00B46F87">
      <w:pPr>
        <w:spacing w:after="0"/>
        <w:ind w:left="4814" w:hanging="4814"/>
        <w:jc w:val="both"/>
        <w:rPr>
          <w:rFonts w:ascii="Arial" w:hAnsi="Arial" w:cs="Arial"/>
          <w:highlight w:val="yellow"/>
        </w:rPr>
      </w:pPr>
      <w:r w:rsidRPr="00A51820">
        <w:rPr>
          <w:rFonts w:ascii="Arial" w:hAnsi="Arial" w:cs="Arial"/>
        </w:rPr>
        <w:tab/>
        <w:t>vývoji a inovacích</w:t>
      </w:r>
    </w:p>
    <w:p w14:paraId="55D57815" w14:textId="77777777" w:rsidR="00960420" w:rsidRPr="002D7367" w:rsidRDefault="00960420" w:rsidP="007D6778">
      <w:pPr>
        <w:ind w:left="4815" w:hanging="4815"/>
        <w:jc w:val="both"/>
        <w:rPr>
          <w:rFonts w:ascii="Arial" w:hAnsi="Arial" w:cs="Arial"/>
          <w:highlight w:val="yellow"/>
        </w:rPr>
        <w:sectPr w:rsidR="00960420" w:rsidRPr="002D7367" w:rsidSect="00837A2A">
          <w:headerReference w:type="default" r:id="rId52"/>
          <w:type w:val="continuous"/>
          <w:pgSz w:w="11906" w:h="16838"/>
          <w:pgMar w:top="1134" w:right="1134" w:bottom="1134" w:left="1134" w:header="709" w:footer="709" w:gutter="0"/>
          <w:cols w:space="708"/>
          <w:docGrid w:linePitch="360"/>
        </w:sectPr>
      </w:pPr>
    </w:p>
    <w:p w14:paraId="796CA8D9" w14:textId="77777777" w:rsidR="00931E4F" w:rsidRPr="00A02BDB" w:rsidRDefault="00011DB4" w:rsidP="008A7C6F">
      <w:pPr>
        <w:pStyle w:val="Souhrn"/>
      </w:pPr>
      <w:bookmarkStart w:id="33" w:name="_Toc87340800"/>
      <w:bookmarkStart w:id="34" w:name="_Toc92369616"/>
      <w:r w:rsidRPr="00A02BDB">
        <w:lastRenderedPageBreak/>
        <w:t>Příloh</w:t>
      </w:r>
      <w:r w:rsidR="000A3BA0" w:rsidRPr="00A02BDB">
        <w:t>ová část</w:t>
      </w:r>
      <w:bookmarkEnd w:id="33"/>
      <w:bookmarkEnd w:id="34"/>
    </w:p>
    <w:p w14:paraId="58968A43" w14:textId="77777777" w:rsidR="00DF4550" w:rsidRPr="00A02BDB" w:rsidRDefault="00D7788A" w:rsidP="008A7C6F">
      <w:pPr>
        <w:pStyle w:val="Plohanadpis"/>
      </w:pPr>
      <w:bookmarkStart w:id="35" w:name="_Toc87340801"/>
      <w:bookmarkStart w:id="36" w:name="_Toc92369617"/>
      <w:r w:rsidRPr="00A02BDB">
        <w:t>P.</w:t>
      </w:r>
      <w:r w:rsidR="005011E3" w:rsidRPr="00A02BDB">
        <w:t xml:space="preserve"> </w:t>
      </w:r>
      <w:r w:rsidRPr="00A02BDB">
        <w:t xml:space="preserve">1 </w:t>
      </w:r>
      <w:r w:rsidR="00DF4550" w:rsidRPr="00A02BDB">
        <w:t xml:space="preserve">Monitoring kvantitativních indikátorů plnění cílů Národní politiky výzkumu, vývoje </w:t>
      </w:r>
      <w:r w:rsidR="00361051" w:rsidRPr="00A02BDB">
        <w:t>a </w:t>
      </w:r>
      <w:r w:rsidR="00DF4550" w:rsidRPr="00A02BDB">
        <w:t>inovací ČR n</w:t>
      </w:r>
      <w:r w:rsidR="00361051" w:rsidRPr="00A02BDB">
        <w:t>a </w:t>
      </w:r>
      <w:r w:rsidR="00DF4550" w:rsidRPr="00A02BDB">
        <w:t>lét</w:t>
      </w:r>
      <w:r w:rsidR="00361051" w:rsidRPr="00A02BDB">
        <w:t>a </w:t>
      </w:r>
      <w:r w:rsidR="00DF4550" w:rsidRPr="00A02BDB">
        <w:t>2016–2020</w:t>
      </w:r>
      <w:bookmarkEnd w:id="35"/>
      <w:bookmarkEnd w:id="36"/>
    </w:p>
    <w:p w14:paraId="224308E1" w14:textId="77777777" w:rsidR="00A02BDB" w:rsidRPr="00637E01" w:rsidRDefault="00A02BDB" w:rsidP="00A02BDB">
      <w:pPr>
        <w:spacing w:after="0" w:line="360" w:lineRule="auto"/>
        <w:ind w:firstLine="709"/>
        <w:jc w:val="both"/>
        <w:rPr>
          <w:rFonts w:ascii="Arial" w:hAnsi="Arial" w:cs="Arial"/>
        </w:rPr>
      </w:pPr>
      <w:r w:rsidRPr="00637E01">
        <w:rPr>
          <w:rFonts w:ascii="Arial" w:hAnsi="Arial" w:cs="Arial"/>
          <w:lang w:eastAsia="cs-CZ"/>
        </w:rPr>
        <w:t>Národní politika výzkumu, výv</w:t>
      </w:r>
      <w:r>
        <w:rPr>
          <w:rFonts w:ascii="Arial" w:hAnsi="Arial" w:cs="Arial"/>
          <w:lang w:eastAsia="cs-CZ"/>
        </w:rPr>
        <w:t>oje a inovací ČR na léta 2016–</w:t>
      </w:r>
      <w:r w:rsidRPr="00637E01">
        <w:rPr>
          <w:rFonts w:ascii="Arial" w:hAnsi="Arial" w:cs="Arial"/>
          <w:lang w:eastAsia="cs-CZ"/>
        </w:rPr>
        <w:t>2020 (NP VaVaI) jako zastřešující strategický dokument v oblasti VaVaI je navržena včetně indikátorové soustavy. Pomocí stanovených indikátorů je možné posuzovat pokrok při plnění cílů v souvislosti s realizací uvedené strategie.</w:t>
      </w:r>
      <w:r w:rsidRPr="00637E01">
        <w:rPr>
          <w:rFonts w:ascii="Arial" w:hAnsi="Arial" w:cs="Arial"/>
        </w:rPr>
        <w:t xml:space="preserve"> Součástí implementace NP VaVaI má být také pravidelný monitoring indikátorů a jejich analýza. </w:t>
      </w:r>
      <w:r w:rsidRPr="00637E01">
        <w:rPr>
          <w:rFonts w:ascii="Arial" w:hAnsi="Arial" w:cs="Arial"/>
          <w:b/>
        </w:rPr>
        <w:t>Interim hodnocení NP VaVaI</w:t>
      </w:r>
      <w:r w:rsidRPr="00637E01">
        <w:rPr>
          <w:rFonts w:ascii="Arial" w:hAnsi="Arial" w:cs="Arial"/>
        </w:rPr>
        <w:t xml:space="preserve"> </w:t>
      </w:r>
      <w:r>
        <w:rPr>
          <w:rFonts w:ascii="Arial" w:hAnsi="Arial" w:cs="Arial"/>
        </w:rPr>
        <w:t>bylo provdeno</w:t>
      </w:r>
      <w:r w:rsidRPr="00637E01">
        <w:rPr>
          <w:rFonts w:ascii="Arial" w:hAnsi="Arial" w:cs="Arial"/>
        </w:rPr>
        <w:t xml:space="preserve"> provedeno v souladu se zásadními milníky jejího specifického cíle 1.3: </w:t>
      </w:r>
      <w:r w:rsidRPr="00637E01">
        <w:rPr>
          <w:rFonts w:ascii="Arial" w:hAnsi="Arial" w:cs="Arial"/>
          <w:bCs/>
        </w:rPr>
        <w:t>Posílit strategickou inteligenci pro politiku VaVaI</w:t>
      </w:r>
      <w:r w:rsidRPr="00637E01">
        <w:rPr>
          <w:rFonts w:ascii="Arial" w:hAnsi="Arial" w:cs="Arial"/>
          <w:b/>
          <w:bCs/>
        </w:rPr>
        <w:t xml:space="preserve"> </w:t>
      </w:r>
      <w:r w:rsidRPr="00637E01">
        <w:rPr>
          <w:rFonts w:ascii="Arial" w:hAnsi="Arial" w:cs="Arial"/>
          <w:b/>
        </w:rPr>
        <w:t>v roce 2018 v gesci ÚV ČR – Odbor RVVI</w:t>
      </w:r>
      <w:r w:rsidRPr="00637E01">
        <w:rPr>
          <w:rFonts w:ascii="Arial" w:hAnsi="Arial" w:cs="Arial"/>
        </w:rPr>
        <w:t>.</w:t>
      </w:r>
    </w:p>
    <w:p w14:paraId="00B85FBB" w14:textId="77777777" w:rsidR="00A02BDB" w:rsidRPr="00637E01" w:rsidRDefault="00A02BDB" w:rsidP="00A02BDB">
      <w:pPr>
        <w:spacing w:after="0" w:line="360" w:lineRule="auto"/>
        <w:ind w:firstLine="709"/>
        <w:jc w:val="both"/>
        <w:rPr>
          <w:rFonts w:ascii="Arial" w:hAnsi="Arial" w:cs="Arial"/>
        </w:rPr>
      </w:pPr>
      <w:r w:rsidRPr="00637E01">
        <w:rPr>
          <w:rFonts w:ascii="Arial" w:hAnsi="Arial" w:cs="Arial"/>
        </w:rPr>
        <w:t xml:space="preserve">V rámci </w:t>
      </w:r>
      <w:r w:rsidRPr="00637E01">
        <w:rPr>
          <w:rFonts w:ascii="Arial" w:hAnsi="Arial" w:cs="Arial"/>
          <w:b/>
        </w:rPr>
        <w:t>zahájení pravidelného monitoringu</w:t>
      </w:r>
      <w:r w:rsidRPr="00637E01">
        <w:rPr>
          <w:rFonts w:ascii="Arial" w:hAnsi="Arial" w:cs="Arial"/>
        </w:rPr>
        <w:t xml:space="preserve"> byly stanoveny aktuální </w:t>
      </w:r>
      <w:r w:rsidRPr="00637E01">
        <w:rPr>
          <w:rFonts w:ascii="Arial" w:hAnsi="Arial" w:cs="Arial"/>
          <w:b/>
        </w:rPr>
        <w:t>hodnoty kvantitativních indikátorů</w:t>
      </w:r>
      <w:r w:rsidRPr="00637E01">
        <w:rPr>
          <w:rFonts w:ascii="Arial" w:hAnsi="Arial" w:cs="Arial"/>
        </w:rPr>
        <w:t xml:space="preserve"> (ve většině případů</w:t>
      </w:r>
      <w:r>
        <w:rPr>
          <w:rFonts w:ascii="Arial" w:hAnsi="Arial" w:cs="Arial"/>
        </w:rPr>
        <w:t>,</w:t>
      </w:r>
      <w:r w:rsidRPr="00637E01">
        <w:rPr>
          <w:rFonts w:ascii="Arial" w:hAnsi="Arial" w:cs="Arial"/>
        </w:rPr>
        <w:t xml:space="preserve"> pokud to bylo možné</w:t>
      </w:r>
      <w:r>
        <w:rPr>
          <w:rFonts w:ascii="Arial" w:hAnsi="Arial" w:cs="Arial"/>
        </w:rPr>
        <w:t>,</w:t>
      </w:r>
      <w:r w:rsidRPr="00637E01">
        <w:rPr>
          <w:rFonts w:ascii="Arial" w:hAnsi="Arial" w:cs="Arial"/>
        </w:rPr>
        <w:t xml:space="preserve"> za rok 2016). Indikátorová soustava navržená v NP VaVaI obsahuje takové kvalitativní a kvantitativní indikátory, které byly relevantní v době její tvorby.</w:t>
      </w:r>
      <w:r>
        <w:rPr>
          <w:rFonts w:ascii="Arial" w:hAnsi="Arial" w:cs="Arial"/>
        </w:rPr>
        <w:t xml:space="preserve"> V tabulce </w:t>
      </w:r>
      <w:r w:rsidRPr="00637E01">
        <w:rPr>
          <w:rFonts w:ascii="Arial" w:hAnsi="Arial" w:cs="Arial"/>
        </w:rPr>
        <w:t xml:space="preserve">P.1 </w:t>
      </w:r>
      <w:r>
        <w:rPr>
          <w:rFonts w:ascii="Arial" w:hAnsi="Arial" w:cs="Arial"/>
        </w:rPr>
        <w:t xml:space="preserve">jsou uvedeny hodnoty </w:t>
      </w:r>
      <w:r w:rsidRPr="00637E01">
        <w:rPr>
          <w:rFonts w:ascii="Arial" w:hAnsi="Arial" w:cs="Arial"/>
        </w:rPr>
        <w:t xml:space="preserve">těchto indikátorů </w:t>
      </w:r>
      <w:r>
        <w:rPr>
          <w:rFonts w:ascii="Arial" w:hAnsi="Arial" w:cs="Arial"/>
        </w:rPr>
        <w:t xml:space="preserve">zpravidla </w:t>
      </w:r>
      <w:r w:rsidRPr="00637E01">
        <w:rPr>
          <w:rFonts w:ascii="Arial" w:hAnsi="Arial" w:cs="Arial"/>
        </w:rPr>
        <w:t>za rok 20</w:t>
      </w:r>
      <w:r>
        <w:rPr>
          <w:rFonts w:ascii="Arial" w:hAnsi="Arial" w:cs="Arial"/>
        </w:rPr>
        <w:t>20 (pokud hodnoty z tohoto roku nebyly k dispozici, je uveden údaj z posledního roku s dostupnými údaji)</w:t>
      </w:r>
      <w:r w:rsidRPr="00637E01">
        <w:rPr>
          <w:rFonts w:ascii="Arial" w:hAnsi="Arial" w:cs="Arial"/>
        </w:rPr>
        <w:t xml:space="preserve">. Tabulka uvádí mimo jiné </w:t>
      </w:r>
      <w:r w:rsidRPr="00637E01">
        <w:rPr>
          <w:rFonts w:ascii="Arial" w:hAnsi="Arial" w:cs="Arial"/>
          <w:b/>
        </w:rPr>
        <w:t>u některých indikátorů zpřesnění</w:t>
      </w:r>
      <w:r w:rsidRPr="00637E01">
        <w:rPr>
          <w:rFonts w:ascii="Arial" w:hAnsi="Arial" w:cs="Arial"/>
        </w:rPr>
        <w:t xml:space="preserve"> ve smyslu </w:t>
      </w:r>
      <w:r>
        <w:rPr>
          <w:rFonts w:ascii="Arial" w:hAnsi="Arial" w:cs="Arial"/>
        </w:rPr>
        <w:t xml:space="preserve">jejich </w:t>
      </w:r>
      <w:r w:rsidRPr="00637E01">
        <w:rPr>
          <w:rFonts w:ascii="Arial" w:hAnsi="Arial" w:cs="Arial"/>
        </w:rPr>
        <w:t>lepší vypovídací schopnosti</w:t>
      </w:r>
      <w:r>
        <w:rPr>
          <w:rFonts w:ascii="Arial" w:hAnsi="Arial" w:cs="Arial"/>
        </w:rPr>
        <w:t>. Vzhledem k tomu, že některá data využívaná pro stanovení kvantitativních indikátorů jejich poskytovatelé průběžně aktualizují a zpětně upravují (například počty publikací či patentových přihlášek), byly u některých indikátorů zpětně stanoveny i jejich hodnoty v předcházejících letech. Další informace ke stanovení indikátorů jsou uvedeny v poznámkách pod tabulkou.</w:t>
      </w:r>
    </w:p>
    <w:p w14:paraId="3C3D410E" w14:textId="77777777" w:rsidR="00A02BDB" w:rsidRPr="00637E01" w:rsidRDefault="00A02BDB" w:rsidP="00A02BDB">
      <w:pPr>
        <w:keepNext/>
        <w:spacing w:after="100" w:afterAutospacing="1" w:line="360" w:lineRule="auto"/>
        <w:rPr>
          <w:rFonts w:ascii="Arial" w:hAnsi="Arial" w:cs="Arial"/>
          <w:b/>
          <w:lang w:eastAsia="cs-CZ"/>
        </w:rPr>
      </w:pPr>
      <w:r w:rsidRPr="00637E01">
        <w:rPr>
          <w:rFonts w:ascii="Arial" w:hAnsi="Arial" w:cs="Arial"/>
          <w:b/>
          <w:lang w:eastAsia="cs-CZ"/>
        </w:rPr>
        <w:t>Tabulka P.1: Hodnoty kvantitativních indikátorů pro hodnocení pokroku v plnění cílů Národní politiky výzkumu, vývoje a inovací ČR na léta 2016–2020</w:t>
      </w:r>
    </w:p>
    <w:tbl>
      <w:tblPr>
        <w:tblStyle w:val="Mkatabulky"/>
        <w:tblW w:w="5000" w:type="pct"/>
        <w:tblInd w:w="108" w:type="dxa"/>
        <w:tblLayout w:type="fixed"/>
        <w:tblLook w:val="04A0" w:firstRow="1" w:lastRow="0" w:firstColumn="1" w:lastColumn="0" w:noHBand="0" w:noVBand="1"/>
      </w:tblPr>
      <w:tblGrid>
        <w:gridCol w:w="742"/>
        <w:gridCol w:w="3078"/>
        <w:gridCol w:w="1926"/>
        <w:gridCol w:w="1941"/>
        <w:gridCol w:w="1941"/>
      </w:tblGrid>
      <w:tr w:rsidR="00A02BDB" w:rsidRPr="00637E01" w14:paraId="22977F89" w14:textId="77777777" w:rsidTr="00A02BDB">
        <w:trPr>
          <w:trHeight w:val="463"/>
          <w:tblHeader/>
        </w:trPr>
        <w:tc>
          <w:tcPr>
            <w:tcW w:w="717" w:type="dxa"/>
            <w:shd w:val="clear" w:color="auto" w:fill="F2F2F2" w:themeFill="background1" w:themeFillShade="F2"/>
            <w:vAlign w:val="center"/>
          </w:tcPr>
          <w:p w14:paraId="14F591CD" w14:textId="77777777" w:rsidR="00A02BDB" w:rsidRPr="00637E01" w:rsidRDefault="00A02BDB" w:rsidP="00A02BDB">
            <w:pPr>
              <w:rPr>
                <w:rFonts w:ascii="Arial" w:hAnsi="Arial" w:cs="Arial"/>
                <w:sz w:val="18"/>
                <w:szCs w:val="18"/>
              </w:rPr>
            </w:pPr>
          </w:p>
        </w:tc>
        <w:tc>
          <w:tcPr>
            <w:tcW w:w="2969" w:type="dxa"/>
            <w:shd w:val="clear" w:color="auto" w:fill="F2F2F2" w:themeFill="background1" w:themeFillShade="F2"/>
            <w:vAlign w:val="center"/>
          </w:tcPr>
          <w:p w14:paraId="2BE73100" w14:textId="77777777" w:rsidR="00A02BDB" w:rsidRPr="00637E01" w:rsidRDefault="00A02BDB" w:rsidP="00A02BDB">
            <w:pPr>
              <w:jc w:val="center"/>
              <w:rPr>
                <w:rFonts w:ascii="Arial" w:hAnsi="Arial" w:cs="Arial"/>
                <w:b/>
                <w:sz w:val="18"/>
                <w:szCs w:val="18"/>
              </w:rPr>
            </w:pPr>
            <w:r w:rsidRPr="00637E01">
              <w:rPr>
                <w:rFonts w:ascii="Arial" w:hAnsi="Arial" w:cs="Arial"/>
                <w:b/>
                <w:sz w:val="18"/>
                <w:szCs w:val="18"/>
              </w:rPr>
              <w:t>Název</w:t>
            </w:r>
          </w:p>
        </w:tc>
        <w:tc>
          <w:tcPr>
            <w:tcW w:w="1858" w:type="dxa"/>
            <w:shd w:val="clear" w:color="auto" w:fill="F2F2F2" w:themeFill="background1" w:themeFillShade="F2"/>
            <w:vAlign w:val="center"/>
          </w:tcPr>
          <w:p w14:paraId="5F4FAA6F" w14:textId="77777777" w:rsidR="00A02BDB" w:rsidRPr="00637E01" w:rsidRDefault="00A02BDB" w:rsidP="00A02BDB">
            <w:pPr>
              <w:jc w:val="center"/>
              <w:rPr>
                <w:rFonts w:ascii="Arial" w:hAnsi="Arial" w:cs="Arial"/>
                <w:b/>
                <w:sz w:val="18"/>
                <w:szCs w:val="18"/>
              </w:rPr>
            </w:pPr>
            <w:r w:rsidRPr="00637E01">
              <w:rPr>
                <w:rFonts w:ascii="Arial" w:hAnsi="Arial" w:cs="Arial"/>
                <w:b/>
                <w:sz w:val="18"/>
                <w:szCs w:val="18"/>
              </w:rPr>
              <w:t>Výchozí hodnota při tvorbě NP VaVaI (rok)</w:t>
            </w:r>
          </w:p>
        </w:tc>
        <w:tc>
          <w:tcPr>
            <w:tcW w:w="1872" w:type="dxa"/>
            <w:shd w:val="clear" w:color="auto" w:fill="F2F2F2" w:themeFill="background1" w:themeFillShade="F2"/>
            <w:vAlign w:val="center"/>
          </w:tcPr>
          <w:p w14:paraId="0E4A5193" w14:textId="77777777" w:rsidR="00A02BDB" w:rsidRPr="00637E01" w:rsidRDefault="00A02BDB" w:rsidP="00A02BDB">
            <w:pPr>
              <w:jc w:val="center"/>
              <w:rPr>
                <w:rFonts w:ascii="Arial" w:hAnsi="Arial" w:cs="Arial"/>
                <w:b/>
                <w:sz w:val="18"/>
                <w:szCs w:val="18"/>
              </w:rPr>
            </w:pPr>
            <w:r w:rsidRPr="00637E01">
              <w:rPr>
                <w:rFonts w:ascii="Arial" w:hAnsi="Arial" w:cs="Arial"/>
                <w:b/>
                <w:sz w:val="18"/>
                <w:szCs w:val="18"/>
              </w:rPr>
              <w:t>Výchozí hodnota pro monitoring plnění cílů (rok)</w:t>
            </w:r>
          </w:p>
        </w:tc>
        <w:tc>
          <w:tcPr>
            <w:tcW w:w="1872" w:type="dxa"/>
            <w:shd w:val="clear" w:color="auto" w:fill="F2F2F2" w:themeFill="background1" w:themeFillShade="F2"/>
            <w:vAlign w:val="center"/>
          </w:tcPr>
          <w:p w14:paraId="5428216F" w14:textId="77777777" w:rsidR="00A02BDB" w:rsidRPr="00637E01" w:rsidRDefault="00A02BDB" w:rsidP="00A02BDB">
            <w:pPr>
              <w:jc w:val="center"/>
              <w:rPr>
                <w:rFonts w:ascii="Arial" w:hAnsi="Arial" w:cs="Arial"/>
                <w:b/>
                <w:sz w:val="18"/>
                <w:szCs w:val="18"/>
              </w:rPr>
            </w:pPr>
            <w:r>
              <w:rPr>
                <w:rFonts w:ascii="Arial" w:hAnsi="Arial" w:cs="Arial"/>
                <w:b/>
                <w:sz w:val="18"/>
                <w:szCs w:val="18"/>
              </w:rPr>
              <w:t xml:space="preserve">Aktuální </w:t>
            </w:r>
            <w:r w:rsidRPr="00637E01">
              <w:rPr>
                <w:rFonts w:ascii="Arial" w:hAnsi="Arial" w:cs="Arial"/>
                <w:b/>
                <w:sz w:val="18"/>
                <w:szCs w:val="18"/>
              </w:rPr>
              <w:t xml:space="preserve">Hodnota ukazatele </w:t>
            </w:r>
            <w:r>
              <w:rPr>
                <w:rFonts w:ascii="Arial" w:hAnsi="Arial" w:cs="Arial"/>
                <w:b/>
                <w:sz w:val="18"/>
                <w:szCs w:val="18"/>
              </w:rPr>
              <w:t>(rok)</w:t>
            </w:r>
          </w:p>
        </w:tc>
      </w:tr>
      <w:tr w:rsidR="00A02BDB" w:rsidRPr="00637E01" w14:paraId="584E5298" w14:textId="77777777" w:rsidTr="00A02BDB">
        <w:trPr>
          <w:trHeight w:val="794"/>
        </w:trPr>
        <w:tc>
          <w:tcPr>
            <w:tcW w:w="717" w:type="dxa"/>
            <w:vAlign w:val="center"/>
          </w:tcPr>
          <w:p w14:paraId="290466F0" w14:textId="77777777" w:rsidR="00A02BDB" w:rsidRPr="00637E01" w:rsidRDefault="00A02BDB" w:rsidP="00A02BDB">
            <w:pPr>
              <w:rPr>
                <w:rFonts w:ascii="Arial" w:hAnsi="Arial" w:cs="Arial"/>
                <w:sz w:val="18"/>
                <w:szCs w:val="18"/>
              </w:rPr>
            </w:pPr>
            <w:r w:rsidRPr="00637E01">
              <w:rPr>
                <w:rFonts w:ascii="Arial" w:hAnsi="Arial" w:cs="Arial"/>
                <w:sz w:val="18"/>
                <w:szCs w:val="18"/>
              </w:rPr>
              <w:t>1</w:t>
            </w:r>
          </w:p>
        </w:tc>
        <w:tc>
          <w:tcPr>
            <w:tcW w:w="2969" w:type="dxa"/>
            <w:vAlign w:val="center"/>
          </w:tcPr>
          <w:p w14:paraId="28EDD98F"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Počet absolventů doktorského studia ve věku 25–34 let na milion obyvatel stejné věkové skupiny</w:t>
            </w:r>
          </w:p>
        </w:tc>
        <w:tc>
          <w:tcPr>
            <w:tcW w:w="1858" w:type="dxa"/>
            <w:vAlign w:val="center"/>
          </w:tcPr>
          <w:p w14:paraId="47C00AA8"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1</w:t>
            </w:r>
            <w:r>
              <w:rPr>
                <w:rFonts w:ascii="Arial" w:hAnsi="Arial" w:cs="Arial"/>
                <w:sz w:val="18"/>
                <w:szCs w:val="18"/>
              </w:rPr>
              <w:t> 114</w:t>
            </w:r>
          </w:p>
          <w:p w14:paraId="2D65A25A"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w:t>
            </w:r>
            <w:r>
              <w:rPr>
                <w:rFonts w:ascii="Arial" w:hAnsi="Arial" w:cs="Arial"/>
                <w:sz w:val="18"/>
                <w:szCs w:val="18"/>
              </w:rPr>
              <w:t>3</w:t>
            </w:r>
            <w:r w:rsidRPr="00637E01">
              <w:rPr>
                <w:rFonts w:ascii="Arial" w:hAnsi="Arial" w:cs="Arial"/>
                <w:sz w:val="18"/>
                <w:szCs w:val="18"/>
              </w:rPr>
              <w:t>)</w:t>
            </w:r>
          </w:p>
        </w:tc>
        <w:tc>
          <w:tcPr>
            <w:tcW w:w="1872" w:type="dxa"/>
            <w:vAlign w:val="center"/>
          </w:tcPr>
          <w:p w14:paraId="2F122FF0"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1 </w:t>
            </w:r>
            <w:r>
              <w:rPr>
                <w:rFonts w:ascii="Arial" w:hAnsi="Arial" w:cs="Arial"/>
                <w:sz w:val="18"/>
                <w:szCs w:val="18"/>
              </w:rPr>
              <w:t>134</w:t>
            </w:r>
            <w:r w:rsidRPr="00637E01">
              <w:rPr>
                <w:rFonts w:ascii="Arial" w:hAnsi="Arial" w:cs="Arial"/>
                <w:sz w:val="18"/>
                <w:szCs w:val="18"/>
              </w:rPr>
              <w:t xml:space="preserve"> </w:t>
            </w:r>
          </w:p>
          <w:p w14:paraId="67C5CA79"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(2016)</w:t>
            </w:r>
          </w:p>
        </w:tc>
        <w:tc>
          <w:tcPr>
            <w:tcW w:w="1872" w:type="dxa"/>
            <w:vAlign w:val="center"/>
          </w:tcPr>
          <w:p w14:paraId="29F57E51" w14:textId="77777777" w:rsidR="00A02BDB" w:rsidRDefault="00A02BDB" w:rsidP="00A02BDB">
            <w:pPr>
              <w:jc w:val="center"/>
              <w:rPr>
                <w:rFonts w:ascii="Arial" w:hAnsi="Arial" w:cs="Arial"/>
                <w:sz w:val="18"/>
                <w:szCs w:val="18"/>
              </w:rPr>
            </w:pPr>
            <w:r>
              <w:rPr>
                <w:rFonts w:ascii="Arial" w:hAnsi="Arial" w:cs="Arial"/>
                <w:sz w:val="18"/>
                <w:szCs w:val="18"/>
              </w:rPr>
              <w:t>1 140</w:t>
            </w:r>
          </w:p>
          <w:p w14:paraId="49FBB4A7" w14:textId="77777777" w:rsidR="00A02BDB" w:rsidRPr="00637E01" w:rsidRDefault="00A02BDB" w:rsidP="00A02BDB">
            <w:pPr>
              <w:jc w:val="center"/>
              <w:rPr>
                <w:rFonts w:ascii="Arial" w:hAnsi="Arial" w:cs="Arial"/>
                <w:sz w:val="18"/>
                <w:szCs w:val="18"/>
              </w:rPr>
            </w:pPr>
            <w:r>
              <w:rPr>
                <w:rFonts w:ascii="Arial" w:hAnsi="Arial" w:cs="Arial"/>
                <w:sz w:val="18"/>
                <w:szCs w:val="18"/>
              </w:rPr>
              <w:t>(2019)</w:t>
            </w:r>
          </w:p>
        </w:tc>
      </w:tr>
      <w:tr w:rsidR="00A02BDB" w:rsidRPr="00637E01" w14:paraId="5F83219A" w14:textId="77777777" w:rsidTr="00A02BDB">
        <w:trPr>
          <w:trHeight w:val="794"/>
        </w:trPr>
        <w:tc>
          <w:tcPr>
            <w:tcW w:w="717" w:type="dxa"/>
            <w:vAlign w:val="center"/>
          </w:tcPr>
          <w:p w14:paraId="4FC36896" w14:textId="77777777" w:rsidR="00A02BDB" w:rsidRPr="00637E01" w:rsidRDefault="00A02BDB" w:rsidP="00A02BDB">
            <w:pPr>
              <w:rPr>
                <w:rFonts w:ascii="Arial" w:hAnsi="Arial" w:cs="Arial"/>
                <w:sz w:val="18"/>
                <w:szCs w:val="18"/>
              </w:rPr>
            </w:pPr>
            <w:r w:rsidRPr="00637E01">
              <w:rPr>
                <w:rFonts w:ascii="Arial" w:hAnsi="Arial" w:cs="Arial"/>
                <w:sz w:val="18"/>
                <w:szCs w:val="18"/>
              </w:rPr>
              <w:t>2</w:t>
            </w:r>
          </w:p>
        </w:tc>
        <w:tc>
          <w:tcPr>
            <w:tcW w:w="2969" w:type="dxa"/>
            <w:vAlign w:val="center"/>
          </w:tcPr>
          <w:p w14:paraId="16901464"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Podíl žen na celkovém počtu výzkumných pracovníků (%)</w:t>
            </w:r>
          </w:p>
        </w:tc>
        <w:tc>
          <w:tcPr>
            <w:tcW w:w="1858" w:type="dxa"/>
            <w:vAlign w:val="center"/>
          </w:tcPr>
          <w:p w14:paraId="306B0843"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25 %</w:t>
            </w:r>
          </w:p>
          <w:p w14:paraId="1528B434"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(2013)</w:t>
            </w:r>
          </w:p>
        </w:tc>
        <w:tc>
          <w:tcPr>
            <w:tcW w:w="1872" w:type="dxa"/>
            <w:vAlign w:val="center"/>
          </w:tcPr>
          <w:p w14:paraId="5595FBC4"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23,1 %</w:t>
            </w:r>
          </w:p>
          <w:p w14:paraId="75E875FA"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(2016)</w:t>
            </w:r>
          </w:p>
        </w:tc>
        <w:tc>
          <w:tcPr>
            <w:tcW w:w="1872" w:type="dxa"/>
            <w:vAlign w:val="center"/>
          </w:tcPr>
          <w:p w14:paraId="7202E79C" w14:textId="77777777" w:rsidR="00A02BDB" w:rsidRDefault="00A02BDB" w:rsidP="00A02BDB">
            <w:pPr>
              <w:jc w:val="center"/>
              <w:rPr>
                <w:rFonts w:ascii="Arial" w:hAnsi="Arial" w:cs="Arial"/>
                <w:sz w:val="18"/>
                <w:szCs w:val="18"/>
              </w:rPr>
            </w:pPr>
            <w:r>
              <w:rPr>
                <w:rFonts w:ascii="Arial" w:hAnsi="Arial" w:cs="Arial"/>
                <w:sz w:val="18"/>
                <w:szCs w:val="18"/>
              </w:rPr>
              <w:t>23,9 %</w:t>
            </w:r>
          </w:p>
          <w:p w14:paraId="747C4C2C" w14:textId="77777777" w:rsidR="00A02BDB" w:rsidRPr="00637E01" w:rsidRDefault="00A02BDB" w:rsidP="00A02BDB">
            <w:pPr>
              <w:jc w:val="center"/>
              <w:rPr>
                <w:rFonts w:ascii="Arial" w:hAnsi="Arial" w:cs="Arial"/>
                <w:sz w:val="18"/>
                <w:szCs w:val="18"/>
              </w:rPr>
            </w:pPr>
            <w:r>
              <w:rPr>
                <w:rFonts w:ascii="Arial" w:hAnsi="Arial" w:cs="Arial"/>
                <w:sz w:val="18"/>
                <w:szCs w:val="18"/>
              </w:rPr>
              <w:t>(2019)</w:t>
            </w:r>
          </w:p>
        </w:tc>
      </w:tr>
      <w:tr w:rsidR="00A02BDB" w:rsidRPr="00637E01" w14:paraId="25AA3704" w14:textId="77777777" w:rsidTr="00A02BDB">
        <w:trPr>
          <w:trHeight w:val="126"/>
        </w:trPr>
        <w:tc>
          <w:tcPr>
            <w:tcW w:w="717" w:type="dxa"/>
            <w:vAlign w:val="center"/>
          </w:tcPr>
          <w:p w14:paraId="44AD0742" w14:textId="77777777" w:rsidR="00A02BDB" w:rsidRPr="00637E01" w:rsidRDefault="00A02BDB" w:rsidP="00A02BDB">
            <w:pPr>
              <w:rPr>
                <w:rFonts w:ascii="Arial" w:hAnsi="Arial" w:cs="Arial"/>
                <w:sz w:val="18"/>
                <w:szCs w:val="18"/>
              </w:rPr>
            </w:pPr>
            <w:r w:rsidRPr="00637E01">
              <w:rPr>
                <w:rFonts w:ascii="Arial" w:hAnsi="Arial" w:cs="Arial"/>
                <w:sz w:val="18"/>
                <w:szCs w:val="18"/>
              </w:rPr>
              <w:t>3</w:t>
            </w:r>
          </w:p>
        </w:tc>
        <w:tc>
          <w:tcPr>
            <w:tcW w:w="2969" w:type="dxa"/>
            <w:vAlign w:val="center"/>
          </w:tcPr>
          <w:p w14:paraId="3CFC418C"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Podíl vědeckých publikací ve spoluautorství domácích a zahraničních výzkumníků (%)</w:t>
            </w:r>
            <w:r>
              <w:rPr>
                <w:rFonts w:ascii="Arial" w:hAnsi="Arial" w:cs="Arial"/>
                <w:sz w:val="18"/>
                <w:szCs w:val="18"/>
              </w:rPr>
              <w:t xml:space="preserve"> </w:t>
            </w:r>
            <w:r>
              <w:rPr>
                <w:rFonts w:ascii="Arial" w:hAnsi="Arial" w:cs="Arial"/>
                <w:sz w:val="18"/>
                <w:szCs w:val="18"/>
                <w:vertAlign w:val="superscript"/>
              </w:rPr>
              <w:t>1</w:t>
            </w:r>
          </w:p>
        </w:tc>
        <w:tc>
          <w:tcPr>
            <w:tcW w:w="1858" w:type="dxa"/>
            <w:vAlign w:val="center"/>
          </w:tcPr>
          <w:p w14:paraId="346B7825" w14:textId="77777777" w:rsidR="00A02BDB" w:rsidRDefault="00A02BDB" w:rsidP="00A02BDB">
            <w:pPr>
              <w:jc w:val="center"/>
              <w:rPr>
                <w:rFonts w:ascii="Arial" w:hAnsi="Arial" w:cs="Arial"/>
                <w:sz w:val="18"/>
                <w:szCs w:val="18"/>
              </w:rPr>
            </w:pPr>
            <w:r>
              <w:rPr>
                <w:rFonts w:ascii="Arial" w:hAnsi="Arial" w:cs="Arial"/>
                <w:sz w:val="18"/>
                <w:szCs w:val="18"/>
              </w:rPr>
              <w:t>35,6</w:t>
            </w:r>
            <w:r w:rsidRPr="00E01293">
              <w:rPr>
                <w:rFonts w:ascii="Arial" w:hAnsi="Arial" w:cs="Arial"/>
                <w:sz w:val="18"/>
                <w:szCs w:val="18"/>
              </w:rPr>
              <w:t> %</w:t>
            </w:r>
            <w:r>
              <w:rPr>
                <w:rFonts w:ascii="Arial" w:hAnsi="Arial" w:cs="Arial"/>
                <w:sz w:val="18"/>
                <w:szCs w:val="18"/>
              </w:rPr>
              <w:t xml:space="preserve"> *</w:t>
            </w:r>
          </w:p>
          <w:p w14:paraId="19ECE694" w14:textId="77777777" w:rsidR="00A02BDB" w:rsidRPr="00E01293" w:rsidRDefault="00A02BDB" w:rsidP="00A02BDB">
            <w:pPr>
              <w:jc w:val="center"/>
              <w:rPr>
                <w:rFonts w:ascii="Arial" w:hAnsi="Arial" w:cs="Arial"/>
                <w:sz w:val="18"/>
                <w:szCs w:val="18"/>
              </w:rPr>
            </w:pPr>
            <w:r>
              <w:rPr>
                <w:rFonts w:ascii="Arial" w:hAnsi="Arial" w:cs="Arial"/>
                <w:sz w:val="18"/>
                <w:szCs w:val="18"/>
              </w:rPr>
              <w:t>(2012)</w:t>
            </w:r>
          </w:p>
        </w:tc>
        <w:tc>
          <w:tcPr>
            <w:tcW w:w="1872" w:type="dxa"/>
            <w:vAlign w:val="center"/>
          </w:tcPr>
          <w:p w14:paraId="30568C04" w14:textId="77777777" w:rsidR="00A02BDB" w:rsidRPr="00E01293" w:rsidRDefault="00A02BDB" w:rsidP="00A02BDB">
            <w:pPr>
              <w:jc w:val="center"/>
              <w:rPr>
                <w:rFonts w:ascii="Arial" w:hAnsi="Arial" w:cs="Arial"/>
                <w:sz w:val="18"/>
                <w:szCs w:val="18"/>
              </w:rPr>
            </w:pPr>
            <w:r>
              <w:rPr>
                <w:rFonts w:ascii="Arial" w:hAnsi="Arial" w:cs="Arial"/>
                <w:sz w:val="18"/>
                <w:szCs w:val="18"/>
              </w:rPr>
              <w:t>39</w:t>
            </w:r>
            <w:r w:rsidRPr="00E01293">
              <w:rPr>
                <w:rFonts w:ascii="Arial" w:hAnsi="Arial" w:cs="Arial"/>
                <w:sz w:val="18"/>
                <w:szCs w:val="18"/>
              </w:rPr>
              <w:t>,</w:t>
            </w:r>
            <w:r>
              <w:rPr>
                <w:rFonts w:ascii="Arial" w:hAnsi="Arial" w:cs="Arial"/>
                <w:sz w:val="18"/>
                <w:szCs w:val="18"/>
              </w:rPr>
              <w:t>7</w:t>
            </w:r>
            <w:r w:rsidRPr="00E01293">
              <w:rPr>
                <w:rFonts w:ascii="Arial" w:hAnsi="Arial" w:cs="Arial"/>
                <w:sz w:val="18"/>
                <w:szCs w:val="18"/>
              </w:rPr>
              <w:t> %</w:t>
            </w:r>
            <w:r>
              <w:rPr>
                <w:rFonts w:ascii="Arial" w:hAnsi="Arial" w:cs="Arial"/>
                <w:sz w:val="18"/>
                <w:szCs w:val="18"/>
              </w:rPr>
              <w:t xml:space="preserve"> *</w:t>
            </w:r>
          </w:p>
          <w:p w14:paraId="03463D8A" w14:textId="77777777" w:rsidR="00A02BDB" w:rsidRPr="00E01293" w:rsidRDefault="00A02BDB" w:rsidP="00A02BDB">
            <w:pPr>
              <w:jc w:val="center"/>
              <w:rPr>
                <w:rFonts w:ascii="Arial" w:hAnsi="Arial" w:cs="Arial"/>
                <w:sz w:val="18"/>
                <w:szCs w:val="18"/>
              </w:rPr>
            </w:pPr>
            <w:r w:rsidRPr="00E01293">
              <w:rPr>
                <w:rFonts w:ascii="Arial" w:hAnsi="Arial" w:cs="Arial"/>
                <w:sz w:val="18"/>
                <w:szCs w:val="18"/>
              </w:rPr>
              <w:t>(2016)</w:t>
            </w:r>
          </w:p>
        </w:tc>
        <w:tc>
          <w:tcPr>
            <w:tcW w:w="1872" w:type="dxa"/>
            <w:vAlign w:val="center"/>
          </w:tcPr>
          <w:p w14:paraId="38B38092" w14:textId="77777777" w:rsidR="00A02BDB" w:rsidRDefault="00A02BDB" w:rsidP="00A02BDB">
            <w:pPr>
              <w:jc w:val="center"/>
              <w:rPr>
                <w:rFonts w:ascii="Arial" w:hAnsi="Arial" w:cs="Arial"/>
                <w:sz w:val="18"/>
                <w:szCs w:val="18"/>
              </w:rPr>
            </w:pPr>
            <w:r>
              <w:rPr>
                <w:rFonts w:ascii="Arial" w:hAnsi="Arial" w:cs="Arial"/>
                <w:sz w:val="18"/>
                <w:szCs w:val="18"/>
              </w:rPr>
              <w:t>49,6 % (2019)</w:t>
            </w:r>
          </w:p>
          <w:p w14:paraId="595825AD" w14:textId="77777777" w:rsidR="00A02BDB" w:rsidRPr="00637E01" w:rsidRDefault="00A02BDB" w:rsidP="00A02BDB">
            <w:pPr>
              <w:jc w:val="center"/>
              <w:rPr>
                <w:rFonts w:ascii="Arial" w:hAnsi="Arial" w:cs="Arial"/>
                <w:sz w:val="18"/>
                <w:szCs w:val="18"/>
              </w:rPr>
            </w:pPr>
            <w:r>
              <w:rPr>
                <w:rFonts w:ascii="Arial" w:hAnsi="Arial" w:cs="Arial"/>
                <w:sz w:val="18"/>
                <w:szCs w:val="18"/>
              </w:rPr>
              <w:t>57,0</w:t>
            </w:r>
            <w:r w:rsidRPr="00637E01">
              <w:rPr>
                <w:rFonts w:ascii="Arial" w:hAnsi="Arial" w:cs="Arial"/>
                <w:sz w:val="18"/>
                <w:szCs w:val="18"/>
              </w:rPr>
              <w:t> %</w:t>
            </w:r>
            <w:r>
              <w:rPr>
                <w:rFonts w:ascii="Arial" w:hAnsi="Arial" w:cs="Arial"/>
                <w:sz w:val="18"/>
                <w:szCs w:val="18"/>
              </w:rPr>
              <w:t xml:space="preserve"> (2020)</w:t>
            </w:r>
          </w:p>
        </w:tc>
      </w:tr>
      <w:tr w:rsidR="00A02BDB" w:rsidRPr="00637E01" w14:paraId="3C6E3101" w14:textId="77777777" w:rsidTr="00A02BDB">
        <w:trPr>
          <w:trHeight w:val="794"/>
        </w:trPr>
        <w:tc>
          <w:tcPr>
            <w:tcW w:w="717" w:type="dxa"/>
            <w:vAlign w:val="center"/>
          </w:tcPr>
          <w:p w14:paraId="0E0D4DC7" w14:textId="77777777" w:rsidR="00A02BDB" w:rsidRPr="00637E01" w:rsidRDefault="00A02BDB" w:rsidP="00A02BDB">
            <w:pPr>
              <w:rPr>
                <w:rFonts w:ascii="Arial" w:hAnsi="Arial" w:cs="Arial"/>
                <w:sz w:val="18"/>
                <w:szCs w:val="18"/>
              </w:rPr>
            </w:pPr>
            <w:r w:rsidRPr="00637E01">
              <w:rPr>
                <w:rFonts w:ascii="Arial" w:hAnsi="Arial" w:cs="Arial"/>
                <w:sz w:val="18"/>
                <w:szCs w:val="18"/>
              </w:rPr>
              <w:t>4</w:t>
            </w:r>
          </w:p>
        </w:tc>
        <w:tc>
          <w:tcPr>
            <w:tcW w:w="2969" w:type="dxa"/>
            <w:vAlign w:val="center"/>
          </w:tcPr>
          <w:p w14:paraId="2F6D7D0C"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 xml:space="preserve">Podíl zahraničních výzkumníků v celkovém počtu výzkumníků </w:t>
            </w:r>
            <w:r>
              <w:rPr>
                <w:rFonts w:ascii="Arial" w:hAnsi="Arial" w:cs="Arial"/>
                <w:sz w:val="18"/>
                <w:szCs w:val="18"/>
              </w:rPr>
              <w:t xml:space="preserve">ve vládním a VŠ sektoru </w:t>
            </w:r>
            <w:r w:rsidRPr="00637E01">
              <w:rPr>
                <w:rFonts w:ascii="Arial" w:hAnsi="Arial" w:cs="Arial"/>
                <w:sz w:val="18"/>
                <w:szCs w:val="18"/>
              </w:rPr>
              <w:t>(%)</w:t>
            </w:r>
            <w:r>
              <w:rPr>
                <w:rFonts w:ascii="Arial" w:hAnsi="Arial" w:cs="Arial"/>
                <w:sz w:val="18"/>
                <w:szCs w:val="18"/>
              </w:rPr>
              <w:t xml:space="preserve"> </w:t>
            </w:r>
            <w:r>
              <w:rPr>
                <w:rFonts w:ascii="Arial" w:hAnsi="Arial" w:cs="Arial"/>
                <w:sz w:val="18"/>
                <w:szCs w:val="18"/>
                <w:vertAlign w:val="superscript"/>
              </w:rPr>
              <w:t>2</w:t>
            </w:r>
          </w:p>
        </w:tc>
        <w:tc>
          <w:tcPr>
            <w:tcW w:w="1858" w:type="dxa"/>
            <w:vAlign w:val="center"/>
          </w:tcPr>
          <w:p w14:paraId="16630037"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6 %</w:t>
            </w:r>
          </w:p>
          <w:p w14:paraId="6F0C0310"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(2011)</w:t>
            </w:r>
          </w:p>
        </w:tc>
        <w:tc>
          <w:tcPr>
            <w:tcW w:w="1872" w:type="dxa"/>
            <w:vAlign w:val="center"/>
          </w:tcPr>
          <w:p w14:paraId="3ADE68C9"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9,</w:t>
            </w:r>
            <w:r>
              <w:rPr>
                <w:rFonts w:ascii="Arial" w:hAnsi="Arial" w:cs="Arial"/>
                <w:sz w:val="18"/>
                <w:szCs w:val="18"/>
              </w:rPr>
              <w:t>5</w:t>
            </w:r>
            <w:r w:rsidRPr="00637E01">
              <w:rPr>
                <w:rFonts w:ascii="Arial" w:hAnsi="Arial" w:cs="Arial"/>
                <w:sz w:val="18"/>
                <w:szCs w:val="18"/>
              </w:rPr>
              <w:t> %</w:t>
            </w:r>
          </w:p>
          <w:p w14:paraId="0166B71F"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(2015)</w:t>
            </w:r>
          </w:p>
        </w:tc>
        <w:tc>
          <w:tcPr>
            <w:tcW w:w="1872" w:type="dxa"/>
            <w:vAlign w:val="center"/>
          </w:tcPr>
          <w:p w14:paraId="5C8BDA68" w14:textId="77777777" w:rsidR="00A02BDB" w:rsidRDefault="00A02BDB" w:rsidP="00A02BDB">
            <w:pPr>
              <w:jc w:val="center"/>
              <w:rPr>
                <w:rFonts w:ascii="Arial" w:hAnsi="Arial" w:cs="Arial"/>
                <w:sz w:val="18"/>
                <w:szCs w:val="18"/>
              </w:rPr>
            </w:pPr>
            <w:r>
              <w:rPr>
                <w:rFonts w:ascii="Arial" w:hAnsi="Arial" w:cs="Arial"/>
                <w:sz w:val="18"/>
                <w:szCs w:val="18"/>
              </w:rPr>
              <w:t>12,6 %</w:t>
            </w:r>
          </w:p>
          <w:p w14:paraId="7C469FD2" w14:textId="77777777" w:rsidR="00A02BDB" w:rsidRPr="00637E01" w:rsidRDefault="00A02BDB" w:rsidP="00A02BDB">
            <w:pPr>
              <w:jc w:val="center"/>
              <w:rPr>
                <w:rFonts w:ascii="Arial" w:hAnsi="Arial" w:cs="Arial"/>
                <w:sz w:val="18"/>
                <w:szCs w:val="18"/>
              </w:rPr>
            </w:pPr>
            <w:r>
              <w:rPr>
                <w:rFonts w:ascii="Arial" w:hAnsi="Arial" w:cs="Arial"/>
                <w:sz w:val="18"/>
                <w:szCs w:val="18"/>
              </w:rPr>
              <w:t>(2019)</w:t>
            </w:r>
          </w:p>
        </w:tc>
      </w:tr>
      <w:tr w:rsidR="00A02BDB" w:rsidRPr="00637E01" w14:paraId="5AA07FF8" w14:textId="77777777" w:rsidTr="00A02BDB">
        <w:trPr>
          <w:trHeight w:val="794"/>
        </w:trPr>
        <w:tc>
          <w:tcPr>
            <w:tcW w:w="717" w:type="dxa"/>
            <w:vAlign w:val="center"/>
          </w:tcPr>
          <w:p w14:paraId="6A5AB4A0" w14:textId="77777777" w:rsidR="00A02BDB" w:rsidRPr="00637E01" w:rsidRDefault="00A02BDB" w:rsidP="00A02BDB">
            <w:pPr>
              <w:rPr>
                <w:rFonts w:ascii="Arial" w:hAnsi="Arial" w:cs="Arial"/>
                <w:sz w:val="18"/>
                <w:szCs w:val="18"/>
              </w:rPr>
            </w:pPr>
            <w:r w:rsidRPr="00637E01">
              <w:rPr>
                <w:rFonts w:ascii="Arial" w:hAnsi="Arial" w:cs="Arial"/>
                <w:sz w:val="18"/>
                <w:szCs w:val="18"/>
              </w:rPr>
              <w:t>5</w:t>
            </w:r>
          </w:p>
        </w:tc>
        <w:tc>
          <w:tcPr>
            <w:tcW w:w="2969" w:type="dxa"/>
            <w:vAlign w:val="center"/>
          </w:tcPr>
          <w:p w14:paraId="34D03FFB"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Počet účastí v programu Horizont 2020 na tisíc výzkumných pracovníků (FTE)</w:t>
            </w:r>
          </w:p>
        </w:tc>
        <w:tc>
          <w:tcPr>
            <w:tcW w:w="1858" w:type="dxa"/>
            <w:vAlign w:val="center"/>
          </w:tcPr>
          <w:p w14:paraId="34336291" w14:textId="77777777" w:rsidR="00A02BDB" w:rsidRPr="00637E01" w:rsidRDefault="00A02BDB" w:rsidP="00A02BDB">
            <w:pPr>
              <w:pStyle w:val="Odstavecseseznamem"/>
              <w:numPr>
                <w:ilvl w:val="0"/>
                <w:numId w:val="5"/>
              </w:numPr>
              <w:spacing w:before="120" w:after="120"/>
              <w:jc w:val="center"/>
              <w:rPr>
                <w:rFonts w:ascii="Arial" w:hAnsi="Arial" w:cs="Arial"/>
                <w:sz w:val="18"/>
                <w:szCs w:val="18"/>
              </w:rPr>
            </w:pPr>
          </w:p>
        </w:tc>
        <w:tc>
          <w:tcPr>
            <w:tcW w:w="1872" w:type="dxa"/>
            <w:vAlign w:val="center"/>
          </w:tcPr>
          <w:p w14:paraId="32591B1C"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18,4</w:t>
            </w:r>
          </w:p>
          <w:p w14:paraId="1F71D11F"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(2016)</w:t>
            </w:r>
          </w:p>
        </w:tc>
        <w:tc>
          <w:tcPr>
            <w:tcW w:w="1872" w:type="dxa"/>
            <w:vAlign w:val="center"/>
          </w:tcPr>
          <w:p w14:paraId="6C7064D5" w14:textId="77777777" w:rsidR="00A02BDB" w:rsidRDefault="00A02BDB" w:rsidP="00A02BDB">
            <w:pPr>
              <w:jc w:val="center"/>
              <w:rPr>
                <w:rFonts w:ascii="Arial" w:hAnsi="Arial" w:cs="Arial"/>
                <w:sz w:val="18"/>
                <w:szCs w:val="18"/>
              </w:rPr>
            </w:pPr>
            <w:r>
              <w:rPr>
                <w:rFonts w:ascii="Arial" w:hAnsi="Arial" w:cs="Arial"/>
                <w:sz w:val="18"/>
                <w:szCs w:val="18"/>
              </w:rPr>
              <w:t>37</w:t>
            </w:r>
            <w:r w:rsidRPr="00637E01">
              <w:rPr>
                <w:rFonts w:ascii="Arial" w:hAnsi="Arial" w:cs="Arial"/>
                <w:sz w:val="18"/>
                <w:szCs w:val="18"/>
              </w:rPr>
              <w:t>,</w:t>
            </w:r>
            <w:r>
              <w:rPr>
                <w:rFonts w:ascii="Arial" w:hAnsi="Arial" w:cs="Arial"/>
                <w:sz w:val="18"/>
                <w:szCs w:val="18"/>
              </w:rPr>
              <w:t xml:space="preserve">0 </w:t>
            </w:r>
            <w:r>
              <w:rPr>
                <w:rFonts w:ascii="Arial" w:hAnsi="Arial" w:cs="Arial"/>
                <w:sz w:val="18"/>
                <w:szCs w:val="18"/>
                <w:vertAlign w:val="superscript"/>
              </w:rPr>
              <w:t>3</w:t>
            </w:r>
          </w:p>
          <w:p w14:paraId="2ED91FAA" w14:textId="77777777" w:rsidR="00A02BDB" w:rsidRPr="00637E01" w:rsidRDefault="00A02BDB" w:rsidP="00A02BDB">
            <w:pPr>
              <w:jc w:val="center"/>
              <w:rPr>
                <w:rFonts w:ascii="Arial" w:hAnsi="Arial" w:cs="Arial"/>
                <w:sz w:val="18"/>
                <w:szCs w:val="18"/>
              </w:rPr>
            </w:pPr>
            <w:r>
              <w:rPr>
                <w:rFonts w:ascii="Arial" w:hAnsi="Arial" w:cs="Arial"/>
                <w:sz w:val="18"/>
                <w:szCs w:val="18"/>
              </w:rPr>
              <w:t>(2021)</w:t>
            </w:r>
          </w:p>
        </w:tc>
      </w:tr>
      <w:tr w:rsidR="00A02BDB" w:rsidRPr="00637E01" w14:paraId="06DE2A13" w14:textId="77777777" w:rsidTr="00A02BDB">
        <w:trPr>
          <w:trHeight w:val="794"/>
        </w:trPr>
        <w:tc>
          <w:tcPr>
            <w:tcW w:w="717" w:type="dxa"/>
            <w:vAlign w:val="center"/>
          </w:tcPr>
          <w:p w14:paraId="5A5A244F" w14:textId="77777777" w:rsidR="00A02BDB" w:rsidRPr="00637E01" w:rsidRDefault="00A02BDB" w:rsidP="00A02BDB">
            <w:pPr>
              <w:rPr>
                <w:rFonts w:ascii="Arial" w:hAnsi="Arial" w:cs="Arial"/>
                <w:sz w:val="18"/>
                <w:szCs w:val="18"/>
              </w:rPr>
            </w:pPr>
            <w:r w:rsidRPr="00637E01">
              <w:rPr>
                <w:rFonts w:ascii="Arial" w:hAnsi="Arial" w:cs="Arial"/>
                <w:sz w:val="18"/>
                <w:szCs w:val="18"/>
              </w:rPr>
              <w:lastRenderedPageBreak/>
              <w:t>6</w:t>
            </w:r>
          </w:p>
        </w:tc>
        <w:tc>
          <w:tcPr>
            <w:tcW w:w="2969" w:type="dxa"/>
            <w:vAlign w:val="center"/>
          </w:tcPr>
          <w:p w14:paraId="4F2FD506"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Získaný finanční příspěvek v programu Horizont 2020 na mld. € HDP</w:t>
            </w:r>
          </w:p>
        </w:tc>
        <w:tc>
          <w:tcPr>
            <w:tcW w:w="1858" w:type="dxa"/>
            <w:vAlign w:val="center"/>
          </w:tcPr>
          <w:p w14:paraId="790C175A" w14:textId="77777777" w:rsidR="00A02BDB" w:rsidRPr="00637E01" w:rsidRDefault="00A02BDB" w:rsidP="00A02BDB">
            <w:pPr>
              <w:pStyle w:val="Odstavecseseznamem"/>
              <w:numPr>
                <w:ilvl w:val="0"/>
                <w:numId w:val="5"/>
              </w:numPr>
              <w:spacing w:before="120" w:after="120"/>
              <w:jc w:val="center"/>
              <w:rPr>
                <w:rFonts w:ascii="Arial" w:hAnsi="Arial" w:cs="Arial"/>
                <w:sz w:val="18"/>
                <w:szCs w:val="18"/>
              </w:rPr>
            </w:pPr>
          </w:p>
        </w:tc>
        <w:tc>
          <w:tcPr>
            <w:tcW w:w="1872" w:type="dxa"/>
            <w:vAlign w:val="center"/>
          </w:tcPr>
          <w:p w14:paraId="5FE8BF2B"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w:t>
            </w:r>
          </w:p>
        </w:tc>
        <w:tc>
          <w:tcPr>
            <w:tcW w:w="1872" w:type="dxa"/>
            <w:vAlign w:val="center"/>
          </w:tcPr>
          <w:p w14:paraId="7EFACEFA" w14:textId="77777777" w:rsidR="00A02BDB" w:rsidRDefault="00A02BDB" w:rsidP="00A02BDB">
            <w:pPr>
              <w:jc w:val="center"/>
              <w:rPr>
                <w:rFonts w:ascii="Arial" w:hAnsi="Arial" w:cs="Arial"/>
                <w:sz w:val="18"/>
                <w:szCs w:val="18"/>
              </w:rPr>
            </w:pPr>
            <w:r>
              <w:rPr>
                <w:rFonts w:ascii="Arial" w:hAnsi="Arial" w:cs="Arial"/>
                <w:sz w:val="18"/>
                <w:szCs w:val="18"/>
              </w:rPr>
              <w:t>2</w:t>
            </w:r>
            <w:r w:rsidRPr="00637E01">
              <w:rPr>
                <w:rFonts w:ascii="Arial" w:hAnsi="Arial" w:cs="Arial"/>
                <w:sz w:val="18"/>
                <w:szCs w:val="18"/>
              </w:rPr>
              <w:t>,</w:t>
            </w:r>
            <w:r>
              <w:rPr>
                <w:rFonts w:ascii="Arial" w:hAnsi="Arial" w:cs="Arial"/>
                <w:sz w:val="18"/>
                <w:szCs w:val="18"/>
              </w:rPr>
              <w:t xml:space="preserve">06 </w:t>
            </w:r>
            <w:r>
              <w:rPr>
                <w:rFonts w:ascii="Arial" w:hAnsi="Arial" w:cs="Arial"/>
                <w:sz w:val="18"/>
                <w:szCs w:val="18"/>
                <w:vertAlign w:val="superscript"/>
              </w:rPr>
              <w:t>4</w:t>
            </w:r>
          </w:p>
          <w:p w14:paraId="76E33E69" w14:textId="77777777" w:rsidR="00A02BDB" w:rsidRPr="002B376C" w:rsidRDefault="00A02BDB" w:rsidP="00A02BDB">
            <w:pPr>
              <w:jc w:val="center"/>
              <w:rPr>
                <w:rFonts w:ascii="Arial" w:hAnsi="Arial" w:cs="Arial"/>
                <w:sz w:val="18"/>
                <w:szCs w:val="18"/>
              </w:rPr>
            </w:pPr>
            <w:r>
              <w:rPr>
                <w:rFonts w:ascii="Arial" w:hAnsi="Arial" w:cs="Arial"/>
                <w:sz w:val="18"/>
                <w:szCs w:val="18"/>
              </w:rPr>
              <w:t>(2021)</w:t>
            </w:r>
          </w:p>
        </w:tc>
      </w:tr>
      <w:tr w:rsidR="00A02BDB" w:rsidRPr="00637E01" w14:paraId="6C30F0E0" w14:textId="77777777" w:rsidTr="00A02BDB">
        <w:trPr>
          <w:trHeight w:val="794"/>
        </w:trPr>
        <w:tc>
          <w:tcPr>
            <w:tcW w:w="717" w:type="dxa"/>
            <w:vAlign w:val="center"/>
          </w:tcPr>
          <w:p w14:paraId="1400CBFC" w14:textId="77777777" w:rsidR="00A02BDB" w:rsidRPr="00637E01" w:rsidRDefault="00A02BDB" w:rsidP="00A02BDB">
            <w:pPr>
              <w:rPr>
                <w:rFonts w:ascii="Arial" w:hAnsi="Arial" w:cs="Arial"/>
                <w:sz w:val="18"/>
                <w:szCs w:val="18"/>
                <w:highlight w:val="yellow"/>
              </w:rPr>
            </w:pPr>
            <w:r w:rsidRPr="00637E01">
              <w:rPr>
                <w:rFonts w:ascii="Arial" w:hAnsi="Arial" w:cs="Arial"/>
                <w:sz w:val="18"/>
                <w:szCs w:val="18"/>
              </w:rPr>
              <w:t>7</w:t>
            </w:r>
          </w:p>
        </w:tc>
        <w:tc>
          <w:tcPr>
            <w:tcW w:w="2969" w:type="dxa"/>
            <w:vAlign w:val="center"/>
          </w:tcPr>
          <w:p w14:paraId="7D9E350C" w14:textId="77777777" w:rsidR="00A02BDB" w:rsidRPr="00637E01" w:rsidRDefault="00A02BDB" w:rsidP="00A02BDB">
            <w:pPr>
              <w:spacing w:line="200" w:lineRule="exact"/>
              <w:contextualSpacing/>
              <w:rPr>
                <w:rFonts w:ascii="Arial" w:hAnsi="Arial" w:cs="Arial"/>
                <w:sz w:val="18"/>
                <w:szCs w:val="18"/>
                <w:highlight w:val="yellow"/>
              </w:rPr>
            </w:pPr>
            <w:r w:rsidRPr="00637E01">
              <w:rPr>
                <w:rFonts w:ascii="Arial" w:hAnsi="Arial" w:cs="Arial"/>
                <w:sz w:val="18"/>
                <w:szCs w:val="18"/>
              </w:rPr>
              <w:t>Celkový počet publikací registrovaných v databázi WoS na milion obyvatel</w:t>
            </w:r>
            <w:r>
              <w:rPr>
                <w:rFonts w:ascii="Arial" w:hAnsi="Arial" w:cs="Arial"/>
                <w:sz w:val="18"/>
                <w:szCs w:val="18"/>
              </w:rPr>
              <w:t xml:space="preserve"> </w:t>
            </w:r>
            <w:r>
              <w:rPr>
                <w:rFonts w:ascii="Arial" w:hAnsi="Arial" w:cs="Arial"/>
                <w:sz w:val="18"/>
                <w:szCs w:val="18"/>
                <w:vertAlign w:val="superscript"/>
              </w:rPr>
              <w:t>1</w:t>
            </w:r>
          </w:p>
        </w:tc>
        <w:tc>
          <w:tcPr>
            <w:tcW w:w="1858" w:type="dxa"/>
            <w:vAlign w:val="center"/>
          </w:tcPr>
          <w:p w14:paraId="3965F789"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1</w:t>
            </w:r>
            <w:r>
              <w:rPr>
                <w:rFonts w:ascii="Arial" w:hAnsi="Arial" w:cs="Arial"/>
                <w:sz w:val="18"/>
                <w:szCs w:val="18"/>
              </w:rPr>
              <w:t xml:space="preserve"> 970 </w:t>
            </w:r>
            <w:r w:rsidRPr="00637E01">
              <w:rPr>
                <w:rFonts w:ascii="Arial" w:hAnsi="Arial" w:cs="Arial"/>
                <w:sz w:val="18"/>
                <w:szCs w:val="18"/>
              </w:rPr>
              <w:t>*</w:t>
            </w:r>
          </w:p>
          <w:p w14:paraId="17D60515"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(2014)</w:t>
            </w:r>
          </w:p>
        </w:tc>
        <w:tc>
          <w:tcPr>
            <w:tcW w:w="1872" w:type="dxa"/>
            <w:vAlign w:val="center"/>
          </w:tcPr>
          <w:p w14:paraId="088DC6F5" w14:textId="77777777" w:rsidR="00A02BDB" w:rsidRPr="00637E01" w:rsidRDefault="00A02BDB" w:rsidP="00A02BDB">
            <w:pPr>
              <w:jc w:val="center"/>
              <w:rPr>
                <w:rFonts w:ascii="Arial" w:hAnsi="Arial" w:cs="Arial"/>
                <w:sz w:val="18"/>
                <w:szCs w:val="18"/>
              </w:rPr>
            </w:pPr>
            <w:r>
              <w:rPr>
                <w:rFonts w:ascii="Arial" w:hAnsi="Arial" w:cs="Arial"/>
                <w:sz w:val="18"/>
                <w:szCs w:val="18"/>
              </w:rPr>
              <w:t>2 224 *</w:t>
            </w:r>
          </w:p>
          <w:p w14:paraId="42164DB1"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(2016)</w:t>
            </w:r>
          </w:p>
        </w:tc>
        <w:tc>
          <w:tcPr>
            <w:tcW w:w="1872" w:type="dxa"/>
            <w:vAlign w:val="center"/>
          </w:tcPr>
          <w:p w14:paraId="6CAF4AFA" w14:textId="77777777" w:rsidR="00A02BDB" w:rsidRDefault="00A02BDB" w:rsidP="00A02BDB">
            <w:pPr>
              <w:jc w:val="center"/>
              <w:rPr>
                <w:rFonts w:ascii="Arial" w:hAnsi="Arial" w:cs="Arial"/>
                <w:sz w:val="18"/>
                <w:szCs w:val="18"/>
              </w:rPr>
            </w:pPr>
            <w:r>
              <w:rPr>
                <w:rFonts w:ascii="Arial" w:hAnsi="Arial" w:cs="Arial"/>
                <w:sz w:val="18"/>
                <w:szCs w:val="18"/>
              </w:rPr>
              <w:t xml:space="preserve">2 246 </w:t>
            </w:r>
            <w:r w:rsidRPr="00637E01">
              <w:rPr>
                <w:rFonts w:ascii="Arial" w:hAnsi="Arial" w:cs="Arial"/>
                <w:sz w:val="18"/>
                <w:szCs w:val="18"/>
              </w:rPr>
              <w:t>(201</w:t>
            </w:r>
            <w:r>
              <w:rPr>
                <w:rFonts w:ascii="Arial" w:hAnsi="Arial" w:cs="Arial"/>
                <w:sz w:val="18"/>
                <w:szCs w:val="18"/>
              </w:rPr>
              <w:t>9</w:t>
            </w:r>
            <w:r w:rsidRPr="00637E01">
              <w:rPr>
                <w:rFonts w:ascii="Arial" w:hAnsi="Arial" w:cs="Arial"/>
                <w:sz w:val="18"/>
                <w:szCs w:val="18"/>
              </w:rPr>
              <w:t>)</w:t>
            </w:r>
          </w:p>
          <w:p w14:paraId="1BDC4432" w14:textId="77777777" w:rsidR="00A02BDB" w:rsidRPr="00637E01" w:rsidRDefault="00A02BDB" w:rsidP="00A02BDB">
            <w:pPr>
              <w:jc w:val="center"/>
              <w:rPr>
                <w:rFonts w:ascii="Arial" w:hAnsi="Arial" w:cs="Arial"/>
                <w:sz w:val="18"/>
                <w:szCs w:val="18"/>
              </w:rPr>
            </w:pPr>
            <w:r>
              <w:rPr>
                <w:rFonts w:ascii="Arial" w:hAnsi="Arial" w:cs="Arial"/>
                <w:sz w:val="18"/>
                <w:szCs w:val="18"/>
              </w:rPr>
              <w:t>2 023 (2020)</w:t>
            </w:r>
          </w:p>
        </w:tc>
      </w:tr>
      <w:tr w:rsidR="00A02BDB" w:rsidRPr="00637E01" w14:paraId="2A2DA511" w14:textId="77777777" w:rsidTr="00A02BDB">
        <w:trPr>
          <w:trHeight w:val="794"/>
        </w:trPr>
        <w:tc>
          <w:tcPr>
            <w:tcW w:w="717" w:type="dxa"/>
            <w:vAlign w:val="center"/>
          </w:tcPr>
          <w:p w14:paraId="2C95C2DA" w14:textId="77777777" w:rsidR="00A02BDB" w:rsidRPr="00637E01" w:rsidRDefault="00A02BDB" w:rsidP="00A02BDB">
            <w:pPr>
              <w:rPr>
                <w:rFonts w:ascii="Arial" w:hAnsi="Arial" w:cs="Arial"/>
                <w:sz w:val="18"/>
                <w:szCs w:val="18"/>
              </w:rPr>
            </w:pPr>
            <w:r w:rsidRPr="00637E01">
              <w:rPr>
                <w:rFonts w:ascii="Arial" w:hAnsi="Arial" w:cs="Arial"/>
                <w:sz w:val="18"/>
                <w:szCs w:val="18"/>
              </w:rPr>
              <w:t>8</w:t>
            </w:r>
          </w:p>
        </w:tc>
        <w:tc>
          <w:tcPr>
            <w:tcW w:w="2969" w:type="dxa"/>
            <w:vAlign w:val="center"/>
          </w:tcPr>
          <w:p w14:paraId="0860FA3E"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Počet PCT přihlášek na milion obyvatel</w:t>
            </w:r>
          </w:p>
        </w:tc>
        <w:tc>
          <w:tcPr>
            <w:tcW w:w="1858" w:type="dxa"/>
            <w:vAlign w:val="center"/>
          </w:tcPr>
          <w:p w14:paraId="0B6CD639"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16,</w:t>
            </w:r>
            <w:r>
              <w:rPr>
                <w:rFonts w:ascii="Arial" w:hAnsi="Arial" w:cs="Arial"/>
                <w:sz w:val="18"/>
                <w:szCs w:val="18"/>
              </w:rPr>
              <w:t>7</w:t>
            </w:r>
          </w:p>
          <w:p w14:paraId="6962F6F0"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(2012)</w:t>
            </w:r>
          </w:p>
        </w:tc>
        <w:tc>
          <w:tcPr>
            <w:tcW w:w="1872" w:type="dxa"/>
            <w:vAlign w:val="center"/>
          </w:tcPr>
          <w:p w14:paraId="14A831CD"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18,1 *</w:t>
            </w:r>
          </w:p>
          <w:p w14:paraId="138B4C6F"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(2014)</w:t>
            </w:r>
          </w:p>
        </w:tc>
        <w:tc>
          <w:tcPr>
            <w:tcW w:w="1872" w:type="dxa"/>
            <w:vAlign w:val="center"/>
          </w:tcPr>
          <w:p w14:paraId="61FFF253"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13,6 **</w:t>
            </w:r>
          </w:p>
          <w:p w14:paraId="3300363E"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(2017)</w:t>
            </w:r>
          </w:p>
        </w:tc>
      </w:tr>
      <w:tr w:rsidR="00A02BDB" w:rsidRPr="00637E01" w14:paraId="01E72634" w14:textId="77777777" w:rsidTr="00A02BDB">
        <w:trPr>
          <w:trHeight w:val="794"/>
        </w:trPr>
        <w:tc>
          <w:tcPr>
            <w:tcW w:w="717" w:type="dxa"/>
            <w:vAlign w:val="center"/>
          </w:tcPr>
          <w:p w14:paraId="34224E06" w14:textId="77777777" w:rsidR="00A02BDB" w:rsidRPr="00637E01" w:rsidRDefault="00A02BDB" w:rsidP="00A02BDB">
            <w:pPr>
              <w:rPr>
                <w:rFonts w:ascii="Arial" w:hAnsi="Arial" w:cs="Arial"/>
                <w:sz w:val="18"/>
                <w:szCs w:val="18"/>
              </w:rPr>
            </w:pPr>
            <w:r w:rsidRPr="00637E01">
              <w:rPr>
                <w:rFonts w:ascii="Arial" w:hAnsi="Arial" w:cs="Arial"/>
                <w:sz w:val="18"/>
                <w:szCs w:val="18"/>
              </w:rPr>
              <w:t>9</w:t>
            </w:r>
          </w:p>
        </w:tc>
        <w:tc>
          <w:tcPr>
            <w:tcW w:w="2969" w:type="dxa"/>
            <w:vAlign w:val="center"/>
          </w:tcPr>
          <w:p w14:paraId="231815A5"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Výnosy z prodeje licencí patentů (včetně národních) v mil. Kč</w:t>
            </w:r>
          </w:p>
        </w:tc>
        <w:tc>
          <w:tcPr>
            <w:tcW w:w="1858" w:type="dxa"/>
            <w:vAlign w:val="center"/>
          </w:tcPr>
          <w:p w14:paraId="6E033022"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2 726</w:t>
            </w:r>
          </w:p>
          <w:p w14:paraId="0B5A765A"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(2014)</w:t>
            </w:r>
          </w:p>
        </w:tc>
        <w:tc>
          <w:tcPr>
            <w:tcW w:w="1872" w:type="dxa"/>
            <w:vAlign w:val="center"/>
          </w:tcPr>
          <w:p w14:paraId="287B00B0"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3 356</w:t>
            </w:r>
          </w:p>
          <w:p w14:paraId="11D616F0"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(2016)</w:t>
            </w:r>
          </w:p>
        </w:tc>
        <w:tc>
          <w:tcPr>
            <w:tcW w:w="1872" w:type="dxa"/>
            <w:vAlign w:val="center"/>
          </w:tcPr>
          <w:p w14:paraId="5D3AB51A"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2 170</w:t>
            </w:r>
          </w:p>
          <w:p w14:paraId="30427DF6"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(2019)</w:t>
            </w:r>
          </w:p>
        </w:tc>
      </w:tr>
      <w:tr w:rsidR="00A02BDB" w:rsidRPr="00637E01" w14:paraId="3E5445D8" w14:textId="77777777" w:rsidTr="00A02BDB">
        <w:trPr>
          <w:trHeight w:val="410"/>
        </w:trPr>
        <w:tc>
          <w:tcPr>
            <w:tcW w:w="717" w:type="dxa"/>
            <w:vAlign w:val="center"/>
          </w:tcPr>
          <w:p w14:paraId="1BB15895" w14:textId="77777777" w:rsidR="00A02BDB" w:rsidRPr="00637E01" w:rsidRDefault="00A02BDB" w:rsidP="00A02BDB">
            <w:pPr>
              <w:rPr>
                <w:rFonts w:ascii="Arial" w:hAnsi="Arial" w:cs="Arial"/>
                <w:sz w:val="18"/>
                <w:szCs w:val="18"/>
              </w:rPr>
            </w:pPr>
            <w:r w:rsidRPr="00637E01">
              <w:rPr>
                <w:rFonts w:ascii="Arial" w:hAnsi="Arial" w:cs="Arial"/>
                <w:sz w:val="18"/>
                <w:szCs w:val="18"/>
              </w:rPr>
              <w:t>10</w:t>
            </w:r>
          </w:p>
        </w:tc>
        <w:tc>
          <w:tcPr>
            <w:tcW w:w="2969" w:type="dxa"/>
            <w:vAlign w:val="center"/>
          </w:tcPr>
          <w:p w14:paraId="7DA00EBD"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Podíl vysoce citovaných publikací (podíl publikací v 10 % nejcitovanějších publikací v celkovém počtu)</w:t>
            </w:r>
            <w:r>
              <w:rPr>
                <w:rFonts w:ascii="Arial" w:hAnsi="Arial" w:cs="Arial"/>
                <w:sz w:val="18"/>
                <w:szCs w:val="18"/>
              </w:rPr>
              <w:t xml:space="preserve"> </w:t>
            </w:r>
            <w:r>
              <w:rPr>
                <w:rFonts w:ascii="Arial" w:hAnsi="Arial" w:cs="Arial"/>
                <w:sz w:val="18"/>
                <w:szCs w:val="18"/>
                <w:vertAlign w:val="superscript"/>
              </w:rPr>
              <w:t>1</w:t>
            </w:r>
          </w:p>
        </w:tc>
        <w:tc>
          <w:tcPr>
            <w:tcW w:w="1858" w:type="dxa"/>
            <w:vAlign w:val="center"/>
          </w:tcPr>
          <w:p w14:paraId="00626BDD" w14:textId="77777777" w:rsidR="00A02BDB" w:rsidRPr="00637E01" w:rsidRDefault="00A02BDB" w:rsidP="00A02BDB">
            <w:pPr>
              <w:jc w:val="center"/>
              <w:rPr>
                <w:rFonts w:ascii="Arial" w:hAnsi="Arial" w:cs="Arial"/>
                <w:sz w:val="18"/>
                <w:szCs w:val="18"/>
              </w:rPr>
            </w:pPr>
            <w:r>
              <w:rPr>
                <w:rFonts w:ascii="Arial" w:hAnsi="Arial" w:cs="Arial"/>
                <w:sz w:val="18"/>
                <w:szCs w:val="18"/>
              </w:rPr>
              <w:t>9,2</w:t>
            </w:r>
            <w:r w:rsidRPr="00637E01">
              <w:rPr>
                <w:rFonts w:ascii="Arial" w:hAnsi="Arial" w:cs="Arial"/>
                <w:sz w:val="18"/>
                <w:szCs w:val="18"/>
              </w:rPr>
              <w:t xml:space="preserve"> %</w:t>
            </w:r>
            <w:r>
              <w:rPr>
                <w:rFonts w:ascii="Arial" w:hAnsi="Arial" w:cs="Arial"/>
                <w:sz w:val="18"/>
                <w:szCs w:val="18"/>
              </w:rPr>
              <w:t xml:space="preserve"> </w:t>
            </w:r>
            <w:r w:rsidRPr="00637E01">
              <w:rPr>
                <w:rFonts w:ascii="Arial" w:hAnsi="Arial" w:cs="Arial"/>
                <w:sz w:val="18"/>
                <w:szCs w:val="18"/>
              </w:rPr>
              <w:t>*</w:t>
            </w:r>
          </w:p>
          <w:p w14:paraId="5AD0B2DC"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(2012)</w:t>
            </w:r>
          </w:p>
        </w:tc>
        <w:tc>
          <w:tcPr>
            <w:tcW w:w="1872" w:type="dxa"/>
            <w:vAlign w:val="center"/>
          </w:tcPr>
          <w:p w14:paraId="136A76E5" w14:textId="77777777" w:rsidR="00A02BDB" w:rsidRPr="006068DE" w:rsidRDefault="00A02BDB" w:rsidP="00A02BDB">
            <w:pPr>
              <w:jc w:val="center"/>
              <w:rPr>
                <w:rFonts w:ascii="Arial" w:hAnsi="Arial" w:cs="Arial"/>
                <w:sz w:val="18"/>
                <w:szCs w:val="18"/>
              </w:rPr>
            </w:pPr>
            <w:r>
              <w:rPr>
                <w:rFonts w:ascii="Arial" w:hAnsi="Arial" w:cs="Arial"/>
                <w:sz w:val="18"/>
                <w:szCs w:val="18"/>
              </w:rPr>
              <w:t>10,0</w:t>
            </w:r>
            <w:r w:rsidRPr="006068DE">
              <w:rPr>
                <w:rFonts w:ascii="Arial" w:hAnsi="Arial" w:cs="Arial"/>
                <w:sz w:val="18"/>
                <w:szCs w:val="18"/>
              </w:rPr>
              <w:t> % *</w:t>
            </w:r>
          </w:p>
          <w:p w14:paraId="765FF04D"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(2015)</w:t>
            </w:r>
          </w:p>
        </w:tc>
        <w:tc>
          <w:tcPr>
            <w:tcW w:w="1872" w:type="dxa"/>
            <w:vAlign w:val="center"/>
          </w:tcPr>
          <w:p w14:paraId="5992B441"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9,6 %</w:t>
            </w:r>
            <w:r w:rsidRPr="006068DE">
              <w:rPr>
                <w:rFonts w:ascii="Arial" w:hAnsi="Arial" w:cs="Arial"/>
                <w:sz w:val="18"/>
                <w:szCs w:val="18"/>
                <w:vertAlign w:val="superscript"/>
              </w:rPr>
              <w:t xml:space="preserve"> </w:t>
            </w:r>
            <w:r w:rsidRPr="006068DE">
              <w:rPr>
                <w:rFonts w:ascii="Arial" w:hAnsi="Arial" w:cs="Arial"/>
                <w:sz w:val="18"/>
                <w:szCs w:val="18"/>
              </w:rPr>
              <w:t>(2019)</w:t>
            </w:r>
          </w:p>
          <w:p w14:paraId="6C1A0C3C"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9,7 % (2020)</w:t>
            </w:r>
          </w:p>
        </w:tc>
      </w:tr>
      <w:tr w:rsidR="00A02BDB" w:rsidRPr="00637E01" w14:paraId="13823664" w14:textId="77777777" w:rsidTr="00A02BDB">
        <w:trPr>
          <w:trHeight w:val="410"/>
        </w:trPr>
        <w:tc>
          <w:tcPr>
            <w:tcW w:w="717" w:type="dxa"/>
            <w:vAlign w:val="center"/>
          </w:tcPr>
          <w:p w14:paraId="4208469C" w14:textId="77777777" w:rsidR="00A02BDB" w:rsidRPr="00637E01" w:rsidRDefault="00A02BDB" w:rsidP="00A02BDB">
            <w:pPr>
              <w:rPr>
                <w:rFonts w:ascii="Arial" w:hAnsi="Arial" w:cs="Arial"/>
                <w:sz w:val="18"/>
                <w:szCs w:val="18"/>
              </w:rPr>
            </w:pPr>
            <w:r w:rsidRPr="00637E01">
              <w:rPr>
                <w:rFonts w:ascii="Arial" w:hAnsi="Arial" w:cs="Arial"/>
                <w:sz w:val="18"/>
                <w:szCs w:val="18"/>
              </w:rPr>
              <w:t>11</w:t>
            </w:r>
          </w:p>
        </w:tc>
        <w:tc>
          <w:tcPr>
            <w:tcW w:w="2969" w:type="dxa"/>
            <w:vAlign w:val="center"/>
          </w:tcPr>
          <w:p w14:paraId="5289B207"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Celkový počet ERC grantů na tisíc výzkumných pracovníků ve vládním a VŠ sektoru</w:t>
            </w:r>
          </w:p>
        </w:tc>
        <w:tc>
          <w:tcPr>
            <w:tcW w:w="1858" w:type="dxa"/>
            <w:vAlign w:val="center"/>
          </w:tcPr>
          <w:p w14:paraId="077F8AD7"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0,17</w:t>
            </w:r>
          </w:p>
          <w:p w14:paraId="42FE1AD8"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(2013)</w:t>
            </w:r>
          </w:p>
        </w:tc>
        <w:tc>
          <w:tcPr>
            <w:tcW w:w="1872" w:type="dxa"/>
            <w:vAlign w:val="center"/>
          </w:tcPr>
          <w:p w14:paraId="2958A7E9"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0,33</w:t>
            </w:r>
          </w:p>
          <w:p w14:paraId="492E6E82"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(2016)</w:t>
            </w:r>
          </w:p>
        </w:tc>
        <w:tc>
          <w:tcPr>
            <w:tcW w:w="1872" w:type="dxa"/>
            <w:vAlign w:val="center"/>
          </w:tcPr>
          <w:p w14:paraId="15525B67"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 xml:space="preserve">1,70 </w:t>
            </w:r>
            <w:r w:rsidRPr="006068DE">
              <w:rPr>
                <w:rFonts w:ascii="Arial" w:hAnsi="Arial" w:cs="Arial"/>
                <w:sz w:val="18"/>
                <w:szCs w:val="18"/>
                <w:vertAlign w:val="superscript"/>
              </w:rPr>
              <w:t>5</w:t>
            </w:r>
          </w:p>
          <w:p w14:paraId="138940A8"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(2021)</w:t>
            </w:r>
          </w:p>
        </w:tc>
      </w:tr>
      <w:tr w:rsidR="00A02BDB" w:rsidRPr="00637E01" w14:paraId="1E593F61" w14:textId="77777777" w:rsidTr="00A02BDB">
        <w:trPr>
          <w:trHeight w:val="794"/>
        </w:trPr>
        <w:tc>
          <w:tcPr>
            <w:tcW w:w="717" w:type="dxa"/>
            <w:vAlign w:val="center"/>
          </w:tcPr>
          <w:p w14:paraId="056D4724" w14:textId="77777777" w:rsidR="00A02BDB" w:rsidRPr="00637E01" w:rsidRDefault="00A02BDB" w:rsidP="00A02BDB">
            <w:pPr>
              <w:rPr>
                <w:rFonts w:ascii="Arial" w:hAnsi="Arial" w:cs="Arial"/>
                <w:sz w:val="18"/>
                <w:szCs w:val="18"/>
              </w:rPr>
            </w:pPr>
            <w:r w:rsidRPr="00637E01">
              <w:rPr>
                <w:rFonts w:ascii="Arial" w:hAnsi="Arial" w:cs="Arial"/>
                <w:sz w:val="18"/>
                <w:szCs w:val="18"/>
              </w:rPr>
              <w:t>12</w:t>
            </w:r>
          </w:p>
        </w:tc>
        <w:tc>
          <w:tcPr>
            <w:tcW w:w="2969" w:type="dxa"/>
            <w:vAlign w:val="center"/>
          </w:tcPr>
          <w:p w14:paraId="4C4ED504"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Podíl publikací ve spoluautorství veřejného a soukromého sektoru v celkovém počtu publikací (%)</w:t>
            </w:r>
            <w:r>
              <w:rPr>
                <w:rFonts w:ascii="Arial" w:hAnsi="Arial" w:cs="Arial"/>
                <w:sz w:val="18"/>
                <w:szCs w:val="18"/>
              </w:rPr>
              <w:t xml:space="preserve"> </w:t>
            </w:r>
            <w:r>
              <w:rPr>
                <w:rFonts w:ascii="Arial" w:hAnsi="Arial" w:cs="Arial"/>
                <w:sz w:val="18"/>
                <w:szCs w:val="18"/>
                <w:vertAlign w:val="superscript"/>
              </w:rPr>
              <w:t>1</w:t>
            </w:r>
          </w:p>
        </w:tc>
        <w:tc>
          <w:tcPr>
            <w:tcW w:w="1858" w:type="dxa"/>
            <w:vAlign w:val="center"/>
          </w:tcPr>
          <w:p w14:paraId="074EE95A" w14:textId="77777777" w:rsidR="00A02BDB" w:rsidRDefault="00A02BDB" w:rsidP="00A02BDB">
            <w:pPr>
              <w:jc w:val="center"/>
              <w:rPr>
                <w:rFonts w:ascii="Arial" w:hAnsi="Arial" w:cs="Arial"/>
                <w:sz w:val="18"/>
                <w:szCs w:val="18"/>
              </w:rPr>
            </w:pPr>
            <w:r>
              <w:rPr>
                <w:rFonts w:ascii="Arial" w:hAnsi="Arial" w:cs="Arial"/>
                <w:sz w:val="18"/>
                <w:szCs w:val="18"/>
              </w:rPr>
              <w:t>2</w:t>
            </w:r>
            <w:r w:rsidRPr="00637E01">
              <w:rPr>
                <w:rFonts w:ascii="Arial" w:hAnsi="Arial" w:cs="Arial"/>
                <w:sz w:val="18"/>
                <w:szCs w:val="18"/>
              </w:rPr>
              <w:t>,</w:t>
            </w:r>
            <w:r>
              <w:rPr>
                <w:rFonts w:ascii="Arial" w:hAnsi="Arial" w:cs="Arial"/>
                <w:sz w:val="18"/>
                <w:szCs w:val="18"/>
              </w:rPr>
              <w:t>1</w:t>
            </w:r>
            <w:r w:rsidRPr="00637E01">
              <w:rPr>
                <w:rFonts w:ascii="Arial" w:hAnsi="Arial" w:cs="Arial"/>
                <w:sz w:val="18"/>
                <w:szCs w:val="18"/>
              </w:rPr>
              <w:t xml:space="preserve"> %</w:t>
            </w:r>
            <w:r>
              <w:rPr>
                <w:rFonts w:ascii="Arial" w:hAnsi="Arial" w:cs="Arial"/>
                <w:sz w:val="18"/>
                <w:szCs w:val="18"/>
              </w:rPr>
              <w:t xml:space="preserve"> *</w:t>
            </w:r>
          </w:p>
          <w:p w14:paraId="795ACE93" w14:textId="77777777" w:rsidR="00A02BDB" w:rsidRPr="00637E01" w:rsidRDefault="00A02BDB" w:rsidP="00A02BDB">
            <w:pPr>
              <w:jc w:val="center"/>
              <w:rPr>
                <w:rFonts w:ascii="Arial" w:hAnsi="Arial" w:cs="Arial"/>
                <w:sz w:val="18"/>
                <w:szCs w:val="18"/>
              </w:rPr>
            </w:pPr>
            <w:r>
              <w:rPr>
                <w:rFonts w:ascii="Arial" w:hAnsi="Arial" w:cs="Arial"/>
                <w:sz w:val="18"/>
                <w:szCs w:val="18"/>
              </w:rPr>
              <w:t>(2013)</w:t>
            </w:r>
          </w:p>
        </w:tc>
        <w:tc>
          <w:tcPr>
            <w:tcW w:w="1872" w:type="dxa"/>
            <w:vAlign w:val="center"/>
          </w:tcPr>
          <w:p w14:paraId="2BB3D60A"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w:t>
            </w:r>
            <w:r>
              <w:rPr>
                <w:rFonts w:ascii="Arial" w:hAnsi="Arial" w:cs="Arial"/>
                <w:sz w:val="18"/>
                <w:szCs w:val="18"/>
              </w:rPr>
              <w:t>5</w:t>
            </w:r>
            <w:r w:rsidRPr="006068DE">
              <w:rPr>
                <w:rFonts w:ascii="Arial" w:hAnsi="Arial" w:cs="Arial"/>
                <w:sz w:val="18"/>
                <w:szCs w:val="18"/>
              </w:rPr>
              <w:t> % *</w:t>
            </w:r>
          </w:p>
          <w:p w14:paraId="2D270232"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(2016)</w:t>
            </w:r>
          </w:p>
        </w:tc>
        <w:tc>
          <w:tcPr>
            <w:tcW w:w="1872" w:type="dxa"/>
            <w:vAlign w:val="center"/>
          </w:tcPr>
          <w:p w14:paraId="4C8BF35B"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2,6 % (2019)</w:t>
            </w:r>
          </w:p>
          <w:p w14:paraId="3003D6EE"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2,3 % (2020)</w:t>
            </w:r>
          </w:p>
        </w:tc>
      </w:tr>
      <w:tr w:rsidR="00A02BDB" w:rsidRPr="00637E01" w14:paraId="43F09603" w14:textId="77777777" w:rsidTr="00A02BDB">
        <w:trPr>
          <w:trHeight w:val="552"/>
        </w:trPr>
        <w:tc>
          <w:tcPr>
            <w:tcW w:w="717" w:type="dxa"/>
            <w:vAlign w:val="center"/>
          </w:tcPr>
          <w:p w14:paraId="60E13AB0" w14:textId="77777777" w:rsidR="00A02BDB" w:rsidRPr="00637E01" w:rsidRDefault="00A02BDB" w:rsidP="00A02BDB">
            <w:pPr>
              <w:rPr>
                <w:rFonts w:ascii="Arial" w:hAnsi="Arial" w:cs="Arial"/>
                <w:sz w:val="18"/>
                <w:szCs w:val="18"/>
              </w:rPr>
            </w:pPr>
            <w:r w:rsidRPr="00637E01">
              <w:rPr>
                <w:rFonts w:ascii="Arial" w:hAnsi="Arial" w:cs="Arial"/>
                <w:sz w:val="18"/>
                <w:szCs w:val="18"/>
              </w:rPr>
              <w:t>13</w:t>
            </w:r>
          </w:p>
        </w:tc>
        <w:tc>
          <w:tcPr>
            <w:tcW w:w="2969" w:type="dxa"/>
            <w:vAlign w:val="center"/>
          </w:tcPr>
          <w:p w14:paraId="3B955298"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Podíl zdrojů z  podnikatelského sektoru ve výdajích vládního a VŠ sektoru na VaV (%)</w:t>
            </w:r>
          </w:p>
        </w:tc>
        <w:tc>
          <w:tcPr>
            <w:tcW w:w="1858" w:type="dxa"/>
            <w:vAlign w:val="center"/>
          </w:tcPr>
          <w:p w14:paraId="6A8E7732"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6,8 %</w:t>
            </w:r>
          </w:p>
          <w:p w14:paraId="767F9B2B"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(2013)</w:t>
            </w:r>
          </w:p>
        </w:tc>
        <w:tc>
          <w:tcPr>
            <w:tcW w:w="1872" w:type="dxa"/>
            <w:vAlign w:val="center"/>
          </w:tcPr>
          <w:p w14:paraId="1870B0F1"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9,2 %</w:t>
            </w:r>
          </w:p>
          <w:p w14:paraId="3640CBD1"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(2016)</w:t>
            </w:r>
          </w:p>
        </w:tc>
        <w:tc>
          <w:tcPr>
            <w:tcW w:w="1872" w:type="dxa"/>
            <w:vAlign w:val="center"/>
          </w:tcPr>
          <w:p w14:paraId="6ED7E897"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5,6 %</w:t>
            </w:r>
          </w:p>
          <w:p w14:paraId="6C02D6A0"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(2019)</w:t>
            </w:r>
          </w:p>
        </w:tc>
      </w:tr>
      <w:tr w:rsidR="00A02BDB" w:rsidRPr="00637E01" w14:paraId="17D749C1" w14:textId="77777777" w:rsidTr="00A02BDB">
        <w:trPr>
          <w:trHeight w:val="77"/>
        </w:trPr>
        <w:tc>
          <w:tcPr>
            <w:tcW w:w="717" w:type="dxa"/>
            <w:vAlign w:val="center"/>
          </w:tcPr>
          <w:p w14:paraId="7FB7BB7D" w14:textId="77777777" w:rsidR="00A02BDB" w:rsidRPr="00637E01" w:rsidRDefault="00A02BDB" w:rsidP="00A02BDB">
            <w:pPr>
              <w:rPr>
                <w:rFonts w:ascii="Arial" w:hAnsi="Arial" w:cs="Arial"/>
                <w:sz w:val="18"/>
                <w:szCs w:val="18"/>
              </w:rPr>
            </w:pPr>
            <w:r w:rsidRPr="00637E01">
              <w:rPr>
                <w:rFonts w:ascii="Arial" w:hAnsi="Arial" w:cs="Arial"/>
                <w:sz w:val="18"/>
                <w:szCs w:val="18"/>
              </w:rPr>
              <w:t>14</w:t>
            </w:r>
          </w:p>
        </w:tc>
        <w:tc>
          <w:tcPr>
            <w:tcW w:w="2969" w:type="dxa"/>
            <w:vAlign w:val="center"/>
          </w:tcPr>
          <w:p w14:paraId="46A0B8C6"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Podíl zaměstnanosti v high- a medium high-tech zpracovatelském průmyslu (%)</w:t>
            </w:r>
          </w:p>
        </w:tc>
        <w:tc>
          <w:tcPr>
            <w:tcW w:w="1858" w:type="dxa"/>
            <w:vAlign w:val="center"/>
          </w:tcPr>
          <w:p w14:paraId="1EDD6244"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11</w:t>
            </w:r>
            <w:r>
              <w:rPr>
                <w:rFonts w:ascii="Arial" w:hAnsi="Arial" w:cs="Arial"/>
                <w:sz w:val="18"/>
                <w:szCs w:val="18"/>
              </w:rPr>
              <w:t>,2</w:t>
            </w:r>
            <w:r w:rsidRPr="00637E01">
              <w:rPr>
                <w:rFonts w:ascii="Arial" w:hAnsi="Arial" w:cs="Arial"/>
                <w:sz w:val="18"/>
                <w:szCs w:val="18"/>
              </w:rPr>
              <w:t xml:space="preserve"> %</w:t>
            </w:r>
          </w:p>
          <w:p w14:paraId="2E0F987B"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(2014)</w:t>
            </w:r>
          </w:p>
        </w:tc>
        <w:tc>
          <w:tcPr>
            <w:tcW w:w="1872" w:type="dxa"/>
            <w:vAlign w:val="center"/>
          </w:tcPr>
          <w:p w14:paraId="27596EFE"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11,5 %</w:t>
            </w:r>
          </w:p>
          <w:p w14:paraId="2D03C49E"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(2016)</w:t>
            </w:r>
          </w:p>
        </w:tc>
        <w:tc>
          <w:tcPr>
            <w:tcW w:w="1872" w:type="dxa"/>
            <w:vAlign w:val="center"/>
          </w:tcPr>
          <w:p w14:paraId="049A99AC"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11,5 %</w:t>
            </w:r>
          </w:p>
          <w:p w14:paraId="3A061EC5"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(2020)</w:t>
            </w:r>
          </w:p>
        </w:tc>
      </w:tr>
      <w:tr w:rsidR="00A02BDB" w:rsidRPr="00637E01" w14:paraId="7827C453" w14:textId="77777777" w:rsidTr="00A02BDB">
        <w:trPr>
          <w:trHeight w:val="794"/>
        </w:trPr>
        <w:tc>
          <w:tcPr>
            <w:tcW w:w="717" w:type="dxa"/>
            <w:vAlign w:val="center"/>
          </w:tcPr>
          <w:p w14:paraId="393530F4" w14:textId="77777777" w:rsidR="00A02BDB" w:rsidRPr="00637E01" w:rsidRDefault="00A02BDB" w:rsidP="00A02BDB">
            <w:pPr>
              <w:rPr>
                <w:rFonts w:ascii="Arial" w:hAnsi="Arial" w:cs="Arial"/>
                <w:sz w:val="18"/>
                <w:szCs w:val="18"/>
              </w:rPr>
            </w:pPr>
            <w:r w:rsidRPr="00637E01">
              <w:rPr>
                <w:rFonts w:ascii="Arial" w:hAnsi="Arial" w:cs="Arial"/>
                <w:sz w:val="18"/>
                <w:szCs w:val="18"/>
              </w:rPr>
              <w:t>15</w:t>
            </w:r>
          </w:p>
        </w:tc>
        <w:tc>
          <w:tcPr>
            <w:tcW w:w="2969" w:type="dxa"/>
            <w:vAlign w:val="center"/>
          </w:tcPr>
          <w:p w14:paraId="48A3D130"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Podíl zaměstnanosti ve znalostně intenzivních službách (%)</w:t>
            </w:r>
          </w:p>
        </w:tc>
        <w:tc>
          <w:tcPr>
            <w:tcW w:w="1858" w:type="dxa"/>
            <w:vAlign w:val="center"/>
          </w:tcPr>
          <w:p w14:paraId="4F9D0264"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3</w:t>
            </w:r>
            <w:r>
              <w:rPr>
                <w:rFonts w:ascii="Arial" w:hAnsi="Arial" w:cs="Arial"/>
                <w:sz w:val="18"/>
                <w:szCs w:val="18"/>
              </w:rPr>
              <w:t>2,6</w:t>
            </w:r>
            <w:r w:rsidRPr="00637E01">
              <w:rPr>
                <w:rFonts w:ascii="Arial" w:hAnsi="Arial" w:cs="Arial"/>
                <w:sz w:val="18"/>
                <w:szCs w:val="18"/>
              </w:rPr>
              <w:t xml:space="preserve"> %</w:t>
            </w:r>
          </w:p>
          <w:p w14:paraId="55719C01"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(2013)</w:t>
            </w:r>
          </w:p>
        </w:tc>
        <w:tc>
          <w:tcPr>
            <w:tcW w:w="1872" w:type="dxa"/>
            <w:vAlign w:val="center"/>
          </w:tcPr>
          <w:p w14:paraId="027ABEDD"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32,9 %</w:t>
            </w:r>
          </w:p>
          <w:p w14:paraId="39F8D85C"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(2016)</w:t>
            </w:r>
          </w:p>
        </w:tc>
        <w:tc>
          <w:tcPr>
            <w:tcW w:w="1872" w:type="dxa"/>
            <w:vAlign w:val="center"/>
          </w:tcPr>
          <w:p w14:paraId="1A91247B"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34,5 %</w:t>
            </w:r>
          </w:p>
          <w:p w14:paraId="4D31521B"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(2020)</w:t>
            </w:r>
          </w:p>
        </w:tc>
      </w:tr>
      <w:tr w:rsidR="00A02BDB" w:rsidRPr="00637E01" w14:paraId="67893587" w14:textId="77777777" w:rsidTr="00A02BDB">
        <w:trPr>
          <w:trHeight w:val="794"/>
        </w:trPr>
        <w:tc>
          <w:tcPr>
            <w:tcW w:w="717" w:type="dxa"/>
            <w:vAlign w:val="center"/>
          </w:tcPr>
          <w:p w14:paraId="28A3A149" w14:textId="77777777" w:rsidR="00A02BDB" w:rsidRPr="00637E01" w:rsidRDefault="00A02BDB" w:rsidP="00A02BDB">
            <w:pPr>
              <w:rPr>
                <w:rFonts w:ascii="Arial" w:hAnsi="Arial" w:cs="Arial"/>
                <w:sz w:val="18"/>
                <w:szCs w:val="18"/>
              </w:rPr>
            </w:pPr>
            <w:r w:rsidRPr="00637E01">
              <w:rPr>
                <w:rFonts w:ascii="Arial" w:hAnsi="Arial" w:cs="Arial"/>
                <w:sz w:val="18"/>
                <w:szCs w:val="18"/>
              </w:rPr>
              <w:t>16</w:t>
            </w:r>
          </w:p>
        </w:tc>
        <w:tc>
          <w:tcPr>
            <w:tcW w:w="2969" w:type="dxa"/>
            <w:vAlign w:val="center"/>
          </w:tcPr>
          <w:p w14:paraId="286F2E2F"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Podíl zdrojů z podnikatelského sektoru v GERD (%)</w:t>
            </w:r>
          </w:p>
        </w:tc>
        <w:tc>
          <w:tcPr>
            <w:tcW w:w="1858" w:type="dxa"/>
            <w:vAlign w:val="center"/>
          </w:tcPr>
          <w:p w14:paraId="4C4B918C" w14:textId="77777777" w:rsidR="00A02BDB" w:rsidRPr="00637E01" w:rsidRDefault="00A02BDB" w:rsidP="00A02BDB">
            <w:pPr>
              <w:jc w:val="center"/>
              <w:rPr>
                <w:rFonts w:ascii="Arial" w:hAnsi="Arial" w:cs="Arial"/>
                <w:sz w:val="18"/>
                <w:szCs w:val="18"/>
              </w:rPr>
            </w:pPr>
            <w:r>
              <w:rPr>
                <w:rFonts w:ascii="Arial" w:hAnsi="Arial" w:cs="Arial"/>
                <w:sz w:val="18"/>
                <w:szCs w:val="18"/>
              </w:rPr>
              <w:t>48,6</w:t>
            </w:r>
            <w:r w:rsidRPr="00637E01">
              <w:rPr>
                <w:rFonts w:ascii="Arial" w:hAnsi="Arial" w:cs="Arial"/>
                <w:sz w:val="18"/>
                <w:szCs w:val="18"/>
              </w:rPr>
              <w:t xml:space="preserve"> %</w:t>
            </w:r>
            <w:r>
              <w:rPr>
                <w:rFonts w:ascii="Arial" w:hAnsi="Arial" w:cs="Arial"/>
                <w:sz w:val="18"/>
                <w:szCs w:val="18"/>
              </w:rPr>
              <w:t xml:space="preserve"> </w:t>
            </w:r>
            <w:r w:rsidRPr="00637E01">
              <w:rPr>
                <w:rFonts w:ascii="Arial" w:hAnsi="Arial" w:cs="Arial"/>
                <w:sz w:val="18"/>
                <w:szCs w:val="18"/>
              </w:rPr>
              <w:t>*</w:t>
            </w:r>
          </w:p>
          <w:p w14:paraId="0A1B84D9"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(2013)</w:t>
            </w:r>
          </w:p>
        </w:tc>
        <w:tc>
          <w:tcPr>
            <w:tcW w:w="1872" w:type="dxa"/>
            <w:vAlign w:val="center"/>
          </w:tcPr>
          <w:p w14:paraId="5CC43C44"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60,2 %</w:t>
            </w:r>
          </w:p>
          <w:p w14:paraId="6F48E8D2"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(2016)</w:t>
            </w:r>
          </w:p>
        </w:tc>
        <w:tc>
          <w:tcPr>
            <w:tcW w:w="1872" w:type="dxa"/>
            <w:vAlign w:val="center"/>
          </w:tcPr>
          <w:p w14:paraId="5B18C49C"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58,0 %</w:t>
            </w:r>
          </w:p>
          <w:p w14:paraId="603B8C7B"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(2019)</w:t>
            </w:r>
          </w:p>
        </w:tc>
      </w:tr>
      <w:tr w:rsidR="00A02BDB" w:rsidRPr="00637E01" w14:paraId="41ED0A2C" w14:textId="77777777" w:rsidTr="00A02BDB">
        <w:trPr>
          <w:trHeight w:val="794"/>
        </w:trPr>
        <w:tc>
          <w:tcPr>
            <w:tcW w:w="717" w:type="dxa"/>
            <w:vAlign w:val="center"/>
          </w:tcPr>
          <w:p w14:paraId="15D77CFF" w14:textId="77777777" w:rsidR="00A02BDB" w:rsidRPr="00637E01" w:rsidRDefault="00A02BDB" w:rsidP="00A02BDB">
            <w:pPr>
              <w:rPr>
                <w:rFonts w:ascii="Arial" w:hAnsi="Arial" w:cs="Arial"/>
                <w:sz w:val="18"/>
                <w:szCs w:val="18"/>
              </w:rPr>
            </w:pPr>
            <w:r w:rsidRPr="00637E01">
              <w:rPr>
                <w:rFonts w:ascii="Arial" w:hAnsi="Arial" w:cs="Arial"/>
                <w:sz w:val="18"/>
                <w:szCs w:val="18"/>
              </w:rPr>
              <w:t>17</w:t>
            </w:r>
          </w:p>
        </w:tc>
        <w:tc>
          <w:tcPr>
            <w:tcW w:w="2969" w:type="dxa"/>
            <w:vAlign w:val="center"/>
          </w:tcPr>
          <w:p w14:paraId="06E30D45"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Early-stage investice rizikového kapitálu (% HDP)</w:t>
            </w:r>
            <w:r>
              <w:rPr>
                <w:rFonts w:ascii="Arial" w:hAnsi="Arial" w:cs="Arial"/>
                <w:sz w:val="18"/>
                <w:szCs w:val="18"/>
              </w:rPr>
              <w:t xml:space="preserve">  </w:t>
            </w:r>
            <w:r>
              <w:rPr>
                <w:rFonts w:ascii="Arial" w:hAnsi="Arial" w:cs="Arial"/>
                <w:sz w:val="18"/>
                <w:szCs w:val="18"/>
                <w:vertAlign w:val="superscript"/>
              </w:rPr>
              <w:t>6</w:t>
            </w:r>
          </w:p>
        </w:tc>
        <w:tc>
          <w:tcPr>
            <w:tcW w:w="1858" w:type="dxa"/>
            <w:vAlign w:val="center"/>
          </w:tcPr>
          <w:p w14:paraId="4F80C03F"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0,00</w:t>
            </w:r>
            <w:r>
              <w:rPr>
                <w:rFonts w:ascii="Arial" w:hAnsi="Arial" w:cs="Arial"/>
                <w:sz w:val="18"/>
                <w:szCs w:val="18"/>
              </w:rPr>
              <w:t>2</w:t>
            </w:r>
            <w:r w:rsidRPr="00637E01">
              <w:rPr>
                <w:rFonts w:ascii="Arial" w:hAnsi="Arial" w:cs="Arial"/>
                <w:sz w:val="18"/>
                <w:szCs w:val="18"/>
              </w:rPr>
              <w:t xml:space="preserve"> %</w:t>
            </w:r>
            <w:r>
              <w:rPr>
                <w:rFonts w:ascii="Arial" w:hAnsi="Arial" w:cs="Arial"/>
                <w:sz w:val="18"/>
                <w:szCs w:val="18"/>
              </w:rPr>
              <w:t xml:space="preserve"> </w:t>
            </w:r>
            <w:r w:rsidRPr="00637E01">
              <w:rPr>
                <w:rFonts w:ascii="Arial" w:hAnsi="Arial" w:cs="Arial"/>
                <w:sz w:val="18"/>
                <w:szCs w:val="18"/>
              </w:rPr>
              <w:t>*</w:t>
            </w:r>
          </w:p>
          <w:p w14:paraId="195C02DC"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(2013)</w:t>
            </w:r>
          </w:p>
        </w:tc>
        <w:tc>
          <w:tcPr>
            <w:tcW w:w="1872" w:type="dxa"/>
            <w:vAlign w:val="center"/>
          </w:tcPr>
          <w:p w14:paraId="79E680D1"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0,003 % *</w:t>
            </w:r>
          </w:p>
          <w:p w14:paraId="1AE8DC65"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(2016)</w:t>
            </w:r>
          </w:p>
        </w:tc>
        <w:tc>
          <w:tcPr>
            <w:tcW w:w="1872" w:type="dxa"/>
            <w:vAlign w:val="center"/>
          </w:tcPr>
          <w:p w14:paraId="725BDBF1"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0,005%</w:t>
            </w:r>
          </w:p>
          <w:p w14:paraId="491190CE"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(2020)</w:t>
            </w:r>
          </w:p>
        </w:tc>
      </w:tr>
      <w:tr w:rsidR="00A02BDB" w:rsidRPr="00637E01" w14:paraId="443C4CF4" w14:textId="77777777" w:rsidTr="00A02BDB">
        <w:trPr>
          <w:trHeight w:val="410"/>
        </w:trPr>
        <w:tc>
          <w:tcPr>
            <w:tcW w:w="717" w:type="dxa"/>
            <w:vAlign w:val="center"/>
          </w:tcPr>
          <w:p w14:paraId="3DAC23EF" w14:textId="77777777" w:rsidR="00A02BDB" w:rsidRPr="00637E01" w:rsidRDefault="00A02BDB" w:rsidP="00A02BDB">
            <w:pPr>
              <w:rPr>
                <w:rFonts w:ascii="Arial" w:hAnsi="Arial" w:cs="Arial"/>
                <w:sz w:val="18"/>
                <w:szCs w:val="18"/>
              </w:rPr>
            </w:pPr>
            <w:r w:rsidRPr="00637E01">
              <w:rPr>
                <w:rFonts w:ascii="Arial" w:hAnsi="Arial" w:cs="Arial"/>
                <w:sz w:val="18"/>
                <w:szCs w:val="18"/>
              </w:rPr>
              <w:t>18</w:t>
            </w:r>
          </w:p>
        </w:tc>
        <w:tc>
          <w:tcPr>
            <w:tcW w:w="2969" w:type="dxa"/>
            <w:vAlign w:val="center"/>
          </w:tcPr>
          <w:p w14:paraId="0FEB5B86" w14:textId="77777777" w:rsidR="00A02BDB" w:rsidRPr="00637E01" w:rsidRDefault="00A02BDB" w:rsidP="00A02BDB">
            <w:pPr>
              <w:spacing w:line="200" w:lineRule="exact"/>
              <w:contextualSpacing/>
              <w:rPr>
                <w:rFonts w:ascii="Arial" w:hAnsi="Arial" w:cs="Arial"/>
                <w:sz w:val="18"/>
                <w:szCs w:val="18"/>
              </w:rPr>
            </w:pPr>
            <w:r w:rsidRPr="00637E01">
              <w:rPr>
                <w:rFonts w:ascii="Arial" w:hAnsi="Arial" w:cs="Arial"/>
                <w:sz w:val="18"/>
                <w:szCs w:val="18"/>
              </w:rPr>
              <w:t>Podíl domácí přidané hodnoty v celkovém exportu (%)</w:t>
            </w:r>
            <w:r>
              <w:rPr>
                <w:rFonts w:ascii="Arial" w:hAnsi="Arial" w:cs="Arial"/>
                <w:sz w:val="18"/>
                <w:szCs w:val="18"/>
              </w:rPr>
              <w:t xml:space="preserve"> </w:t>
            </w:r>
          </w:p>
        </w:tc>
        <w:tc>
          <w:tcPr>
            <w:tcW w:w="1858" w:type="dxa"/>
            <w:vAlign w:val="center"/>
          </w:tcPr>
          <w:p w14:paraId="5322D309" w14:textId="77777777" w:rsidR="00A02BDB" w:rsidRPr="00637E01" w:rsidRDefault="00A02BDB" w:rsidP="00A02BDB">
            <w:pPr>
              <w:jc w:val="center"/>
              <w:rPr>
                <w:rFonts w:ascii="Arial" w:hAnsi="Arial" w:cs="Arial"/>
                <w:sz w:val="18"/>
                <w:szCs w:val="18"/>
              </w:rPr>
            </w:pPr>
            <w:r>
              <w:rPr>
                <w:rFonts w:ascii="Arial" w:hAnsi="Arial" w:cs="Arial"/>
                <w:sz w:val="18"/>
                <w:szCs w:val="18"/>
              </w:rPr>
              <w:t>61</w:t>
            </w:r>
            <w:r w:rsidRPr="00637E01">
              <w:rPr>
                <w:rFonts w:ascii="Arial" w:hAnsi="Arial" w:cs="Arial"/>
                <w:sz w:val="18"/>
                <w:szCs w:val="18"/>
              </w:rPr>
              <w:t>,</w:t>
            </w:r>
            <w:r>
              <w:rPr>
                <w:rFonts w:ascii="Arial" w:hAnsi="Arial" w:cs="Arial"/>
                <w:sz w:val="18"/>
                <w:szCs w:val="18"/>
              </w:rPr>
              <w:t>3</w:t>
            </w:r>
            <w:r w:rsidRPr="00637E01">
              <w:rPr>
                <w:rFonts w:ascii="Arial" w:hAnsi="Arial" w:cs="Arial"/>
                <w:sz w:val="18"/>
                <w:szCs w:val="18"/>
              </w:rPr>
              <w:t xml:space="preserve"> %</w:t>
            </w:r>
          </w:p>
          <w:p w14:paraId="7A06D250" w14:textId="77777777" w:rsidR="00A02BDB" w:rsidRPr="00637E01" w:rsidRDefault="00A02BDB" w:rsidP="00A02BDB">
            <w:pPr>
              <w:jc w:val="center"/>
              <w:rPr>
                <w:rFonts w:ascii="Arial" w:hAnsi="Arial" w:cs="Arial"/>
                <w:sz w:val="18"/>
                <w:szCs w:val="18"/>
              </w:rPr>
            </w:pPr>
            <w:r w:rsidRPr="00637E01">
              <w:rPr>
                <w:rFonts w:ascii="Arial" w:hAnsi="Arial" w:cs="Arial"/>
                <w:sz w:val="18"/>
                <w:szCs w:val="18"/>
              </w:rPr>
              <w:t>(2011)</w:t>
            </w:r>
          </w:p>
        </w:tc>
        <w:tc>
          <w:tcPr>
            <w:tcW w:w="1872" w:type="dxa"/>
            <w:vAlign w:val="center"/>
          </w:tcPr>
          <w:p w14:paraId="72BF434A"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60,3 %</w:t>
            </w:r>
          </w:p>
          <w:p w14:paraId="2E857461"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(2014)</w:t>
            </w:r>
          </w:p>
        </w:tc>
        <w:tc>
          <w:tcPr>
            <w:tcW w:w="1872" w:type="dxa"/>
            <w:vAlign w:val="center"/>
          </w:tcPr>
          <w:p w14:paraId="50CE88E0"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62,3 % **</w:t>
            </w:r>
          </w:p>
          <w:p w14:paraId="1E65D8D6" w14:textId="77777777" w:rsidR="00A02BDB" w:rsidRPr="006068DE" w:rsidRDefault="00A02BDB" w:rsidP="00A02BDB">
            <w:pPr>
              <w:jc w:val="center"/>
              <w:rPr>
                <w:rFonts w:ascii="Arial" w:hAnsi="Arial" w:cs="Arial"/>
                <w:sz w:val="18"/>
                <w:szCs w:val="18"/>
              </w:rPr>
            </w:pPr>
            <w:r w:rsidRPr="006068DE">
              <w:rPr>
                <w:rFonts w:ascii="Arial" w:hAnsi="Arial" w:cs="Arial"/>
                <w:sz w:val="18"/>
                <w:szCs w:val="18"/>
              </w:rPr>
              <w:t>(2016)</w:t>
            </w:r>
          </w:p>
        </w:tc>
      </w:tr>
    </w:tbl>
    <w:p w14:paraId="586103DB" w14:textId="77777777" w:rsidR="00A02BDB" w:rsidRDefault="00A02BDB" w:rsidP="00A02BDB">
      <w:pPr>
        <w:pStyle w:val="Odstavecseseznamem"/>
        <w:spacing w:before="120"/>
        <w:ind w:left="0"/>
        <w:jc w:val="both"/>
        <w:rPr>
          <w:rFonts w:ascii="Arial" w:hAnsi="Arial" w:cs="Arial"/>
          <w:i/>
          <w:sz w:val="18"/>
          <w:szCs w:val="18"/>
        </w:rPr>
      </w:pPr>
      <w:r w:rsidRPr="00637E01">
        <w:rPr>
          <w:rFonts w:ascii="Arial" w:hAnsi="Arial" w:cs="Arial"/>
          <w:sz w:val="18"/>
          <w:szCs w:val="18"/>
        </w:rPr>
        <w:t>*</w:t>
      </w:r>
      <w:r>
        <w:rPr>
          <w:rFonts w:ascii="Arial" w:hAnsi="Arial" w:cs="Arial"/>
          <w:i/>
          <w:sz w:val="18"/>
          <w:szCs w:val="18"/>
        </w:rPr>
        <w:t>U</w:t>
      </w:r>
      <w:r w:rsidRPr="00637E01">
        <w:rPr>
          <w:rFonts w:ascii="Arial" w:hAnsi="Arial" w:cs="Arial"/>
          <w:i/>
          <w:sz w:val="18"/>
          <w:szCs w:val="18"/>
        </w:rPr>
        <w:t xml:space="preserve"> indikátoru byl</w:t>
      </w:r>
      <w:r>
        <w:rPr>
          <w:rFonts w:ascii="Arial" w:hAnsi="Arial" w:cs="Arial"/>
          <w:i/>
          <w:sz w:val="18"/>
          <w:szCs w:val="18"/>
        </w:rPr>
        <w:t>a</w:t>
      </w:r>
      <w:r w:rsidRPr="00637E01">
        <w:rPr>
          <w:rFonts w:ascii="Arial" w:hAnsi="Arial" w:cs="Arial"/>
          <w:i/>
          <w:sz w:val="18"/>
          <w:szCs w:val="18"/>
        </w:rPr>
        <w:t xml:space="preserve"> proveden</w:t>
      </w:r>
      <w:r>
        <w:rPr>
          <w:rFonts w:ascii="Arial" w:hAnsi="Arial" w:cs="Arial"/>
          <w:i/>
          <w:sz w:val="18"/>
          <w:szCs w:val="18"/>
        </w:rPr>
        <w:t>a úprava výchozí hodnoty s využitím aktuálních dat</w:t>
      </w:r>
      <w:r w:rsidR="002E5594">
        <w:rPr>
          <w:rFonts w:ascii="Arial" w:hAnsi="Arial" w:cs="Arial"/>
          <w:i/>
          <w:sz w:val="18"/>
          <w:szCs w:val="18"/>
        </w:rPr>
        <w:t>.</w:t>
      </w:r>
    </w:p>
    <w:p w14:paraId="1CDDD2E2" w14:textId="77777777" w:rsidR="00A02BDB" w:rsidRDefault="00A02BDB" w:rsidP="00A02BDB">
      <w:pPr>
        <w:pStyle w:val="Odstavecseseznamem"/>
        <w:spacing w:before="120"/>
        <w:ind w:left="0"/>
        <w:jc w:val="both"/>
        <w:rPr>
          <w:rFonts w:ascii="Arial" w:hAnsi="Arial" w:cs="Arial"/>
          <w:i/>
          <w:sz w:val="18"/>
          <w:szCs w:val="18"/>
        </w:rPr>
      </w:pPr>
      <w:r>
        <w:rPr>
          <w:rFonts w:ascii="Arial" w:hAnsi="Arial" w:cs="Arial"/>
          <w:i/>
          <w:sz w:val="18"/>
          <w:szCs w:val="18"/>
        </w:rPr>
        <w:t>** Údaje nebyly v databázi OECD aktualizovány</w:t>
      </w:r>
      <w:r w:rsidR="002E5594">
        <w:rPr>
          <w:rFonts w:ascii="Arial" w:hAnsi="Arial" w:cs="Arial"/>
          <w:i/>
          <w:sz w:val="18"/>
          <w:szCs w:val="18"/>
        </w:rPr>
        <w:t>.</w:t>
      </w:r>
    </w:p>
    <w:p w14:paraId="04EFF847" w14:textId="77777777" w:rsidR="00A02BDB" w:rsidRPr="00637E01" w:rsidRDefault="00A02BDB" w:rsidP="00A02BDB">
      <w:pPr>
        <w:spacing w:before="240"/>
        <w:rPr>
          <w:rFonts w:ascii="Arial" w:hAnsi="Arial" w:cs="Arial"/>
          <w:u w:val="single"/>
        </w:rPr>
      </w:pPr>
      <w:r w:rsidRPr="00637E01">
        <w:rPr>
          <w:rFonts w:ascii="Arial" w:hAnsi="Arial" w:cs="Arial"/>
          <w:u w:val="single"/>
        </w:rPr>
        <w:t>Poznámky k indikátorům:</w:t>
      </w:r>
    </w:p>
    <w:p w14:paraId="05147CE9" w14:textId="77777777" w:rsidR="00A02BDB" w:rsidRDefault="00A02BDB" w:rsidP="00A02BDB">
      <w:pPr>
        <w:spacing w:before="60" w:after="60"/>
        <w:ind w:left="425" w:hanging="425"/>
        <w:jc w:val="both"/>
        <w:rPr>
          <w:rFonts w:ascii="Arial" w:hAnsi="Arial" w:cs="Arial"/>
          <w:sz w:val="18"/>
          <w:szCs w:val="18"/>
        </w:rPr>
      </w:pPr>
      <w:r>
        <w:rPr>
          <w:rFonts w:ascii="Arial" w:hAnsi="Arial" w:cs="Arial"/>
          <w:sz w:val="18"/>
          <w:szCs w:val="18"/>
          <w:vertAlign w:val="superscript"/>
        </w:rPr>
        <w:t>1</w:t>
      </w:r>
      <w:r w:rsidRPr="00637E01">
        <w:rPr>
          <w:rFonts w:ascii="Arial" w:hAnsi="Arial" w:cs="Arial"/>
          <w:sz w:val="18"/>
          <w:szCs w:val="18"/>
        </w:rPr>
        <w:tab/>
        <w:t>Údaj stanoven z Web of Science InCites pro publikace typu 'article', 'review', 'letter','proceedings paper'.</w:t>
      </w:r>
      <w:r>
        <w:rPr>
          <w:rFonts w:ascii="Arial" w:hAnsi="Arial" w:cs="Arial"/>
          <w:sz w:val="18"/>
          <w:szCs w:val="18"/>
        </w:rPr>
        <w:t xml:space="preserve"> Vzhledem k tomu, že v uvedené databázi došlo k aktualizaci údajů, byly s jejich využitím zpětně vypočteny i hodnoty indikátoru v předcházejících letech. Jelikož údaje z roku 2020 nejsou ještě kompletní, je v tabulce uveden i údaj pro rok 2019.</w:t>
      </w:r>
    </w:p>
    <w:p w14:paraId="7E08A433" w14:textId="77777777" w:rsidR="00A02BDB" w:rsidRDefault="00A02BDB" w:rsidP="00A02BDB">
      <w:pPr>
        <w:spacing w:before="60" w:after="60"/>
        <w:ind w:left="425" w:hanging="425"/>
        <w:jc w:val="both"/>
        <w:rPr>
          <w:rFonts w:ascii="Arial" w:hAnsi="Arial" w:cs="Arial"/>
          <w:sz w:val="18"/>
          <w:szCs w:val="18"/>
        </w:rPr>
      </w:pPr>
      <w:r>
        <w:rPr>
          <w:rFonts w:ascii="Arial" w:hAnsi="Arial" w:cs="Arial"/>
          <w:sz w:val="18"/>
          <w:szCs w:val="18"/>
          <w:vertAlign w:val="superscript"/>
        </w:rPr>
        <w:t>2</w:t>
      </w:r>
      <w:r w:rsidRPr="00637E01">
        <w:rPr>
          <w:rFonts w:ascii="Arial" w:hAnsi="Arial" w:cs="Arial"/>
          <w:sz w:val="18"/>
          <w:szCs w:val="18"/>
        </w:rPr>
        <w:tab/>
      </w:r>
      <w:r>
        <w:rPr>
          <w:rFonts w:ascii="Arial" w:hAnsi="Arial" w:cs="Arial"/>
          <w:sz w:val="18"/>
          <w:szCs w:val="18"/>
        </w:rPr>
        <w:t xml:space="preserve">Název indikátoru byl přeformulován tak, aby odpovídal definici uvedené v NP VaVaI </w:t>
      </w:r>
    </w:p>
    <w:p w14:paraId="2C902327" w14:textId="77777777" w:rsidR="00A02BDB" w:rsidRDefault="00A02BDB" w:rsidP="00A02BDB">
      <w:pPr>
        <w:spacing w:before="60" w:after="60"/>
        <w:ind w:left="426" w:hanging="426"/>
        <w:jc w:val="both"/>
        <w:rPr>
          <w:rFonts w:ascii="Arial" w:hAnsi="Arial" w:cs="Arial"/>
          <w:sz w:val="18"/>
          <w:szCs w:val="18"/>
        </w:rPr>
      </w:pPr>
      <w:r>
        <w:rPr>
          <w:rFonts w:ascii="Arial" w:hAnsi="Arial" w:cs="Arial"/>
          <w:sz w:val="18"/>
          <w:szCs w:val="18"/>
          <w:vertAlign w:val="superscript"/>
        </w:rPr>
        <w:t>3</w:t>
      </w:r>
      <w:r>
        <w:rPr>
          <w:rFonts w:ascii="Arial" w:hAnsi="Arial" w:cs="Arial"/>
          <w:sz w:val="18"/>
          <w:szCs w:val="18"/>
        </w:rPr>
        <w:tab/>
      </w:r>
      <w:r w:rsidRPr="00637E01">
        <w:rPr>
          <w:rFonts w:ascii="Arial" w:hAnsi="Arial" w:cs="Arial"/>
          <w:sz w:val="18"/>
          <w:szCs w:val="18"/>
        </w:rPr>
        <w:t xml:space="preserve">Hodnota byla stanovena </w:t>
      </w:r>
      <w:r>
        <w:rPr>
          <w:rFonts w:ascii="Arial" w:hAnsi="Arial" w:cs="Arial"/>
          <w:sz w:val="18"/>
          <w:szCs w:val="18"/>
        </w:rPr>
        <w:t xml:space="preserve">jako počet účastí v dosavadním průběhu H2020 z údajů v databázi eCORDA z května 2021. Do výpočtu byly zahrnuty </w:t>
      </w:r>
      <w:r w:rsidRPr="00637E01">
        <w:rPr>
          <w:rFonts w:ascii="Arial" w:hAnsi="Arial" w:cs="Arial"/>
          <w:sz w:val="18"/>
          <w:szCs w:val="18"/>
        </w:rPr>
        <w:t xml:space="preserve">běžící a ukončené projekty (tj. byly vyloučeny projekty v přípravě a zastavené projekty). </w:t>
      </w:r>
      <w:r>
        <w:rPr>
          <w:rFonts w:ascii="Arial" w:hAnsi="Arial" w:cs="Arial"/>
          <w:sz w:val="18"/>
          <w:szCs w:val="18"/>
        </w:rPr>
        <w:t xml:space="preserve">V údajích nejsou zahrnuti účastníci, kteří se projektů účastnili jako třetí strany. </w:t>
      </w:r>
      <w:r w:rsidRPr="00637E01">
        <w:rPr>
          <w:rFonts w:ascii="Arial" w:hAnsi="Arial" w:cs="Arial"/>
          <w:sz w:val="18"/>
          <w:szCs w:val="18"/>
        </w:rPr>
        <w:t>Hodnota indikátoru s časem narůstá, neboť narůstá i celkový počet projektů řešených v programů H2020. Hodnota by proto měla být porovnávána se součtem za všechny členské státy EU (hodnota indikátoru pro EU-28 v</w:t>
      </w:r>
      <w:r>
        <w:rPr>
          <w:rFonts w:ascii="Arial" w:hAnsi="Arial" w:cs="Arial"/>
          <w:sz w:val="18"/>
          <w:szCs w:val="18"/>
        </w:rPr>
        <w:t xml:space="preserve"> květnu </w:t>
      </w:r>
      <w:r w:rsidRPr="00637E01">
        <w:rPr>
          <w:rFonts w:ascii="Arial" w:hAnsi="Arial" w:cs="Arial"/>
          <w:sz w:val="18"/>
          <w:szCs w:val="18"/>
        </w:rPr>
        <w:t>20</w:t>
      </w:r>
      <w:r>
        <w:rPr>
          <w:rFonts w:ascii="Arial" w:hAnsi="Arial" w:cs="Arial"/>
          <w:sz w:val="18"/>
          <w:szCs w:val="18"/>
        </w:rPr>
        <w:t>21</w:t>
      </w:r>
      <w:r w:rsidRPr="00637E01">
        <w:rPr>
          <w:rFonts w:ascii="Arial" w:hAnsi="Arial" w:cs="Arial"/>
          <w:sz w:val="18"/>
          <w:szCs w:val="18"/>
        </w:rPr>
        <w:t xml:space="preserve"> činila </w:t>
      </w:r>
      <w:r>
        <w:rPr>
          <w:rFonts w:ascii="Arial" w:hAnsi="Arial" w:cs="Arial"/>
          <w:sz w:val="18"/>
          <w:szCs w:val="18"/>
        </w:rPr>
        <w:t>61,2</w:t>
      </w:r>
      <w:r w:rsidRPr="00637E01">
        <w:rPr>
          <w:rFonts w:ascii="Arial" w:hAnsi="Arial" w:cs="Arial"/>
          <w:sz w:val="18"/>
          <w:szCs w:val="18"/>
        </w:rPr>
        <w:t>).</w:t>
      </w:r>
    </w:p>
    <w:p w14:paraId="30A154ED" w14:textId="77777777" w:rsidR="00A02BDB" w:rsidRDefault="00A02BDB" w:rsidP="00A02BDB">
      <w:pPr>
        <w:spacing w:before="60" w:after="60"/>
        <w:ind w:left="425" w:hanging="425"/>
        <w:jc w:val="both"/>
        <w:rPr>
          <w:rFonts w:ascii="Arial" w:hAnsi="Arial" w:cs="Arial"/>
          <w:sz w:val="18"/>
          <w:szCs w:val="18"/>
        </w:rPr>
      </w:pPr>
      <w:r>
        <w:rPr>
          <w:rFonts w:ascii="Arial" w:hAnsi="Arial" w:cs="Arial"/>
          <w:sz w:val="18"/>
          <w:szCs w:val="18"/>
          <w:vertAlign w:val="superscript"/>
        </w:rPr>
        <w:t>4</w:t>
      </w:r>
      <w:r w:rsidRPr="00637E01">
        <w:rPr>
          <w:rFonts w:ascii="Arial" w:hAnsi="Arial" w:cs="Arial"/>
          <w:sz w:val="18"/>
          <w:szCs w:val="18"/>
        </w:rPr>
        <w:tab/>
        <w:t xml:space="preserve">Hodnota byla stanovena </w:t>
      </w:r>
      <w:r>
        <w:rPr>
          <w:rFonts w:ascii="Arial" w:hAnsi="Arial" w:cs="Arial"/>
          <w:sz w:val="18"/>
          <w:szCs w:val="18"/>
        </w:rPr>
        <w:t>jako příspěvek EK získaný týmy z ČR v dosavadním průběhu H2020 z údajů v databázi eCORDA</w:t>
      </w:r>
      <w:r w:rsidDel="003D513A">
        <w:rPr>
          <w:rFonts w:ascii="Arial" w:hAnsi="Arial" w:cs="Arial"/>
          <w:sz w:val="18"/>
          <w:szCs w:val="18"/>
        </w:rPr>
        <w:t xml:space="preserve"> </w:t>
      </w:r>
      <w:r>
        <w:rPr>
          <w:rFonts w:ascii="Arial" w:hAnsi="Arial" w:cs="Arial"/>
          <w:sz w:val="18"/>
          <w:szCs w:val="18"/>
        </w:rPr>
        <w:t xml:space="preserve">z května 2021. Do výpočtu byly zahrnuty </w:t>
      </w:r>
      <w:r w:rsidRPr="00637E01">
        <w:rPr>
          <w:rFonts w:ascii="Arial" w:hAnsi="Arial" w:cs="Arial"/>
          <w:sz w:val="18"/>
          <w:szCs w:val="18"/>
        </w:rPr>
        <w:t xml:space="preserve">běžící a ukončené projekty (tj. byly vyloučeny projekty v přípravě a zastavené projekty). </w:t>
      </w:r>
      <w:r>
        <w:rPr>
          <w:rFonts w:ascii="Arial" w:hAnsi="Arial" w:cs="Arial"/>
          <w:sz w:val="18"/>
          <w:szCs w:val="18"/>
        </w:rPr>
        <w:t xml:space="preserve">V údajích není zahrnut příspěvek získaný účastníky, kteří se projektů účastnili jako třetí strany. </w:t>
      </w:r>
      <w:r w:rsidRPr="00637E01">
        <w:rPr>
          <w:rFonts w:ascii="Arial" w:hAnsi="Arial" w:cs="Arial"/>
          <w:sz w:val="18"/>
          <w:szCs w:val="18"/>
        </w:rPr>
        <w:lastRenderedPageBreak/>
        <w:t>Hodnota indikátoru s časem narůstá, neboť narůstá i celkový počet projektů řešených v programů H2020. Hodnota by proto měla být porovnávána se součtem za všechny členské státy EU (hodnota indikátoru pro EU-28 v </w:t>
      </w:r>
      <w:r>
        <w:rPr>
          <w:rFonts w:ascii="Arial" w:hAnsi="Arial" w:cs="Arial"/>
          <w:sz w:val="18"/>
          <w:szCs w:val="18"/>
        </w:rPr>
        <w:t>květnu</w:t>
      </w:r>
      <w:r w:rsidRPr="00637E01">
        <w:rPr>
          <w:rFonts w:ascii="Arial" w:hAnsi="Arial" w:cs="Arial"/>
          <w:sz w:val="18"/>
          <w:szCs w:val="18"/>
        </w:rPr>
        <w:t xml:space="preserve"> 20</w:t>
      </w:r>
      <w:r>
        <w:rPr>
          <w:rFonts w:ascii="Arial" w:hAnsi="Arial" w:cs="Arial"/>
          <w:sz w:val="18"/>
          <w:szCs w:val="18"/>
        </w:rPr>
        <w:t>21</w:t>
      </w:r>
      <w:r w:rsidRPr="00637E01">
        <w:rPr>
          <w:rFonts w:ascii="Arial" w:hAnsi="Arial" w:cs="Arial"/>
          <w:sz w:val="18"/>
          <w:szCs w:val="18"/>
        </w:rPr>
        <w:t xml:space="preserve"> činila </w:t>
      </w:r>
      <w:r>
        <w:rPr>
          <w:rFonts w:ascii="Arial" w:hAnsi="Arial" w:cs="Arial"/>
          <w:sz w:val="18"/>
          <w:szCs w:val="18"/>
        </w:rPr>
        <w:t>3</w:t>
      </w:r>
      <w:r w:rsidRPr="00637E01">
        <w:rPr>
          <w:rFonts w:ascii="Arial" w:hAnsi="Arial" w:cs="Arial"/>
          <w:sz w:val="18"/>
          <w:szCs w:val="18"/>
        </w:rPr>
        <w:t>,</w:t>
      </w:r>
      <w:r>
        <w:rPr>
          <w:rFonts w:ascii="Arial" w:hAnsi="Arial" w:cs="Arial"/>
          <w:sz w:val="18"/>
          <w:szCs w:val="18"/>
        </w:rPr>
        <w:t>50</w:t>
      </w:r>
      <w:r w:rsidRPr="00637E01">
        <w:rPr>
          <w:rFonts w:ascii="Arial" w:hAnsi="Arial" w:cs="Arial"/>
          <w:sz w:val="18"/>
          <w:szCs w:val="18"/>
        </w:rPr>
        <w:t>).</w:t>
      </w:r>
    </w:p>
    <w:p w14:paraId="3843E60F" w14:textId="77777777" w:rsidR="00A02BDB" w:rsidRDefault="00A02BDB" w:rsidP="00A02BDB">
      <w:pPr>
        <w:spacing w:before="60" w:after="60"/>
        <w:ind w:left="425" w:hanging="425"/>
        <w:jc w:val="both"/>
        <w:rPr>
          <w:rFonts w:ascii="Arial" w:hAnsi="Arial" w:cs="Arial"/>
          <w:sz w:val="18"/>
          <w:szCs w:val="18"/>
        </w:rPr>
      </w:pPr>
      <w:r>
        <w:rPr>
          <w:rFonts w:ascii="Arial" w:hAnsi="Arial" w:cs="Arial"/>
          <w:sz w:val="18"/>
          <w:szCs w:val="18"/>
          <w:vertAlign w:val="superscript"/>
        </w:rPr>
        <w:t>5</w:t>
      </w:r>
      <w:r>
        <w:rPr>
          <w:rFonts w:ascii="Arial" w:hAnsi="Arial" w:cs="Arial"/>
          <w:sz w:val="18"/>
          <w:szCs w:val="18"/>
        </w:rPr>
        <w:tab/>
      </w:r>
      <w:r w:rsidRPr="00637E01">
        <w:rPr>
          <w:rFonts w:ascii="Arial" w:hAnsi="Arial" w:cs="Arial"/>
          <w:sz w:val="18"/>
          <w:szCs w:val="18"/>
        </w:rPr>
        <w:t xml:space="preserve">Hodnota byla stanovena </w:t>
      </w:r>
      <w:r>
        <w:rPr>
          <w:rFonts w:ascii="Arial" w:hAnsi="Arial" w:cs="Arial"/>
          <w:sz w:val="18"/>
          <w:szCs w:val="18"/>
        </w:rPr>
        <w:t>jako počet ERC grantů získaný v dosavadním průběhu H2020 z údajů v databázi eCORDA</w:t>
      </w:r>
      <w:r w:rsidDel="003D513A">
        <w:rPr>
          <w:rFonts w:ascii="Arial" w:hAnsi="Arial" w:cs="Arial"/>
          <w:sz w:val="18"/>
          <w:szCs w:val="18"/>
        </w:rPr>
        <w:t xml:space="preserve"> </w:t>
      </w:r>
      <w:r>
        <w:rPr>
          <w:rFonts w:ascii="Arial" w:hAnsi="Arial" w:cs="Arial"/>
          <w:sz w:val="18"/>
          <w:szCs w:val="18"/>
        </w:rPr>
        <w:t xml:space="preserve">z května 2021. </w:t>
      </w:r>
      <w:r w:rsidRPr="00637E01">
        <w:rPr>
          <w:rFonts w:ascii="Arial" w:hAnsi="Arial" w:cs="Arial"/>
          <w:sz w:val="18"/>
          <w:szCs w:val="18"/>
        </w:rPr>
        <w:t>Hodnota indikátoru s časem narůstá, neboť narůstá i celkový počet projektů řešených v programů H2020. Hodnota by proto měla být porovnávána se součtem za všechny členské státy EU (hodnota indikátoru pro EU-28 v</w:t>
      </w:r>
      <w:r>
        <w:rPr>
          <w:rFonts w:ascii="Arial" w:hAnsi="Arial" w:cs="Arial"/>
          <w:sz w:val="18"/>
          <w:szCs w:val="18"/>
        </w:rPr>
        <w:t xml:space="preserve"> září </w:t>
      </w:r>
      <w:r w:rsidRPr="00637E01">
        <w:rPr>
          <w:rFonts w:ascii="Arial" w:hAnsi="Arial" w:cs="Arial"/>
          <w:sz w:val="18"/>
          <w:szCs w:val="18"/>
        </w:rPr>
        <w:t>20</w:t>
      </w:r>
      <w:r>
        <w:rPr>
          <w:rFonts w:ascii="Arial" w:hAnsi="Arial" w:cs="Arial"/>
          <w:sz w:val="18"/>
          <w:szCs w:val="18"/>
        </w:rPr>
        <w:t>20</w:t>
      </w:r>
      <w:r w:rsidRPr="00637E01">
        <w:rPr>
          <w:rFonts w:ascii="Arial" w:hAnsi="Arial" w:cs="Arial"/>
          <w:sz w:val="18"/>
          <w:szCs w:val="18"/>
        </w:rPr>
        <w:t xml:space="preserve"> činila </w:t>
      </w:r>
      <w:r>
        <w:rPr>
          <w:rFonts w:ascii="Arial" w:hAnsi="Arial" w:cs="Arial"/>
          <w:sz w:val="18"/>
          <w:szCs w:val="18"/>
        </w:rPr>
        <w:t>6,37</w:t>
      </w:r>
      <w:r w:rsidRPr="00637E01">
        <w:rPr>
          <w:rFonts w:ascii="Arial" w:hAnsi="Arial" w:cs="Arial"/>
          <w:sz w:val="18"/>
          <w:szCs w:val="18"/>
        </w:rPr>
        <w:t>).</w:t>
      </w:r>
    </w:p>
    <w:p w14:paraId="1FDD9EC0" w14:textId="77777777" w:rsidR="009A4B85" w:rsidRPr="002D7367" w:rsidRDefault="00A02BDB" w:rsidP="00460154">
      <w:pPr>
        <w:spacing w:before="60" w:after="60"/>
        <w:ind w:left="425" w:hanging="425"/>
        <w:jc w:val="both"/>
        <w:rPr>
          <w:rFonts w:ascii="Arial" w:hAnsi="Arial" w:cs="Arial"/>
          <w:sz w:val="18"/>
          <w:szCs w:val="18"/>
          <w:highlight w:val="yellow"/>
        </w:rPr>
      </w:pPr>
      <w:r>
        <w:rPr>
          <w:rFonts w:ascii="Arial" w:hAnsi="Arial" w:cs="Arial"/>
          <w:sz w:val="18"/>
          <w:szCs w:val="18"/>
          <w:vertAlign w:val="superscript"/>
        </w:rPr>
        <w:t>6</w:t>
      </w:r>
      <w:r w:rsidRPr="00637E01">
        <w:rPr>
          <w:rFonts w:ascii="Arial" w:hAnsi="Arial" w:cs="Arial"/>
          <w:sz w:val="18"/>
          <w:szCs w:val="18"/>
        </w:rPr>
        <w:tab/>
      </w:r>
      <w:r w:rsidRPr="000D0F35">
        <w:rPr>
          <w:rFonts w:ascii="Arial" w:hAnsi="Arial" w:cs="Arial"/>
          <w:sz w:val="18"/>
          <w:szCs w:val="18"/>
        </w:rPr>
        <w:t xml:space="preserve">Údaje byly </w:t>
      </w:r>
      <w:r>
        <w:rPr>
          <w:rFonts w:ascii="Arial" w:hAnsi="Arial" w:cs="Arial"/>
          <w:sz w:val="18"/>
          <w:szCs w:val="18"/>
        </w:rPr>
        <w:t xml:space="preserve">převzaty ze </w:t>
      </w:r>
      <w:r w:rsidRPr="001C7E91">
        <w:rPr>
          <w:rFonts w:ascii="Arial" w:hAnsi="Arial" w:cs="Arial"/>
          <w:sz w:val="18"/>
          <w:szCs w:val="18"/>
        </w:rPr>
        <w:t xml:space="preserve">zpráv Invest Europe </w:t>
      </w:r>
      <w:r>
        <w:rPr>
          <w:rFonts w:ascii="Arial" w:hAnsi="Arial" w:cs="Arial"/>
          <w:sz w:val="18"/>
          <w:szCs w:val="18"/>
        </w:rPr>
        <w:t>z června 2021</w:t>
      </w:r>
      <w:r w:rsidRPr="001C7E91">
        <w:rPr>
          <w:rFonts w:ascii="Arial" w:hAnsi="Arial" w:cs="Arial"/>
          <w:sz w:val="18"/>
          <w:szCs w:val="18"/>
        </w:rPr>
        <w:t xml:space="preserve">. Za early-stage investice </w:t>
      </w:r>
      <w:r>
        <w:rPr>
          <w:rFonts w:ascii="Arial" w:hAnsi="Arial" w:cs="Arial"/>
          <w:sz w:val="18"/>
          <w:szCs w:val="18"/>
        </w:rPr>
        <w:t xml:space="preserve">byly </w:t>
      </w:r>
      <w:r w:rsidRPr="001C7E91">
        <w:rPr>
          <w:rFonts w:ascii="Arial" w:hAnsi="Arial" w:cs="Arial"/>
          <w:sz w:val="18"/>
          <w:szCs w:val="18"/>
        </w:rPr>
        <w:t>považovány</w:t>
      </w:r>
      <w:r>
        <w:rPr>
          <w:rFonts w:ascii="Arial" w:hAnsi="Arial" w:cs="Arial"/>
          <w:sz w:val="18"/>
          <w:szCs w:val="18"/>
        </w:rPr>
        <w:t xml:space="preserve"> "seed" a " start-up" investice</w:t>
      </w:r>
      <w:r w:rsidRPr="000D0F35">
        <w:rPr>
          <w:rFonts w:ascii="Arial" w:hAnsi="Arial" w:cs="Arial"/>
          <w:sz w:val="18"/>
          <w:szCs w:val="18"/>
        </w:rPr>
        <w:t>.</w:t>
      </w:r>
      <w:r w:rsidRPr="00637E01">
        <w:rPr>
          <w:rFonts w:ascii="Arial" w:hAnsi="Arial" w:cs="Arial"/>
          <w:sz w:val="18"/>
          <w:szCs w:val="18"/>
        </w:rPr>
        <w:tab/>
      </w:r>
    </w:p>
    <w:sectPr w:rsidR="009A4B85" w:rsidRPr="002D7367" w:rsidSect="008F4984">
      <w:footnotePr>
        <w:numRestart w:val="eachSect"/>
      </w:footnotePr>
      <w:pgSz w:w="11906" w:h="16838"/>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69993F" w14:textId="77777777" w:rsidR="00FF0657" w:rsidRDefault="00FF0657" w:rsidP="000822A0">
      <w:pPr>
        <w:spacing w:after="0" w:line="240" w:lineRule="auto"/>
      </w:pPr>
      <w:r>
        <w:separator/>
      </w:r>
    </w:p>
  </w:endnote>
  <w:endnote w:type="continuationSeparator" w:id="0">
    <w:p w14:paraId="22747937" w14:textId="77777777" w:rsidR="00FF0657" w:rsidRDefault="00FF0657" w:rsidP="000822A0">
      <w:pPr>
        <w:spacing w:after="0" w:line="240" w:lineRule="auto"/>
      </w:pPr>
      <w:r>
        <w:continuationSeparator/>
      </w:r>
    </w:p>
  </w:endnote>
  <w:endnote w:type="continuationNotice" w:id="1">
    <w:p w14:paraId="625E649C" w14:textId="77777777" w:rsidR="00FF0657" w:rsidRDefault="00FF065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StradaPro-Semibd">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95626650"/>
      <w:docPartObj>
        <w:docPartGallery w:val="Page Numbers (Bottom of Page)"/>
        <w:docPartUnique/>
      </w:docPartObj>
    </w:sdtPr>
    <w:sdtEndPr/>
    <w:sdtContent>
      <w:sdt>
        <w:sdtPr>
          <w:id w:val="-1669238322"/>
          <w:docPartObj>
            <w:docPartGallery w:val="Page Numbers (Top of Page)"/>
            <w:docPartUnique/>
          </w:docPartObj>
        </w:sdtPr>
        <w:sdtEndPr/>
        <w:sdtContent>
          <w:p w14:paraId="1AB905C0" w14:textId="77777777" w:rsidR="00FF0657" w:rsidRDefault="00FF0657">
            <w:pPr>
              <w:pStyle w:val="Zpat"/>
            </w:pPr>
            <w:r>
              <w:t>Stránka </w:t>
            </w:r>
            <w:r>
              <w:rPr>
                <w:b/>
                <w:bCs/>
                <w:sz w:val="24"/>
                <w:szCs w:val="24"/>
              </w:rPr>
              <w:fldChar w:fldCharType="begin"/>
            </w:r>
            <w:r>
              <w:rPr>
                <w:b/>
                <w:bCs/>
              </w:rPr>
              <w:instrText>PAGE</w:instrText>
            </w:r>
            <w:r>
              <w:rPr>
                <w:b/>
                <w:bCs/>
                <w:sz w:val="24"/>
                <w:szCs w:val="24"/>
              </w:rPr>
              <w:fldChar w:fldCharType="separate"/>
            </w:r>
            <w:r>
              <w:rPr>
                <w:b/>
                <w:bCs/>
                <w:noProof/>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noProof/>
              </w:rPr>
              <w:t>143</w:t>
            </w:r>
            <w:r>
              <w:rPr>
                <w:b/>
                <w:bCs/>
                <w:sz w:val="24"/>
                <w:szCs w:val="24"/>
              </w:rPr>
              <w:fldChar w:fldCharType="end"/>
            </w:r>
          </w:p>
        </w:sdtContent>
      </w:sdt>
    </w:sdtContent>
  </w:sdt>
  <w:p w14:paraId="471E5DEF" w14:textId="77777777" w:rsidR="00FF0657" w:rsidRDefault="00FF0657">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77678394"/>
      <w:docPartObj>
        <w:docPartGallery w:val="Page Numbers (Bottom of Page)"/>
        <w:docPartUnique/>
      </w:docPartObj>
    </w:sdtPr>
    <w:sdtEndPr/>
    <w:sdtContent>
      <w:p w14:paraId="0C6ED0F2" w14:textId="5517225B" w:rsidR="00FF0657" w:rsidRDefault="00FF0657">
        <w:pPr>
          <w:pStyle w:val="Zpat"/>
        </w:pPr>
        <w:r>
          <w:fldChar w:fldCharType="begin"/>
        </w:r>
        <w:r>
          <w:instrText>PAGE   \* MERGEFORMAT</w:instrText>
        </w:r>
        <w:r>
          <w:fldChar w:fldCharType="separate"/>
        </w:r>
        <w:r w:rsidR="00FB3AA0">
          <w:rPr>
            <w:noProof/>
          </w:rPr>
          <w:t>2</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0722841"/>
      <w:docPartObj>
        <w:docPartGallery w:val="Page Numbers (Bottom of Page)"/>
        <w:docPartUnique/>
      </w:docPartObj>
    </w:sdtPr>
    <w:sdtEndPr/>
    <w:sdtContent>
      <w:p w14:paraId="40E3159B" w14:textId="6540F7A2" w:rsidR="00FF0657" w:rsidRDefault="00FF0657" w:rsidP="00D25D90">
        <w:pPr>
          <w:pStyle w:val="Zpat"/>
        </w:pPr>
        <w:r>
          <w:fldChar w:fldCharType="begin"/>
        </w:r>
        <w:r>
          <w:instrText>PAGE   \* MERGEFORMAT</w:instrText>
        </w:r>
        <w:r>
          <w:fldChar w:fldCharType="separate"/>
        </w:r>
        <w:r w:rsidR="00FB3AA0">
          <w:rPr>
            <w:noProof/>
          </w:rPr>
          <w:t>17</w:t>
        </w:r>
        <w: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B2D903" w14:textId="77777777" w:rsidR="00FF0657" w:rsidRDefault="00FF0657">
    <w:pPr>
      <w:pStyle w:val="Zpat"/>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08897312"/>
      <w:docPartObj>
        <w:docPartGallery w:val="Page Numbers (Bottom of Page)"/>
        <w:docPartUnique/>
      </w:docPartObj>
    </w:sdtPr>
    <w:sdtEndPr>
      <w:rPr>
        <w:noProof/>
      </w:rPr>
    </w:sdtEndPr>
    <w:sdtContent>
      <w:p w14:paraId="035EEB1D" w14:textId="4FFE2AF5" w:rsidR="00FF0657" w:rsidRDefault="00FF0657" w:rsidP="002739B9">
        <w:pPr>
          <w:pStyle w:val="Zpat"/>
          <w:rPr>
            <w:noProof/>
          </w:rPr>
        </w:pPr>
        <w:r>
          <w:rPr>
            <w:noProof/>
          </w:rPr>
          <w:fldChar w:fldCharType="begin"/>
        </w:r>
        <w:r>
          <w:rPr>
            <w:noProof/>
          </w:rPr>
          <w:instrText>PAGE   \* MERGEFORMAT</w:instrText>
        </w:r>
        <w:r>
          <w:rPr>
            <w:noProof/>
          </w:rPr>
          <w:fldChar w:fldCharType="separate"/>
        </w:r>
        <w:r w:rsidR="00FB3AA0">
          <w:rPr>
            <w:noProof/>
          </w:rPr>
          <w:t>35</w:t>
        </w:r>
        <w:r>
          <w:rPr>
            <w:noProof/>
          </w:rP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EBCCE9" w14:textId="77777777" w:rsidR="00FF0657" w:rsidRDefault="00FF0657">
    <w:pPr>
      <w:pStyle w:val="Zpat"/>
      <w:jc w:val="right"/>
    </w:pPr>
    <w:r>
      <w:t>148</w:t>
    </w:r>
  </w:p>
  <w:p w14:paraId="5320D3D2" w14:textId="77777777" w:rsidR="00FF0657" w:rsidRDefault="00FF0657">
    <w:pPr>
      <w:pStyle w:val="Zpat"/>
    </w:pPr>
  </w:p>
  <w:p w14:paraId="2D6B1394" w14:textId="77777777" w:rsidR="00FF0657" w:rsidRDefault="00FF0657"/>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54B2A3" w14:textId="77777777" w:rsidR="00FF0657" w:rsidRDefault="00FF0657">
    <w:pPr>
      <w:pStyle w:val="Zpat"/>
      <w:jc w:val="right"/>
    </w:pPr>
    <w:r>
      <w:t>148</w:t>
    </w:r>
  </w:p>
  <w:p w14:paraId="5F55EA4F" w14:textId="77777777" w:rsidR="00FF0657" w:rsidRDefault="00FF0657">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89897E" w14:textId="77777777" w:rsidR="00FF0657" w:rsidRDefault="00FF0657" w:rsidP="000822A0">
      <w:pPr>
        <w:spacing w:after="0" w:line="240" w:lineRule="auto"/>
      </w:pPr>
      <w:r>
        <w:separator/>
      </w:r>
    </w:p>
  </w:footnote>
  <w:footnote w:type="continuationSeparator" w:id="0">
    <w:p w14:paraId="3AC36FEE" w14:textId="77777777" w:rsidR="00FF0657" w:rsidRDefault="00FF0657" w:rsidP="000822A0">
      <w:pPr>
        <w:spacing w:after="0" w:line="240" w:lineRule="auto"/>
      </w:pPr>
      <w:r>
        <w:continuationSeparator/>
      </w:r>
    </w:p>
  </w:footnote>
  <w:footnote w:type="continuationNotice" w:id="1">
    <w:p w14:paraId="6BE3A015" w14:textId="77777777" w:rsidR="00FF0657" w:rsidRDefault="00FF0657">
      <w:pPr>
        <w:spacing w:after="0" w:line="240" w:lineRule="auto"/>
      </w:pPr>
    </w:p>
  </w:footnote>
  <w:footnote w:id="2">
    <w:p w14:paraId="08E3A04E" w14:textId="77777777" w:rsidR="00C67149" w:rsidRDefault="00C67149" w:rsidP="00C67149">
      <w:pPr>
        <w:pStyle w:val="Textpoznpodarou"/>
      </w:pPr>
      <w:r>
        <w:rPr>
          <w:rStyle w:val="Znakapoznpodarou"/>
        </w:rPr>
        <w:footnoteRef/>
      </w:r>
      <w:r>
        <w:t xml:space="preserve"> </w:t>
      </w:r>
      <w:r w:rsidRPr="00FF0657">
        <w:t>Prekarizace je termín označující nahrazení plnohodnotného pracovního poměru částečnými úvazky nebo smlouva o</w:t>
      </w:r>
      <w:r>
        <w:t> </w:t>
      </w:r>
      <w:r w:rsidRPr="00FF0657">
        <w:t>nákupu služeb od živnostníka, bývá spojena s nižším příjmem a absencí benefitů a výhod, např. sociálního pojištění</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73BF86" w14:textId="77777777" w:rsidR="00FF0657" w:rsidRPr="0083134A" w:rsidRDefault="00FF0657" w:rsidP="001911CA">
    <w:pPr>
      <w:pStyle w:val="Zhlav"/>
      <w:rPr>
        <w:rFonts w:ascii="Cambria" w:eastAsia="Times New Roman" w:hAnsi="Cambria" w:cs="Arial"/>
        <w:i/>
        <w:color w:val="1F497D"/>
        <w:sz w:val="18"/>
        <w:szCs w:val="18"/>
        <w:lang w:eastAsia="cs-CZ"/>
      </w:rPr>
    </w:pPr>
    <w:r>
      <w:rPr>
        <w:rFonts w:ascii="Cambria" w:eastAsia="Times New Roman" w:hAnsi="Cambria" w:cs="Arial"/>
        <w:i/>
        <w:color w:val="1F497D"/>
        <w:sz w:val="18"/>
        <w:szCs w:val="18"/>
        <w:lang w:eastAsia="cs-CZ"/>
      </w:rPr>
      <w:t xml:space="preserve">Shrnutí: </w:t>
    </w:r>
    <w:r w:rsidRPr="0083134A">
      <w:rPr>
        <w:rFonts w:ascii="Cambria" w:eastAsia="Times New Roman" w:hAnsi="Cambria" w:cs="Arial"/>
        <w:i/>
        <w:color w:val="1F497D"/>
        <w:sz w:val="18"/>
        <w:szCs w:val="18"/>
        <w:lang w:eastAsia="cs-CZ"/>
      </w:rPr>
      <w:t>Analýz</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stavu výzkumu, vývoje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inovací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 xml:space="preserve">České republice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jejich srovnání se zahraničím </w:t>
    </w:r>
    <w:r>
      <w:rPr>
        <w:rFonts w:ascii="Cambria" w:eastAsia="Times New Roman" w:hAnsi="Cambria" w:cs="Arial"/>
        <w:i/>
        <w:color w:val="1F497D"/>
        <w:sz w:val="18"/>
        <w:szCs w:val="18"/>
        <w:lang w:eastAsia="cs-CZ"/>
      </w:rPr>
      <w:t>v roce 2020</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9747" w:type="dxa"/>
      <w:tblLook w:val="04A0" w:firstRow="1" w:lastRow="0" w:firstColumn="1" w:lastColumn="0" w:noHBand="0" w:noVBand="1"/>
    </w:tblPr>
    <w:tblGrid>
      <w:gridCol w:w="8188"/>
      <w:gridCol w:w="1559"/>
    </w:tblGrid>
    <w:tr w:rsidR="00FF0657" w:rsidRPr="0024798A" w14:paraId="03698019" w14:textId="77777777" w:rsidTr="00810260">
      <w:trPr>
        <w:trHeight w:val="686"/>
      </w:trPr>
      <w:tc>
        <w:tcPr>
          <w:tcW w:w="8188" w:type="dxa"/>
          <w:tcBorders>
            <w:top w:val="nil"/>
            <w:left w:val="nil"/>
            <w:bottom w:val="nil"/>
            <w:right w:val="nil"/>
          </w:tcBorders>
          <w:vAlign w:val="center"/>
        </w:tcPr>
        <w:p w14:paraId="57066FA8" w14:textId="77777777" w:rsidR="00FF0657" w:rsidRPr="009758E5" w:rsidRDefault="00FF0657" w:rsidP="0045579F">
          <w:pPr>
            <w:pStyle w:val="Zhlav"/>
            <w:tabs>
              <w:tab w:val="clear" w:pos="4536"/>
              <w:tab w:val="clear" w:pos="9072"/>
            </w:tabs>
            <w:ind w:firstLine="1985"/>
            <w:jc w:val="left"/>
            <w:rPr>
              <w:rFonts w:ascii="Arial" w:hAnsi="Arial" w:cs="Arial"/>
              <w:b/>
              <w:color w:val="0B38B5"/>
            </w:rPr>
          </w:pPr>
          <w:r w:rsidRPr="00A51417">
            <w:rPr>
              <w:rFonts w:ascii="Arial" w:hAnsi="Arial" w:cs="Arial"/>
              <w:b/>
              <w:noProof/>
              <w:color w:val="0B38B5"/>
              <w:lang w:eastAsia="cs-CZ"/>
            </w:rPr>
            <w:drawing>
              <wp:anchor distT="0" distB="0" distL="114300" distR="114300" simplePos="0" relativeHeight="251659264" behindDoc="0" locked="0" layoutInCell="1" allowOverlap="1" wp14:anchorId="1CCC2B26" wp14:editId="5FA01ECE">
                <wp:simplePos x="0" y="0"/>
                <wp:positionH relativeFrom="column">
                  <wp:posOffset>635</wp:posOffset>
                </wp:positionH>
                <wp:positionV relativeFrom="paragraph">
                  <wp:posOffset>-68638</wp:posOffset>
                </wp:positionV>
                <wp:extent cx="914760" cy="277200"/>
                <wp:effectExtent l="0" t="0" r="0" b="889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914760" cy="277200"/>
                        </a:xfrm>
                        <a:prstGeom prst="rect">
                          <a:avLst/>
                        </a:prstGeom>
                      </pic:spPr>
                    </pic:pic>
                  </a:graphicData>
                </a:graphic>
                <wp14:sizeRelV relativeFrom="margin">
                  <wp14:pctHeight>0</wp14:pctHeight>
                </wp14:sizeRelV>
              </wp:anchor>
            </w:drawing>
          </w:r>
          <w:r w:rsidRPr="00D27C56">
            <w:rPr>
              <w:rFonts w:ascii="Arial" w:hAnsi="Arial" w:cs="Arial"/>
              <w:b/>
            </w:rPr>
            <w:t>Rad</w:t>
          </w:r>
          <w:r>
            <w:rPr>
              <w:rFonts w:ascii="Arial" w:hAnsi="Arial" w:cs="Arial"/>
              <w:b/>
            </w:rPr>
            <w:t>a </w:t>
          </w:r>
          <w:r w:rsidRPr="00D27C56">
            <w:rPr>
              <w:rFonts w:ascii="Arial" w:hAnsi="Arial" w:cs="Arial"/>
              <w:b/>
            </w:rPr>
            <w:t>pr</w:t>
          </w:r>
          <w:r>
            <w:rPr>
              <w:rFonts w:ascii="Arial" w:hAnsi="Arial" w:cs="Arial"/>
              <w:b/>
            </w:rPr>
            <w:t>o </w:t>
          </w:r>
          <w:r w:rsidRPr="00D27C56">
            <w:rPr>
              <w:rFonts w:ascii="Arial" w:hAnsi="Arial" w:cs="Arial"/>
              <w:b/>
            </w:rPr>
            <w:t xml:space="preserve">výzkum, vývoj </w:t>
          </w:r>
          <w:r>
            <w:rPr>
              <w:rFonts w:ascii="Arial" w:hAnsi="Arial" w:cs="Arial"/>
              <w:b/>
            </w:rPr>
            <w:t>a </w:t>
          </w:r>
          <w:r w:rsidRPr="00D27C56">
            <w:rPr>
              <w:rFonts w:ascii="Arial" w:hAnsi="Arial" w:cs="Arial"/>
              <w:b/>
            </w:rPr>
            <w:t>inova</w:t>
          </w:r>
          <w:r w:rsidRPr="009758E5">
            <w:rPr>
              <w:rFonts w:ascii="Arial" w:hAnsi="Arial" w:cs="Arial"/>
              <w:b/>
            </w:rPr>
            <w:t>ce</w:t>
          </w:r>
        </w:p>
      </w:tc>
      <w:tc>
        <w:tcPr>
          <w:tcW w:w="1559" w:type="dxa"/>
          <w:tcBorders>
            <w:top w:val="nil"/>
            <w:left w:val="nil"/>
            <w:bottom w:val="nil"/>
            <w:right w:val="nil"/>
          </w:tcBorders>
          <w:shd w:val="clear" w:color="auto" w:fill="auto"/>
          <w:vAlign w:val="center"/>
        </w:tcPr>
        <w:p w14:paraId="2CF66410" w14:textId="77777777" w:rsidR="00FF0657" w:rsidRPr="0024798A" w:rsidRDefault="00FF0657" w:rsidP="000562FA">
          <w:pPr>
            <w:pStyle w:val="Zhlav"/>
            <w:jc w:val="center"/>
            <w:rPr>
              <w:rFonts w:ascii="Arial" w:hAnsi="Arial" w:cs="Arial"/>
              <w:b/>
              <w:color w:val="000000" w:themeColor="text1"/>
              <w:sz w:val="28"/>
              <w:szCs w:val="28"/>
            </w:rPr>
          </w:pPr>
          <w:r w:rsidRPr="00FB3AA0">
            <w:rPr>
              <w:rFonts w:ascii="Arial" w:hAnsi="Arial" w:cs="Arial"/>
              <w:b/>
              <w:color w:val="FFFFFF" w:themeColor="background1"/>
              <w:sz w:val="28"/>
              <w:szCs w:val="28"/>
            </w:rPr>
            <w:t>III.</w:t>
          </w:r>
        </w:p>
      </w:tc>
    </w:tr>
  </w:tbl>
  <w:p w14:paraId="01640119" w14:textId="77777777" w:rsidR="00FF0657" w:rsidRPr="00937521" w:rsidRDefault="00FF0657" w:rsidP="0045579F">
    <w:pPr>
      <w:pStyle w:val="Zhlav"/>
      <w:rPr>
        <w:color w:val="FFFFFF" w:themeColor="background1"/>
      </w:rPr>
    </w:pPr>
    <w:r w:rsidRPr="00937521">
      <w:rPr>
        <w:color w:val="FFFFFF" w:themeColor="background1"/>
      </w:rPr>
      <w:t>II</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859FFD" w14:textId="77777777" w:rsidR="00FF0657" w:rsidRDefault="00FF0657" w:rsidP="007D64A4">
    <w:pPr>
      <w:pStyle w:val="Zhlav"/>
    </w:pPr>
    <w:r>
      <w:t>B1/340</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0917EF" w14:textId="77777777" w:rsidR="00FF0657" w:rsidRDefault="00FF0657" w:rsidP="007D64A4">
    <w:pPr>
      <w:pStyle w:val="Zhlav"/>
    </w:pPr>
    <w:r>
      <w:t>B1/340</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964911" w14:textId="77777777" w:rsidR="00FF0657" w:rsidRPr="002442BB" w:rsidRDefault="00FF0657">
    <w:pPr>
      <w:pStyle w:val="Zhlav"/>
      <w:rPr>
        <w:rFonts w:ascii="Cambria" w:eastAsia="Times New Roman" w:hAnsi="Cambria" w:cs="Arial"/>
        <w:i/>
        <w:color w:val="1F497D"/>
        <w:sz w:val="18"/>
        <w:szCs w:val="18"/>
        <w:lang w:eastAsia="cs-CZ"/>
      </w:rPr>
    </w:pPr>
    <w:r w:rsidRPr="0083134A">
      <w:rPr>
        <w:rFonts w:ascii="Cambria" w:eastAsia="Times New Roman" w:hAnsi="Cambria" w:cs="Arial"/>
        <w:i/>
        <w:color w:val="1F497D"/>
        <w:sz w:val="18"/>
        <w:szCs w:val="18"/>
        <w:lang w:eastAsia="cs-CZ"/>
      </w:rPr>
      <w:t>Analýz</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stavu výzkumu, vývoje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inovací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 xml:space="preserve">České republice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jejich srovnání se zahraničím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roce 201</w:t>
    </w:r>
    <w:r>
      <w:rPr>
        <w:rFonts w:ascii="Cambria" w:eastAsia="Times New Roman" w:hAnsi="Cambria" w:cs="Arial"/>
        <w:i/>
        <w:color w:val="1F497D"/>
        <w:sz w:val="18"/>
        <w:szCs w:val="18"/>
        <w:lang w:eastAsia="cs-CZ"/>
      </w:rPr>
      <w:t>6</w:t>
    </w:r>
  </w:p>
  <w:p w14:paraId="717DD3C9" w14:textId="77777777" w:rsidR="00FF0657" w:rsidRDefault="00FF0657"/>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768831" w14:textId="77777777" w:rsidR="00FF0657" w:rsidRPr="002442BB" w:rsidRDefault="00FF0657">
    <w:pPr>
      <w:pStyle w:val="Zhlav"/>
      <w:rPr>
        <w:rFonts w:ascii="Cambria" w:eastAsia="Times New Roman" w:hAnsi="Cambria" w:cs="Arial"/>
        <w:i/>
        <w:color w:val="1F497D"/>
        <w:sz w:val="18"/>
        <w:szCs w:val="18"/>
        <w:lang w:eastAsia="cs-CZ"/>
      </w:rPr>
    </w:pPr>
    <w:r w:rsidRPr="0083134A">
      <w:rPr>
        <w:rFonts w:ascii="Cambria" w:eastAsia="Times New Roman" w:hAnsi="Cambria" w:cs="Arial"/>
        <w:i/>
        <w:color w:val="1F497D"/>
        <w:sz w:val="18"/>
        <w:szCs w:val="18"/>
        <w:lang w:eastAsia="cs-CZ"/>
      </w:rPr>
      <w:t>Analýz</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stavu výzkumu, vývoje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inovací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 xml:space="preserve">České republice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jejich srovnání se zahraničím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roce 201</w:t>
    </w:r>
    <w:r>
      <w:rPr>
        <w:rFonts w:ascii="Cambria" w:eastAsia="Times New Roman" w:hAnsi="Cambria" w:cs="Arial"/>
        <w:i/>
        <w:color w:val="1F497D"/>
        <w:sz w:val="18"/>
        <w:szCs w:val="18"/>
        <w:lang w:eastAsia="cs-CZ"/>
      </w:rPr>
      <w:t>6</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F6ECB4" w14:textId="77777777" w:rsidR="00FF0657" w:rsidRPr="00DA2D6C" w:rsidRDefault="00FF0657" w:rsidP="00837A2A">
    <w:pPr>
      <w:pStyle w:val="Zhlav"/>
      <w:rPr>
        <w:sz w:val="18"/>
        <w:szCs w:val="18"/>
      </w:rPr>
    </w:pPr>
    <w:r w:rsidRPr="00DA2D6C">
      <w:rPr>
        <w:rFonts w:ascii="Cambria" w:eastAsia="Times New Roman" w:hAnsi="Cambria" w:cs="Arial"/>
        <w:i/>
        <w:color w:val="1F497D"/>
        <w:sz w:val="18"/>
        <w:szCs w:val="18"/>
        <w:lang w:eastAsia="cs-CZ"/>
      </w:rPr>
      <w:t>Analýza stavu výzkumu, vývoje a inovací v České republice a jejich sr</w:t>
    </w:r>
    <w:r>
      <w:rPr>
        <w:rFonts w:ascii="Cambria" w:eastAsia="Times New Roman" w:hAnsi="Cambria" w:cs="Arial"/>
        <w:i/>
        <w:color w:val="1F497D"/>
        <w:sz w:val="18"/>
        <w:szCs w:val="18"/>
        <w:lang w:eastAsia="cs-CZ"/>
      </w:rPr>
      <w:t>ovnání se zahraničím v roce 2020</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95A9B"/>
    <w:multiLevelType w:val="hybridMultilevel"/>
    <w:tmpl w:val="B0AAE986"/>
    <w:lvl w:ilvl="0" w:tplc="5BC85CBA">
      <w:start w:val="2"/>
      <w:numFmt w:val="decimal"/>
      <w:lvlText w:val="%1."/>
      <w:lvlJc w:val="left"/>
      <w:pPr>
        <w:ind w:left="720" w:hanging="360"/>
      </w:pPr>
      <w:rPr>
        <w:rFonts w:hint="default"/>
      </w:rPr>
    </w:lvl>
    <w:lvl w:ilvl="1" w:tplc="04050019">
      <w:start w:val="1"/>
      <w:numFmt w:val="lowerLetter"/>
      <w:lvlText w:val="%2."/>
      <w:lvlJc w:val="left"/>
      <w:pPr>
        <w:ind w:left="1440" w:hanging="360"/>
      </w:pPr>
    </w:lvl>
    <w:lvl w:ilvl="2" w:tplc="8E526E46">
      <w:start w:val="1"/>
      <w:numFmt w:val="bullet"/>
      <w:pStyle w:val="komentzaobrzkem-odrky"/>
      <w:lvlText w:val=""/>
      <w:lvlJc w:val="left"/>
      <w:pPr>
        <w:ind w:left="2160" w:hanging="180"/>
      </w:pPr>
      <w:rPr>
        <w:rFonts w:ascii="Symbol" w:hAnsi="Symbol"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F902CB9"/>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 w15:restartNumberingAfterBreak="0">
    <w:nsid w:val="17D2783E"/>
    <w:multiLevelType w:val="hybridMultilevel"/>
    <w:tmpl w:val="84E826E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8424F76"/>
    <w:multiLevelType w:val="hybridMultilevel"/>
    <w:tmpl w:val="6146550C"/>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 w15:restartNumberingAfterBreak="0">
    <w:nsid w:val="1A9F7BD9"/>
    <w:multiLevelType w:val="hybridMultilevel"/>
    <w:tmpl w:val="05DE57D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1C535EC1"/>
    <w:multiLevelType w:val="hybridMultilevel"/>
    <w:tmpl w:val="CCE61CB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211"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75361C1"/>
    <w:multiLevelType w:val="hybridMultilevel"/>
    <w:tmpl w:val="D7127B46"/>
    <w:lvl w:ilvl="0" w:tplc="C17EA73E">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27D72318"/>
    <w:multiLevelType w:val="hybridMultilevel"/>
    <w:tmpl w:val="C19E46B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 w15:restartNumberingAfterBreak="0">
    <w:nsid w:val="2B1200D0"/>
    <w:multiLevelType w:val="hybridMultilevel"/>
    <w:tmpl w:val="C7B03CB6"/>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9" w15:restartNumberingAfterBreak="0">
    <w:nsid w:val="399A15BA"/>
    <w:multiLevelType w:val="hybridMultilevel"/>
    <w:tmpl w:val="8D080E4C"/>
    <w:lvl w:ilvl="0" w:tplc="0405000B">
      <w:start w:val="1"/>
      <w:numFmt w:val="bullet"/>
      <w:lvlText w:val=""/>
      <w:lvlJc w:val="left"/>
      <w:pPr>
        <w:ind w:left="502" w:hanging="360"/>
      </w:pPr>
      <w:rPr>
        <w:rFonts w:ascii="Wingdings" w:hAnsi="Wingdings" w:hint="default"/>
      </w:rPr>
    </w:lvl>
    <w:lvl w:ilvl="1" w:tplc="04050003" w:tentative="1">
      <w:start w:val="1"/>
      <w:numFmt w:val="bullet"/>
      <w:lvlText w:val="o"/>
      <w:lvlJc w:val="left"/>
      <w:pPr>
        <w:ind w:left="1222" w:hanging="360"/>
      </w:pPr>
      <w:rPr>
        <w:rFonts w:ascii="Courier New" w:hAnsi="Courier New" w:cs="Courier New" w:hint="default"/>
      </w:rPr>
    </w:lvl>
    <w:lvl w:ilvl="2" w:tplc="04050005" w:tentative="1">
      <w:start w:val="1"/>
      <w:numFmt w:val="bullet"/>
      <w:lvlText w:val=""/>
      <w:lvlJc w:val="left"/>
      <w:pPr>
        <w:ind w:left="1942" w:hanging="360"/>
      </w:pPr>
      <w:rPr>
        <w:rFonts w:ascii="Wingdings" w:hAnsi="Wingdings" w:hint="default"/>
      </w:rPr>
    </w:lvl>
    <w:lvl w:ilvl="3" w:tplc="04050001" w:tentative="1">
      <w:start w:val="1"/>
      <w:numFmt w:val="bullet"/>
      <w:lvlText w:val=""/>
      <w:lvlJc w:val="left"/>
      <w:pPr>
        <w:ind w:left="2662" w:hanging="360"/>
      </w:pPr>
      <w:rPr>
        <w:rFonts w:ascii="Symbol" w:hAnsi="Symbol" w:hint="default"/>
      </w:rPr>
    </w:lvl>
    <w:lvl w:ilvl="4" w:tplc="04050003" w:tentative="1">
      <w:start w:val="1"/>
      <w:numFmt w:val="bullet"/>
      <w:lvlText w:val="o"/>
      <w:lvlJc w:val="left"/>
      <w:pPr>
        <w:ind w:left="3382" w:hanging="360"/>
      </w:pPr>
      <w:rPr>
        <w:rFonts w:ascii="Courier New" w:hAnsi="Courier New" w:cs="Courier New" w:hint="default"/>
      </w:rPr>
    </w:lvl>
    <w:lvl w:ilvl="5" w:tplc="04050005" w:tentative="1">
      <w:start w:val="1"/>
      <w:numFmt w:val="bullet"/>
      <w:lvlText w:val=""/>
      <w:lvlJc w:val="left"/>
      <w:pPr>
        <w:ind w:left="4102" w:hanging="360"/>
      </w:pPr>
      <w:rPr>
        <w:rFonts w:ascii="Wingdings" w:hAnsi="Wingdings" w:hint="default"/>
      </w:rPr>
    </w:lvl>
    <w:lvl w:ilvl="6" w:tplc="04050001" w:tentative="1">
      <w:start w:val="1"/>
      <w:numFmt w:val="bullet"/>
      <w:lvlText w:val=""/>
      <w:lvlJc w:val="left"/>
      <w:pPr>
        <w:ind w:left="4822" w:hanging="360"/>
      </w:pPr>
      <w:rPr>
        <w:rFonts w:ascii="Symbol" w:hAnsi="Symbol" w:hint="default"/>
      </w:rPr>
    </w:lvl>
    <w:lvl w:ilvl="7" w:tplc="04050003" w:tentative="1">
      <w:start w:val="1"/>
      <w:numFmt w:val="bullet"/>
      <w:lvlText w:val="o"/>
      <w:lvlJc w:val="left"/>
      <w:pPr>
        <w:ind w:left="5542" w:hanging="360"/>
      </w:pPr>
      <w:rPr>
        <w:rFonts w:ascii="Courier New" w:hAnsi="Courier New" w:cs="Courier New" w:hint="default"/>
      </w:rPr>
    </w:lvl>
    <w:lvl w:ilvl="8" w:tplc="04050005" w:tentative="1">
      <w:start w:val="1"/>
      <w:numFmt w:val="bullet"/>
      <w:lvlText w:val=""/>
      <w:lvlJc w:val="left"/>
      <w:pPr>
        <w:ind w:left="6262" w:hanging="360"/>
      </w:pPr>
      <w:rPr>
        <w:rFonts w:ascii="Wingdings" w:hAnsi="Wingdings" w:hint="default"/>
      </w:rPr>
    </w:lvl>
  </w:abstractNum>
  <w:abstractNum w:abstractNumId="10" w15:restartNumberingAfterBreak="0">
    <w:nsid w:val="3C33228D"/>
    <w:multiLevelType w:val="multilevel"/>
    <w:tmpl w:val="65E6B81C"/>
    <w:lvl w:ilvl="0">
      <w:start w:val="1"/>
      <w:numFmt w:val="decimal"/>
      <w:lvlText w:val="%1."/>
      <w:lvlJc w:val="left"/>
      <w:pPr>
        <w:ind w:left="360" w:hanging="360"/>
      </w:pPr>
    </w:lvl>
    <w:lvl w:ilvl="1">
      <w:start w:val="1"/>
      <w:numFmt w:val="decimal"/>
      <w:pStyle w:val="Podnadpis"/>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DD0197C"/>
    <w:multiLevelType w:val="hybridMultilevel"/>
    <w:tmpl w:val="B5F28C52"/>
    <w:lvl w:ilvl="0" w:tplc="0DEC946C">
      <w:start w:val="1"/>
      <w:numFmt w:val="bullet"/>
      <w:lvlText w:val=""/>
      <w:lvlJc w:val="left"/>
      <w:pPr>
        <w:ind w:left="720" w:hanging="360"/>
      </w:pPr>
      <w:rPr>
        <w:rFonts w:ascii="Symbol" w:hAnsi="Symbol" w:hint="default"/>
        <w:b/>
        <w:i w:val="0"/>
        <w:sz w:val="24"/>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66E214A"/>
    <w:multiLevelType w:val="hybridMultilevel"/>
    <w:tmpl w:val="4CA49B8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4C552981"/>
    <w:multiLevelType w:val="hybridMultilevel"/>
    <w:tmpl w:val="876A65C2"/>
    <w:lvl w:ilvl="0" w:tplc="16562406">
      <w:start w:val="2013"/>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CC43009"/>
    <w:multiLevelType w:val="hybridMultilevel"/>
    <w:tmpl w:val="2F400F30"/>
    <w:lvl w:ilvl="0" w:tplc="D4F0835C">
      <w:start w:val="1"/>
      <w:numFmt w:val="bullet"/>
      <w:lvlText w:val=""/>
      <w:lvlJc w:val="left"/>
      <w:pPr>
        <w:ind w:left="720" w:hanging="360"/>
      </w:pPr>
      <w:rPr>
        <w:rFonts w:ascii="Symbol" w:hAnsi="Symbol" w:hint="default"/>
        <w:b/>
        <w:i w:val="0"/>
        <w:sz w:val="24"/>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54395BF9"/>
    <w:multiLevelType w:val="hybridMultilevel"/>
    <w:tmpl w:val="430EC7BE"/>
    <w:lvl w:ilvl="0" w:tplc="CF3E23E6">
      <w:start w:val="1"/>
      <w:numFmt w:val="bullet"/>
      <w:lvlText w:val="→"/>
      <w:lvlJc w:val="left"/>
      <w:pPr>
        <w:tabs>
          <w:tab w:val="num" w:pos="720"/>
        </w:tabs>
        <w:ind w:left="720" w:hanging="360"/>
      </w:pPr>
      <w:rPr>
        <w:rFonts w:ascii="Times New Roman" w:hAnsi="Times New Roman" w:cs="Times New Roman" w:hint="default"/>
      </w:rPr>
    </w:lvl>
    <w:lvl w:ilvl="1" w:tplc="8E9ED050">
      <w:start w:val="1"/>
      <w:numFmt w:val="bullet"/>
      <w:lvlText w:val="•"/>
      <w:lvlJc w:val="left"/>
      <w:pPr>
        <w:tabs>
          <w:tab w:val="num" w:pos="1440"/>
        </w:tabs>
        <w:ind w:left="1440" w:hanging="360"/>
      </w:pPr>
      <w:rPr>
        <w:rFonts w:ascii="Times New Roman" w:hAnsi="Times New Roman" w:hint="default"/>
      </w:rPr>
    </w:lvl>
    <w:lvl w:ilvl="2" w:tplc="254ADC52" w:tentative="1">
      <w:start w:val="1"/>
      <w:numFmt w:val="bullet"/>
      <w:lvlText w:val="•"/>
      <w:lvlJc w:val="left"/>
      <w:pPr>
        <w:tabs>
          <w:tab w:val="num" w:pos="2160"/>
        </w:tabs>
        <w:ind w:left="2160" w:hanging="360"/>
      </w:pPr>
      <w:rPr>
        <w:rFonts w:ascii="Times New Roman" w:hAnsi="Times New Roman" w:hint="default"/>
      </w:rPr>
    </w:lvl>
    <w:lvl w:ilvl="3" w:tplc="CFF0C5BC" w:tentative="1">
      <w:start w:val="1"/>
      <w:numFmt w:val="bullet"/>
      <w:lvlText w:val="•"/>
      <w:lvlJc w:val="left"/>
      <w:pPr>
        <w:tabs>
          <w:tab w:val="num" w:pos="2880"/>
        </w:tabs>
        <w:ind w:left="2880" w:hanging="360"/>
      </w:pPr>
      <w:rPr>
        <w:rFonts w:ascii="Times New Roman" w:hAnsi="Times New Roman" w:hint="default"/>
      </w:rPr>
    </w:lvl>
    <w:lvl w:ilvl="4" w:tplc="3566EC90" w:tentative="1">
      <w:start w:val="1"/>
      <w:numFmt w:val="bullet"/>
      <w:lvlText w:val="•"/>
      <w:lvlJc w:val="left"/>
      <w:pPr>
        <w:tabs>
          <w:tab w:val="num" w:pos="3600"/>
        </w:tabs>
        <w:ind w:left="3600" w:hanging="360"/>
      </w:pPr>
      <w:rPr>
        <w:rFonts w:ascii="Times New Roman" w:hAnsi="Times New Roman" w:hint="default"/>
      </w:rPr>
    </w:lvl>
    <w:lvl w:ilvl="5" w:tplc="FBD0105C" w:tentative="1">
      <w:start w:val="1"/>
      <w:numFmt w:val="bullet"/>
      <w:lvlText w:val="•"/>
      <w:lvlJc w:val="left"/>
      <w:pPr>
        <w:tabs>
          <w:tab w:val="num" w:pos="4320"/>
        </w:tabs>
        <w:ind w:left="4320" w:hanging="360"/>
      </w:pPr>
      <w:rPr>
        <w:rFonts w:ascii="Times New Roman" w:hAnsi="Times New Roman" w:hint="default"/>
      </w:rPr>
    </w:lvl>
    <w:lvl w:ilvl="6" w:tplc="D5F0E0C8" w:tentative="1">
      <w:start w:val="1"/>
      <w:numFmt w:val="bullet"/>
      <w:lvlText w:val="•"/>
      <w:lvlJc w:val="left"/>
      <w:pPr>
        <w:tabs>
          <w:tab w:val="num" w:pos="5040"/>
        </w:tabs>
        <w:ind w:left="5040" w:hanging="360"/>
      </w:pPr>
      <w:rPr>
        <w:rFonts w:ascii="Times New Roman" w:hAnsi="Times New Roman" w:hint="default"/>
      </w:rPr>
    </w:lvl>
    <w:lvl w:ilvl="7" w:tplc="EBF4B43A" w:tentative="1">
      <w:start w:val="1"/>
      <w:numFmt w:val="bullet"/>
      <w:lvlText w:val="•"/>
      <w:lvlJc w:val="left"/>
      <w:pPr>
        <w:tabs>
          <w:tab w:val="num" w:pos="5760"/>
        </w:tabs>
        <w:ind w:left="5760" w:hanging="360"/>
      </w:pPr>
      <w:rPr>
        <w:rFonts w:ascii="Times New Roman" w:hAnsi="Times New Roman" w:hint="default"/>
      </w:rPr>
    </w:lvl>
    <w:lvl w:ilvl="8" w:tplc="98A2E832" w:tentative="1">
      <w:start w:val="1"/>
      <w:numFmt w:val="bullet"/>
      <w:lvlText w:val="•"/>
      <w:lvlJc w:val="left"/>
      <w:pPr>
        <w:tabs>
          <w:tab w:val="num" w:pos="6480"/>
        </w:tabs>
        <w:ind w:left="6480" w:hanging="360"/>
      </w:pPr>
      <w:rPr>
        <w:rFonts w:ascii="Times New Roman" w:hAnsi="Times New Roman" w:hint="default"/>
      </w:rPr>
    </w:lvl>
  </w:abstractNum>
  <w:abstractNum w:abstractNumId="16" w15:restartNumberingAfterBreak="0">
    <w:nsid w:val="57701AD6"/>
    <w:multiLevelType w:val="hybridMultilevel"/>
    <w:tmpl w:val="947E41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F5B75F6"/>
    <w:multiLevelType w:val="hybridMultilevel"/>
    <w:tmpl w:val="6CD0F60E"/>
    <w:lvl w:ilvl="0" w:tplc="D4F0835C">
      <w:start w:val="1"/>
      <w:numFmt w:val="bullet"/>
      <w:lvlText w:val=""/>
      <w:lvlJc w:val="left"/>
      <w:pPr>
        <w:ind w:left="720" w:hanging="360"/>
      </w:pPr>
      <w:rPr>
        <w:rFonts w:ascii="Symbol" w:hAnsi="Symbol" w:hint="default"/>
        <w:b/>
        <w:i w:val="0"/>
        <w:sz w:val="24"/>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64A83ACC"/>
    <w:multiLevelType w:val="hybridMultilevel"/>
    <w:tmpl w:val="CF22017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 w15:restartNumberingAfterBreak="0">
    <w:nsid w:val="69D315B3"/>
    <w:multiLevelType w:val="hybridMultilevel"/>
    <w:tmpl w:val="49D6170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 w15:restartNumberingAfterBreak="0">
    <w:nsid w:val="6AD071D0"/>
    <w:multiLevelType w:val="hybridMultilevel"/>
    <w:tmpl w:val="1598C91A"/>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1" w15:restartNumberingAfterBreak="0">
    <w:nsid w:val="75FB7C7D"/>
    <w:multiLevelType w:val="hybridMultilevel"/>
    <w:tmpl w:val="2408C10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2" w15:restartNumberingAfterBreak="0">
    <w:nsid w:val="77D75605"/>
    <w:multiLevelType w:val="hybridMultilevel"/>
    <w:tmpl w:val="6F00EBC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3" w15:restartNumberingAfterBreak="0">
    <w:nsid w:val="7DF210A4"/>
    <w:multiLevelType w:val="hybridMultilevel"/>
    <w:tmpl w:val="3D64B3DE"/>
    <w:lvl w:ilvl="0" w:tplc="92D6B046">
      <w:start w:val="1"/>
      <w:numFmt w:val="bullet"/>
      <w:lvlText w:val=""/>
      <w:lvlJc w:val="left"/>
      <w:pPr>
        <w:ind w:left="720" w:hanging="360"/>
      </w:pPr>
      <w:rPr>
        <w:rFonts w:ascii="Symbol" w:hAnsi="Symbol" w:hint="default"/>
        <w:b/>
        <w:i w:val="0"/>
        <w:sz w:val="2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2"/>
  </w:num>
  <w:num w:numId="4">
    <w:abstractNumId w:val="12"/>
  </w:num>
  <w:num w:numId="5">
    <w:abstractNumId w:val="13"/>
  </w:num>
  <w:num w:numId="6">
    <w:abstractNumId w:val="1"/>
  </w:num>
  <w:num w:numId="7">
    <w:abstractNumId w:val="5"/>
  </w:num>
  <w:num w:numId="8">
    <w:abstractNumId w:val="3"/>
  </w:num>
  <w:num w:numId="9">
    <w:abstractNumId w:val="15"/>
  </w:num>
  <w:num w:numId="10">
    <w:abstractNumId w:val="8"/>
  </w:num>
  <w:num w:numId="11">
    <w:abstractNumId w:val="4"/>
  </w:num>
  <w:num w:numId="12">
    <w:abstractNumId w:val="19"/>
  </w:num>
  <w:num w:numId="13">
    <w:abstractNumId w:val="7"/>
  </w:num>
  <w:num w:numId="14">
    <w:abstractNumId w:val="18"/>
  </w:num>
  <w:num w:numId="15">
    <w:abstractNumId w:val="21"/>
  </w:num>
  <w:num w:numId="16">
    <w:abstractNumId w:val="20"/>
  </w:num>
  <w:num w:numId="17">
    <w:abstractNumId w:val="9"/>
  </w:num>
  <w:num w:numId="18">
    <w:abstractNumId w:val="6"/>
  </w:num>
  <w:num w:numId="19">
    <w:abstractNumId w:val="1"/>
  </w:num>
  <w:num w:numId="20">
    <w:abstractNumId w:val="23"/>
  </w:num>
  <w:num w:numId="21">
    <w:abstractNumId w:val="11"/>
  </w:num>
  <w:num w:numId="22">
    <w:abstractNumId w:val="17"/>
  </w:num>
  <w:num w:numId="23">
    <w:abstractNumId w:val="14"/>
  </w:num>
  <w:num w:numId="24">
    <w:abstractNumId w:val="22"/>
  </w:num>
  <w:num w:numId="25">
    <w:abstractNumId w:val="1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1559"/>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22A0"/>
    <w:rsid w:val="00000A2A"/>
    <w:rsid w:val="00000FA0"/>
    <w:rsid w:val="000021AE"/>
    <w:rsid w:val="00002EE3"/>
    <w:rsid w:val="0000391C"/>
    <w:rsid w:val="00003981"/>
    <w:rsid w:val="00003A3E"/>
    <w:rsid w:val="00003A86"/>
    <w:rsid w:val="00003D3D"/>
    <w:rsid w:val="00003E69"/>
    <w:rsid w:val="00004A26"/>
    <w:rsid w:val="0000544F"/>
    <w:rsid w:val="0000648C"/>
    <w:rsid w:val="00006D30"/>
    <w:rsid w:val="00006FC4"/>
    <w:rsid w:val="00007FB0"/>
    <w:rsid w:val="000103C7"/>
    <w:rsid w:val="00010F88"/>
    <w:rsid w:val="00011744"/>
    <w:rsid w:val="000118D5"/>
    <w:rsid w:val="00011DB4"/>
    <w:rsid w:val="0001216E"/>
    <w:rsid w:val="00012A7C"/>
    <w:rsid w:val="00012AED"/>
    <w:rsid w:val="0001527C"/>
    <w:rsid w:val="00015B23"/>
    <w:rsid w:val="000161AD"/>
    <w:rsid w:val="000163C3"/>
    <w:rsid w:val="000178D6"/>
    <w:rsid w:val="0002004A"/>
    <w:rsid w:val="00020594"/>
    <w:rsid w:val="00022F9D"/>
    <w:rsid w:val="000233C3"/>
    <w:rsid w:val="00024C1D"/>
    <w:rsid w:val="00025933"/>
    <w:rsid w:val="00025AAF"/>
    <w:rsid w:val="000300B7"/>
    <w:rsid w:val="000309C9"/>
    <w:rsid w:val="00030DDA"/>
    <w:rsid w:val="000318C9"/>
    <w:rsid w:val="00031A13"/>
    <w:rsid w:val="00033087"/>
    <w:rsid w:val="000337C3"/>
    <w:rsid w:val="00033AF3"/>
    <w:rsid w:val="00034FA9"/>
    <w:rsid w:val="00036207"/>
    <w:rsid w:val="000366AE"/>
    <w:rsid w:val="00040353"/>
    <w:rsid w:val="00040656"/>
    <w:rsid w:val="0004149B"/>
    <w:rsid w:val="00042809"/>
    <w:rsid w:val="00042E86"/>
    <w:rsid w:val="00042E98"/>
    <w:rsid w:val="0004380E"/>
    <w:rsid w:val="00043988"/>
    <w:rsid w:val="000442A1"/>
    <w:rsid w:val="00045BFF"/>
    <w:rsid w:val="0004641E"/>
    <w:rsid w:val="00047105"/>
    <w:rsid w:val="000479F0"/>
    <w:rsid w:val="00047E3A"/>
    <w:rsid w:val="00050EC8"/>
    <w:rsid w:val="000514B7"/>
    <w:rsid w:val="00052E95"/>
    <w:rsid w:val="0005325C"/>
    <w:rsid w:val="00053E38"/>
    <w:rsid w:val="00055077"/>
    <w:rsid w:val="00055163"/>
    <w:rsid w:val="000551BE"/>
    <w:rsid w:val="00055617"/>
    <w:rsid w:val="000562FA"/>
    <w:rsid w:val="000565D0"/>
    <w:rsid w:val="00056656"/>
    <w:rsid w:val="000566E0"/>
    <w:rsid w:val="00057D91"/>
    <w:rsid w:val="00057F70"/>
    <w:rsid w:val="00060D84"/>
    <w:rsid w:val="00062D64"/>
    <w:rsid w:val="00063D52"/>
    <w:rsid w:val="00064A4E"/>
    <w:rsid w:val="00065828"/>
    <w:rsid w:val="000659B0"/>
    <w:rsid w:val="00066D7D"/>
    <w:rsid w:val="00067938"/>
    <w:rsid w:val="0007004F"/>
    <w:rsid w:val="00071A9A"/>
    <w:rsid w:val="00071AE6"/>
    <w:rsid w:val="00071DAF"/>
    <w:rsid w:val="00071EAB"/>
    <w:rsid w:val="00072077"/>
    <w:rsid w:val="000733BF"/>
    <w:rsid w:val="000733EC"/>
    <w:rsid w:val="00073B09"/>
    <w:rsid w:val="00074540"/>
    <w:rsid w:val="000753C2"/>
    <w:rsid w:val="00075466"/>
    <w:rsid w:val="00075AAA"/>
    <w:rsid w:val="00076B14"/>
    <w:rsid w:val="00077189"/>
    <w:rsid w:val="00077ACD"/>
    <w:rsid w:val="00077D90"/>
    <w:rsid w:val="00081041"/>
    <w:rsid w:val="000816C4"/>
    <w:rsid w:val="000822A0"/>
    <w:rsid w:val="00082875"/>
    <w:rsid w:val="00083A27"/>
    <w:rsid w:val="0008502F"/>
    <w:rsid w:val="000854C9"/>
    <w:rsid w:val="00085631"/>
    <w:rsid w:val="00086660"/>
    <w:rsid w:val="00090AB3"/>
    <w:rsid w:val="00092146"/>
    <w:rsid w:val="000928EF"/>
    <w:rsid w:val="000949C3"/>
    <w:rsid w:val="00095ACD"/>
    <w:rsid w:val="00096312"/>
    <w:rsid w:val="00096945"/>
    <w:rsid w:val="00096EFD"/>
    <w:rsid w:val="000A1387"/>
    <w:rsid w:val="000A254B"/>
    <w:rsid w:val="000A330F"/>
    <w:rsid w:val="000A34E0"/>
    <w:rsid w:val="000A3889"/>
    <w:rsid w:val="000A3BA0"/>
    <w:rsid w:val="000A3F80"/>
    <w:rsid w:val="000A3FEE"/>
    <w:rsid w:val="000A4F6C"/>
    <w:rsid w:val="000A5A93"/>
    <w:rsid w:val="000A6CAA"/>
    <w:rsid w:val="000B0AC2"/>
    <w:rsid w:val="000B1042"/>
    <w:rsid w:val="000B10EB"/>
    <w:rsid w:val="000B1177"/>
    <w:rsid w:val="000B24F2"/>
    <w:rsid w:val="000B2C83"/>
    <w:rsid w:val="000B31BE"/>
    <w:rsid w:val="000B32DA"/>
    <w:rsid w:val="000B3A93"/>
    <w:rsid w:val="000B429D"/>
    <w:rsid w:val="000B447D"/>
    <w:rsid w:val="000B5ACD"/>
    <w:rsid w:val="000C037C"/>
    <w:rsid w:val="000C142B"/>
    <w:rsid w:val="000C1800"/>
    <w:rsid w:val="000C1CBB"/>
    <w:rsid w:val="000C23CE"/>
    <w:rsid w:val="000C39F7"/>
    <w:rsid w:val="000C4175"/>
    <w:rsid w:val="000C48D7"/>
    <w:rsid w:val="000C5E1E"/>
    <w:rsid w:val="000C616A"/>
    <w:rsid w:val="000C6A51"/>
    <w:rsid w:val="000C78FE"/>
    <w:rsid w:val="000D07B3"/>
    <w:rsid w:val="000D0BAA"/>
    <w:rsid w:val="000D1BED"/>
    <w:rsid w:val="000D1F38"/>
    <w:rsid w:val="000D38B4"/>
    <w:rsid w:val="000D39CA"/>
    <w:rsid w:val="000D3A18"/>
    <w:rsid w:val="000D4D18"/>
    <w:rsid w:val="000D6562"/>
    <w:rsid w:val="000D6668"/>
    <w:rsid w:val="000D7160"/>
    <w:rsid w:val="000D733A"/>
    <w:rsid w:val="000E0C5E"/>
    <w:rsid w:val="000E0D43"/>
    <w:rsid w:val="000E1468"/>
    <w:rsid w:val="000E18F3"/>
    <w:rsid w:val="000E4370"/>
    <w:rsid w:val="000E4D17"/>
    <w:rsid w:val="000F0518"/>
    <w:rsid w:val="000F1800"/>
    <w:rsid w:val="000F30B0"/>
    <w:rsid w:val="000F3766"/>
    <w:rsid w:val="000F5CA6"/>
    <w:rsid w:val="000F625B"/>
    <w:rsid w:val="000F6379"/>
    <w:rsid w:val="000F6FA9"/>
    <w:rsid w:val="00100AF0"/>
    <w:rsid w:val="00102C27"/>
    <w:rsid w:val="00103A47"/>
    <w:rsid w:val="001047F5"/>
    <w:rsid w:val="00106DA1"/>
    <w:rsid w:val="00106F2E"/>
    <w:rsid w:val="0010752E"/>
    <w:rsid w:val="00107EFD"/>
    <w:rsid w:val="001102A9"/>
    <w:rsid w:val="0011098D"/>
    <w:rsid w:val="0011270C"/>
    <w:rsid w:val="00115228"/>
    <w:rsid w:val="00115879"/>
    <w:rsid w:val="00115BA0"/>
    <w:rsid w:val="001164DA"/>
    <w:rsid w:val="00117183"/>
    <w:rsid w:val="00120271"/>
    <w:rsid w:val="00120680"/>
    <w:rsid w:val="00121422"/>
    <w:rsid w:val="00121C61"/>
    <w:rsid w:val="00121E6F"/>
    <w:rsid w:val="0012388A"/>
    <w:rsid w:val="00123AC7"/>
    <w:rsid w:val="0012438F"/>
    <w:rsid w:val="00124427"/>
    <w:rsid w:val="0012465F"/>
    <w:rsid w:val="0012626C"/>
    <w:rsid w:val="001277D3"/>
    <w:rsid w:val="001309B5"/>
    <w:rsid w:val="00130CAD"/>
    <w:rsid w:val="00131475"/>
    <w:rsid w:val="00131721"/>
    <w:rsid w:val="001325FC"/>
    <w:rsid w:val="00132D79"/>
    <w:rsid w:val="00133488"/>
    <w:rsid w:val="001354D7"/>
    <w:rsid w:val="00135CCD"/>
    <w:rsid w:val="00136E58"/>
    <w:rsid w:val="00136FF4"/>
    <w:rsid w:val="00137065"/>
    <w:rsid w:val="0013717B"/>
    <w:rsid w:val="00137954"/>
    <w:rsid w:val="001407D9"/>
    <w:rsid w:val="001408E7"/>
    <w:rsid w:val="00140CA6"/>
    <w:rsid w:val="00140EC7"/>
    <w:rsid w:val="00141AB5"/>
    <w:rsid w:val="00141B90"/>
    <w:rsid w:val="001421B6"/>
    <w:rsid w:val="001426C8"/>
    <w:rsid w:val="00143535"/>
    <w:rsid w:val="00144229"/>
    <w:rsid w:val="00145813"/>
    <w:rsid w:val="00147BAA"/>
    <w:rsid w:val="0015034C"/>
    <w:rsid w:val="00150405"/>
    <w:rsid w:val="00150628"/>
    <w:rsid w:val="00150AD1"/>
    <w:rsid w:val="00152461"/>
    <w:rsid w:val="00152549"/>
    <w:rsid w:val="00152C8F"/>
    <w:rsid w:val="00152FE4"/>
    <w:rsid w:val="001530DA"/>
    <w:rsid w:val="00153927"/>
    <w:rsid w:val="00153F95"/>
    <w:rsid w:val="00155EC7"/>
    <w:rsid w:val="0015609A"/>
    <w:rsid w:val="00156B1E"/>
    <w:rsid w:val="00156DE5"/>
    <w:rsid w:val="00156F20"/>
    <w:rsid w:val="00157BDE"/>
    <w:rsid w:val="00160322"/>
    <w:rsid w:val="001606FF"/>
    <w:rsid w:val="00160B1A"/>
    <w:rsid w:val="00162477"/>
    <w:rsid w:val="001631D2"/>
    <w:rsid w:val="0016581A"/>
    <w:rsid w:val="00166571"/>
    <w:rsid w:val="00166EF7"/>
    <w:rsid w:val="00167684"/>
    <w:rsid w:val="00171F43"/>
    <w:rsid w:val="001733FC"/>
    <w:rsid w:val="0017349B"/>
    <w:rsid w:val="001735D4"/>
    <w:rsid w:val="001746E5"/>
    <w:rsid w:val="00174CF2"/>
    <w:rsid w:val="001750B2"/>
    <w:rsid w:val="001759B8"/>
    <w:rsid w:val="00177C95"/>
    <w:rsid w:val="001807F2"/>
    <w:rsid w:val="00180A51"/>
    <w:rsid w:val="0018180C"/>
    <w:rsid w:val="00182744"/>
    <w:rsid w:val="0018322B"/>
    <w:rsid w:val="0018381F"/>
    <w:rsid w:val="001839D1"/>
    <w:rsid w:val="00185BAC"/>
    <w:rsid w:val="00186278"/>
    <w:rsid w:val="001862B6"/>
    <w:rsid w:val="00186B40"/>
    <w:rsid w:val="00190579"/>
    <w:rsid w:val="0019075C"/>
    <w:rsid w:val="001911CA"/>
    <w:rsid w:val="001915CF"/>
    <w:rsid w:val="00191AC6"/>
    <w:rsid w:val="0019349F"/>
    <w:rsid w:val="00193FDD"/>
    <w:rsid w:val="00194D08"/>
    <w:rsid w:val="001952F5"/>
    <w:rsid w:val="00195AA5"/>
    <w:rsid w:val="00195BB5"/>
    <w:rsid w:val="001961E7"/>
    <w:rsid w:val="001963D5"/>
    <w:rsid w:val="00196625"/>
    <w:rsid w:val="001A2059"/>
    <w:rsid w:val="001A23D5"/>
    <w:rsid w:val="001A4A48"/>
    <w:rsid w:val="001A536A"/>
    <w:rsid w:val="001A6ACA"/>
    <w:rsid w:val="001A777E"/>
    <w:rsid w:val="001B06F3"/>
    <w:rsid w:val="001B0D8C"/>
    <w:rsid w:val="001B0D90"/>
    <w:rsid w:val="001B11DC"/>
    <w:rsid w:val="001B2305"/>
    <w:rsid w:val="001B2A82"/>
    <w:rsid w:val="001B36DA"/>
    <w:rsid w:val="001B49AF"/>
    <w:rsid w:val="001B4C6E"/>
    <w:rsid w:val="001B5DC5"/>
    <w:rsid w:val="001B68EA"/>
    <w:rsid w:val="001B7601"/>
    <w:rsid w:val="001B7A08"/>
    <w:rsid w:val="001C051F"/>
    <w:rsid w:val="001C0B45"/>
    <w:rsid w:val="001C157C"/>
    <w:rsid w:val="001C2C12"/>
    <w:rsid w:val="001C37FA"/>
    <w:rsid w:val="001C3BFA"/>
    <w:rsid w:val="001C3F8A"/>
    <w:rsid w:val="001C539A"/>
    <w:rsid w:val="001C53C5"/>
    <w:rsid w:val="001C57AC"/>
    <w:rsid w:val="001C5BDB"/>
    <w:rsid w:val="001C71A9"/>
    <w:rsid w:val="001C7569"/>
    <w:rsid w:val="001D0211"/>
    <w:rsid w:val="001D187F"/>
    <w:rsid w:val="001D1E68"/>
    <w:rsid w:val="001D2BB1"/>
    <w:rsid w:val="001D2D12"/>
    <w:rsid w:val="001D4333"/>
    <w:rsid w:val="001D5651"/>
    <w:rsid w:val="001D5AC0"/>
    <w:rsid w:val="001D5D49"/>
    <w:rsid w:val="001D61E1"/>
    <w:rsid w:val="001D6262"/>
    <w:rsid w:val="001D6F8D"/>
    <w:rsid w:val="001D71E1"/>
    <w:rsid w:val="001E0782"/>
    <w:rsid w:val="001E1220"/>
    <w:rsid w:val="001E2023"/>
    <w:rsid w:val="001E2562"/>
    <w:rsid w:val="001E2F51"/>
    <w:rsid w:val="001E37B4"/>
    <w:rsid w:val="001E59AF"/>
    <w:rsid w:val="001E7154"/>
    <w:rsid w:val="001E7576"/>
    <w:rsid w:val="001F1438"/>
    <w:rsid w:val="001F22E2"/>
    <w:rsid w:val="001F2B3D"/>
    <w:rsid w:val="001F5A37"/>
    <w:rsid w:val="001F5A98"/>
    <w:rsid w:val="001F7718"/>
    <w:rsid w:val="001F7DF4"/>
    <w:rsid w:val="002002AF"/>
    <w:rsid w:val="00202841"/>
    <w:rsid w:val="00202BCE"/>
    <w:rsid w:val="00203249"/>
    <w:rsid w:val="0020345F"/>
    <w:rsid w:val="002039A5"/>
    <w:rsid w:val="00203E37"/>
    <w:rsid w:val="00203E81"/>
    <w:rsid w:val="00204058"/>
    <w:rsid w:val="0020421F"/>
    <w:rsid w:val="002058D8"/>
    <w:rsid w:val="00205D06"/>
    <w:rsid w:val="002072CE"/>
    <w:rsid w:val="00207575"/>
    <w:rsid w:val="00210083"/>
    <w:rsid w:val="002104D8"/>
    <w:rsid w:val="002122C6"/>
    <w:rsid w:val="002123CC"/>
    <w:rsid w:val="00212823"/>
    <w:rsid w:val="00212D2D"/>
    <w:rsid w:val="002142B8"/>
    <w:rsid w:val="00214E69"/>
    <w:rsid w:val="00216024"/>
    <w:rsid w:val="00216D15"/>
    <w:rsid w:val="00216D36"/>
    <w:rsid w:val="00217E53"/>
    <w:rsid w:val="00220723"/>
    <w:rsid w:val="00220BE8"/>
    <w:rsid w:val="002214D1"/>
    <w:rsid w:val="00222C01"/>
    <w:rsid w:val="00222CA5"/>
    <w:rsid w:val="002239EE"/>
    <w:rsid w:val="002241D6"/>
    <w:rsid w:val="002245A9"/>
    <w:rsid w:val="002255C7"/>
    <w:rsid w:val="0022760D"/>
    <w:rsid w:val="002305B3"/>
    <w:rsid w:val="00230BA3"/>
    <w:rsid w:val="002313B4"/>
    <w:rsid w:val="002314D2"/>
    <w:rsid w:val="00232067"/>
    <w:rsid w:val="00232278"/>
    <w:rsid w:val="00232C91"/>
    <w:rsid w:val="00233842"/>
    <w:rsid w:val="002338BC"/>
    <w:rsid w:val="00233AD0"/>
    <w:rsid w:val="00233F86"/>
    <w:rsid w:val="00234BAC"/>
    <w:rsid w:val="002350D8"/>
    <w:rsid w:val="00236A4A"/>
    <w:rsid w:val="00236F0D"/>
    <w:rsid w:val="002400E7"/>
    <w:rsid w:val="00240D52"/>
    <w:rsid w:val="00240E75"/>
    <w:rsid w:val="00241410"/>
    <w:rsid w:val="002429CE"/>
    <w:rsid w:val="00243CE7"/>
    <w:rsid w:val="002442BB"/>
    <w:rsid w:val="00244325"/>
    <w:rsid w:val="00245450"/>
    <w:rsid w:val="00246D54"/>
    <w:rsid w:val="0024798A"/>
    <w:rsid w:val="002479A9"/>
    <w:rsid w:val="00247BC5"/>
    <w:rsid w:val="00247CA5"/>
    <w:rsid w:val="00250396"/>
    <w:rsid w:val="00250C7E"/>
    <w:rsid w:val="00250F1A"/>
    <w:rsid w:val="00251526"/>
    <w:rsid w:val="0025162B"/>
    <w:rsid w:val="00251BC7"/>
    <w:rsid w:val="00252DDC"/>
    <w:rsid w:val="00254A3F"/>
    <w:rsid w:val="00254C1F"/>
    <w:rsid w:val="00256D87"/>
    <w:rsid w:val="002574E8"/>
    <w:rsid w:val="002578D7"/>
    <w:rsid w:val="00257AB5"/>
    <w:rsid w:val="00257DF1"/>
    <w:rsid w:val="00262211"/>
    <w:rsid w:val="00262693"/>
    <w:rsid w:val="0026271A"/>
    <w:rsid w:val="00262819"/>
    <w:rsid w:val="00263B24"/>
    <w:rsid w:val="00264555"/>
    <w:rsid w:val="00265848"/>
    <w:rsid w:val="00265B57"/>
    <w:rsid w:val="00266966"/>
    <w:rsid w:val="00267346"/>
    <w:rsid w:val="002701E4"/>
    <w:rsid w:val="00270D13"/>
    <w:rsid w:val="00270DF5"/>
    <w:rsid w:val="00271073"/>
    <w:rsid w:val="002718D4"/>
    <w:rsid w:val="00271B9E"/>
    <w:rsid w:val="0027278C"/>
    <w:rsid w:val="002727BC"/>
    <w:rsid w:val="00272ED4"/>
    <w:rsid w:val="002739B9"/>
    <w:rsid w:val="00274D31"/>
    <w:rsid w:val="00274FB7"/>
    <w:rsid w:val="002750C6"/>
    <w:rsid w:val="002753B4"/>
    <w:rsid w:val="00275417"/>
    <w:rsid w:val="00275821"/>
    <w:rsid w:val="0027604E"/>
    <w:rsid w:val="00276399"/>
    <w:rsid w:val="0027724E"/>
    <w:rsid w:val="00277621"/>
    <w:rsid w:val="00280167"/>
    <w:rsid w:val="00280387"/>
    <w:rsid w:val="002822E0"/>
    <w:rsid w:val="002826ED"/>
    <w:rsid w:val="00283E79"/>
    <w:rsid w:val="002840AB"/>
    <w:rsid w:val="00284FB5"/>
    <w:rsid w:val="002853CA"/>
    <w:rsid w:val="0028584E"/>
    <w:rsid w:val="00285947"/>
    <w:rsid w:val="00286EFD"/>
    <w:rsid w:val="00287DF6"/>
    <w:rsid w:val="002900BB"/>
    <w:rsid w:val="00291BB8"/>
    <w:rsid w:val="00291FE2"/>
    <w:rsid w:val="00292E9D"/>
    <w:rsid w:val="00293B7A"/>
    <w:rsid w:val="00294A1F"/>
    <w:rsid w:val="00294C5E"/>
    <w:rsid w:val="00295CF0"/>
    <w:rsid w:val="00296DAA"/>
    <w:rsid w:val="002978DA"/>
    <w:rsid w:val="00297B96"/>
    <w:rsid w:val="00297D5C"/>
    <w:rsid w:val="00297E0F"/>
    <w:rsid w:val="002A03CB"/>
    <w:rsid w:val="002A09E8"/>
    <w:rsid w:val="002A0B40"/>
    <w:rsid w:val="002A151B"/>
    <w:rsid w:val="002A184C"/>
    <w:rsid w:val="002A2930"/>
    <w:rsid w:val="002A3E10"/>
    <w:rsid w:val="002A4687"/>
    <w:rsid w:val="002A4F02"/>
    <w:rsid w:val="002A55DE"/>
    <w:rsid w:val="002A6450"/>
    <w:rsid w:val="002A6F85"/>
    <w:rsid w:val="002B0FEE"/>
    <w:rsid w:val="002B10DD"/>
    <w:rsid w:val="002B1C8B"/>
    <w:rsid w:val="002B2339"/>
    <w:rsid w:val="002B2C14"/>
    <w:rsid w:val="002B3E07"/>
    <w:rsid w:val="002B67EE"/>
    <w:rsid w:val="002B6CDC"/>
    <w:rsid w:val="002B7005"/>
    <w:rsid w:val="002B71BE"/>
    <w:rsid w:val="002C0AE8"/>
    <w:rsid w:val="002C2F44"/>
    <w:rsid w:val="002C37F1"/>
    <w:rsid w:val="002C3945"/>
    <w:rsid w:val="002C42EF"/>
    <w:rsid w:val="002C43B6"/>
    <w:rsid w:val="002C43D5"/>
    <w:rsid w:val="002C463E"/>
    <w:rsid w:val="002C7116"/>
    <w:rsid w:val="002D131C"/>
    <w:rsid w:val="002D1868"/>
    <w:rsid w:val="002D186F"/>
    <w:rsid w:val="002D1F93"/>
    <w:rsid w:val="002D262C"/>
    <w:rsid w:val="002D3467"/>
    <w:rsid w:val="002D3E05"/>
    <w:rsid w:val="002D458C"/>
    <w:rsid w:val="002D480B"/>
    <w:rsid w:val="002D500E"/>
    <w:rsid w:val="002D5F0F"/>
    <w:rsid w:val="002D7367"/>
    <w:rsid w:val="002D7729"/>
    <w:rsid w:val="002D7B01"/>
    <w:rsid w:val="002E0A8A"/>
    <w:rsid w:val="002E0FB6"/>
    <w:rsid w:val="002E10E1"/>
    <w:rsid w:val="002E1F00"/>
    <w:rsid w:val="002E2024"/>
    <w:rsid w:val="002E3AF7"/>
    <w:rsid w:val="002E481C"/>
    <w:rsid w:val="002E51E9"/>
    <w:rsid w:val="002E5594"/>
    <w:rsid w:val="002E6503"/>
    <w:rsid w:val="002F0547"/>
    <w:rsid w:val="002F25A0"/>
    <w:rsid w:val="002F5FEA"/>
    <w:rsid w:val="002F6E86"/>
    <w:rsid w:val="002F71E9"/>
    <w:rsid w:val="00300430"/>
    <w:rsid w:val="00300A86"/>
    <w:rsid w:val="00300DC6"/>
    <w:rsid w:val="00301801"/>
    <w:rsid w:val="00301F72"/>
    <w:rsid w:val="003022C7"/>
    <w:rsid w:val="00303608"/>
    <w:rsid w:val="00304A96"/>
    <w:rsid w:val="003105CD"/>
    <w:rsid w:val="0031089A"/>
    <w:rsid w:val="00310947"/>
    <w:rsid w:val="003117B8"/>
    <w:rsid w:val="003118C6"/>
    <w:rsid w:val="0031202C"/>
    <w:rsid w:val="00312EEA"/>
    <w:rsid w:val="00313472"/>
    <w:rsid w:val="00313B6F"/>
    <w:rsid w:val="00314134"/>
    <w:rsid w:val="00314675"/>
    <w:rsid w:val="00315538"/>
    <w:rsid w:val="0031737B"/>
    <w:rsid w:val="003176F6"/>
    <w:rsid w:val="00317FEC"/>
    <w:rsid w:val="00320A19"/>
    <w:rsid w:val="00321051"/>
    <w:rsid w:val="00321577"/>
    <w:rsid w:val="00321772"/>
    <w:rsid w:val="00321A9B"/>
    <w:rsid w:val="00322533"/>
    <w:rsid w:val="003227BD"/>
    <w:rsid w:val="00324EAB"/>
    <w:rsid w:val="003258D0"/>
    <w:rsid w:val="00325BB4"/>
    <w:rsid w:val="003264FF"/>
    <w:rsid w:val="00326EE3"/>
    <w:rsid w:val="0033063D"/>
    <w:rsid w:val="00331207"/>
    <w:rsid w:val="0033168C"/>
    <w:rsid w:val="00331DA9"/>
    <w:rsid w:val="00332C74"/>
    <w:rsid w:val="0033350D"/>
    <w:rsid w:val="0033377F"/>
    <w:rsid w:val="00333B30"/>
    <w:rsid w:val="003340C6"/>
    <w:rsid w:val="003343A6"/>
    <w:rsid w:val="00334C28"/>
    <w:rsid w:val="00337C88"/>
    <w:rsid w:val="00340D37"/>
    <w:rsid w:val="003423EE"/>
    <w:rsid w:val="00342AEA"/>
    <w:rsid w:val="00343E81"/>
    <w:rsid w:val="003442F6"/>
    <w:rsid w:val="0034498C"/>
    <w:rsid w:val="0034538B"/>
    <w:rsid w:val="0034559A"/>
    <w:rsid w:val="00345EC1"/>
    <w:rsid w:val="00347901"/>
    <w:rsid w:val="00350176"/>
    <w:rsid w:val="003503BD"/>
    <w:rsid w:val="003506F3"/>
    <w:rsid w:val="00355793"/>
    <w:rsid w:val="003568CB"/>
    <w:rsid w:val="0035771C"/>
    <w:rsid w:val="003579FC"/>
    <w:rsid w:val="0036065A"/>
    <w:rsid w:val="00361051"/>
    <w:rsid w:val="003633C2"/>
    <w:rsid w:val="0036378B"/>
    <w:rsid w:val="00363B31"/>
    <w:rsid w:val="0036547D"/>
    <w:rsid w:val="003659EC"/>
    <w:rsid w:val="00365F7C"/>
    <w:rsid w:val="00366617"/>
    <w:rsid w:val="003666FA"/>
    <w:rsid w:val="00366A17"/>
    <w:rsid w:val="00370078"/>
    <w:rsid w:val="00371CE0"/>
    <w:rsid w:val="00373C4A"/>
    <w:rsid w:val="00374F12"/>
    <w:rsid w:val="003751AF"/>
    <w:rsid w:val="00375348"/>
    <w:rsid w:val="0037638D"/>
    <w:rsid w:val="00376556"/>
    <w:rsid w:val="00376790"/>
    <w:rsid w:val="003767A1"/>
    <w:rsid w:val="00377DCD"/>
    <w:rsid w:val="00380080"/>
    <w:rsid w:val="00381858"/>
    <w:rsid w:val="00381AF1"/>
    <w:rsid w:val="003830F1"/>
    <w:rsid w:val="00384EC7"/>
    <w:rsid w:val="00385C99"/>
    <w:rsid w:val="00385CFC"/>
    <w:rsid w:val="00386362"/>
    <w:rsid w:val="003866A8"/>
    <w:rsid w:val="003872CD"/>
    <w:rsid w:val="003900C7"/>
    <w:rsid w:val="00390539"/>
    <w:rsid w:val="00390F40"/>
    <w:rsid w:val="00391634"/>
    <w:rsid w:val="003918EF"/>
    <w:rsid w:val="00394A90"/>
    <w:rsid w:val="0039519E"/>
    <w:rsid w:val="00396B00"/>
    <w:rsid w:val="00397689"/>
    <w:rsid w:val="00397889"/>
    <w:rsid w:val="00397C62"/>
    <w:rsid w:val="003A14DF"/>
    <w:rsid w:val="003A1AEE"/>
    <w:rsid w:val="003A4353"/>
    <w:rsid w:val="003A44D5"/>
    <w:rsid w:val="003A46D4"/>
    <w:rsid w:val="003A529E"/>
    <w:rsid w:val="003A5680"/>
    <w:rsid w:val="003A5C9C"/>
    <w:rsid w:val="003A639E"/>
    <w:rsid w:val="003A6429"/>
    <w:rsid w:val="003A64A1"/>
    <w:rsid w:val="003A678C"/>
    <w:rsid w:val="003A688C"/>
    <w:rsid w:val="003A7DA3"/>
    <w:rsid w:val="003B0236"/>
    <w:rsid w:val="003B051A"/>
    <w:rsid w:val="003B0FDB"/>
    <w:rsid w:val="003B3939"/>
    <w:rsid w:val="003B3F9F"/>
    <w:rsid w:val="003B57BE"/>
    <w:rsid w:val="003B5A70"/>
    <w:rsid w:val="003B73DD"/>
    <w:rsid w:val="003C165B"/>
    <w:rsid w:val="003C5AC6"/>
    <w:rsid w:val="003C7372"/>
    <w:rsid w:val="003C7CE9"/>
    <w:rsid w:val="003C7D94"/>
    <w:rsid w:val="003D01B5"/>
    <w:rsid w:val="003D0319"/>
    <w:rsid w:val="003D0557"/>
    <w:rsid w:val="003D2841"/>
    <w:rsid w:val="003D2E8E"/>
    <w:rsid w:val="003D6282"/>
    <w:rsid w:val="003D6C92"/>
    <w:rsid w:val="003D76CF"/>
    <w:rsid w:val="003D7C8A"/>
    <w:rsid w:val="003E007C"/>
    <w:rsid w:val="003E1149"/>
    <w:rsid w:val="003E186E"/>
    <w:rsid w:val="003E38D2"/>
    <w:rsid w:val="003E46C2"/>
    <w:rsid w:val="003E60D8"/>
    <w:rsid w:val="003E6475"/>
    <w:rsid w:val="003E72B0"/>
    <w:rsid w:val="003F0D18"/>
    <w:rsid w:val="003F14AA"/>
    <w:rsid w:val="003F2D7E"/>
    <w:rsid w:val="003F3E82"/>
    <w:rsid w:val="003F4E18"/>
    <w:rsid w:val="003F54A7"/>
    <w:rsid w:val="003F5D8D"/>
    <w:rsid w:val="003F610C"/>
    <w:rsid w:val="003F611D"/>
    <w:rsid w:val="003F65F6"/>
    <w:rsid w:val="003F68A6"/>
    <w:rsid w:val="003F6F0A"/>
    <w:rsid w:val="00401772"/>
    <w:rsid w:val="00401A49"/>
    <w:rsid w:val="004022D8"/>
    <w:rsid w:val="00402800"/>
    <w:rsid w:val="00403546"/>
    <w:rsid w:val="00404437"/>
    <w:rsid w:val="0040494A"/>
    <w:rsid w:val="00405E50"/>
    <w:rsid w:val="0040748D"/>
    <w:rsid w:val="00407F77"/>
    <w:rsid w:val="0041213B"/>
    <w:rsid w:val="004124EE"/>
    <w:rsid w:val="00412FFE"/>
    <w:rsid w:val="004135EB"/>
    <w:rsid w:val="00416206"/>
    <w:rsid w:val="004162FF"/>
    <w:rsid w:val="004171A4"/>
    <w:rsid w:val="00417A22"/>
    <w:rsid w:val="0042088A"/>
    <w:rsid w:val="00420AC4"/>
    <w:rsid w:val="00420ADA"/>
    <w:rsid w:val="00421B76"/>
    <w:rsid w:val="00421E43"/>
    <w:rsid w:val="004232A4"/>
    <w:rsid w:val="00424737"/>
    <w:rsid w:val="00424B3B"/>
    <w:rsid w:val="00426339"/>
    <w:rsid w:val="00427FDF"/>
    <w:rsid w:val="00430B55"/>
    <w:rsid w:val="004311E6"/>
    <w:rsid w:val="004314A8"/>
    <w:rsid w:val="00432232"/>
    <w:rsid w:val="00432FAE"/>
    <w:rsid w:val="00434802"/>
    <w:rsid w:val="00434B3D"/>
    <w:rsid w:val="00434F5F"/>
    <w:rsid w:val="004353DE"/>
    <w:rsid w:val="00435C1A"/>
    <w:rsid w:val="00440252"/>
    <w:rsid w:val="00440D65"/>
    <w:rsid w:val="00441191"/>
    <w:rsid w:val="0044188A"/>
    <w:rsid w:val="00441A5E"/>
    <w:rsid w:val="00441E79"/>
    <w:rsid w:val="0044291B"/>
    <w:rsid w:val="00443020"/>
    <w:rsid w:val="00443023"/>
    <w:rsid w:val="00443614"/>
    <w:rsid w:val="004444E8"/>
    <w:rsid w:val="00444AC9"/>
    <w:rsid w:val="00444BCE"/>
    <w:rsid w:val="00444F05"/>
    <w:rsid w:val="00444F31"/>
    <w:rsid w:val="00444FD1"/>
    <w:rsid w:val="00445207"/>
    <w:rsid w:val="00445DE7"/>
    <w:rsid w:val="00447281"/>
    <w:rsid w:val="00447D7E"/>
    <w:rsid w:val="0045137B"/>
    <w:rsid w:val="00452BAE"/>
    <w:rsid w:val="00452FA4"/>
    <w:rsid w:val="004531D7"/>
    <w:rsid w:val="0045449A"/>
    <w:rsid w:val="00454E07"/>
    <w:rsid w:val="00454F51"/>
    <w:rsid w:val="0045579F"/>
    <w:rsid w:val="00455C72"/>
    <w:rsid w:val="00456078"/>
    <w:rsid w:val="0045630E"/>
    <w:rsid w:val="004579F4"/>
    <w:rsid w:val="00457DCE"/>
    <w:rsid w:val="0046009C"/>
    <w:rsid w:val="00460154"/>
    <w:rsid w:val="00462013"/>
    <w:rsid w:val="004626D5"/>
    <w:rsid w:val="00464C94"/>
    <w:rsid w:val="0046538E"/>
    <w:rsid w:val="00465964"/>
    <w:rsid w:val="00465F3A"/>
    <w:rsid w:val="0046615F"/>
    <w:rsid w:val="00467479"/>
    <w:rsid w:val="004675C7"/>
    <w:rsid w:val="00467D61"/>
    <w:rsid w:val="00471FC6"/>
    <w:rsid w:val="004720BB"/>
    <w:rsid w:val="004724FE"/>
    <w:rsid w:val="00472DE4"/>
    <w:rsid w:val="00473562"/>
    <w:rsid w:val="00473D34"/>
    <w:rsid w:val="004743B7"/>
    <w:rsid w:val="004743F1"/>
    <w:rsid w:val="00474FBD"/>
    <w:rsid w:val="004751CC"/>
    <w:rsid w:val="00475AE9"/>
    <w:rsid w:val="004765EE"/>
    <w:rsid w:val="00476838"/>
    <w:rsid w:val="00477187"/>
    <w:rsid w:val="0047749C"/>
    <w:rsid w:val="0048026B"/>
    <w:rsid w:val="0048054E"/>
    <w:rsid w:val="00480B87"/>
    <w:rsid w:val="00481C1C"/>
    <w:rsid w:val="00481E6F"/>
    <w:rsid w:val="004827B6"/>
    <w:rsid w:val="00482A4C"/>
    <w:rsid w:val="00484F54"/>
    <w:rsid w:val="00485271"/>
    <w:rsid w:val="004857AA"/>
    <w:rsid w:val="00485FF4"/>
    <w:rsid w:val="004861EB"/>
    <w:rsid w:val="004863A2"/>
    <w:rsid w:val="00486708"/>
    <w:rsid w:val="00486796"/>
    <w:rsid w:val="00486FEC"/>
    <w:rsid w:val="004870FA"/>
    <w:rsid w:val="004871CD"/>
    <w:rsid w:val="00490AF1"/>
    <w:rsid w:val="00490BCB"/>
    <w:rsid w:val="00490C7E"/>
    <w:rsid w:val="00491FDD"/>
    <w:rsid w:val="00492EB4"/>
    <w:rsid w:val="0049361F"/>
    <w:rsid w:val="00493BC6"/>
    <w:rsid w:val="00493D2B"/>
    <w:rsid w:val="00493DE6"/>
    <w:rsid w:val="004943FF"/>
    <w:rsid w:val="00495725"/>
    <w:rsid w:val="00495B5A"/>
    <w:rsid w:val="004964DF"/>
    <w:rsid w:val="00496AAE"/>
    <w:rsid w:val="00496F66"/>
    <w:rsid w:val="004A026F"/>
    <w:rsid w:val="004A0A8C"/>
    <w:rsid w:val="004A0A9D"/>
    <w:rsid w:val="004A1505"/>
    <w:rsid w:val="004A1D37"/>
    <w:rsid w:val="004A23D7"/>
    <w:rsid w:val="004A2CD1"/>
    <w:rsid w:val="004A55F7"/>
    <w:rsid w:val="004B0567"/>
    <w:rsid w:val="004B05DE"/>
    <w:rsid w:val="004B0891"/>
    <w:rsid w:val="004B1EF1"/>
    <w:rsid w:val="004B2EB5"/>
    <w:rsid w:val="004B323E"/>
    <w:rsid w:val="004B326D"/>
    <w:rsid w:val="004B4CC4"/>
    <w:rsid w:val="004B5329"/>
    <w:rsid w:val="004B5438"/>
    <w:rsid w:val="004B71AC"/>
    <w:rsid w:val="004B72AE"/>
    <w:rsid w:val="004C0CFE"/>
    <w:rsid w:val="004C1C2F"/>
    <w:rsid w:val="004C23E0"/>
    <w:rsid w:val="004C2EF6"/>
    <w:rsid w:val="004C482C"/>
    <w:rsid w:val="004C4DFC"/>
    <w:rsid w:val="004C5495"/>
    <w:rsid w:val="004C6082"/>
    <w:rsid w:val="004C65F1"/>
    <w:rsid w:val="004C788D"/>
    <w:rsid w:val="004D0A5E"/>
    <w:rsid w:val="004D1D71"/>
    <w:rsid w:val="004D353F"/>
    <w:rsid w:val="004D36FB"/>
    <w:rsid w:val="004D442D"/>
    <w:rsid w:val="004D465E"/>
    <w:rsid w:val="004D4B59"/>
    <w:rsid w:val="004D56D7"/>
    <w:rsid w:val="004D6B16"/>
    <w:rsid w:val="004D6CC9"/>
    <w:rsid w:val="004D7263"/>
    <w:rsid w:val="004D72F6"/>
    <w:rsid w:val="004D752C"/>
    <w:rsid w:val="004D761E"/>
    <w:rsid w:val="004D7B78"/>
    <w:rsid w:val="004D7BAE"/>
    <w:rsid w:val="004E0BFA"/>
    <w:rsid w:val="004E5F1F"/>
    <w:rsid w:val="004E627D"/>
    <w:rsid w:val="004E69B8"/>
    <w:rsid w:val="004E6D35"/>
    <w:rsid w:val="004E7062"/>
    <w:rsid w:val="004E7ED9"/>
    <w:rsid w:val="004F05A9"/>
    <w:rsid w:val="004F236C"/>
    <w:rsid w:val="004F305B"/>
    <w:rsid w:val="004F3DB8"/>
    <w:rsid w:val="004F4CF5"/>
    <w:rsid w:val="004F4F18"/>
    <w:rsid w:val="004F4F23"/>
    <w:rsid w:val="004F5E51"/>
    <w:rsid w:val="004F65C3"/>
    <w:rsid w:val="004F7E1A"/>
    <w:rsid w:val="0050084A"/>
    <w:rsid w:val="00501017"/>
    <w:rsid w:val="005011E3"/>
    <w:rsid w:val="005017E9"/>
    <w:rsid w:val="00501B86"/>
    <w:rsid w:val="005025F4"/>
    <w:rsid w:val="00502885"/>
    <w:rsid w:val="005030AA"/>
    <w:rsid w:val="0050469F"/>
    <w:rsid w:val="0050607A"/>
    <w:rsid w:val="00506BBA"/>
    <w:rsid w:val="00506EB4"/>
    <w:rsid w:val="0050729D"/>
    <w:rsid w:val="0050735C"/>
    <w:rsid w:val="0050750C"/>
    <w:rsid w:val="00510549"/>
    <w:rsid w:val="0051083C"/>
    <w:rsid w:val="0051330C"/>
    <w:rsid w:val="0051391A"/>
    <w:rsid w:val="00514AB3"/>
    <w:rsid w:val="00514F3C"/>
    <w:rsid w:val="005155C9"/>
    <w:rsid w:val="00515BC4"/>
    <w:rsid w:val="005164E0"/>
    <w:rsid w:val="00516799"/>
    <w:rsid w:val="0052062F"/>
    <w:rsid w:val="005206B3"/>
    <w:rsid w:val="0052084B"/>
    <w:rsid w:val="005230AC"/>
    <w:rsid w:val="00523168"/>
    <w:rsid w:val="00523402"/>
    <w:rsid w:val="005239FE"/>
    <w:rsid w:val="00524C5A"/>
    <w:rsid w:val="00527788"/>
    <w:rsid w:val="00527BF8"/>
    <w:rsid w:val="0053079C"/>
    <w:rsid w:val="0053104B"/>
    <w:rsid w:val="0053116E"/>
    <w:rsid w:val="00531A2B"/>
    <w:rsid w:val="00532972"/>
    <w:rsid w:val="005331E2"/>
    <w:rsid w:val="0053336B"/>
    <w:rsid w:val="00533711"/>
    <w:rsid w:val="0053476C"/>
    <w:rsid w:val="0053526B"/>
    <w:rsid w:val="00536EFE"/>
    <w:rsid w:val="00542059"/>
    <w:rsid w:val="00542E1E"/>
    <w:rsid w:val="00542E8D"/>
    <w:rsid w:val="00543068"/>
    <w:rsid w:val="00543CC0"/>
    <w:rsid w:val="00544BF4"/>
    <w:rsid w:val="005460F9"/>
    <w:rsid w:val="00546B71"/>
    <w:rsid w:val="00547DC1"/>
    <w:rsid w:val="005500B3"/>
    <w:rsid w:val="00550127"/>
    <w:rsid w:val="00551234"/>
    <w:rsid w:val="005516DC"/>
    <w:rsid w:val="00551A1E"/>
    <w:rsid w:val="00551C49"/>
    <w:rsid w:val="00551F63"/>
    <w:rsid w:val="0055222E"/>
    <w:rsid w:val="0055251C"/>
    <w:rsid w:val="0055255A"/>
    <w:rsid w:val="005537BA"/>
    <w:rsid w:val="00554186"/>
    <w:rsid w:val="00555CF9"/>
    <w:rsid w:val="005565D3"/>
    <w:rsid w:val="00556D9F"/>
    <w:rsid w:val="00557D4B"/>
    <w:rsid w:val="00560E15"/>
    <w:rsid w:val="00560E3E"/>
    <w:rsid w:val="00563645"/>
    <w:rsid w:val="00563826"/>
    <w:rsid w:val="00564134"/>
    <w:rsid w:val="00564971"/>
    <w:rsid w:val="005649D3"/>
    <w:rsid w:val="005657FD"/>
    <w:rsid w:val="00566AA1"/>
    <w:rsid w:val="005675C8"/>
    <w:rsid w:val="005678D0"/>
    <w:rsid w:val="00570499"/>
    <w:rsid w:val="00570D3A"/>
    <w:rsid w:val="00570F5F"/>
    <w:rsid w:val="0057115F"/>
    <w:rsid w:val="00571857"/>
    <w:rsid w:val="00571CD7"/>
    <w:rsid w:val="00572EEF"/>
    <w:rsid w:val="005732EE"/>
    <w:rsid w:val="00573896"/>
    <w:rsid w:val="00575F41"/>
    <w:rsid w:val="0057623F"/>
    <w:rsid w:val="00576F8B"/>
    <w:rsid w:val="005803FA"/>
    <w:rsid w:val="005809EB"/>
    <w:rsid w:val="0058151E"/>
    <w:rsid w:val="005820FD"/>
    <w:rsid w:val="00582855"/>
    <w:rsid w:val="00583263"/>
    <w:rsid w:val="00586845"/>
    <w:rsid w:val="00586FBE"/>
    <w:rsid w:val="00587FB6"/>
    <w:rsid w:val="00590918"/>
    <w:rsid w:val="0059094C"/>
    <w:rsid w:val="00591548"/>
    <w:rsid w:val="0059318C"/>
    <w:rsid w:val="00593251"/>
    <w:rsid w:val="00593449"/>
    <w:rsid w:val="0059344E"/>
    <w:rsid w:val="0059392C"/>
    <w:rsid w:val="0059400D"/>
    <w:rsid w:val="00594013"/>
    <w:rsid w:val="0059582A"/>
    <w:rsid w:val="00597469"/>
    <w:rsid w:val="005A0478"/>
    <w:rsid w:val="005A1090"/>
    <w:rsid w:val="005A2034"/>
    <w:rsid w:val="005A38EB"/>
    <w:rsid w:val="005A3E3B"/>
    <w:rsid w:val="005A53C0"/>
    <w:rsid w:val="005A60F8"/>
    <w:rsid w:val="005A7238"/>
    <w:rsid w:val="005B032C"/>
    <w:rsid w:val="005B0851"/>
    <w:rsid w:val="005B19D4"/>
    <w:rsid w:val="005B222F"/>
    <w:rsid w:val="005B26CF"/>
    <w:rsid w:val="005B3022"/>
    <w:rsid w:val="005C04EA"/>
    <w:rsid w:val="005C0DF9"/>
    <w:rsid w:val="005C0F99"/>
    <w:rsid w:val="005C13C7"/>
    <w:rsid w:val="005C189B"/>
    <w:rsid w:val="005C26D7"/>
    <w:rsid w:val="005C291C"/>
    <w:rsid w:val="005C2975"/>
    <w:rsid w:val="005C3E14"/>
    <w:rsid w:val="005C4B3F"/>
    <w:rsid w:val="005C501D"/>
    <w:rsid w:val="005C53F3"/>
    <w:rsid w:val="005C5623"/>
    <w:rsid w:val="005C5928"/>
    <w:rsid w:val="005C5EE4"/>
    <w:rsid w:val="005C6022"/>
    <w:rsid w:val="005C7C8E"/>
    <w:rsid w:val="005D119D"/>
    <w:rsid w:val="005D3A53"/>
    <w:rsid w:val="005D5472"/>
    <w:rsid w:val="005D6ACA"/>
    <w:rsid w:val="005D7511"/>
    <w:rsid w:val="005E1834"/>
    <w:rsid w:val="005E2134"/>
    <w:rsid w:val="005E75D7"/>
    <w:rsid w:val="005E7DAB"/>
    <w:rsid w:val="005E7E91"/>
    <w:rsid w:val="005F0408"/>
    <w:rsid w:val="005F06BD"/>
    <w:rsid w:val="005F0725"/>
    <w:rsid w:val="005F1913"/>
    <w:rsid w:val="005F19A9"/>
    <w:rsid w:val="005F2F7D"/>
    <w:rsid w:val="005F4EF5"/>
    <w:rsid w:val="005F54F4"/>
    <w:rsid w:val="005F5A7B"/>
    <w:rsid w:val="005F6455"/>
    <w:rsid w:val="005F6699"/>
    <w:rsid w:val="005F6D9E"/>
    <w:rsid w:val="00600503"/>
    <w:rsid w:val="006027D6"/>
    <w:rsid w:val="00602ECB"/>
    <w:rsid w:val="00602F41"/>
    <w:rsid w:val="006037A0"/>
    <w:rsid w:val="00603B85"/>
    <w:rsid w:val="00603F10"/>
    <w:rsid w:val="006041A9"/>
    <w:rsid w:val="00604316"/>
    <w:rsid w:val="00606882"/>
    <w:rsid w:val="00606942"/>
    <w:rsid w:val="00606A1D"/>
    <w:rsid w:val="00606DBB"/>
    <w:rsid w:val="00610F51"/>
    <w:rsid w:val="00611C08"/>
    <w:rsid w:val="00612C45"/>
    <w:rsid w:val="00612C4A"/>
    <w:rsid w:val="00613032"/>
    <w:rsid w:val="006138C5"/>
    <w:rsid w:val="00614550"/>
    <w:rsid w:val="0061486E"/>
    <w:rsid w:val="006169AC"/>
    <w:rsid w:val="00616A91"/>
    <w:rsid w:val="00616DEE"/>
    <w:rsid w:val="006171E4"/>
    <w:rsid w:val="00621308"/>
    <w:rsid w:val="00623AB6"/>
    <w:rsid w:val="006246EA"/>
    <w:rsid w:val="00626787"/>
    <w:rsid w:val="006272CF"/>
    <w:rsid w:val="0062733E"/>
    <w:rsid w:val="006305B0"/>
    <w:rsid w:val="00630A72"/>
    <w:rsid w:val="006311EE"/>
    <w:rsid w:val="0063145A"/>
    <w:rsid w:val="006314FB"/>
    <w:rsid w:val="006323DD"/>
    <w:rsid w:val="0063281B"/>
    <w:rsid w:val="00632838"/>
    <w:rsid w:val="006338C7"/>
    <w:rsid w:val="006363EA"/>
    <w:rsid w:val="00640229"/>
    <w:rsid w:val="00640F37"/>
    <w:rsid w:val="00641255"/>
    <w:rsid w:val="0064306A"/>
    <w:rsid w:val="0064381B"/>
    <w:rsid w:val="00644A05"/>
    <w:rsid w:val="00646243"/>
    <w:rsid w:val="00646B3D"/>
    <w:rsid w:val="00647407"/>
    <w:rsid w:val="0065031E"/>
    <w:rsid w:val="006515E2"/>
    <w:rsid w:val="00652A64"/>
    <w:rsid w:val="006534FE"/>
    <w:rsid w:val="00653A44"/>
    <w:rsid w:val="00653F61"/>
    <w:rsid w:val="006544AB"/>
    <w:rsid w:val="00657184"/>
    <w:rsid w:val="00657FC1"/>
    <w:rsid w:val="0066071D"/>
    <w:rsid w:val="00660EAB"/>
    <w:rsid w:val="0066109C"/>
    <w:rsid w:val="00661D52"/>
    <w:rsid w:val="00662CE7"/>
    <w:rsid w:val="00663759"/>
    <w:rsid w:val="006640BF"/>
    <w:rsid w:val="006641FE"/>
    <w:rsid w:val="00665247"/>
    <w:rsid w:val="0066594E"/>
    <w:rsid w:val="006664EE"/>
    <w:rsid w:val="00666709"/>
    <w:rsid w:val="0067007E"/>
    <w:rsid w:val="0067054E"/>
    <w:rsid w:val="00674D46"/>
    <w:rsid w:val="00676506"/>
    <w:rsid w:val="00676F1A"/>
    <w:rsid w:val="006775CA"/>
    <w:rsid w:val="006779FC"/>
    <w:rsid w:val="0068148D"/>
    <w:rsid w:val="00681A4A"/>
    <w:rsid w:val="006829F3"/>
    <w:rsid w:val="00684FB3"/>
    <w:rsid w:val="00685781"/>
    <w:rsid w:val="00685E90"/>
    <w:rsid w:val="006860E7"/>
    <w:rsid w:val="00686977"/>
    <w:rsid w:val="00687B9D"/>
    <w:rsid w:val="006900A7"/>
    <w:rsid w:val="00690442"/>
    <w:rsid w:val="006912BE"/>
    <w:rsid w:val="00691339"/>
    <w:rsid w:val="0069162C"/>
    <w:rsid w:val="0069265E"/>
    <w:rsid w:val="00692A96"/>
    <w:rsid w:val="0069500B"/>
    <w:rsid w:val="0069598C"/>
    <w:rsid w:val="0069675A"/>
    <w:rsid w:val="00696EC2"/>
    <w:rsid w:val="00697C3A"/>
    <w:rsid w:val="00697E52"/>
    <w:rsid w:val="006A04BF"/>
    <w:rsid w:val="006A1BFB"/>
    <w:rsid w:val="006A2786"/>
    <w:rsid w:val="006A31D5"/>
    <w:rsid w:val="006A350B"/>
    <w:rsid w:val="006A3DE9"/>
    <w:rsid w:val="006A3F07"/>
    <w:rsid w:val="006A469E"/>
    <w:rsid w:val="006A5F28"/>
    <w:rsid w:val="006A61DB"/>
    <w:rsid w:val="006A6DD6"/>
    <w:rsid w:val="006A74D5"/>
    <w:rsid w:val="006A7C92"/>
    <w:rsid w:val="006B0923"/>
    <w:rsid w:val="006B1584"/>
    <w:rsid w:val="006B15E2"/>
    <w:rsid w:val="006B41F5"/>
    <w:rsid w:val="006B4254"/>
    <w:rsid w:val="006B76FA"/>
    <w:rsid w:val="006B7BB4"/>
    <w:rsid w:val="006C167D"/>
    <w:rsid w:val="006C190A"/>
    <w:rsid w:val="006C1F4A"/>
    <w:rsid w:val="006C2D75"/>
    <w:rsid w:val="006C3D7D"/>
    <w:rsid w:val="006C45D5"/>
    <w:rsid w:val="006C4EE8"/>
    <w:rsid w:val="006C54AA"/>
    <w:rsid w:val="006C5A24"/>
    <w:rsid w:val="006C6AB2"/>
    <w:rsid w:val="006C6E21"/>
    <w:rsid w:val="006C7953"/>
    <w:rsid w:val="006C7960"/>
    <w:rsid w:val="006D0E44"/>
    <w:rsid w:val="006D1EFA"/>
    <w:rsid w:val="006D2851"/>
    <w:rsid w:val="006D2C52"/>
    <w:rsid w:val="006D32BF"/>
    <w:rsid w:val="006D4DA7"/>
    <w:rsid w:val="006D62DD"/>
    <w:rsid w:val="006D7EC7"/>
    <w:rsid w:val="006E07FF"/>
    <w:rsid w:val="006E0D94"/>
    <w:rsid w:val="006E1B10"/>
    <w:rsid w:val="006E290F"/>
    <w:rsid w:val="006E2AE6"/>
    <w:rsid w:val="006E2D24"/>
    <w:rsid w:val="006E3D4F"/>
    <w:rsid w:val="006E402F"/>
    <w:rsid w:val="006E41A5"/>
    <w:rsid w:val="006E45CB"/>
    <w:rsid w:val="006E5CF2"/>
    <w:rsid w:val="006E748F"/>
    <w:rsid w:val="006E7DBF"/>
    <w:rsid w:val="006F3CD9"/>
    <w:rsid w:val="006F47E4"/>
    <w:rsid w:val="006F4DAD"/>
    <w:rsid w:val="006F4FD1"/>
    <w:rsid w:val="006F56F0"/>
    <w:rsid w:val="006F616E"/>
    <w:rsid w:val="006F678C"/>
    <w:rsid w:val="006F7694"/>
    <w:rsid w:val="006F7E88"/>
    <w:rsid w:val="00700021"/>
    <w:rsid w:val="007009FC"/>
    <w:rsid w:val="00700A78"/>
    <w:rsid w:val="00701456"/>
    <w:rsid w:val="00701ADC"/>
    <w:rsid w:val="00702585"/>
    <w:rsid w:val="007029D8"/>
    <w:rsid w:val="007032DB"/>
    <w:rsid w:val="00703D2F"/>
    <w:rsid w:val="00703FB4"/>
    <w:rsid w:val="0070446A"/>
    <w:rsid w:val="00704CDF"/>
    <w:rsid w:val="0070637C"/>
    <w:rsid w:val="007069B5"/>
    <w:rsid w:val="00707E84"/>
    <w:rsid w:val="007106E0"/>
    <w:rsid w:val="00710CA0"/>
    <w:rsid w:val="00712CCB"/>
    <w:rsid w:val="007132DC"/>
    <w:rsid w:val="00714C95"/>
    <w:rsid w:val="00714E76"/>
    <w:rsid w:val="00715234"/>
    <w:rsid w:val="00715E95"/>
    <w:rsid w:val="007201C5"/>
    <w:rsid w:val="0072023D"/>
    <w:rsid w:val="00720540"/>
    <w:rsid w:val="0072073B"/>
    <w:rsid w:val="007216D4"/>
    <w:rsid w:val="007219D6"/>
    <w:rsid w:val="007231EB"/>
    <w:rsid w:val="007237F2"/>
    <w:rsid w:val="00723B76"/>
    <w:rsid w:val="00724533"/>
    <w:rsid w:val="00724AEE"/>
    <w:rsid w:val="00725865"/>
    <w:rsid w:val="00725AE5"/>
    <w:rsid w:val="00726BDF"/>
    <w:rsid w:val="00727158"/>
    <w:rsid w:val="00727476"/>
    <w:rsid w:val="00730DE0"/>
    <w:rsid w:val="0073110F"/>
    <w:rsid w:val="00731935"/>
    <w:rsid w:val="00732292"/>
    <w:rsid w:val="00732488"/>
    <w:rsid w:val="00732D6D"/>
    <w:rsid w:val="00732ED9"/>
    <w:rsid w:val="00733FB3"/>
    <w:rsid w:val="00735C8E"/>
    <w:rsid w:val="0073634D"/>
    <w:rsid w:val="007366D4"/>
    <w:rsid w:val="00736A03"/>
    <w:rsid w:val="00736EE2"/>
    <w:rsid w:val="00737FF1"/>
    <w:rsid w:val="0074008A"/>
    <w:rsid w:val="00740E7D"/>
    <w:rsid w:val="00741276"/>
    <w:rsid w:val="00741BB0"/>
    <w:rsid w:val="007431A9"/>
    <w:rsid w:val="0074376B"/>
    <w:rsid w:val="00744354"/>
    <w:rsid w:val="00744499"/>
    <w:rsid w:val="00746745"/>
    <w:rsid w:val="0074698C"/>
    <w:rsid w:val="00747B77"/>
    <w:rsid w:val="00747D4B"/>
    <w:rsid w:val="0075032C"/>
    <w:rsid w:val="00750694"/>
    <w:rsid w:val="00751308"/>
    <w:rsid w:val="007514CD"/>
    <w:rsid w:val="007516A3"/>
    <w:rsid w:val="007518AB"/>
    <w:rsid w:val="00752D9C"/>
    <w:rsid w:val="00752F53"/>
    <w:rsid w:val="00753198"/>
    <w:rsid w:val="00753850"/>
    <w:rsid w:val="00753EBA"/>
    <w:rsid w:val="00754195"/>
    <w:rsid w:val="007552F8"/>
    <w:rsid w:val="00755D06"/>
    <w:rsid w:val="007578D2"/>
    <w:rsid w:val="007601CE"/>
    <w:rsid w:val="00760ECB"/>
    <w:rsid w:val="00761B6E"/>
    <w:rsid w:val="007622FB"/>
    <w:rsid w:val="007624AF"/>
    <w:rsid w:val="0076387D"/>
    <w:rsid w:val="00763EB1"/>
    <w:rsid w:val="00763FF2"/>
    <w:rsid w:val="00764937"/>
    <w:rsid w:val="00766076"/>
    <w:rsid w:val="0076718C"/>
    <w:rsid w:val="007673E3"/>
    <w:rsid w:val="00767440"/>
    <w:rsid w:val="007701DC"/>
    <w:rsid w:val="00772334"/>
    <w:rsid w:val="00772C66"/>
    <w:rsid w:val="00774608"/>
    <w:rsid w:val="00775EA7"/>
    <w:rsid w:val="007763E2"/>
    <w:rsid w:val="007768F3"/>
    <w:rsid w:val="007773B1"/>
    <w:rsid w:val="007800F2"/>
    <w:rsid w:val="00780374"/>
    <w:rsid w:val="007808D1"/>
    <w:rsid w:val="007824FC"/>
    <w:rsid w:val="00782F34"/>
    <w:rsid w:val="007847F3"/>
    <w:rsid w:val="00784CD2"/>
    <w:rsid w:val="00786C67"/>
    <w:rsid w:val="007905A4"/>
    <w:rsid w:val="00791364"/>
    <w:rsid w:val="00793982"/>
    <w:rsid w:val="00794194"/>
    <w:rsid w:val="00795655"/>
    <w:rsid w:val="00795F3D"/>
    <w:rsid w:val="007970CB"/>
    <w:rsid w:val="007A1384"/>
    <w:rsid w:val="007A1CCD"/>
    <w:rsid w:val="007A297A"/>
    <w:rsid w:val="007A3027"/>
    <w:rsid w:val="007A319D"/>
    <w:rsid w:val="007A32E3"/>
    <w:rsid w:val="007A3984"/>
    <w:rsid w:val="007A3F5B"/>
    <w:rsid w:val="007A4C58"/>
    <w:rsid w:val="007A52A4"/>
    <w:rsid w:val="007A5A89"/>
    <w:rsid w:val="007A5EC1"/>
    <w:rsid w:val="007A7B8E"/>
    <w:rsid w:val="007A7BF8"/>
    <w:rsid w:val="007A7E7D"/>
    <w:rsid w:val="007B1764"/>
    <w:rsid w:val="007B2D10"/>
    <w:rsid w:val="007B3D5D"/>
    <w:rsid w:val="007B7602"/>
    <w:rsid w:val="007B7782"/>
    <w:rsid w:val="007B7CB8"/>
    <w:rsid w:val="007C0B72"/>
    <w:rsid w:val="007C159B"/>
    <w:rsid w:val="007C15E6"/>
    <w:rsid w:val="007C18FF"/>
    <w:rsid w:val="007C1B3C"/>
    <w:rsid w:val="007C1D13"/>
    <w:rsid w:val="007C31D3"/>
    <w:rsid w:val="007C4434"/>
    <w:rsid w:val="007C5BE3"/>
    <w:rsid w:val="007C5FD8"/>
    <w:rsid w:val="007C65B5"/>
    <w:rsid w:val="007C70A4"/>
    <w:rsid w:val="007C7C70"/>
    <w:rsid w:val="007C7DE7"/>
    <w:rsid w:val="007D09CE"/>
    <w:rsid w:val="007D5504"/>
    <w:rsid w:val="007D589C"/>
    <w:rsid w:val="007D5ABA"/>
    <w:rsid w:val="007D5B7F"/>
    <w:rsid w:val="007D5E4D"/>
    <w:rsid w:val="007D64A4"/>
    <w:rsid w:val="007D6778"/>
    <w:rsid w:val="007D6BEF"/>
    <w:rsid w:val="007E0989"/>
    <w:rsid w:val="007E0AFC"/>
    <w:rsid w:val="007E152B"/>
    <w:rsid w:val="007E15CF"/>
    <w:rsid w:val="007E1D6B"/>
    <w:rsid w:val="007E2EC7"/>
    <w:rsid w:val="007E308E"/>
    <w:rsid w:val="007E4570"/>
    <w:rsid w:val="007E4AC1"/>
    <w:rsid w:val="007E4EF0"/>
    <w:rsid w:val="007E6226"/>
    <w:rsid w:val="007E6EC6"/>
    <w:rsid w:val="007E740F"/>
    <w:rsid w:val="007E76A0"/>
    <w:rsid w:val="007E7B59"/>
    <w:rsid w:val="007E7C12"/>
    <w:rsid w:val="007E7E08"/>
    <w:rsid w:val="007F14F3"/>
    <w:rsid w:val="007F2A93"/>
    <w:rsid w:val="007F35A6"/>
    <w:rsid w:val="007F371C"/>
    <w:rsid w:val="007F374B"/>
    <w:rsid w:val="007F49B0"/>
    <w:rsid w:val="007F7124"/>
    <w:rsid w:val="007F7F84"/>
    <w:rsid w:val="008031B1"/>
    <w:rsid w:val="00803CB7"/>
    <w:rsid w:val="0080419D"/>
    <w:rsid w:val="00804E50"/>
    <w:rsid w:val="00806FA5"/>
    <w:rsid w:val="00807C3C"/>
    <w:rsid w:val="00810260"/>
    <w:rsid w:val="008104B9"/>
    <w:rsid w:val="0081050E"/>
    <w:rsid w:val="00810D43"/>
    <w:rsid w:val="00811265"/>
    <w:rsid w:val="00811DAE"/>
    <w:rsid w:val="0081201D"/>
    <w:rsid w:val="00812E4C"/>
    <w:rsid w:val="00815C21"/>
    <w:rsid w:val="0081619A"/>
    <w:rsid w:val="008215DB"/>
    <w:rsid w:val="00822A02"/>
    <w:rsid w:val="00825B65"/>
    <w:rsid w:val="00825CA0"/>
    <w:rsid w:val="008263B8"/>
    <w:rsid w:val="00827730"/>
    <w:rsid w:val="00830001"/>
    <w:rsid w:val="0083134A"/>
    <w:rsid w:val="00831BE1"/>
    <w:rsid w:val="00832E90"/>
    <w:rsid w:val="008337FB"/>
    <w:rsid w:val="008349F2"/>
    <w:rsid w:val="008353E1"/>
    <w:rsid w:val="00837270"/>
    <w:rsid w:val="00837A2A"/>
    <w:rsid w:val="00837D99"/>
    <w:rsid w:val="00840565"/>
    <w:rsid w:val="008415D7"/>
    <w:rsid w:val="00841AA1"/>
    <w:rsid w:val="00841E95"/>
    <w:rsid w:val="008429F4"/>
    <w:rsid w:val="008436E3"/>
    <w:rsid w:val="008438AE"/>
    <w:rsid w:val="00843BD7"/>
    <w:rsid w:val="0084473C"/>
    <w:rsid w:val="00844D06"/>
    <w:rsid w:val="00845313"/>
    <w:rsid w:val="00845A88"/>
    <w:rsid w:val="00845AD8"/>
    <w:rsid w:val="00845C76"/>
    <w:rsid w:val="00846C9A"/>
    <w:rsid w:val="008476B2"/>
    <w:rsid w:val="00847EE4"/>
    <w:rsid w:val="008511E8"/>
    <w:rsid w:val="00853FF3"/>
    <w:rsid w:val="0085422F"/>
    <w:rsid w:val="00855319"/>
    <w:rsid w:val="00856AC9"/>
    <w:rsid w:val="0086009A"/>
    <w:rsid w:val="00860B38"/>
    <w:rsid w:val="0086227B"/>
    <w:rsid w:val="008626E8"/>
    <w:rsid w:val="00862733"/>
    <w:rsid w:val="0086279B"/>
    <w:rsid w:val="00863581"/>
    <w:rsid w:val="00865D6D"/>
    <w:rsid w:val="00865F43"/>
    <w:rsid w:val="00866D11"/>
    <w:rsid w:val="00867457"/>
    <w:rsid w:val="00867CEB"/>
    <w:rsid w:val="00870947"/>
    <w:rsid w:val="00870955"/>
    <w:rsid w:val="00872228"/>
    <w:rsid w:val="00872A16"/>
    <w:rsid w:val="00873989"/>
    <w:rsid w:val="00873F8F"/>
    <w:rsid w:val="008759A6"/>
    <w:rsid w:val="0087628A"/>
    <w:rsid w:val="00876ACD"/>
    <w:rsid w:val="00877B95"/>
    <w:rsid w:val="0088134D"/>
    <w:rsid w:val="00883F51"/>
    <w:rsid w:val="00884525"/>
    <w:rsid w:val="00885DDC"/>
    <w:rsid w:val="00886B50"/>
    <w:rsid w:val="00887C8D"/>
    <w:rsid w:val="008901D8"/>
    <w:rsid w:val="008902A9"/>
    <w:rsid w:val="0089057D"/>
    <w:rsid w:val="00891BF4"/>
    <w:rsid w:val="00891C14"/>
    <w:rsid w:val="00892E32"/>
    <w:rsid w:val="008930A2"/>
    <w:rsid w:val="00893960"/>
    <w:rsid w:val="00893B43"/>
    <w:rsid w:val="00894EB7"/>
    <w:rsid w:val="00896697"/>
    <w:rsid w:val="0089722D"/>
    <w:rsid w:val="00897521"/>
    <w:rsid w:val="008979CD"/>
    <w:rsid w:val="00897C4C"/>
    <w:rsid w:val="008A0A03"/>
    <w:rsid w:val="008A0F8D"/>
    <w:rsid w:val="008A31FA"/>
    <w:rsid w:val="008A4640"/>
    <w:rsid w:val="008A470E"/>
    <w:rsid w:val="008A5592"/>
    <w:rsid w:val="008A5BA4"/>
    <w:rsid w:val="008A6683"/>
    <w:rsid w:val="008A677C"/>
    <w:rsid w:val="008A6D1D"/>
    <w:rsid w:val="008A7C6F"/>
    <w:rsid w:val="008A7F40"/>
    <w:rsid w:val="008B05CD"/>
    <w:rsid w:val="008B076A"/>
    <w:rsid w:val="008B095A"/>
    <w:rsid w:val="008B1568"/>
    <w:rsid w:val="008B16EC"/>
    <w:rsid w:val="008B16F5"/>
    <w:rsid w:val="008B19B1"/>
    <w:rsid w:val="008B1B90"/>
    <w:rsid w:val="008B1E01"/>
    <w:rsid w:val="008B2F2E"/>
    <w:rsid w:val="008B354B"/>
    <w:rsid w:val="008B3E6C"/>
    <w:rsid w:val="008B51EA"/>
    <w:rsid w:val="008B705E"/>
    <w:rsid w:val="008B7162"/>
    <w:rsid w:val="008C1968"/>
    <w:rsid w:val="008C2827"/>
    <w:rsid w:val="008C2C72"/>
    <w:rsid w:val="008C3009"/>
    <w:rsid w:val="008C34BC"/>
    <w:rsid w:val="008C3C38"/>
    <w:rsid w:val="008C4807"/>
    <w:rsid w:val="008C6348"/>
    <w:rsid w:val="008C6A06"/>
    <w:rsid w:val="008D0000"/>
    <w:rsid w:val="008D1378"/>
    <w:rsid w:val="008D142E"/>
    <w:rsid w:val="008D14E6"/>
    <w:rsid w:val="008D153E"/>
    <w:rsid w:val="008D1D76"/>
    <w:rsid w:val="008D3600"/>
    <w:rsid w:val="008D3FB7"/>
    <w:rsid w:val="008D4698"/>
    <w:rsid w:val="008E076A"/>
    <w:rsid w:val="008E0EAA"/>
    <w:rsid w:val="008E1238"/>
    <w:rsid w:val="008E1971"/>
    <w:rsid w:val="008E285A"/>
    <w:rsid w:val="008E2BE8"/>
    <w:rsid w:val="008E4A95"/>
    <w:rsid w:val="008E50C4"/>
    <w:rsid w:val="008E522D"/>
    <w:rsid w:val="008E5A5C"/>
    <w:rsid w:val="008E7867"/>
    <w:rsid w:val="008E7BFB"/>
    <w:rsid w:val="008F198C"/>
    <w:rsid w:val="008F1A5D"/>
    <w:rsid w:val="008F1CF8"/>
    <w:rsid w:val="008F2821"/>
    <w:rsid w:val="008F4984"/>
    <w:rsid w:val="008F4F66"/>
    <w:rsid w:val="008F5CD4"/>
    <w:rsid w:val="008F6D9E"/>
    <w:rsid w:val="008F7EB9"/>
    <w:rsid w:val="00901B4C"/>
    <w:rsid w:val="009022F4"/>
    <w:rsid w:val="009028AC"/>
    <w:rsid w:val="00902C13"/>
    <w:rsid w:val="0090566F"/>
    <w:rsid w:val="009106E0"/>
    <w:rsid w:val="0091072D"/>
    <w:rsid w:val="00910955"/>
    <w:rsid w:val="009114A4"/>
    <w:rsid w:val="009114AA"/>
    <w:rsid w:val="009124A1"/>
    <w:rsid w:val="00912533"/>
    <w:rsid w:val="009133EB"/>
    <w:rsid w:val="00914C4D"/>
    <w:rsid w:val="009157D6"/>
    <w:rsid w:val="009159C1"/>
    <w:rsid w:val="00916FC1"/>
    <w:rsid w:val="00917738"/>
    <w:rsid w:val="0092244C"/>
    <w:rsid w:val="00922748"/>
    <w:rsid w:val="009234A3"/>
    <w:rsid w:val="009239D0"/>
    <w:rsid w:val="00924504"/>
    <w:rsid w:val="00924D95"/>
    <w:rsid w:val="00924ECD"/>
    <w:rsid w:val="00925515"/>
    <w:rsid w:val="00925AC6"/>
    <w:rsid w:val="00926A45"/>
    <w:rsid w:val="00927CE5"/>
    <w:rsid w:val="00927E49"/>
    <w:rsid w:val="0093016C"/>
    <w:rsid w:val="00931002"/>
    <w:rsid w:val="009314D8"/>
    <w:rsid w:val="00931E4F"/>
    <w:rsid w:val="00931F0B"/>
    <w:rsid w:val="00934D86"/>
    <w:rsid w:val="00935298"/>
    <w:rsid w:val="0093607B"/>
    <w:rsid w:val="0093608E"/>
    <w:rsid w:val="00936263"/>
    <w:rsid w:val="00937521"/>
    <w:rsid w:val="00937F92"/>
    <w:rsid w:val="00940950"/>
    <w:rsid w:val="009411A2"/>
    <w:rsid w:val="00942891"/>
    <w:rsid w:val="00943E90"/>
    <w:rsid w:val="00945205"/>
    <w:rsid w:val="00945459"/>
    <w:rsid w:val="00945889"/>
    <w:rsid w:val="00945B6A"/>
    <w:rsid w:val="00946B51"/>
    <w:rsid w:val="00946D8B"/>
    <w:rsid w:val="0095109B"/>
    <w:rsid w:val="00951450"/>
    <w:rsid w:val="0095268D"/>
    <w:rsid w:val="00952E53"/>
    <w:rsid w:val="00954C63"/>
    <w:rsid w:val="00954F7B"/>
    <w:rsid w:val="00955937"/>
    <w:rsid w:val="00956D00"/>
    <w:rsid w:val="009570C2"/>
    <w:rsid w:val="00960420"/>
    <w:rsid w:val="009616F9"/>
    <w:rsid w:val="00962F1C"/>
    <w:rsid w:val="009652F4"/>
    <w:rsid w:val="00966421"/>
    <w:rsid w:val="00966907"/>
    <w:rsid w:val="009710B9"/>
    <w:rsid w:val="00971B94"/>
    <w:rsid w:val="00971E4E"/>
    <w:rsid w:val="00972A59"/>
    <w:rsid w:val="00972D5C"/>
    <w:rsid w:val="0097357F"/>
    <w:rsid w:val="009740DC"/>
    <w:rsid w:val="00975B9D"/>
    <w:rsid w:val="00975C6D"/>
    <w:rsid w:val="00976F01"/>
    <w:rsid w:val="009775AE"/>
    <w:rsid w:val="00977AC1"/>
    <w:rsid w:val="00977B79"/>
    <w:rsid w:val="00980D22"/>
    <w:rsid w:val="00981817"/>
    <w:rsid w:val="009829C5"/>
    <w:rsid w:val="009830F5"/>
    <w:rsid w:val="009844AD"/>
    <w:rsid w:val="00986921"/>
    <w:rsid w:val="00987991"/>
    <w:rsid w:val="00990452"/>
    <w:rsid w:val="00991299"/>
    <w:rsid w:val="00992CC2"/>
    <w:rsid w:val="0099351B"/>
    <w:rsid w:val="00994BB0"/>
    <w:rsid w:val="00995ED6"/>
    <w:rsid w:val="009A04A4"/>
    <w:rsid w:val="009A0D12"/>
    <w:rsid w:val="009A1D5A"/>
    <w:rsid w:val="009A45ED"/>
    <w:rsid w:val="009A48DF"/>
    <w:rsid w:val="009A497A"/>
    <w:rsid w:val="009A4B85"/>
    <w:rsid w:val="009A7D82"/>
    <w:rsid w:val="009A7FBE"/>
    <w:rsid w:val="009B13E6"/>
    <w:rsid w:val="009B1616"/>
    <w:rsid w:val="009B163B"/>
    <w:rsid w:val="009B21E1"/>
    <w:rsid w:val="009B2333"/>
    <w:rsid w:val="009B29AF"/>
    <w:rsid w:val="009B29C2"/>
    <w:rsid w:val="009B4E7D"/>
    <w:rsid w:val="009B667F"/>
    <w:rsid w:val="009B67D9"/>
    <w:rsid w:val="009B6940"/>
    <w:rsid w:val="009B7CC9"/>
    <w:rsid w:val="009C16C3"/>
    <w:rsid w:val="009C1B08"/>
    <w:rsid w:val="009C311B"/>
    <w:rsid w:val="009C3FFA"/>
    <w:rsid w:val="009C4BF8"/>
    <w:rsid w:val="009C67E9"/>
    <w:rsid w:val="009C76D7"/>
    <w:rsid w:val="009D02B9"/>
    <w:rsid w:val="009D0AF1"/>
    <w:rsid w:val="009D0C5A"/>
    <w:rsid w:val="009D131A"/>
    <w:rsid w:val="009D5A19"/>
    <w:rsid w:val="009D5AD6"/>
    <w:rsid w:val="009D5C58"/>
    <w:rsid w:val="009D7B85"/>
    <w:rsid w:val="009D7D93"/>
    <w:rsid w:val="009E01AE"/>
    <w:rsid w:val="009E2461"/>
    <w:rsid w:val="009E474E"/>
    <w:rsid w:val="009E4C8A"/>
    <w:rsid w:val="009E4FF7"/>
    <w:rsid w:val="009E58A7"/>
    <w:rsid w:val="009E5953"/>
    <w:rsid w:val="009E6F86"/>
    <w:rsid w:val="009E7274"/>
    <w:rsid w:val="009F0AB6"/>
    <w:rsid w:val="009F108E"/>
    <w:rsid w:val="009F10F4"/>
    <w:rsid w:val="009F1B1F"/>
    <w:rsid w:val="009F1B99"/>
    <w:rsid w:val="009F2780"/>
    <w:rsid w:val="009F3BA6"/>
    <w:rsid w:val="009F3E97"/>
    <w:rsid w:val="009F506E"/>
    <w:rsid w:val="009F6F59"/>
    <w:rsid w:val="009F7744"/>
    <w:rsid w:val="00A00AED"/>
    <w:rsid w:val="00A00E7D"/>
    <w:rsid w:val="00A01975"/>
    <w:rsid w:val="00A01AE7"/>
    <w:rsid w:val="00A021C6"/>
    <w:rsid w:val="00A02BDB"/>
    <w:rsid w:val="00A04BB6"/>
    <w:rsid w:val="00A05567"/>
    <w:rsid w:val="00A05A14"/>
    <w:rsid w:val="00A065FD"/>
    <w:rsid w:val="00A07C81"/>
    <w:rsid w:val="00A07D1D"/>
    <w:rsid w:val="00A07E94"/>
    <w:rsid w:val="00A10ECA"/>
    <w:rsid w:val="00A117DE"/>
    <w:rsid w:val="00A11DAD"/>
    <w:rsid w:val="00A124A5"/>
    <w:rsid w:val="00A138F2"/>
    <w:rsid w:val="00A13C0B"/>
    <w:rsid w:val="00A169FB"/>
    <w:rsid w:val="00A17057"/>
    <w:rsid w:val="00A17C8A"/>
    <w:rsid w:val="00A20275"/>
    <w:rsid w:val="00A20F5B"/>
    <w:rsid w:val="00A2152F"/>
    <w:rsid w:val="00A22123"/>
    <w:rsid w:val="00A231BC"/>
    <w:rsid w:val="00A231FD"/>
    <w:rsid w:val="00A23AE8"/>
    <w:rsid w:val="00A247C0"/>
    <w:rsid w:val="00A24B39"/>
    <w:rsid w:val="00A25361"/>
    <w:rsid w:val="00A25BEF"/>
    <w:rsid w:val="00A30A52"/>
    <w:rsid w:val="00A31970"/>
    <w:rsid w:val="00A31C25"/>
    <w:rsid w:val="00A31DB5"/>
    <w:rsid w:val="00A328B0"/>
    <w:rsid w:val="00A33B70"/>
    <w:rsid w:val="00A3545E"/>
    <w:rsid w:val="00A3564C"/>
    <w:rsid w:val="00A361AA"/>
    <w:rsid w:val="00A377E2"/>
    <w:rsid w:val="00A4043D"/>
    <w:rsid w:val="00A404BD"/>
    <w:rsid w:val="00A406F3"/>
    <w:rsid w:val="00A42150"/>
    <w:rsid w:val="00A42A7C"/>
    <w:rsid w:val="00A42DF3"/>
    <w:rsid w:val="00A43F5B"/>
    <w:rsid w:val="00A44F31"/>
    <w:rsid w:val="00A453EC"/>
    <w:rsid w:val="00A459C4"/>
    <w:rsid w:val="00A46703"/>
    <w:rsid w:val="00A46B2F"/>
    <w:rsid w:val="00A5078E"/>
    <w:rsid w:val="00A51148"/>
    <w:rsid w:val="00A513C0"/>
    <w:rsid w:val="00A5159C"/>
    <w:rsid w:val="00A51820"/>
    <w:rsid w:val="00A52530"/>
    <w:rsid w:val="00A5299C"/>
    <w:rsid w:val="00A52A0D"/>
    <w:rsid w:val="00A53906"/>
    <w:rsid w:val="00A539B3"/>
    <w:rsid w:val="00A545EA"/>
    <w:rsid w:val="00A552D2"/>
    <w:rsid w:val="00A61AA5"/>
    <w:rsid w:val="00A623DC"/>
    <w:rsid w:val="00A62F43"/>
    <w:rsid w:val="00A63038"/>
    <w:rsid w:val="00A63051"/>
    <w:rsid w:val="00A635B6"/>
    <w:rsid w:val="00A63CB6"/>
    <w:rsid w:val="00A647DB"/>
    <w:rsid w:val="00A64948"/>
    <w:rsid w:val="00A66257"/>
    <w:rsid w:val="00A6662C"/>
    <w:rsid w:val="00A67910"/>
    <w:rsid w:val="00A67B88"/>
    <w:rsid w:val="00A67D78"/>
    <w:rsid w:val="00A70A7B"/>
    <w:rsid w:val="00A71231"/>
    <w:rsid w:val="00A71F01"/>
    <w:rsid w:val="00A74748"/>
    <w:rsid w:val="00A747ED"/>
    <w:rsid w:val="00A75D97"/>
    <w:rsid w:val="00A76C27"/>
    <w:rsid w:val="00A801C5"/>
    <w:rsid w:val="00A80341"/>
    <w:rsid w:val="00A810AB"/>
    <w:rsid w:val="00A82567"/>
    <w:rsid w:val="00A83976"/>
    <w:rsid w:val="00A83D36"/>
    <w:rsid w:val="00A83EF8"/>
    <w:rsid w:val="00A844E8"/>
    <w:rsid w:val="00A85449"/>
    <w:rsid w:val="00A85849"/>
    <w:rsid w:val="00A87FE6"/>
    <w:rsid w:val="00A908F8"/>
    <w:rsid w:val="00A9152F"/>
    <w:rsid w:val="00A92D5B"/>
    <w:rsid w:val="00A93B38"/>
    <w:rsid w:val="00A943B6"/>
    <w:rsid w:val="00A96D56"/>
    <w:rsid w:val="00A96E6D"/>
    <w:rsid w:val="00A96ECC"/>
    <w:rsid w:val="00A97338"/>
    <w:rsid w:val="00A973AD"/>
    <w:rsid w:val="00A97B20"/>
    <w:rsid w:val="00AA01EA"/>
    <w:rsid w:val="00AA070E"/>
    <w:rsid w:val="00AA0F03"/>
    <w:rsid w:val="00AA139D"/>
    <w:rsid w:val="00AA1976"/>
    <w:rsid w:val="00AA1DB7"/>
    <w:rsid w:val="00AA218C"/>
    <w:rsid w:val="00AA374E"/>
    <w:rsid w:val="00AA4A0F"/>
    <w:rsid w:val="00AA5537"/>
    <w:rsid w:val="00AA571F"/>
    <w:rsid w:val="00AA5730"/>
    <w:rsid w:val="00AA7631"/>
    <w:rsid w:val="00AA77D6"/>
    <w:rsid w:val="00AA782C"/>
    <w:rsid w:val="00AB0A75"/>
    <w:rsid w:val="00AB0B2D"/>
    <w:rsid w:val="00AB0FC1"/>
    <w:rsid w:val="00AB15B4"/>
    <w:rsid w:val="00AB160E"/>
    <w:rsid w:val="00AB2B46"/>
    <w:rsid w:val="00AB43E2"/>
    <w:rsid w:val="00AB47A5"/>
    <w:rsid w:val="00AB5B0D"/>
    <w:rsid w:val="00AB6A25"/>
    <w:rsid w:val="00AB6FDB"/>
    <w:rsid w:val="00AC06A6"/>
    <w:rsid w:val="00AC07A2"/>
    <w:rsid w:val="00AC0BCF"/>
    <w:rsid w:val="00AC137A"/>
    <w:rsid w:val="00AC2A10"/>
    <w:rsid w:val="00AC2AAE"/>
    <w:rsid w:val="00AC2FA3"/>
    <w:rsid w:val="00AC4AFF"/>
    <w:rsid w:val="00AC5090"/>
    <w:rsid w:val="00AC5AAE"/>
    <w:rsid w:val="00AC66A6"/>
    <w:rsid w:val="00AC6A65"/>
    <w:rsid w:val="00AC6D79"/>
    <w:rsid w:val="00AD09A4"/>
    <w:rsid w:val="00AD1602"/>
    <w:rsid w:val="00AD2A64"/>
    <w:rsid w:val="00AD2BE8"/>
    <w:rsid w:val="00AD62B9"/>
    <w:rsid w:val="00AD6656"/>
    <w:rsid w:val="00AD665F"/>
    <w:rsid w:val="00AD6B7E"/>
    <w:rsid w:val="00AD707F"/>
    <w:rsid w:val="00AD7092"/>
    <w:rsid w:val="00AD7DF3"/>
    <w:rsid w:val="00AE1986"/>
    <w:rsid w:val="00AE67FD"/>
    <w:rsid w:val="00AE707D"/>
    <w:rsid w:val="00AF05C7"/>
    <w:rsid w:val="00AF1173"/>
    <w:rsid w:val="00AF13AE"/>
    <w:rsid w:val="00AF1A95"/>
    <w:rsid w:val="00AF2ABE"/>
    <w:rsid w:val="00AF2C74"/>
    <w:rsid w:val="00AF326C"/>
    <w:rsid w:val="00AF4963"/>
    <w:rsid w:val="00AF50F1"/>
    <w:rsid w:val="00AF752B"/>
    <w:rsid w:val="00AF76BB"/>
    <w:rsid w:val="00B01846"/>
    <w:rsid w:val="00B01C49"/>
    <w:rsid w:val="00B028FD"/>
    <w:rsid w:val="00B03C30"/>
    <w:rsid w:val="00B04513"/>
    <w:rsid w:val="00B04F56"/>
    <w:rsid w:val="00B05C22"/>
    <w:rsid w:val="00B065F0"/>
    <w:rsid w:val="00B06842"/>
    <w:rsid w:val="00B10243"/>
    <w:rsid w:val="00B10C82"/>
    <w:rsid w:val="00B12538"/>
    <w:rsid w:val="00B1379F"/>
    <w:rsid w:val="00B146C6"/>
    <w:rsid w:val="00B153F7"/>
    <w:rsid w:val="00B167F1"/>
    <w:rsid w:val="00B16922"/>
    <w:rsid w:val="00B20909"/>
    <w:rsid w:val="00B209A5"/>
    <w:rsid w:val="00B20B41"/>
    <w:rsid w:val="00B215B8"/>
    <w:rsid w:val="00B217A4"/>
    <w:rsid w:val="00B218AA"/>
    <w:rsid w:val="00B22704"/>
    <w:rsid w:val="00B2284F"/>
    <w:rsid w:val="00B22B97"/>
    <w:rsid w:val="00B2386C"/>
    <w:rsid w:val="00B23D06"/>
    <w:rsid w:val="00B258CC"/>
    <w:rsid w:val="00B259AB"/>
    <w:rsid w:val="00B26577"/>
    <w:rsid w:val="00B2739B"/>
    <w:rsid w:val="00B30626"/>
    <w:rsid w:val="00B30638"/>
    <w:rsid w:val="00B308C1"/>
    <w:rsid w:val="00B312E0"/>
    <w:rsid w:val="00B321F0"/>
    <w:rsid w:val="00B33B85"/>
    <w:rsid w:val="00B34B82"/>
    <w:rsid w:val="00B352F1"/>
    <w:rsid w:val="00B3595F"/>
    <w:rsid w:val="00B368D0"/>
    <w:rsid w:val="00B36DC6"/>
    <w:rsid w:val="00B3747D"/>
    <w:rsid w:val="00B42C17"/>
    <w:rsid w:val="00B434E5"/>
    <w:rsid w:val="00B44C53"/>
    <w:rsid w:val="00B46596"/>
    <w:rsid w:val="00B46F87"/>
    <w:rsid w:val="00B47AE7"/>
    <w:rsid w:val="00B51B0D"/>
    <w:rsid w:val="00B53691"/>
    <w:rsid w:val="00B53C4C"/>
    <w:rsid w:val="00B5551C"/>
    <w:rsid w:val="00B560FC"/>
    <w:rsid w:val="00B569FB"/>
    <w:rsid w:val="00B56A05"/>
    <w:rsid w:val="00B57C22"/>
    <w:rsid w:val="00B60A26"/>
    <w:rsid w:val="00B6213B"/>
    <w:rsid w:val="00B62542"/>
    <w:rsid w:val="00B62635"/>
    <w:rsid w:val="00B62B02"/>
    <w:rsid w:val="00B638D9"/>
    <w:rsid w:val="00B63951"/>
    <w:rsid w:val="00B63B09"/>
    <w:rsid w:val="00B646C6"/>
    <w:rsid w:val="00B65361"/>
    <w:rsid w:val="00B66748"/>
    <w:rsid w:val="00B703A1"/>
    <w:rsid w:val="00B70635"/>
    <w:rsid w:val="00B717D5"/>
    <w:rsid w:val="00B723D4"/>
    <w:rsid w:val="00B731A4"/>
    <w:rsid w:val="00B75136"/>
    <w:rsid w:val="00B8005D"/>
    <w:rsid w:val="00B812B2"/>
    <w:rsid w:val="00B83554"/>
    <w:rsid w:val="00B83CCF"/>
    <w:rsid w:val="00B84862"/>
    <w:rsid w:val="00B85A13"/>
    <w:rsid w:val="00B86974"/>
    <w:rsid w:val="00B86B8F"/>
    <w:rsid w:val="00B9024D"/>
    <w:rsid w:val="00B916DC"/>
    <w:rsid w:val="00B91C87"/>
    <w:rsid w:val="00B91F45"/>
    <w:rsid w:val="00B930C2"/>
    <w:rsid w:val="00B93C4A"/>
    <w:rsid w:val="00B93FBF"/>
    <w:rsid w:val="00B94441"/>
    <w:rsid w:val="00B95117"/>
    <w:rsid w:val="00B96E06"/>
    <w:rsid w:val="00B97278"/>
    <w:rsid w:val="00BA0384"/>
    <w:rsid w:val="00BA0420"/>
    <w:rsid w:val="00BA11BF"/>
    <w:rsid w:val="00BA25ED"/>
    <w:rsid w:val="00BA29FC"/>
    <w:rsid w:val="00BA2E57"/>
    <w:rsid w:val="00BA32EA"/>
    <w:rsid w:val="00BA543E"/>
    <w:rsid w:val="00BA59CC"/>
    <w:rsid w:val="00BA600E"/>
    <w:rsid w:val="00BA6AD4"/>
    <w:rsid w:val="00BA6CA0"/>
    <w:rsid w:val="00BA7947"/>
    <w:rsid w:val="00BB0611"/>
    <w:rsid w:val="00BB0890"/>
    <w:rsid w:val="00BB3642"/>
    <w:rsid w:val="00BB4098"/>
    <w:rsid w:val="00BB40FD"/>
    <w:rsid w:val="00BB5755"/>
    <w:rsid w:val="00BB5E56"/>
    <w:rsid w:val="00BB68B9"/>
    <w:rsid w:val="00BB74C1"/>
    <w:rsid w:val="00BB786E"/>
    <w:rsid w:val="00BC0234"/>
    <w:rsid w:val="00BC0BF6"/>
    <w:rsid w:val="00BC2054"/>
    <w:rsid w:val="00BC2124"/>
    <w:rsid w:val="00BC2B8F"/>
    <w:rsid w:val="00BC43EF"/>
    <w:rsid w:val="00BC597D"/>
    <w:rsid w:val="00BC5D45"/>
    <w:rsid w:val="00BC7C62"/>
    <w:rsid w:val="00BD0234"/>
    <w:rsid w:val="00BD1C67"/>
    <w:rsid w:val="00BD22FF"/>
    <w:rsid w:val="00BD239B"/>
    <w:rsid w:val="00BD2AE2"/>
    <w:rsid w:val="00BD3047"/>
    <w:rsid w:val="00BD32CB"/>
    <w:rsid w:val="00BD3667"/>
    <w:rsid w:val="00BD508A"/>
    <w:rsid w:val="00BD50D9"/>
    <w:rsid w:val="00BD5138"/>
    <w:rsid w:val="00BD7006"/>
    <w:rsid w:val="00BD71D2"/>
    <w:rsid w:val="00BE1BF0"/>
    <w:rsid w:val="00BE56B2"/>
    <w:rsid w:val="00BE5BD9"/>
    <w:rsid w:val="00BE6F2A"/>
    <w:rsid w:val="00BF0527"/>
    <w:rsid w:val="00BF08D9"/>
    <w:rsid w:val="00BF13E7"/>
    <w:rsid w:val="00BF1621"/>
    <w:rsid w:val="00BF3152"/>
    <w:rsid w:val="00BF388E"/>
    <w:rsid w:val="00BF39BB"/>
    <w:rsid w:val="00BF4A78"/>
    <w:rsid w:val="00BF4E58"/>
    <w:rsid w:val="00BF536E"/>
    <w:rsid w:val="00BF5EAF"/>
    <w:rsid w:val="00BF70C2"/>
    <w:rsid w:val="00BF7E04"/>
    <w:rsid w:val="00BF7F1B"/>
    <w:rsid w:val="00C027D4"/>
    <w:rsid w:val="00C03430"/>
    <w:rsid w:val="00C03AA2"/>
    <w:rsid w:val="00C04A86"/>
    <w:rsid w:val="00C0501A"/>
    <w:rsid w:val="00C051F5"/>
    <w:rsid w:val="00C06676"/>
    <w:rsid w:val="00C06DCD"/>
    <w:rsid w:val="00C07080"/>
    <w:rsid w:val="00C1043E"/>
    <w:rsid w:val="00C10939"/>
    <w:rsid w:val="00C10BEE"/>
    <w:rsid w:val="00C11E46"/>
    <w:rsid w:val="00C122CA"/>
    <w:rsid w:val="00C1541A"/>
    <w:rsid w:val="00C17A33"/>
    <w:rsid w:val="00C17D6C"/>
    <w:rsid w:val="00C20AE0"/>
    <w:rsid w:val="00C20BB7"/>
    <w:rsid w:val="00C21902"/>
    <w:rsid w:val="00C21DF8"/>
    <w:rsid w:val="00C224FE"/>
    <w:rsid w:val="00C245E8"/>
    <w:rsid w:val="00C25AD7"/>
    <w:rsid w:val="00C27661"/>
    <w:rsid w:val="00C30E46"/>
    <w:rsid w:val="00C3131B"/>
    <w:rsid w:val="00C33479"/>
    <w:rsid w:val="00C33C04"/>
    <w:rsid w:val="00C3479D"/>
    <w:rsid w:val="00C34D96"/>
    <w:rsid w:val="00C34E9F"/>
    <w:rsid w:val="00C36ABC"/>
    <w:rsid w:val="00C3750B"/>
    <w:rsid w:val="00C406C3"/>
    <w:rsid w:val="00C40C98"/>
    <w:rsid w:val="00C41DE7"/>
    <w:rsid w:val="00C42529"/>
    <w:rsid w:val="00C43BA9"/>
    <w:rsid w:val="00C4551F"/>
    <w:rsid w:val="00C457A0"/>
    <w:rsid w:val="00C45BA8"/>
    <w:rsid w:val="00C47703"/>
    <w:rsid w:val="00C5098F"/>
    <w:rsid w:val="00C512AE"/>
    <w:rsid w:val="00C518A3"/>
    <w:rsid w:val="00C526DA"/>
    <w:rsid w:val="00C541AC"/>
    <w:rsid w:val="00C5505C"/>
    <w:rsid w:val="00C57316"/>
    <w:rsid w:val="00C57CF0"/>
    <w:rsid w:val="00C612FC"/>
    <w:rsid w:val="00C6226A"/>
    <w:rsid w:val="00C63F16"/>
    <w:rsid w:val="00C6507E"/>
    <w:rsid w:val="00C668F1"/>
    <w:rsid w:val="00C66E6E"/>
    <w:rsid w:val="00C67149"/>
    <w:rsid w:val="00C67215"/>
    <w:rsid w:val="00C7097B"/>
    <w:rsid w:val="00C709E1"/>
    <w:rsid w:val="00C70C06"/>
    <w:rsid w:val="00C70D67"/>
    <w:rsid w:val="00C70FB2"/>
    <w:rsid w:val="00C741D6"/>
    <w:rsid w:val="00C7434F"/>
    <w:rsid w:val="00C749DC"/>
    <w:rsid w:val="00C74D98"/>
    <w:rsid w:val="00C75670"/>
    <w:rsid w:val="00C76C3F"/>
    <w:rsid w:val="00C77BAD"/>
    <w:rsid w:val="00C80266"/>
    <w:rsid w:val="00C817CE"/>
    <w:rsid w:val="00C81DC2"/>
    <w:rsid w:val="00C82560"/>
    <w:rsid w:val="00C82A6E"/>
    <w:rsid w:val="00C841A9"/>
    <w:rsid w:val="00C8535A"/>
    <w:rsid w:val="00C86241"/>
    <w:rsid w:val="00C863AF"/>
    <w:rsid w:val="00C86442"/>
    <w:rsid w:val="00C867C8"/>
    <w:rsid w:val="00C8696E"/>
    <w:rsid w:val="00C86F53"/>
    <w:rsid w:val="00C87292"/>
    <w:rsid w:val="00C872E9"/>
    <w:rsid w:val="00C90747"/>
    <w:rsid w:val="00C90DA6"/>
    <w:rsid w:val="00C91D44"/>
    <w:rsid w:val="00C92A42"/>
    <w:rsid w:val="00C92A5A"/>
    <w:rsid w:val="00C92DF9"/>
    <w:rsid w:val="00C943E3"/>
    <w:rsid w:val="00C9443F"/>
    <w:rsid w:val="00C949C9"/>
    <w:rsid w:val="00C9549D"/>
    <w:rsid w:val="00C961DB"/>
    <w:rsid w:val="00C9668E"/>
    <w:rsid w:val="00C97C03"/>
    <w:rsid w:val="00C97C0D"/>
    <w:rsid w:val="00CA0357"/>
    <w:rsid w:val="00CA0464"/>
    <w:rsid w:val="00CA049E"/>
    <w:rsid w:val="00CA19EB"/>
    <w:rsid w:val="00CA1CD5"/>
    <w:rsid w:val="00CA1DEC"/>
    <w:rsid w:val="00CA2AAC"/>
    <w:rsid w:val="00CA2CAD"/>
    <w:rsid w:val="00CA321F"/>
    <w:rsid w:val="00CA34EF"/>
    <w:rsid w:val="00CA3A67"/>
    <w:rsid w:val="00CA4E15"/>
    <w:rsid w:val="00CA5023"/>
    <w:rsid w:val="00CA5188"/>
    <w:rsid w:val="00CA5435"/>
    <w:rsid w:val="00CA5571"/>
    <w:rsid w:val="00CA5BC0"/>
    <w:rsid w:val="00CA61A1"/>
    <w:rsid w:val="00CB0207"/>
    <w:rsid w:val="00CB07B9"/>
    <w:rsid w:val="00CB0CE4"/>
    <w:rsid w:val="00CB20EE"/>
    <w:rsid w:val="00CB2645"/>
    <w:rsid w:val="00CB2734"/>
    <w:rsid w:val="00CB4517"/>
    <w:rsid w:val="00CB4BFE"/>
    <w:rsid w:val="00CB4E13"/>
    <w:rsid w:val="00CB6266"/>
    <w:rsid w:val="00CB6446"/>
    <w:rsid w:val="00CB6551"/>
    <w:rsid w:val="00CB671E"/>
    <w:rsid w:val="00CB74CF"/>
    <w:rsid w:val="00CC0E60"/>
    <w:rsid w:val="00CC194A"/>
    <w:rsid w:val="00CC3F5E"/>
    <w:rsid w:val="00CC4041"/>
    <w:rsid w:val="00CC72F6"/>
    <w:rsid w:val="00CC73A0"/>
    <w:rsid w:val="00CC7B99"/>
    <w:rsid w:val="00CC7D85"/>
    <w:rsid w:val="00CD08EB"/>
    <w:rsid w:val="00CD0A39"/>
    <w:rsid w:val="00CD1C40"/>
    <w:rsid w:val="00CD2B35"/>
    <w:rsid w:val="00CD3891"/>
    <w:rsid w:val="00CD3FA6"/>
    <w:rsid w:val="00CD4516"/>
    <w:rsid w:val="00CD4700"/>
    <w:rsid w:val="00CD5F7C"/>
    <w:rsid w:val="00CD629D"/>
    <w:rsid w:val="00CD7774"/>
    <w:rsid w:val="00CD77FD"/>
    <w:rsid w:val="00CE2DF6"/>
    <w:rsid w:val="00CE4151"/>
    <w:rsid w:val="00CE436E"/>
    <w:rsid w:val="00CE489C"/>
    <w:rsid w:val="00CE4931"/>
    <w:rsid w:val="00CE5CD2"/>
    <w:rsid w:val="00CE6310"/>
    <w:rsid w:val="00CE6487"/>
    <w:rsid w:val="00CE6763"/>
    <w:rsid w:val="00CE7F46"/>
    <w:rsid w:val="00CF0B43"/>
    <w:rsid w:val="00CF1DE9"/>
    <w:rsid w:val="00CF210A"/>
    <w:rsid w:val="00CF30B3"/>
    <w:rsid w:val="00CF346C"/>
    <w:rsid w:val="00CF3CB8"/>
    <w:rsid w:val="00CF42CF"/>
    <w:rsid w:val="00CF4535"/>
    <w:rsid w:val="00CF49AC"/>
    <w:rsid w:val="00CF7F7E"/>
    <w:rsid w:val="00D00227"/>
    <w:rsid w:val="00D0025D"/>
    <w:rsid w:val="00D006A7"/>
    <w:rsid w:val="00D02C2A"/>
    <w:rsid w:val="00D0377A"/>
    <w:rsid w:val="00D03C43"/>
    <w:rsid w:val="00D03EF7"/>
    <w:rsid w:val="00D04247"/>
    <w:rsid w:val="00D05349"/>
    <w:rsid w:val="00D058F6"/>
    <w:rsid w:val="00D059D7"/>
    <w:rsid w:val="00D068A8"/>
    <w:rsid w:val="00D06C35"/>
    <w:rsid w:val="00D06C4C"/>
    <w:rsid w:val="00D07102"/>
    <w:rsid w:val="00D075E0"/>
    <w:rsid w:val="00D10B03"/>
    <w:rsid w:val="00D10E2E"/>
    <w:rsid w:val="00D11414"/>
    <w:rsid w:val="00D11B98"/>
    <w:rsid w:val="00D13973"/>
    <w:rsid w:val="00D1434E"/>
    <w:rsid w:val="00D14A06"/>
    <w:rsid w:val="00D14D20"/>
    <w:rsid w:val="00D14E3C"/>
    <w:rsid w:val="00D15AD0"/>
    <w:rsid w:val="00D16913"/>
    <w:rsid w:val="00D16F5B"/>
    <w:rsid w:val="00D17974"/>
    <w:rsid w:val="00D17A1D"/>
    <w:rsid w:val="00D17C22"/>
    <w:rsid w:val="00D17F32"/>
    <w:rsid w:val="00D2008D"/>
    <w:rsid w:val="00D20733"/>
    <w:rsid w:val="00D20A4D"/>
    <w:rsid w:val="00D20D6D"/>
    <w:rsid w:val="00D21714"/>
    <w:rsid w:val="00D218BD"/>
    <w:rsid w:val="00D22ED7"/>
    <w:rsid w:val="00D238B7"/>
    <w:rsid w:val="00D23EB5"/>
    <w:rsid w:val="00D2409A"/>
    <w:rsid w:val="00D24DDF"/>
    <w:rsid w:val="00D25C7B"/>
    <w:rsid w:val="00D25D35"/>
    <w:rsid w:val="00D25D90"/>
    <w:rsid w:val="00D262ED"/>
    <w:rsid w:val="00D30247"/>
    <w:rsid w:val="00D30FD4"/>
    <w:rsid w:val="00D32C32"/>
    <w:rsid w:val="00D3305F"/>
    <w:rsid w:val="00D33F0D"/>
    <w:rsid w:val="00D34BA2"/>
    <w:rsid w:val="00D35C9F"/>
    <w:rsid w:val="00D3654A"/>
    <w:rsid w:val="00D36848"/>
    <w:rsid w:val="00D36A6E"/>
    <w:rsid w:val="00D36A83"/>
    <w:rsid w:val="00D37A11"/>
    <w:rsid w:val="00D40556"/>
    <w:rsid w:val="00D40FF5"/>
    <w:rsid w:val="00D417C3"/>
    <w:rsid w:val="00D42C1C"/>
    <w:rsid w:val="00D432F8"/>
    <w:rsid w:val="00D437A3"/>
    <w:rsid w:val="00D44801"/>
    <w:rsid w:val="00D459EF"/>
    <w:rsid w:val="00D46275"/>
    <w:rsid w:val="00D47272"/>
    <w:rsid w:val="00D504B2"/>
    <w:rsid w:val="00D50CD5"/>
    <w:rsid w:val="00D51389"/>
    <w:rsid w:val="00D519C5"/>
    <w:rsid w:val="00D51D03"/>
    <w:rsid w:val="00D51F84"/>
    <w:rsid w:val="00D5231D"/>
    <w:rsid w:val="00D5231F"/>
    <w:rsid w:val="00D53F94"/>
    <w:rsid w:val="00D543A5"/>
    <w:rsid w:val="00D5450B"/>
    <w:rsid w:val="00D550F8"/>
    <w:rsid w:val="00D553BC"/>
    <w:rsid w:val="00D55CFD"/>
    <w:rsid w:val="00D567C8"/>
    <w:rsid w:val="00D57C7F"/>
    <w:rsid w:val="00D6010B"/>
    <w:rsid w:val="00D617E7"/>
    <w:rsid w:val="00D61EB5"/>
    <w:rsid w:val="00D62132"/>
    <w:rsid w:val="00D62E87"/>
    <w:rsid w:val="00D6317B"/>
    <w:rsid w:val="00D632D9"/>
    <w:rsid w:val="00D64174"/>
    <w:rsid w:val="00D644D6"/>
    <w:rsid w:val="00D64D7D"/>
    <w:rsid w:val="00D64DF0"/>
    <w:rsid w:val="00D653B6"/>
    <w:rsid w:val="00D65B5C"/>
    <w:rsid w:val="00D678EF"/>
    <w:rsid w:val="00D67B29"/>
    <w:rsid w:val="00D70D8E"/>
    <w:rsid w:val="00D710E0"/>
    <w:rsid w:val="00D710F0"/>
    <w:rsid w:val="00D71BD3"/>
    <w:rsid w:val="00D71DEE"/>
    <w:rsid w:val="00D72475"/>
    <w:rsid w:val="00D72528"/>
    <w:rsid w:val="00D7356F"/>
    <w:rsid w:val="00D73682"/>
    <w:rsid w:val="00D74188"/>
    <w:rsid w:val="00D7580D"/>
    <w:rsid w:val="00D75FAC"/>
    <w:rsid w:val="00D764BF"/>
    <w:rsid w:val="00D76E3B"/>
    <w:rsid w:val="00D774E6"/>
    <w:rsid w:val="00D7788A"/>
    <w:rsid w:val="00D77898"/>
    <w:rsid w:val="00D8060A"/>
    <w:rsid w:val="00D80689"/>
    <w:rsid w:val="00D810EB"/>
    <w:rsid w:val="00D8259B"/>
    <w:rsid w:val="00D830F4"/>
    <w:rsid w:val="00D831E6"/>
    <w:rsid w:val="00D83432"/>
    <w:rsid w:val="00D8352F"/>
    <w:rsid w:val="00D85179"/>
    <w:rsid w:val="00D858E5"/>
    <w:rsid w:val="00D86061"/>
    <w:rsid w:val="00D86295"/>
    <w:rsid w:val="00D86418"/>
    <w:rsid w:val="00D8692E"/>
    <w:rsid w:val="00D90DC3"/>
    <w:rsid w:val="00D90E00"/>
    <w:rsid w:val="00D912B7"/>
    <w:rsid w:val="00D91B50"/>
    <w:rsid w:val="00D91D9B"/>
    <w:rsid w:val="00D92A26"/>
    <w:rsid w:val="00D93393"/>
    <w:rsid w:val="00D93531"/>
    <w:rsid w:val="00D939E7"/>
    <w:rsid w:val="00D95375"/>
    <w:rsid w:val="00D95892"/>
    <w:rsid w:val="00D96182"/>
    <w:rsid w:val="00DA0191"/>
    <w:rsid w:val="00DA06E7"/>
    <w:rsid w:val="00DA0ADD"/>
    <w:rsid w:val="00DA0D17"/>
    <w:rsid w:val="00DA2744"/>
    <w:rsid w:val="00DA2D6C"/>
    <w:rsid w:val="00DA2F57"/>
    <w:rsid w:val="00DA3248"/>
    <w:rsid w:val="00DA3FE4"/>
    <w:rsid w:val="00DA4861"/>
    <w:rsid w:val="00DA52C8"/>
    <w:rsid w:val="00DA52FE"/>
    <w:rsid w:val="00DA588E"/>
    <w:rsid w:val="00DA5DED"/>
    <w:rsid w:val="00DA646C"/>
    <w:rsid w:val="00DA7AA4"/>
    <w:rsid w:val="00DB0022"/>
    <w:rsid w:val="00DB0086"/>
    <w:rsid w:val="00DB0B51"/>
    <w:rsid w:val="00DB316D"/>
    <w:rsid w:val="00DB327C"/>
    <w:rsid w:val="00DB3A41"/>
    <w:rsid w:val="00DB4E44"/>
    <w:rsid w:val="00DB5657"/>
    <w:rsid w:val="00DB586D"/>
    <w:rsid w:val="00DB6E10"/>
    <w:rsid w:val="00DB6F6D"/>
    <w:rsid w:val="00DB746C"/>
    <w:rsid w:val="00DB78C7"/>
    <w:rsid w:val="00DC0ADA"/>
    <w:rsid w:val="00DC1CA7"/>
    <w:rsid w:val="00DC1F1D"/>
    <w:rsid w:val="00DC24F0"/>
    <w:rsid w:val="00DC257F"/>
    <w:rsid w:val="00DC3C03"/>
    <w:rsid w:val="00DC57CB"/>
    <w:rsid w:val="00DC5D58"/>
    <w:rsid w:val="00DC6759"/>
    <w:rsid w:val="00DD02F3"/>
    <w:rsid w:val="00DD0A26"/>
    <w:rsid w:val="00DD5796"/>
    <w:rsid w:val="00DD6832"/>
    <w:rsid w:val="00DD6F06"/>
    <w:rsid w:val="00DD6F86"/>
    <w:rsid w:val="00DE1922"/>
    <w:rsid w:val="00DE4D5D"/>
    <w:rsid w:val="00DE520A"/>
    <w:rsid w:val="00DE5F35"/>
    <w:rsid w:val="00DE7EF5"/>
    <w:rsid w:val="00DF090C"/>
    <w:rsid w:val="00DF37CB"/>
    <w:rsid w:val="00DF41D2"/>
    <w:rsid w:val="00DF4550"/>
    <w:rsid w:val="00DF7206"/>
    <w:rsid w:val="00DF7D8A"/>
    <w:rsid w:val="00E006A5"/>
    <w:rsid w:val="00E0197B"/>
    <w:rsid w:val="00E01D01"/>
    <w:rsid w:val="00E01F99"/>
    <w:rsid w:val="00E02571"/>
    <w:rsid w:val="00E02893"/>
    <w:rsid w:val="00E02D1F"/>
    <w:rsid w:val="00E03AF6"/>
    <w:rsid w:val="00E04D3D"/>
    <w:rsid w:val="00E04D87"/>
    <w:rsid w:val="00E054A1"/>
    <w:rsid w:val="00E07BB5"/>
    <w:rsid w:val="00E07CFB"/>
    <w:rsid w:val="00E10899"/>
    <w:rsid w:val="00E11546"/>
    <w:rsid w:val="00E11A3C"/>
    <w:rsid w:val="00E11FA9"/>
    <w:rsid w:val="00E120AD"/>
    <w:rsid w:val="00E123FB"/>
    <w:rsid w:val="00E12E07"/>
    <w:rsid w:val="00E1458B"/>
    <w:rsid w:val="00E14E03"/>
    <w:rsid w:val="00E14F08"/>
    <w:rsid w:val="00E14F8F"/>
    <w:rsid w:val="00E1519E"/>
    <w:rsid w:val="00E15D9A"/>
    <w:rsid w:val="00E174BC"/>
    <w:rsid w:val="00E20504"/>
    <w:rsid w:val="00E20643"/>
    <w:rsid w:val="00E22D8B"/>
    <w:rsid w:val="00E243A7"/>
    <w:rsid w:val="00E244C4"/>
    <w:rsid w:val="00E25E11"/>
    <w:rsid w:val="00E25F40"/>
    <w:rsid w:val="00E2654D"/>
    <w:rsid w:val="00E26E21"/>
    <w:rsid w:val="00E270DF"/>
    <w:rsid w:val="00E30696"/>
    <w:rsid w:val="00E3147D"/>
    <w:rsid w:val="00E31666"/>
    <w:rsid w:val="00E32337"/>
    <w:rsid w:val="00E329A8"/>
    <w:rsid w:val="00E3335D"/>
    <w:rsid w:val="00E3554F"/>
    <w:rsid w:val="00E409E8"/>
    <w:rsid w:val="00E41CEF"/>
    <w:rsid w:val="00E4226A"/>
    <w:rsid w:val="00E43908"/>
    <w:rsid w:val="00E454E8"/>
    <w:rsid w:val="00E4579E"/>
    <w:rsid w:val="00E45D30"/>
    <w:rsid w:val="00E46D4A"/>
    <w:rsid w:val="00E4712D"/>
    <w:rsid w:val="00E47653"/>
    <w:rsid w:val="00E50907"/>
    <w:rsid w:val="00E50D47"/>
    <w:rsid w:val="00E50E45"/>
    <w:rsid w:val="00E51021"/>
    <w:rsid w:val="00E5178A"/>
    <w:rsid w:val="00E518B6"/>
    <w:rsid w:val="00E540D1"/>
    <w:rsid w:val="00E54BB7"/>
    <w:rsid w:val="00E5545C"/>
    <w:rsid w:val="00E55461"/>
    <w:rsid w:val="00E56565"/>
    <w:rsid w:val="00E604F0"/>
    <w:rsid w:val="00E621CC"/>
    <w:rsid w:val="00E625F3"/>
    <w:rsid w:val="00E6336C"/>
    <w:rsid w:val="00E63598"/>
    <w:rsid w:val="00E63BB1"/>
    <w:rsid w:val="00E653B1"/>
    <w:rsid w:val="00E67798"/>
    <w:rsid w:val="00E7295C"/>
    <w:rsid w:val="00E72FE8"/>
    <w:rsid w:val="00E75E3D"/>
    <w:rsid w:val="00E76989"/>
    <w:rsid w:val="00E76BA4"/>
    <w:rsid w:val="00E80E7E"/>
    <w:rsid w:val="00E8155F"/>
    <w:rsid w:val="00E81A42"/>
    <w:rsid w:val="00E81C12"/>
    <w:rsid w:val="00E822B4"/>
    <w:rsid w:val="00E82D04"/>
    <w:rsid w:val="00E84957"/>
    <w:rsid w:val="00E85415"/>
    <w:rsid w:val="00E86CDC"/>
    <w:rsid w:val="00E875ED"/>
    <w:rsid w:val="00E90CD2"/>
    <w:rsid w:val="00E90F1C"/>
    <w:rsid w:val="00E91DA6"/>
    <w:rsid w:val="00E93156"/>
    <w:rsid w:val="00E97B48"/>
    <w:rsid w:val="00E97E40"/>
    <w:rsid w:val="00EA11A4"/>
    <w:rsid w:val="00EA12D7"/>
    <w:rsid w:val="00EA1E12"/>
    <w:rsid w:val="00EA30E0"/>
    <w:rsid w:val="00EA42D8"/>
    <w:rsid w:val="00EA4F74"/>
    <w:rsid w:val="00EA594E"/>
    <w:rsid w:val="00EA622F"/>
    <w:rsid w:val="00EA6AC7"/>
    <w:rsid w:val="00EA7973"/>
    <w:rsid w:val="00EB0FF6"/>
    <w:rsid w:val="00EB11AA"/>
    <w:rsid w:val="00EB12E2"/>
    <w:rsid w:val="00EB1462"/>
    <w:rsid w:val="00EB24D3"/>
    <w:rsid w:val="00EB3508"/>
    <w:rsid w:val="00EB4B37"/>
    <w:rsid w:val="00EB4BAA"/>
    <w:rsid w:val="00EB4C8E"/>
    <w:rsid w:val="00EB6779"/>
    <w:rsid w:val="00EB6A62"/>
    <w:rsid w:val="00EB6F8F"/>
    <w:rsid w:val="00EB7966"/>
    <w:rsid w:val="00EB7F8C"/>
    <w:rsid w:val="00EC1071"/>
    <w:rsid w:val="00EC28A1"/>
    <w:rsid w:val="00EC2C81"/>
    <w:rsid w:val="00EC3F2D"/>
    <w:rsid w:val="00EC48D7"/>
    <w:rsid w:val="00EC4B08"/>
    <w:rsid w:val="00EC4C7C"/>
    <w:rsid w:val="00ED113C"/>
    <w:rsid w:val="00ED3150"/>
    <w:rsid w:val="00ED3592"/>
    <w:rsid w:val="00ED40E3"/>
    <w:rsid w:val="00ED4163"/>
    <w:rsid w:val="00ED5066"/>
    <w:rsid w:val="00ED5439"/>
    <w:rsid w:val="00ED5CEE"/>
    <w:rsid w:val="00ED6231"/>
    <w:rsid w:val="00ED6C9D"/>
    <w:rsid w:val="00ED728C"/>
    <w:rsid w:val="00ED735E"/>
    <w:rsid w:val="00EE073E"/>
    <w:rsid w:val="00EE0886"/>
    <w:rsid w:val="00EE0D17"/>
    <w:rsid w:val="00EE1ED1"/>
    <w:rsid w:val="00EE218A"/>
    <w:rsid w:val="00EE2256"/>
    <w:rsid w:val="00EE2A7A"/>
    <w:rsid w:val="00EE35DA"/>
    <w:rsid w:val="00EE3D1B"/>
    <w:rsid w:val="00EE4F93"/>
    <w:rsid w:val="00EE5185"/>
    <w:rsid w:val="00EE6572"/>
    <w:rsid w:val="00EE6F3D"/>
    <w:rsid w:val="00EE7CAA"/>
    <w:rsid w:val="00EE7ED1"/>
    <w:rsid w:val="00EF076A"/>
    <w:rsid w:val="00EF2407"/>
    <w:rsid w:val="00EF25A6"/>
    <w:rsid w:val="00EF31D3"/>
    <w:rsid w:val="00EF387B"/>
    <w:rsid w:val="00EF4179"/>
    <w:rsid w:val="00EF425E"/>
    <w:rsid w:val="00EF7872"/>
    <w:rsid w:val="00F00AD5"/>
    <w:rsid w:val="00F027A4"/>
    <w:rsid w:val="00F045EB"/>
    <w:rsid w:val="00F04776"/>
    <w:rsid w:val="00F04CDE"/>
    <w:rsid w:val="00F06041"/>
    <w:rsid w:val="00F06BCD"/>
    <w:rsid w:val="00F07005"/>
    <w:rsid w:val="00F07665"/>
    <w:rsid w:val="00F07E99"/>
    <w:rsid w:val="00F10606"/>
    <w:rsid w:val="00F10A70"/>
    <w:rsid w:val="00F110FD"/>
    <w:rsid w:val="00F11AD4"/>
    <w:rsid w:val="00F124D5"/>
    <w:rsid w:val="00F133A7"/>
    <w:rsid w:val="00F1475C"/>
    <w:rsid w:val="00F1541A"/>
    <w:rsid w:val="00F15BF9"/>
    <w:rsid w:val="00F17831"/>
    <w:rsid w:val="00F202B5"/>
    <w:rsid w:val="00F204C4"/>
    <w:rsid w:val="00F214C4"/>
    <w:rsid w:val="00F215E9"/>
    <w:rsid w:val="00F21A26"/>
    <w:rsid w:val="00F224E6"/>
    <w:rsid w:val="00F22E01"/>
    <w:rsid w:val="00F23277"/>
    <w:rsid w:val="00F23D0C"/>
    <w:rsid w:val="00F23D93"/>
    <w:rsid w:val="00F24CFB"/>
    <w:rsid w:val="00F24F99"/>
    <w:rsid w:val="00F25A2E"/>
    <w:rsid w:val="00F26085"/>
    <w:rsid w:val="00F269D1"/>
    <w:rsid w:val="00F2780A"/>
    <w:rsid w:val="00F27A3B"/>
    <w:rsid w:val="00F301D1"/>
    <w:rsid w:val="00F305A9"/>
    <w:rsid w:val="00F3107D"/>
    <w:rsid w:val="00F31EA3"/>
    <w:rsid w:val="00F31FAE"/>
    <w:rsid w:val="00F3208F"/>
    <w:rsid w:val="00F3273E"/>
    <w:rsid w:val="00F328CB"/>
    <w:rsid w:val="00F33146"/>
    <w:rsid w:val="00F331DD"/>
    <w:rsid w:val="00F332F2"/>
    <w:rsid w:val="00F33344"/>
    <w:rsid w:val="00F335CF"/>
    <w:rsid w:val="00F34C02"/>
    <w:rsid w:val="00F36064"/>
    <w:rsid w:val="00F4059A"/>
    <w:rsid w:val="00F4154B"/>
    <w:rsid w:val="00F42F8B"/>
    <w:rsid w:val="00F44401"/>
    <w:rsid w:val="00F44A51"/>
    <w:rsid w:val="00F45410"/>
    <w:rsid w:val="00F47460"/>
    <w:rsid w:val="00F476BA"/>
    <w:rsid w:val="00F5077F"/>
    <w:rsid w:val="00F51260"/>
    <w:rsid w:val="00F52A56"/>
    <w:rsid w:val="00F53673"/>
    <w:rsid w:val="00F53A4B"/>
    <w:rsid w:val="00F54759"/>
    <w:rsid w:val="00F547CC"/>
    <w:rsid w:val="00F54E2A"/>
    <w:rsid w:val="00F55142"/>
    <w:rsid w:val="00F55574"/>
    <w:rsid w:val="00F55AD1"/>
    <w:rsid w:val="00F55CD6"/>
    <w:rsid w:val="00F55F3F"/>
    <w:rsid w:val="00F562F0"/>
    <w:rsid w:val="00F56DCC"/>
    <w:rsid w:val="00F57510"/>
    <w:rsid w:val="00F5764B"/>
    <w:rsid w:val="00F57A5E"/>
    <w:rsid w:val="00F61636"/>
    <w:rsid w:val="00F619E7"/>
    <w:rsid w:val="00F623DF"/>
    <w:rsid w:val="00F63B9E"/>
    <w:rsid w:val="00F63F00"/>
    <w:rsid w:val="00F645CF"/>
    <w:rsid w:val="00F64F2E"/>
    <w:rsid w:val="00F64FB6"/>
    <w:rsid w:val="00F657F4"/>
    <w:rsid w:val="00F65EB7"/>
    <w:rsid w:val="00F67712"/>
    <w:rsid w:val="00F70200"/>
    <w:rsid w:val="00F70984"/>
    <w:rsid w:val="00F709A4"/>
    <w:rsid w:val="00F71B71"/>
    <w:rsid w:val="00F73611"/>
    <w:rsid w:val="00F73F4E"/>
    <w:rsid w:val="00F74C14"/>
    <w:rsid w:val="00F75976"/>
    <w:rsid w:val="00F7711C"/>
    <w:rsid w:val="00F77A9A"/>
    <w:rsid w:val="00F807F8"/>
    <w:rsid w:val="00F81390"/>
    <w:rsid w:val="00F81CB7"/>
    <w:rsid w:val="00F826C4"/>
    <w:rsid w:val="00F82777"/>
    <w:rsid w:val="00F83FB9"/>
    <w:rsid w:val="00F84487"/>
    <w:rsid w:val="00F8593F"/>
    <w:rsid w:val="00F8598F"/>
    <w:rsid w:val="00F86233"/>
    <w:rsid w:val="00F8627A"/>
    <w:rsid w:val="00F873BF"/>
    <w:rsid w:val="00F87675"/>
    <w:rsid w:val="00F87A32"/>
    <w:rsid w:val="00F9362B"/>
    <w:rsid w:val="00F94F64"/>
    <w:rsid w:val="00F96764"/>
    <w:rsid w:val="00F97742"/>
    <w:rsid w:val="00F9796F"/>
    <w:rsid w:val="00FA0175"/>
    <w:rsid w:val="00FA0210"/>
    <w:rsid w:val="00FA061D"/>
    <w:rsid w:val="00FA2243"/>
    <w:rsid w:val="00FA2586"/>
    <w:rsid w:val="00FA2A6F"/>
    <w:rsid w:val="00FA2CA4"/>
    <w:rsid w:val="00FA583B"/>
    <w:rsid w:val="00FA6255"/>
    <w:rsid w:val="00FA686C"/>
    <w:rsid w:val="00FA79F7"/>
    <w:rsid w:val="00FA7DDD"/>
    <w:rsid w:val="00FB05A5"/>
    <w:rsid w:val="00FB138E"/>
    <w:rsid w:val="00FB188D"/>
    <w:rsid w:val="00FB1FB6"/>
    <w:rsid w:val="00FB21A0"/>
    <w:rsid w:val="00FB2FC8"/>
    <w:rsid w:val="00FB3AA0"/>
    <w:rsid w:val="00FB48FD"/>
    <w:rsid w:val="00FB53B8"/>
    <w:rsid w:val="00FB5538"/>
    <w:rsid w:val="00FB60D7"/>
    <w:rsid w:val="00FB6E97"/>
    <w:rsid w:val="00FB7B93"/>
    <w:rsid w:val="00FC0042"/>
    <w:rsid w:val="00FC0A91"/>
    <w:rsid w:val="00FC0B1B"/>
    <w:rsid w:val="00FC129F"/>
    <w:rsid w:val="00FC158E"/>
    <w:rsid w:val="00FC2165"/>
    <w:rsid w:val="00FC216F"/>
    <w:rsid w:val="00FC2EEB"/>
    <w:rsid w:val="00FC3E18"/>
    <w:rsid w:val="00FC436B"/>
    <w:rsid w:val="00FC4D3B"/>
    <w:rsid w:val="00FC598F"/>
    <w:rsid w:val="00FC5CCD"/>
    <w:rsid w:val="00FC6239"/>
    <w:rsid w:val="00FC699D"/>
    <w:rsid w:val="00FC6C7A"/>
    <w:rsid w:val="00FD06CB"/>
    <w:rsid w:val="00FD145F"/>
    <w:rsid w:val="00FD1C05"/>
    <w:rsid w:val="00FD21AE"/>
    <w:rsid w:val="00FD2B14"/>
    <w:rsid w:val="00FD3762"/>
    <w:rsid w:val="00FD4467"/>
    <w:rsid w:val="00FD456E"/>
    <w:rsid w:val="00FD482B"/>
    <w:rsid w:val="00FD696D"/>
    <w:rsid w:val="00FD7117"/>
    <w:rsid w:val="00FD73FE"/>
    <w:rsid w:val="00FD7A77"/>
    <w:rsid w:val="00FE03A3"/>
    <w:rsid w:val="00FE18C0"/>
    <w:rsid w:val="00FE26AA"/>
    <w:rsid w:val="00FE2895"/>
    <w:rsid w:val="00FE28A9"/>
    <w:rsid w:val="00FE45D8"/>
    <w:rsid w:val="00FE4D35"/>
    <w:rsid w:val="00FE680D"/>
    <w:rsid w:val="00FF0657"/>
    <w:rsid w:val="00FF1831"/>
    <w:rsid w:val="00FF2FAD"/>
    <w:rsid w:val="00FF399D"/>
    <w:rsid w:val="00FF407B"/>
    <w:rsid w:val="00FF4084"/>
    <w:rsid w:val="00FF41AA"/>
    <w:rsid w:val="00FF4A41"/>
    <w:rsid w:val="00FF6865"/>
    <w:rsid w:val="00FF7126"/>
    <w:rsid w:val="00FF7604"/>
    <w:rsid w:val="00FF76B7"/>
    <w:rsid w:val="00FF7D5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8ADEB86"/>
  <w15:docId w15:val="{7B3E43CF-3939-4DA4-BB8F-524B196232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A247C0"/>
  </w:style>
  <w:style w:type="paragraph" w:styleId="Nadpis1">
    <w:name w:val="heading 1"/>
    <w:basedOn w:val="Normln"/>
    <w:next w:val="Normln"/>
    <w:link w:val="Nadpis1Char"/>
    <w:uiPriority w:val="9"/>
    <w:qFormat/>
    <w:rsid w:val="0046538E"/>
    <w:pPr>
      <w:keepNext/>
      <w:keepLines/>
      <w:numPr>
        <w:numId w:val="6"/>
      </w:numPr>
      <w:spacing w:before="480" w:after="120"/>
      <w:jc w:val="both"/>
      <w:outlineLvl w:val="0"/>
    </w:pPr>
    <w:rPr>
      <w:rFonts w:asciiTheme="majorHAnsi" w:eastAsiaTheme="majorEastAsia" w:hAnsiTheme="majorHAnsi" w:cstheme="majorBidi"/>
      <w:b/>
      <w:bCs/>
      <w:color w:val="365F91" w:themeColor="accent1" w:themeShade="BF"/>
      <w:sz w:val="36"/>
      <w:szCs w:val="28"/>
    </w:rPr>
  </w:style>
  <w:style w:type="paragraph" w:styleId="Nadpis2">
    <w:name w:val="heading 2"/>
    <w:basedOn w:val="Normln"/>
    <w:next w:val="Normln"/>
    <w:link w:val="Nadpis2Char"/>
    <w:uiPriority w:val="9"/>
    <w:unhideWhenUsed/>
    <w:qFormat/>
    <w:rsid w:val="007C31D3"/>
    <w:pPr>
      <w:keepNext/>
      <w:keepLines/>
      <w:numPr>
        <w:ilvl w:val="1"/>
        <w:numId w:val="6"/>
      </w:numPr>
      <w:spacing w:before="120" w:after="120"/>
      <w:jc w:val="both"/>
      <w:outlineLvl w:val="1"/>
    </w:pPr>
    <w:rPr>
      <w:rFonts w:asciiTheme="majorHAnsi" w:eastAsiaTheme="majorEastAsia" w:hAnsiTheme="majorHAnsi" w:cstheme="majorBidi"/>
      <w:b/>
      <w:bCs/>
      <w:color w:val="4F81BD" w:themeColor="accent1"/>
      <w:sz w:val="32"/>
      <w:szCs w:val="26"/>
    </w:rPr>
  </w:style>
  <w:style w:type="paragraph" w:styleId="Nadpis3">
    <w:name w:val="heading 3"/>
    <w:basedOn w:val="Normln"/>
    <w:next w:val="Normln"/>
    <w:link w:val="Nadpis3Char"/>
    <w:uiPriority w:val="9"/>
    <w:unhideWhenUsed/>
    <w:qFormat/>
    <w:rsid w:val="007C31D3"/>
    <w:pPr>
      <w:keepNext/>
      <w:keepLines/>
      <w:spacing w:after="120"/>
      <w:outlineLvl w:val="2"/>
    </w:pPr>
    <w:rPr>
      <w:rFonts w:asciiTheme="majorHAnsi" w:eastAsiaTheme="majorEastAsia" w:hAnsiTheme="majorHAnsi" w:cstheme="majorBidi"/>
      <w:b/>
      <w:bCs/>
      <w:color w:val="4F81BD" w:themeColor="accent1"/>
      <w:sz w:val="24"/>
    </w:rPr>
  </w:style>
  <w:style w:type="paragraph" w:styleId="Nadpis4">
    <w:name w:val="heading 4"/>
    <w:basedOn w:val="Normln"/>
    <w:next w:val="Normln"/>
    <w:link w:val="Nadpis4Char"/>
    <w:uiPriority w:val="9"/>
    <w:unhideWhenUsed/>
    <w:qFormat/>
    <w:rsid w:val="00931F0B"/>
    <w:pPr>
      <w:keepNext/>
      <w:keepLines/>
      <w:numPr>
        <w:ilvl w:val="3"/>
        <w:numId w:val="6"/>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unhideWhenUsed/>
    <w:qFormat/>
    <w:rsid w:val="00931F0B"/>
    <w:pPr>
      <w:keepNext/>
      <w:keepLines/>
      <w:numPr>
        <w:ilvl w:val="4"/>
        <w:numId w:val="6"/>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931F0B"/>
    <w:pPr>
      <w:keepNext/>
      <w:keepLines/>
      <w:numPr>
        <w:ilvl w:val="5"/>
        <w:numId w:val="6"/>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931F0B"/>
    <w:pPr>
      <w:keepNext/>
      <w:keepLines/>
      <w:numPr>
        <w:ilvl w:val="6"/>
        <w:numId w:val="6"/>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931F0B"/>
    <w:pPr>
      <w:keepNext/>
      <w:keepLines/>
      <w:numPr>
        <w:ilvl w:val="7"/>
        <w:numId w:val="6"/>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931F0B"/>
    <w:pPr>
      <w:keepNext/>
      <w:keepLines/>
      <w:numPr>
        <w:ilvl w:val="8"/>
        <w:numId w:val="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46538E"/>
    <w:rPr>
      <w:rFonts w:asciiTheme="majorHAnsi" w:eastAsiaTheme="majorEastAsia" w:hAnsiTheme="majorHAnsi" w:cstheme="majorBidi"/>
      <w:b/>
      <w:bCs/>
      <w:color w:val="365F91" w:themeColor="accent1" w:themeShade="BF"/>
      <w:sz w:val="36"/>
      <w:szCs w:val="28"/>
    </w:rPr>
  </w:style>
  <w:style w:type="paragraph" w:styleId="Odstavecseseznamem">
    <w:name w:val="List Paragraph"/>
    <w:aliases w:val="Odstavec_muj,Nad,Odstavec cíl se seznamem,Odstavec se seznamem5,název výzvy,Název grafu,nad 1,Odstavec se seznamem1,List Paragraph1,List Paragraph,Odstavec_muj1,Odstavec_muj2,Odstavec_muj3,Nad1,Odstavec_muj4,Nad2,List Paragraph2"/>
    <w:basedOn w:val="Normln"/>
    <w:link w:val="OdstavecseseznamemChar"/>
    <w:uiPriority w:val="34"/>
    <w:qFormat/>
    <w:rsid w:val="000822A0"/>
    <w:pPr>
      <w:ind w:left="720"/>
      <w:contextualSpacing/>
    </w:pPr>
  </w:style>
  <w:style w:type="paragraph" w:styleId="Zhlav">
    <w:name w:val="header"/>
    <w:basedOn w:val="Normln"/>
    <w:link w:val="ZhlavChar"/>
    <w:uiPriority w:val="99"/>
    <w:unhideWhenUsed/>
    <w:rsid w:val="00D1434E"/>
    <w:pPr>
      <w:tabs>
        <w:tab w:val="center" w:pos="4536"/>
        <w:tab w:val="right" w:pos="9072"/>
      </w:tabs>
      <w:spacing w:after="0" w:line="240" w:lineRule="auto"/>
      <w:jc w:val="right"/>
    </w:pPr>
    <w:rPr>
      <w:sz w:val="24"/>
    </w:rPr>
  </w:style>
  <w:style w:type="character" w:customStyle="1" w:styleId="ZhlavChar">
    <w:name w:val="Záhlaví Char"/>
    <w:basedOn w:val="Standardnpsmoodstavce"/>
    <w:link w:val="Zhlav"/>
    <w:uiPriority w:val="99"/>
    <w:rsid w:val="00D1434E"/>
    <w:rPr>
      <w:sz w:val="24"/>
    </w:rPr>
  </w:style>
  <w:style w:type="paragraph" w:styleId="Zpat">
    <w:name w:val="footer"/>
    <w:basedOn w:val="Normln"/>
    <w:link w:val="ZpatChar"/>
    <w:uiPriority w:val="99"/>
    <w:unhideWhenUsed/>
    <w:rsid w:val="00F24F99"/>
    <w:pPr>
      <w:tabs>
        <w:tab w:val="center" w:pos="4536"/>
        <w:tab w:val="right" w:pos="9072"/>
      </w:tabs>
      <w:spacing w:after="0" w:line="240" w:lineRule="auto"/>
      <w:jc w:val="center"/>
    </w:pPr>
  </w:style>
  <w:style w:type="character" w:customStyle="1" w:styleId="ZpatChar">
    <w:name w:val="Zápatí Char"/>
    <w:basedOn w:val="Standardnpsmoodstavce"/>
    <w:link w:val="Zpat"/>
    <w:uiPriority w:val="99"/>
    <w:rsid w:val="00F24F99"/>
  </w:style>
  <w:style w:type="character" w:styleId="Hypertextovodkaz">
    <w:name w:val="Hyperlink"/>
    <w:basedOn w:val="Standardnpsmoodstavce"/>
    <w:uiPriority w:val="99"/>
    <w:unhideWhenUsed/>
    <w:rsid w:val="00956D00"/>
    <w:rPr>
      <w:rFonts w:ascii="Arial" w:hAnsi="Arial"/>
      <w:strike w:val="0"/>
      <w:dstrike w:val="0"/>
      <w:color w:val="00559A"/>
      <w:u w:val="none"/>
      <w:effect w:val="none"/>
    </w:rPr>
  </w:style>
  <w:style w:type="paragraph" w:styleId="Podnadpis">
    <w:name w:val="Subtitle"/>
    <w:aliases w:val="nadpis 2"/>
    <w:basedOn w:val="Normln"/>
    <w:next w:val="Normln"/>
    <w:link w:val="PodnadpisChar"/>
    <w:uiPriority w:val="11"/>
    <w:qFormat/>
    <w:rsid w:val="000822A0"/>
    <w:pPr>
      <w:keepNext/>
      <w:numPr>
        <w:ilvl w:val="1"/>
        <w:numId w:val="2"/>
      </w:numPr>
      <w:spacing w:before="120" w:after="120" w:line="240" w:lineRule="auto"/>
    </w:pPr>
    <w:rPr>
      <w:rFonts w:asciiTheme="majorHAnsi" w:eastAsiaTheme="majorEastAsia" w:hAnsiTheme="majorHAnsi" w:cstheme="majorBidi"/>
      <w:b/>
      <w:iCs/>
      <w:spacing w:val="15"/>
      <w:sz w:val="24"/>
      <w:szCs w:val="24"/>
      <w:lang w:eastAsia="cs-CZ"/>
    </w:rPr>
  </w:style>
  <w:style w:type="character" w:customStyle="1" w:styleId="PodnadpisChar">
    <w:name w:val="Podnadpis Char"/>
    <w:aliases w:val="nadpis 2 Char"/>
    <w:basedOn w:val="Standardnpsmoodstavce"/>
    <w:link w:val="Podnadpis"/>
    <w:uiPriority w:val="11"/>
    <w:rsid w:val="000822A0"/>
    <w:rPr>
      <w:rFonts w:asciiTheme="majorHAnsi" w:eastAsiaTheme="majorEastAsia" w:hAnsiTheme="majorHAnsi" w:cstheme="majorBidi"/>
      <w:b/>
      <w:iCs/>
      <w:spacing w:val="15"/>
      <w:sz w:val="24"/>
      <w:szCs w:val="24"/>
      <w:lang w:eastAsia="cs-CZ"/>
    </w:rPr>
  </w:style>
  <w:style w:type="paragraph" w:styleId="Nzev">
    <w:name w:val="Title"/>
    <w:basedOn w:val="Normln"/>
    <w:next w:val="Normln"/>
    <w:link w:val="NzevChar"/>
    <w:qFormat/>
    <w:rsid w:val="00011DB4"/>
    <w:pPr>
      <w:pBdr>
        <w:bottom w:val="single" w:sz="8" w:space="4" w:color="4F81BD" w:themeColor="accent1"/>
      </w:pBdr>
      <w:spacing w:before="4000" w:after="300" w:line="240" w:lineRule="auto"/>
      <w:contextualSpacing/>
      <w:jc w:val="center"/>
    </w:pPr>
    <w:rPr>
      <w:rFonts w:asciiTheme="majorHAnsi" w:eastAsiaTheme="majorEastAsia" w:hAnsiTheme="majorHAnsi" w:cstheme="majorBidi"/>
      <w:smallCaps/>
      <w:color w:val="17365D" w:themeColor="text2" w:themeShade="BF"/>
      <w:spacing w:val="5"/>
      <w:kern w:val="28"/>
      <w:sz w:val="52"/>
      <w:szCs w:val="52"/>
      <w:lang w:eastAsia="cs-CZ"/>
    </w:rPr>
  </w:style>
  <w:style w:type="character" w:customStyle="1" w:styleId="NzevChar">
    <w:name w:val="Název Char"/>
    <w:basedOn w:val="Standardnpsmoodstavce"/>
    <w:link w:val="Nzev"/>
    <w:rsid w:val="00011DB4"/>
    <w:rPr>
      <w:rFonts w:asciiTheme="majorHAnsi" w:eastAsiaTheme="majorEastAsia" w:hAnsiTheme="majorHAnsi" w:cstheme="majorBidi"/>
      <w:smallCaps/>
      <w:color w:val="17365D" w:themeColor="text2" w:themeShade="BF"/>
      <w:spacing w:val="5"/>
      <w:kern w:val="28"/>
      <w:sz w:val="52"/>
      <w:szCs w:val="52"/>
      <w:lang w:eastAsia="cs-CZ"/>
    </w:rPr>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qFormat/>
    <w:rsid w:val="00F24F99"/>
    <w:pPr>
      <w:spacing w:after="0" w:line="360" w:lineRule="auto"/>
      <w:contextualSpacing/>
      <w:jc w:val="both"/>
    </w:pPr>
    <w:rPr>
      <w:rFonts w:ascii="Arial" w:eastAsia="Times New Roman" w:hAnsi="Arial" w:cs="Times New Roman"/>
      <w:sz w:val="18"/>
      <w:szCs w:val="20"/>
      <w:lang w:eastAsia="cs-CZ"/>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qFormat/>
    <w:rsid w:val="00F24F99"/>
    <w:rPr>
      <w:rFonts w:ascii="Arial" w:eastAsia="Times New Roman" w:hAnsi="Arial" w:cs="Times New Roman"/>
      <w:sz w:val="18"/>
      <w:szCs w:val="20"/>
      <w:lang w:eastAsia="cs-CZ"/>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Ref"/>
    <w:basedOn w:val="Standardnpsmoodstavce"/>
    <w:uiPriority w:val="99"/>
    <w:rsid w:val="000822A0"/>
    <w:rPr>
      <w:vertAlign w:val="superscript"/>
    </w:rPr>
  </w:style>
  <w:style w:type="paragraph" w:styleId="Textbubliny">
    <w:name w:val="Balloon Text"/>
    <w:basedOn w:val="Normln"/>
    <w:link w:val="TextbublinyChar"/>
    <w:uiPriority w:val="99"/>
    <w:semiHidden/>
    <w:unhideWhenUsed/>
    <w:rsid w:val="000822A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822A0"/>
    <w:rPr>
      <w:rFonts w:ascii="Tahoma" w:hAnsi="Tahoma" w:cs="Tahoma"/>
      <w:sz w:val="16"/>
      <w:szCs w:val="16"/>
    </w:rPr>
  </w:style>
  <w:style w:type="paragraph" w:styleId="Normlnweb">
    <w:name w:val="Normal (Web)"/>
    <w:basedOn w:val="Normln"/>
    <w:uiPriority w:val="99"/>
    <w:unhideWhenUsed/>
    <w:rsid w:val="000822A0"/>
    <w:rPr>
      <w:rFonts w:ascii="Times New Roman" w:hAnsi="Times New Roman" w:cs="Times New Roman"/>
      <w:sz w:val="24"/>
      <w:szCs w:val="24"/>
    </w:rPr>
  </w:style>
  <w:style w:type="character" w:styleId="Odkaznakoment">
    <w:name w:val="annotation reference"/>
    <w:basedOn w:val="Standardnpsmoodstavce"/>
    <w:uiPriority w:val="99"/>
    <w:rsid w:val="00C41DE7"/>
    <w:rPr>
      <w:sz w:val="16"/>
      <w:szCs w:val="16"/>
    </w:rPr>
  </w:style>
  <w:style w:type="paragraph" w:styleId="Textkomente">
    <w:name w:val="annotation text"/>
    <w:basedOn w:val="Normln"/>
    <w:link w:val="TextkomenteChar"/>
    <w:uiPriority w:val="99"/>
    <w:rsid w:val="00C41DE7"/>
    <w:pPr>
      <w:spacing w:after="0" w:line="240" w:lineRule="auto"/>
    </w:pPr>
    <w:rPr>
      <w:rFonts w:ascii="Times New Roman" w:eastAsia="Times New Roman" w:hAnsi="Times New Roman" w:cs="Times New Roman"/>
      <w:sz w:val="20"/>
      <w:szCs w:val="20"/>
      <w:lang w:eastAsia="cs-CZ"/>
    </w:rPr>
  </w:style>
  <w:style w:type="character" w:customStyle="1" w:styleId="TextkomenteChar">
    <w:name w:val="Text komentáře Char"/>
    <w:basedOn w:val="Standardnpsmoodstavce"/>
    <w:link w:val="Textkomente"/>
    <w:uiPriority w:val="99"/>
    <w:rsid w:val="00C41DE7"/>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6A04BF"/>
    <w:pPr>
      <w:spacing w:after="200"/>
    </w:pPr>
    <w:rPr>
      <w:rFonts w:asciiTheme="minorHAnsi" w:eastAsiaTheme="minorHAnsi" w:hAnsiTheme="minorHAnsi" w:cstheme="minorBidi"/>
      <w:b/>
      <w:bCs/>
      <w:lang w:eastAsia="en-US"/>
    </w:rPr>
  </w:style>
  <w:style w:type="character" w:customStyle="1" w:styleId="PedmtkomenteChar">
    <w:name w:val="Předmět komentáře Char"/>
    <w:basedOn w:val="TextkomenteChar"/>
    <w:link w:val="Pedmtkomente"/>
    <w:uiPriority w:val="99"/>
    <w:semiHidden/>
    <w:rsid w:val="006A04BF"/>
    <w:rPr>
      <w:rFonts w:ascii="Times New Roman" w:eastAsia="Times New Roman" w:hAnsi="Times New Roman" w:cs="Times New Roman"/>
      <w:b/>
      <w:bCs/>
      <w:sz w:val="20"/>
      <w:szCs w:val="20"/>
      <w:lang w:eastAsia="cs-CZ"/>
    </w:rPr>
  </w:style>
  <w:style w:type="paragraph" w:styleId="Revize">
    <w:name w:val="Revision"/>
    <w:hidden/>
    <w:uiPriority w:val="99"/>
    <w:semiHidden/>
    <w:rsid w:val="006A04BF"/>
    <w:pPr>
      <w:spacing w:after="0" w:line="240" w:lineRule="auto"/>
    </w:pPr>
  </w:style>
  <w:style w:type="paragraph" w:customStyle="1" w:styleId="Obrzek-nadpis">
    <w:name w:val="Obrázek - nadpis"/>
    <w:basedOn w:val="Normln"/>
    <w:qFormat/>
    <w:rsid w:val="005C2975"/>
    <w:pPr>
      <w:keepNext/>
      <w:spacing w:before="120" w:after="240" w:line="240" w:lineRule="auto"/>
      <w:jc w:val="both"/>
    </w:pPr>
    <w:rPr>
      <w:rFonts w:ascii="Arial" w:eastAsia="Times New Roman" w:hAnsi="Arial" w:cs="Times New Roman"/>
      <w:b/>
      <w:szCs w:val="24"/>
      <w:lang w:eastAsia="cs-CZ"/>
    </w:rPr>
  </w:style>
  <w:style w:type="paragraph" w:customStyle="1" w:styleId="Zdroj">
    <w:name w:val="Zdroj"/>
    <w:basedOn w:val="Normln"/>
    <w:qFormat/>
    <w:rsid w:val="00AD6656"/>
    <w:pPr>
      <w:spacing w:before="120" w:after="120" w:line="240" w:lineRule="auto"/>
    </w:pPr>
    <w:rPr>
      <w:rFonts w:ascii="Arial" w:eastAsia="Times New Roman" w:hAnsi="Arial" w:cs="Times New Roman"/>
      <w:i/>
      <w:sz w:val="18"/>
      <w:szCs w:val="24"/>
      <w:lang w:eastAsia="cs-CZ"/>
    </w:rPr>
  </w:style>
  <w:style w:type="paragraph" w:customStyle="1" w:styleId="komentzaobrzkem">
    <w:name w:val="komentář za obrázkem"/>
    <w:basedOn w:val="Normln"/>
    <w:qFormat/>
    <w:rsid w:val="00055617"/>
    <w:pPr>
      <w:spacing w:after="60" w:line="240" w:lineRule="auto"/>
      <w:jc w:val="both"/>
    </w:pPr>
    <w:rPr>
      <w:rFonts w:ascii="Arial" w:eastAsia="Times New Roman" w:hAnsi="Arial" w:cs="Times New Roman"/>
      <w:i/>
      <w:sz w:val="18"/>
      <w:szCs w:val="24"/>
      <w:lang w:eastAsia="cs-CZ"/>
    </w:rPr>
  </w:style>
  <w:style w:type="paragraph" w:customStyle="1" w:styleId="komentzaobrzkem-odrky">
    <w:name w:val="komentář za obrázkem - odrážky"/>
    <w:basedOn w:val="komentzaobrzkem"/>
    <w:qFormat/>
    <w:rsid w:val="00055617"/>
    <w:pPr>
      <w:numPr>
        <w:ilvl w:val="2"/>
        <w:numId w:val="1"/>
      </w:numPr>
      <w:spacing w:after="0"/>
    </w:pPr>
  </w:style>
  <w:style w:type="paragraph" w:customStyle="1" w:styleId="NadpisurovenI">
    <w:name w:val="Nadpis_uroven_I"/>
    <w:basedOn w:val="Normln"/>
    <w:qFormat/>
    <w:rsid w:val="00DA646C"/>
    <w:pPr>
      <w:keepNext/>
      <w:keepLines/>
      <w:spacing w:before="240" w:after="240" w:line="240" w:lineRule="auto"/>
      <w:outlineLvl w:val="0"/>
    </w:pPr>
    <w:rPr>
      <w:rFonts w:asciiTheme="majorHAnsi" w:eastAsiaTheme="majorEastAsia" w:hAnsiTheme="majorHAnsi" w:cstheme="majorBidi"/>
      <w:b/>
      <w:bCs/>
      <w:color w:val="365F91" w:themeColor="accent1" w:themeShade="BF"/>
      <w:sz w:val="28"/>
      <w:szCs w:val="28"/>
      <w:lang w:eastAsia="cs-CZ"/>
    </w:rPr>
  </w:style>
  <w:style w:type="paragraph" w:customStyle="1" w:styleId="NadpisurovemII">
    <w:name w:val="Nadpis_urovem_II"/>
    <w:basedOn w:val="NadpisurovenI"/>
    <w:qFormat/>
    <w:rsid w:val="000C142B"/>
    <w:pPr>
      <w:spacing w:before="120" w:after="120"/>
    </w:pPr>
    <w:rPr>
      <w:sz w:val="24"/>
    </w:rPr>
  </w:style>
  <w:style w:type="paragraph" w:customStyle="1" w:styleId="Platformanadpis">
    <w:name w:val="Platforma_nadpis"/>
    <w:basedOn w:val="Normln"/>
    <w:qFormat/>
    <w:rsid w:val="00613032"/>
    <w:pPr>
      <w:spacing w:before="120" w:after="120" w:line="240" w:lineRule="auto"/>
      <w:jc w:val="both"/>
    </w:pPr>
    <w:rPr>
      <w:rFonts w:ascii="Arial" w:eastAsia="Times New Roman" w:hAnsi="Arial" w:cs="Arial"/>
      <w:b/>
      <w:lang w:eastAsia="cs-CZ"/>
    </w:rPr>
  </w:style>
  <w:style w:type="paragraph" w:styleId="Nadpisobsahu">
    <w:name w:val="TOC Heading"/>
    <w:next w:val="Normln"/>
    <w:uiPriority w:val="39"/>
    <w:unhideWhenUsed/>
    <w:qFormat/>
    <w:rsid w:val="00011DB4"/>
    <w:pPr>
      <w:outlineLvl w:val="0"/>
    </w:pPr>
    <w:rPr>
      <w:rFonts w:asciiTheme="majorHAnsi" w:eastAsiaTheme="majorEastAsia" w:hAnsiTheme="majorHAnsi" w:cstheme="majorBidi"/>
      <w:b/>
      <w:bCs/>
      <w:smallCaps/>
      <w:color w:val="365F91" w:themeColor="accent1" w:themeShade="BF"/>
      <w:sz w:val="36"/>
      <w:szCs w:val="28"/>
      <w:lang w:eastAsia="cs-CZ"/>
    </w:rPr>
  </w:style>
  <w:style w:type="paragraph" w:styleId="Obsah1">
    <w:name w:val="toc 1"/>
    <w:basedOn w:val="Normln"/>
    <w:next w:val="Normln"/>
    <w:autoRedefine/>
    <w:uiPriority w:val="39"/>
    <w:unhideWhenUsed/>
    <w:qFormat/>
    <w:rsid w:val="00C90747"/>
    <w:pPr>
      <w:tabs>
        <w:tab w:val="right" w:leader="dot" w:pos="9639"/>
        <w:tab w:val="right" w:pos="10206"/>
      </w:tabs>
      <w:spacing w:after="0"/>
      <w:ind w:left="680" w:right="-2" w:hanging="680"/>
      <w:jc w:val="both"/>
    </w:pPr>
    <w:rPr>
      <w:rFonts w:ascii="Arial" w:hAnsi="Arial"/>
      <w:noProof/>
    </w:rPr>
  </w:style>
  <w:style w:type="paragraph" w:styleId="Obsah2">
    <w:name w:val="toc 2"/>
    <w:basedOn w:val="Normln"/>
    <w:next w:val="Normln"/>
    <w:autoRedefine/>
    <w:uiPriority w:val="39"/>
    <w:unhideWhenUsed/>
    <w:qFormat/>
    <w:rsid w:val="00C90747"/>
    <w:pPr>
      <w:tabs>
        <w:tab w:val="left" w:pos="1100"/>
        <w:tab w:val="right" w:leader="dot" w:pos="9639"/>
      </w:tabs>
      <w:spacing w:after="0"/>
      <w:ind w:right="-2" w:firstLine="425"/>
    </w:pPr>
    <w:rPr>
      <w:rFonts w:ascii="Arial" w:eastAsiaTheme="minorEastAsia" w:hAnsi="Arial"/>
      <w:sz w:val="20"/>
      <w:lang w:eastAsia="cs-CZ"/>
    </w:rPr>
  </w:style>
  <w:style w:type="paragraph" w:styleId="Obsah3">
    <w:name w:val="toc 3"/>
    <w:basedOn w:val="Normln"/>
    <w:next w:val="Normln"/>
    <w:autoRedefine/>
    <w:uiPriority w:val="39"/>
    <w:unhideWhenUsed/>
    <w:qFormat/>
    <w:rsid w:val="00956D00"/>
    <w:pPr>
      <w:spacing w:after="100"/>
      <w:ind w:left="440"/>
    </w:pPr>
    <w:rPr>
      <w:rFonts w:ascii="Arial" w:eastAsiaTheme="minorEastAsia" w:hAnsi="Arial"/>
      <w:lang w:eastAsia="cs-CZ"/>
    </w:rPr>
  </w:style>
  <w:style w:type="character" w:customStyle="1" w:styleId="Nadpis2Char">
    <w:name w:val="Nadpis 2 Char"/>
    <w:basedOn w:val="Standardnpsmoodstavce"/>
    <w:link w:val="Nadpis2"/>
    <w:uiPriority w:val="9"/>
    <w:rsid w:val="007C31D3"/>
    <w:rPr>
      <w:rFonts w:asciiTheme="majorHAnsi" w:eastAsiaTheme="majorEastAsia" w:hAnsiTheme="majorHAnsi" w:cstheme="majorBidi"/>
      <w:b/>
      <w:bCs/>
      <w:color w:val="4F81BD" w:themeColor="accent1"/>
      <w:sz w:val="32"/>
      <w:szCs w:val="26"/>
    </w:rPr>
  </w:style>
  <w:style w:type="character" w:customStyle="1" w:styleId="Nadpis3Char">
    <w:name w:val="Nadpis 3 Char"/>
    <w:basedOn w:val="Standardnpsmoodstavce"/>
    <w:link w:val="Nadpis3"/>
    <w:uiPriority w:val="9"/>
    <w:rsid w:val="007C31D3"/>
    <w:rPr>
      <w:rFonts w:asciiTheme="majorHAnsi" w:eastAsiaTheme="majorEastAsia" w:hAnsiTheme="majorHAnsi" w:cstheme="majorBidi"/>
      <w:b/>
      <w:bCs/>
      <w:color w:val="4F81BD" w:themeColor="accent1"/>
      <w:sz w:val="24"/>
    </w:rPr>
  </w:style>
  <w:style w:type="character" w:styleId="Zstupntext">
    <w:name w:val="Placeholder Text"/>
    <w:basedOn w:val="Standardnpsmoodstavce"/>
    <w:uiPriority w:val="99"/>
    <w:semiHidden/>
    <w:rsid w:val="006338C7"/>
    <w:rPr>
      <w:color w:val="808080"/>
    </w:rPr>
  </w:style>
  <w:style w:type="paragraph" w:styleId="Bezmezer">
    <w:name w:val="No Spacing"/>
    <w:link w:val="BezmezerChar"/>
    <w:uiPriority w:val="1"/>
    <w:qFormat/>
    <w:rsid w:val="006338C7"/>
    <w:pPr>
      <w:spacing w:after="0" w:line="240" w:lineRule="auto"/>
    </w:pPr>
  </w:style>
  <w:style w:type="paragraph" w:styleId="Textvysvtlivek">
    <w:name w:val="endnote text"/>
    <w:basedOn w:val="Normln"/>
    <w:link w:val="TextvysvtlivekChar"/>
    <w:uiPriority w:val="99"/>
    <w:unhideWhenUsed/>
    <w:rsid w:val="006338C7"/>
    <w:pPr>
      <w:spacing w:after="0" w:line="240" w:lineRule="auto"/>
    </w:pPr>
    <w:rPr>
      <w:sz w:val="20"/>
      <w:szCs w:val="20"/>
    </w:rPr>
  </w:style>
  <w:style w:type="character" w:customStyle="1" w:styleId="TextvysvtlivekChar">
    <w:name w:val="Text vysvětlivek Char"/>
    <w:basedOn w:val="Standardnpsmoodstavce"/>
    <w:link w:val="Textvysvtlivek"/>
    <w:uiPriority w:val="99"/>
    <w:rsid w:val="006338C7"/>
    <w:rPr>
      <w:sz w:val="20"/>
      <w:szCs w:val="20"/>
    </w:rPr>
  </w:style>
  <w:style w:type="table" w:styleId="Mkatabulky">
    <w:name w:val="Table Grid"/>
    <w:basedOn w:val="Normlntabulka"/>
    <w:uiPriority w:val="39"/>
    <w:rsid w:val="00D33F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rsid w:val="00AD7092"/>
  </w:style>
  <w:style w:type="paragraph" w:customStyle="1" w:styleId="Default">
    <w:name w:val="Default"/>
    <w:basedOn w:val="Normln"/>
    <w:rsid w:val="00A247C0"/>
    <w:pPr>
      <w:spacing w:after="0" w:line="360" w:lineRule="auto"/>
      <w:ind w:firstLine="709"/>
      <w:jc w:val="both"/>
    </w:pPr>
    <w:rPr>
      <w:rFonts w:ascii="Arial" w:eastAsia="Times New Roman" w:hAnsi="Arial" w:cs="Arial"/>
      <w:lang w:eastAsia="cs-CZ"/>
    </w:rPr>
  </w:style>
  <w:style w:type="character" w:customStyle="1" w:styleId="xsptextcomputedfield">
    <w:name w:val="xsptextcomputedfield"/>
    <w:basedOn w:val="Standardnpsmoodstavce"/>
    <w:rsid w:val="00085631"/>
  </w:style>
  <w:style w:type="paragraph" w:customStyle="1" w:styleId="Souhrnnadpis">
    <w:name w:val="_Souhrn_nadpis"/>
    <w:qFormat/>
    <w:rsid w:val="00F826C4"/>
    <w:pPr>
      <w:pageBreakBefore/>
      <w:jc w:val="both"/>
      <w:outlineLvl w:val="1"/>
    </w:pPr>
    <w:rPr>
      <w:rFonts w:ascii="Arial" w:eastAsia="Times New Roman" w:hAnsi="Arial" w:cs="Arial"/>
      <w:b/>
      <w:smallCaps/>
      <w:color w:val="1F497D" w:themeColor="text2"/>
      <w:sz w:val="28"/>
      <w:szCs w:val="24"/>
      <w:lang w:eastAsia="cs-CZ"/>
    </w:rPr>
  </w:style>
  <w:style w:type="paragraph" w:customStyle="1" w:styleId="Doporuennadpis">
    <w:name w:val="_Doporučení_nadpis"/>
    <w:qFormat/>
    <w:rsid w:val="00A6662C"/>
    <w:rPr>
      <w:rFonts w:ascii="Arial" w:eastAsia="Times New Roman" w:hAnsi="Arial" w:cs="Arial"/>
      <w:b/>
      <w:smallCaps/>
      <w:color w:val="1F497D" w:themeColor="text2"/>
      <w:sz w:val="28"/>
      <w:szCs w:val="24"/>
      <w:lang w:eastAsia="cs-CZ"/>
    </w:rPr>
  </w:style>
  <w:style w:type="paragraph" w:styleId="Seznamobrzk">
    <w:name w:val="table of figures"/>
    <w:basedOn w:val="Normln"/>
    <w:next w:val="Normln"/>
    <w:uiPriority w:val="99"/>
    <w:unhideWhenUsed/>
    <w:rsid w:val="00DD02F3"/>
    <w:pPr>
      <w:spacing w:after="0"/>
    </w:pPr>
  </w:style>
  <w:style w:type="paragraph" w:styleId="Zkladntext">
    <w:name w:val="Body Text"/>
    <w:basedOn w:val="Normln"/>
    <w:link w:val="ZkladntextChar"/>
    <w:rsid w:val="00DD02F3"/>
    <w:pPr>
      <w:spacing w:after="140" w:line="288" w:lineRule="auto"/>
    </w:pPr>
    <w:rPr>
      <w:color w:val="00000A"/>
    </w:rPr>
  </w:style>
  <w:style w:type="character" w:customStyle="1" w:styleId="ZkladntextChar">
    <w:name w:val="Základní text Char"/>
    <w:basedOn w:val="Standardnpsmoodstavce"/>
    <w:link w:val="Zkladntext"/>
    <w:rsid w:val="00DD02F3"/>
    <w:rPr>
      <w:color w:val="00000A"/>
    </w:rPr>
  </w:style>
  <w:style w:type="table" w:styleId="Svtlstnovn">
    <w:name w:val="Light Shading"/>
    <w:basedOn w:val="Normlntabulka"/>
    <w:uiPriority w:val="60"/>
    <w:rsid w:val="004314A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Sledovanodkaz">
    <w:name w:val="FollowedHyperlink"/>
    <w:basedOn w:val="Standardnpsmoodstavce"/>
    <w:uiPriority w:val="99"/>
    <w:semiHidden/>
    <w:unhideWhenUsed/>
    <w:rsid w:val="00A747ED"/>
    <w:rPr>
      <w:color w:val="800080" w:themeColor="followedHyperlink"/>
      <w:u w:val="single"/>
    </w:rPr>
  </w:style>
  <w:style w:type="paragraph" w:customStyle="1" w:styleId="Obrzek">
    <w:name w:val="Obrázek"/>
    <w:basedOn w:val="Normln"/>
    <w:qFormat/>
    <w:rsid w:val="005C2975"/>
    <w:pPr>
      <w:keepNext/>
      <w:spacing w:before="120" w:after="240" w:line="240" w:lineRule="auto"/>
      <w:jc w:val="center"/>
    </w:pPr>
    <w:rPr>
      <w:rFonts w:ascii="Arial" w:eastAsia="Times New Roman" w:hAnsi="Arial" w:cs="Times New Roman"/>
      <w:szCs w:val="24"/>
      <w:lang w:eastAsia="cs-CZ"/>
    </w:rPr>
  </w:style>
  <w:style w:type="paragraph" w:customStyle="1" w:styleId="Text">
    <w:name w:val="Text"/>
    <w:basedOn w:val="Normln"/>
    <w:qFormat/>
    <w:rsid w:val="008E7867"/>
    <w:pPr>
      <w:spacing w:after="0" w:line="360" w:lineRule="auto"/>
      <w:ind w:firstLine="405"/>
      <w:jc w:val="both"/>
    </w:pPr>
    <w:rPr>
      <w:rFonts w:ascii="Arial" w:eastAsia="Times New Roman" w:hAnsi="Arial" w:cs="Arial"/>
      <w:lang w:eastAsia="cs-CZ"/>
    </w:rPr>
  </w:style>
  <w:style w:type="paragraph" w:customStyle="1" w:styleId="Zdrojapoznmka">
    <w:name w:val="Zdroj a poznámka"/>
    <w:basedOn w:val="Normln"/>
    <w:qFormat/>
    <w:rsid w:val="00D1434E"/>
    <w:pPr>
      <w:spacing w:before="120" w:after="240" w:line="288" w:lineRule="auto"/>
      <w:contextualSpacing/>
      <w:jc w:val="both"/>
    </w:pPr>
    <w:rPr>
      <w:rFonts w:ascii="Arial" w:eastAsia="Times New Roman" w:hAnsi="Arial" w:cs="Times New Roman"/>
      <w:i/>
      <w:sz w:val="18"/>
      <w:szCs w:val="24"/>
      <w:lang w:eastAsia="cs-CZ"/>
    </w:rPr>
  </w:style>
  <w:style w:type="paragraph" w:customStyle="1" w:styleId="Souhrn">
    <w:name w:val="_Souhrn"/>
    <w:next w:val="Normln"/>
    <w:qFormat/>
    <w:rsid w:val="00F826C4"/>
    <w:pPr>
      <w:keepNext/>
      <w:pageBreakBefore/>
      <w:spacing w:after="120" w:line="240" w:lineRule="auto"/>
      <w:outlineLvl w:val="0"/>
    </w:pPr>
    <w:rPr>
      <w:rFonts w:asciiTheme="majorHAnsi" w:eastAsiaTheme="majorEastAsia" w:hAnsiTheme="majorHAnsi" w:cstheme="majorBidi"/>
      <w:b/>
      <w:bCs/>
      <w:smallCaps/>
      <w:color w:val="365F91" w:themeColor="accent1" w:themeShade="BF"/>
      <w:sz w:val="36"/>
      <w:szCs w:val="28"/>
    </w:rPr>
  </w:style>
  <w:style w:type="character" w:customStyle="1" w:styleId="Nadpis4Char">
    <w:name w:val="Nadpis 4 Char"/>
    <w:basedOn w:val="Standardnpsmoodstavce"/>
    <w:link w:val="Nadpis4"/>
    <w:uiPriority w:val="9"/>
    <w:rsid w:val="00931F0B"/>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rsid w:val="00931F0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931F0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931F0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931F0B"/>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931F0B"/>
    <w:rPr>
      <w:rFonts w:asciiTheme="majorHAnsi" w:eastAsiaTheme="majorEastAsia" w:hAnsiTheme="majorHAnsi" w:cstheme="majorBidi"/>
      <w:i/>
      <w:iCs/>
      <w:color w:val="404040" w:themeColor="text1" w:themeTint="BF"/>
      <w:sz w:val="20"/>
      <w:szCs w:val="20"/>
    </w:rPr>
  </w:style>
  <w:style w:type="paragraph" w:customStyle="1" w:styleId="Plohanadpis">
    <w:name w:val="_Příloha_nadpis"/>
    <w:next w:val="Normln"/>
    <w:qFormat/>
    <w:rsid w:val="00A6662C"/>
    <w:pPr>
      <w:keepNext/>
      <w:spacing w:before="240" w:after="240" w:line="240" w:lineRule="auto"/>
      <w:jc w:val="both"/>
      <w:outlineLvl w:val="1"/>
    </w:pPr>
    <w:rPr>
      <w:rFonts w:ascii="Arial" w:eastAsia="Times New Roman" w:hAnsi="Arial" w:cs="Arial"/>
      <w:b/>
      <w:color w:val="1F497D" w:themeColor="text2"/>
      <w:sz w:val="28"/>
      <w:szCs w:val="24"/>
      <w:lang w:eastAsia="cs-CZ"/>
    </w:rPr>
  </w:style>
  <w:style w:type="table" w:customStyle="1" w:styleId="Mkatabulky1">
    <w:name w:val="Mřížka tabulky1"/>
    <w:basedOn w:val="Normlntabulka"/>
    <w:next w:val="Mkatabulky"/>
    <w:uiPriority w:val="39"/>
    <w:rsid w:val="009514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cseseznamemChar">
    <w:name w:val="Odstavec se seznamem Char"/>
    <w:aliases w:val="Odstavec_muj Char,Nad Char,Odstavec cíl se seznamem Char,Odstavec se seznamem5 Char,název výzvy Char,Název grafu Char,nad 1 Char,Odstavec se seznamem1 Char,List Paragraph1 Char,List Paragraph Char,Odstavec_muj1 Char,Nad1 Char"/>
    <w:basedOn w:val="Standardnpsmoodstavce"/>
    <w:link w:val="Odstavecseseznamem"/>
    <w:uiPriority w:val="34"/>
    <w:qFormat/>
    <w:rsid w:val="00951450"/>
  </w:style>
  <w:style w:type="paragraph" w:customStyle="1" w:styleId="textodstavec">
    <w:name w:val="_text_odstavec"/>
    <w:basedOn w:val="Normln"/>
    <w:qFormat/>
    <w:rsid w:val="006B7BB4"/>
    <w:pPr>
      <w:jc w:val="both"/>
    </w:pPr>
    <w:rPr>
      <w:rFonts w:ascii="Arial" w:hAnsi="Arial" w:cs="Arial"/>
    </w:rPr>
  </w:style>
  <w:style w:type="paragraph" w:styleId="Titulek">
    <w:name w:val="caption"/>
    <w:aliases w:val="~Caption"/>
    <w:basedOn w:val="Normln"/>
    <w:next w:val="Normln"/>
    <w:link w:val="TitulekChar"/>
    <w:autoRedefine/>
    <w:uiPriority w:val="35"/>
    <w:qFormat/>
    <w:rsid w:val="00D504B2"/>
    <w:pPr>
      <w:keepNext/>
      <w:spacing w:after="120"/>
    </w:pPr>
    <w:rPr>
      <w:rFonts w:ascii="Arial" w:eastAsia="Times New Roman" w:hAnsi="Arial" w:cs="Arial"/>
      <w:b/>
      <w:bCs/>
      <w:lang w:eastAsia="cs-CZ"/>
    </w:rPr>
  </w:style>
  <w:style w:type="character" w:customStyle="1" w:styleId="TitulekChar">
    <w:name w:val="Titulek Char"/>
    <w:aliases w:val="~Caption Char"/>
    <w:link w:val="Titulek"/>
    <w:uiPriority w:val="35"/>
    <w:qFormat/>
    <w:rsid w:val="00D504B2"/>
    <w:rPr>
      <w:rFonts w:ascii="Arial" w:eastAsia="Times New Roman" w:hAnsi="Arial" w:cs="Arial"/>
      <w:b/>
      <w:bCs/>
      <w:lang w:eastAsia="cs-CZ"/>
    </w:rPr>
  </w:style>
  <w:style w:type="table" w:styleId="Svtlstnovnzvraznn5">
    <w:name w:val="Light Shading Accent 5"/>
    <w:basedOn w:val="Normlntabulka"/>
    <w:uiPriority w:val="60"/>
    <w:rsid w:val="006E1B10"/>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character" w:styleId="Zdraznn">
    <w:name w:val="Emphasis"/>
    <w:basedOn w:val="Standardnpsmoodstavce"/>
    <w:uiPriority w:val="20"/>
    <w:qFormat/>
    <w:rsid w:val="006E1B10"/>
    <w:rPr>
      <w:i/>
      <w:iCs/>
    </w:rPr>
  </w:style>
  <w:style w:type="paragraph" w:customStyle="1" w:styleId="Pa17">
    <w:name w:val="Pa17"/>
    <w:basedOn w:val="Normln"/>
    <w:next w:val="Normln"/>
    <w:uiPriority w:val="99"/>
    <w:rsid w:val="006E1B10"/>
    <w:pPr>
      <w:autoSpaceDE w:val="0"/>
      <w:autoSpaceDN w:val="0"/>
      <w:adjustRightInd w:val="0"/>
      <w:spacing w:after="0" w:line="141" w:lineRule="atLeast"/>
    </w:pPr>
    <w:rPr>
      <w:rFonts w:ascii="StradaPro-Semibd" w:hAnsi="StradaPro-Semibd"/>
      <w:sz w:val="24"/>
      <w:szCs w:val="24"/>
    </w:rPr>
  </w:style>
  <w:style w:type="paragraph" w:customStyle="1" w:styleId="Pa22">
    <w:name w:val="Pa22"/>
    <w:basedOn w:val="Normln"/>
    <w:next w:val="Normln"/>
    <w:uiPriority w:val="99"/>
    <w:rsid w:val="006E1B10"/>
    <w:pPr>
      <w:autoSpaceDE w:val="0"/>
      <w:autoSpaceDN w:val="0"/>
      <w:adjustRightInd w:val="0"/>
      <w:spacing w:after="0" w:line="141" w:lineRule="atLeast"/>
    </w:pPr>
    <w:rPr>
      <w:rFonts w:ascii="StradaPro-Semibd" w:hAnsi="StradaPro-Semibd"/>
      <w:sz w:val="24"/>
      <w:szCs w:val="24"/>
    </w:rPr>
  </w:style>
  <w:style w:type="table" w:styleId="Svtlstnovnzvraznn1">
    <w:name w:val="Light Shading Accent 1"/>
    <w:basedOn w:val="Normlntabulka"/>
    <w:uiPriority w:val="60"/>
    <w:rsid w:val="006E1B10"/>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tednstnovn1zvraznn1">
    <w:name w:val="Medium Shading 1 Accent 1"/>
    <w:basedOn w:val="Normlntabulka"/>
    <w:uiPriority w:val="63"/>
    <w:rsid w:val="006E1B10"/>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articleperex">
    <w:name w:val="article_perex"/>
    <w:basedOn w:val="Normln"/>
    <w:rsid w:val="006E1B10"/>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Siln">
    <w:name w:val="Strong"/>
    <w:basedOn w:val="Standardnpsmoodstavce"/>
    <w:uiPriority w:val="22"/>
    <w:qFormat/>
    <w:rsid w:val="006E1B10"/>
    <w:rPr>
      <w:b/>
      <w:bCs/>
    </w:rPr>
  </w:style>
  <w:style w:type="character" w:styleId="Zdraznnjemn">
    <w:name w:val="Subtle Emphasis"/>
    <w:basedOn w:val="Standardnpsmoodstavce"/>
    <w:uiPriority w:val="19"/>
    <w:qFormat/>
    <w:rsid w:val="006E1B10"/>
    <w:rPr>
      <w:i/>
      <w:iCs/>
      <w:color w:val="808080" w:themeColor="text1" w:themeTint="7F"/>
    </w:rPr>
  </w:style>
  <w:style w:type="table" w:styleId="Svtlseznamzvraznn1">
    <w:name w:val="Light List Accent 1"/>
    <w:basedOn w:val="Normlntabulka"/>
    <w:uiPriority w:val="61"/>
    <w:rsid w:val="00845C76"/>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Styl1">
    <w:name w:val="Styl1"/>
    <w:basedOn w:val="Normln"/>
    <w:qFormat/>
    <w:rsid w:val="00BA543E"/>
    <w:rPr>
      <w:rFonts w:asciiTheme="majorHAnsi" w:hAnsiTheme="majorHAnsi"/>
      <w:b/>
      <w:smallCaps/>
      <w:color w:val="24AA26"/>
      <w:sz w:val="32"/>
    </w:rPr>
  </w:style>
  <w:style w:type="paragraph" w:customStyle="1" w:styleId="Bezmezer1">
    <w:name w:val="Bez mezer1"/>
    <w:uiPriority w:val="99"/>
    <w:qFormat/>
    <w:rsid w:val="002739B9"/>
    <w:pPr>
      <w:spacing w:after="0" w:line="240" w:lineRule="auto"/>
    </w:pPr>
    <w:rPr>
      <w:rFonts w:ascii="Calibri" w:eastAsia="Times New Roman" w:hAnsi="Calibri" w:cs="Times New Roman"/>
    </w:rPr>
  </w:style>
  <w:style w:type="character" w:customStyle="1" w:styleId="BezmezerChar">
    <w:name w:val="Bez mezer Char"/>
    <w:basedOn w:val="Standardnpsmoodstavce"/>
    <w:link w:val="Bezmezer"/>
    <w:uiPriority w:val="1"/>
    <w:qFormat/>
    <w:rsid w:val="002739B9"/>
  </w:style>
  <w:style w:type="table" w:styleId="Svtlmkatabulky">
    <w:name w:val="Grid Table Light"/>
    <w:basedOn w:val="Normlntabulka"/>
    <w:uiPriority w:val="40"/>
    <w:rsid w:val="002739B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Text0">
    <w:name w:val="_Text"/>
    <w:basedOn w:val="Normln"/>
    <w:uiPriority w:val="99"/>
    <w:qFormat/>
    <w:rsid w:val="0048026B"/>
    <w:pPr>
      <w:keepNext/>
      <w:spacing w:after="120"/>
      <w:jc w:val="both"/>
    </w:pPr>
    <w:rPr>
      <w:rFonts w:ascii="Arial" w:hAnsi="Arial" w:cs="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350951">
      <w:bodyDiv w:val="1"/>
      <w:marLeft w:val="0"/>
      <w:marRight w:val="0"/>
      <w:marTop w:val="0"/>
      <w:marBottom w:val="0"/>
      <w:divBdr>
        <w:top w:val="none" w:sz="0" w:space="0" w:color="auto"/>
        <w:left w:val="none" w:sz="0" w:space="0" w:color="auto"/>
        <w:bottom w:val="none" w:sz="0" w:space="0" w:color="auto"/>
        <w:right w:val="none" w:sz="0" w:space="0" w:color="auto"/>
      </w:divBdr>
    </w:div>
    <w:div w:id="38868324">
      <w:bodyDiv w:val="1"/>
      <w:marLeft w:val="0"/>
      <w:marRight w:val="0"/>
      <w:marTop w:val="0"/>
      <w:marBottom w:val="0"/>
      <w:divBdr>
        <w:top w:val="none" w:sz="0" w:space="0" w:color="auto"/>
        <w:left w:val="none" w:sz="0" w:space="0" w:color="auto"/>
        <w:bottom w:val="none" w:sz="0" w:space="0" w:color="auto"/>
        <w:right w:val="none" w:sz="0" w:space="0" w:color="auto"/>
      </w:divBdr>
    </w:div>
    <w:div w:id="87045648">
      <w:bodyDiv w:val="1"/>
      <w:marLeft w:val="0"/>
      <w:marRight w:val="0"/>
      <w:marTop w:val="0"/>
      <w:marBottom w:val="0"/>
      <w:divBdr>
        <w:top w:val="none" w:sz="0" w:space="0" w:color="auto"/>
        <w:left w:val="none" w:sz="0" w:space="0" w:color="auto"/>
        <w:bottom w:val="none" w:sz="0" w:space="0" w:color="auto"/>
        <w:right w:val="none" w:sz="0" w:space="0" w:color="auto"/>
      </w:divBdr>
    </w:div>
    <w:div w:id="99376794">
      <w:bodyDiv w:val="1"/>
      <w:marLeft w:val="0"/>
      <w:marRight w:val="0"/>
      <w:marTop w:val="0"/>
      <w:marBottom w:val="0"/>
      <w:divBdr>
        <w:top w:val="none" w:sz="0" w:space="0" w:color="auto"/>
        <w:left w:val="none" w:sz="0" w:space="0" w:color="auto"/>
        <w:bottom w:val="none" w:sz="0" w:space="0" w:color="auto"/>
        <w:right w:val="none" w:sz="0" w:space="0" w:color="auto"/>
      </w:divBdr>
    </w:div>
    <w:div w:id="106121003">
      <w:bodyDiv w:val="1"/>
      <w:marLeft w:val="0"/>
      <w:marRight w:val="0"/>
      <w:marTop w:val="0"/>
      <w:marBottom w:val="0"/>
      <w:divBdr>
        <w:top w:val="none" w:sz="0" w:space="0" w:color="auto"/>
        <w:left w:val="none" w:sz="0" w:space="0" w:color="auto"/>
        <w:bottom w:val="none" w:sz="0" w:space="0" w:color="auto"/>
        <w:right w:val="none" w:sz="0" w:space="0" w:color="auto"/>
      </w:divBdr>
    </w:div>
    <w:div w:id="112596306">
      <w:bodyDiv w:val="1"/>
      <w:marLeft w:val="0"/>
      <w:marRight w:val="0"/>
      <w:marTop w:val="0"/>
      <w:marBottom w:val="0"/>
      <w:divBdr>
        <w:top w:val="none" w:sz="0" w:space="0" w:color="auto"/>
        <w:left w:val="none" w:sz="0" w:space="0" w:color="auto"/>
        <w:bottom w:val="none" w:sz="0" w:space="0" w:color="auto"/>
        <w:right w:val="none" w:sz="0" w:space="0" w:color="auto"/>
      </w:divBdr>
    </w:div>
    <w:div w:id="120459216">
      <w:bodyDiv w:val="1"/>
      <w:marLeft w:val="0"/>
      <w:marRight w:val="0"/>
      <w:marTop w:val="0"/>
      <w:marBottom w:val="0"/>
      <w:divBdr>
        <w:top w:val="none" w:sz="0" w:space="0" w:color="auto"/>
        <w:left w:val="none" w:sz="0" w:space="0" w:color="auto"/>
        <w:bottom w:val="none" w:sz="0" w:space="0" w:color="auto"/>
        <w:right w:val="none" w:sz="0" w:space="0" w:color="auto"/>
      </w:divBdr>
    </w:div>
    <w:div w:id="140656404">
      <w:bodyDiv w:val="1"/>
      <w:marLeft w:val="0"/>
      <w:marRight w:val="0"/>
      <w:marTop w:val="0"/>
      <w:marBottom w:val="0"/>
      <w:divBdr>
        <w:top w:val="none" w:sz="0" w:space="0" w:color="auto"/>
        <w:left w:val="none" w:sz="0" w:space="0" w:color="auto"/>
        <w:bottom w:val="none" w:sz="0" w:space="0" w:color="auto"/>
        <w:right w:val="none" w:sz="0" w:space="0" w:color="auto"/>
      </w:divBdr>
    </w:div>
    <w:div w:id="159976242">
      <w:bodyDiv w:val="1"/>
      <w:marLeft w:val="0"/>
      <w:marRight w:val="0"/>
      <w:marTop w:val="0"/>
      <w:marBottom w:val="0"/>
      <w:divBdr>
        <w:top w:val="none" w:sz="0" w:space="0" w:color="auto"/>
        <w:left w:val="none" w:sz="0" w:space="0" w:color="auto"/>
        <w:bottom w:val="none" w:sz="0" w:space="0" w:color="auto"/>
        <w:right w:val="none" w:sz="0" w:space="0" w:color="auto"/>
      </w:divBdr>
    </w:div>
    <w:div w:id="234165753">
      <w:bodyDiv w:val="1"/>
      <w:marLeft w:val="0"/>
      <w:marRight w:val="0"/>
      <w:marTop w:val="0"/>
      <w:marBottom w:val="0"/>
      <w:divBdr>
        <w:top w:val="none" w:sz="0" w:space="0" w:color="auto"/>
        <w:left w:val="none" w:sz="0" w:space="0" w:color="auto"/>
        <w:bottom w:val="none" w:sz="0" w:space="0" w:color="auto"/>
        <w:right w:val="none" w:sz="0" w:space="0" w:color="auto"/>
      </w:divBdr>
    </w:div>
    <w:div w:id="235437391">
      <w:bodyDiv w:val="1"/>
      <w:marLeft w:val="0"/>
      <w:marRight w:val="0"/>
      <w:marTop w:val="0"/>
      <w:marBottom w:val="0"/>
      <w:divBdr>
        <w:top w:val="none" w:sz="0" w:space="0" w:color="auto"/>
        <w:left w:val="none" w:sz="0" w:space="0" w:color="auto"/>
        <w:bottom w:val="none" w:sz="0" w:space="0" w:color="auto"/>
        <w:right w:val="none" w:sz="0" w:space="0" w:color="auto"/>
      </w:divBdr>
    </w:div>
    <w:div w:id="240648775">
      <w:bodyDiv w:val="1"/>
      <w:marLeft w:val="0"/>
      <w:marRight w:val="0"/>
      <w:marTop w:val="0"/>
      <w:marBottom w:val="0"/>
      <w:divBdr>
        <w:top w:val="none" w:sz="0" w:space="0" w:color="auto"/>
        <w:left w:val="none" w:sz="0" w:space="0" w:color="auto"/>
        <w:bottom w:val="none" w:sz="0" w:space="0" w:color="auto"/>
        <w:right w:val="none" w:sz="0" w:space="0" w:color="auto"/>
      </w:divBdr>
    </w:div>
    <w:div w:id="296180486">
      <w:bodyDiv w:val="1"/>
      <w:marLeft w:val="0"/>
      <w:marRight w:val="0"/>
      <w:marTop w:val="0"/>
      <w:marBottom w:val="0"/>
      <w:divBdr>
        <w:top w:val="none" w:sz="0" w:space="0" w:color="auto"/>
        <w:left w:val="none" w:sz="0" w:space="0" w:color="auto"/>
        <w:bottom w:val="none" w:sz="0" w:space="0" w:color="auto"/>
        <w:right w:val="none" w:sz="0" w:space="0" w:color="auto"/>
      </w:divBdr>
    </w:div>
    <w:div w:id="296423751">
      <w:bodyDiv w:val="1"/>
      <w:marLeft w:val="0"/>
      <w:marRight w:val="0"/>
      <w:marTop w:val="0"/>
      <w:marBottom w:val="0"/>
      <w:divBdr>
        <w:top w:val="none" w:sz="0" w:space="0" w:color="auto"/>
        <w:left w:val="none" w:sz="0" w:space="0" w:color="auto"/>
        <w:bottom w:val="none" w:sz="0" w:space="0" w:color="auto"/>
        <w:right w:val="none" w:sz="0" w:space="0" w:color="auto"/>
      </w:divBdr>
    </w:div>
    <w:div w:id="307169141">
      <w:bodyDiv w:val="1"/>
      <w:marLeft w:val="0"/>
      <w:marRight w:val="0"/>
      <w:marTop w:val="0"/>
      <w:marBottom w:val="0"/>
      <w:divBdr>
        <w:top w:val="none" w:sz="0" w:space="0" w:color="auto"/>
        <w:left w:val="none" w:sz="0" w:space="0" w:color="auto"/>
        <w:bottom w:val="none" w:sz="0" w:space="0" w:color="auto"/>
        <w:right w:val="none" w:sz="0" w:space="0" w:color="auto"/>
      </w:divBdr>
    </w:div>
    <w:div w:id="492113238">
      <w:bodyDiv w:val="1"/>
      <w:marLeft w:val="0"/>
      <w:marRight w:val="0"/>
      <w:marTop w:val="0"/>
      <w:marBottom w:val="0"/>
      <w:divBdr>
        <w:top w:val="none" w:sz="0" w:space="0" w:color="auto"/>
        <w:left w:val="none" w:sz="0" w:space="0" w:color="auto"/>
        <w:bottom w:val="none" w:sz="0" w:space="0" w:color="auto"/>
        <w:right w:val="none" w:sz="0" w:space="0" w:color="auto"/>
      </w:divBdr>
    </w:div>
    <w:div w:id="500316302">
      <w:bodyDiv w:val="1"/>
      <w:marLeft w:val="0"/>
      <w:marRight w:val="0"/>
      <w:marTop w:val="0"/>
      <w:marBottom w:val="0"/>
      <w:divBdr>
        <w:top w:val="none" w:sz="0" w:space="0" w:color="auto"/>
        <w:left w:val="none" w:sz="0" w:space="0" w:color="auto"/>
        <w:bottom w:val="none" w:sz="0" w:space="0" w:color="auto"/>
        <w:right w:val="none" w:sz="0" w:space="0" w:color="auto"/>
      </w:divBdr>
    </w:div>
    <w:div w:id="564604416">
      <w:bodyDiv w:val="1"/>
      <w:marLeft w:val="0"/>
      <w:marRight w:val="0"/>
      <w:marTop w:val="0"/>
      <w:marBottom w:val="0"/>
      <w:divBdr>
        <w:top w:val="none" w:sz="0" w:space="0" w:color="auto"/>
        <w:left w:val="none" w:sz="0" w:space="0" w:color="auto"/>
        <w:bottom w:val="none" w:sz="0" w:space="0" w:color="auto"/>
        <w:right w:val="none" w:sz="0" w:space="0" w:color="auto"/>
      </w:divBdr>
    </w:div>
    <w:div w:id="570654174">
      <w:bodyDiv w:val="1"/>
      <w:marLeft w:val="0"/>
      <w:marRight w:val="0"/>
      <w:marTop w:val="0"/>
      <w:marBottom w:val="0"/>
      <w:divBdr>
        <w:top w:val="none" w:sz="0" w:space="0" w:color="auto"/>
        <w:left w:val="none" w:sz="0" w:space="0" w:color="auto"/>
        <w:bottom w:val="none" w:sz="0" w:space="0" w:color="auto"/>
        <w:right w:val="none" w:sz="0" w:space="0" w:color="auto"/>
      </w:divBdr>
    </w:div>
    <w:div w:id="670332944">
      <w:bodyDiv w:val="1"/>
      <w:marLeft w:val="0"/>
      <w:marRight w:val="0"/>
      <w:marTop w:val="0"/>
      <w:marBottom w:val="0"/>
      <w:divBdr>
        <w:top w:val="none" w:sz="0" w:space="0" w:color="auto"/>
        <w:left w:val="none" w:sz="0" w:space="0" w:color="auto"/>
        <w:bottom w:val="none" w:sz="0" w:space="0" w:color="auto"/>
        <w:right w:val="none" w:sz="0" w:space="0" w:color="auto"/>
      </w:divBdr>
    </w:div>
    <w:div w:id="679937720">
      <w:bodyDiv w:val="1"/>
      <w:marLeft w:val="0"/>
      <w:marRight w:val="0"/>
      <w:marTop w:val="0"/>
      <w:marBottom w:val="0"/>
      <w:divBdr>
        <w:top w:val="none" w:sz="0" w:space="0" w:color="auto"/>
        <w:left w:val="none" w:sz="0" w:space="0" w:color="auto"/>
        <w:bottom w:val="none" w:sz="0" w:space="0" w:color="auto"/>
        <w:right w:val="none" w:sz="0" w:space="0" w:color="auto"/>
      </w:divBdr>
    </w:div>
    <w:div w:id="708997011">
      <w:bodyDiv w:val="1"/>
      <w:marLeft w:val="0"/>
      <w:marRight w:val="0"/>
      <w:marTop w:val="0"/>
      <w:marBottom w:val="0"/>
      <w:divBdr>
        <w:top w:val="none" w:sz="0" w:space="0" w:color="auto"/>
        <w:left w:val="none" w:sz="0" w:space="0" w:color="auto"/>
        <w:bottom w:val="none" w:sz="0" w:space="0" w:color="auto"/>
        <w:right w:val="none" w:sz="0" w:space="0" w:color="auto"/>
      </w:divBdr>
    </w:div>
    <w:div w:id="735010786">
      <w:bodyDiv w:val="1"/>
      <w:marLeft w:val="0"/>
      <w:marRight w:val="0"/>
      <w:marTop w:val="0"/>
      <w:marBottom w:val="0"/>
      <w:divBdr>
        <w:top w:val="none" w:sz="0" w:space="0" w:color="auto"/>
        <w:left w:val="none" w:sz="0" w:space="0" w:color="auto"/>
        <w:bottom w:val="none" w:sz="0" w:space="0" w:color="auto"/>
        <w:right w:val="none" w:sz="0" w:space="0" w:color="auto"/>
      </w:divBdr>
    </w:div>
    <w:div w:id="776213383">
      <w:bodyDiv w:val="1"/>
      <w:marLeft w:val="0"/>
      <w:marRight w:val="0"/>
      <w:marTop w:val="0"/>
      <w:marBottom w:val="0"/>
      <w:divBdr>
        <w:top w:val="none" w:sz="0" w:space="0" w:color="auto"/>
        <w:left w:val="none" w:sz="0" w:space="0" w:color="auto"/>
        <w:bottom w:val="none" w:sz="0" w:space="0" w:color="auto"/>
        <w:right w:val="none" w:sz="0" w:space="0" w:color="auto"/>
      </w:divBdr>
    </w:div>
    <w:div w:id="820150200">
      <w:bodyDiv w:val="1"/>
      <w:marLeft w:val="0"/>
      <w:marRight w:val="0"/>
      <w:marTop w:val="0"/>
      <w:marBottom w:val="0"/>
      <w:divBdr>
        <w:top w:val="none" w:sz="0" w:space="0" w:color="auto"/>
        <w:left w:val="none" w:sz="0" w:space="0" w:color="auto"/>
        <w:bottom w:val="none" w:sz="0" w:space="0" w:color="auto"/>
        <w:right w:val="none" w:sz="0" w:space="0" w:color="auto"/>
      </w:divBdr>
    </w:div>
    <w:div w:id="830217627">
      <w:bodyDiv w:val="1"/>
      <w:marLeft w:val="0"/>
      <w:marRight w:val="0"/>
      <w:marTop w:val="0"/>
      <w:marBottom w:val="0"/>
      <w:divBdr>
        <w:top w:val="none" w:sz="0" w:space="0" w:color="auto"/>
        <w:left w:val="none" w:sz="0" w:space="0" w:color="auto"/>
        <w:bottom w:val="none" w:sz="0" w:space="0" w:color="auto"/>
        <w:right w:val="none" w:sz="0" w:space="0" w:color="auto"/>
      </w:divBdr>
    </w:div>
    <w:div w:id="858007557">
      <w:bodyDiv w:val="1"/>
      <w:marLeft w:val="0"/>
      <w:marRight w:val="0"/>
      <w:marTop w:val="0"/>
      <w:marBottom w:val="0"/>
      <w:divBdr>
        <w:top w:val="none" w:sz="0" w:space="0" w:color="auto"/>
        <w:left w:val="none" w:sz="0" w:space="0" w:color="auto"/>
        <w:bottom w:val="none" w:sz="0" w:space="0" w:color="auto"/>
        <w:right w:val="none" w:sz="0" w:space="0" w:color="auto"/>
      </w:divBdr>
    </w:div>
    <w:div w:id="858857940">
      <w:bodyDiv w:val="1"/>
      <w:marLeft w:val="0"/>
      <w:marRight w:val="0"/>
      <w:marTop w:val="0"/>
      <w:marBottom w:val="0"/>
      <w:divBdr>
        <w:top w:val="none" w:sz="0" w:space="0" w:color="auto"/>
        <w:left w:val="none" w:sz="0" w:space="0" w:color="auto"/>
        <w:bottom w:val="none" w:sz="0" w:space="0" w:color="auto"/>
        <w:right w:val="none" w:sz="0" w:space="0" w:color="auto"/>
      </w:divBdr>
    </w:div>
    <w:div w:id="877355929">
      <w:bodyDiv w:val="1"/>
      <w:marLeft w:val="0"/>
      <w:marRight w:val="0"/>
      <w:marTop w:val="0"/>
      <w:marBottom w:val="0"/>
      <w:divBdr>
        <w:top w:val="none" w:sz="0" w:space="0" w:color="auto"/>
        <w:left w:val="none" w:sz="0" w:space="0" w:color="auto"/>
        <w:bottom w:val="none" w:sz="0" w:space="0" w:color="auto"/>
        <w:right w:val="none" w:sz="0" w:space="0" w:color="auto"/>
      </w:divBdr>
    </w:div>
    <w:div w:id="913274201">
      <w:bodyDiv w:val="1"/>
      <w:marLeft w:val="0"/>
      <w:marRight w:val="0"/>
      <w:marTop w:val="0"/>
      <w:marBottom w:val="0"/>
      <w:divBdr>
        <w:top w:val="none" w:sz="0" w:space="0" w:color="auto"/>
        <w:left w:val="none" w:sz="0" w:space="0" w:color="auto"/>
        <w:bottom w:val="none" w:sz="0" w:space="0" w:color="auto"/>
        <w:right w:val="none" w:sz="0" w:space="0" w:color="auto"/>
      </w:divBdr>
    </w:div>
    <w:div w:id="935019398">
      <w:bodyDiv w:val="1"/>
      <w:marLeft w:val="0"/>
      <w:marRight w:val="0"/>
      <w:marTop w:val="0"/>
      <w:marBottom w:val="0"/>
      <w:divBdr>
        <w:top w:val="none" w:sz="0" w:space="0" w:color="auto"/>
        <w:left w:val="none" w:sz="0" w:space="0" w:color="auto"/>
        <w:bottom w:val="none" w:sz="0" w:space="0" w:color="auto"/>
        <w:right w:val="none" w:sz="0" w:space="0" w:color="auto"/>
      </w:divBdr>
    </w:div>
    <w:div w:id="977956208">
      <w:bodyDiv w:val="1"/>
      <w:marLeft w:val="0"/>
      <w:marRight w:val="0"/>
      <w:marTop w:val="0"/>
      <w:marBottom w:val="0"/>
      <w:divBdr>
        <w:top w:val="none" w:sz="0" w:space="0" w:color="auto"/>
        <w:left w:val="none" w:sz="0" w:space="0" w:color="auto"/>
        <w:bottom w:val="none" w:sz="0" w:space="0" w:color="auto"/>
        <w:right w:val="none" w:sz="0" w:space="0" w:color="auto"/>
      </w:divBdr>
    </w:div>
    <w:div w:id="996952924">
      <w:bodyDiv w:val="1"/>
      <w:marLeft w:val="0"/>
      <w:marRight w:val="0"/>
      <w:marTop w:val="0"/>
      <w:marBottom w:val="0"/>
      <w:divBdr>
        <w:top w:val="none" w:sz="0" w:space="0" w:color="auto"/>
        <w:left w:val="none" w:sz="0" w:space="0" w:color="auto"/>
        <w:bottom w:val="none" w:sz="0" w:space="0" w:color="auto"/>
        <w:right w:val="none" w:sz="0" w:space="0" w:color="auto"/>
      </w:divBdr>
    </w:div>
    <w:div w:id="1023895243">
      <w:bodyDiv w:val="1"/>
      <w:marLeft w:val="0"/>
      <w:marRight w:val="0"/>
      <w:marTop w:val="0"/>
      <w:marBottom w:val="0"/>
      <w:divBdr>
        <w:top w:val="none" w:sz="0" w:space="0" w:color="auto"/>
        <w:left w:val="none" w:sz="0" w:space="0" w:color="auto"/>
        <w:bottom w:val="none" w:sz="0" w:space="0" w:color="auto"/>
        <w:right w:val="none" w:sz="0" w:space="0" w:color="auto"/>
      </w:divBdr>
    </w:div>
    <w:div w:id="1028606032">
      <w:bodyDiv w:val="1"/>
      <w:marLeft w:val="0"/>
      <w:marRight w:val="0"/>
      <w:marTop w:val="0"/>
      <w:marBottom w:val="0"/>
      <w:divBdr>
        <w:top w:val="none" w:sz="0" w:space="0" w:color="auto"/>
        <w:left w:val="none" w:sz="0" w:space="0" w:color="auto"/>
        <w:bottom w:val="none" w:sz="0" w:space="0" w:color="auto"/>
        <w:right w:val="none" w:sz="0" w:space="0" w:color="auto"/>
      </w:divBdr>
    </w:div>
    <w:div w:id="1039891816">
      <w:bodyDiv w:val="1"/>
      <w:marLeft w:val="0"/>
      <w:marRight w:val="0"/>
      <w:marTop w:val="0"/>
      <w:marBottom w:val="0"/>
      <w:divBdr>
        <w:top w:val="none" w:sz="0" w:space="0" w:color="auto"/>
        <w:left w:val="none" w:sz="0" w:space="0" w:color="auto"/>
        <w:bottom w:val="none" w:sz="0" w:space="0" w:color="auto"/>
        <w:right w:val="none" w:sz="0" w:space="0" w:color="auto"/>
      </w:divBdr>
    </w:div>
    <w:div w:id="1050574412">
      <w:bodyDiv w:val="1"/>
      <w:marLeft w:val="0"/>
      <w:marRight w:val="0"/>
      <w:marTop w:val="0"/>
      <w:marBottom w:val="0"/>
      <w:divBdr>
        <w:top w:val="none" w:sz="0" w:space="0" w:color="auto"/>
        <w:left w:val="none" w:sz="0" w:space="0" w:color="auto"/>
        <w:bottom w:val="none" w:sz="0" w:space="0" w:color="auto"/>
        <w:right w:val="none" w:sz="0" w:space="0" w:color="auto"/>
      </w:divBdr>
    </w:div>
    <w:div w:id="1090153636">
      <w:bodyDiv w:val="1"/>
      <w:marLeft w:val="0"/>
      <w:marRight w:val="0"/>
      <w:marTop w:val="0"/>
      <w:marBottom w:val="0"/>
      <w:divBdr>
        <w:top w:val="none" w:sz="0" w:space="0" w:color="auto"/>
        <w:left w:val="none" w:sz="0" w:space="0" w:color="auto"/>
        <w:bottom w:val="none" w:sz="0" w:space="0" w:color="auto"/>
        <w:right w:val="none" w:sz="0" w:space="0" w:color="auto"/>
      </w:divBdr>
    </w:div>
    <w:div w:id="1099058580">
      <w:bodyDiv w:val="1"/>
      <w:marLeft w:val="0"/>
      <w:marRight w:val="0"/>
      <w:marTop w:val="0"/>
      <w:marBottom w:val="0"/>
      <w:divBdr>
        <w:top w:val="none" w:sz="0" w:space="0" w:color="auto"/>
        <w:left w:val="none" w:sz="0" w:space="0" w:color="auto"/>
        <w:bottom w:val="none" w:sz="0" w:space="0" w:color="auto"/>
        <w:right w:val="none" w:sz="0" w:space="0" w:color="auto"/>
      </w:divBdr>
    </w:div>
    <w:div w:id="1101802817">
      <w:bodyDiv w:val="1"/>
      <w:marLeft w:val="0"/>
      <w:marRight w:val="0"/>
      <w:marTop w:val="0"/>
      <w:marBottom w:val="0"/>
      <w:divBdr>
        <w:top w:val="none" w:sz="0" w:space="0" w:color="auto"/>
        <w:left w:val="none" w:sz="0" w:space="0" w:color="auto"/>
        <w:bottom w:val="none" w:sz="0" w:space="0" w:color="auto"/>
        <w:right w:val="none" w:sz="0" w:space="0" w:color="auto"/>
      </w:divBdr>
    </w:div>
    <w:div w:id="1103261608">
      <w:bodyDiv w:val="1"/>
      <w:marLeft w:val="0"/>
      <w:marRight w:val="0"/>
      <w:marTop w:val="0"/>
      <w:marBottom w:val="0"/>
      <w:divBdr>
        <w:top w:val="none" w:sz="0" w:space="0" w:color="auto"/>
        <w:left w:val="none" w:sz="0" w:space="0" w:color="auto"/>
        <w:bottom w:val="none" w:sz="0" w:space="0" w:color="auto"/>
        <w:right w:val="none" w:sz="0" w:space="0" w:color="auto"/>
      </w:divBdr>
    </w:div>
    <w:div w:id="1211721786">
      <w:bodyDiv w:val="1"/>
      <w:marLeft w:val="0"/>
      <w:marRight w:val="0"/>
      <w:marTop w:val="0"/>
      <w:marBottom w:val="0"/>
      <w:divBdr>
        <w:top w:val="none" w:sz="0" w:space="0" w:color="auto"/>
        <w:left w:val="none" w:sz="0" w:space="0" w:color="auto"/>
        <w:bottom w:val="none" w:sz="0" w:space="0" w:color="auto"/>
        <w:right w:val="none" w:sz="0" w:space="0" w:color="auto"/>
      </w:divBdr>
    </w:div>
    <w:div w:id="1213539165">
      <w:bodyDiv w:val="1"/>
      <w:marLeft w:val="0"/>
      <w:marRight w:val="0"/>
      <w:marTop w:val="0"/>
      <w:marBottom w:val="0"/>
      <w:divBdr>
        <w:top w:val="none" w:sz="0" w:space="0" w:color="auto"/>
        <w:left w:val="none" w:sz="0" w:space="0" w:color="auto"/>
        <w:bottom w:val="none" w:sz="0" w:space="0" w:color="auto"/>
        <w:right w:val="none" w:sz="0" w:space="0" w:color="auto"/>
      </w:divBdr>
    </w:div>
    <w:div w:id="1216966586">
      <w:bodyDiv w:val="1"/>
      <w:marLeft w:val="0"/>
      <w:marRight w:val="0"/>
      <w:marTop w:val="0"/>
      <w:marBottom w:val="0"/>
      <w:divBdr>
        <w:top w:val="none" w:sz="0" w:space="0" w:color="auto"/>
        <w:left w:val="none" w:sz="0" w:space="0" w:color="auto"/>
        <w:bottom w:val="none" w:sz="0" w:space="0" w:color="auto"/>
        <w:right w:val="none" w:sz="0" w:space="0" w:color="auto"/>
      </w:divBdr>
    </w:div>
    <w:div w:id="1218052781">
      <w:bodyDiv w:val="1"/>
      <w:marLeft w:val="0"/>
      <w:marRight w:val="0"/>
      <w:marTop w:val="0"/>
      <w:marBottom w:val="0"/>
      <w:divBdr>
        <w:top w:val="none" w:sz="0" w:space="0" w:color="auto"/>
        <w:left w:val="none" w:sz="0" w:space="0" w:color="auto"/>
        <w:bottom w:val="none" w:sz="0" w:space="0" w:color="auto"/>
        <w:right w:val="none" w:sz="0" w:space="0" w:color="auto"/>
      </w:divBdr>
    </w:div>
    <w:div w:id="1237277295">
      <w:bodyDiv w:val="1"/>
      <w:marLeft w:val="0"/>
      <w:marRight w:val="0"/>
      <w:marTop w:val="0"/>
      <w:marBottom w:val="0"/>
      <w:divBdr>
        <w:top w:val="none" w:sz="0" w:space="0" w:color="auto"/>
        <w:left w:val="none" w:sz="0" w:space="0" w:color="auto"/>
        <w:bottom w:val="none" w:sz="0" w:space="0" w:color="auto"/>
        <w:right w:val="none" w:sz="0" w:space="0" w:color="auto"/>
      </w:divBdr>
    </w:div>
    <w:div w:id="1419669760">
      <w:bodyDiv w:val="1"/>
      <w:marLeft w:val="0"/>
      <w:marRight w:val="0"/>
      <w:marTop w:val="0"/>
      <w:marBottom w:val="0"/>
      <w:divBdr>
        <w:top w:val="none" w:sz="0" w:space="0" w:color="auto"/>
        <w:left w:val="none" w:sz="0" w:space="0" w:color="auto"/>
        <w:bottom w:val="none" w:sz="0" w:space="0" w:color="auto"/>
        <w:right w:val="none" w:sz="0" w:space="0" w:color="auto"/>
      </w:divBdr>
    </w:div>
    <w:div w:id="1426537762">
      <w:bodyDiv w:val="1"/>
      <w:marLeft w:val="0"/>
      <w:marRight w:val="0"/>
      <w:marTop w:val="0"/>
      <w:marBottom w:val="0"/>
      <w:divBdr>
        <w:top w:val="none" w:sz="0" w:space="0" w:color="auto"/>
        <w:left w:val="none" w:sz="0" w:space="0" w:color="auto"/>
        <w:bottom w:val="none" w:sz="0" w:space="0" w:color="auto"/>
        <w:right w:val="none" w:sz="0" w:space="0" w:color="auto"/>
      </w:divBdr>
      <w:divsChild>
        <w:div w:id="1287472619">
          <w:marLeft w:val="1800"/>
          <w:marRight w:val="0"/>
          <w:marTop w:val="100"/>
          <w:marBottom w:val="0"/>
          <w:divBdr>
            <w:top w:val="none" w:sz="0" w:space="0" w:color="auto"/>
            <w:left w:val="none" w:sz="0" w:space="0" w:color="auto"/>
            <w:bottom w:val="none" w:sz="0" w:space="0" w:color="auto"/>
            <w:right w:val="none" w:sz="0" w:space="0" w:color="auto"/>
          </w:divBdr>
        </w:div>
      </w:divsChild>
    </w:div>
    <w:div w:id="1448701375">
      <w:bodyDiv w:val="1"/>
      <w:marLeft w:val="0"/>
      <w:marRight w:val="0"/>
      <w:marTop w:val="0"/>
      <w:marBottom w:val="0"/>
      <w:divBdr>
        <w:top w:val="none" w:sz="0" w:space="0" w:color="auto"/>
        <w:left w:val="none" w:sz="0" w:space="0" w:color="auto"/>
        <w:bottom w:val="none" w:sz="0" w:space="0" w:color="auto"/>
        <w:right w:val="none" w:sz="0" w:space="0" w:color="auto"/>
      </w:divBdr>
    </w:div>
    <w:div w:id="1470173577">
      <w:bodyDiv w:val="1"/>
      <w:marLeft w:val="0"/>
      <w:marRight w:val="0"/>
      <w:marTop w:val="0"/>
      <w:marBottom w:val="0"/>
      <w:divBdr>
        <w:top w:val="none" w:sz="0" w:space="0" w:color="auto"/>
        <w:left w:val="none" w:sz="0" w:space="0" w:color="auto"/>
        <w:bottom w:val="none" w:sz="0" w:space="0" w:color="auto"/>
        <w:right w:val="none" w:sz="0" w:space="0" w:color="auto"/>
      </w:divBdr>
    </w:div>
    <w:div w:id="1503159808">
      <w:bodyDiv w:val="1"/>
      <w:marLeft w:val="0"/>
      <w:marRight w:val="0"/>
      <w:marTop w:val="0"/>
      <w:marBottom w:val="0"/>
      <w:divBdr>
        <w:top w:val="none" w:sz="0" w:space="0" w:color="auto"/>
        <w:left w:val="none" w:sz="0" w:space="0" w:color="auto"/>
        <w:bottom w:val="none" w:sz="0" w:space="0" w:color="auto"/>
        <w:right w:val="none" w:sz="0" w:space="0" w:color="auto"/>
      </w:divBdr>
    </w:div>
    <w:div w:id="1515417047">
      <w:bodyDiv w:val="1"/>
      <w:marLeft w:val="0"/>
      <w:marRight w:val="0"/>
      <w:marTop w:val="0"/>
      <w:marBottom w:val="0"/>
      <w:divBdr>
        <w:top w:val="none" w:sz="0" w:space="0" w:color="auto"/>
        <w:left w:val="none" w:sz="0" w:space="0" w:color="auto"/>
        <w:bottom w:val="none" w:sz="0" w:space="0" w:color="auto"/>
        <w:right w:val="none" w:sz="0" w:space="0" w:color="auto"/>
      </w:divBdr>
    </w:div>
    <w:div w:id="1518615926">
      <w:bodyDiv w:val="1"/>
      <w:marLeft w:val="0"/>
      <w:marRight w:val="0"/>
      <w:marTop w:val="0"/>
      <w:marBottom w:val="0"/>
      <w:divBdr>
        <w:top w:val="none" w:sz="0" w:space="0" w:color="auto"/>
        <w:left w:val="none" w:sz="0" w:space="0" w:color="auto"/>
        <w:bottom w:val="none" w:sz="0" w:space="0" w:color="auto"/>
        <w:right w:val="none" w:sz="0" w:space="0" w:color="auto"/>
      </w:divBdr>
    </w:div>
    <w:div w:id="1538200065">
      <w:bodyDiv w:val="1"/>
      <w:marLeft w:val="0"/>
      <w:marRight w:val="0"/>
      <w:marTop w:val="0"/>
      <w:marBottom w:val="0"/>
      <w:divBdr>
        <w:top w:val="none" w:sz="0" w:space="0" w:color="auto"/>
        <w:left w:val="none" w:sz="0" w:space="0" w:color="auto"/>
        <w:bottom w:val="none" w:sz="0" w:space="0" w:color="auto"/>
        <w:right w:val="none" w:sz="0" w:space="0" w:color="auto"/>
      </w:divBdr>
    </w:div>
    <w:div w:id="1580947548">
      <w:bodyDiv w:val="1"/>
      <w:marLeft w:val="0"/>
      <w:marRight w:val="0"/>
      <w:marTop w:val="0"/>
      <w:marBottom w:val="0"/>
      <w:divBdr>
        <w:top w:val="none" w:sz="0" w:space="0" w:color="auto"/>
        <w:left w:val="none" w:sz="0" w:space="0" w:color="auto"/>
        <w:bottom w:val="none" w:sz="0" w:space="0" w:color="auto"/>
        <w:right w:val="none" w:sz="0" w:space="0" w:color="auto"/>
      </w:divBdr>
    </w:div>
    <w:div w:id="1607689609">
      <w:bodyDiv w:val="1"/>
      <w:marLeft w:val="0"/>
      <w:marRight w:val="0"/>
      <w:marTop w:val="0"/>
      <w:marBottom w:val="0"/>
      <w:divBdr>
        <w:top w:val="none" w:sz="0" w:space="0" w:color="auto"/>
        <w:left w:val="none" w:sz="0" w:space="0" w:color="auto"/>
        <w:bottom w:val="none" w:sz="0" w:space="0" w:color="auto"/>
        <w:right w:val="none" w:sz="0" w:space="0" w:color="auto"/>
      </w:divBdr>
    </w:div>
    <w:div w:id="1635673236">
      <w:bodyDiv w:val="1"/>
      <w:marLeft w:val="0"/>
      <w:marRight w:val="0"/>
      <w:marTop w:val="0"/>
      <w:marBottom w:val="0"/>
      <w:divBdr>
        <w:top w:val="none" w:sz="0" w:space="0" w:color="auto"/>
        <w:left w:val="none" w:sz="0" w:space="0" w:color="auto"/>
        <w:bottom w:val="none" w:sz="0" w:space="0" w:color="auto"/>
        <w:right w:val="none" w:sz="0" w:space="0" w:color="auto"/>
      </w:divBdr>
    </w:div>
    <w:div w:id="1657610177">
      <w:bodyDiv w:val="1"/>
      <w:marLeft w:val="0"/>
      <w:marRight w:val="0"/>
      <w:marTop w:val="0"/>
      <w:marBottom w:val="0"/>
      <w:divBdr>
        <w:top w:val="none" w:sz="0" w:space="0" w:color="auto"/>
        <w:left w:val="none" w:sz="0" w:space="0" w:color="auto"/>
        <w:bottom w:val="none" w:sz="0" w:space="0" w:color="auto"/>
        <w:right w:val="none" w:sz="0" w:space="0" w:color="auto"/>
      </w:divBdr>
    </w:div>
    <w:div w:id="1687056066">
      <w:bodyDiv w:val="1"/>
      <w:marLeft w:val="0"/>
      <w:marRight w:val="0"/>
      <w:marTop w:val="0"/>
      <w:marBottom w:val="0"/>
      <w:divBdr>
        <w:top w:val="none" w:sz="0" w:space="0" w:color="auto"/>
        <w:left w:val="none" w:sz="0" w:space="0" w:color="auto"/>
        <w:bottom w:val="none" w:sz="0" w:space="0" w:color="auto"/>
        <w:right w:val="none" w:sz="0" w:space="0" w:color="auto"/>
      </w:divBdr>
    </w:div>
    <w:div w:id="1706171952">
      <w:bodyDiv w:val="1"/>
      <w:marLeft w:val="0"/>
      <w:marRight w:val="0"/>
      <w:marTop w:val="0"/>
      <w:marBottom w:val="0"/>
      <w:divBdr>
        <w:top w:val="none" w:sz="0" w:space="0" w:color="auto"/>
        <w:left w:val="none" w:sz="0" w:space="0" w:color="auto"/>
        <w:bottom w:val="none" w:sz="0" w:space="0" w:color="auto"/>
        <w:right w:val="none" w:sz="0" w:space="0" w:color="auto"/>
      </w:divBdr>
    </w:div>
    <w:div w:id="1717850830">
      <w:bodyDiv w:val="1"/>
      <w:marLeft w:val="0"/>
      <w:marRight w:val="0"/>
      <w:marTop w:val="0"/>
      <w:marBottom w:val="0"/>
      <w:divBdr>
        <w:top w:val="none" w:sz="0" w:space="0" w:color="auto"/>
        <w:left w:val="none" w:sz="0" w:space="0" w:color="auto"/>
        <w:bottom w:val="none" w:sz="0" w:space="0" w:color="auto"/>
        <w:right w:val="none" w:sz="0" w:space="0" w:color="auto"/>
      </w:divBdr>
    </w:div>
    <w:div w:id="1721827437">
      <w:bodyDiv w:val="1"/>
      <w:marLeft w:val="0"/>
      <w:marRight w:val="0"/>
      <w:marTop w:val="0"/>
      <w:marBottom w:val="0"/>
      <w:divBdr>
        <w:top w:val="none" w:sz="0" w:space="0" w:color="auto"/>
        <w:left w:val="none" w:sz="0" w:space="0" w:color="auto"/>
        <w:bottom w:val="none" w:sz="0" w:space="0" w:color="auto"/>
        <w:right w:val="none" w:sz="0" w:space="0" w:color="auto"/>
      </w:divBdr>
    </w:div>
    <w:div w:id="1722097648">
      <w:bodyDiv w:val="1"/>
      <w:marLeft w:val="0"/>
      <w:marRight w:val="0"/>
      <w:marTop w:val="0"/>
      <w:marBottom w:val="0"/>
      <w:divBdr>
        <w:top w:val="none" w:sz="0" w:space="0" w:color="auto"/>
        <w:left w:val="none" w:sz="0" w:space="0" w:color="auto"/>
        <w:bottom w:val="none" w:sz="0" w:space="0" w:color="auto"/>
        <w:right w:val="none" w:sz="0" w:space="0" w:color="auto"/>
      </w:divBdr>
    </w:div>
    <w:div w:id="1741974266">
      <w:bodyDiv w:val="1"/>
      <w:marLeft w:val="0"/>
      <w:marRight w:val="0"/>
      <w:marTop w:val="0"/>
      <w:marBottom w:val="0"/>
      <w:divBdr>
        <w:top w:val="none" w:sz="0" w:space="0" w:color="auto"/>
        <w:left w:val="none" w:sz="0" w:space="0" w:color="auto"/>
        <w:bottom w:val="none" w:sz="0" w:space="0" w:color="auto"/>
        <w:right w:val="none" w:sz="0" w:space="0" w:color="auto"/>
      </w:divBdr>
    </w:div>
    <w:div w:id="1753775779">
      <w:bodyDiv w:val="1"/>
      <w:marLeft w:val="0"/>
      <w:marRight w:val="0"/>
      <w:marTop w:val="0"/>
      <w:marBottom w:val="0"/>
      <w:divBdr>
        <w:top w:val="none" w:sz="0" w:space="0" w:color="auto"/>
        <w:left w:val="none" w:sz="0" w:space="0" w:color="auto"/>
        <w:bottom w:val="none" w:sz="0" w:space="0" w:color="auto"/>
        <w:right w:val="none" w:sz="0" w:space="0" w:color="auto"/>
      </w:divBdr>
    </w:div>
    <w:div w:id="1802379525">
      <w:bodyDiv w:val="1"/>
      <w:marLeft w:val="0"/>
      <w:marRight w:val="0"/>
      <w:marTop w:val="0"/>
      <w:marBottom w:val="0"/>
      <w:divBdr>
        <w:top w:val="none" w:sz="0" w:space="0" w:color="auto"/>
        <w:left w:val="none" w:sz="0" w:space="0" w:color="auto"/>
        <w:bottom w:val="none" w:sz="0" w:space="0" w:color="auto"/>
        <w:right w:val="none" w:sz="0" w:space="0" w:color="auto"/>
      </w:divBdr>
    </w:div>
    <w:div w:id="1819568088">
      <w:bodyDiv w:val="1"/>
      <w:marLeft w:val="0"/>
      <w:marRight w:val="0"/>
      <w:marTop w:val="0"/>
      <w:marBottom w:val="0"/>
      <w:divBdr>
        <w:top w:val="none" w:sz="0" w:space="0" w:color="auto"/>
        <w:left w:val="none" w:sz="0" w:space="0" w:color="auto"/>
        <w:bottom w:val="none" w:sz="0" w:space="0" w:color="auto"/>
        <w:right w:val="none" w:sz="0" w:space="0" w:color="auto"/>
      </w:divBdr>
    </w:div>
    <w:div w:id="1861967138">
      <w:bodyDiv w:val="1"/>
      <w:marLeft w:val="0"/>
      <w:marRight w:val="0"/>
      <w:marTop w:val="0"/>
      <w:marBottom w:val="0"/>
      <w:divBdr>
        <w:top w:val="none" w:sz="0" w:space="0" w:color="auto"/>
        <w:left w:val="none" w:sz="0" w:space="0" w:color="auto"/>
        <w:bottom w:val="none" w:sz="0" w:space="0" w:color="auto"/>
        <w:right w:val="none" w:sz="0" w:space="0" w:color="auto"/>
      </w:divBdr>
    </w:div>
    <w:div w:id="1891728783">
      <w:bodyDiv w:val="1"/>
      <w:marLeft w:val="0"/>
      <w:marRight w:val="0"/>
      <w:marTop w:val="0"/>
      <w:marBottom w:val="0"/>
      <w:divBdr>
        <w:top w:val="none" w:sz="0" w:space="0" w:color="auto"/>
        <w:left w:val="none" w:sz="0" w:space="0" w:color="auto"/>
        <w:bottom w:val="none" w:sz="0" w:space="0" w:color="auto"/>
        <w:right w:val="none" w:sz="0" w:space="0" w:color="auto"/>
      </w:divBdr>
    </w:div>
    <w:div w:id="1895577369">
      <w:bodyDiv w:val="1"/>
      <w:marLeft w:val="0"/>
      <w:marRight w:val="0"/>
      <w:marTop w:val="0"/>
      <w:marBottom w:val="0"/>
      <w:divBdr>
        <w:top w:val="none" w:sz="0" w:space="0" w:color="auto"/>
        <w:left w:val="none" w:sz="0" w:space="0" w:color="auto"/>
        <w:bottom w:val="none" w:sz="0" w:space="0" w:color="auto"/>
        <w:right w:val="none" w:sz="0" w:space="0" w:color="auto"/>
      </w:divBdr>
    </w:div>
    <w:div w:id="1898778067">
      <w:bodyDiv w:val="1"/>
      <w:marLeft w:val="0"/>
      <w:marRight w:val="0"/>
      <w:marTop w:val="0"/>
      <w:marBottom w:val="0"/>
      <w:divBdr>
        <w:top w:val="none" w:sz="0" w:space="0" w:color="auto"/>
        <w:left w:val="none" w:sz="0" w:space="0" w:color="auto"/>
        <w:bottom w:val="none" w:sz="0" w:space="0" w:color="auto"/>
        <w:right w:val="none" w:sz="0" w:space="0" w:color="auto"/>
      </w:divBdr>
    </w:div>
    <w:div w:id="1908756452">
      <w:bodyDiv w:val="1"/>
      <w:marLeft w:val="0"/>
      <w:marRight w:val="0"/>
      <w:marTop w:val="0"/>
      <w:marBottom w:val="0"/>
      <w:divBdr>
        <w:top w:val="none" w:sz="0" w:space="0" w:color="auto"/>
        <w:left w:val="none" w:sz="0" w:space="0" w:color="auto"/>
        <w:bottom w:val="none" w:sz="0" w:space="0" w:color="auto"/>
        <w:right w:val="none" w:sz="0" w:space="0" w:color="auto"/>
      </w:divBdr>
    </w:div>
    <w:div w:id="1908807474">
      <w:bodyDiv w:val="1"/>
      <w:marLeft w:val="0"/>
      <w:marRight w:val="0"/>
      <w:marTop w:val="0"/>
      <w:marBottom w:val="0"/>
      <w:divBdr>
        <w:top w:val="none" w:sz="0" w:space="0" w:color="auto"/>
        <w:left w:val="none" w:sz="0" w:space="0" w:color="auto"/>
        <w:bottom w:val="none" w:sz="0" w:space="0" w:color="auto"/>
        <w:right w:val="none" w:sz="0" w:space="0" w:color="auto"/>
      </w:divBdr>
    </w:div>
    <w:div w:id="1915358619">
      <w:bodyDiv w:val="1"/>
      <w:marLeft w:val="0"/>
      <w:marRight w:val="0"/>
      <w:marTop w:val="0"/>
      <w:marBottom w:val="0"/>
      <w:divBdr>
        <w:top w:val="none" w:sz="0" w:space="0" w:color="auto"/>
        <w:left w:val="none" w:sz="0" w:space="0" w:color="auto"/>
        <w:bottom w:val="none" w:sz="0" w:space="0" w:color="auto"/>
        <w:right w:val="none" w:sz="0" w:space="0" w:color="auto"/>
      </w:divBdr>
    </w:div>
    <w:div w:id="1924291975">
      <w:bodyDiv w:val="1"/>
      <w:marLeft w:val="0"/>
      <w:marRight w:val="0"/>
      <w:marTop w:val="0"/>
      <w:marBottom w:val="0"/>
      <w:divBdr>
        <w:top w:val="none" w:sz="0" w:space="0" w:color="auto"/>
        <w:left w:val="none" w:sz="0" w:space="0" w:color="auto"/>
        <w:bottom w:val="none" w:sz="0" w:space="0" w:color="auto"/>
        <w:right w:val="none" w:sz="0" w:space="0" w:color="auto"/>
      </w:divBdr>
    </w:div>
    <w:div w:id="1952125403">
      <w:bodyDiv w:val="1"/>
      <w:marLeft w:val="0"/>
      <w:marRight w:val="0"/>
      <w:marTop w:val="0"/>
      <w:marBottom w:val="0"/>
      <w:divBdr>
        <w:top w:val="none" w:sz="0" w:space="0" w:color="auto"/>
        <w:left w:val="none" w:sz="0" w:space="0" w:color="auto"/>
        <w:bottom w:val="none" w:sz="0" w:space="0" w:color="auto"/>
        <w:right w:val="none" w:sz="0" w:space="0" w:color="auto"/>
      </w:divBdr>
    </w:div>
    <w:div w:id="1958372086">
      <w:bodyDiv w:val="1"/>
      <w:marLeft w:val="0"/>
      <w:marRight w:val="0"/>
      <w:marTop w:val="0"/>
      <w:marBottom w:val="0"/>
      <w:divBdr>
        <w:top w:val="none" w:sz="0" w:space="0" w:color="auto"/>
        <w:left w:val="none" w:sz="0" w:space="0" w:color="auto"/>
        <w:bottom w:val="none" w:sz="0" w:space="0" w:color="auto"/>
        <w:right w:val="none" w:sz="0" w:space="0" w:color="auto"/>
      </w:divBdr>
    </w:div>
    <w:div w:id="1960144872">
      <w:bodyDiv w:val="1"/>
      <w:marLeft w:val="0"/>
      <w:marRight w:val="0"/>
      <w:marTop w:val="0"/>
      <w:marBottom w:val="0"/>
      <w:divBdr>
        <w:top w:val="none" w:sz="0" w:space="0" w:color="auto"/>
        <w:left w:val="none" w:sz="0" w:space="0" w:color="auto"/>
        <w:bottom w:val="none" w:sz="0" w:space="0" w:color="auto"/>
        <w:right w:val="none" w:sz="0" w:space="0" w:color="auto"/>
      </w:divBdr>
    </w:div>
    <w:div w:id="1990553950">
      <w:bodyDiv w:val="1"/>
      <w:marLeft w:val="0"/>
      <w:marRight w:val="0"/>
      <w:marTop w:val="0"/>
      <w:marBottom w:val="0"/>
      <w:divBdr>
        <w:top w:val="none" w:sz="0" w:space="0" w:color="auto"/>
        <w:left w:val="none" w:sz="0" w:space="0" w:color="auto"/>
        <w:bottom w:val="none" w:sz="0" w:space="0" w:color="auto"/>
        <w:right w:val="none" w:sz="0" w:space="0" w:color="auto"/>
      </w:divBdr>
    </w:div>
    <w:div w:id="1994554101">
      <w:bodyDiv w:val="1"/>
      <w:marLeft w:val="0"/>
      <w:marRight w:val="0"/>
      <w:marTop w:val="0"/>
      <w:marBottom w:val="0"/>
      <w:divBdr>
        <w:top w:val="none" w:sz="0" w:space="0" w:color="auto"/>
        <w:left w:val="none" w:sz="0" w:space="0" w:color="auto"/>
        <w:bottom w:val="none" w:sz="0" w:space="0" w:color="auto"/>
        <w:right w:val="none" w:sz="0" w:space="0" w:color="auto"/>
      </w:divBdr>
    </w:div>
    <w:div w:id="2045327215">
      <w:bodyDiv w:val="1"/>
      <w:marLeft w:val="0"/>
      <w:marRight w:val="0"/>
      <w:marTop w:val="0"/>
      <w:marBottom w:val="0"/>
      <w:divBdr>
        <w:top w:val="none" w:sz="0" w:space="0" w:color="auto"/>
        <w:left w:val="none" w:sz="0" w:space="0" w:color="auto"/>
        <w:bottom w:val="none" w:sz="0" w:space="0" w:color="auto"/>
        <w:right w:val="none" w:sz="0" w:space="0" w:color="auto"/>
      </w:divBdr>
    </w:div>
    <w:div w:id="2045864376">
      <w:bodyDiv w:val="1"/>
      <w:marLeft w:val="0"/>
      <w:marRight w:val="0"/>
      <w:marTop w:val="0"/>
      <w:marBottom w:val="0"/>
      <w:divBdr>
        <w:top w:val="none" w:sz="0" w:space="0" w:color="auto"/>
        <w:left w:val="none" w:sz="0" w:space="0" w:color="auto"/>
        <w:bottom w:val="none" w:sz="0" w:space="0" w:color="auto"/>
        <w:right w:val="none" w:sz="0" w:space="0" w:color="auto"/>
      </w:divBdr>
    </w:div>
    <w:div w:id="2054883633">
      <w:bodyDiv w:val="1"/>
      <w:marLeft w:val="0"/>
      <w:marRight w:val="0"/>
      <w:marTop w:val="0"/>
      <w:marBottom w:val="0"/>
      <w:divBdr>
        <w:top w:val="none" w:sz="0" w:space="0" w:color="auto"/>
        <w:left w:val="none" w:sz="0" w:space="0" w:color="auto"/>
        <w:bottom w:val="none" w:sz="0" w:space="0" w:color="auto"/>
        <w:right w:val="none" w:sz="0" w:space="0" w:color="auto"/>
      </w:divBdr>
    </w:div>
    <w:div w:id="2102137863">
      <w:bodyDiv w:val="1"/>
      <w:marLeft w:val="0"/>
      <w:marRight w:val="0"/>
      <w:marTop w:val="0"/>
      <w:marBottom w:val="0"/>
      <w:divBdr>
        <w:top w:val="none" w:sz="0" w:space="0" w:color="auto"/>
        <w:left w:val="none" w:sz="0" w:space="0" w:color="auto"/>
        <w:bottom w:val="none" w:sz="0" w:space="0" w:color="auto"/>
        <w:right w:val="none" w:sz="0" w:space="0" w:color="auto"/>
      </w:divBdr>
    </w:div>
    <w:div w:id="2122648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emf"/><Relationship Id="rId26" Type="http://schemas.openxmlformats.org/officeDocument/2006/relationships/diagramLayout" Target="diagrams/layout2.xml"/><Relationship Id="rId39" Type="http://schemas.openxmlformats.org/officeDocument/2006/relationships/image" Target="media/image12.png"/><Relationship Id="rId21" Type="http://schemas.openxmlformats.org/officeDocument/2006/relationships/diagramLayout" Target="diagrams/layout1.xml"/><Relationship Id="rId34" Type="http://schemas.openxmlformats.org/officeDocument/2006/relationships/footer" Target="footer4.xml"/><Relationship Id="rId42" Type="http://schemas.openxmlformats.org/officeDocument/2006/relationships/footer" Target="footer6.xml"/><Relationship Id="rId47" Type="http://schemas.openxmlformats.org/officeDocument/2006/relationships/diagramData" Target="diagrams/data3.xml"/><Relationship Id="rId50" Type="http://schemas.openxmlformats.org/officeDocument/2006/relationships/diagramColors" Target="diagrams/colors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microsoft.com/office/2007/relationships/diagramDrawing" Target="diagrams/drawing2.xml"/><Relationship Id="rId11" Type="http://schemas.openxmlformats.org/officeDocument/2006/relationships/footer" Target="footer2.xml"/><Relationship Id="rId24" Type="http://schemas.microsoft.com/office/2007/relationships/diagramDrawing" Target="diagrams/drawing1.xml"/><Relationship Id="rId32" Type="http://schemas.openxmlformats.org/officeDocument/2006/relationships/image" Target="media/image8.png"/><Relationship Id="rId37" Type="http://schemas.openxmlformats.org/officeDocument/2006/relationships/image" Target="media/image10.png"/><Relationship Id="rId40" Type="http://schemas.openxmlformats.org/officeDocument/2006/relationships/image" Target="media/image13.emf"/><Relationship Id="rId45" Type="http://schemas.openxmlformats.org/officeDocument/2006/relationships/footer" Target="footer7.xm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19" Type="http://schemas.openxmlformats.org/officeDocument/2006/relationships/footer" Target="footer3.xml"/><Relationship Id="rId31" Type="http://schemas.openxmlformats.org/officeDocument/2006/relationships/image" Target="media/image7.png"/><Relationship Id="rId44" Type="http://schemas.openxmlformats.org/officeDocument/2006/relationships/header" Target="header6.xml"/><Relationship Id="rId52" Type="http://schemas.openxmlformats.org/officeDocument/2006/relationships/header" Target="header7.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diagramQuickStyle" Target="diagrams/quickStyle1.xml"/><Relationship Id="rId27" Type="http://schemas.openxmlformats.org/officeDocument/2006/relationships/diagramQuickStyle" Target="diagrams/quickStyle2.xml"/><Relationship Id="rId30" Type="http://schemas.openxmlformats.org/officeDocument/2006/relationships/image" Target="media/image6.png"/><Relationship Id="rId35" Type="http://schemas.openxmlformats.org/officeDocument/2006/relationships/footer" Target="footer5.xml"/><Relationship Id="rId43" Type="http://schemas.openxmlformats.org/officeDocument/2006/relationships/image" Target="media/image14.emf"/><Relationship Id="rId48" Type="http://schemas.openxmlformats.org/officeDocument/2006/relationships/diagramLayout" Target="diagrams/layout3.xml"/><Relationship Id="rId8" Type="http://schemas.openxmlformats.org/officeDocument/2006/relationships/header" Target="header1.xml"/><Relationship Id="rId51" Type="http://schemas.microsoft.com/office/2007/relationships/diagramDrawing" Target="diagrams/drawing3.xml"/><Relationship Id="rId3" Type="http://schemas.openxmlformats.org/officeDocument/2006/relationships/styles" Target="styles.xml"/><Relationship Id="rId12" Type="http://schemas.openxmlformats.org/officeDocument/2006/relationships/chart" Target="charts/chart1.xml"/><Relationship Id="rId17" Type="http://schemas.openxmlformats.org/officeDocument/2006/relationships/image" Target="media/image4.png"/><Relationship Id="rId25" Type="http://schemas.openxmlformats.org/officeDocument/2006/relationships/diagramData" Target="diagrams/data2.xml"/><Relationship Id="rId33" Type="http://schemas.openxmlformats.org/officeDocument/2006/relationships/header" Target="header4.xml"/><Relationship Id="rId38" Type="http://schemas.openxmlformats.org/officeDocument/2006/relationships/image" Target="media/image11.png"/><Relationship Id="rId46" Type="http://schemas.openxmlformats.org/officeDocument/2006/relationships/image" Target="media/image15.png"/><Relationship Id="rId20" Type="http://schemas.openxmlformats.org/officeDocument/2006/relationships/diagramData" Target="diagrams/data1.xml"/><Relationship Id="rId41" Type="http://schemas.openxmlformats.org/officeDocument/2006/relationships/header" Target="header5.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diagramColors" Target="diagrams/colors1.xml"/><Relationship Id="rId28" Type="http://schemas.openxmlformats.org/officeDocument/2006/relationships/diagramColors" Target="diagrams/colors2.xml"/><Relationship Id="rId36" Type="http://schemas.openxmlformats.org/officeDocument/2006/relationships/image" Target="media/image9.emf"/><Relationship Id="rId49" Type="http://schemas.openxmlformats.org/officeDocument/2006/relationships/diagramQuickStyle" Target="diagrams/quickStyle3.xml"/></Relationships>
</file>

<file path=word/_rels/header2.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20\01_VYDAJE\_kap_01_g01_ANA2020.xlsx" TargetMode="External"/></Relationships>
</file>

<file path=word/charts/_rels/chart2.xml.rels><?xml version="1.0" encoding="UTF-8" standalone="yes"?>
<Relationships xmlns="http://schemas.openxmlformats.org/package/2006/relationships"><Relationship Id="rId3" Type="http://schemas.openxmlformats.org/officeDocument/2006/relationships/oleObject" Target="file:///\\fs\RVV\Oddeleni%20analyz%20a%20koordinace%20vedy\_Spolecne\Anal&#253;za%20VaVaI_2020\02_SR\_kap_02_g001_2020_H&#352;.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749620770302342"/>
          <c:y val="5.0180879932381336E-2"/>
          <c:w val="0.71244134919672431"/>
          <c:h val="0.72819716179545357"/>
        </c:manualLayout>
      </c:layout>
      <c:barChart>
        <c:barDir val="col"/>
        <c:grouping val="stacked"/>
        <c:varyColors val="0"/>
        <c:ser>
          <c:idx val="2"/>
          <c:order val="0"/>
          <c:tx>
            <c:strRef>
              <c:f>'obr. 1.1x (3)'!$A$9</c:f>
              <c:strCache>
                <c:ptCount val="1"/>
                <c:pt idx="0">
                  <c:v>veřejné z ČR</c:v>
                </c:pt>
              </c:strCache>
            </c:strRef>
          </c:tx>
          <c:spPr>
            <a:solidFill>
              <a:srgbClr val="9EE99E"/>
            </a:solidFill>
            <a:ln w="12700">
              <a:solidFill>
                <a:srgbClr val="1FA81F"/>
              </a:solidFill>
            </a:ln>
          </c:spPr>
          <c:invertIfNegative val="0"/>
          <c:cat>
            <c:numRef>
              <c:f>'obr. 1.1x (3)'!$M$7:$V$7</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'obr. 1.1x (3)'!$M$9:$V$9</c:f>
              <c:numCache>
                <c:formatCode>#,##0" "</c:formatCode>
                <c:ptCount val="10"/>
                <c:pt idx="0">
                  <c:v>26179.053029999995</c:v>
                </c:pt>
                <c:pt idx="1">
                  <c:v>26616.461849999992</c:v>
                </c:pt>
                <c:pt idx="2">
                  <c:v>27045.283729999996</c:v>
                </c:pt>
                <c:pt idx="3">
                  <c:v>28034.480449999999</c:v>
                </c:pt>
                <c:pt idx="4">
                  <c:v>28562.501870000011</c:v>
                </c:pt>
                <c:pt idx="5">
                  <c:v>28534.980418193358</c:v>
                </c:pt>
                <c:pt idx="6">
                  <c:v>31232.402071476437</c:v>
                </c:pt>
                <c:pt idx="7">
                  <c:v>35036.515198448687</c:v>
                </c:pt>
                <c:pt idx="8">
                  <c:v>37580.898000000008</c:v>
                </c:pt>
                <c:pt idx="9">
                  <c:v>38569</c:v>
                </c:pt>
              </c:numCache>
            </c:numRef>
          </c:val>
          <c:extLst>
            <c:ext xmlns:c16="http://schemas.microsoft.com/office/drawing/2014/chart" uri="{C3380CC4-5D6E-409C-BE32-E72D297353CC}">
              <c16:uniqueId val="{00000000-5607-4A43-B4D2-D1F57A5D5075}"/>
            </c:ext>
          </c:extLst>
        </c:ser>
        <c:ser>
          <c:idx val="3"/>
          <c:order val="1"/>
          <c:tx>
            <c:strRef>
              <c:f>'obr. 1.1x (3)'!$A$10</c:f>
              <c:strCache>
                <c:ptCount val="1"/>
                <c:pt idx="0">
                  <c:v>veřejné zahraniční </c:v>
                </c:pt>
              </c:strCache>
            </c:strRef>
          </c:tx>
          <c:spPr>
            <a:solidFill>
              <a:srgbClr val="D4DEEF"/>
            </a:solidFill>
            <a:ln w="12700">
              <a:solidFill>
                <a:srgbClr val="3A5D9C"/>
              </a:solidFill>
            </a:ln>
          </c:spPr>
          <c:invertIfNegative val="0"/>
          <c:cat>
            <c:numRef>
              <c:f>'obr. 1.1x (3)'!$M$7:$V$7</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'obr. 1.1x (3)'!$M$10:$V$10</c:f>
              <c:numCache>
                <c:formatCode>#,##0" "</c:formatCode>
                <c:ptCount val="10"/>
                <c:pt idx="0">
                  <c:v>6093.1831400000001</c:v>
                </c:pt>
                <c:pt idx="1">
                  <c:v>11622.015259999995</c:v>
                </c:pt>
                <c:pt idx="2">
                  <c:v>12575.684980000002</c:v>
                </c:pt>
                <c:pt idx="3">
                  <c:v>13251.651590000001</c:v>
                </c:pt>
                <c:pt idx="4">
                  <c:v>13819.510729999998</c:v>
                </c:pt>
                <c:pt idx="5">
                  <c:v>2666.5532901295328</c:v>
                </c:pt>
                <c:pt idx="6">
                  <c:v>4307.3332370686912</c:v>
                </c:pt>
                <c:pt idx="7">
                  <c:v>6620.6036794058355</c:v>
                </c:pt>
                <c:pt idx="8">
                  <c:v>8064.2760516075405</c:v>
                </c:pt>
                <c:pt idx="9">
                  <c:v>7236</c:v>
                </c:pt>
              </c:numCache>
            </c:numRef>
          </c:val>
          <c:extLst>
            <c:ext xmlns:c16="http://schemas.microsoft.com/office/drawing/2014/chart" uri="{C3380CC4-5D6E-409C-BE32-E72D297353CC}">
              <c16:uniqueId val="{00000001-5607-4A43-B4D2-D1F57A5D5075}"/>
            </c:ext>
          </c:extLst>
        </c:ser>
        <c:ser>
          <c:idx val="1"/>
          <c:order val="2"/>
          <c:tx>
            <c:strRef>
              <c:f>'obr. 1.1x (3)'!$A$8</c:f>
              <c:strCache>
                <c:ptCount val="1"/>
                <c:pt idx="0">
                  <c:v>podnikatelské </c:v>
                </c:pt>
              </c:strCache>
            </c:strRef>
          </c:tx>
          <c:spPr>
            <a:solidFill>
              <a:srgbClr val="D78E8E"/>
            </a:solidFill>
            <a:ln w="12700">
              <a:solidFill>
                <a:srgbClr val="BE4949"/>
              </a:solidFill>
            </a:ln>
          </c:spPr>
          <c:invertIfNegative val="0"/>
          <c:cat>
            <c:numRef>
              <c:f>'obr. 1.1x (3)'!$M$7:$V$7</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'obr. 1.1x (3)'!$M$8:$V$8</c:f>
              <c:numCache>
                <c:formatCode>#,##0" "</c:formatCode>
                <c:ptCount val="10"/>
                <c:pt idx="0">
                  <c:v>29890.071499999958</c:v>
                </c:pt>
                <c:pt idx="1">
                  <c:v>33464.307599999956</c:v>
                </c:pt>
                <c:pt idx="2">
                  <c:v>37832.045329999972</c:v>
                </c:pt>
                <c:pt idx="3">
                  <c:v>43262.481299999941</c:v>
                </c:pt>
                <c:pt idx="4">
                  <c:v>45606.931269999965</c:v>
                </c:pt>
                <c:pt idx="5">
                  <c:v>48216.793418811583</c:v>
                </c:pt>
                <c:pt idx="6">
                  <c:v>53838.753012773734</c:v>
                </c:pt>
                <c:pt idx="7">
                  <c:v>59946.624939610985</c:v>
                </c:pt>
                <c:pt idx="8">
                  <c:v>64735.662536227494</c:v>
                </c:pt>
                <c:pt idx="9">
                  <c:v>66086</c:v>
                </c:pt>
              </c:numCache>
            </c:numRef>
          </c:val>
          <c:extLst>
            <c:ext xmlns:c16="http://schemas.microsoft.com/office/drawing/2014/chart" uri="{C3380CC4-5D6E-409C-BE32-E72D297353CC}">
              <c16:uniqueId val="{00000002-5607-4A43-B4D2-D1F57A5D5075}"/>
            </c:ext>
          </c:extLst>
        </c:ser>
        <c:ser>
          <c:idx val="4"/>
          <c:order val="3"/>
          <c:tx>
            <c:strRef>
              <c:f>'obr. 1.1x (3)'!$A$11</c:f>
              <c:strCache>
                <c:ptCount val="1"/>
                <c:pt idx="0">
                  <c:v>ostatní </c:v>
                </c:pt>
              </c:strCache>
            </c:strRef>
          </c:tx>
          <c:spPr>
            <a:solidFill>
              <a:srgbClr val="FFFFE7"/>
            </a:solidFill>
            <a:ln w="12700">
              <a:solidFill>
                <a:srgbClr val="FFFF87"/>
              </a:solidFill>
            </a:ln>
          </c:spPr>
          <c:invertIfNegative val="0"/>
          <c:cat>
            <c:numRef>
              <c:f>'obr. 1.1x (3)'!$M$7:$V$7</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'obr. 1.1x (3)'!$M$11:$V$11</c:f>
              <c:numCache>
                <c:formatCode>#,##0" "</c:formatCode>
                <c:ptCount val="10"/>
                <c:pt idx="0">
                  <c:v>591.09530999999981</c:v>
                </c:pt>
                <c:pt idx="1">
                  <c:v>657.5226799999997</c:v>
                </c:pt>
                <c:pt idx="2">
                  <c:v>400.37196000000006</c:v>
                </c:pt>
                <c:pt idx="3">
                  <c:v>555.85356000000002</c:v>
                </c:pt>
                <c:pt idx="4">
                  <c:v>674.44572000000005</c:v>
                </c:pt>
                <c:pt idx="5">
                  <c:v>690.8301409970743</c:v>
                </c:pt>
                <c:pt idx="6">
                  <c:v>1007.5364606579133</c:v>
                </c:pt>
                <c:pt idx="7">
                  <c:v>1149.9856578860981</c:v>
                </c:pt>
                <c:pt idx="8">
                  <c:v>1241.2102315776374</c:v>
                </c:pt>
                <c:pt idx="9">
                  <c:v>1491</c:v>
                </c:pt>
              </c:numCache>
            </c:numRef>
          </c:val>
          <c:extLst>
            <c:ext xmlns:c16="http://schemas.microsoft.com/office/drawing/2014/chart" uri="{C3380CC4-5D6E-409C-BE32-E72D297353CC}">
              <c16:uniqueId val="{00000003-5607-4A43-B4D2-D1F57A5D5075}"/>
            </c:ext>
          </c:extLst>
        </c:ser>
        <c:dLbls>
          <c:showLegendKey val="0"/>
          <c:showVal val="0"/>
          <c:showCatName val="0"/>
          <c:showSerName val="0"/>
          <c:showPercent val="0"/>
          <c:showBubbleSize val="0"/>
        </c:dLbls>
        <c:gapWidth val="150"/>
        <c:overlap val="100"/>
        <c:axId val="130068480"/>
        <c:axId val="130070016"/>
      </c:barChart>
      <c:scatterChart>
        <c:scatterStyle val="smoothMarker"/>
        <c:varyColors val="0"/>
        <c:ser>
          <c:idx val="0"/>
          <c:order val="4"/>
          <c:tx>
            <c:strRef>
              <c:f>'obr. 1.1x (3)'!$A$4</c:f>
              <c:strCache>
                <c:ptCount val="1"/>
                <c:pt idx="0">
                  <c:v>% HDP</c:v>
                </c:pt>
              </c:strCache>
            </c:strRef>
          </c:tx>
          <c:spPr>
            <a:ln w="19050">
              <a:solidFill>
                <a:srgbClr val="7F7F7F"/>
              </a:solidFill>
            </a:ln>
          </c:spPr>
          <c:marker>
            <c:symbol val="circle"/>
            <c:size val="5"/>
            <c:spPr>
              <a:solidFill>
                <a:srgbClr val="D9D9D9"/>
              </a:solidFill>
              <a:ln>
                <a:solidFill>
                  <a:srgbClr val="7F7F7F"/>
                </a:solidFill>
              </a:ln>
            </c:spPr>
          </c:marker>
          <c:dLbls>
            <c:numFmt formatCode="#,##0.00" sourceLinked="0"/>
            <c:spPr>
              <a:noFill/>
              <a:ln>
                <a:noFill/>
              </a:ln>
              <a:effectLst/>
            </c:spPr>
            <c:txPr>
              <a:bodyPr wrap="square" lIns="38100" tIns="19050" rIns="38100" bIns="19050" anchor="ctr">
                <a:spAutoFit/>
              </a:bodyPr>
              <a:lstStyle/>
              <a:p>
                <a:pPr>
                  <a:defRPr sz="800"/>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ext>
            </c:extLst>
          </c:dLbls>
          <c:yVal>
            <c:numRef>
              <c:f>'obr. 1.1x (3)'!$M$4:$V$4</c:f>
              <c:numCache>
                <c:formatCode>0.00</c:formatCode>
                <c:ptCount val="10"/>
                <c:pt idx="0">
                  <c:v>1.54</c:v>
                </c:pt>
                <c:pt idx="1">
                  <c:v>1.77</c:v>
                </c:pt>
                <c:pt idx="2">
                  <c:v>1.88</c:v>
                </c:pt>
                <c:pt idx="3">
                  <c:v>1.96</c:v>
                </c:pt>
                <c:pt idx="4">
                  <c:v>1.92</c:v>
                </c:pt>
                <c:pt idx="5">
                  <c:v>1.67</c:v>
                </c:pt>
                <c:pt idx="6">
                  <c:v>1.77</c:v>
                </c:pt>
                <c:pt idx="7">
                  <c:v>1.9</c:v>
                </c:pt>
                <c:pt idx="8">
                  <c:v>1.93</c:v>
                </c:pt>
                <c:pt idx="9">
                  <c:v>1.99</c:v>
                </c:pt>
              </c:numCache>
            </c:numRef>
          </c:yVal>
          <c:smooth val="1"/>
          <c:extLst>
            <c:ext xmlns:c16="http://schemas.microsoft.com/office/drawing/2014/chart" uri="{C3380CC4-5D6E-409C-BE32-E72D297353CC}">
              <c16:uniqueId val="{00000004-5607-4A43-B4D2-D1F57A5D5075}"/>
            </c:ext>
          </c:extLst>
        </c:ser>
        <c:dLbls>
          <c:showLegendKey val="0"/>
          <c:showVal val="0"/>
          <c:showCatName val="0"/>
          <c:showSerName val="0"/>
          <c:showPercent val="0"/>
          <c:showBubbleSize val="0"/>
        </c:dLbls>
        <c:axId val="130078592"/>
        <c:axId val="130076672"/>
      </c:scatterChart>
      <c:catAx>
        <c:axId val="130068480"/>
        <c:scaling>
          <c:orientation val="minMax"/>
        </c:scaling>
        <c:delete val="0"/>
        <c:axPos val="b"/>
        <c:numFmt formatCode="General" sourceLinked="1"/>
        <c:majorTickMark val="out"/>
        <c:minorTickMark val="none"/>
        <c:tickLblPos val="nextTo"/>
        <c:txPr>
          <a:bodyPr rot="0"/>
          <a:lstStyle/>
          <a:p>
            <a:pPr>
              <a:defRPr sz="900"/>
            </a:pPr>
            <a:endParaRPr lang="cs-CZ"/>
          </a:p>
        </c:txPr>
        <c:crossAx val="130070016"/>
        <c:crosses val="autoZero"/>
        <c:auto val="1"/>
        <c:lblAlgn val="ctr"/>
        <c:lblOffset val="100"/>
        <c:noMultiLvlLbl val="0"/>
      </c:catAx>
      <c:valAx>
        <c:axId val="130070016"/>
        <c:scaling>
          <c:orientation val="minMax"/>
          <c:max val="120000"/>
          <c:min val="0"/>
        </c:scaling>
        <c:delete val="0"/>
        <c:axPos val="l"/>
        <c:majorGridlines>
          <c:spPr>
            <a:ln w="6350">
              <a:solidFill>
                <a:schemeClr val="bg1">
                  <a:lumMod val="65000"/>
                </a:schemeClr>
              </a:solidFill>
              <a:prstDash val="sysDash"/>
            </a:ln>
          </c:spPr>
        </c:majorGridlines>
        <c:title>
          <c:tx>
            <c:rich>
              <a:bodyPr rot="0" vert="horz" anchor="t" anchorCtr="0"/>
              <a:lstStyle/>
              <a:p>
                <a:pPr>
                  <a:defRPr/>
                </a:pPr>
                <a:r>
                  <a:rPr lang="cs-CZ"/>
                  <a:t>mld</a:t>
                </a:r>
                <a:r>
                  <a:rPr lang="en-US"/>
                  <a:t>. Kč</a:t>
                </a:r>
                <a:r>
                  <a:rPr lang="cs-CZ"/>
                  <a:t> </a:t>
                </a:r>
              </a:p>
              <a:p>
                <a:pPr>
                  <a:defRPr/>
                </a:pPr>
                <a:r>
                  <a:rPr lang="cs-CZ"/>
                  <a:t>(b. c.)</a:t>
                </a:r>
                <a:endParaRPr lang="en-US"/>
              </a:p>
            </c:rich>
          </c:tx>
          <c:layout>
            <c:manualLayout>
              <c:xMode val="edge"/>
              <c:yMode val="edge"/>
              <c:x val="5.5053169900154226E-3"/>
              <c:y val="1.606792439535662E-2"/>
            </c:manualLayout>
          </c:layout>
          <c:overlay val="0"/>
        </c:title>
        <c:numFmt formatCode="#,##0.0" sourceLinked="0"/>
        <c:majorTickMark val="out"/>
        <c:minorTickMark val="none"/>
        <c:tickLblPos val="nextTo"/>
        <c:txPr>
          <a:bodyPr/>
          <a:lstStyle/>
          <a:p>
            <a:pPr>
              <a:defRPr sz="900"/>
            </a:pPr>
            <a:endParaRPr lang="cs-CZ"/>
          </a:p>
        </c:txPr>
        <c:crossAx val="130068480"/>
        <c:crosses val="autoZero"/>
        <c:crossBetween val="between"/>
        <c:majorUnit val="20000"/>
        <c:dispUnits>
          <c:builtInUnit val="thousands"/>
        </c:dispUnits>
      </c:valAx>
      <c:valAx>
        <c:axId val="130076672"/>
        <c:scaling>
          <c:orientation val="minMax"/>
          <c:max val="2"/>
          <c:min val="0"/>
        </c:scaling>
        <c:delete val="0"/>
        <c:axPos val="r"/>
        <c:title>
          <c:tx>
            <c:rich>
              <a:bodyPr rot="0" vert="horz"/>
              <a:lstStyle/>
              <a:p>
                <a:pPr>
                  <a:defRPr/>
                </a:pPr>
                <a:r>
                  <a:rPr lang="en-US"/>
                  <a:t>% HDP</a:t>
                </a:r>
              </a:p>
            </c:rich>
          </c:tx>
          <c:layout>
            <c:manualLayout>
              <c:xMode val="edge"/>
              <c:yMode val="edge"/>
              <c:x val="0.92138876905075817"/>
              <c:y val="3.1292495217758794E-2"/>
            </c:manualLayout>
          </c:layout>
          <c:overlay val="0"/>
        </c:title>
        <c:numFmt formatCode="0.0" sourceLinked="0"/>
        <c:majorTickMark val="out"/>
        <c:minorTickMark val="none"/>
        <c:tickLblPos val="nextTo"/>
        <c:txPr>
          <a:bodyPr/>
          <a:lstStyle/>
          <a:p>
            <a:pPr>
              <a:defRPr sz="900"/>
            </a:pPr>
            <a:endParaRPr lang="cs-CZ"/>
          </a:p>
        </c:txPr>
        <c:crossAx val="130078592"/>
        <c:crosses val="max"/>
        <c:crossBetween val="midCat"/>
        <c:majorUnit val="0.4"/>
        <c:minorUnit val="0.1"/>
      </c:valAx>
      <c:valAx>
        <c:axId val="130078592"/>
        <c:scaling>
          <c:orientation val="minMax"/>
        </c:scaling>
        <c:delete val="1"/>
        <c:axPos val="b"/>
        <c:majorTickMark val="out"/>
        <c:minorTickMark val="none"/>
        <c:tickLblPos val="nextTo"/>
        <c:crossAx val="130076672"/>
        <c:crosses val="autoZero"/>
        <c:crossBetween val="midCat"/>
      </c:valAx>
    </c:plotArea>
    <c:legend>
      <c:legendPos val="b"/>
      <c:layout/>
      <c:overlay val="0"/>
      <c:txPr>
        <a:bodyPr/>
        <a:lstStyle/>
        <a:p>
          <a:pPr>
            <a:defRPr sz="900"/>
          </a:pPr>
          <a:endParaRPr lang="cs-CZ"/>
        </a:p>
      </c:txPr>
    </c:legend>
    <c:plotVisOnly val="1"/>
    <c:dispBlanksAs val="gap"/>
    <c:showDLblsOverMax val="0"/>
  </c:chart>
  <c:spPr>
    <a:noFill/>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8"/>
    </mc:Choice>
    <mc:Fallback>
      <c:style val="8"/>
    </mc:Fallback>
  </mc:AlternateContent>
  <c:chart>
    <c:autoTitleDeleted val="1"/>
    <c:plotArea>
      <c:layout/>
      <c:barChart>
        <c:barDir val="col"/>
        <c:grouping val="stacked"/>
        <c:varyColors val="0"/>
        <c:ser>
          <c:idx val="1"/>
          <c:order val="0"/>
          <c:tx>
            <c:strRef>
              <c:f>DATA!$A$7</c:f>
              <c:strCache>
                <c:ptCount val="1"/>
                <c:pt idx="0">
                  <c:v>Schválené výdaje SR na VaVaI</c:v>
                </c:pt>
              </c:strCache>
            </c:strRef>
          </c:tx>
          <c:spPr>
            <a:solidFill>
              <a:schemeClr val="bg1">
                <a:lumMod val="85000"/>
              </a:schemeClr>
            </a:solidFill>
            <a:ln w="12700">
              <a:solidFill>
                <a:schemeClr val="bg1">
                  <a:lumMod val="50000"/>
                </a:schemeClr>
              </a:solidFill>
            </a:ln>
            <a:effectLst/>
          </c:spPr>
          <c:invertIfNegative val="0"/>
          <c:dPt>
            <c:idx val="10"/>
            <c:invertIfNegative val="0"/>
            <c:bubble3D val="0"/>
            <c:extLst>
              <c:ext xmlns:c16="http://schemas.microsoft.com/office/drawing/2014/chart" uri="{C3380CC4-5D6E-409C-BE32-E72D297353CC}">
                <c16:uniqueId val="{00000000-9F57-4D0F-8226-9C61ABE20EA4}"/>
              </c:ext>
            </c:extLst>
          </c:dPt>
          <c:dPt>
            <c:idx val="11"/>
            <c:invertIfNegative val="0"/>
            <c:bubble3D val="0"/>
            <c:extLst>
              <c:ext xmlns:c16="http://schemas.microsoft.com/office/drawing/2014/chart" uri="{C3380CC4-5D6E-409C-BE32-E72D297353CC}">
                <c16:uniqueId val="{00000001-9F57-4D0F-8226-9C61ABE20EA4}"/>
              </c:ext>
            </c:extLst>
          </c:dPt>
          <c:dPt>
            <c:idx val="12"/>
            <c:invertIfNegative val="0"/>
            <c:bubble3D val="0"/>
            <c:extLst>
              <c:ext xmlns:c16="http://schemas.microsoft.com/office/drawing/2014/chart" uri="{C3380CC4-5D6E-409C-BE32-E72D297353CC}">
                <c16:uniqueId val="{00000002-9F57-4D0F-8226-9C61ABE20EA4}"/>
              </c:ext>
            </c:extLst>
          </c:dPt>
          <c:dPt>
            <c:idx val="13"/>
            <c:invertIfNegative val="0"/>
            <c:bubble3D val="0"/>
            <c:extLst>
              <c:ext xmlns:c16="http://schemas.microsoft.com/office/drawing/2014/chart" uri="{C3380CC4-5D6E-409C-BE32-E72D297353CC}">
                <c16:uniqueId val="{00000003-9F57-4D0F-8226-9C61ABE20EA4}"/>
              </c:ext>
            </c:extLst>
          </c:dPt>
          <c:dLbls>
            <c:dLbl>
              <c:idx val="0"/>
              <c:layout>
                <c:manualLayout>
                  <c:x val="0"/>
                  <c:y val="-0.28596875195360955"/>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9F57-4D0F-8226-9C61ABE20EA4}"/>
                </c:ext>
              </c:extLst>
            </c:dLbl>
            <c:dLbl>
              <c:idx val="1"/>
              <c:layout>
                <c:manualLayout>
                  <c:x val="0"/>
                  <c:y val="-0.2893020557895209"/>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9F57-4D0F-8226-9C61ABE20EA4}"/>
                </c:ext>
              </c:extLst>
            </c:dLbl>
            <c:dLbl>
              <c:idx val="2"/>
              <c:layout>
                <c:manualLayout>
                  <c:x val="-4.3116785861827708E-17"/>
                  <c:y val="-0.2915768779414758"/>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9F57-4D0F-8226-9C61ABE20EA4}"/>
                </c:ext>
              </c:extLst>
            </c:dLbl>
            <c:dLbl>
              <c:idx val="3"/>
              <c:layout>
                <c:manualLayout>
                  <c:x val="-8.6233571723655416E-17"/>
                  <c:y val="-0.2894567745254174"/>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9F57-4D0F-8226-9C61ABE20EA4}"/>
                </c:ext>
              </c:extLst>
            </c:dLbl>
            <c:dLbl>
              <c:idx val="4"/>
              <c:layout>
                <c:manualLayout>
                  <c:x val="0"/>
                  <c:y val="-0.29938475038472728"/>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8-9F57-4D0F-8226-9C61ABE20EA4}"/>
                </c:ext>
              </c:extLst>
            </c:dLbl>
            <c:dLbl>
              <c:idx val="5"/>
              <c:layout>
                <c:manualLayout>
                  <c:x val="0"/>
                  <c:y val="-0.32831515578492498"/>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9-9F57-4D0F-8226-9C61ABE20EA4}"/>
                </c:ext>
              </c:extLst>
            </c:dLbl>
            <c:dLbl>
              <c:idx val="6"/>
              <c:layout>
                <c:manualLayout>
                  <c:x val="-4.7037037037037039E-3"/>
                  <c:y val="-0.36369864558305126"/>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A-9F57-4D0F-8226-9C61ABE20EA4}"/>
                </c:ext>
              </c:extLst>
            </c:dLbl>
            <c:dLbl>
              <c:idx val="7"/>
              <c:layout>
                <c:manualLayout>
                  <c:x val="0"/>
                  <c:y val="-0.38486942109786931"/>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B-9F57-4D0F-8226-9C61ABE20EA4}"/>
                </c:ext>
              </c:extLst>
            </c:dLbl>
            <c:dLbl>
              <c:idx val="8"/>
              <c:layout>
                <c:manualLayout>
                  <c:x val="-1.7246714344731083E-16"/>
                  <c:y val="-0.38919469468883694"/>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C-9F57-4D0F-8226-9C61ABE20EA4}"/>
                </c:ext>
              </c:extLst>
            </c:dLbl>
            <c:dLbl>
              <c:idx val="9"/>
              <c:layout>
                <c:manualLayout>
                  <c:x val="-2.3518518518518519E-3"/>
                  <c:y val="-0.39925169798103466"/>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D-9F57-4D0F-8226-9C61ABE20EA4}"/>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DATA!$F$15:$Q$15</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DATA!$F$7:$Q$7</c:f>
              <c:numCache>
                <c:formatCode>#,##0</c:formatCode>
                <c:ptCount val="10"/>
                <c:pt idx="0">
                  <c:v>25917774000</c:v>
                </c:pt>
                <c:pt idx="1">
                  <c:v>26619694000</c:v>
                </c:pt>
                <c:pt idx="2">
                  <c:v>26117774000</c:v>
                </c:pt>
                <c:pt idx="3">
                  <c:v>26635306220</c:v>
                </c:pt>
                <c:pt idx="4">
                  <c:v>26905375532</c:v>
                </c:pt>
                <c:pt idx="5">
                  <c:v>29092232145</c:v>
                </c:pt>
                <c:pt idx="6">
                  <c:v>32661390457</c:v>
                </c:pt>
                <c:pt idx="7">
                  <c:v>34796915784</c:v>
                </c:pt>
                <c:pt idx="8">
                  <c:v>35964598087</c:v>
                </c:pt>
                <c:pt idx="9">
                  <c:v>36247693204</c:v>
                </c:pt>
              </c:numCache>
            </c:numRef>
          </c:val>
          <c:extLst>
            <c:ext xmlns:c16="http://schemas.microsoft.com/office/drawing/2014/chart" uri="{C3380CC4-5D6E-409C-BE32-E72D297353CC}">
              <c16:uniqueId val="{0000000E-9F57-4D0F-8226-9C61ABE20EA4}"/>
            </c:ext>
          </c:extLst>
        </c:ser>
        <c:dLbls>
          <c:showLegendKey val="0"/>
          <c:showVal val="0"/>
          <c:showCatName val="0"/>
          <c:showSerName val="0"/>
          <c:showPercent val="0"/>
          <c:showBubbleSize val="0"/>
        </c:dLbls>
        <c:gapWidth val="150"/>
        <c:overlap val="100"/>
        <c:axId val="259007327"/>
        <c:axId val="1"/>
      </c:barChart>
      <c:lineChart>
        <c:grouping val="stacked"/>
        <c:varyColors val="0"/>
        <c:ser>
          <c:idx val="0"/>
          <c:order val="1"/>
          <c:tx>
            <c:strRef>
              <c:f>DATA!$C$16</c:f>
              <c:strCache>
                <c:ptCount val="1"/>
                <c:pt idx="0">
                  <c:v>RVO dle zák.</c:v>
                </c:pt>
              </c:strCache>
            </c:strRef>
          </c:tx>
          <c:spPr>
            <a:ln w="28575" cap="rnd">
              <a:solidFill>
                <a:srgbClr val="D78E8E"/>
              </a:solidFill>
              <a:round/>
            </a:ln>
            <a:effectLst/>
          </c:spPr>
          <c:marker>
            <c:symbol val="circle"/>
            <c:size val="5"/>
            <c:spPr>
              <a:solidFill>
                <a:srgbClr val="BE4949"/>
              </a:solidFill>
              <a:ln w="9525">
                <a:solidFill>
                  <a:srgbClr val="C00000"/>
                </a:solidFill>
              </a:ln>
              <a:effectLst/>
            </c:spPr>
          </c:marker>
          <c:dLbls>
            <c:numFmt formatCode="#,##0.00" sourceLinked="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mn-lt"/>
                    <a:ea typeface="+mn-ea"/>
                    <a:cs typeface="+mn-cs"/>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DATA!$F$15:$Q$15</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DATA!$F$16:$Q$16</c:f>
              <c:numCache>
                <c:formatCode>#,##0</c:formatCode>
                <c:ptCount val="10"/>
                <c:pt idx="0">
                  <c:v>5249461000</c:v>
                </c:pt>
                <c:pt idx="1">
                  <c:v>7796036000</c:v>
                </c:pt>
                <c:pt idx="2">
                  <c:v>9109034000</c:v>
                </c:pt>
                <c:pt idx="3">
                  <c:v>9409105000</c:v>
                </c:pt>
                <c:pt idx="4">
                  <c:v>9519552000</c:v>
                </c:pt>
                <c:pt idx="5">
                  <c:v>10647455000</c:v>
                </c:pt>
                <c:pt idx="6">
                  <c:v>11129369000</c:v>
                </c:pt>
                <c:pt idx="7">
                  <c:v>12645137144</c:v>
                </c:pt>
                <c:pt idx="8">
                  <c:v>13130924428</c:v>
                </c:pt>
                <c:pt idx="9">
                  <c:v>14698945755</c:v>
                </c:pt>
              </c:numCache>
            </c:numRef>
          </c:val>
          <c:smooth val="0"/>
          <c:extLst>
            <c:ext xmlns:c16="http://schemas.microsoft.com/office/drawing/2014/chart" uri="{C3380CC4-5D6E-409C-BE32-E72D297353CC}">
              <c16:uniqueId val="{0000000F-9F57-4D0F-8226-9C61ABE20EA4}"/>
            </c:ext>
          </c:extLst>
        </c:ser>
        <c:dLbls>
          <c:showLegendKey val="0"/>
          <c:showVal val="0"/>
          <c:showCatName val="0"/>
          <c:showSerName val="0"/>
          <c:showPercent val="0"/>
          <c:showBubbleSize val="0"/>
        </c:dLbls>
        <c:marker val="1"/>
        <c:smooth val="0"/>
        <c:axId val="840983103"/>
        <c:axId val="840984767"/>
      </c:lineChart>
      <c:catAx>
        <c:axId val="25900732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ysClr val="windowText" lastClr="000000"/>
                </a:solidFill>
                <a:latin typeface="+mn-lt"/>
                <a:ea typeface="+mn-ea"/>
                <a:cs typeface="+mn-cs"/>
              </a:defRPr>
            </a:pPr>
            <a:endParaRPr lang="cs-CZ"/>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59007327"/>
        <c:crosses val="autoZero"/>
        <c:crossBetween val="between"/>
        <c:dispUnits>
          <c:builtInUnit val="billions"/>
          <c:dispUnitsLbl>
            <c:layout/>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cs-CZ">
                      <a:solidFill>
                        <a:sysClr val="windowText" lastClr="000000"/>
                      </a:solidFill>
                    </a:rPr>
                    <a:t>Mld. Kč</a:t>
                  </a:r>
                </a:p>
              </c:rich>
            </c:tx>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cs-CZ"/>
              </a:p>
            </c:txPr>
          </c:dispUnitsLbl>
        </c:dispUnits>
      </c:valAx>
      <c:valAx>
        <c:axId val="840984767"/>
        <c:scaling>
          <c:orientation val="minMax"/>
          <c:max val="40000000000"/>
        </c:scaling>
        <c:delete val="1"/>
        <c:axPos val="r"/>
        <c:numFmt formatCode="#,##0.0" sourceLinked="0"/>
        <c:majorTickMark val="none"/>
        <c:minorTickMark val="none"/>
        <c:tickLblPos val="nextTo"/>
        <c:crossAx val="840983103"/>
        <c:crosses val="max"/>
        <c:crossBetween val="between"/>
        <c:dispUnits>
          <c:builtInUnit val="billions"/>
          <c:dispUnitsLbl>
            <c:layout/>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dispUnitsLbl>
        </c:dispUnits>
      </c:valAx>
      <c:catAx>
        <c:axId val="840983103"/>
        <c:scaling>
          <c:orientation val="minMax"/>
        </c:scaling>
        <c:delete val="1"/>
        <c:axPos val="b"/>
        <c:numFmt formatCode="General" sourceLinked="1"/>
        <c:majorTickMark val="none"/>
        <c:minorTickMark val="none"/>
        <c:tickLblPos val="nextTo"/>
        <c:crossAx val="840984767"/>
        <c:crosses val="autoZero"/>
        <c:auto val="1"/>
        <c:lblAlgn val="ctr"/>
        <c:lblOffset val="100"/>
        <c:noMultiLvlLbl val="0"/>
      </c:cat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withinLinear" id="19">
  <a:schemeClr val="accent6"/>
</cs:colorStyle>
</file>

<file path=word/charts/style1.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2">
  <dgm:title val=""/>
  <dgm:desc val=""/>
  <dgm:catLst>
    <dgm:cat type="mainScheme" pri="10200"/>
  </dgm:catLst>
  <dgm:styleLbl name="node0">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lig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l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vennNode1">
    <dgm:fillClrLst meth="repeat">
      <a:schemeClr val="lt1">
        <a:alpha val="50000"/>
      </a:schemeClr>
    </dgm:fillClrLst>
    <dgm:linClrLst meth="repeat">
      <a:schemeClr val="dk2">
        <a:shade val="80000"/>
      </a:schemeClr>
    </dgm:linClrLst>
    <dgm:effectClrLst/>
    <dgm:txLinClrLst/>
    <dgm:txFillClrLst/>
    <dgm:txEffectClrLst/>
  </dgm:styleLbl>
  <dgm:styleLbl name="node2">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3">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4">
    <dgm:fillClrLst meth="repeat">
      <a:schemeClr val="lt1"/>
    </dgm:fillClrLst>
    <dgm:linClrLst meth="repeat">
      <a:schemeClr val="dk2">
        <a:shade val="80000"/>
      </a:schemeClr>
    </dgm:linClrLst>
    <dgm:effectClrLst/>
    <dgm:txLinClrLst/>
    <dgm:txFillClrLst meth="repeat">
      <a:schemeClr val="dk2"/>
    </dgm:txFillClrLst>
    <dgm:txEffectClrLst/>
  </dgm:styleLbl>
  <dgm:styleLbl name="f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align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b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sibTrans1D1">
    <dgm:fillClrLst meth="repeat">
      <a:schemeClr val="dk2"/>
    </dgm:fillClrLst>
    <dgm:linClrLst meth="repeat">
      <a:schemeClr val="dk2"/>
    </dgm:linClrLst>
    <dgm:effectClrLst/>
    <dgm:txLinClrLst/>
    <dgm:txFillClrLst meth="repeat">
      <a:schemeClr val="tx1"/>
    </dgm:txFillClrLst>
    <dgm:txEffectClrLst/>
  </dgm:styleLbl>
  <dgm:styleLbl name="callout">
    <dgm:fillClrLst meth="repeat">
      <a:schemeClr val="dk2"/>
    </dgm:fillClrLst>
    <dgm:linClrLst meth="repeat">
      <a:schemeClr val="dk2"/>
    </dgm:linClrLst>
    <dgm:effectClrLst/>
    <dgm:txLinClrLst/>
    <dgm:txFillClrLst meth="repeat">
      <a:schemeClr val="tx1"/>
    </dgm:txFillClrLst>
    <dgm:txEffectClrLst/>
  </dgm:styleLbl>
  <dgm:styleLbl name="asst0">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2">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3">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4">
    <dgm:fillClrLst meth="repeat">
      <a:schemeClr val="lt1"/>
    </dgm:fillClrLst>
    <dgm:linClrLst meth="repeat">
      <a:schemeClr val="dk2">
        <a:shade val="80000"/>
      </a:schemeClr>
    </dgm:linClrLst>
    <dgm:effectClrLst/>
    <dgm:txLinClrLst/>
    <dgm:txFillClrLst meth="repeat">
      <a:schemeClr val="dk2"/>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dgm:txEffectClrLst/>
  </dgm:styleLbl>
  <dgm:styleLbl name="parChTrans2D2">
    <dgm:fillClrLst meth="repeat">
      <a:schemeClr val="dk2"/>
    </dgm:fillClrLst>
    <dgm:linClrLst meth="repeat">
      <a:schemeClr val="dk2"/>
    </dgm:linClrLst>
    <dgm:effectClrLst/>
    <dgm:txLinClrLst/>
    <dgm:txFillClrLst/>
    <dgm:txEffectClrLst/>
  </dgm:styleLbl>
  <dgm:styleLbl name="parChTrans2D3">
    <dgm:fillClrLst meth="repeat">
      <a:schemeClr val="dk2"/>
    </dgm:fillClrLst>
    <dgm:linClrLst meth="repeat">
      <a:schemeClr val="dk2"/>
    </dgm:linClrLst>
    <dgm:effectClrLst/>
    <dgm:txLinClrLst/>
    <dgm:txFillClrLst/>
    <dgm:txEffectClrLst/>
  </dgm:styleLbl>
  <dgm:styleLbl name="parChTrans2D4">
    <dgm:fillClrLst meth="repeat">
      <a:schemeClr val="dk2"/>
    </dgm:fillClrLst>
    <dgm:linClrLst meth="repeat">
      <a:schemeClr val="dk2"/>
    </dgm:linClrLst>
    <dgm:effectClrLst/>
    <dgm:txLinClrLst/>
    <dgm:txFillClrLst meth="repeat">
      <a:schemeClr val="lt1"/>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con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align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trAlignAcc1">
    <dgm:fillClrLst meth="repeat">
      <a:schemeClr val="dk2">
        <a:alpha val="40000"/>
        <a:tint val="40000"/>
      </a:schemeClr>
    </dgm:fillClrLst>
    <dgm:linClrLst meth="repeat">
      <a:schemeClr val="dk2"/>
    </dgm:linClrLst>
    <dgm:effectClrLst/>
    <dgm:txLinClrLst/>
    <dgm:txFillClrLst meth="repeat">
      <a:schemeClr val="dk2"/>
    </dgm:txFillClrLst>
    <dgm:txEffectClrLst/>
  </dgm:styleLbl>
  <dgm:styleLbl name="b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solidFgAcc1">
    <dgm:fillClrLst meth="repeat">
      <a:schemeClr val="lt1"/>
    </dgm:fillClrLst>
    <dgm:linClrLst meth="repeat">
      <a:schemeClr val="dk2"/>
    </dgm:linClrLst>
    <dgm:effectClrLst/>
    <dgm:txLinClrLst/>
    <dgm:txFillClrLst meth="repeat">
      <a:schemeClr val="dk2"/>
    </dgm:txFillClrLst>
    <dgm:txEffectClrLst/>
  </dgm:styleLbl>
  <dgm:styleLbl name="solidAlignAcc1">
    <dgm:fillClrLst meth="repeat">
      <a:schemeClr val="lt1"/>
    </dgm:fillClrLst>
    <dgm:linClrLst meth="repeat">
      <a:schemeClr val="dk2"/>
    </dgm:linClrLst>
    <dgm:effectClrLst/>
    <dgm:txLinClrLst/>
    <dgm:txFillClrLst meth="repeat">
      <a:schemeClr val="dk2"/>
    </dgm:txFillClrLst>
    <dgm:txEffectClrLst/>
  </dgm:styleLbl>
  <dgm:styleLbl name="solidBgAcc1">
    <dgm:fillClrLst meth="repeat">
      <a:schemeClr val="lt1"/>
    </dgm:fillClrLst>
    <dgm:linClrLst meth="repeat">
      <a:schemeClr val="dk2"/>
    </dgm:linClrLst>
    <dgm:effectClrLst/>
    <dgm:txLinClrLst/>
    <dgm:txFillClrLst meth="repeat">
      <a:schemeClr val="dk2"/>
    </dgm:txFillClrLst>
    <dgm:txEffectClrLst/>
  </dgm:styleLbl>
  <dgm:styleLbl name="f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align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b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fgAcc0">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2">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3">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4">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2"/>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2"/>
    </dgm:txFillClrLst>
    <dgm:txEffectClrLst/>
  </dgm:styleLbl>
  <dgm:styleLbl name="fgShp">
    <dgm:fillClrLst meth="repeat">
      <a:schemeClr val="dk2">
        <a:tint val="60000"/>
      </a:schemeClr>
    </dgm:fillClrLst>
    <dgm:linClrLst meth="repeat">
      <a:schemeClr val="lt1"/>
    </dgm:linClrLst>
    <dgm:effectClrLst/>
    <dgm:txLinClrLst/>
    <dgm:txFillClrLst meth="repeat">
      <a:schemeClr val="dk2"/>
    </dgm:txFillClrLst>
    <dgm:txEffectClrLst/>
  </dgm:styleLbl>
  <dgm:styleLbl name="revTx">
    <dgm:fillClrLst meth="repeat">
      <a:schemeClr val="lt1">
        <a:alpha val="0"/>
      </a:schemeClr>
    </dgm:fillClrLst>
    <dgm:linClrLst meth="repeat">
      <a:schemeClr val="dk2">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E57909A-1660-46F7-91AD-8E864537A297}" type="doc">
      <dgm:prSet loTypeId="urn:microsoft.com/office/officeart/2005/8/layout/hProcess6" loCatId="process" qsTypeId="urn:microsoft.com/office/officeart/2005/8/quickstyle/simple1" qsCatId="simple" csTypeId="urn:microsoft.com/office/officeart/2005/8/colors/colorful5" csCatId="colorful" phldr="1"/>
      <dgm:spPr/>
      <dgm:t>
        <a:bodyPr/>
        <a:lstStyle/>
        <a:p>
          <a:endParaRPr lang="cs-CZ"/>
        </a:p>
      </dgm:t>
    </dgm:pt>
    <dgm:pt modelId="{E1E94FCB-C31C-4780-84B5-2993B75F8DC3}">
      <dgm:prSet phldrT="[Text]" custT="1"/>
      <dgm:spPr/>
      <dgm:t>
        <a:bodyPr/>
        <a:lstStyle/>
        <a:p>
          <a:r>
            <a:rPr lang="cs-CZ" sz="1300" b="1">
              <a:latin typeface="Arial" panose="020B0604020202020204" pitchFamily="34" charset="0"/>
              <a:cs typeface="Arial" panose="020B0604020202020204" pitchFamily="34" charset="0"/>
            </a:rPr>
            <a:t>OPPP</a:t>
          </a:r>
        </a:p>
        <a:p>
          <a:r>
            <a:rPr lang="cs-CZ" sz="900" b="1">
              <a:latin typeface="Arial" panose="020B0604020202020204" pitchFamily="34" charset="0"/>
              <a:cs typeface="Arial" panose="020B0604020202020204" pitchFamily="34" charset="0"/>
            </a:rPr>
            <a:t>2004–2006</a:t>
          </a:r>
        </a:p>
      </dgm:t>
    </dgm:pt>
    <dgm:pt modelId="{DFD456A1-349D-4A2A-B1A4-DB1CEE2A0FE6}" type="parTrans" cxnId="{EAEDBA39-369F-4DAC-A268-BED47AE250E5}">
      <dgm:prSet/>
      <dgm:spPr/>
      <dgm:t>
        <a:bodyPr/>
        <a:lstStyle/>
        <a:p>
          <a:endParaRPr lang="cs-CZ">
            <a:latin typeface="Arial" panose="020B0604020202020204" pitchFamily="34" charset="0"/>
            <a:cs typeface="Arial" panose="020B0604020202020204" pitchFamily="34" charset="0"/>
          </a:endParaRPr>
        </a:p>
      </dgm:t>
    </dgm:pt>
    <dgm:pt modelId="{08BD5606-DA24-44CC-86BC-D05BD36325D3}" type="sibTrans" cxnId="{EAEDBA39-369F-4DAC-A268-BED47AE250E5}">
      <dgm:prSet/>
      <dgm:spPr/>
      <dgm:t>
        <a:bodyPr/>
        <a:lstStyle/>
        <a:p>
          <a:endParaRPr lang="cs-CZ">
            <a:latin typeface="Arial" panose="020B0604020202020204" pitchFamily="34" charset="0"/>
            <a:cs typeface="Arial" panose="020B0604020202020204" pitchFamily="34" charset="0"/>
          </a:endParaRPr>
        </a:p>
      </dgm:t>
    </dgm:pt>
    <dgm:pt modelId="{510CBF89-EC81-4979-8028-C36C9F7626C1}">
      <dgm:prSet phldrT="[Text]" custT="1"/>
      <dgm:spPr/>
      <dgm:t>
        <a:bodyPr/>
        <a:lstStyle/>
        <a:p>
          <a:r>
            <a:rPr lang="cs-CZ" sz="1300" b="1">
              <a:latin typeface="Arial" panose="020B0604020202020204" pitchFamily="34" charset="0"/>
              <a:cs typeface="Arial" panose="020B0604020202020204" pitchFamily="34" charset="0"/>
            </a:rPr>
            <a:t>OPPI</a:t>
          </a:r>
        </a:p>
        <a:p>
          <a:r>
            <a:rPr lang="cs-CZ" sz="900">
              <a:latin typeface="Arial" panose="020B0604020202020204" pitchFamily="34" charset="0"/>
              <a:cs typeface="Arial" panose="020B0604020202020204" pitchFamily="34" charset="0"/>
            </a:rPr>
            <a:t>2007–2013</a:t>
          </a:r>
        </a:p>
      </dgm:t>
    </dgm:pt>
    <dgm:pt modelId="{13787AD4-2A63-4B44-9B71-0E4054AB841D}" type="parTrans" cxnId="{DC228F09-9AB3-4D45-8754-B5032A17784A}">
      <dgm:prSet/>
      <dgm:spPr/>
      <dgm:t>
        <a:bodyPr/>
        <a:lstStyle/>
        <a:p>
          <a:endParaRPr lang="cs-CZ">
            <a:latin typeface="Arial" panose="020B0604020202020204" pitchFamily="34" charset="0"/>
            <a:cs typeface="Arial" panose="020B0604020202020204" pitchFamily="34" charset="0"/>
          </a:endParaRPr>
        </a:p>
      </dgm:t>
    </dgm:pt>
    <dgm:pt modelId="{C1025EB7-2B3E-4D89-9907-D73CF18CC636}" type="sibTrans" cxnId="{DC228F09-9AB3-4D45-8754-B5032A17784A}">
      <dgm:prSet/>
      <dgm:spPr/>
      <dgm:t>
        <a:bodyPr/>
        <a:lstStyle/>
        <a:p>
          <a:endParaRPr lang="cs-CZ">
            <a:latin typeface="Arial" panose="020B0604020202020204" pitchFamily="34" charset="0"/>
            <a:cs typeface="Arial" panose="020B0604020202020204" pitchFamily="34" charset="0"/>
          </a:endParaRPr>
        </a:p>
      </dgm:t>
    </dgm:pt>
    <dgm:pt modelId="{3361B047-D731-4CAC-AC8D-851D8EA0F170}">
      <dgm:prSet phldrT="[Text]"/>
      <dgm:spPr/>
      <dgm:t>
        <a:bodyPr/>
        <a:lstStyle/>
        <a:p>
          <a:endParaRPr lang="cs-CZ">
            <a:latin typeface="Arial" panose="020B0604020202020204" pitchFamily="34" charset="0"/>
            <a:cs typeface="Arial" panose="020B0604020202020204" pitchFamily="34" charset="0"/>
          </a:endParaRPr>
        </a:p>
      </dgm:t>
    </dgm:pt>
    <dgm:pt modelId="{1033B45B-83D5-40D9-A164-19C152498DD3}" type="parTrans" cxnId="{8CB4543C-F424-45B3-AFCB-44AD5A61E28C}">
      <dgm:prSet/>
      <dgm:spPr/>
      <dgm:t>
        <a:bodyPr/>
        <a:lstStyle/>
        <a:p>
          <a:endParaRPr lang="cs-CZ">
            <a:latin typeface="Arial" panose="020B0604020202020204" pitchFamily="34" charset="0"/>
            <a:cs typeface="Arial" panose="020B0604020202020204" pitchFamily="34" charset="0"/>
          </a:endParaRPr>
        </a:p>
      </dgm:t>
    </dgm:pt>
    <dgm:pt modelId="{6C55583E-718B-4409-9238-57001DC03039}" type="sibTrans" cxnId="{8CB4543C-F424-45B3-AFCB-44AD5A61E28C}">
      <dgm:prSet/>
      <dgm:spPr/>
      <dgm:t>
        <a:bodyPr/>
        <a:lstStyle/>
        <a:p>
          <a:endParaRPr lang="cs-CZ">
            <a:latin typeface="Arial" panose="020B0604020202020204" pitchFamily="34" charset="0"/>
            <a:cs typeface="Arial" panose="020B0604020202020204" pitchFamily="34" charset="0"/>
          </a:endParaRPr>
        </a:p>
      </dgm:t>
    </dgm:pt>
    <dgm:pt modelId="{1237D58E-5F62-4870-AFAF-CC7CB6D873C6}">
      <dgm:prSet phldrT="[Text]" custT="1"/>
      <dgm:spPr/>
      <dgm:t>
        <a:bodyPr/>
        <a:lstStyle/>
        <a:p>
          <a:r>
            <a:rPr lang="cs-CZ" sz="1300" b="1">
              <a:latin typeface="Arial" panose="020B0604020202020204" pitchFamily="34" charset="0"/>
              <a:cs typeface="Arial" panose="020B0604020202020204" pitchFamily="34" charset="0"/>
            </a:rPr>
            <a:t>OP PIK </a:t>
          </a:r>
          <a:r>
            <a:rPr lang="cs-CZ" sz="900">
              <a:latin typeface="Arial" panose="020B0604020202020204" pitchFamily="34" charset="0"/>
              <a:cs typeface="Arial" panose="020B0604020202020204" pitchFamily="34" charset="0"/>
            </a:rPr>
            <a:t>2014–2020</a:t>
          </a:r>
        </a:p>
      </dgm:t>
    </dgm:pt>
    <dgm:pt modelId="{BECA88E1-8D32-452F-9E3F-DA31B58B94D6}" type="parTrans" cxnId="{1A82D624-AD1E-43FC-A87B-B7018DC180BB}">
      <dgm:prSet/>
      <dgm:spPr/>
      <dgm:t>
        <a:bodyPr/>
        <a:lstStyle/>
        <a:p>
          <a:endParaRPr lang="cs-CZ">
            <a:latin typeface="Arial" panose="020B0604020202020204" pitchFamily="34" charset="0"/>
            <a:cs typeface="Arial" panose="020B0604020202020204" pitchFamily="34" charset="0"/>
          </a:endParaRPr>
        </a:p>
      </dgm:t>
    </dgm:pt>
    <dgm:pt modelId="{F2880C6C-44CC-4CB2-9E84-D7961D01E214}" type="sibTrans" cxnId="{1A82D624-AD1E-43FC-A87B-B7018DC180BB}">
      <dgm:prSet/>
      <dgm:spPr/>
      <dgm:t>
        <a:bodyPr/>
        <a:lstStyle/>
        <a:p>
          <a:endParaRPr lang="cs-CZ">
            <a:latin typeface="Arial" panose="020B0604020202020204" pitchFamily="34" charset="0"/>
            <a:cs typeface="Arial" panose="020B0604020202020204" pitchFamily="34" charset="0"/>
          </a:endParaRPr>
        </a:p>
      </dgm:t>
    </dgm:pt>
    <dgm:pt modelId="{31407AD5-E544-43FC-8AFA-F4F8A04640D0}">
      <dgm:prSet phldrT="[Text]" custT="1"/>
      <dgm:spPr/>
      <dgm:t>
        <a:bodyPr/>
        <a:lstStyle/>
        <a:p>
          <a:r>
            <a:rPr lang="cs-CZ" sz="1300" b="1">
              <a:latin typeface="Arial" panose="020B0604020202020204" pitchFamily="34" charset="0"/>
              <a:cs typeface="Arial" panose="020B0604020202020204" pitchFamily="34" charset="0"/>
            </a:rPr>
            <a:t>OP TAK</a:t>
          </a:r>
        </a:p>
        <a:p>
          <a:r>
            <a:rPr lang="cs-CZ" sz="900">
              <a:latin typeface="Arial" panose="020B0604020202020204" pitchFamily="34" charset="0"/>
              <a:cs typeface="Arial" panose="020B0604020202020204" pitchFamily="34" charset="0"/>
            </a:rPr>
            <a:t>2021+</a:t>
          </a:r>
        </a:p>
      </dgm:t>
    </dgm:pt>
    <dgm:pt modelId="{7C07D35F-3EF1-46D3-80AD-8DE672A906AE}" type="parTrans" cxnId="{F35A64D7-27D0-4BE9-A8FC-B30EB0BB718C}">
      <dgm:prSet/>
      <dgm:spPr/>
      <dgm:t>
        <a:bodyPr/>
        <a:lstStyle/>
        <a:p>
          <a:endParaRPr lang="cs-CZ">
            <a:latin typeface="Arial" panose="020B0604020202020204" pitchFamily="34" charset="0"/>
            <a:cs typeface="Arial" panose="020B0604020202020204" pitchFamily="34" charset="0"/>
          </a:endParaRPr>
        </a:p>
      </dgm:t>
    </dgm:pt>
    <dgm:pt modelId="{714B811B-FA5E-4AE2-ACD1-B6B6207F1328}" type="sibTrans" cxnId="{F35A64D7-27D0-4BE9-A8FC-B30EB0BB718C}">
      <dgm:prSet/>
      <dgm:spPr/>
      <dgm:t>
        <a:bodyPr/>
        <a:lstStyle/>
        <a:p>
          <a:endParaRPr lang="cs-CZ">
            <a:latin typeface="Arial" panose="020B0604020202020204" pitchFamily="34" charset="0"/>
            <a:cs typeface="Arial" panose="020B0604020202020204" pitchFamily="34" charset="0"/>
          </a:endParaRPr>
        </a:p>
      </dgm:t>
    </dgm:pt>
    <dgm:pt modelId="{274F9A38-62A2-403E-A088-94A5DBC2694B}" type="pres">
      <dgm:prSet presAssocID="{5E57909A-1660-46F7-91AD-8E864537A297}" presName="theList" presStyleCnt="0">
        <dgm:presLayoutVars>
          <dgm:dir/>
          <dgm:animLvl val="lvl"/>
          <dgm:resizeHandles val="exact"/>
        </dgm:presLayoutVars>
      </dgm:prSet>
      <dgm:spPr/>
      <dgm:t>
        <a:bodyPr/>
        <a:lstStyle/>
        <a:p>
          <a:endParaRPr lang="cs-CZ"/>
        </a:p>
      </dgm:t>
    </dgm:pt>
    <dgm:pt modelId="{61C53469-7F4D-4CD7-8597-9A057EDE0637}" type="pres">
      <dgm:prSet presAssocID="{E1E94FCB-C31C-4780-84B5-2993B75F8DC3}" presName="compNode" presStyleCnt="0"/>
      <dgm:spPr/>
      <dgm:t>
        <a:bodyPr/>
        <a:lstStyle/>
        <a:p>
          <a:endParaRPr lang="cs-CZ"/>
        </a:p>
      </dgm:t>
    </dgm:pt>
    <dgm:pt modelId="{8B964578-6CAE-4417-83CA-A5E915C350F1}" type="pres">
      <dgm:prSet presAssocID="{E1E94FCB-C31C-4780-84B5-2993B75F8DC3}" presName="noGeometry" presStyleCnt="0"/>
      <dgm:spPr/>
      <dgm:t>
        <a:bodyPr/>
        <a:lstStyle/>
        <a:p>
          <a:endParaRPr lang="cs-CZ"/>
        </a:p>
      </dgm:t>
    </dgm:pt>
    <dgm:pt modelId="{9AB232B9-2505-4570-9F90-B2DBD4CA89E9}" type="pres">
      <dgm:prSet presAssocID="{E1E94FCB-C31C-4780-84B5-2993B75F8DC3}" presName="childTextVisible" presStyleLbl="bgAccFollowNode1" presStyleIdx="0" presStyleCnt="4" custScaleY="132722">
        <dgm:presLayoutVars>
          <dgm:bulletEnabled val="1"/>
        </dgm:presLayoutVars>
      </dgm:prSet>
      <dgm:spPr/>
      <dgm:t>
        <a:bodyPr/>
        <a:lstStyle/>
        <a:p>
          <a:endParaRPr lang="cs-CZ"/>
        </a:p>
      </dgm:t>
    </dgm:pt>
    <dgm:pt modelId="{6CA015C6-A8CC-4B11-90A5-2C026119DDC1}" type="pres">
      <dgm:prSet presAssocID="{E1E94FCB-C31C-4780-84B5-2993B75F8DC3}" presName="childTextHidden" presStyleLbl="bgAccFollowNode1" presStyleIdx="0" presStyleCnt="4"/>
      <dgm:spPr/>
      <dgm:t>
        <a:bodyPr/>
        <a:lstStyle/>
        <a:p>
          <a:endParaRPr lang="cs-CZ"/>
        </a:p>
      </dgm:t>
    </dgm:pt>
    <dgm:pt modelId="{D297528D-7574-4C82-A241-DFECC8ECBCF1}" type="pres">
      <dgm:prSet presAssocID="{E1E94FCB-C31C-4780-84B5-2993B75F8DC3}" presName="parentText" presStyleLbl="node1" presStyleIdx="0" presStyleCnt="4" custLinFactNeighborX="-520">
        <dgm:presLayoutVars>
          <dgm:chMax val="1"/>
          <dgm:bulletEnabled val="1"/>
        </dgm:presLayoutVars>
      </dgm:prSet>
      <dgm:spPr/>
      <dgm:t>
        <a:bodyPr/>
        <a:lstStyle/>
        <a:p>
          <a:endParaRPr lang="cs-CZ"/>
        </a:p>
      </dgm:t>
    </dgm:pt>
    <dgm:pt modelId="{7C496EF0-D9C9-45B0-B846-B60F91814BE8}" type="pres">
      <dgm:prSet presAssocID="{E1E94FCB-C31C-4780-84B5-2993B75F8DC3}" presName="aSpace" presStyleCnt="0"/>
      <dgm:spPr/>
      <dgm:t>
        <a:bodyPr/>
        <a:lstStyle/>
        <a:p>
          <a:endParaRPr lang="cs-CZ"/>
        </a:p>
      </dgm:t>
    </dgm:pt>
    <dgm:pt modelId="{EDE84836-E343-4D71-A219-9684A0C9A2F9}" type="pres">
      <dgm:prSet presAssocID="{510CBF89-EC81-4979-8028-C36C9F7626C1}" presName="compNode" presStyleCnt="0"/>
      <dgm:spPr/>
      <dgm:t>
        <a:bodyPr/>
        <a:lstStyle/>
        <a:p>
          <a:endParaRPr lang="cs-CZ"/>
        </a:p>
      </dgm:t>
    </dgm:pt>
    <dgm:pt modelId="{4C2BE3C8-0C84-42F5-930F-31AAB0574498}" type="pres">
      <dgm:prSet presAssocID="{510CBF89-EC81-4979-8028-C36C9F7626C1}" presName="noGeometry" presStyleCnt="0"/>
      <dgm:spPr/>
      <dgm:t>
        <a:bodyPr/>
        <a:lstStyle/>
        <a:p>
          <a:endParaRPr lang="cs-CZ"/>
        </a:p>
      </dgm:t>
    </dgm:pt>
    <dgm:pt modelId="{9AA7279E-96B1-4E15-B909-C91ED8EA905E}" type="pres">
      <dgm:prSet presAssocID="{510CBF89-EC81-4979-8028-C36C9F7626C1}" presName="childTextVisible" presStyleLbl="bgAccFollowNode1" presStyleIdx="1" presStyleCnt="4" custScaleY="132722">
        <dgm:presLayoutVars>
          <dgm:bulletEnabled val="1"/>
        </dgm:presLayoutVars>
      </dgm:prSet>
      <dgm:spPr/>
      <dgm:t>
        <a:bodyPr/>
        <a:lstStyle/>
        <a:p>
          <a:endParaRPr lang="cs-CZ"/>
        </a:p>
      </dgm:t>
    </dgm:pt>
    <dgm:pt modelId="{F504257F-58D8-4B04-8DB9-411797D002F7}" type="pres">
      <dgm:prSet presAssocID="{510CBF89-EC81-4979-8028-C36C9F7626C1}" presName="childTextHidden" presStyleLbl="bgAccFollowNode1" presStyleIdx="1" presStyleCnt="4"/>
      <dgm:spPr/>
      <dgm:t>
        <a:bodyPr/>
        <a:lstStyle/>
        <a:p>
          <a:endParaRPr lang="cs-CZ"/>
        </a:p>
      </dgm:t>
    </dgm:pt>
    <dgm:pt modelId="{EB9FB27D-CD59-46D6-B15A-7AC345CCF8F1}" type="pres">
      <dgm:prSet presAssocID="{510CBF89-EC81-4979-8028-C36C9F7626C1}" presName="parentText" presStyleLbl="node1" presStyleIdx="1" presStyleCnt="4">
        <dgm:presLayoutVars>
          <dgm:chMax val="1"/>
          <dgm:bulletEnabled val="1"/>
        </dgm:presLayoutVars>
      </dgm:prSet>
      <dgm:spPr/>
      <dgm:t>
        <a:bodyPr/>
        <a:lstStyle/>
        <a:p>
          <a:endParaRPr lang="cs-CZ"/>
        </a:p>
      </dgm:t>
    </dgm:pt>
    <dgm:pt modelId="{7263B1FF-A799-408E-A6E0-CB4BA974CCC5}" type="pres">
      <dgm:prSet presAssocID="{510CBF89-EC81-4979-8028-C36C9F7626C1}" presName="aSpace" presStyleCnt="0"/>
      <dgm:spPr/>
      <dgm:t>
        <a:bodyPr/>
        <a:lstStyle/>
        <a:p>
          <a:endParaRPr lang="cs-CZ"/>
        </a:p>
      </dgm:t>
    </dgm:pt>
    <dgm:pt modelId="{3F6126B6-8AA8-454E-AABC-0BE181624348}" type="pres">
      <dgm:prSet presAssocID="{1237D58E-5F62-4870-AFAF-CC7CB6D873C6}" presName="compNode" presStyleCnt="0"/>
      <dgm:spPr/>
      <dgm:t>
        <a:bodyPr/>
        <a:lstStyle/>
        <a:p>
          <a:endParaRPr lang="cs-CZ"/>
        </a:p>
      </dgm:t>
    </dgm:pt>
    <dgm:pt modelId="{7B2E8E72-43D3-44FA-90F9-BCF7EF381639}" type="pres">
      <dgm:prSet presAssocID="{1237D58E-5F62-4870-AFAF-CC7CB6D873C6}" presName="noGeometry" presStyleCnt="0"/>
      <dgm:spPr/>
      <dgm:t>
        <a:bodyPr/>
        <a:lstStyle/>
        <a:p>
          <a:endParaRPr lang="cs-CZ"/>
        </a:p>
      </dgm:t>
    </dgm:pt>
    <dgm:pt modelId="{338588F2-5BCF-4861-8964-F58B19CBF692}" type="pres">
      <dgm:prSet presAssocID="{1237D58E-5F62-4870-AFAF-CC7CB6D873C6}" presName="childTextVisible" presStyleLbl="bgAccFollowNode1" presStyleIdx="2" presStyleCnt="4" custScaleY="132722">
        <dgm:presLayoutVars>
          <dgm:bulletEnabled val="1"/>
        </dgm:presLayoutVars>
      </dgm:prSet>
      <dgm:spPr/>
      <dgm:t>
        <a:bodyPr/>
        <a:lstStyle/>
        <a:p>
          <a:endParaRPr lang="cs-CZ"/>
        </a:p>
      </dgm:t>
    </dgm:pt>
    <dgm:pt modelId="{389E281F-45D7-4121-A1F6-59677F63F4D9}" type="pres">
      <dgm:prSet presAssocID="{1237D58E-5F62-4870-AFAF-CC7CB6D873C6}" presName="childTextHidden" presStyleLbl="bgAccFollowNode1" presStyleIdx="2" presStyleCnt="4"/>
      <dgm:spPr/>
      <dgm:t>
        <a:bodyPr/>
        <a:lstStyle/>
        <a:p>
          <a:endParaRPr lang="cs-CZ"/>
        </a:p>
      </dgm:t>
    </dgm:pt>
    <dgm:pt modelId="{8B406E03-BFF6-4B42-912B-8907B3831C9A}" type="pres">
      <dgm:prSet presAssocID="{1237D58E-5F62-4870-AFAF-CC7CB6D873C6}" presName="parentText" presStyleLbl="node1" presStyleIdx="2" presStyleCnt="4">
        <dgm:presLayoutVars>
          <dgm:chMax val="1"/>
          <dgm:bulletEnabled val="1"/>
        </dgm:presLayoutVars>
      </dgm:prSet>
      <dgm:spPr/>
      <dgm:t>
        <a:bodyPr/>
        <a:lstStyle/>
        <a:p>
          <a:endParaRPr lang="cs-CZ"/>
        </a:p>
      </dgm:t>
    </dgm:pt>
    <dgm:pt modelId="{8891DEB8-ABCE-45F4-85F0-566CBFDDF574}" type="pres">
      <dgm:prSet presAssocID="{1237D58E-5F62-4870-AFAF-CC7CB6D873C6}" presName="aSpace" presStyleCnt="0"/>
      <dgm:spPr/>
      <dgm:t>
        <a:bodyPr/>
        <a:lstStyle/>
        <a:p>
          <a:endParaRPr lang="cs-CZ"/>
        </a:p>
      </dgm:t>
    </dgm:pt>
    <dgm:pt modelId="{DB130F78-4062-46C7-B691-9026E792225E}" type="pres">
      <dgm:prSet presAssocID="{31407AD5-E544-43FC-8AFA-F4F8A04640D0}" presName="compNode" presStyleCnt="0"/>
      <dgm:spPr/>
      <dgm:t>
        <a:bodyPr/>
        <a:lstStyle/>
        <a:p>
          <a:endParaRPr lang="cs-CZ"/>
        </a:p>
      </dgm:t>
    </dgm:pt>
    <dgm:pt modelId="{A62F2E48-F279-4C86-A549-33F3A623CFFF}" type="pres">
      <dgm:prSet presAssocID="{31407AD5-E544-43FC-8AFA-F4F8A04640D0}" presName="noGeometry" presStyleCnt="0"/>
      <dgm:spPr/>
      <dgm:t>
        <a:bodyPr/>
        <a:lstStyle/>
        <a:p>
          <a:endParaRPr lang="cs-CZ"/>
        </a:p>
      </dgm:t>
    </dgm:pt>
    <dgm:pt modelId="{AAC896B4-884D-4A1A-9CF3-0622AD0FCDB1}" type="pres">
      <dgm:prSet presAssocID="{31407AD5-E544-43FC-8AFA-F4F8A04640D0}" presName="childTextVisible" presStyleLbl="bgAccFollowNode1" presStyleIdx="3" presStyleCnt="4" custScaleY="132722">
        <dgm:presLayoutVars>
          <dgm:bulletEnabled val="1"/>
        </dgm:presLayoutVars>
      </dgm:prSet>
      <dgm:spPr/>
      <dgm:t>
        <a:bodyPr/>
        <a:lstStyle/>
        <a:p>
          <a:endParaRPr lang="cs-CZ"/>
        </a:p>
      </dgm:t>
    </dgm:pt>
    <dgm:pt modelId="{432BDEBC-310C-4ECB-A054-6C13A35D6850}" type="pres">
      <dgm:prSet presAssocID="{31407AD5-E544-43FC-8AFA-F4F8A04640D0}" presName="childTextHidden" presStyleLbl="bgAccFollowNode1" presStyleIdx="3" presStyleCnt="4"/>
      <dgm:spPr/>
      <dgm:t>
        <a:bodyPr/>
        <a:lstStyle/>
        <a:p>
          <a:endParaRPr lang="cs-CZ"/>
        </a:p>
      </dgm:t>
    </dgm:pt>
    <dgm:pt modelId="{40E7DF67-6525-4446-810D-6D5AB9A9A3AA}" type="pres">
      <dgm:prSet presAssocID="{31407AD5-E544-43FC-8AFA-F4F8A04640D0}" presName="parentText" presStyleLbl="node1" presStyleIdx="3" presStyleCnt="4" custScaleX="99137" custLinFactNeighborX="-9819">
        <dgm:presLayoutVars>
          <dgm:chMax val="1"/>
          <dgm:bulletEnabled val="1"/>
        </dgm:presLayoutVars>
      </dgm:prSet>
      <dgm:spPr/>
      <dgm:t>
        <a:bodyPr/>
        <a:lstStyle/>
        <a:p>
          <a:endParaRPr lang="cs-CZ"/>
        </a:p>
      </dgm:t>
    </dgm:pt>
  </dgm:ptLst>
  <dgm:cxnLst>
    <dgm:cxn modelId="{993BF160-0961-4A12-B879-2052A27A169A}" type="presOf" srcId="{3361B047-D731-4CAC-AC8D-851D8EA0F170}" destId="{F504257F-58D8-4B04-8DB9-411797D002F7}" srcOrd="1" destOrd="0" presId="urn:microsoft.com/office/officeart/2005/8/layout/hProcess6"/>
    <dgm:cxn modelId="{5F3791E7-5FB1-4CC4-BEB7-7B11937B32E7}" type="presOf" srcId="{3361B047-D731-4CAC-AC8D-851D8EA0F170}" destId="{9AA7279E-96B1-4E15-B909-C91ED8EA905E}" srcOrd="0" destOrd="0" presId="urn:microsoft.com/office/officeart/2005/8/layout/hProcess6"/>
    <dgm:cxn modelId="{1A82D624-AD1E-43FC-A87B-B7018DC180BB}" srcId="{5E57909A-1660-46F7-91AD-8E864537A297}" destId="{1237D58E-5F62-4870-AFAF-CC7CB6D873C6}" srcOrd="2" destOrd="0" parTransId="{BECA88E1-8D32-452F-9E3F-DA31B58B94D6}" sibTransId="{F2880C6C-44CC-4CB2-9E84-D7961D01E214}"/>
    <dgm:cxn modelId="{8CB4543C-F424-45B3-AFCB-44AD5A61E28C}" srcId="{510CBF89-EC81-4979-8028-C36C9F7626C1}" destId="{3361B047-D731-4CAC-AC8D-851D8EA0F170}" srcOrd="0" destOrd="0" parTransId="{1033B45B-83D5-40D9-A164-19C152498DD3}" sibTransId="{6C55583E-718B-4409-9238-57001DC03039}"/>
    <dgm:cxn modelId="{EAEDBA39-369F-4DAC-A268-BED47AE250E5}" srcId="{5E57909A-1660-46F7-91AD-8E864537A297}" destId="{E1E94FCB-C31C-4780-84B5-2993B75F8DC3}" srcOrd="0" destOrd="0" parTransId="{DFD456A1-349D-4A2A-B1A4-DB1CEE2A0FE6}" sibTransId="{08BD5606-DA24-44CC-86BC-D05BD36325D3}"/>
    <dgm:cxn modelId="{B4F63B48-D936-4008-8B1F-52243408A6F9}" type="presOf" srcId="{510CBF89-EC81-4979-8028-C36C9F7626C1}" destId="{EB9FB27D-CD59-46D6-B15A-7AC345CCF8F1}" srcOrd="0" destOrd="0" presId="urn:microsoft.com/office/officeart/2005/8/layout/hProcess6"/>
    <dgm:cxn modelId="{7A7C9EAC-C89F-473D-A461-35C599F08ACD}" type="presOf" srcId="{31407AD5-E544-43FC-8AFA-F4F8A04640D0}" destId="{40E7DF67-6525-4446-810D-6D5AB9A9A3AA}" srcOrd="0" destOrd="0" presId="urn:microsoft.com/office/officeart/2005/8/layout/hProcess6"/>
    <dgm:cxn modelId="{F35A64D7-27D0-4BE9-A8FC-B30EB0BB718C}" srcId="{5E57909A-1660-46F7-91AD-8E864537A297}" destId="{31407AD5-E544-43FC-8AFA-F4F8A04640D0}" srcOrd="3" destOrd="0" parTransId="{7C07D35F-3EF1-46D3-80AD-8DE672A906AE}" sibTransId="{714B811B-FA5E-4AE2-ACD1-B6B6207F1328}"/>
    <dgm:cxn modelId="{DE80552E-C113-4748-99D0-27DBD6F548F5}" type="presOf" srcId="{5E57909A-1660-46F7-91AD-8E864537A297}" destId="{274F9A38-62A2-403E-A088-94A5DBC2694B}" srcOrd="0" destOrd="0" presId="urn:microsoft.com/office/officeart/2005/8/layout/hProcess6"/>
    <dgm:cxn modelId="{E7A03869-D905-427E-86FC-E7F9C1679975}" type="presOf" srcId="{1237D58E-5F62-4870-AFAF-CC7CB6D873C6}" destId="{8B406E03-BFF6-4B42-912B-8907B3831C9A}" srcOrd="0" destOrd="0" presId="urn:microsoft.com/office/officeart/2005/8/layout/hProcess6"/>
    <dgm:cxn modelId="{DC228F09-9AB3-4D45-8754-B5032A17784A}" srcId="{5E57909A-1660-46F7-91AD-8E864537A297}" destId="{510CBF89-EC81-4979-8028-C36C9F7626C1}" srcOrd="1" destOrd="0" parTransId="{13787AD4-2A63-4B44-9B71-0E4054AB841D}" sibTransId="{C1025EB7-2B3E-4D89-9907-D73CF18CC636}"/>
    <dgm:cxn modelId="{D0646C34-15A8-43A5-BAC3-0D4B9B7FAD3D}" type="presOf" srcId="{E1E94FCB-C31C-4780-84B5-2993B75F8DC3}" destId="{D297528D-7574-4C82-A241-DFECC8ECBCF1}" srcOrd="0" destOrd="0" presId="urn:microsoft.com/office/officeart/2005/8/layout/hProcess6"/>
    <dgm:cxn modelId="{5430AEFC-CC02-4403-9914-DA341EA35FE6}" type="presParOf" srcId="{274F9A38-62A2-403E-A088-94A5DBC2694B}" destId="{61C53469-7F4D-4CD7-8597-9A057EDE0637}" srcOrd="0" destOrd="0" presId="urn:microsoft.com/office/officeart/2005/8/layout/hProcess6"/>
    <dgm:cxn modelId="{C3DD3E9F-4A99-4C14-BC08-33742C43B397}" type="presParOf" srcId="{61C53469-7F4D-4CD7-8597-9A057EDE0637}" destId="{8B964578-6CAE-4417-83CA-A5E915C350F1}" srcOrd="0" destOrd="0" presId="urn:microsoft.com/office/officeart/2005/8/layout/hProcess6"/>
    <dgm:cxn modelId="{0372B511-CCEA-4F93-9FE0-4CCA6EE49794}" type="presParOf" srcId="{61C53469-7F4D-4CD7-8597-9A057EDE0637}" destId="{9AB232B9-2505-4570-9F90-B2DBD4CA89E9}" srcOrd="1" destOrd="0" presId="urn:microsoft.com/office/officeart/2005/8/layout/hProcess6"/>
    <dgm:cxn modelId="{EEEECDAA-3EB4-4713-9F6C-3A8B79387AA2}" type="presParOf" srcId="{61C53469-7F4D-4CD7-8597-9A057EDE0637}" destId="{6CA015C6-A8CC-4B11-90A5-2C026119DDC1}" srcOrd="2" destOrd="0" presId="urn:microsoft.com/office/officeart/2005/8/layout/hProcess6"/>
    <dgm:cxn modelId="{CE6924A0-83C7-412C-A208-0AEAAD4043F7}" type="presParOf" srcId="{61C53469-7F4D-4CD7-8597-9A057EDE0637}" destId="{D297528D-7574-4C82-A241-DFECC8ECBCF1}" srcOrd="3" destOrd="0" presId="urn:microsoft.com/office/officeart/2005/8/layout/hProcess6"/>
    <dgm:cxn modelId="{77A6EEBF-F46E-4D38-BCA8-2B9D61029AA8}" type="presParOf" srcId="{274F9A38-62A2-403E-A088-94A5DBC2694B}" destId="{7C496EF0-D9C9-45B0-B846-B60F91814BE8}" srcOrd="1" destOrd="0" presId="urn:microsoft.com/office/officeart/2005/8/layout/hProcess6"/>
    <dgm:cxn modelId="{86F92AB3-CEBF-4617-97E0-0AAC8C29475D}" type="presParOf" srcId="{274F9A38-62A2-403E-A088-94A5DBC2694B}" destId="{EDE84836-E343-4D71-A219-9684A0C9A2F9}" srcOrd="2" destOrd="0" presId="urn:microsoft.com/office/officeart/2005/8/layout/hProcess6"/>
    <dgm:cxn modelId="{F223DAD2-B000-4FA0-A966-156309C397A8}" type="presParOf" srcId="{EDE84836-E343-4D71-A219-9684A0C9A2F9}" destId="{4C2BE3C8-0C84-42F5-930F-31AAB0574498}" srcOrd="0" destOrd="0" presId="urn:microsoft.com/office/officeart/2005/8/layout/hProcess6"/>
    <dgm:cxn modelId="{609B23B4-1EE1-4C1A-A2F2-9E29C13FD446}" type="presParOf" srcId="{EDE84836-E343-4D71-A219-9684A0C9A2F9}" destId="{9AA7279E-96B1-4E15-B909-C91ED8EA905E}" srcOrd="1" destOrd="0" presId="urn:microsoft.com/office/officeart/2005/8/layout/hProcess6"/>
    <dgm:cxn modelId="{9D8F6D9E-6149-4EB0-ABBA-25BC9ED93C35}" type="presParOf" srcId="{EDE84836-E343-4D71-A219-9684A0C9A2F9}" destId="{F504257F-58D8-4B04-8DB9-411797D002F7}" srcOrd="2" destOrd="0" presId="urn:microsoft.com/office/officeart/2005/8/layout/hProcess6"/>
    <dgm:cxn modelId="{D059076D-A45B-45A9-94F2-D409E06970FB}" type="presParOf" srcId="{EDE84836-E343-4D71-A219-9684A0C9A2F9}" destId="{EB9FB27D-CD59-46D6-B15A-7AC345CCF8F1}" srcOrd="3" destOrd="0" presId="urn:microsoft.com/office/officeart/2005/8/layout/hProcess6"/>
    <dgm:cxn modelId="{324868B8-2765-45D5-9FC4-1319B983F7E9}" type="presParOf" srcId="{274F9A38-62A2-403E-A088-94A5DBC2694B}" destId="{7263B1FF-A799-408E-A6E0-CB4BA974CCC5}" srcOrd="3" destOrd="0" presId="urn:microsoft.com/office/officeart/2005/8/layout/hProcess6"/>
    <dgm:cxn modelId="{DC661105-5598-43C4-95D4-77D98D8A49F5}" type="presParOf" srcId="{274F9A38-62A2-403E-A088-94A5DBC2694B}" destId="{3F6126B6-8AA8-454E-AABC-0BE181624348}" srcOrd="4" destOrd="0" presId="urn:microsoft.com/office/officeart/2005/8/layout/hProcess6"/>
    <dgm:cxn modelId="{CD79039F-60D5-4BA8-BD89-FE8199E07D99}" type="presParOf" srcId="{3F6126B6-8AA8-454E-AABC-0BE181624348}" destId="{7B2E8E72-43D3-44FA-90F9-BCF7EF381639}" srcOrd="0" destOrd="0" presId="urn:microsoft.com/office/officeart/2005/8/layout/hProcess6"/>
    <dgm:cxn modelId="{30B6DE41-98EE-4878-8258-C178A592421A}" type="presParOf" srcId="{3F6126B6-8AA8-454E-AABC-0BE181624348}" destId="{338588F2-5BCF-4861-8964-F58B19CBF692}" srcOrd="1" destOrd="0" presId="urn:microsoft.com/office/officeart/2005/8/layout/hProcess6"/>
    <dgm:cxn modelId="{0BC40872-17C6-494D-A545-CEB061EC1CEC}" type="presParOf" srcId="{3F6126B6-8AA8-454E-AABC-0BE181624348}" destId="{389E281F-45D7-4121-A1F6-59677F63F4D9}" srcOrd="2" destOrd="0" presId="urn:microsoft.com/office/officeart/2005/8/layout/hProcess6"/>
    <dgm:cxn modelId="{2CFC70E6-B8AB-4804-A665-12DD31153ED1}" type="presParOf" srcId="{3F6126B6-8AA8-454E-AABC-0BE181624348}" destId="{8B406E03-BFF6-4B42-912B-8907B3831C9A}" srcOrd="3" destOrd="0" presId="urn:microsoft.com/office/officeart/2005/8/layout/hProcess6"/>
    <dgm:cxn modelId="{78D56F7C-576F-4B89-A3C5-623D093F11FA}" type="presParOf" srcId="{274F9A38-62A2-403E-A088-94A5DBC2694B}" destId="{8891DEB8-ABCE-45F4-85F0-566CBFDDF574}" srcOrd="5" destOrd="0" presId="urn:microsoft.com/office/officeart/2005/8/layout/hProcess6"/>
    <dgm:cxn modelId="{7A7AD824-94FA-4D50-8033-DDDD7DE57635}" type="presParOf" srcId="{274F9A38-62A2-403E-A088-94A5DBC2694B}" destId="{DB130F78-4062-46C7-B691-9026E792225E}" srcOrd="6" destOrd="0" presId="urn:microsoft.com/office/officeart/2005/8/layout/hProcess6"/>
    <dgm:cxn modelId="{5FA7F7E3-F5A9-404F-BDED-0313CFC7354E}" type="presParOf" srcId="{DB130F78-4062-46C7-B691-9026E792225E}" destId="{A62F2E48-F279-4C86-A549-33F3A623CFFF}" srcOrd="0" destOrd="0" presId="urn:microsoft.com/office/officeart/2005/8/layout/hProcess6"/>
    <dgm:cxn modelId="{324680E5-7C05-421E-8B96-7A416C32B9CD}" type="presParOf" srcId="{DB130F78-4062-46C7-B691-9026E792225E}" destId="{AAC896B4-884D-4A1A-9CF3-0622AD0FCDB1}" srcOrd="1" destOrd="0" presId="urn:microsoft.com/office/officeart/2005/8/layout/hProcess6"/>
    <dgm:cxn modelId="{B7CEDAE7-F698-43BA-9A33-9546B6C5E38B}" type="presParOf" srcId="{DB130F78-4062-46C7-B691-9026E792225E}" destId="{432BDEBC-310C-4ECB-A054-6C13A35D6850}" srcOrd="2" destOrd="0" presId="urn:microsoft.com/office/officeart/2005/8/layout/hProcess6"/>
    <dgm:cxn modelId="{52D87537-B3E8-43D8-A78A-D7EBA5566D58}" type="presParOf" srcId="{DB130F78-4062-46C7-B691-9026E792225E}" destId="{40E7DF67-6525-4446-810D-6D5AB9A9A3AA}" srcOrd="3" destOrd="0" presId="urn:microsoft.com/office/officeart/2005/8/layout/hProcess6"/>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8F0302D-4388-4AD6-A36D-BCE89083156E}" type="doc">
      <dgm:prSet loTypeId="urn:microsoft.com/office/officeart/2005/8/layout/hProcess6" loCatId="process" qsTypeId="urn:microsoft.com/office/officeart/2005/8/quickstyle/simple1" qsCatId="simple" csTypeId="urn:microsoft.com/office/officeart/2005/8/colors/colorful5" csCatId="colorful" phldr="1"/>
      <dgm:spPr/>
      <dgm:t>
        <a:bodyPr/>
        <a:lstStyle/>
        <a:p>
          <a:endParaRPr lang="cs-CZ"/>
        </a:p>
      </dgm:t>
    </dgm:pt>
    <dgm:pt modelId="{3264144E-2F2A-4718-8EAD-A085C5C6F543}">
      <dgm:prSet phldrT="[Text]" custT="1"/>
      <dgm:spPr/>
      <dgm:t>
        <a:bodyPr/>
        <a:lstStyle/>
        <a:p>
          <a:r>
            <a:rPr lang="cs-CZ" sz="1400" b="1">
              <a:latin typeface="Arial" panose="020B0604020202020204" pitchFamily="34" charset="0"/>
              <a:cs typeface="Arial" panose="020B0604020202020204" pitchFamily="34" charset="0"/>
            </a:rPr>
            <a:t>OP VaVpI a OP VK</a:t>
          </a:r>
        </a:p>
        <a:p>
          <a:r>
            <a:rPr lang="cs-CZ" sz="900" b="1">
              <a:latin typeface="Arial" panose="020B0604020202020204" pitchFamily="34" charset="0"/>
              <a:cs typeface="Arial" panose="020B0604020202020204" pitchFamily="34" charset="0"/>
            </a:rPr>
            <a:t>2007–2013</a:t>
          </a:r>
          <a:endParaRPr lang="cs-CZ" sz="900" b="1"/>
        </a:p>
      </dgm:t>
    </dgm:pt>
    <dgm:pt modelId="{30E0F40D-55F8-4E8D-AF6C-975F44029D13}" type="parTrans" cxnId="{164D591A-0B8D-489F-9263-22B3037CAAA0}">
      <dgm:prSet/>
      <dgm:spPr/>
      <dgm:t>
        <a:bodyPr/>
        <a:lstStyle/>
        <a:p>
          <a:endParaRPr lang="cs-CZ"/>
        </a:p>
      </dgm:t>
    </dgm:pt>
    <dgm:pt modelId="{BEE9BF9B-938C-45FE-A2B0-6837D4EBCAF1}" type="sibTrans" cxnId="{164D591A-0B8D-489F-9263-22B3037CAAA0}">
      <dgm:prSet/>
      <dgm:spPr/>
      <dgm:t>
        <a:bodyPr/>
        <a:lstStyle/>
        <a:p>
          <a:endParaRPr lang="cs-CZ"/>
        </a:p>
      </dgm:t>
    </dgm:pt>
    <dgm:pt modelId="{47AA51C1-F1E0-4065-800F-1134DD3537E4}">
      <dgm:prSet phldrT="[Text]" custT="1"/>
      <dgm:spPr/>
      <dgm:t>
        <a:bodyPr/>
        <a:lstStyle/>
        <a:p>
          <a:pPr algn="r"/>
          <a:endParaRPr lang="cs-CZ" sz="800"/>
        </a:p>
      </dgm:t>
    </dgm:pt>
    <dgm:pt modelId="{41ABE26C-14CB-4E8B-BEB8-75943C92E57D}" type="parTrans" cxnId="{CD234A0A-F078-4AF1-90D6-91176A3B1065}">
      <dgm:prSet/>
      <dgm:spPr/>
      <dgm:t>
        <a:bodyPr/>
        <a:lstStyle/>
        <a:p>
          <a:endParaRPr lang="cs-CZ"/>
        </a:p>
      </dgm:t>
    </dgm:pt>
    <dgm:pt modelId="{7F46E1DE-9B83-45DE-A5FF-EAB776E492A5}" type="sibTrans" cxnId="{CD234A0A-F078-4AF1-90D6-91176A3B1065}">
      <dgm:prSet/>
      <dgm:spPr/>
      <dgm:t>
        <a:bodyPr/>
        <a:lstStyle/>
        <a:p>
          <a:endParaRPr lang="cs-CZ"/>
        </a:p>
      </dgm:t>
    </dgm:pt>
    <dgm:pt modelId="{63BB4376-52BD-4A8D-BD8F-01D9E537CC6F}">
      <dgm:prSet phldrT="[Text]" custT="1"/>
      <dgm:spPr/>
      <dgm:t>
        <a:bodyPr/>
        <a:lstStyle/>
        <a:p>
          <a:r>
            <a:rPr lang="cs-CZ" sz="1400" b="1">
              <a:latin typeface="Arial" panose="020B0604020202020204" pitchFamily="34" charset="0"/>
              <a:cs typeface="Arial" panose="020B0604020202020204" pitchFamily="34" charset="0"/>
            </a:rPr>
            <a:t>OP VVV</a:t>
          </a:r>
          <a:r>
            <a:rPr lang="cs-CZ" sz="1400">
              <a:latin typeface="Arial" panose="020B0604020202020204" pitchFamily="34" charset="0"/>
              <a:cs typeface="Arial" panose="020B0604020202020204" pitchFamily="34" charset="0"/>
            </a:rPr>
            <a:t/>
          </a:r>
          <a:br>
            <a:rPr lang="cs-CZ" sz="1400">
              <a:latin typeface="Arial" panose="020B0604020202020204" pitchFamily="34" charset="0"/>
              <a:cs typeface="Arial" panose="020B0604020202020204" pitchFamily="34" charset="0"/>
            </a:rPr>
          </a:br>
          <a:r>
            <a:rPr lang="cs-CZ" sz="900" b="1">
              <a:latin typeface="Arial" panose="020B0604020202020204" pitchFamily="34" charset="0"/>
              <a:cs typeface="Arial" panose="020B0604020202020204" pitchFamily="34" charset="0"/>
            </a:rPr>
            <a:t>2014–2020</a:t>
          </a:r>
          <a:endParaRPr lang="cs-CZ" sz="900" b="1"/>
        </a:p>
      </dgm:t>
    </dgm:pt>
    <dgm:pt modelId="{676AC316-1572-4CB0-A758-A3A87A4A1061}" type="parTrans" cxnId="{D818353C-83DD-4896-9EC7-32347C797D28}">
      <dgm:prSet/>
      <dgm:spPr/>
      <dgm:t>
        <a:bodyPr/>
        <a:lstStyle/>
        <a:p>
          <a:endParaRPr lang="cs-CZ"/>
        </a:p>
      </dgm:t>
    </dgm:pt>
    <dgm:pt modelId="{EECE1423-6628-44D5-A7C8-F908FA96AEDA}" type="sibTrans" cxnId="{D818353C-83DD-4896-9EC7-32347C797D28}">
      <dgm:prSet/>
      <dgm:spPr/>
      <dgm:t>
        <a:bodyPr/>
        <a:lstStyle/>
        <a:p>
          <a:endParaRPr lang="cs-CZ"/>
        </a:p>
      </dgm:t>
    </dgm:pt>
    <dgm:pt modelId="{8C8802B3-ADDF-4D8E-86AC-FE57BA161AA8}">
      <dgm:prSet phldrT="[Text]" custT="1"/>
      <dgm:spPr/>
      <dgm:t>
        <a:bodyPr/>
        <a:lstStyle/>
        <a:p>
          <a:r>
            <a:rPr lang="cs-CZ" sz="1700" b="1">
              <a:latin typeface="Arial" panose="020B0604020202020204" pitchFamily="34" charset="0"/>
              <a:cs typeface="Arial" panose="020B0604020202020204" pitchFamily="34" charset="0"/>
            </a:rPr>
            <a:t>OP JAK</a:t>
          </a:r>
        </a:p>
        <a:p>
          <a:r>
            <a:rPr lang="cs-CZ" sz="900" b="1">
              <a:latin typeface="Arial" panose="020B0604020202020204" pitchFamily="34" charset="0"/>
              <a:cs typeface="Arial" panose="020B0604020202020204" pitchFamily="34" charset="0"/>
            </a:rPr>
            <a:t>2021–2027</a:t>
          </a:r>
          <a:endParaRPr lang="cs-CZ" sz="900" b="1"/>
        </a:p>
      </dgm:t>
    </dgm:pt>
    <dgm:pt modelId="{B93208A0-889E-41AA-9262-9C28C25E1609}" type="parTrans" cxnId="{180D3AAE-C848-46D4-BF25-BF02A2E0EE04}">
      <dgm:prSet/>
      <dgm:spPr/>
      <dgm:t>
        <a:bodyPr/>
        <a:lstStyle/>
        <a:p>
          <a:endParaRPr lang="cs-CZ"/>
        </a:p>
      </dgm:t>
    </dgm:pt>
    <dgm:pt modelId="{3B77B37B-ED1D-4FE6-AFB9-D173E4D00A03}" type="sibTrans" cxnId="{180D3AAE-C848-46D4-BF25-BF02A2E0EE04}">
      <dgm:prSet/>
      <dgm:spPr/>
      <dgm:t>
        <a:bodyPr/>
        <a:lstStyle/>
        <a:p>
          <a:endParaRPr lang="cs-CZ"/>
        </a:p>
      </dgm:t>
    </dgm:pt>
    <dgm:pt modelId="{406CA534-34CD-4226-A0E0-5EF75389EEEB}" type="pres">
      <dgm:prSet presAssocID="{48F0302D-4388-4AD6-A36D-BCE89083156E}" presName="theList" presStyleCnt="0">
        <dgm:presLayoutVars>
          <dgm:dir/>
          <dgm:animLvl val="lvl"/>
          <dgm:resizeHandles val="exact"/>
        </dgm:presLayoutVars>
      </dgm:prSet>
      <dgm:spPr/>
      <dgm:t>
        <a:bodyPr/>
        <a:lstStyle/>
        <a:p>
          <a:endParaRPr lang="cs-CZ"/>
        </a:p>
      </dgm:t>
    </dgm:pt>
    <dgm:pt modelId="{37369958-02F2-4809-A0F5-5EE30CBD034E}" type="pres">
      <dgm:prSet presAssocID="{3264144E-2F2A-4718-8EAD-A085C5C6F543}" presName="compNode" presStyleCnt="0"/>
      <dgm:spPr/>
      <dgm:t>
        <a:bodyPr/>
        <a:lstStyle/>
        <a:p>
          <a:endParaRPr lang="cs-CZ"/>
        </a:p>
      </dgm:t>
    </dgm:pt>
    <dgm:pt modelId="{D0D1240A-937D-4E49-91B2-89BD467742A1}" type="pres">
      <dgm:prSet presAssocID="{3264144E-2F2A-4718-8EAD-A085C5C6F543}" presName="noGeometry" presStyleCnt="0"/>
      <dgm:spPr/>
      <dgm:t>
        <a:bodyPr/>
        <a:lstStyle/>
        <a:p>
          <a:endParaRPr lang="cs-CZ"/>
        </a:p>
      </dgm:t>
    </dgm:pt>
    <dgm:pt modelId="{1A1945DC-DD20-4EA0-A809-AF54B3AF9C07}" type="pres">
      <dgm:prSet presAssocID="{3264144E-2F2A-4718-8EAD-A085C5C6F543}" presName="childTextVisible" presStyleLbl="bgAccFollowNode1" presStyleIdx="0" presStyleCnt="3" custScaleX="124625" custScaleY="134638">
        <dgm:presLayoutVars>
          <dgm:bulletEnabled val="1"/>
        </dgm:presLayoutVars>
      </dgm:prSet>
      <dgm:spPr/>
      <dgm:t>
        <a:bodyPr/>
        <a:lstStyle/>
        <a:p>
          <a:endParaRPr lang="cs-CZ"/>
        </a:p>
      </dgm:t>
    </dgm:pt>
    <dgm:pt modelId="{178BF0B6-4C74-4C75-8D90-4FE28CE3B063}" type="pres">
      <dgm:prSet presAssocID="{3264144E-2F2A-4718-8EAD-A085C5C6F543}" presName="childTextHidden" presStyleLbl="bgAccFollowNode1" presStyleIdx="0" presStyleCnt="3"/>
      <dgm:spPr/>
      <dgm:t>
        <a:bodyPr/>
        <a:lstStyle/>
        <a:p>
          <a:endParaRPr lang="cs-CZ"/>
        </a:p>
      </dgm:t>
    </dgm:pt>
    <dgm:pt modelId="{D4C7A53D-5142-4A22-854A-900C17F8D65B}" type="pres">
      <dgm:prSet presAssocID="{3264144E-2F2A-4718-8EAD-A085C5C6F543}" presName="parentText" presStyleLbl="node1" presStyleIdx="0" presStyleCnt="3">
        <dgm:presLayoutVars>
          <dgm:chMax val="1"/>
          <dgm:bulletEnabled val="1"/>
        </dgm:presLayoutVars>
      </dgm:prSet>
      <dgm:spPr/>
      <dgm:t>
        <a:bodyPr/>
        <a:lstStyle/>
        <a:p>
          <a:endParaRPr lang="cs-CZ"/>
        </a:p>
      </dgm:t>
    </dgm:pt>
    <dgm:pt modelId="{E9FF4738-A5B5-4E5B-B2DA-0E0C5388322D}" type="pres">
      <dgm:prSet presAssocID="{3264144E-2F2A-4718-8EAD-A085C5C6F543}" presName="aSpace" presStyleCnt="0"/>
      <dgm:spPr/>
      <dgm:t>
        <a:bodyPr/>
        <a:lstStyle/>
        <a:p>
          <a:endParaRPr lang="cs-CZ"/>
        </a:p>
      </dgm:t>
    </dgm:pt>
    <dgm:pt modelId="{C59946C7-7037-467B-BF5E-BF718BFE34AD}" type="pres">
      <dgm:prSet presAssocID="{63BB4376-52BD-4A8D-BD8F-01D9E537CC6F}" presName="compNode" presStyleCnt="0"/>
      <dgm:spPr/>
      <dgm:t>
        <a:bodyPr/>
        <a:lstStyle/>
        <a:p>
          <a:endParaRPr lang="cs-CZ"/>
        </a:p>
      </dgm:t>
    </dgm:pt>
    <dgm:pt modelId="{42F66356-6141-48F9-A011-128B47F35DF1}" type="pres">
      <dgm:prSet presAssocID="{63BB4376-52BD-4A8D-BD8F-01D9E537CC6F}" presName="noGeometry" presStyleCnt="0"/>
      <dgm:spPr/>
      <dgm:t>
        <a:bodyPr/>
        <a:lstStyle/>
        <a:p>
          <a:endParaRPr lang="cs-CZ"/>
        </a:p>
      </dgm:t>
    </dgm:pt>
    <dgm:pt modelId="{5B73FEE4-FE99-4456-9446-07ED997F8B66}" type="pres">
      <dgm:prSet presAssocID="{63BB4376-52BD-4A8D-BD8F-01D9E537CC6F}" presName="childTextVisible" presStyleLbl="bgAccFollowNode1" presStyleIdx="1" presStyleCnt="3" custScaleX="129271" custScaleY="134638">
        <dgm:presLayoutVars>
          <dgm:bulletEnabled val="1"/>
        </dgm:presLayoutVars>
      </dgm:prSet>
      <dgm:spPr/>
      <dgm:t>
        <a:bodyPr/>
        <a:lstStyle/>
        <a:p>
          <a:endParaRPr lang="cs-CZ"/>
        </a:p>
      </dgm:t>
    </dgm:pt>
    <dgm:pt modelId="{0D38FDDE-8FA3-45EA-88F1-FD5610501A0A}" type="pres">
      <dgm:prSet presAssocID="{63BB4376-52BD-4A8D-BD8F-01D9E537CC6F}" presName="childTextHidden" presStyleLbl="bgAccFollowNode1" presStyleIdx="1" presStyleCnt="3"/>
      <dgm:spPr/>
      <dgm:t>
        <a:bodyPr/>
        <a:lstStyle/>
        <a:p>
          <a:endParaRPr lang="cs-CZ"/>
        </a:p>
      </dgm:t>
    </dgm:pt>
    <dgm:pt modelId="{798E1A1B-949B-4EB2-A5FE-26668340B573}" type="pres">
      <dgm:prSet presAssocID="{63BB4376-52BD-4A8D-BD8F-01D9E537CC6F}" presName="parentText" presStyleLbl="node1" presStyleIdx="1" presStyleCnt="3">
        <dgm:presLayoutVars>
          <dgm:chMax val="1"/>
          <dgm:bulletEnabled val="1"/>
        </dgm:presLayoutVars>
      </dgm:prSet>
      <dgm:spPr/>
      <dgm:t>
        <a:bodyPr/>
        <a:lstStyle/>
        <a:p>
          <a:endParaRPr lang="cs-CZ"/>
        </a:p>
      </dgm:t>
    </dgm:pt>
    <dgm:pt modelId="{AD3DE109-57EB-4BAC-809C-5126F000BAE5}" type="pres">
      <dgm:prSet presAssocID="{63BB4376-52BD-4A8D-BD8F-01D9E537CC6F}" presName="aSpace" presStyleCnt="0"/>
      <dgm:spPr/>
      <dgm:t>
        <a:bodyPr/>
        <a:lstStyle/>
        <a:p>
          <a:endParaRPr lang="cs-CZ"/>
        </a:p>
      </dgm:t>
    </dgm:pt>
    <dgm:pt modelId="{7BBAABA8-D96D-4D60-9156-7D5382F929EC}" type="pres">
      <dgm:prSet presAssocID="{8C8802B3-ADDF-4D8E-86AC-FE57BA161AA8}" presName="compNode" presStyleCnt="0"/>
      <dgm:spPr/>
      <dgm:t>
        <a:bodyPr/>
        <a:lstStyle/>
        <a:p>
          <a:endParaRPr lang="cs-CZ"/>
        </a:p>
      </dgm:t>
    </dgm:pt>
    <dgm:pt modelId="{333DC07B-AC3C-4BEA-BFA6-064EC584A62E}" type="pres">
      <dgm:prSet presAssocID="{8C8802B3-ADDF-4D8E-86AC-FE57BA161AA8}" presName="noGeometry" presStyleCnt="0"/>
      <dgm:spPr/>
      <dgm:t>
        <a:bodyPr/>
        <a:lstStyle/>
        <a:p>
          <a:endParaRPr lang="cs-CZ"/>
        </a:p>
      </dgm:t>
    </dgm:pt>
    <dgm:pt modelId="{43D8D95C-D64A-4335-8827-59AAFA85A191}" type="pres">
      <dgm:prSet presAssocID="{8C8802B3-ADDF-4D8E-86AC-FE57BA161AA8}" presName="childTextVisible" presStyleLbl="bgAccFollowNode1" presStyleIdx="2" presStyleCnt="3" custScaleX="134503" custScaleY="134638">
        <dgm:presLayoutVars>
          <dgm:bulletEnabled val="1"/>
        </dgm:presLayoutVars>
      </dgm:prSet>
      <dgm:spPr/>
      <dgm:t>
        <a:bodyPr/>
        <a:lstStyle/>
        <a:p>
          <a:endParaRPr lang="cs-CZ"/>
        </a:p>
      </dgm:t>
    </dgm:pt>
    <dgm:pt modelId="{5F216477-8754-49A0-88B1-D93FBD3C97BB}" type="pres">
      <dgm:prSet presAssocID="{8C8802B3-ADDF-4D8E-86AC-FE57BA161AA8}" presName="childTextHidden" presStyleLbl="bgAccFollowNode1" presStyleIdx="2" presStyleCnt="3"/>
      <dgm:spPr/>
      <dgm:t>
        <a:bodyPr/>
        <a:lstStyle/>
        <a:p>
          <a:endParaRPr lang="cs-CZ"/>
        </a:p>
      </dgm:t>
    </dgm:pt>
    <dgm:pt modelId="{B72F2F62-EB74-4E91-BB14-BC05874CA5AC}" type="pres">
      <dgm:prSet presAssocID="{8C8802B3-ADDF-4D8E-86AC-FE57BA161AA8}" presName="parentText" presStyleLbl="node1" presStyleIdx="2" presStyleCnt="3">
        <dgm:presLayoutVars>
          <dgm:chMax val="1"/>
          <dgm:bulletEnabled val="1"/>
        </dgm:presLayoutVars>
      </dgm:prSet>
      <dgm:spPr/>
      <dgm:t>
        <a:bodyPr/>
        <a:lstStyle/>
        <a:p>
          <a:endParaRPr lang="cs-CZ"/>
        </a:p>
      </dgm:t>
    </dgm:pt>
  </dgm:ptLst>
  <dgm:cxnLst>
    <dgm:cxn modelId="{A751BD4F-1101-4DB9-B5B6-5B50266C4CF9}" type="presOf" srcId="{3264144E-2F2A-4718-8EAD-A085C5C6F543}" destId="{D4C7A53D-5142-4A22-854A-900C17F8D65B}" srcOrd="0" destOrd="0" presId="urn:microsoft.com/office/officeart/2005/8/layout/hProcess6"/>
    <dgm:cxn modelId="{180D3AAE-C848-46D4-BF25-BF02A2E0EE04}" srcId="{48F0302D-4388-4AD6-A36D-BCE89083156E}" destId="{8C8802B3-ADDF-4D8E-86AC-FE57BA161AA8}" srcOrd="2" destOrd="0" parTransId="{B93208A0-889E-41AA-9262-9C28C25E1609}" sibTransId="{3B77B37B-ED1D-4FE6-AFB9-D173E4D00A03}"/>
    <dgm:cxn modelId="{CD234A0A-F078-4AF1-90D6-91176A3B1065}" srcId="{3264144E-2F2A-4718-8EAD-A085C5C6F543}" destId="{47AA51C1-F1E0-4065-800F-1134DD3537E4}" srcOrd="0" destOrd="0" parTransId="{41ABE26C-14CB-4E8B-BEB8-75943C92E57D}" sibTransId="{7F46E1DE-9B83-45DE-A5FF-EAB776E492A5}"/>
    <dgm:cxn modelId="{E2ECA335-BA27-4C79-886E-0B4D282ECA52}" type="presOf" srcId="{48F0302D-4388-4AD6-A36D-BCE89083156E}" destId="{406CA534-34CD-4226-A0E0-5EF75389EEEB}" srcOrd="0" destOrd="0" presId="urn:microsoft.com/office/officeart/2005/8/layout/hProcess6"/>
    <dgm:cxn modelId="{164D591A-0B8D-489F-9263-22B3037CAAA0}" srcId="{48F0302D-4388-4AD6-A36D-BCE89083156E}" destId="{3264144E-2F2A-4718-8EAD-A085C5C6F543}" srcOrd="0" destOrd="0" parTransId="{30E0F40D-55F8-4E8D-AF6C-975F44029D13}" sibTransId="{BEE9BF9B-938C-45FE-A2B0-6837D4EBCAF1}"/>
    <dgm:cxn modelId="{E2D44386-C570-4E18-B269-DB5C79D26877}" type="presOf" srcId="{8C8802B3-ADDF-4D8E-86AC-FE57BA161AA8}" destId="{B72F2F62-EB74-4E91-BB14-BC05874CA5AC}" srcOrd="0" destOrd="0" presId="urn:microsoft.com/office/officeart/2005/8/layout/hProcess6"/>
    <dgm:cxn modelId="{D818353C-83DD-4896-9EC7-32347C797D28}" srcId="{48F0302D-4388-4AD6-A36D-BCE89083156E}" destId="{63BB4376-52BD-4A8D-BD8F-01D9E537CC6F}" srcOrd="1" destOrd="0" parTransId="{676AC316-1572-4CB0-A758-A3A87A4A1061}" sibTransId="{EECE1423-6628-44D5-A7C8-F908FA96AEDA}"/>
    <dgm:cxn modelId="{66225513-9434-4CD4-9E6A-2AE64449D893}" type="presOf" srcId="{63BB4376-52BD-4A8D-BD8F-01D9E537CC6F}" destId="{798E1A1B-949B-4EB2-A5FE-26668340B573}" srcOrd="0" destOrd="0" presId="urn:microsoft.com/office/officeart/2005/8/layout/hProcess6"/>
    <dgm:cxn modelId="{E583C42E-DC1D-43EF-A898-8B07CE96D48D}" type="presOf" srcId="{47AA51C1-F1E0-4065-800F-1134DD3537E4}" destId="{1A1945DC-DD20-4EA0-A809-AF54B3AF9C07}" srcOrd="0" destOrd="0" presId="urn:microsoft.com/office/officeart/2005/8/layout/hProcess6"/>
    <dgm:cxn modelId="{1220150C-69FA-45FD-B9A5-939EBD57BB35}" type="presOf" srcId="{47AA51C1-F1E0-4065-800F-1134DD3537E4}" destId="{178BF0B6-4C74-4C75-8D90-4FE28CE3B063}" srcOrd="1" destOrd="0" presId="urn:microsoft.com/office/officeart/2005/8/layout/hProcess6"/>
    <dgm:cxn modelId="{57CE9D93-331C-46E1-A463-EED3CA3B51FE}" type="presParOf" srcId="{406CA534-34CD-4226-A0E0-5EF75389EEEB}" destId="{37369958-02F2-4809-A0F5-5EE30CBD034E}" srcOrd="0" destOrd="0" presId="urn:microsoft.com/office/officeart/2005/8/layout/hProcess6"/>
    <dgm:cxn modelId="{B37B1B54-159C-4BEA-961D-B176881D9C5B}" type="presParOf" srcId="{37369958-02F2-4809-A0F5-5EE30CBD034E}" destId="{D0D1240A-937D-4E49-91B2-89BD467742A1}" srcOrd="0" destOrd="0" presId="urn:microsoft.com/office/officeart/2005/8/layout/hProcess6"/>
    <dgm:cxn modelId="{1368B759-031F-438B-B2AA-F173257B4E70}" type="presParOf" srcId="{37369958-02F2-4809-A0F5-5EE30CBD034E}" destId="{1A1945DC-DD20-4EA0-A809-AF54B3AF9C07}" srcOrd="1" destOrd="0" presId="urn:microsoft.com/office/officeart/2005/8/layout/hProcess6"/>
    <dgm:cxn modelId="{D85D0650-275B-4A20-9A33-A3949864DCD7}" type="presParOf" srcId="{37369958-02F2-4809-A0F5-5EE30CBD034E}" destId="{178BF0B6-4C74-4C75-8D90-4FE28CE3B063}" srcOrd="2" destOrd="0" presId="urn:microsoft.com/office/officeart/2005/8/layout/hProcess6"/>
    <dgm:cxn modelId="{CA3942D1-2C8C-45E8-A160-9B18D8C5C1A6}" type="presParOf" srcId="{37369958-02F2-4809-A0F5-5EE30CBD034E}" destId="{D4C7A53D-5142-4A22-854A-900C17F8D65B}" srcOrd="3" destOrd="0" presId="urn:microsoft.com/office/officeart/2005/8/layout/hProcess6"/>
    <dgm:cxn modelId="{BFFAAF64-225A-46FB-A6EB-03ED337E58C9}" type="presParOf" srcId="{406CA534-34CD-4226-A0E0-5EF75389EEEB}" destId="{E9FF4738-A5B5-4E5B-B2DA-0E0C5388322D}" srcOrd="1" destOrd="0" presId="urn:microsoft.com/office/officeart/2005/8/layout/hProcess6"/>
    <dgm:cxn modelId="{84F72625-4BCD-4AC3-9A11-137E1AF15E89}" type="presParOf" srcId="{406CA534-34CD-4226-A0E0-5EF75389EEEB}" destId="{C59946C7-7037-467B-BF5E-BF718BFE34AD}" srcOrd="2" destOrd="0" presId="urn:microsoft.com/office/officeart/2005/8/layout/hProcess6"/>
    <dgm:cxn modelId="{FAE46800-8700-418E-928C-A075FE092BA7}" type="presParOf" srcId="{C59946C7-7037-467B-BF5E-BF718BFE34AD}" destId="{42F66356-6141-48F9-A011-128B47F35DF1}" srcOrd="0" destOrd="0" presId="urn:microsoft.com/office/officeart/2005/8/layout/hProcess6"/>
    <dgm:cxn modelId="{7CCE5DF3-95D8-415C-B041-8AC33C28BB4A}" type="presParOf" srcId="{C59946C7-7037-467B-BF5E-BF718BFE34AD}" destId="{5B73FEE4-FE99-4456-9446-07ED997F8B66}" srcOrd="1" destOrd="0" presId="urn:microsoft.com/office/officeart/2005/8/layout/hProcess6"/>
    <dgm:cxn modelId="{4B079497-F5F7-4267-A023-8B313C394C08}" type="presParOf" srcId="{C59946C7-7037-467B-BF5E-BF718BFE34AD}" destId="{0D38FDDE-8FA3-45EA-88F1-FD5610501A0A}" srcOrd="2" destOrd="0" presId="urn:microsoft.com/office/officeart/2005/8/layout/hProcess6"/>
    <dgm:cxn modelId="{792CD0DA-42C7-4593-B837-C029AF04F3CE}" type="presParOf" srcId="{C59946C7-7037-467B-BF5E-BF718BFE34AD}" destId="{798E1A1B-949B-4EB2-A5FE-26668340B573}" srcOrd="3" destOrd="0" presId="urn:microsoft.com/office/officeart/2005/8/layout/hProcess6"/>
    <dgm:cxn modelId="{AEAACE5C-7FCD-4C8C-B4E1-5C584C860E5F}" type="presParOf" srcId="{406CA534-34CD-4226-A0E0-5EF75389EEEB}" destId="{AD3DE109-57EB-4BAC-809C-5126F000BAE5}" srcOrd="3" destOrd="0" presId="urn:microsoft.com/office/officeart/2005/8/layout/hProcess6"/>
    <dgm:cxn modelId="{78515976-6F31-4FDC-BF92-526786644CCB}" type="presParOf" srcId="{406CA534-34CD-4226-A0E0-5EF75389EEEB}" destId="{7BBAABA8-D96D-4D60-9156-7D5382F929EC}" srcOrd="4" destOrd="0" presId="urn:microsoft.com/office/officeart/2005/8/layout/hProcess6"/>
    <dgm:cxn modelId="{A0C815F3-68DA-48E9-8336-06C32A7C6E0E}" type="presParOf" srcId="{7BBAABA8-D96D-4D60-9156-7D5382F929EC}" destId="{333DC07B-AC3C-4BEA-BFA6-064EC584A62E}" srcOrd="0" destOrd="0" presId="urn:microsoft.com/office/officeart/2005/8/layout/hProcess6"/>
    <dgm:cxn modelId="{46A7A7C7-1370-4710-B1EC-69049C9394C7}" type="presParOf" srcId="{7BBAABA8-D96D-4D60-9156-7D5382F929EC}" destId="{43D8D95C-D64A-4335-8827-59AAFA85A191}" srcOrd="1" destOrd="0" presId="urn:microsoft.com/office/officeart/2005/8/layout/hProcess6"/>
    <dgm:cxn modelId="{312FD008-201F-4232-A29C-452E3058C25A}" type="presParOf" srcId="{7BBAABA8-D96D-4D60-9156-7D5382F929EC}" destId="{5F216477-8754-49A0-88B1-D93FBD3C97BB}" srcOrd="2" destOrd="0" presId="urn:microsoft.com/office/officeart/2005/8/layout/hProcess6"/>
    <dgm:cxn modelId="{50EB778D-EA2F-4C5B-94DA-873ECEF22015}" type="presParOf" srcId="{7BBAABA8-D96D-4D60-9156-7D5382F929EC}" destId="{B72F2F62-EB74-4E91-BB14-BC05874CA5AC}" srcOrd="3" destOrd="0" presId="urn:microsoft.com/office/officeart/2005/8/layout/hProcess6"/>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48A39D2B-9FE4-4E50-BA03-87B5EB73491A}" type="doc">
      <dgm:prSet loTypeId="urn:microsoft.com/office/officeart/2005/8/layout/hierarchy6" loCatId="hierarchy" qsTypeId="urn:microsoft.com/office/officeart/2005/8/quickstyle/simple2" qsCatId="simple" csTypeId="urn:microsoft.com/office/officeart/2005/8/colors/accent0_2" csCatId="mainScheme" phldr="1"/>
      <dgm:spPr/>
      <dgm:t>
        <a:bodyPr/>
        <a:lstStyle/>
        <a:p>
          <a:endParaRPr lang="cs-CZ"/>
        </a:p>
      </dgm:t>
    </dgm:pt>
    <dgm:pt modelId="{7228E5CD-B131-4F6B-AE80-44C1B5E54592}">
      <dgm:prSet phldrT="[Text]" custT="1"/>
      <dgm:spPr/>
      <dgm:t>
        <a:bodyPr/>
        <a:lstStyle/>
        <a:p>
          <a:r>
            <a:rPr lang="cs-CZ" sz="1200" b="1"/>
            <a:t>národní úroveň: </a:t>
          </a:r>
        </a:p>
        <a:p>
          <a:r>
            <a:rPr lang="cs-CZ" sz="1200"/>
            <a:t>MŠMT, GA ČR, TA ČR, AV ČR, MV, MO </a:t>
          </a:r>
        </a:p>
      </dgm:t>
    </dgm:pt>
    <dgm:pt modelId="{5CE8A9BE-D8D4-4559-AED2-1F1202A18A6C}" type="parTrans" cxnId="{77146621-6AA6-414F-9EB1-F96A0F7E6C06}">
      <dgm:prSet/>
      <dgm:spPr/>
      <dgm:t>
        <a:bodyPr/>
        <a:lstStyle/>
        <a:p>
          <a:endParaRPr lang="cs-CZ" sz="1200"/>
        </a:p>
      </dgm:t>
    </dgm:pt>
    <dgm:pt modelId="{8FD5144C-4688-4D4C-89D6-B545A692FFB9}" type="sibTrans" cxnId="{77146621-6AA6-414F-9EB1-F96A0F7E6C06}">
      <dgm:prSet/>
      <dgm:spPr/>
      <dgm:t>
        <a:bodyPr/>
        <a:lstStyle/>
        <a:p>
          <a:endParaRPr lang="cs-CZ" sz="1200"/>
        </a:p>
      </dgm:t>
    </dgm:pt>
    <dgm:pt modelId="{9850A994-8E16-4D03-B370-C58E90144D5D}">
      <dgm:prSet phldrT="[Text]" custT="1"/>
      <dgm:spPr/>
      <dgm:t>
        <a:bodyPr/>
        <a:lstStyle/>
        <a:p>
          <a:r>
            <a:rPr lang="cs-CZ" sz="1200"/>
            <a:t>Vysoké školy </a:t>
          </a:r>
        </a:p>
      </dgm:t>
    </dgm:pt>
    <dgm:pt modelId="{C835E744-FB74-4E81-886F-6501EF2ED3D0}" type="parTrans" cxnId="{9F20CF20-95BF-4AF3-A02D-2CB854272A95}">
      <dgm:prSet/>
      <dgm:spPr/>
      <dgm:t>
        <a:bodyPr/>
        <a:lstStyle/>
        <a:p>
          <a:endParaRPr lang="cs-CZ" sz="1200"/>
        </a:p>
      </dgm:t>
    </dgm:pt>
    <dgm:pt modelId="{DE5B191F-2A1E-471B-B059-969436331EDB}" type="sibTrans" cxnId="{9F20CF20-95BF-4AF3-A02D-2CB854272A95}">
      <dgm:prSet/>
      <dgm:spPr/>
      <dgm:t>
        <a:bodyPr/>
        <a:lstStyle/>
        <a:p>
          <a:endParaRPr lang="cs-CZ" sz="1200"/>
        </a:p>
      </dgm:t>
    </dgm:pt>
    <dgm:pt modelId="{2FA1C4FF-37A5-45E3-AEDB-2508D437E2B2}">
      <dgm:prSet phldrT="[Text]" custT="1"/>
      <dgm:spPr/>
      <dgm:t>
        <a:bodyPr/>
        <a:lstStyle/>
        <a:p>
          <a:r>
            <a:rPr lang="cs-CZ" sz="1200"/>
            <a:t>ústavy AV ČR </a:t>
          </a:r>
        </a:p>
      </dgm:t>
    </dgm:pt>
    <dgm:pt modelId="{A1785740-CCA2-4CAB-9A7A-5FCCF1579485}" type="parTrans" cxnId="{6A20565F-ECE6-48F3-A593-31A31140D943}">
      <dgm:prSet/>
      <dgm:spPr/>
      <dgm:t>
        <a:bodyPr/>
        <a:lstStyle/>
        <a:p>
          <a:endParaRPr lang="cs-CZ" sz="1200"/>
        </a:p>
      </dgm:t>
    </dgm:pt>
    <dgm:pt modelId="{30425999-254C-4F1D-9F3E-1C4148F8D989}" type="sibTrans" cxnId="{6A20565F-ECE6-48F3-A593-31A31140D943}">
      <dgm:prSet/>
      <dgm:spPr/>
      <dgm:t>
        <a:bodyPr/>
        <a:lstStyle/>
        <a:p>
          <a:endParaRPr lang="cs-CZ" sz="1200"/>
        </a:p>
      </dgm:t>
    </dgm:pt>
    <dgm:pt modelId="{F43B08A4-510E-48AC-A560-9DFE20C9222B}">
      <dgm:prSet phldrT="[Text]" custT="1"/>
      <dgm:spPr/>
      <dgm:t>
        <a:bodyPr/>
        <a:lstStyle/>
        <a:p>
          <a:r>
            <a:rPr lang="cs-CZ" sz="1200"/>
            <a:t>ostatní výzkumné organizace </a:t>
          </a:r>
        </a:p>
      </dgm:t>
    </dgm:pt>
    <dgm:pt modelId="{19F2151C-E2D2-4B3C-B562-453B047925D0}" type="parTrans" cxnId="{FB9C42F1-035D-4CC2-913D-A110DBF51B7C}">
      <dgm:prSet/>
      <dgm:spPr/>
      <dgm:t>
        <a:bodyPr/>
        <a:lstStyle/>
        <a:p>
          <a:endParaRPr lang="cs-CZ" sz="1200"/>
        </a:p>
      </dgm:t>
    </dgm:pt>
    <dgm:pt modelId="{4E783BD7-822A-420A-80FC-B5224F88316B}" type="sibTrans" cxnId="{FB9C42F1-035D-4CC2-913D-A110DBF51B7C}">
      <dgm:prSet/>
      <dgm:spPr/>
      <dgm:t>
        <a:bodyPr/>
        <a:lstStyle/>
        <a:p>
          <a:endParaRPr lang="cs-CZ" sz="1200"/>
        </a:p>
      </dgm:t>
    </dgm:pt>
    <dgm:pt modelId="{4115B63D-3998-43B5-B6D7-EB5292D92605}">
      <dgm:prSet phldrT="[Text]" custT="1"/>
      <dgm:spPr/>
      <dgm:t>
        <a:bodyPr/>
        <a:lstStyle/>
        <a:p>
          <a:r>
            <a:rPr lang="cs-CZ" sz="1200"/>
            <a:t>podniky </a:t>
          </a:r>
        </a:p>
      </dgm:t>
    </dgm:pt>
    <dgm:pt modelId="{D837DFBE-3A26-44C1-BDCC-8628BFE284E6}" type="parTrans" cxnId="{EB4EDF6B-146E-4D86-80AE-F2244FB6306B}">
      <dgm:prSet/>
      <dgm:spPr/>
      <dgm:t>
        <a:bodyPr/>
        <a:lstStyle/>
        <a:p>
          <a:endParaRPr lang="cs-CZ" sz="1200"/>
        </a:p>
      </dgm:t>
    </dgm:pt>
    <dgm:pt modelId="{B83744C9-B048-4F78-8271-D9748C811DA2}" type="sibTrans" cxnId="{EB4EDF6B-146E-4D86-80AE-F2244FB6306B}">
      <dgm:prSet/>
      <dgm:spPr/>
      <dgm:t>
        <a:bodyPr/>
        <a:lstStyle/>
        <a:p>
          <a:endParaRPr lang="cs-CZ" sz="1200"/>
        </a:p>
      </dgm:t>
    </dgm:pt>
    <dgm:pt modelId="{73B742D3-3F1D-43B0-9773-C0AB9EC798C3}" type="pres">
      <dgm:prSet presAssocID="{48A39D2B-9FE4-4E50-BA03-87B5EB73491A}" presName="mainComposite" presStyleCnt="0">
        <dgm:presLayoutVars>
          <dgm:chPref val="1"/>
          <dgm:dir/>
          <dgm:animOne val="branch"/>
          <dgm:animLvl val="lvl"/>
          <dgm:resizeHandles val="exact"/>
        </dgm:presLayoutVars>
      </dgm:prSet>
      <dgm:spPr/>
      <dgm:t>
        <a:bodyPr/>
        <a:lstStyle/>
        <a:p>
          <a:endParaRPr lang="cs-CZ"/>
        </a:p>
      </dgm:t>
    </dgm:pt>
    <dgm:pt modelId="{3ABFDCCC-65D9-4EAC-81E0-0805D3F5D581}" type="pres">
      <dgm:prSet presAssocID="{48A39D2B-9FE4-4E50-BA03-87B5EB73491A}" presName="hierFlow" presStyleCnt="0"/>
      <dgm:spPr/>
      <dgm:t>
        <a:bodyPr/>
        <a:lstStyle/>
        <a:p>
          <a:endParaRPr lang="cs-CZ"/>
        </a:p>
      </dgm:t>
    </dgm:pt>
    <dgm:pt modelId="{5460FC2A-8767-41ED-9489-EB2844451EE1}" type="pres">
      <dgm:prSet presAssocID="{48A39D2B-9FE4-4E50-BA03-87B5EB73491A}" presName="hierChild1" presStyleCnt="0">
        <dgm:presLayoutVars>
          <dgm:chPref val="1"/>
          <dgm:animOne val="branch"/>
          <dgm:animLvl val="lvl"/>
        </dgm:presLayoutVars>
      </dgm:prSet>
      <dgm:spPr/>
      <dgm:t>
        <a:bodyPr/>
        <a:lstStyle/>
        <a:p>
          <a:endParaRPr lang="cs-CZ"/>
        </a:p>
      </dgm:t>
    </dgm:pt>
    <dgm:pt modelId="{96494482-D203-41D2-A674-0CAD1D433E8B}" type="pres">
      <dgm:prSet presAssocID="{7228E5CD-B131-4F6B-AE80-44C1B5E54592}" presName="Name14" presStyleCnt="0"/>
      <dgm:spPr/>
      <dgm:t>
        <a:bodyPr/>
        <a:lstStyle/>
        <a:p>
          <a:endParaRPr lang="cs-CZ"/>
        </a:p>
      </dgm:t>
    </dgm:pt>
    <dgm:pt modelId="{99183D53-8A15-4939-BA2C-8DFB720D3E84}" type="pres">
      <dgm:prSet presAssocID="{7228E5CD-B131-4F6B-AE80-44C1B5E54592}" presName="level1Shape" presStyleLbl="node0" presStyleIdx="0" presStyleCnt="1" custScaleX="274995">
        <dgm:presLayoutVars>
          <dgm:chPref val="3"/>
        </dgm:presLayoutVars>
      </dgm:prSet>
      <dgm:spPr/>
      <dgm:t>
        <a:bodyPr/>
        <a:lstStyle/>
        <a:p>
          <a:endParaRPr lang="cs-CZ"/>
        </a:p>
      </dgm:t>
    </dgm:pt>
    <dgm:pt modelId="{FECB5A8A-FCF4-4AF6-80D4-509E26D42013}" type="pres">
      <dgm:prSet presAssocID="{7228E5CD-B131-4F6B-AE80-44C1B5E54592}" presName="hierChild2" presStyleCnt="0"/>
      <dgm:spPr/>
      <dgm:t>
        <a:bodyPr/>
        <a:lstStyle/>
        <a:p>
          <a:endParaRPr lang="cs-CZ"/>
        </a:p>
      </dgm:t>
    </dgm:pt>
    <dgm:pt modelId="{757C4BB5-6F1B-4B3D-97AB-37028F24F03C}" type="pres">
      <dgm:prSet presAssocID="{C835E744-FB74-4E81-886F-6501EF2ED3D0}" presName="Name19" presStyleLbl="parChTrans1D2" presStyleIdx="0" presStyleCnt="4"/>
      <dgm:spPr/>
      <dgm:t>
        <a:bodyPr/>
        <a:lstStyle/>
        <a:p>
          <a:endParaRPr lang="cs-CZ"/>
        </a:p>
      </dgm:t>
    </dgm:pt>
    <dgm:pt modelId="{271CD649-4A08-4BE0-A0E9-8FD0E2EB43E0}" type="pres">
      <dgm:prSet presAssocID="{9850A994-8E16-4D03-B370-C58E90144D5D}" presName="Name21" presStyleCnt="0"/>
      <dgm:spPr/>
      <dgm:t>
        <a:bodyPr/>
        <a:lstStyle/>
        <a:p>
          <a:endParaRPr lang="cs-CZ"/>
        </a:p>
      </dgm:t>
    </dgm:pt>
    <dgm:pt modelId="{57857727-DF6B-4D93-B5D8-56C121241FC9}" type="pres">
      <dgm:prSet presAssocID="{9850A994-8E16-4D03-B370-C58E90144D5D}" presName="level2Shape" presStyleLbl="node2" presStyleIdx="0" presStyleCnt="4"/>
      <dgm:spPr/>
      <dgm:t>
        <a:bodyPr/>
        <a:lstStyle/>
        <a:p>
          <a:endParaRPr lang="cs-CZ"/>
        </a:p>
      </dgm:t>
    </dgm:pt>
    <dgm:pt modelId="{EB0A9FF6-DA71-45A9-9F21-E672AB295BBE}" type="pres">
      <dgm:prSet presAssocID="{9850A994-8E16-4D03-B370-C58E90144D5D}" presName="hierChild3" presStyleCnt="0"/>
      <dgm:spPr/>
      <dgm:t>
        <a:bodyPr/>
        <a:lstStyle/>
        <a:p>
          <a:endParaRPr lang="cs-CZ"/>
        </a:p>
      </dgm:t>
    </dgm:pt>
    <dgm:pt modelId="{CBFFFD3F-8899-4835-8F3E-B224E3B4563A}" type="pres">
      <dgm:prSet presAssocID="{A1785740-CCA2-4CAB-9A7A-5FCCF1579485}" presName="Name19" presStyleLbl="parChTrans1D2" presStyleIdx="1" presStyleCnt="4"/>
      <dgm:spPr/>
      <dgm:t>
        <a:bodyPr/>
        <a:lstStyle/>
        <a:p>
          <a:endParaRPr lang="cs-CZ"/>
        </a:p>
      </dgm:t>
    </dgm:pt>
    <dgm:pt modelId="{01CA672E-ECF2-41F5-ABB4-5F300587EF2A}" type="pres">
      <dgm:prSet presAssocID="{2FA1C4FF-37A5-45E3-AEDB-2508D437E2B2}" presName="Name21" presStyleCnt="0"/>
      <dgm:spPr/>
      <dgm:t>
        <a:bodyPr/>
        <a:lstStyle/>
        <a:p>
          <a:endParaRPr lang="cs-CZ"/>
        </a:p>
      </dgm:t>
    </dgm:pt>
    <dgm:pt modelId="{A5A294A9-4F69-4A5C-AFBB-93915A518A29}" type="pres">
      <dgm:prSet presAssocID="{2FA1C4FF-37A5-45E3-AEDB-2508D437E2B2}" presName="level2Shape" presStyleLbl="node2" presStyleIdx="1" presStyleCnt="4"/>
      <dgm:spPr/>
      <dgm:t>
        <a:bodyPr/>
        <a:lstStyle/>
        <a:p>
          <a:endParaRPr lang="cs-CZ"/>
        </a:p>
      </dgm:t>
    </dgm:pt>
    <dgm:pt modelId="{130AA6CF-5BC4-4F6B-ABF4-A0C47384B70F}" type="pres">
      <dgm:prSet presAssocID="{2FA1C4FF-37A5-45E3-AEDB-2508D437E2B2}" presName="hierChild3" presStyleCnt="0"/>
      <dgm:spPr/>
      <dgm:t>
        <a:bodyPr/>
        <a:lstStyle/>
        <a:p>
          <a:endParaRPr lang="cs-CZ"/>
        </a:p>
      </dgm:t>
    </dgm:pt>
    <dgm:pt modelId="{A28F204F-C243-40E9-99B0-52642B33900E}" type="pres">
      <dgm:prSet presAssocID="{19F2151C-E2D2-4B3C-B562-453B047925D0}" presName="Name19" presStyleLbl="parChTrans1D2" presStyleIdx="2" presStyleCnt="4"/>
      <dgm:spPr/>
      <dgm:t>
        <a:bodyPr/>
        <a:lstStyle/>
        <a:p>
          <a:endParaRPr lang="cs-CZ"/>
        </a:p>
      </dgm:t>
    </dgm:pt>
    <dgm:pt modelId="{3A140628-5A17-4CF5-8201-56073FD868BD}" type="pres">
      <dgm:prSet presAssocID="{F43B08A4-510E-48AC-A560-9DFE20C9222B}" presName="Name21" presStyleCnt="0"/>
      <dgm:spPr/>
      <dgm:t>
        <a:bodyPr/>
        <a:lstStyle/>
        <a:p>
          <a:endParaRPr lang="cs-CZ"/>
        </a:p>
      </dgm:t>
    </dgm:pt>
    <dgm:pt modelId="{716E4416-0E30-45C6-9CE1-7BA8569D53FB}" type="pres">
      <dgm:prSet presAssocID="{F43B08A4-510E-48AC-A560-9DFE20C9222B}" presName="level2Shape" presStyleLbl="node2" presStyleIdx="2" presStyleCnt="4"/>
      <dgm:spPr/>
      <dgm:t>
        <a:bodyPr/>
        <a:lstStyle/>
        <a:p>
          <a:endParaRPr lang="cs-CZ"/>
        </a:p>
      </dgm:t>
    </dgm:pt>
    <dgm:pt modelId="{8EA3137C-8261-45DC-95EE-0E0DB4F72AEF}" type="pres">
      <dgm:prSet presAssocID="{F43B08A4-510E-48AC-A560-9DFE20C9222B}" presName="hierChild3" presStyleCnt="0"/>
      <dgm:spPr/>
      <dgm:t>
        <a:bodyPr/>
        <a:lstStyle/>
        <a:p>
          <a:endParaRPr lang="cs-CZ"/>
        </a:p>
      </dgm:t>
    </dgm:pt>
    <dgm:pt modelId="{6F5B0077-205E-463B-AA00-FE3CC3042710}" type="pres">
      <dgm:prSet presAssocID="{D837DFBE-3A26-44C1-BDCC-8628BFE284E6}" presName="Name19" presStyleLbl="parChTrans1D2" presStyleIdx="3" presStyleCnt="4"/>
      <dgm:spPr/>
      <dgm:t>
        <a:bodyPr/>
        <a:lstStyle/>
        <a:p>
          <a:endParaRPr lang="cs-CZ"/>
        </a:p>
      </dgm:t>
    </dgm:pt>
    <dgm:pt modelId="{CBAAFFED-B4E4-4A9B-903D-B055682D8C59}" type="pres">
      <dgm:prSet presAssocID="{4115B63D-3998-43B5-B6D7-EB5292D92605}" presName="Name21" presStyleCnt="0"/>
      <dgm:spPr/>
      <dgm:t>
        <a:bodyPr/>
        <a:lstStyle/>
        <a:p>
          <a:endParaRPr lang="cs-CZ"/>
        </a:p>
      </dgm:t>
    </dgm:pt>
    <dgm:pt modelId="{F8E8AACA-10D3-4766-9AF6-7D92C4065B22}" type="pres">
      <dgm:prSet presAssocID="{4115B63D-3998-43B5-B6D7-EB5292D92605}" presName="level2Shape" presStyleLbl="node2" presStyleIdx="3" presStyleCnt="4"/>
      <dgm:spPr/>
      <dgm:t>
        <a:bodyPr/>
        <a:lstStyle/>
        <a:p>
          <a:endParaRPr lang="cs-CZ"/>
        </a:p>
      </dgm:t>
    </dgm:pt>
    <dgm:pt modelId="{17E4BB29-D9CB-43F5-B90D-67FD67F570B1}" type="pres">
      <dgm:prSet presAssocID="{4115B63D-3998-43B5-B6D7-EB5292D92605}" presName="hierChild3" presStyleCnt="0"/>
      <dgm:spPr/>
      <dgm:t>
        <a:bodyPr/>
        <a:lstStyle/>
        <a:p>
          <a:endParaRPr lang="cs-CZ"/>
        </a:p>
      </dgm:t>
    </dgm:pt>
    <dgm:pt modelId="{164537E5-475E-43BE-98FE-F221A702281E}" type="pres">
      <dgm:prSet presAssocID="{48A39D2B-9FE4-4E50-BA03-87B5EB73491A}" presName="bgShapesFlow" presStyleCnt="0"/>
      <dgm:spPr/>
      <dgm:t>
        <a:bodyPr/>
        <a:lstStyle/>
        <a:p>
          <a:endParaRPr lang="cs-CZ"/>
        </a:p>
      </dgm:t>
    </dgm:pt>
  </dgm:ptLst>
  <dgm:cxnLst>
    <dgm:cxn modelId="{1A811B37-25E3-4A7E-9733-5FC7C926DFA2}" type="presOf" srcId="{19F2151C-E2D2-4B3C-B562-453B047925D0}" destId="{A28F204F-C243-40E9-99B0-52642B33900E}" srcOrd="0" destOrd="0" presId="urn:microsoft.com/office/officeart/2005/8/layout/hierarchy6"/>
    <dgm:cxn modelId="{B042BF49-704D-49AB-9A9D-D7FBA7763045}" type="presOf" srcId="{2FA1C4FF-37A5-45E3-AEDB-2508D437E2B2}" destId="{A5A294A9-4F69-4A5C-AFBB-93915A518A29}" srcOrd="0" destOrd="0" presId="urn:microsoft.com/office/officeart/2005/8/layout/hierarchy6"/>
    <dgm:cxn modelId="{FA2A8C69-251F-4EEF-AFF7-7187C3CBE3E7}" type="presOf" srcId="{F43B08A4-510E-48AC-A560-9DFE20C9222B}" destId="{716E4416-0E30-45C6-9CE1-7BA8569D53FB}" srcOrd="0" destOrd="0" presId="urn:microsoft.com/office/officeart/2005/8/layout/hierarchy6"/>
    <dgm:cxn modelId="{FB9C42F1-035D-4CC2-913D-A110DBF51B7C}" srcId="{7228E5CD-B131-4F6B-AE80-44C1B5E54592}" destId="{F43B08A4-510E-48AC-A560-9DFE20C9222B}" srcOrd="2" destOrd="0" parTransId="{19F2151C-E2D2-4B3C-B562-453B047925D0}" sibTransId="{4E783BD7-822A-420A-80FC-B5224F88316B}"/>
    <dgm:cxn modelId="{BACA313F-2AC6-40C1-BD86-3FEA8796E439}" type="presOf" srcId="{7228E5CD-B131-4F6B-AE80-44C1B5E54592}" destId="{99183D53-8A15-4939-BA2C-8DFB720D3E84}" srcOrd="0" destOrd="0" presId="urn:microsoft.com/office/officeart/2005/8/layout/hierarchy6"/>
    <dgm:cxn modelId="{93E626DE-FC0A-4AC8-98B0-787261EB6B46}" type="presOf" srcId="{A1785740-CCA2-4CAB-9A7A-5FCCF1579485}" destId="{CBFFFD3F-8899-4835-8F3E-B224E3B4563A}" srcOrd="0" destOrd="0" presId="urn:microsoft.com/office/officeart/2005/8/layout/hierarchy6"/>
    <dgm:cxn modelId="{6A20565F-ECE6-48F3-A593-31A31140D943}" srcId="{7228E5CD-B131-4F6B-AE80-44C1B5E54592}" destId="{2FA1C4FF-37A5-45E3-AEDB-2508D437E2B2}" srcOrd="1" destOrd="0" parTransId="{A1785740-CCA2-4CAB-9A7A-5FCCF1579485}" sibTransId="{30425999-254C-4F1D-9F3E-1C4148F8D989}"/>
    <dgm:cxn modelId="{9F20CF20-95BF-4AF3-A02D-2CB854272A95}" srcId="{7228E5CD-B131-4F6B-AE80-44C1B5E54592}" destId="{9850A994-8E16-4D03-B370-C58E90144D5D}" srcOrd="0" destOrd="0" parTransId="{C835E744-FB74-4E81-886F-6501EF2ED3D0}" sibTransId="{DE5B191F-2A1E-471B-B059-969436331EDB}"/>
    <dgm:cxn modelId="{9CAFAB8D-03B3-4610-A6CA-4966EACBC0C6}" type="presOf" srcId="{9850A994-8E16-4D03-B370-C58E90144D5D}" destId="{57857727-DF6B-4D93-B5D8-56C121241FC9}" srcOrd="0" destOrd="0" presId="urn:microsoft.com/office/officeart/2005/8/layout/hierarchy6"/>
    <dgm:cxn modelId="{EB4EDF6B-146E-4D86-80AE-F2244FB6306B}" srcId="{7228E5CD-B131-4F6B-AE80-44C1B5E54592}" destId="{4115B63D-3998-43B5-B6D7-EB5292D92605}" srcOrd="3" destOrd="0" parTransId="{D837DFBE-3A26-44C1-BDCC-8628BFE284E6}" sibTransId="{B83744C9-B048-4F78-8271-D9748C811DA2}"/>
    <dgm:cxn modelId="{A31D59BF-6462-47A7-9D04-FF3FF5DE3EFD}" type="presOf" srcId="{48A39D2B-9FE4-4E50-BA03-87B5EB73491A}" destId="{73B742D3-3F1D-43B0-9773-C0AB9EC798C3}" srcOrd="0" destOrd="0" presId="urn:microsoft.com/office/officeart/2005/8/layout/hierarchy6"/>
    <dgm:cxn modelId="{77146621-6AA6-414F-9EB1-F96A0F7E6C06}" srcId="{48A39D2B-9FE4-4E50-BA03-87B5EB73491A}" destId="{7228E5CD-B131-4F6B-AE80-44C1B5E54592}" srcOrd="0" destOrd="0" parTransId="{5CE8A9BE-D8D4-4559-AED2-1F1202A18A6C}" sibTransId="{8FD5144C-4688-4D4C-89D6-B545A692FFB9}"/>
    <dgm:cxn modelId="{B5973AB7-D561-4188-9CE4-1D8196BB8797}" type="presOf" srcId="{D837DFBE-3A26-44C1-BDCC-8628BFE284E6}" destId="{6F5B0077-205E-463B-AA00-FE3CC3042710}" srcOrd="0" destOrd="0" presId="urn:microsoft.com/office/officeart/2005/8/layout/hierarchy6"/>
    <dgm:cxn modelId="{CDBD66E1-7B11-4697-A0B7-412096C732B9}" type="presOf" srcId="{C835E744-FB74-4E81-886F-6501EF2ED3D0}" destId="{757C4BB5-6F1B-4B3D-97AB-37028F24F03C}" srcOrd="0" destOrd="0" presId="urn:microsoft.com/office/officeart/2005/8/layout/hierarchy6"/>
    <dgm:cxn modelId="{7C10943D-1066-4C1E-8761-52F65CF4744E}" type="presOf" srcId="{4115B63D-3998-43B5-B6D7-EB5292D92605}" destId="{F8E8AACA-10D3-4766-9AF6-7D92C4065B22}" srcOrd="0" destOrd="0" presId="urn:microsoft.com/office/officeart/2005/8/layout/hierarchy6"/>
    <dgm:cxn modelId="{4894A413-ABEA-436E-B5C0-62ADF30DE96F}" type="presParOf" srcId="{73B742D3-3F1D-43B0-9773-C0AB9EC798C3}" destId="{3ABFDCCC-65D9-4EAC-81E0-0805D3F5D581}" srcOrd="0" destOrd="0" presId="urn:microsoft.com/office/officeart/2005/8/layout/hierarchy6"/>
    <dgm:cxn modelId="{403ED706-9762-46B7-A71C-3FC92BAF5E7B}" type="presParOf" srcId="{3ABFDCCC-65D9-4EAC-81E0-0805D3F5D581}" destId="{5460FC2A-8767-41ED-9489-EB2844451EE1}" srcOrd="0" destOrd="0" presId="urn:microsoft.com/office/officeart/2005/8/layout/hierarchy6"/>
    <dgm:cxn modelId="{07B38056-9457-4061-AF2F-0A001FFA2179}" type="presParOf" srcId="{5460FC2A-8767-41ED-9489-EB2844451EE1}" destId="{96494482-D203-41D2-A674-0CAD1D433E8B}" srcOrd="0" destOrd="0" presId="urn:microsoft.com/office/officeart/2005/8/layout/hierarchy6"/>
    <dgm:cxn modelId="{7C892D9C-A029-46C9-9C79-E921050FA8B9}" type="presParOf" srcId="{96494482-D203-41D2-A674-0CAD1D433E8B}" destId="{99183D53-8A15-4939-BA2C-8DFB720D3E84}" srcOrd="0" destOrd="0" presId="urn:microsoft.com/office/officeart/2005/8/layout/hierarchy6"/>
    <dgm:cxn modelId="{90D19656-8419-4966-8DD4-2D59ADB4357D}" type="presParOf" srcId="{96494482-D203-41D2-A674-0CAD1D433E8B}" destId="{FECB5A8A-FCF4-4AF6-80D4-509E26D42013}" srcOrd="1" destOrd="0" presId="urn:microsoft.com/office/officeart/2005/8/layout/hierarchy6"/>
    <dgm:cxn modelId="{D2F0770D-231C-499E-9F4B-87EF78E88924}" type="presParOf" srcId="{FECB5A8A-FCF4-4AF6-80D4-509E26D42013}" destId="{757C4BB5-6F1B-4B3D-97AB-37028F24F03C}" srcOrd="0" destOrd="0" presId="urn:microsoft.com/office/officeart/2005/8/layout/hierarchy6"/>
    <dgm:cxn modelId="{5A3CB4C4-4DB5-4158-B040-EF187C4432B9}" type="presParOf" srcId="{FECB5A8A-FCF4-4AF6-80D4-509E26D42013}" destId="{271CD649-4A08-4BE0-A0E9-8FD0E2EB43E0}" srcOrd="1" destOrd="0" presId="urn:microsoft.com/office/officeart/2005/8/layout/hierarchy6"/>
    <dgm:cxn modelId="{E0097282-A6B1-48A0-8CDA-E98BFDF4F7A2}" type="presParOf" srcId="{271CD649-4A08-4BE0-A0E9-8FD0E2EB43E0}" destId="{57857727-DF6B-4D93-B5D8-56C121241FC9}" srcOrd="0" destOrd="0" presId="urn:microsoft.com/office/officeart/2005/8/layout/hierarchy6"/>
    <dgm:cxn modelId="{7BBB874B-E2BB-4C05-BA24-74129752D107}" type="presParOf" srcId="{271CD649-4A08-4BE0-A0E9-8FD0E2EB43E0}" destId="{EB0A9FF6-DA71-45A9-9F21-E672AB295BBE}" srcOrd="1" destOrd="0" presId="urn:microsoft.com/office/officeart/2005/8/layout/hierarchy6"/>
    <dgm:cxn modelId="{186F4FCB-0810-4933-B9DB-B64EECDEB5A2}" type="presParOf" srcId="{FECB5A8A-FCF4-4AF6-80D4-509E26D42013}" destId="{CBFFFD3F-8899-4835-8F3E-B224E3B4563A}" srcOrd="2" destOrd="0" presId="urn:microsoft.com/office/officeart/2005/8/layout/hierarchy6"/>
    <dgm:cxn modelId="{8531427C-7315-4AE7-BF5E-1E6C77531730}" type="presParOf" srcId="{FECB5A8A-FCF4-4AF6-80D4-509E26D42013}" destId="{01CA672E-ECF2-41F5-ABB4-5F300587EF2A}" srcOrd="3" destOrd="0" presId="urn:microsoft.com/office/officeart/2005/8/layout/hierarchy6"/>
    <dgm:cxn modelId="{2E2F0F0A-B43D-4D09-8875-4921A6C45095}" type="presParOf" srcId="{01CA672E-ECF2-41F5-ABB4-5F300587EF2A}" destId="{A5A294A9-4F69-4A5C-AFBB-93915A518A29}" srcOrd="0" destOrd="0" presId="urn:microsoft.com/office/officeart/2005/8/layout/hierarchy6"/>
    <dgm:cxn modelId="{99F57413-2147-4FF0-B65D-2146DD6ACD80}" type="presParOf" srcId="{01CA672E-ECF2-41F5-ABB4-5F300587EF2A}" destId="{130AA6CF-5BC4-4F6B-ABF4-A0C47384B70F}" srcOrd="1" destOrd="0" presId="urn:microsoft.com/office/officeart/2005/8/layout/hierarchy6"/>
    <dgm:cxn modelId="{2CB14ABD-1ABD-431F-A164-035A400127EF}" type="presParOf" srcId="{FECB5A8A-FCF4-4AF6-80D4-509E26D42013}" destId="{A28F204F-C243-40E9-99B0-52642B33900E}" srcOrd="4" destOrd="0" presId="urn:microsoft.com/office/officeart/2005/8/layout/hierarchy6"/>
    <dgm:cxn modelId="{0820CCD9-3991-4273-A8B1-DF831E475A65}" type="presParOf" srcId="{FECB5A8A-FCF4-4AF6-80D4-509E26D42013}" destId="{3A140628-5A17-4CF5-8201-56073FD868BD}" srcOrd="5" destOrd="0" presId="urn:microsoft.com/office/officeart/2005/8/layout/hierarchy6"/>
    <dgm:cxn modelId="{9EBB5227-3A8B-44E8-9CE9-23171BBD357E}" type="presParOf" srcId="{3A140628-5A17-4CF5-8201-56073FD868BD}" destId="{716E4416-0E30-45C6-9CE1-7BA8569D53FB}" srcOrd="0" destOrd="0" presId="urn:microsoft.com/office/officeart/2005/8/layout/hierarchy6"/>
    <dgm:cxn modelId="{265490C7-8343-4ED7-838F-156503908EDE}" type="presParOf" srcId="{3A140628-5A17-4CF5-8201-56073FD868BD}" destId="{8EA3137C-8261-45DC-95EE-0E0DB4F72AEF}" srcOrd="1" destOrd="0" presId="urn:microsoft.com/office/officeart/2005/8/layout/hierarchy6"/>
    <dgm:cxn modelId="{3F534D9C-6EF3-40BE-9601-C1A5542A8376}" type="presParOf" srcId="{FECB5A8A-FCF4-4AF6-80D4-509E26D42013}" destId="{6F5B0077-205E-463B-AA00-FE3CC3042710}" srcOrd="6" destOrd="0" presId="urn:microsoft.com/office/officeart/2005/8/layout/hierarchy6"/>
    <dgm:cxn modelId="{C3D6574D-0F8A-47FB-87E3-CAEAE0B26A15}" type="presParOf" srcId="{FECB5A8A-FCF4-4AF6-80D4-509E26D42013}" destId="{CBAAFFED-B4E4-4A9B-903D-B055682D8C59}" srcOrd="7" destOrd="0" presId="urn:microsoft.com/office/officeart/2005/8/layout/hierarchy6"/>
    <dgm:cxn modelId="{0C1D9ADA-CA81-4578-B2E4-5D7B68C45F3E}" type="presParOf" srcId="{CBAAFFED-B4E4-4A9B-903D-B055682D8C59}" destId="{F8E8AACA-10D3-4766-9AF6-7D92C4065B22}" srcOrd="0" destOrd="0" presId="urn:microsoft.com/office/officeart/2005/8/layout/hierarchy6"/>
    <dgm:cxn modelId="{42A69753-E93E-4DE3-8893-E721327AC591}" type="presParOf" srcId="{CBAAFFED-B4E4-4A9B-903D-B055682D8C59}" destId="{17E4BB29-D9CB-43F5-B90D-67FD67F570B1}" srcOrd="1" destOrd="0" presId="urn:microsoft.com/office/officeart/2005/8/layout/hierarchy6"/>
    <dgm:cxn modelId="{5E9D0DAE-3C28-4C21-AD24-D274A9785394}" type="presParOf" srcId="{73B742D3-3F1D-43B0-9773-C0AB9EC798C3}" destId="{164537E5-475E-43BE-98FE-F221A702281E}" srcOrd="1" destOrd="0" presId="urn:microsoft.com/office/officeart/2005/8/layout/hierarchy6"/>
  </dgm:cxnLst>
  <dgm:bg/>
  <dgm:whole/>
  <dgm:extLst>
    <a:ext uri="http://schemas.microsoft.com/office/drawing/2008/diagram">
      <dsp:dataModelExt xmlns:dsp="http://schemas.microsoft.com/office/drawing/2008/diagram" relId="rId5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AB232B9-2505-4570-9F90-B2DBD4CA89E9}">
      <dsp:nvSpPr>
        <dsp:cNvPr id="0" name=""/>
        <dsp:cNvSpPr/>
      </dsp:nvSpPr>
      <dsp:spPr>
        <a:xfrm>
          <a:off x="470293" y="353509"/>
          <a:ext cx="1861821" cy="2160005"/>
        </a:xfrm>
        <a:prstGeom prst="rightArrow">
          <a:avLst>
            <a:gd name="adj1" fmla="val 70000"/>
            <a:gd name="adj2" fmla="val 50000"/>
          </a:avLst>
        </a:prstGeom>
        <a:solidFill>
          <a:schemeClr val="accent5">
            <a:tint val="40000"/>
            <a:alpha val="90000"/>
            <a:hueOff val="0"/>
            <a:satOff val="0"/>
            <a:lumOff val="0"/>
            <a:alphaOff val="0"/>
          </a:schemeClr>
        </a:solidFill>
        <a:ln w="25400" cap="flat" cmpd="sng" algn="ctr">
          <a:solidFill>
            <a:schemeClr val="accent5">
              <a:tint val="40000"/>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297528D-7574-4C82-A241-DFECC8ECBCF1}">
      <dsp:nvSpPr>
        <dsp:cNvPr id="0" name=""/>
        <dsp:cNvSpPr/>
      </dsp:nvSpPr>
      <dsp:spPr>
        <a:xfrm>
          <a:off x="0" y="968057"/>
          <a:ext cx="930910" cy="930910"/>
        </a:xfrm>
        <a:prstGeom prst="ellipse">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cs-CZ" sz="1300" b="1" kern="1200">
              <a:latin typeface="Arial" panose="020B0604020202020204" pitchFamily="34" charset="0"/>
              <a:cs typeface="Arial" panose="020B0604020202020204" pitchFamily="34" charset="0"/>
            </a:rPr>
            <a:t>OPPP</a:t>
          </a:r>
        </a:p>
        <a:p>
          <a:pPr lvl="0" algn="ctr" defTabSz="577850">
            <a:lnSpc>
              <a:spcPct val="90000"/>
            </a:lnSpc>
            <a:spcBef>
              <a:spcPct val="0"/>
            </a:spcBef>
            <a:spcAft>
              <a:spcPct val="35000"/>
            </a:spcAft>
          </a:pPr>
          <a:r>
            <a:rPr lang="cs-CZ" sz="900" b="1" kern="1200">
              <a:latin typeface="Arial" panose="020B0604020202020204" pitchFamily="34" charset="0"/>
              <a:cs typeface="Arial" panose="020B0604020202020204" pitchFamily="34" charset="0"/>
            </a:rPr>
            <a:t>2004–2006</a:t>
          </a:r>
        </a:p>
      </dsp:txBody>
      <dsp:txXfrm>
        <a:off x="136329" y="1104386"/>
        <a:ext cx="658252" cy="658252"/>
      </dsp:txXfrm>
    </dsp:sp>
    <dsp:sp modelId="{9AA7279E-96B1-4E15-B909-C91ED8EA905E}">
      <dsp:nvSpPr>
        <dsp:cNvPr id="0" name=""/>
        <dsp:cNvSpPr/>
      </dsp:nvSpPr>
      <dsp:spPr>
        <a:xfrm>
          <a:off x="2913934" y="353509"/>
          <a:ext cx="1861821" cy="2160005"/>
        </a:xfrm>
        <a:prstGeom prst="rightArrow">
          <a:avLst>
            <a:gd name="adj1" fmla="val 70000"/>
            <a:gd name="adj2" fmla="val 50000"/>
          </a:avLst>
        </a:prstGeom>
        <a:solidFill>
          <a:schemeClr val="accent5">
            <a:tint val="40000"/>
            <a:alpha val="90000"/>
            <a:hueOff val="-3580161"/>
            <a:satOff val="16084"/>
            <a:lumOff val="1106"/>
            <a:alphaOff val="0"/>
          </a:schemeClr>
        </a:solidFill>
        <a:ln w="25400" cap="flat" cmpd="sng" algn="ctr">
          <a:solidFill>
            <a:schemeClr val="accent5">
              <a:tint val="40000"/>
              <a:alpha val="90000"/>
              <a:hueOff val="-3580161"/>
              <a:satOff val="16084"/>
              <a:lumOff val="1106"/>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65100" tIns="41275" rIns="82550" bIns="41275" numCol="1" spcCol="1270" anchor="ctr" anchorCtr="0">
          <a:noAutofit/>
        </a:bodyPr>
        <a:lstStyle/>
        <a:p>
          <a:pPr lvl="0" algn="ctr" defTabSz="2889250">
            <a:lnSpc>
              <a:spcPct val="90000"/>
            </a:lnSpc>
            <a:spcBef>
              <a:spcPct val="0"/>
            </a:spcBef>
            <a:spcAft>
              <a:spcPct val="35000"/>
            </a:spcAft>
          </a:pPr>
          <a:endParaRPr lang="cs-CZ" sz="6500" kern="1200">
            <a:latin typeface="Arial" panose="020B0604020202020204" pitchFamily="34" charset="0"/>
            <a:cs typeface="Arial" panose="020B0604020202020204" pitchFamily="34" charset="0"/>
          </a:endParaRPr>
        </a:p>
      </dsp:txBody>
      <dsp:txXfrm>
        <a:off x="3379389" y="677510"/>
        <a:ext cx="907637" cy="1512003"/>
      </dsp:txXfrm>
    </dsp:sp>
    <dsp:sp modelId="{EB9FB27D-CD59-46D6-B15A-7AC345CCF8F1}">
      <dsp:nvSpPr>
        <dsp:cNvPr id="0" name=""/>
        <dsp:cNvSpPr/>
      </dsp:nvSpPr>
      <dsp:spPr>
        <a:xfrm>
          <a:off x="2448479" y="968057"/>
          <a:ext cx="930910" cy="930910"/>
        </a:xfrm>
        <a:prstGeom prst="ellipse">
          <a:avLst/>
        </a:prstGeom>
        <a:solidFill>
          <a:schemeClr val="accent5">
            <a:hueOff val="-3311292"/>
            <a:satOff val="13270"/>
            <a:lumOff val="287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cs-CZ" sz="1300" b="1" kern="1200">
              <a:latin typeface="Arial" panose="020B0604020202020204" pitchFamily="34" charset="0"/>
              <a:cs typeface="Arial" panose="020B0604020202020204" pitchFamily="34" charset="0"/>
            </a:rPr>
            <a:t>OPPI</a:t>
          </a:r>
        </a:p>
        <a:p>
          <a:pPr lvl="0" algn="ctr" defTabSz="577850">
            <a:lnSpc>
              <a:spcPct val="90000"/>
            </a:lnSpc>
            <a:spcBef>
              <a:spcPct val="0"/>
            </a:spcBef>
            <a:spcAft>
              <a:spcPct val="35000"/>
            </a:spcAft>
          </a:pPr>
          <a:r>
            <a:rPr lang="cs-CZ" sz="900" kern="1200">
              <a:latin typeface="Arial" panose="020B0604020202020204" pitchFamily="34" charset="0"/>
              <a:cs typeface="Arial" panose="020B0604020202020204" pitchFamily="34" charset="0"/>
            </a:rPr>
            <a:t>2007–2013</a:t>
          </a:r>
        </a:p>
      </dsp:txBody>
      <dsp:txXfrm>
        <a:off x="2584808" y="1104386"/>
        <a:ext cx="658252" cy="658252"/>
      </dsp:txXfrm>
    </dsp:sp>
    <dsp:sp modelId="{338588F2-5BCF-4861-8964-F58B19CBF692}">
      <dsp:nvSpPr>
        <dsp:cNvPr id="0" name=""/>
        <dsp:cNvSpPr/>
      </dsp:nvSpPr>
      <dsp:spPr>
        <a:xfrm>
          <a:off x="5357574" y="353509"/>
          <a:ext cx="1861821" cy="2160005"/>
        </a:xfrm>
        <a:prstGeom prst="rightArrow">
          <a:avLst>
            <a:gd name="adj1" fmla="val 70000"/>
            <a:gd name="adj2" fmla="val 50000"/>
          </a:avLst>
        </a:prstGeom>
        <a:solidFill>
          <a:schemeClr val="accent5">
            <a:tint val="40000"/>
            <a:alpha val="90000"/>
            <a:hueOff val="-7160321"/>
            <a:satOff val="32169"/>
            <a:lumOff val="2211"/>
            <a:alphaOff val="0"/>
          </a:schemeClr>
        </a:solidFill>
        <a:ln w="25400" cap="flat" cmpd="sng" algn="ctr">
          <a:solidFill>
            <a:schemeClr val="accent5">
              <a:tint val="40000"/>
              <a:alpha val="90000"/>
              <a:hueOff val="-7160321"/>
              <a:satOff val="32169"/>
              <a:lumOff val="2211"/>
              <a:alphaOff val="0"/>
            </a:schemeClr>
          </a:solidFill>
          <a:prstDash val="solid"/>
        </a:ln>
        <a:effectLst/>
      </dsp:spPr>
      <dsp:style>
        <a:lnRef idx="2">
          <a:scrgbClr r="0" g="0" b="0"/>
        </a:lnRef>
        <a:fillRef idx="1">
          <a:scrgbClr r="0" g="0" b="0"/>
        </a:fillRef>
        <a:effectRef idx="0">
          <a:scrgbClr r="0" g="0" b="0"/>
        </a:effectRef>
        <a:fontRef idx="minor"/>
      </dsp:style>
    </dsp:sp>
    <dsp:sp modelId="{8B406E03-BFF6-4B42-912B-8907B3831C9A}">
      <dsp:nvSpPr>
        <dsp:cNvPr id="0" name=""/>
        <dsp:cNvSpPr/>
      </dsp:nvSpPr>
      <dsp:spPr>
        <a:xfrm>
          <a:off x="4892119" y="968057"/>
          <a:ext cx="930910" cy="930910"/>
        </a:xfrm>
        <a:prstGeom prst="ellipse">
          <a:avLst/>
        </a:prstGeom>
        <a:solidFill>
          <a:schemeClr val="accent5">
            <a:hueOff val="-6622584"/>
            <a:satOff val="26541"/>
            <a:lumOff val="5752"/>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cs-CZ" sz="1300" b="1" kern="1200">
              <a:latin typeface="Arial" panose="020B0604020202020204" pitchFamily="34" charset="0"/>
              <a:cs typeface="Arial" panose="020B0604020202020204" pitchFamily="34" charset="0"/>
            </a:rPr>
            <a:t>OP PIK </a:t>
          </a:r>
          <a:r>
            <a:rPr lang="cs-CZ" sz="900" kern="1200">
              <a:latin typeface="Arial" panose="020B0604020202020204" pitchFamily="34" charset="0"/>
              <a:cs typeface="Arial" panose="020B0604020202020204" pitchFamily="34" charset="0"/>
            </a:rPr>
            <a:t>2014–2020</a:t>
          </a:r>
        </a:p>
      </dsp:txBody>
      <dsp:txXfrm>
        <a:off x="5028448" y="1104386"/>
        <a:ext cx="658252" cy="658252"/>
      </dsp:txXfrm>
    </dsp:sp>
    <dsp:sp modelId="{AAC896B4-884D-4A1A-9CF3-0622AD0FCDB1}">
      <dsp:nvSpPr>
        <dsp:cNvPr id="0" name=""/>
        <dsp:cNvSpPr/>
      </dsp:nvSpPr>
      <dsp:spPr>
        <a:xfrm>
          <a:off x="7801215" y="353509"/>
          <a:ext cx="1861821" cy="2160005"/>
        </a:xfrm>
        <a:prstGeom prst="rightArrow">
          <a:avLst>
            <a:gd name="adj1" fmla="val 70000"/>
            <a:gd name="adj2" fmla="val 50000"/>
          </a:avLst>
        </a:prstGeom>
        <a:solidFill>
          <a:schemeClr val="accent5">
            <a:tint val="40000"/>
            <a:alpha val="90000"/>
            <a:hueOff val="-10740482"/>
            <a:satOff val="48253"/>
            <a:lumOff val="3317"/>
            <a:alphaOff val="0"/>
          </a:schemeClr>
        </a:solidFill>
        <a:ln w="25400" cap="flat" cmpd="sng" algn="ctr">
          <a:solidFill>
            <a:schemeClr val="accent5">
              <a:tint val="40000"/>
              <a:alpha val="90000"/>
              <a:hueOff val="-10740482"/>
              <a:satOff val="48253"/>
              <a:lumOff val="3317"/>
              <a:alphaOff val="0"/>
            </a:schemeClr>
          </a:solidFill>
          <a:prstDash val="solid"/>
        </a:ln>
        <a:effectLst/>
      </dsp:spPr>
      <dsp:style>
        <a:lnRef idx="2">
          <a:scrgbClr r="0" g="0" b="0"/>
        </a:lnRef>
        <a:fillRef idx="1">
          <a:scrgbClr r="0" g="0" b="0"/>
        </a:fillRef>
        <a:effectRef idx="0">
          <a:scrgbClr r="0" g="0" b="0"/>
        </a:effectRef>
        <a:fontRef idx="minor"/>
      </dsp:style>
    </dsp:sp>
    <dsp:sp modelId="{40E7DF67-6525-4446-810D-6D5AB9A9A3AA}">
      <dsp:nvSpPr>
        <dsp:cNvPr id="0" name=""/>
        <dsp:cNvSpPr/>
      </dsp:nvSpPr>
      <dsp:spPr>
        <a:xfrm>
          <a:off x="7248370" y="968057"/>
          <a:ext cx="922876" cy="930910"/>
        </a:xfrm>
        <a:prstGeom prst="ellipse">
          <a:avLst/>
        </a:prstGeom>
        <a:solidFill>
          <a:schemeClr val="accent5">
            <a:hueOff val="-9933876"/>
            <a:satOff val="39811"/>
            <a:lumOff val="862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cs-CZ" sz="1300" b="1" kern="1200">
              <a:latin typeface="Arial" panose="020B0604020202020204" pitchFamily="34" charset="0"/>
              <a:cs typeface="Arial" panose="020B0604020202020204" pitchFamily="34" charset="0"/>
            </a:rPr>
            <a:t>OP TAK</a:t>
          </a:r>
        </a:p>
        <a:p>
          <a:pPr lvl="0" algn="ctr" defTabSz="577850">
            <a:lnSpc>
              <a:spcPct val="90000"/>
            </a:lnSpc>
            <a:spcBef>
              <a:spcPct val="0"/>
            </a:spcBef>
            <a:spcAft>
              <a:spcPct val="35000"/>
            </a:spcAft>
          </a:pPr>
          <a:r>
            <a:rPr lang="cs-CZ" sz="900" kern="1200">
              <a:latin typeface="Arial" panose="020B0604020202020204" pitchFamily="34" charset="0"/>
              <a:cs typeface="Arial" panose="020B0604020202020204" pitchFamily="34" charset="0"/>
            </a:rPr>
            <a:t>2021+</a:t>
          </a:r>
        </a:p>
      </dsp:txBody>
      <dsp:txXfrm>
        <a:off x="7383522" y="1104386"/>
        <a:ext cx="652572" cy="6582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A1945DC-DD20-4EA0-A809-AF54B3AF9C07}">
      <dsp:nvSpPr>
        <dsp:cNvPr id="0" name=""/>
        <dsp:cNvSpPr/>
      </dsp:nvSpPr>
      <dsp:spPr>
        <a:xfrm>
          <a:off x="290054" y="-40164"/>
          <a:ext cx="2848686" cy="2690178"/>
        </a:xfrm>
        <a:prstGeom prst="rightArrow">
          <a:avLst>
            <a:gd name="adj1" fmla="val 70000"/>
            <a:gd name="adj2" fmla="val 50000"/>
          </a:avLst>
        </a:prstGeom>
        <a:solidFill>
          <a:schemeClr val="accent5">
            <a:tint val="40000"/>
            <a:alpha val="90000"/>
            <a:hueOff val="0"/>
            <a:satOff val="0"/>
            <a:lumOff val="0"/>
            <a:alphaOff val="0"/>
          </a:schemeClr>
        </a:solidFill>
        <a:ln w="25400" cap="flat" cmpd="sng" algn="ctr">
          <a:solidFill>
            <a:schemeClr val="accent5">
              <a:tint val="40000"/>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320" tIns="5080" rIns="10160" bIns="5080" numCol="1" spcCol="1270" anchor="ctr" anchorCtr="0">
          <a:noAutofit/>
        </a:bodyPr>
        <a:lstStyle/>
        <a:p>
          <a:pPr lvl="0" algn="r" defTabSz="355600">
            <a:lnSpc>
              <a:spcPct val="90000"/>
            </a:lnSpc>
            <a:spcBef>
              <a:spcPct val="0"/>
            </a:spcBef>
            <a:spcAft>
              <a:spcPct val="35000"/>
            </a:spcAft>
          </a:pPr>
          <a:endParaRPr lang="cs-CZ" sz="800" kern="1200"/>
        </a:p>
      </dsp:txBody>
      <dsp:txXfrm>
        <a:off x="1002225" y="363363"/>
        <a:ext cx="1388734" cy="1883124"/>
      </dsp:txXfrm>
    </dsp:sp>
    <dsp:sp modelId="{D4C7A53D-5142-4A22-854A-900C17F8D65B}">
      <dsp:nvSpPr>
        <dsp:cNvPr id="0" name=""/>
        <dsp:cNvSpPr/>
      </dsp:nvSpPr>
      <dsp:spPr>
        <a:xfrm>
          <a:off x="42" y="733473"/>
          <a:ext cx="1142903" cy="1142903"/>
        </a:xfrm>
        <a:prstGeom prst="ellipse">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cs-CZ" sz="1400" b="1" kern="1200">
              <a:latin typeface="Arial" panose="020B0604020202020204" pitchFamily="34" charset="0"/>
              <a:cs typeface="Arial" panose="020B0604020202020204" pitchFamily="34" charset="0"/>
            </a:rPr>
            <a:t>OP VaVpI a OP VK</a:t>
          </a:r>
        </a:p>
        <a:p>
          <a:pPr lvl="0" algn="ctr" defTabSz="622300">
            <a:lnSpc>
              <a:spcPct val="90000"/>
            </a:lnSpc>
            <a:spcBef>
              <a:spcPct val="0"/>
            </a:spcBef>
            <a:spcAft>
              <a:spcPct val="35000"/>
            </a:spcAft>
          </a:pPr>
          <a:r>
            <a:rPr lang="cs-CZ" sz="900" b="1" kern="1200">
              <a:latin typeface="Arial" panose="020B0604020202020204" pitchFamily="34" charset="0"/>
              <a:cs typeface="Arial" panose="020B0604020202020204" pitchFamily="34" charset="0"/>
            </a:rPr>
            <a:t>2007–2013</a:t>
          </a:r>
          <a:endParaRPr lang="cs-CZ" sz="900" b="1" kern="1200"/>
        </a:p>
      </dsp:txBody>
      <dsp:txXfrm>
        <a:off x="167416" y="900847"/>
        <a:ext cx="808155" cy="808155"/>
      </dsp:txXfrm>
    </dsp:sp>
    <dsp:sp modelId="{5B73FEE4-FE99-4456-9446-07ED997F8B66}">
      <dsp:nvSpPr>
        <dsp:cNvPr id="0" name=""/>
        <dsp:cNvSpPr/>
      </dsp:nvSpPr>
      <dsp:spPr>
        <a:xfrm>
          <a:off x="3518515" y="-40164"/>
          <a:ext cx="2954884" cy="2690178"/>
        </a:xfrm>
        <a:prstGeom prst="rightArrow">
          <a:avLst>
            <a:gd name="adj1" fmla="val 70000"/>
            <a:gd name="adj2" fmla="val 50000"/>
          </a:avLst>
        </a:prstGeom>
        <a:solidFill>
          <a:schemeClr val="accent5">
            <a:tint val="40000"/>
            <a:alpha val="90000"/>
            <a:hueOff val="-5370241"/>
            <a:satOff val="24126"/>
            <a:lumOff val="1658"/>
            <a:alphaOff val="0"/>
          </a:schemeClr>
        </a:solidFill>
        <a:ln w="25400" cap="flat" cmpd="sng" algn="ctr">
          <a:solidFill>
            <a:schemeClr val="accent5">
              <a:tint val="40000"/>
              <a:alpha val="90000"/>
              <a:hueOff val="-5370241"/>
              <a:satOff val="24126"/>
              <a:lumOff val="1658"/>
              <a:alphaOff val="0"/>
            </a:schemeClr>
          </a:solidFill>
          <a:prstDash val="solid"/>
        </a:ln>
        <a:effectLst/>
      </dsp:spPr>
      <dsp:style>
        <a:lnRef idx="2">
          <a:scrgbClr r="0" g="0" b="0"/>
        </a:lnRef>
        <a:fillRef idx="1">
          <a:scrgbClr r="0" g="0" b="0"/>
        </a:fillRef>
        <a:effectRef idx="0">
          <a:scrgbClr r="0" g="0" b="0"/>
        </a:effectRef>
        <a:fontRef idx="minor"/>
      </dsp:style>
    </dsp:sp>
    <dsp:sp modelId="{798E1A1B-949B-4EB2-A5FE-26668340B573}">
      <dsp:nvSpPr>
        <dsp:cNvPr id="0" name=""/>
        <dsp:cNvSpPr/>
      </dsp:nvSpPr>
      <dsp:spPr>
        <a:xfrm>
          <a:off x="3281603" y="733473"/>
          <a:ext cx="1142903" cy="1142903"/>
        </a:xfrm>
        <a:prstGeom prst="ellipse">
          <a:avLst/>
        </a:prstGeom>
        <a:solidFill>
          <a:schemeClr val="accent5">
            <a:hueOff val="-4966938"/>
            <a:satOff val="19906"/>
            <a:lumOff val="4314"/>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cs-CZ" sz="1400" b="1" kern="1200">
              <a:latin typeface="Arial" panose="020B0604020202020204" pitchFamily="34" charset="0"/>
              <a:cs typeface="Arial" panose="020B0604020202020204" pitchFamily="34" charset="0"/>
            </a:rPr>
            <a:t>OP VVV</a:t>
          </a:r>
          <a:r>
            <a:rPr lang="cs-CZ" sz="1400" kern="1200">
              <a:latin typeface="Arial" panose="020B0604020202020204" pitchFamily="34" charset="0"/>
              <a:cs typeface="Arial" panose="020B0604020202020204" pitchFamily="34" charset="0"/>
            </a:rPr>
            <a:t/>
          </a:r>
          <a:br>
            <a:rPr lang="cs-CZ" sz="1400" kern="1200">
              <a:latin typeface="Arial" panose="020B0604020202020204" pitchFamily="34" charset="0"/>
              <a:cs typeface="Arial" panose="020B0604020202020204" pitchFamily="34" charset="0"/>
            </a:rPr>
          </a:br>
          <a:r>
            <a:rPr lang="cs-CZ" sz="900" b="1" kern="1200">
              <a:latin typeface="Arial" panose="020B0604020202020204" pitchFamily="34" charset="0"/>
              <a:cs typeface="Arial" panose="020B0604020202020204" pitchFamily="34" charset="0"/>
            </a:rPr>
            <a:t>2014–2020</a:t>
          </a:r>
          <a:endParaRPr lang="cs-CZ" sz="900" b="1" kern="1200"/>
        </a:p>
      </dsp:txBody>
      <dsp:txXfrm>
        <a:off x="3448977" y="900847"/>
        <a:ext cx="808155" cy="808155"/>
      </dsp:txXfrm>
    </dsp:sp>
    <dsp:sp modelId="{43D8D95C-D64A-4335-8827-59AAFA85A191}">
      <dsp:nvSpPr>
        <dsp:cNvPr id="0" name=""/>
        <dsp:cNvSpPr/>
      </dsp:nvSpPr>
      <dsp:spPr>
        <a:xfrm>
          <a:off x="6793379" y="-40164"/>
          <a:ext cx="3074478" cy="2690178"/>
        </a:xfrm>
        <a:prstGeom prst="rightArrow">
          <a:avLst>
            <a:gd name="adj1" fmla="val 70000"/>
            <a:gd name="adj2" fmla="val 50000"/>
          </a:avLst>
        </a:prstGeom>
        <a:solidFill>
          <a:schemeClr val="accent5">
            <a:tint val="40000"/>
            <a:alpha val="90000"/>
            <a:hueOff val="-10740482"/>
            <a:satOff val="48253"/>
            <a:lumOff val="3317"/>
            <a:alphaOff val="0"/>
          </a:schemeClr>
        </a:solidFill>
        <a:ln w="25400" cap="flat" cmpd="sng" algn="ctr">
          <a:solidFill>
            <a:schemeClr val="accent5">
              <a:tint val="40000"/>
              <a:alpha val="90000"/>
              <a:hueOff val="-10740482"/>
              <a:satOff val="48253"/>
              <a:lumOff val="3317"/>
              <a:alphaOff val="0"/>
            </a:schemeClr>
          </a:solidFill>
          <a:prstDash val="solid"/>
        </a:ln>
        <a:effectLst/>
      </dsp:spPr>
      <dsp:style>
        <a:lnRef idx="2">
          <a:scrgbClr r="0" g="0" b="0"/>
        </a:lnRef>
        <a:fillRef idx="1">
          <a:scrgbClr r="0" g="0" b="0"/>
        </a:fillRef>
        <a:effectRef idx="0">
          <a:scrgbClr r="0" g="0" b="0"/>
        </a:effectRef>
        <a:fontRef idx="minor"/>
      </dsp:style>
    </dsp:sp>
    <dsp:sp modelId="{B72F2F62-EB74-4E91-BB14-BC05874CA5AC}">
      <dsp:nvSpPr>
        <dsp:cNvPr id="0" name=""/>
        <dsp:cNvSpPr/>
      </dsp:nvSpPr>
      <dsp:spPr>
        <a:xfrm>
          <a:off x="6616263" y="733473"/>
          <a:ext cx="1142903" cy="1142903"/>
        </a:xfrm>
        <a:prstGeom prst="ellipse">
          <a:avLst/>
        </a:prstGeom>
        <a:solidFill>
          <a:schemeClr val="accent5">
            <a:hueOff val="-9933876"/>
            <a:satOff val="39811"/>
            <a:lumOff val="862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795" tIns="10795" rIns="10795" bIns="10795" numCol="1" spcCol="1270" anchor="ctr" anchorCtr="0">
          <a:noAutofit/>
        </a:bodyPr>
        <a:lstStyle/>
        <a:p>
          <a:pPr lvl="0" algn="ctr" defTabSz="755650">
            <a:lnSpc>
              <a:spcPct val="90000"/>
            </a:lnSpc>
            <a:spcBef>
              <a:spcPct val="0"/>
            </a:spcBef>
            <a:spcAft>
              <a:spcPct val="35000"/>
            </a:spcAft>
          </a:pPr>
          <a:r>
            <a:rPr lang="cs-CZ" sz="1700" b="1" kern="1200">
              <a:latin typeface="Arial" panose="020B0604020202020204" pitchFamily="34" charset="0"/>
              <a:cs typeface="Arial" panose="020B0604020202020204" pitchFamily="34" charset="0"/>
            </a:rPr>
            <a:t>OP JAK</a:t>
          </a:r>
        </a:p>
        <a:p>
          <a:pPr lvl="0" algn="ctr" defTabSz="755650">
            <a:lnSpc>
              <a:spcPct val="90000"/>
            </a:lnSpc>
            <a:spcBef>
              <a:spcPct val="0"/>
            </a:spcBef>
            <a:spcAft>
              <a:spcPct val="35000"/>
            </a:spcAft>
          </a:pPr>
          <a:r>
            <a:rPr lang="cs-CZ" sz="900" b="1" kern="1200">
              <a:latin typeface="Arial" panose="020B0604020202020204" pitchFamily="34" charset="0"/>
              <a:cs typeface="Arial" panose="020B0604020202020204" pitchFamily="34" charset="0"/>
            </a:rPr>
            <a:t>2021–2027</a:t>
          </a:r>
          <a:endParaRPr lang="cs-CZ" sz="900" b="1" kern="1200"/>
        </a:p>
      </dsp:txBody>
      <dsp:txXfrm>
        <a:off x="6783637" y="900847"/>
        <a:ext cx="808155" cy="80815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9183D53-8A15-4939-BA2C-8DFB720D3E84}">
      <dsp:nvSpPr>
        <dsp:cNvPr id="0" name=""/>
        <dsp:cNvSpPr/>
      </dsp:nvSpPr>
      <dsp:spPr>
        <a:xfrm>
          <a:off x="1470907" y="569"/>
          <a:ext cx="2464574" cy="597483"/>
        </a:xfrm>
        <a:prstGeom prst="roundRect">
          <a:avLst>
            <a:gd name="adj" fmla="val 10000"/>
          </a:avLst>
        </a:prstGeom>
        <a:solidFill>
          <a:schemeClr val="lt1">
            <a:hueOff val="0"/>
            <a:satOff val="0"/>
            <a:lumOff val="0"/>
            <a:alphaOff val="0"/>
          </a:schemeClr>
        </a:solidFill>
        <a:ln w="38100" cap="flat" cmpd="sng" algn="ctr">
          <a:solidFill>
            <a:schemeClr val="dk2">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cs-CZ" sz="1200" b="1" kern="1200"/>
            <a:t>národní úroveň: </a:t>
          </a:r>
        </a:p>
        <a:p>
          <a:pPr lvl="0" algn="ctr" defTabSz="533400">
            <a:lnSpc>
              <a:spcPct val="90000"/>
            </a:lnSpc>
            <a:spcBef>
              <a:spcPct val="0"/>
            </a:spcBef>
            <a:spcAft>
              <a:spcPct val="35000"/>
            </a:spcAft>
          </a:pPr>
          <a:r>
            <a:rPr lang="cs-CZ" sz="1200" kern="1200"/>
            <a:t>MŠMT, GA ČR, TA ČR, AV ČR, MV, MO </a:t>
          </a:r>
        </a:p>
      </dsp:txBody>
      <dsp:txXfrm>
        <a:off x="1488407" y="18069"/>
        <a:ext cx="2429574" cy="562483"/>
      </dsp:txXfrm>
    </dsp:sp>
    <dsp:sp modelId="{757C4BB5-6F1B-4B3D-97AB-37028F24F03C}">
      <dsp:nvSpPr>
        <dsp:cNvPr id="0" name=""/>
        <dsp:cNvSpPr/>
      </dsp:nvSpPr>
      <dsp:spPr>
        <a:xfrm>
          <a:off x="955555" y="598053"/>
          <a:ext cx="1747639" cy="238993"/>
        </a:xfrm>
        <a:custGeom>
          <a:avLst/>
          <a:gdLst/>
          <a:ahLst/>
          <a:cxnLst/>
          <a:rect l="0" t="0" r="0" b="0"/>
          <a:pathLst>
            <a:path>
              <a:moveTo>
                <a:pt x="1747639" y="0"/>
              </a:moveTo>
              <a:lnTo>
                <a:pt x="1747639" y="119496"/>
              </a:lnTo>
              <a:lnTo>
                <a:pt x="0" y="119496"/>
              </a:lnTo>
              <a:lnTo>
                <a:pt x="0" y="238993"/>
              </a:lnTo>
            </a:path>
          </a:pathLst>
        </a:custGeom>
        <a:noFill/>
        <a:ln w="25400" cap="flat" cmpd="sng" algn="ctr">
          <a:solidFill>
            <a:schemeClr val="dk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7857727-DF6B-4D93-B5D8-56C121241FC9}">
      <dsp:nvSpPr>
        <dsp:cNvPr id="0" name=""/>
        <dsp:cNvSpPr/>
      </dsp:nvSpPr>
      <dsp:spPr>
        <a:xfrm>
          <a:off x="507443" y="837046"/>
          <a:ext cx="896225" cy="597483"/>
        </a:xfrm>
        <a:prstGeom prst="roundRect">
          <a:avLst>
            <a:gd name="adj" fmla="val 10000"/>
          </a:avLst>
        </a:prstGeom>
        <a:solidFill>
          <a:schemeClr val="lt1">
            <a:hueOff val="0"/>
            <a:satOff val="0"/>
            <a:lumOff val="0"/>
            <a:alphaOff val="0"/>
          </a:schemeClr>
        </a:solidFill>
        <a:ln w="38100" cap="flat" cmpd="sng" algn="ctr">
          <a:solidFill>
            <a:schemeClr val="dk2">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cs-CZ" sz="1200" kern="1200"/>
            <a:t>Vysoké školy </a:t>
          </a:r>
        </a:p>
      </dsp:txBody>
      <dsp:txXfrm>
        <a:off x="524943" y="854546"/>
        <a:ext cx="861225" cy="562483"/>
      </dsp:txXfrm>
    </dsp:sp>
    <dsp:sp modelId="{CBFFFD3F-8899-4835-8F3E-B224E3B4563A}">
      <dsp:nvSpPr>
        <dsp:cNvPr id="0" name=""/>
        <dsp:cNvSpPr/>
      </dsp:nvSpPr>
      <dsp:spPr>
        <a:xfrm>
          <a:off x="2120648" y="598053"/>
          <a:ext cx="582546" cy="238993"/>
        </a:xfrm>
        <a:custGeom>
          <a:avLst/>
          <a:gdLst/>
          <a:ahLst/>
          <a:cxnLst/>
          <a:rect l="0" t="0" r="0" b="0"/>
          <a:pathLst>
            <a:path>
              <a:moveTo>
                <a:pt x="582546" y="0"/>
              </a:moveTo>
              <a:lnTo>
                <a:pt x="582546" y="119496"/>
              </a:lnTo>
              <a:lnTo>
                <a:pt x="0" y="119496"/>
              </a:lnTo>
              <a:lnTo>
                <a:pt x="0" y="238993"/>
              </a:lnTo>
            </a:path>
          </a:pathLst>
        </a:custGeom>
        <a:noFill/>
        <a:ln w="25400" cap="flat" cmpd="sng" algn="ctr">
          <a:solidFill>
            <a:schemeClr val="dk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5A294A9-4F69-4A5C-AFBB-93915A518A29}">
      <dsp:nvSpPr>
        <dsp:cNvPr id="0" name=""/>
        <dsp:cNvSpPr/>
      </dsp:nvSpPr>
      <dsp:spPr>
        <a:xfrm>
          <a:off x="1672535" y="837046"/>
          <a:ext cx="896225" cy="597483"/>
        </a:xfrm>
        <a:prstGeom prst="roundRect">
          <a:avLst>
            <a:gd name="adj" fmla="val 10000"/>
          </a:avLst>
        </a:prstGeom>
        <a:solidFill>
          <a:schemeClr val="lt1">
            <a:hueOff val="0"/>
            <a:satOff val="0"/>
            <a:lumOff val="0"/>
            <a:alphaOff val="0"/>
          </a:schemeClr>
        </a:solidFill>
        <a:ln w="38100" cap="flat" cmpd="sng" algn="ctr">
          <a:solidFill>
            <a:schemeClr val="dk2">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cs-CZ" sz="1200" kern="1200"/>
            <a:t>ústavy AV ČR </a:t>
          </a:r>
        </a:p>
      </dsp:txBody>
      <dsp:txXfrm>
        <a:off x="1690035" y="854546"/>
        <a:ext cx="861225" cy="562483"/>
      </dsp:txXfrm>
    </dsp:sp>
    <dsp:sp modelId="{A28F204F-C243-40E9-99B0-52642B33900E}">
      <dsp:nvSpPr>
        <dsp:cNvPr id="0" name=""/>
        <dsp:cNvSpPr/>
      </dsp:nvSpPr>
      <dsp:spPr>
        <a:xfrm>
          <a:off x="2703195" y="598053"/>
          <a:ext cx="582546" cy="238993"/>
        </a:xfrm>
        <a:custGeom>
          <a:avLst/>
          <a:gdLst/>
          <a:ahLst/>
          <a:cxnLst/>
          <a:rect l="0" t="0" r="0" b="0"/>
          <a:pathLst>
            <a:path>
              <a:moveTo>
                <a:pt x="0" y="0"/>
              </a:moveTo>
              <a:lnTo>
                <a:pt x="0" y="119496"/>
              </a:lnTo>
              <a:lnTo>
                <a:pt x="582546" y="119496"/>
              </a:lnTo>
              <a:lnTo>
                <a:pt x="582546" y="238993"/>
              </a:lnTo>
            </a:path>
          </a:pathLst>
        </a:custGeom>
        <a:noFill/>
        <a:ln w="25400" cap="flat" cmpd="sng" algn="ctr">
          <a:solidFill>
            <a:schemeClr val="dk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6E4416-0E30-45C6-9CE1-7BA8569D53FB}">
      <dsp:nvSpPr>
        <dsp:cNvPr id="0" name=""/>
        <dsp:cNvSpPr/>
      </dsp:nvSpPr>
      <dsp:spPr>
        <a:xfrm>
          <a:off x="2837628" y="837046"/>
          <a:ext cx="896225" cy="597483"/>
        </a:xfrm>
        <a:prstGeom prst="roundRect">
          <a:avLst>
            <a:gd name="adj" fmla="val 10000"/>
          </a:avLst>
        </a:prstGeom>
        <a:solidFill>
          <a:schemeClr val="lt1">
            <a:hueOff val="0"/>
            <a:satOff val="0"/>
            <a:lumOff val="0"/>
            <a:alphaOff val="0"/>
          </a:schemeClr>
        </a:solidFill>
        <a:ln w="38100" cap="flat" cmpd="sng" algn="ctr">
          <a:solidFill>
            <a:schemeClr val="dk2">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cs-CZ" sz="1200" kern="1200"/>
            <a:t>ostatní výzkumné organizace </a:t>
          </a:r>
        </a:p>
      </dsp:txBody>
      <dsp:txXfrm>
        <a:off x="2855128" y="854546"/>
        <a:ext cx="861225" cy="562483"/>
      </dsp:txXfrm>
    </dsp:sp>
    <dsp:sp modelId="{6F5B0077-205E-463B-AA00-FE3CC3042710}">
      <dsp:nvSpPr>
        <dsp:cNvPr id="0" name=""/>
        <dsp:cNvSpPr/>
      </dsp:nvSpPr>
      <dsp:spPr>
        <a:xfrm>
          <a:off x="2703195" y="598053"/>
          <a:ext cx="1747639" cy="238993"/>
        </a:xfrm>
        <a:custGeom>
          <a:avLst/>
          <a:gdLst/>
          <a:ahLst/>
          <a:cxnLst/>
          <a:rect l="0" t="0" r="0" b="0"/>
          <a:pathLst>
            <a:path>
              <a:moveTo>
                <a:pt x="0" y="0"/>
              </a:moveTo>
              <a:lnTo>
                <a:pt x="0" y="119496"/>
              </a:lnTo>
              <a:lnTo>
                <a:pt x="1747639" y="119496"/>
              </a:lnTo>
              <a:lnTo>
                <a:pt x="1747639" y="238993"/>
              </a:lnTo>
            </a:path>
          </a:pathLst>
        </a:custGeom>
        <a:noFill/>
        <a:ln w="25400" cap="flat" cmpd="sng" algn="ctr">
          <a:solidFill>
            <a:schemeClr val="dk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8E8AACA-10D3-4766-9AF6-7D92C4065B22}">
      <dsp:nvSpPr>
        <dsp:cNvPr id="0" name=""/>
        <dsp:cNvSpPr/>
      </dsp:nvSpPr>
      <dsp:spPr>
        <a:xfrm>
          <a:off x="4002721" y="837046"/>
          <a:ext cx="896225" cy="597483"/>
        </a:xfrm>
        <a:prstGeom prst="roundRect">
          <a:avLst>
            <a:gd name="adj" fmla="val 10000"/>
          </a:avLst>
        </a:prstGeom>
        <a:solidFill>
          <a:schemeClr val="lt1">
            <a:hueOff val="0"/>
            <a:satOff val="0"/>
            <a:lumOff val="0"/>
            <a:alphaOff val="0"/>
          </a:schemeClr>
        </a:solidFill>
        <a:ln w="38100" cap="flat" cmpd="sng" algn="ctr">
          <a:solidFill>
            <a:schemeClr val="dk2">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cs-CZ" sz="1200" kern="1200"/>
            <a:t>podniky </a:t>
          </a:r>
        </a:p>
      </dsp:txBody>
      <dsp:txXfrm>
        <a:off x="4020221" y="854546"/>
        <a:ext cx="861225" cy="562483"/>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6">
  <dgm:title val=""/>
  <dgm:desc val=""/>
  <dgm:catLst>
    <dgm:cat type="process"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theList">
    <dgm:varLst>
      <dgm:dir/>
      <dgm:animLvl val="lvl"/>
      <dgm:resizeHandles val="exact"/>
    </dgm:varLst>
    <dgm:choose name="Name0">
      <dgm:if name="Name1" func="var" arg="dir" op="equ" val="norm">
        <dgm:alg type="lin">
          <dgm:param type="linDir" val="fromL"/>
          <dgm:param type="nodeHorzAlign" val="l"/>
        </dgm:alg>
      </dgm:if>
      <dgm:else name="Name2">
        <dgm:alg type="lin">
          <dgm:param type="linDir" val="fromR"/>
          <dgm:param type="nodeHorzAlign" val="r"/>
        </dgm:alg>
      </dgm:else>
    </dgm:choose>
    <dgm:shape xmlns:r="http://schemas.openxmlformats.org/officeDocument/2006/relationships" r:blip="">
      <dgm:adjLst/>
    </dgm:shape>
    <dgm:presOf/>
    <dgm:constrLst>
      <dgm:constr type="w" for="ch" forName="compNode" refType="w"/>
      <dgm:constr type="h" for="ch" forName="compNode" refType="w" refFor="ch" refForName="compNode" fact="0.7"/>
      <dgm:constr type="ctrY" for="ch" forName="compNode" refType="h" fact="0.5"/>
      <dgm:constr type="w" for="ch" forName="aSpace" refType="w" fact="0.05"/>
      <dgm:constr type="primFontSz" for="des" forName="childTextHidden" op="equ" val="65"/>
      <dgm:constr type="primFontSz" for="des" forName="parentText" op="equ"/>
    </dgm:constrLst>
    <dgm:ruleLst/>
    <dgm:forEach name="aNodeForEach" axis="ch" ptType="node">
      <dgm:layoutNode name="compNode">
        <dgm:alg type="composite">
          <dgm:param type="ar" val="1.43"/>
        </dgm:alg>
        <dgm:shape xmlns:r="http://schemas.openxmlformats.org/officeDocument/2006/relationships" r:blip="">
          <dgm:adjLst/>
        </dgm:shape>
        <dgm:presOf/>
        <dgm:choose name="Name3">
          <dgm:if name="Name4" func="var" arg="dir" op="equ" val="norm">
            <dgm:constrLst>
              <dgm:constr type="w" for="ch" forName="childTextVisible" refType="w" fact="0.8"/>
              <dgm:constr type="h" for="ch" forName="childTextVisible" refType="h"/>
              <dgm:constr type="r" for="ch" forName="childTextVisible" refType="w"/>
              <dgm:constr type="w" for="ch" forName="childTextHidden" refType="w" fact="0.6"/>
              <dgm:constr type="h" for="ch" forName="childTextHidden" refType="h"/>
              <dgm:constr type="r" for="ch" forName="childTextHidden" refType="w"/>
              <dgm:constr type="l" for="ch" forName="parentText"/>
              <dgm:constr type="w" for="ch" forName="parentText" refType="w" fact="0.4"/>
              <dgm:constr type="h" for="ch" forName="parentText" refType="w" refFor="ch" refForName="parentText" op="equ"/>
              <dgm:constr type="ctrY" for="ch" forName="parentText" refType="h" fact="0.5"/>
            </dgm:constrLst>
          </dgm:if>
          <dgm:else name="Name5">
            <dgm:constrLst>
              <dgm:constr type="w" for="ch" forName="childTextVisible" refType="w" fact="0.8"/>
              <dgm:constr type="h" for="ch" forName="childTextVisible" refType="h"/>
              <dgm:constr type="l" for="ch" forName="childTextVisible"/>
              <dgm:constr type="w" for="ch" forName="childTextHidden" refType="w" fact="0.6"/>
              <dgm:constr type="h" for="ch" forName="childTextHidden" refType="h"/>
              <dgm:constr type="l" for="ch" forName="childTextHidden"/>
              <dgm:constr type="r" for="ch" forName="parentText" refType="w"/>
              <dgm:constr type="w" for="ch" forName="parentText" refType="w" fact="0.4"/>
              <dgm:constr type="h" for="ch" forName="parentText" refType="w" refFor="ch" refForName="parentText" op="equ"/>
              <dgm:constr type="ctrY" for="ch" forName="parentText" refType="h" fact="0.5"/>
            </dgm:constrLst>
          </dgm:else>
        </dgm:choose>
        <dgm:ruleLst/>
        <dgm:layoutNode name="noGeometry">
          <dgm:alg type="sp"/>
          <dgm:shape xmlns:r="http://schemas.openxmlformats.org/officeDocument/2006/relationships" r:blip="">
            <dgm:adjLst/>
          </dgm:shape>
          <dgm:presOf/>
          <dgm:constrLst/>
          <dgm:ruleLst/>
        </dgm:layoutNode>
        <dgm:layoutNode name="childTextVisible" styleLbl="bgAccFollowNode1">
          <dgm:varLst>
            <dgm:bulletEnabled val="1"/>
          </dgm:varLst>
          <dgm:alg type="sp"/>
          <dgm:choose name="Name6">
            <dgm:if name="Name7" func="var" arg="dir" op="equ" val="norm">
              <dgm:shape xmlns:r="http://schemas.openxmlformats.org/officeDocument/2006/relationships" type="rightArrow" r:blip="">
                <dgm:adjLst>
                  <dgm:adj idx="1" val="0.7"/>
                  <dgm:adj idx="2" val="0.5"/>
                </dgm:adjLst>
              </dgm:shape>
            </dgm:if>
            <dgm:else name="Name8">
              <dgm:shape xmlns:r="http://schemas.openxmlformats.org/officeDocument/2006/relationships" type="leftArrow" r:blip="">
                <dgm:adjLst>
                  <dgm:adj idx="1" val="0.7"/>
                  <dgm:adj idx="2" val="0.5"/>
                </dgm:adjLst>
              </dgm:shape>
            </dgm:else>
          </dgm:choose>
          <dgm:presOf axis="des" ptType="node"/>
          <dgm:constrLst/>
          <dgm:ruleLst/>
        </dgm:layoutNode>
        <dgm:layoutNode name="childTextHidden" styleLbl="bgAccFollowNode1">
          <dgm:choose name="Name9">
            <dgm:if name="Name10" axis="des followSib" ptType="node node" st="1 1" cnt="1 0" func="cnt" op="gte" val="1">
              <dgm:alg type="tx">
                <dgm:param type="stBulletLvl" val="1"/>
                <dgm:param type="txAnchorVertCh" val="mid"/>
              </dgm:alg>
            </dgm:if>
            <dgm:else name="Name11">
              <dgm:alg type="tx">
                <dgm:param type="stBulletLvl" val="2"/>
                <dgm:param type="txAnchorVertCh" val="mid"/>
              </dgm:alg>
            </dgm:else>
          </dgm:choose>
          <dgm:choose name="Name12">
            <dgm:if name="Name13" func="var" arg="dir" op="equ" val="norm">
              <dgm:shape xmlns:r="http://schemas.openxmlformats.org/officeDocument/2006/relationships" type="rightArrow" r:blip="" hideGeom="1">
                <dgm:adjLst>
                  <dgm:adj idx="1" val="0.7"/>
                  <dgm:adj idx="2" val="0.5"/>
                </dgm:adjLst>
              </dgm:shape>
            </dgm:if>
            <dgm:else name="Name14">
              <dgm:shape xmlns:r="http://schemas.openxmlformats.org/officeDocument/2006/relationships" type="leftArrow" r:blip="" hideGeom="1">
                <dgm:adjLst>
                  <dgm:adj idx="1" val="0.7"/>
                  <dgm:adj idx="2" val="0.5"/>
                </dgm:adjLst>
              </dgm:shape>
            </dgm:else>
          </dgm:choose>
          <dgm:presOf axis="des" ptType="node"/>
          <dgm:constrLst>
            <dgm:constr type="secFontSz" refType="primFontSz"/>
            <dgm:constr type="tMarg" refType="primFontSz" fact="0.05"/>
            <dgm:constr type="bMarg" refType="primFontSz" fact="0.05"/>
            <dgm:constr type="rMarg" refType="primFontSz" fact="0.1"/>
            <dgm:constr type="lMarg" refType="primFontSz" fact="0.2"/>
          </dgm:constrLst>
          <dgm:ruleLst>
            <dgm:rule type="primFontSz" val="5" fact="NaN" max="NaN"/>
          </dgm:ruleLst>
        </dgm:layoutNode>
        <dgm:layoutNode name="parentText" styleLbl="node1">
          <dgm:varLst>
            <dgm:chMax val="1"/>
            <dgm:bulletEnabled val="1"/>
          </dgm:varLst>
          <dgm:alg type="tx"/>
          <dgm:shape xmlns:r="http://schemas.openxmlformats.org/officeDocument/2006/relationships" type="ellipse" r:blip="">
            <dgm:adjLst/>
          </dgm:shape>
          <dgm:presOf axis="self"/>
          <dgm:constrLst>
            <dgm:constr type="primFontSz" val="65"/>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choose name="Name15">
        <dgm:if name="Name16" axis="self" ptType="node" func="revPos" op="gte" val="2">
          <dgm:layoutNode name="aSpace">
            <dgm:alg type="sp"/>
            <dgm:shape xmlns:r="http://schemas.openxmlformats.org/officeDocument/2006/relationships" r:blip="">
              <dgm:adjLst/>
            </dgm:shape>
            <dgm:presOf/>
            <dgm:constrLst/>
            <dgm:ruleLst/>
          </dgm:layoutNode>
        </dgm:if>
        <dgm:else name="Name17"/>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hProcess6">
  <dgm:title val=""/>
  <dgm:desc val=""/>
  <dgm:catLst>
    <dgm:cat type="process"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theList">
    <dgm:varLst>
      <dgm:dir/>
      <dgm:animLvl val="lvl"/>
      <dgm:resizeHandles val="exact"/>
    </dgm:varLst>
    <dgm:choose name="Name0">
      <dgm:if name="Name1" func="var" arg="dir" op="equ" val="norm">
        <dgm:alg type="lin">
          <dgm:param type="linDir" val="fromL"/>
          <dgm:param type="nodeHorzAlign" val="l"/>
        </dgm:alg>
      </dgm:if>
      <dgm:else name="Name2">
        <dgm:alg type="lin">
          <dgm:param type="linDir" val="fromR"/>
          <dgm:param type="nodeHorzAlign" val="r"/>
        </dgm:alg>
      </dgm:else>
    </dgm:choose>
    <dgm:shape xmlns:r="http://schemas.openxmlformats.org/officeDocument/2006/relationships" r:blip="">
      <dgm:adjLst/>
    </dgm:shape>
    <dgm:presOf/>
    <dgm:constrLst>
      <dgm:constr type="w" for="ch" forName="compNode" refType="w"/>
      <dgm:constr type="h" for="ch" forName="compNode" refType="w" refFor="ch" refForName="compNode" fact="0.7"/>
      <dgm:constr type="ctrY" for="ch" forName="compNode" refType="h" fact="0.5"/>
      <dgm:constr type="w" for="ch" forName="aSpace" refType="w" fact="0.05"/>
      <dgm:constr type="primFontSz" for="des" forName="childTextHidden" op="equ" val="65"/>
      <dgm:constr type="primFontSz" for="des" forName="parentText" op="equ"/>
    </dgm:constrLst>
    <dgm:ruleLst/>
    <dgm:forEach name="aNodeForEach" axis="ch" ptType="node">
      <dgm:layoutNode name="compNode">
        <dgm:alg type="composite">
          <dgm:param type="ar" val="1.43"/>
        </dgm:alg>
        <dgm:shape xmlns:r="http://schemas.openxmlformats.org/officeDocument/2006/relationships" r:blip="">
          <dgm:adjLst/>
        </dgm:shape>
        <dgm:presOf/>
        <dgm:choose name="Name3">
          <dgm:if name="Name4" func="var" arg="dir" op="equ" val="norm">
            <dgm:constrLst>
              <dgm:constr type="w" for="ch" forName="childTextVisible" refType="w" fact="0.8"/>
              <dgm:constr type="h" for="ch" forName="childTextVisible" refType="h"/>
              <dgm:constr type="r" for="ch" forName="childTextVisible" refType="w"/>
              <dgm:constr type="w" for="ch" forName="childTextHidden" refType="w" fact="0.6"/>
              <dgm:constr type="h" for="ch" forName="childTextHidden" refType="h"/>
              <dgm:constr type="r" for="ch" forName="childTextHidden" refType="w"/>
              <dgm:constr type="l" for="ch" forName="parentText"/>
              <dgm:constr type="w" for="ch" forName="parentText" refType="w" fact="0.4"/>
              <dgm:constr type="h" for="ch" forName="parentText" refType="w" refFor="ch" refForName="parentText" op="equ"/>
              <dgm:constr type="ctrY" for="ch" forName="parentText" refType="h" fact="0.5"/>
            </dgm:constrLst>
          </dgm:if>
          <dgm:else name="Name5">
            <dgm:constrLst>
              <dgm:constr type="w" for="ch" forName="childTextVisible" refType="w" fact="0.8"/>
              <dgm:constr type="h" for="ch" forName="childTextVisible" refType="h"/>
              <dgm:constr type="l" for="ch" forName="childTextVisible"/>
              <dgm:constr type="w" for="ch" forName="childTextHidden" refType="w" fact="0.6"/>
              <dgm:constr type="h" for="ch" forName="childTextHidden" refType="h"/>
              <dgm:constr type="l" for="ch" forName="childTextHidden"/>
              <dgm:constr type="r" for="ch" forName="parentText" refType="w"/>
              <dgm:constr type="w" for="ch" forName="parentText" refType="w" fact="0.4"/>
              <dgm:constr type="h" for="ch" forName="parentText" refType="w" refFor="ch" refForName="parentText" op="equ"/>
              <dgm:constr type="ctrY" for="ch" forName="parentText" refType="h" fact="0.5"/>
            </dgm:constrLst>
          </dgm:else>
        </dgm:choose>
        <dgm:ruleLst/>
        <dgm:layoutNode name="noGeometry">
          <dgm:alg type="sp"/>
          <dgm:shape xmlns:r="http://schemas.openxmlformats.org/officeDocument/2006/relationships" r:blip="">
            <dgm:adjLst/>
          </dgm:shape>
          <dgm:presOf/>
          <dgm:constrLst/>
          <dgm:ruleLst/>
        </dgm:layoutNode>
        <dgm:layoutNode name="childTextVisible" styleLbl="bgAccFollowNode1">
          <dgm:varLst>
            <dgm:bulletEnabled val="1"/>
          </dgm:varLst>
          <dgm:alg type="sp"/>
          <dgm:choose name="Name6">
            <dgm:if name="Name7" func="var" arg="dir" op="equ" val="norm">
              <dgm:shape xmlns:r="http://schemas.openxmlformats.org/officeDocument/2006/relationships" type="rightArrow" r:blip="">
                <dgm:adjLst>
                  <dgm:adj idx="1" val="0.7"/>
                  <dgm:adj idx="2" val="0.5"/>
                </dgm:adjLst>
              </dgm:shape>
            </dgm:if>
            <dgm:else name="Name8">
              <dgm:shape xmlns:r="http://schemas.openxmlformats.org/officeDocument/2006/relationships" type="leftArrow" r:blip="">
                <dgm:adjLst>
                  <dgm:adj idx="1" val="0.7"/>
                  <dgm:adj idx="2" val="0.5"/>
                </dgm:adjLst>
              </dgm:shape>
            </dgm:else>
          </dgm:choose>
          <dgm:presOf axis="des" ptType="node"/>
          <dgm:constrLst/>
          <dgm:ruleLst/>
        </dgm:layoutNode>
        <dgm:layoutNode name="childTextHidden" styleLbl="bgAccFollowNode1">
          <dgm:choose name="Name9">
            <dgm:if name="Name10" axis="des followSib" ptType="node node" st="1 1" cnt="1 0" func="cnt" op="gte" val="1">
              <dgm:alg type="tx">
                <dgm:param type="stBulletLvl" val="1"/>
                <dgm:param type="txAnchorVertCh" val="mid"/>
              </dgm:alg>
            </dgm:if>
            <dgm:else name="Name11">
              <dgm:alg type="tx">
                <dgm:param type="stBulletLvl" val="2"/>
                <dgm:param type="txAnchorVertCh" val="mid"/>
              </dgm:alg>
            </dgm:else>
          </dgm:choose>
          <dgm:choose name="Name12">
            <dgm:if name="Name13" func="var" arg="dir" op="equ" val="norm">
              <dgm:shape xmlns:r="http://schemas.openxmlformats.org/officeDocument/2006/relationships" type="rightArrow" r:blip="" hideGeom="1">
                <dgm:adjLst>
                  <dgm:adj idx="1" val="0.7"/>
                  <dgm:adj idx="2" val="0.5"/>
                </dgm:adjLst>
              </dgm:shape>
            </dgm:if>
            <dgm:else name="Name14">
              <dgm:shape xmlns:r="http://schemas.openxmlformats.org/officeDocument/2006/relationships" type="leftArrow" r:blip="" hideGeom="1">
                <dgm:adjLst>
                  <dgm:adj idx="1" val="0.7"/>
                  <dgm:adj idx="2" val="0.5"/>
                </dgm:adjLst>
              </dgm:shape>
            </dgm:else>
          </dgm:choose>
          <dgm:presOf axis="des" ptType="node"/>
          <dgm:constrLst>
            <dgm:constr type="secFontSz" refType="primFontSz"/>
            <dgm:constr type="tMarg" refType="primFontSz" fact="0.05"/>
            <dgm:constr type="bMarg" refType="primFontSz" fact="0.05"/>
            <dgm:constr type="rMarg" refType="primFontSz" fact="0.1"/>
            <dgm:constr type="lMarg" refType="primFontSz" fact="0.2"/>
          </dgm:constrLst>
          <dgm:ruleLst>
            <dgm:rule type="primFontSz" val="5" fact="NaN" max="NaN"/>
          </dgm:ruleLst>
        </dgm:layoutNode>
        <dgm:layoutNode name="parentText" styleLbl="node1">
          <dgm:varLst>
            <dgm:chMax val="1"/>
            <dgm:bulletEnabled val="1"/>
          </dgm:varLst>
          <dgm:alg type="tx"/>
          <dgm:shape xmlns:r="http://schemas.openxmlformats.org/officeDocument/2006/relationships" type="ellipse" r:blip="">
            <dgm:adjLst/>
          </dgm:shape>
          <dgm:presOf axis="self"/>
          <dgm:constrLst>
            <dgm:constr type="primFontSz" val="65"/>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choose name="Name15">
        <dgm:if name="Name16" axis="self" ptType="node" func="revPos" op="gte" val="2">
          <dgm:layoutNode name="aSpace">
            <dgm:alg type="sp"/>
            <dgm:shape xmlns:r="http://schemas.openxmlformats.org/officeDocument/2006/relationships" r:blip="">
              <dgm:adjLst/>
            </dgm:shape>
            <dgm:presOf/>
            <dgm:constrLst/>
            <dgm:ruleLst/>
          </dgm:layoutNode>
        </dgm:if>
        <dgm:else name="Name17"/>
      </dgm:choose>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086186-310D-4891-9BD8-8C4796365C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35</Pages>
  <Words>9056</Words>
  <Characters>53436</Characters>
  <Application>Microsoft Office Word</Application>
  <DocSecurity>0</DocSecurity>
  <Lines>445</Lines>
  <Paragraphs>124</Paragraphs>
  <ScaleCrop>false</ScaleCrop>
  <HeadingPairs>
    <vt:vector size="2" baseType="variant">
      <vt:variant>
        <vt:lpstr>Název</vt:lpstr>
      </vt:variant>
      <vt:variant>
        <vt:i4>1</vt:i4>
      </vt:variant>
    </vt:vector>
  </HeadingPairs>
  <TitlesOfParts>
    <vt:vector size="1" baseType="lpstr">
      <vt:lpstr/>
    </vt:vector>
  </TitlesOfParts>
  <Company>Úřad vlády ČR</Company>
  <LinksUpToDate>false</LinksUpToDate>
  <CharactersWithSpaces>62368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Kureková Lucie</dc:creator>
  <cp:lastModifiedBy>Kureková Lucie</cp:lastModifiedBy>
  <cp:revision>2</cp:revision>
  <cp:lastPrinted>2022-01-06T13:12:00Z</cp:lastPrinted>
  <dcterms:created xsi:type="dcterms:W3CDTF">2022-02-08T18:19:00Z</dcterms:created>
  <dcterms:modified xsi:type="dcterms:W3CDTF">2022-02-08T18:19:00Z</dcterms:modified>
</cp:coreProperties>
</file>