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51957" w14:textId="35AF1A65" w:rsidR="00C17BDD" w:rsidRPr="00796F00" w:rsidRDefault="00AF5C22" w:rsidP="00C17BDD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Účast v rámcových programech EU</w:t>
      </w:r>
    </w:p>
    <w:p w14:paraId="1B4EEFC9" w14:textId="645E320B" w:rsidR="00007C95" w:rsidRDefault="00C56074" w:rsidP="00A735DF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376. zasedání Rady měl být jako bod B6 předložen materiál HORIZONT 2020 – účast ČR (7. zpráva). </w:t>
      </w:r>
      <w:r w:rsidR="005421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Zprávu každoročně zpracovává </w:t>
      </w:r>
      <w:r w:rsidR="000445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Technologické centrum</w:t>
      </w:r>
      <w:r w:rsidR="005421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AV ČR, které je k informační podpoře a poradenství pro HORIZONT 2020 (dále také </w:t>
      </w:r>
      <w:r w:rsidR="00D6251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„</w:t>
      </w:r>
      <w:r w:rsidR="005421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H2020</w:t>
      </w:r>
      <w:r w:rsidR="00D6251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</w:t>
      </w:r>
      <w:r w:rsidR="005421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 dlouhodobě financováno Ministerstvem školství, mládeže a tělovýchovy, v současnosti v rámci projekt</w:t>
      </w:r>
      <w:r w:rsidR="000908D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ů sdílených činností CZERA a</w:t>
      </w:r>
      <w:r w:rsidR="005421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STRATIN+. </w:t>
      </w:r>
    </w:p>
    <w:p w14:paraId="0C38ADFE" w14:textId="4705F12B" w:rsidR="00A735DF" w:rsidRPr="00A735DF" w:rsidRDefault="00C56074" w:rsidP="00A735DF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Předsednictvo Rady na jednání</w:t>
      </w:r>
      <w:r w:rsidR="00FA2D84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které se konalo 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dne 11. 2. 2022</w:t>
      </w:r>
      <w:r w:rsidR="00FA2D84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735DF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 rozhodlo materiál Radě předložit</w:t>
      </w:r>
      <w:r w:rsidR="00007C9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až po zmapování více informačních zdrojů a provedení 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např. mezinárodní</w:t>
      </w:r>
      <w:r w:rsidR="00007C9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ho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porovnání</w:t>
      </w:r>
      <w:r w:rsidR="00007C9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úspěšnosti. Zároveň bylo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Technologické centrum AV ČR </w:t>
      </w:r>
      <w:r w:rsidR="00007C9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požádáno 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 </w:t>
      </w:r>
      <w:r w:rsid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další informace</w:t>
      </w:r>
      <w:r w:rsidR="00202F8E"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3C4327E9" w14:textId="59B700FA" w:rsidR="00C56074" w:rsidRPr="00A735DF" w:rsidRDefault="00C56074" w:rsidP="00A735DF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Materiál byl rozšířen o další zdroje informaci, vypovídající o účasti České republiky, případně </w:t>
      </w:r>
      <w:r w:rsidR="002619F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členských států EU-13</w:t>
      </w:r>
      <w:r w:rsidRPr="00A73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 rámcových programech EU. </w:t>
      </w:r>
    </w:p>
    <w:p w14:paraId="2929A1B7" w14:textId="2FB075F4" w:rsidR="001A00CD" w:rsidRDefault="001A00CD" w:rsidP="00C17BDD">
      <w:pPr>
        <w:pStyle w:val="Nadpis2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Zpráva Horizont 2020</w:t>
      </w:r>
    </w:p>
    <w:p w14:paraId="710B2A6C" w14:textId="23FBBBD2" w:rsidR="001A00CD" w:rsidRPr="001A00CD" w:rsidRDefault="001A00CD" w:rsidP="001A00C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Frank Daniel, Vaněček Jiří: Horizont 2020. ECHO, příloha 3-4. Technologické centrum AV ČR, 2021. </w:t>
      </w:r>
    </w:p>
    <w:p w14:paraId="3A80E538" w14:textId="77777777" w:rsidR="001A00CD" w:rsidRPr="001A00CD" w:rsidRDefault="001A00CD" w:rsidP="001A00CD">
      <w:pPr>
        <w:pStyle w:val="Nadpis3"/>
        <w:rPr>
          <w:rFonts w:eastAsiaTheme="minorHAnsi"/>
          <w:lang w:eastAsia="en-US"/>
        </w:rPr>
      </w:pPr>
      <w:r w:rsidRPr="001A00CD">
        <w:rPr>
          <w:rFonts w:eastAsiaTheme="minorHAnsi"/>
          <w:lang w:eastAsia="en-US"/>
        </w:rPr>
        <w:t>Shrnutí</w:t>
      </w:r>
    </w:p>
    <w:p w14:paraId="4726EE79" w14:textId="2EBD453A" w:rsidR="001A00CD" w:rsidRPr="001A00CD" w:rsidRDefault="001A00CD" w:rsidP="001A00C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 České republice je veškeré úsilí prosadit se v náročném prostředí mezinárodního výzkumu soustředěno </w:t>
      </w: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 několika málo desítek špičkových výzkumných týmů a pracovišť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(str. 134).</w:t>
      </w:r>
    </w:p>
    <w:p w14:paraId="61E66F5E" w14:textId="4EB66AAB" w:rsidR="00621542" w:rsidRPr="00C17BDD" w:rsidRDefault="00621542" w:rsidP="001A00CD">
      <w:pPr>
        <w:pStyle w:val="Nadpis3"/>
        <w:rPr>
          <w:rFonts w:eastAsiaTheme="minorHAnsi"/>
          <w:lang w:eastAsia="en-US"/>
        </w:rPr>
      </w:pPr>
      <w:r w:rsidRPr="00C17BDD">
        <w:rPr>
          <w:rFonts w:eastAsiaTheme="minorHAnsi"/>
          <w:lang w:eastAsia="en-US"/>
        </w:rPr>
        <w:t>Základní údaje</w:t>
      </w:r>
      <w:r w:rsidR="00416933">
        <w:rPr>
          <w:rFonts w:eastAsiaTheme="minorHAnsi"/>
          <w:lang w:eastAsia="en-US"/>
        </w:rPr>
        <w:t xml:space="preserve"> plynoucí z předložené zprávy</w:t>
      </w:r>
    </w:p>
    <w:p w14:paraId="604B447C" w14:textId="66596C15" w:rsidR="00621542" w:rsidRP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roce 2014 zahájila Evropská unie program HORIZONT 2020 (H2020). Program H2020 v roce 2020 skončil</w:t>
      </w:r>
      <w:r w:rsidR="00007C9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(projekty dobíhají)</w:t>
      </w:r>
      <w:r w:rsidR="00416933" w:rsidRPr="004169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4169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 byl nahrazen programem HORIZONT Evropa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428F32FF" w14:textId="77777777" w:rsidR="00621542" w:rsidRP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Rozpočtem ve výši 77 mld. €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se program H2020 zařadil mezi celosvětově největší programy mezinárodní spolupráce ve výzkumu. Program byl navržen tak, aby podpořil hospodářský růst založený na znalostech a inovacích s důrazem na vynikající vědu, vedoucí postavení v průmyslu a řešení společenských výzev. </w:t>
      </w:r>
    </w:p>
    <w:p w14:paraId="0AA43456" w14:textId="0327CD09" w:rsidR="00621542" w:rsidRP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 programu Horizont 2020 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bylo předloženo celkem 282 936 úplných způsobilých návrhů projektů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na jejichž přípravě se podílelo 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946 170 žadatelů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Celkový požadovaný finanční příspěvek EU na jejich realizaci se pohybuje ve výši 472,2 mld. €</w:t>
      </w:r>
      <w:r w:rsidR="00007C9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="00654970" w:rsidRPr="00F8459C">
        <w:rPr>
          <w:rFonts w:ascii="Arial" w:hAnsi="Arial" w:cs="Arial"/>
          <w:sz w:val="22"/>
          <w:szCs w:val="22"/>
        </w:rPr>
        <w:t xml:space="preserve"> alokováno</w:t>
      </w:r>
      <w:r w:rsidR="00007C95">
        <w:rPr>
          <w:rFonts w:ascii="Arial" w:hAnsi="Arial" w:cs="Arial"/>
          <w:sz w:val="22"/>
          <w:szCs w:val="22"/>
        </w:rPr>
        <w:t xml:space="preserve"> bylo</w:t>
      </w:r>
      <w:r w:rsidR="00654970" w:rsidRPr="00F8459C">
        <w:rPr>
          <w:rFonts w:ascii="Arial" w:hAnsi="Arial" w:cs="Arial"/>
          <w:sz w:val="22"/>
          <w:szCs w:val="22"/>
        </w:rPr>
        <w:t xml:space="preserve"> 67,5 mld. €. 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Celková 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úspěšnost dosahuje 12,0 %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1D6540"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58787699" w14:textId="77777777" w:rsidR="00621542" w:rsidRPr="00C17BDD" w:rsidRDefault="00621542" w:rsidP="001A00CD">
      <w:pPr>
        <w:pStyle w:val="Nadpis3"/>
        <w:rPr>
          <w:rFonts w:eastAsiaTheme="minorHAnsi"/>
          <w:lang w:eastAsia="en-US"/>
        </w:rPr>
      </w:pPr>
      <w:r w:rsidRPr="00C17BDD">
        <w:rPr>
          <w:rFonts w:eastAsiaTheme="minorHAnsi"/>
          <w:lang w:eastAsia="en-US"/>
        </w:rPr>
        <w:t>Význam pro Českou republiku</w:t>
      </w:r>
    </w:p>
    <w:p w14:paraId="206A9DA1" w14:textId="61CC69AD" w:rsidR="00621542" w:rsidRP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Rámcové programy </w:t>
      </w:r>
      <w:r w:rsidR="004169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obecně 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znamenaly nárůst mezinárodní spolupráce českých pracovišť v oblasti výzkumu, vývoje a v inovací</w:t>
      </w:r>
      <w:r w:rsid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zejména se otevřela možnost spolupracovat s týmy z nejvýznamnějších evropských vědeckých institucí, průmysl se mohl podílet na činnosti mezinárodních konsorcií, jejichž členy byli výrobci, kteří zaujímají významné místo na globálním trhu. </w:t>
      </w:r>
    </w:p>
    <w:p w14:paraId="352DFF5B" w14:textId="77777777" w:rsidR="00621542" w:rsidRP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Celkem 9 962 žadatelů z ČR se podílelo na přípravě 8 114 úplných způsobilých návrhů projektů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programu H2020. České výzkumné instituce figurují jako přímí příjemci finančních prostředků v 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1 304 financovaných projektech s nárokovaným finančním příspěvkem ve výši 485 mil. €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v nichž spolupracují s více než 19,5 tis. zahraničními partnery v roli přímých příjemců finančních prostředků z rozpočtu programu H2020.</w:t>
      </w:r>
    </w:p>
    <w:p w14:paraId="40AA260B" w14:textId="77777777" w:rsidR="00621542" w:rsidRPr="00C17BDD" w:rsidRDefault="00621542" w:rsidP="001A00CD">
      <w:pPr>
        <w:pStyle w:val="Nadpis3"/>
        <w:rPr>
          <w:rFonts w:eastAsiaTheme="minorHAnsi"/>
          <w:lang w:eastAsia="en-US"/>
        </w:rPr>
      </w:pPr>
      <w:r w:rsidRPr="00C17BDD">
        <w:rPr>
          <w:rFonts w:eastAsiaTheme="minorHAnsi"/>
          <w:lang w:eastAsia="en-US"/>
        </w:rPr>
        <w:t>Účast České republiky</w:t>
      </w:r>
    </w:p>
    <w:p w14:paraId="4C1E939A" w14:textId="69C2ECC7" w:rsid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</w:t>
      </w:r>
      <w:r w:rsidR="00F23466"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 grafů 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str. 16, 20 a 21 </w:t>
      </w:r>
      <w:r w:rsidR="004169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(viz Zpráva) 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vyplývá, že Česká republika </w:t>
      </w: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nepatří k členským státům s vysokou účastí</w:t>
      </w:r>
      <w:r w:rsidR="00CF6186"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aktivitou</w:t>
      </w:r>
      <w:r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Pozitivní skutečností však je, že </w:t>
      </w: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úspěšnost subjektů z České republiky je velmi dobrá</w:t>
      </w:r>
      <w:r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Účastnická úspěšnost ČR dosáhla 15,84 %, což je nevyšší hodnota mezi státy skupin</w:t>
      </w:r>
      <w:r w:rsidR="00CA0AE4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y</w:t>
      </w:r>
      <w:r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EU-13 a je </w:t>
      </w: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sedmou nejvyšší úspěšností</w:t>
      </w:r>
      <w:r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mezi členskými státy EU. Naopak </w:t>
      </w: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účasti přepočtené na 1 tis. FTE je jedna z nejnižších</w:t>
      </w:r>
      <w:r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(25. místo). </w:t>
      </w:r>
      <w:r w:rsidR="001D6540" w:rsidRPr="00185DCB">
        <w:rPr>
          <w:rFonts w:ascii="Arial" w:hAnsi="Arial" w:cs="Arial"/>
          <w:sz w:val="22"/>
          <w:szCs w:val="22"/>
        </w:rPr>
        <w:t xml:space="preserve">Daří se </w:t>
      </w:r>
      <w:r w:rsidR="001D6540" w:rsidRPr="00185DCB">
        <w:rPr>
          <w:rFonts w:ascii="Arial" w:hAnsi="Arial" w:cs="Arial"/>
          <w:sz w:val="22"/>
          <w:szCs w:val="22"/>
        </w:rPr>
        <w:lastRenderedPageBreak/>
        <w:t>spolupracovat s TOP institucemi v konsorciích</w:t>
      </w:r>
      <w:r w:rsidR="001D6540" w:rsidRPr="00F8459C">
        <w:rPr>
          <w:rFonts w:ascii="Arial" w:hAnsi="Arial" w:cs="Arial"/>
          <w:sz w:val="22"/>
          <w:szCs w:val="22"/>
        </w:rPr>
        <w:t xml:space="preserve"> (i díky této spolupráci máme dobrou úspěšnost), ale účast v rámcových programech je v ČR stále něčím </w:t>
      </w:r>
      <w:r w:rsidR="001D6540" w:rsidRPr="00F8459C">
        <w:rPr>
          <w:rFonts w:ascii="Arial" w:hAnsi="Arial" w:cs="Arial"/>
          <w:b/>
          <w:sz w:val="22"/>
          <w:szCs w:val="22"/>
        </w:rPr>
        <w:t>výjimečným</w:t>
      </w:r>
      <w:r w:rsidR="001D6540" w:rsidRPr="00F8459C">
        <w:rPr>
          <w:rFonts w:ascii="Arial" w:hAnsi="Arial" w:cs="Arial"/>
          <w:sz w:val="22"/>
          <w:szCs w:val="22"/>
        </w:rPr>
        <w:t>.</w:t>
      </w:r>
      <w:r w:rsidR="00F8459C">
        <w:rPr>
          <w:rFonts w:ascii="Arial" w:hAnsi="Arial" w:cs="Arial"/>
          <w:sz w:val="22"/>
          <w:szCs w:val="22"/>
        </w:rPr>
        <w:t xml:space="preserve"> </w:t>
      </w:r>
    </w:p>
    <w:p w14:paraId="521C517E" w14:textId="7109571A" w:rsidR="00621542" w:rsidRPr="00F8459C" w:rsidRDefault="00621542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Česká republika je úspěšná zejména v některých prioritách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(INFRA, ICT, FOOD, ENERGY, TPT, SOCIETY</w:t>
      </w:r>
      <w:r w:rsidR="004C27E3"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ve kterých překonala úspěšnost EU-15 a EU-1</w:t>
      </w:r>
      <w:r w:rsidR="000445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Finanční úspěšnost vyšší než EU-15 a EU-1</w:t>
      </w:r>
      <w:r w:rsidR="000445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má ČR v prioritě BIOTECH, FOOD, TPT, SOCIETY</w:t>
      </w:r>
      <w:r w:rsidR="00A80128"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(str. 23)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236F3BB9" w14:textId="4980E285" w:rsidR="00143074" w:rsidRPr="00F8459C" w:rsidRDefault="00416933" w:rsidP="00143074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 analýzy je zřejmý </w:t>
      </w:r>
      <w:r w:rsidR="00A80128"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problém s koordinací projektů</w:t>
      </w:r>
      <w:r w:rsidR="00A80128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Z</w:t>
      </w:r>
      <w:r w:rsidR="00A40914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80128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tabul</w:t>
      </w:r>
      <w:r w:rsidR="00A40914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ky</w:t>
      </w:r>
      <w:r w:rsidR="00A80128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str. 25 vyplývá, že přítomnost zahraničního koordinátora významně zvyšuje kvalitu společných projektů.</w:t>
      </w:r>
      <w:r w:rsidR="00143074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Čeští výzkumníci koordinují pouze 220 projektů, což je čtyřikrát méně než Rakousko (str. 55).</w:t>
      </w:r>
      <w:r w:rsidR="00654970" w:rsidRPr="00562FE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F8459C" w:rsidRPr="00185DCB">
        <w:rPr>
          <w:rFonts w:ascii="Arial" w:hAnsi="Arial" w:cs="Arial"/>
          <w:sz w:val="22"/>
          <w:szCs w:val="22"/>
        </w:rPr>
        <w:t>V</w:t>
      </w:r>
      <w:r w:rsidR="00654970" w:rsidRPr="00185DCB">
        <w:rPr>
          <w:rFonts w:ascii="Arial" w:hAnsi="Arial" w:cs="Arial"/>
          <w:sz w:val="22"/>
          <w:szCs w:val="22"/>
        </w:rPr>
        <w:t>ětšinou</w:t>
      </w:r>
      <w:r w:rsidR="00654970" w:rsidRPr="00562FE2">
        <w:rPr>
          <w:rFonts w:ascii="Arial" w:hAnsi="Arial" w:cs="Arial"/>
          <w:sz w:val="22"/>
          <w:szCs w:val="22"/>
        </w:rPr>
        <w:t xml:space="preserve"> se jedná o koordinaci tzv. </w:t>
      </w:r>
      <w:r w:rsidR="00F8459C" w:rsidRPr="00562FE2">
        <w:rPr>
          <w:rFonts w:ascii="Arial" w:hAnsi="Arial" w:cs="Arial"/>
          <w:sz w:val="22"/>
          <w:szCs w:val="22"/>
        </w:rPr>
        <w:t>„</w:t>
      </w:r>
      <w:proofErr w:type="spellStart"/>
      <w:r w:rsidR="00654970" w:rsidRPr="00185DCB">
        <w:rPr>
          <w:rFonts w:ascii="Arial" w:hAnsi="Arial" w:cs="Arial"/>
          <w:sz w:val="22"/>
          <w:szCs w:val="22"/>
        </w:rPr>
        <w:t>Monobeneficiary</w:t>
      </w:r>
      <w:proofErr w:type="spellEnd"/>
      <w:r w:rsidR="00654970" w:rsidRPr="00185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54970" w:rsidRPr="00185DCB">
        <w:rPr>
          <w:rFonts w:ascii="Arial" w:hAnsi="Arial" w:cs="Arial"/>
          <w:sz w:val="22"/>
          <w:szCs w:val="22"/>
        </w:rPr>
        <w:t>projects</w:t>
      </w:r>
      <w:proofErr w:type="spellEnd"/>
      <w:r w:rsidR="00654970" w:rsidRPr="00562FE2">
        <w:rPr>
          <w:rFonts w:ascii="Arial" w:hAnsi="Arial" w:cs="Arial"/>
          <w:sz w:val="22"/>
          <w:szCs w:val="22"/>
        </w:rPr>
        <w:t xml:space="preserve">“ tj. individuálních projektů. Skutečně konsorciálních projektů typu </w:t>
      </w:r>
      <w:r w:rsidR="000445C1" w:rsidRPr="00562FE2">
        <w:rPr>
          <w:rFonts w:ascii="Arial" w:hAnsi="Arial" w:cs="Arial"/>
          <w:sz w:val="22"/>
          <w:szCs w:val="22"/>
        </w:rPr>
        <w:t>„</w:t>
      </w:r>
      <w:proofErr w:type="spellStart"/>
      <w:r w:rsidR="000445C1" w:rsidRPr="00562FE2">
        <w:rPr>
          <w:rFonts w:ascii="Arial" w:hAnsi="Arial" w:cs="Arial"/>
          <w:sz w:val="22"/>
          <w:szCs w:val="22"/>
        </w:rPr>
        <w:t>Reseach</w:t>
      </w:r>
      <w:proofErr w:type="spellEnd"/>
      <w:r w:rsidR="000445C1" w:rsidRPr="00562FE2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="000445C1" w:rsidRPr="00562FE2">
        <w:rPr>
          <w:rFonts w:ascii="Arial" w:hAnsi="Arial" w:cs="Arial"/>
          <w:sz w:val="22"/>
          <w:szCs w:val="22"/>
        </w:rPr>
        <w:t>Innovation</w:t>
      </w:r>
      <w:proofErr w:type="spellEnd"/>
      <w:r w:rsidR="000445C1" w:rsidRPr="00562F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45C1" w:rsidRPr="00562FE2">
        <w:rPr>
          <w:rFonts w:ascii="Arial" w:hAnsi="Arial" w:cs="Arial"/>
          <w:sz w:val="22"/>
          <w:szCs w:val="22"/>
        </w:rPr>
        <w:t>Action</w:t>
      </w:r>
      <w:proofErr w:type="spellEnd"/>
      <w:r w:rsidR="000445C1" w:rsidRPr="00562FE2">
        <w:rPr>
          <w:rFonts w:ascii="Arial" w:hAnsi="Arial" w:cs="Arial"/>
          <w:sz w:val="22"/>
          <w:szCs w:val="22"/>
        </w:rPr>
        <w:t>“ a „</w:t>
      </w:r>
      <w:proofErr w:type="spellStart"/>
      <w:r w:rsidR="000445C1" w:rsidRPr="00562FE2">
        <w:rPr>
          <w:rFonts w:ascii="Arial" w:hAnsi="Arial" w:cs="Arial"/>
          <w:sz w:val="22"/>
          <w:szCs w:val="22"/>
        </w:rPr>
        <w:t>Innovation</w:t>
      </w:r>
      <w:proofErr w:type="spellEnd"/>
      <w:r w:rsidR="000445C1" w:rsidRPr="00562F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45C1" w:rsidRPr="00562FE2">
        <w:rPr>
          <w:rFonts w:ascii="Arial" w:hAnsi="Arial" w:cs="Arial"/>
          <w:sz w:val="22"/>
          <w:szCs w:val="22"/>
        </w:rPr>
        <w:t>Action</w:t>
      </w:r>
      <w:proofErr w:type="spellEnd"/>
      <w:r w:rsidR="000445C1" w:rsidRPr="00562FE2">
        <w:rPr>
          <w:rFonts w:ascii="Arial" w:hAnsi="Arial" w:cs="Arial"/>
          <w:sz w:val="22"/>
          <w:szCs w:val="22"/>
        </w:rPr>
        <w:t xml:space="preserve">“ </w:t>
      </w:r>
      <w:r w:rsidR="00CA0AE4" w:rsidRPr="00562FE2">
        <w:rPr>
          <w:rFonts w:ascii="Arial" w:hAnsi="Arial" w:cs="Arial"/>
          <w:sz w:val="22"/>
          <w:szCs w:val="22"/>
        </w:rPr>
        <w:t xml:space="preserve">koordinují subjekty z ČR </w:t>
      </w:r>
      <w:r w:rsidR="00654970" w:rsidRPr="00562FE2">
        <w:rPr>
          <w:rFonts w:ascii="Arial" w:hAnsi="Arial" w:cs="Arial"/>
          <w:sz w:val="22"/>
          <w:szCs w:val="22"/>
        </w:rPr>
        <w:t xml:space="preserve">velmi málo </w:t>
      </w:r>
      <w:r w:rsidR="00CA0AE4" w:rsidRPr="00562FE2">
        <w:rPr>
          <w:rFonts w:ascii="Arial" w:hAnsi="Arial" w:cs="Arial"/>
          <w:sz w:val="22"/>
          <w:szCs w:val="22"/>
        </w:rPr>
        <w:t>-</w:t>
      </w:r>
      <w:r w:rsidR="00654970" w:rsidRPr="00562FE2">
        <w:rPr>
          <w:rFonts w:ascii="Arial" w:hAnsi="Arial" w:cs="Arial"/>
          <w:sz w:val="22"/>
          <w:szCs w:val="22"/>
        </w:rPr>
        <w:t xml:space="preserve"> koordinaci takových projektů českými koordinátory </w:t>
      </w:r>
      <w:r w:rsidR="00CA0AE4" w:rsidRPr="00562FE2">
        <w:rPr>
          <w:rFonts w:ascii="Arial" w:hAnsi="Arial" w:cs="Arial"/>
          <w:sz w:val="22"/>
          <w:szCs w:val="22"/>
        </w:rPr>
        <w:t xml:space="preserve">lze považovat </w:t>
      </w:r>
      <w:r w:rsidR="00654970" w:rsidRPr="00562FE2">
        <w:rPr>
          <w:rFonts w:ascii="Arial" w:hAnsi="Arial" w:cs="Arial"/>
          <w:sz w:val="22"/>
          <w:szCs w:val="22"/>
        </w:rPr>
        <w:t xml:space="preserve">za úspěch téměř srovnatelný se </w:t>
      </w:r>
      <w:r w:rsidR="00CA0AE4" w:rsidRPr="00562FE2">
        <w:rPr>
          <w:rFonts w:ascii="Arial" w:hAnsi="Arial" w:cs="Arial"/>
          <w:sz w:val="22"/>
          <w:szCs w:val="22"/>
        </w:rPr>
        <w:t xml:space="preserve">získáním </w:t>
      </w:r>
      <w:r w:rsidR="00654970" w:rsidRPr="00562FE2">
        <w:rPr>
          <w:rFonts w:ascii="Arial" w:hAnsi="Arial" w:cs="Arial"/>
          <w:sz w:val="22"/>
          <w:szCs w:val="22"/>
        </w:rPr>
        <w:t xml:space="preserve">grantu ERC. </w:t>
      </w:r>
      <w:r w:rsidR="00CA0AE4" w:rsidRPr="00562FE2">
        <w:rPr>
          <w:rFonts w:ascii="Arial" w:hAnsi="Arial" w:cs="Arial"/>
          <w:b/>
          <w:sz w:val="22"/>
          <w:szCs w:val="22"/>
        </w:rPr>
        <w:t>P</w:t>
      </w:r>
      <w:r w:rsidR="00654970" w:rsidRPr="00562FE2">
        <w:rPr>
          <w:rFonts w:ascii="Arial" w:hAnsi="Arial" w:cs="Arial"/>
          <w:b/>
          <w:sz w:val="22"/>
          <w:szCs w:val="22"/>
        </w:rPr>
        <w:t xml:space="preserve">rokazatelně </w:t>
      </w:r>
      <w:r w:rsidR="00CA0AE4" w:rsidRPr="00562FE2">
        <w:rPr>
          <w:rFonts w:ascii="Arial" w:hAnsi="Arial" w:cs="Arial"/>
          <w:b/>
          <w:sz w:val="22"/>
          <w:szCs w:val="22"/>
        </w:rPr>
        <w:t xml:space="preserve">přitom </w:t>
      </w:r>
      <w:r w:rsidR="00654970" w:rsidRPr="00562FE2">
        <w:rPr>
          <w:rFonts w:ascii="Arial" w:hAnsi="Arial" w:cs="Arial"/>
          <w:b/>
          <w:sz w:val="22"/>
          <w:szCs w:val="22"/>
        </w:rPr>
        <w:t xml:space="preserve">existuje tzv. </w:t>
      </w:r>
      <w:r w:rsidR="00F8459C" w:rsidRPr="00562FE2">
        <w:rPr>
          <w:rFonts w:ascii="Arial" w:hAnsi="Arial" w:cs="Arial"/>
          <w:b/>
          <w:sz w:val="22"/>
          <w:szCs w:val="22"/>
        </w:rPr>
        <w:t>„</w:t>
      </w:r>
      <w:proofErr w:type="spellStart"/>
      <w:r w:rsidR="00654970" w:rsidRPr="00562FE2">
        <w:rPr>
          <w:rFonts w:ascii="Arial" w:hAnsi="Arial" w:cs="Arial"/>
          <w:b/>
          <w:sz w:val="22"/>
          <w:szCs w:val="22"/>
        </w:rPr>
        <w:t>pull</w:t>
      </w:r>
      <w:proofErr w:type="spellEnd"/>
      <w:r w:rsidR="00654970" w:rsidRPr="00562FE2">
        <w:rPr>
          <w:rFonts w:ascii="Arial" w:hAnsi="Arial" w:cs="Arial"/>
          <w:b/>
          <w:sz w:val="22"/>
          <w:szCs w:val="22"/>
        </w:rPr>
        <w:t xml:space="preserve"> – </w:t>
      </w:r>
      <w:proofErr w:type="spellStart"/>
      <w:r w:rsidR="00654970" w:rsidRPr="00562FE2">
        <w:rPr>
          <w:rFonts w:ascii="Arial" w:hAnsi="Arial" w:cs="Arial"/>
          <w:b/>
          <w:sz w:val="22"/>
          <w:szCs w:val="22"/>
        </w:rPr>
        <w:t>efect</w:t>
      </w:r>
      <w:proofErr w:type="spellEnd"/>
      <w:r w:rsidR="00654970" w:rsidRPr="00562FE2">
        <w:rPr>
          <w:rFonts w:ascii="Arial" w:hAnsi="Arial" w:cs="Arial"/>
          <w:b/>
          <w:sz w:val="22"/>
          <w:szCs w:val="22"/>
        </w:rPr>
        <w:t>“</w:t>
      </w:r>
      <w:r w:rsidR="00654970" w:rsidRPr="00562FE2">
        <w:rPr>
          <w:rFonts w:ascii="Arial" w:hAnsi="Arial" w:cs="Arial"/>
          <w:sz w:val="22"/>
          <w:szCs w:val="22"/>
        </w:rPr>
        <w:t xml:space="preserve"> tj., že koordinátor si vždy „přitáhne“ do konsorcia národní partnery a tím roste i účast daného státu.</w:t>
      </w:r>
      <w:r w:rsidR="00CA0AE4" w:rsidRPr="00562FE2">
        <w:rPr>
          <w:rFonts w:ascii="Arial" w:hAnsi="Arial" w:cs="Arial"/>
          <w:sz w:val="22"/>
          <w:szCs w:val="22"/>
        </w:rPr>
        <w:t xml:space="preserve"> Na druhé straně je </w:t>
      </w:r>
      <w:r w:rsidR="00CA0AE4" w:rsidRPr="00185DCB">
        <w:rPr>
          <w:rFonts w:ascii="Arial" w:hAnsi="Arial" w:cs="Arial"/>
          <w:sz w:val="22"/>
          <w:szCs w:val="22"/>
        </w:rPr>
        <w:t>koordinace projektů obtížná a administrativně náročná činnost</w:t>
      </w:r>
      <w:r w:rsidR="00CA0AE4" w:rsidRPr="00562FE2">
        <w:rPr>
          <w:rFonts w:ascii="Arial" w:hAnsi="Arial" w:cs="Arial"/>
          <w:sz w:val="22"/>
          <w:szCs w:val="22"/>
        </w:rPr>
        <w:t>.</w:t>
      </w:r>
    </w:p>
    <w:p w14:paraId="7D52DFBA" w14:textId="1C937F8B" w:rsidR="00A80128" w:rsidRPr="00F8459C" w:rsidRDefault="000908DA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945A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Počet hodnotitelů projektů z ČR je obecně malý</w:t>
      </w:r>
      <w:r w:rsidR="00143074"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což vyplývá z grafu na str. 47</w:t>
      </w:r>
      <w:r w:rsidR="001D6540"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druhou stranu ale neexistuje zřejmá pozitivní vazba mezi počtem hodnotitelů a úspěšností projektů dané země. </w:t>
      </w:r>
    </w:p>
    <w:p w14:paraId="6F5DD343" w14:textId="122010FE" w:rsidR="00A40914" w:rsidRPr="000445C1" w:rsidRDefault="00A40914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Pokud jde o účast českých žadatelů o grant ERC, je situace obdobná účasti ČR v H2020 obecně. Z tabulky na str. 30 vyplývá </w:t>
      </w:r>
      <w:r w:rsidR="006015E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poměrně nízká 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aktivita v pře</w:t>
      </w:r>
      <w:r w:rsidR="006015E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d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kládání návrhů projektů k ERC</w:t>
      </w: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ale </w:t>
      </w:r>
      <w:r w:rsidR="006015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počet předkládaných projektových návrhů a jejich úspěšnost v posledních letech stoupá. Zároveň je ale třeba uvést, že žadatelé s českou národností, kteří podali grant na některé ze zahraničních institucí, dosahují celkově </w:t>
      </w:r>
      <w:r w:rsidR="006015E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páté</w:t>
      </w:r>
      <w:r w:rsidRPr="00F8459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nejlepší úspěšnost</w:t>
      </w:r>
      <w:r w:rsidR="006015E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i mezi státy EU.</w:t>
      </w:r>
      <w:r w:rsidR="006015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7D7E925E" w14:textId="522CBA66" w:rsidR="006D4A3A" w:rsidRDefault="006D4A3A" w:rsidP="0062154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45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Podíl soukromého sektoru na účasti subjektů z ČR v H2020 se pohybuje kolem 30 %, což je šestý nejvyšší podíl mezi státy EU-13. Před ČR jsou z této skupiny státy jako SK, HU (oba kolem 35 %) a především CY.</w:t>
      </w:r>
    </w:p>
    <w:p w14:paraId="7BC2290A" w14:textId="77777777" w:rsidR="006D4A3A" w:rsidRPr="00C17BDD" w:rsidRDefault="006D4A3A" w:rsidP="001A00CD">
      <w:pPr>
        <w:pStyle w:val="Nadpis3"/>
        <w:rPr>
          <w:rFonts w:eastAsiaTheme="minorHAnsi"/>
          <w:lang w:eastAsia="en-US"/>
        </w:rPr>
      </w:pPr>
      <w:r w:rsidRPr="00C17BDD">
        <w:rPr>
          <w:rFonts w:eastAsiaTheme="minorHAnsi"/>
          <w:lang w:eastAsia="en-US"/>
        </w:rPr>
        <w:t>Závěr</w:t>
      </w:r>
    </w:p>
    <w:p w14:paraId="62AD5F70" w14:textId="1F265205" w:rsidR="006D4A3A" w:rsidRPr="001A00CD" w:rsidRDefault="001A00CD" w:rsidP="005715A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</w:t>
      </w:r>
      <w:r w:rsidR="001D6540"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lavním </w:t>
      </w:r>
      <w:r w:rsidR="006D4A3A"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problémem</w:t>
      </w:r>
      <w:r w:rsidR="001D6540"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(nebo jedním z hlavních problémů)</w:t>
      </w:r>
      <w:r w:rsidR="006D4A3A"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účasti ČR v H2020 je </w:t>
      </w:r>
      <w:r w:rsidR="006D4A3A"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malá aktivita českých subjektů</w:t>
      </w:r>
      <w:r w:rsidR="006D4A3A"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Málo </w:t>
      </w:r>
      <w:r w:rsidR="004C27E3" w:rsidRP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návrhů projektů</w:t>
      </w:r>
      <w:r w:rsidR="005B6B6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nepřispívá - i přes jejich relativně vysokou úspěšnost – dostatečně ke zvyšování kvality českého výzkumu v mezinárodním srovnání</w:t>
      </w:r>
      <w:r w:rsidR="009945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1C80C331" w14:textId="7A0D3799" w:rsidR="001A00CD" w:rsidRDefault="001A00CD" w:rsidP="005715A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Odborníci z České republiky se málo zapojují do hodnocení návrhů projekt</w:t>
      </w:r>
      <w:r w:rsidR="00584450"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ů</w:t>
      </w:r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v H2020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14:paraId="5614B01F" w14:textId="77777777" w:rsidR="001A00CD" w:rsidRPr="001A00CD" w:rsidRDefault="001A00CD" w:rsidP="001A00CD">
      <w:pPr>
        <w:pStyle w:val="Nadpis2"/>
        <w:rPr>
          <w:rFonts w:eastAsiaTheme="minorHAnsi"/>
          <w:b/>
          <w:lang w:eastAsia="en-US"/>
        </w:rPr>
      </w:pPr>
      <w:proofErr w:type="spellStart"/>
      <w:r w:rsidRPr="001A00CD">
        <w:rPr>
          <w:rFonts w:eastAsiaTheme="minorHAnsi"/>
          <w:b/>
          <w:lang w:eastAsia="en-US"/>
        </w:rPr>
        <w:t>Exploring</w:t>
      </w:r>
      <w:proofErr w:type="spellEnd"/>
      <w:r w:rsidRPr="001A00CD">
        <w:rPr>
          <w:rFonts w:eastAsiaTheme="minorHAnsi"/>
          <w:b/>
          <w:lang w:eastAsia="en-US"/>
        </w:rPr>
        <w:t xml:space="preserve"> </w:t>
      </w:r>
      <w:proofErr w:type="spellStart"/>
      <w:r w:rsidRPr="001A00CD">
        <w:rPr>
          <w:rFonts w:eastAsiaTheme="minorHAnsi"/>
          <w:b/>
          <w:lang w:eastAsia="en-US"/>
        </w:rPr>
        <w:t>the</w:t>
      </w:r>
      <w:proofErr w:type="spellEnd"/>
      <w:r w:rsidRPr="001A00CD">
        <w:rPr>
          <w:rFonts w:eastAsiaTheme="minorHAnsi"/>
          <w:b/>
          <w:lang w:eastAsia="en-US"/>
        </w:rPr>
        <w:t xml:space="preserve"> performance gap in EU Framework </w:t>
      </w:r>
      <w:proofErr w:type="spellStart"/>
      <w:r w:rsidRPr="001A00CD">
        <w:rPr>
          <w:rFonts w:eastAsiaTheme="minorHAnsi"/>
          <w:b/>
          <w:lang w:eastAsia="en-US"/>
        </w:rPr>
        <w:t>Programmes</w:t>
      </w:r>
      <w:proofErr w:type="spellEnd"/>
      <w:r w:rsidRPr="001A00CD">
        <w:rPr>
          <w:rFonts w:eastAsiaTheme="minorHAnsi"/>
          <w:b/>
          <w:lang w:eastAsia="en-US"/>
        </w:rPr>
        <w:t xml:space="preserve"> </w:t>
      </w:r>
      <w:proofErr w:type="spellStart"/>
      <w:r w:rsidRPr="001A00CD">
        <w:rPr>
          <w:rFonts w:eastAsiaTheme="minorHAnsi"/>
          <w:b/>
          <w:lang w:eastAsia="en-US"/>
        </w:rPr>
        <w:t>between</w:t>
      </w:r>
      <w:proofErr w:type="spellEnd"/>
      <w:r w:rsidRPr="001A00CD">
        <w:rPr>
          <w:rFonts w:eastAsiaTheme="minorHAnsi"/>
          <w:b/>
          <w:lang w:eastAsia="en-US"/>
        </w:rPr>
        <w:t xml:space="preserve"> EU13 and EU15 </w:t>
      </w:r>
      <w:proofErr w:type="spellStart"/>
      <w:r w:rsidRPr="001A00CD">
        <w:rPr>
          <w:rFonts w:eastAsiaTheme="minorHAnsi"/>
          <w:b/>
          <w:lang w:eastAsia="en-US"/>
        </w:rPr>
        <w:t>Member</w:t>
      </w:r>
      <w:proofErr w:type="spellEnd"/>
      <w:r w:rsidRPr="001A00CD">
        <w:rPr>
          <w:rFonts w:eastAsiaTheme="minorHAnsi"/>
          <w:b/>
          <w:lang w:eastAsia="en-US"/>
        </w:rPr>
        <w:t xml:space="preserve"> </w:t>
      </w:r>
      <w:proofErr w:type="spellStart"/>
      <w:r w:rsidRPr="001A00CD">
        <w:rPr>
          <w:rFonts w:eastAsiaTheme="minorHAnsi"/>
          <w:b/>
          <w:lang w:eastAsia="en-US"/>
        </w:rPr>
        <w:t>States</w:t>
      </w:r>
      <w:proofErr w:type="spellEnd"/>
    </w:p>
    <w:p w14:paraId="052F80DB" w14:textId="537F0F90" w:rsidR="001A00CD" w:rsidRDefault="0097329A" w:rsidP="001A00C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Další studií, která se věnuje příčinám nízké účasti zemí EU13 v H2020, je </w:t>
      </w:r>
      <w:r w:rsidR="008257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zpráva zpracovaná </w:t>
      </w:r>
      <w:proofErr w:type="spellStart"/>
      <w:r w:rsidR="008257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Scientific</w:t>
      </w:r>
      <w:proofErr w:type="spellEnd"/>
      <w:r w:rsidR="008257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8257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Foresight</w:t>
      </w:r>
      <w:proofErr w:type="spellEnd"/>
      <w:r w:rsidR="008257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Unit (STOA) pro Evropský parlament, červen 2020</w:t>
      </w:r>
      <w:r w:rsid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Zpráva sumarizuje důvody malé účasti</w:t>
      </w:r>
      <w:r w:rsidR="00627A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subjektů ze zemí EU</w:t>
      </w:r>
      <w:r w:rsidR="000445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</w:t>
      </w:r>
      <w:r w:rsidR="00627A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13</w:t>
      </w:r>
      <w:r w:rsidR="001A00C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 H2020 takto:</w:t>
      </w:r>
    </w:p>
    <w:p w14:paraId="38B4AEDC" w14:textId="1254F2C1" w:rsidR="001A00CD" w:rsidRPr="00185DCB" w:rsidRDefault="001A00CD" w:rsidP="005715A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Relativní nedostatky systému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především nízké výdaje na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</w:t>
      </w: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další strukturální nedostatky systému</w:t>
      </w:r>
    </w:p>
    <w:p w14:paraId="5FF19307" w14:textId="718E623F" w:rsidR="001A00CD" w:rsidRPr="00185DCB" w:rsidRDefault="001A00CD" w:rsidP="005715A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Relativní nedostatek vědecké excelence</w:t>
      </w:r>
    </w:p>
    <w:p w14:paraId="7E5C0D42" w14:textId="040692D6" w:rsidR="001A00CD" w:rsidRDefault="001A00CD" w:rsidP="005715A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Malá kvalita předkládaných návrhů projektů</w:t>
      </w:r>
    </w:p>
    <w:p w14:paraId="0B3BC841" w14:textId="6EC1D5C4" w:rsidR="00202F8E" w:rsidRPr="00185DCB" w:rsidRDefault="00202F8E" w:rsidP="005715A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5DC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Malá chuť návrhy projektů předkládat</w:t>
      </w:r>
    </w:p>
    <w:p w14:paraId="260A4422" w14:textId="0014F4FF" w:rsidR="00202F8E" w:rsidRDefault="00202F8E" w:rsidP="005715A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52C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Málo mezinárodních kontaktů a nedostatečné zapojení do profesních sítí</w:t>
      </w:r>
      <w:r w:rsidR="00570D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r w:rsidR="00570D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professional</w:t>
      </w:r>
      <w:proofErr w:type="spellEnd"/>
      <w:r w:rsidR="00570D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570D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networks</w:t>
      </w:r>
      <w:proofErr w:type="spellEnd"/>
      <w:r w:rsidR="00570D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</w:p>
    <w:p w14:paraId="3F078EB6" w14:textId="709FDC99" w:rsidR="004B090A" w:rsidRPr="00185DCB" w:rsidRDefault="004B090A" w:rsidP="00185DC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Zpráva zároveň zdůrazňuje, že region EU13 je velmi heterogenní a příčiny nízké účasti mají různou relevanci pro jednotlivé země.</w:t>
      </w:r>
    </w:p>
    <w:p w14:paraId="7C42CBA2" w14:textId="422FD458" w:rsidR="0082578C" w:rsidRPr="0082578C" w:rsidRDefault="0082578C" w:rsidP="0082578C">
      <w:pPr>
        <w:pStyle w:val="Nadpis2"/>
        <w:rPr>
          <w:rFonts w:eastAsiaTheme="minorHAnsi"/>
          <w:b/>
          <w:lang w:eastAsia="en-US"/>
        </w:rPr>
      </w:pPr>
      <w:proofErr w:type="spellStart"/>
      <w:r w:rsidRPr="0082578C">
        <w:rPr>
          <w:rFonts w:eastAsiaTheme="minorHAnsi"/>
          <w:b/>
          <w:lang w:eastAsia="en-US"/>
        </w:rPr>
        <w:lastRenderedPageBreak/>
        <w:t>Horizon</w:t>
      </w:r>
      <w:proofErr w:type="spellEnd"/>
      <w:r w:rsidRPr="0082578C">
        <w:rPr>
          <w:rFonts w:eastAsiaTheme="minorHAnsi"/>
          <w:b/>
          <w:lang w:eastAsia="en-US"/>
        </w:rPr>
        <w:t xml:space="preserve"> 2020: </w:t>
      </w:r>
      <w:proofErr w:type="spellStart"/>
      <w:r w:rsidRPr="0082578C">
        <w:rPr>
          <w:rFonts w:eastAsiaTheme="minorHAnsi"/>
          <w:b/>
          <w:lang w:eastAsia="en-US"/>
        </w:rPr>
        <w:t>Geographical</w:t>
      </w:r>
      <w:proofErr w:type="spellEnd"/>
      <w:r w:rsidRPr="0082578C">
        <w:rPr>
          <w:rFonts w:eastAsiaTheme="minorHAnsi"/>
          <w:b/>
          <w:lang w:eastAsia="en-US"/>
        </w:rPr>
        <w:t xml:space="preserve"> balance </w:t>
      </w:r>
      <w:proofErr w:type="spellStart"/>
      <w:r w:rsidRPr="0082578C">
        <w:rPr>
          <w:rFonts w:eastAsiaTheme="minorHAnsi"/>
          <w:b/>
          <w:lang w:eastAsia="en-US"/>
        </w:rPr>
        <w:t>of</w:t>
      </w:r>
      <w:proofErr w:type="spellEnd"/>
      <w:r w:rsidRPr="0082578C">
        <w:rPr>
          <w:rFonts w:eastAsiaTheme="minorHAnsi"/>
          <w:b/>
          <w:lang w:eastAsia="en-US"/>
        </w:rPr>
        <w:t xml:space="preserve"> </w:t>
      </w:r>
      <w:proofErr w:type="spellStart"/>
      <w:r w:rsidRPr="0082578C">
        <w:rPr>
          <w:rFonts w:eastAsiaTheme="minorHAnsi"/>
          <w:b/>
          <w:lang w:eastAsia="en-US"/>
        </w:rPr>
        <w:t>beneficiaries</w:t>
      </w:r>
      <w:proofErr w:type="spellEnd"/>
      <w:r w:rsidRPr="0082578C">
        <w:rPr>
          <w:rFonts w:eastAsiaTheme="minorHAnsi"/>
          <w:b/>
          <w:lang w:eastAsia="en-US"/>
        </w:rPr>
        <w:t xml:space="preserve">. </w:t>
      </w:r>
      <w:proofErr w:type="spellStart"/>
      <w:r w:rsidRPr="0082578C">
        <w:rPr>
          <w:rFonts w:eastAsiaTheme="minorHAnsi"/>
          <w:b/>
          <w:lang w:eastAsia="en-US"/>
        </w:rPr>
        <w:t>Directorate</w:t>
      </w:r>
      <w:proofErr w:type="spellEnd"/>
      <w:r w:rsidRPr="0082578C">
        <w:rPr>
          <w:rFonts w:eastAsiaTheme="minorHAnsi"/>
          <w:b/>
          <w:lang w:eastAsia="en-US"/>
        </w:rPr>
        <w:t xml:space="preserve">-General </w:t>
      </w:r>
      <w:proofErr w:type="spellStart"/>
      <w:r w:rsidRPr="0082578C">
        <w:rPr>
          <w:rFonts w:eastAsiaTheme="minorHAnsi"/>
          <w:b/>
          <w:lang w:eastAsia="en-US"/>
        </w:rPr>
        <w:t>for</w:t>
      </w:r>
      <w:proofErr w:type="spellEnd"/>
      <w:r w:rsidRPr="0082578C">
        <w:rPr>
          <w:rFonts w:eastAsiaTheme="minorHAnsi"/>
          <w:b/>
          <w:lang w:eastAsia="en-US"/>
        </w:rPr>
        <w:t xml:space="preserve"> </w:t>
      </w:r>
      <w:proofErr w:type="spellStart"/>
      <w:r w:rsidRPr="0082578C">
        <w:rPr>
          <w:rFonts w:eastAsiaTheme="minorHAnsi"/>
          <w:b/>
          <w:lang w:eastAsia="en-US"/>
        </w:rPr>
        <w:t>Internal</w:t>
      </w:r>
      <w:proofErr w:type="spellEnd"/>
      <w:r w:rsidRPr="0082578C">
        <w:rPr>
          <w:rFonts w:eastAsiaTheme="minorHAnsi"/>
          <w:b/>
          <w:lang w:eastAsia="en-US"/>
        </w:rPr>
        <w:t xml:space="preserve"> </w:t>
      </w:r>
      <w:proofErr w:type="spellStart"/>
      <w:r w:rsidRPr="0082578C">
        <w:rPr>
          <w:rFonts w:eastAsiaTheme="minorHAnsi"/>
          <w:b/>
          <w:lang w:eastAsia="en-US"/>
        </w:rPr>
        <w:t>Policies</w:t>
      </w:r>
      <w:proofErr w:type="spellEnd"/>
      <w:r w:rsidRPr="0082578C">
        <w:rPr>
          <w:rFonts w:eastAsiaTheme="minorHAnsi"/>
          <w:b/>
          <w:lang w:eastAsia="en-US"/>
        </w:rPr>
        <w:t xml:space="preserve">, </w:t>
      </w:r>
      <w:proofErr w:type="spellStart"/>
      <w:r w:rsidR="005A192B">
        <w:rPr>
          <w:rFonts w:eastAsiaTheme="minorHAnsi"/>
          <w:b/>
          <w:lang w:eastAsia="en-US"/>
        </w:rPr>
        <w:t>Po</w:t>
      </w:r>
      <w:r w:rsidRPr="0082578C">
        <w:rPr>
          <w:rFonts w:eastAsiaTheme="minorHAnsi"/>
          <w:b/>
          <w:lang w:eastAsia="en-US"/>
        </w:rPr>
        <w:t>licy</w:t>
      </w:r>
      <w:proofErr w:type="spellEnd"/>
      <w:r w:rsidRPr="0082578C">
        <w:rPr>
          <w:rFonts w:eastAsiaTheme="minorHAnsi"/>
          <w:b/>
          <w:lang w:eastAsia="en-US"/>
        </w:rPr>
        <w:t xml:space="preserve"> </w:t>
      </w:r>
      <w:proofErr w:type="spellStart"/>
      <w:r w:rsidRPr="0082578C">
        <w:rPr>
          <w:rFonts w:eastAsiaTheme="minorHAnsi"/>
          <w:b/>
          <w:lang w:eastAsia="en-US"/>
        </w:rPr>
        <w:t>Dept</w:t>
      </w:r>
      <w:proofErr w:type="spellEnd"/>
      <w:r w:rsidRPr="0082578C">
        <w:rPr>
          <w:rFonts w:eastAsiaTheme="minorHAnsi"/>
          <w:b/>
          <w:lang w:eastAsia="en-US"/>
        </w:rPr>
        <w:t xml:space="preserve">. </w:t>
      </w:r>
      <w:proofErr w:type="spellStart"/>
      <w:r w:rsidRPr="0082578C">
        <w:rPr>
          <w:rFonts w:eastAsiaTheme="minorHAnsi"/>
          <w:b/>
          <w:lang w:eastAsia="en-US"/>
        </w:rPr>
        <w:t>For</w:t>
      </w:r>
      <w:proofErr w:type="spellEnd"/>
      <w:r w:rsidRPr="0082578C">
        <w:rPr>
          <w:rFonts w:eastAsiaTheme="minorHAnsi"/>
          <w:b/>
          <w:lang w:eastAsia="en-US"/>
        </w:rPr>
        <w:t xml:space="preserve"> </w:t>
      </w:r>
      <w:proofErr w:type="spellStart"/>
      <w:r w:rsidRPr="0082578C">
        <w:rPr>
          <w:rFonts w:eastAsiaTheme="minorHAnsi"/>
          <w:b/>
          <w:lang w:eastAsia="en-US"/>
        </w:rPr>
        <w:t>Budgetary</w:t>
      </w:r>
      <w:proofErr w:type="spellEnd"/>
      <w:r w:rsidRPr="0082578C">
        <w:rPr>
          <w:rFonts w:eastAsiaTheme="minorHAnsi"/>
          <w:b/>
          <w:lang w:eastAsia="en-US"/>
        </w:rPr>
        <w:t xml:space="preserve"> </w:t>
      </w:r>
      <w:proofErr w:type="spellStart"/>
      <w:r w:rsidRPr="0082578C">
        <w:rPr>
          <w:rFonts w:eastAsiaTheme="minorHAnsi"/>
          <w:b/>
          <w:lang w:eastAsia="en-US"/>
        </w:rPr>
        <w:t>Affairs</w:t>
      </w:r>
      <w:proofErr w:type="spellEnd"/>
      <w:r w:rsidRPr="0082578C">
        <w:rPr>
          <w:rFonts w:eastAsiaTheme="minorHAnsi"/>
          <w:b/>
          <w:lang w:eastAsia="en-US"/>
        </w:rPr>
        <w:t>.</w:t>
      </w:r>
    </w:p>
    <w:p w14:paraId="331626BE" w14:textId="08F8BE9E" w:rsidR="0082578C" w:rsidRDefault="0082578C" w:rsidP="0082578C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Tato zpráva doporučuje pro zlepšení účasti členských států EU13 </w:t>
      </w:r>
      <w:r w:rsid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provést členským státům následující kroky:</w:t>
      </w:r>
    </w:p>
    <w:p w14:paraId="503E0D0D" w14:textId="2EC872A0" w:rsidR="005A192B" w:rsidRPr="005A192B" w:rsidRDefault="005A192B" w:rsidP="005715A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Posilovat procesy a činnosti chytré specializace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vyhodnocovat jejich zavádění a využívat různé zdroje financování (národní, evropské strukturální a investiční fondy,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Horizont 2020 a další) synergickým způsobem posílit pozici regionů v oblastech jejich konkurenční výhody.</w:t>
      </w:r>
    </w:p>
    <w:p w14:paraId="26C803B7" w14:textId="4CC73DBC" w:rsidR="005A192B" w:rsidRPr="005A192B" w:rsidRDefault="005A192B" w:rsidP="005715A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Zvýšit vnitrostátní financování </w:t>
      </w:r>
      <w:proofErr w:type="spellStart"/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VaVaV</w:t>
      </w:r>
      <w:proofErr w:type="spellEnd"/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a používat je explicitně společně s evropskými strukturálními a Investiční fondy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jako pákový efekt k </w:t>
      </w:r>
      <w:r w:rsidR="00CF76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podpoře 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 rámcových programů.</w:t>
      </w:r>
    </w:p>
    <w:p w14:paraId="0A999C95" w14:textId="6FBF1B2B" w:rsidR="005A192B" w:rsidRPr="005A192B" w:rsidRDefault="005A192B" w:rsidP="005715A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Zavést systém periodického hodnocení výzkumných organizací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který by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zahrnul také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mezinárodní spolupráci a řízení výzkumu. Takové systémy budou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podporovat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excelenc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 ve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zlepš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připravenost výzkumných organizací k účasti rámcové programy.</w:t>
      </w:r>
    </w:p>
    <w:p w14:paraId="3B906261" w14:textId="4E24439A" w:rsidR="005A192B" w:rsidRDefault="005A192B" w:rsidP="005715A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844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Zvýšit viditelnost a přitažlivost výzkumných středisek a výzkumných infrastruktur </w:t>
      </w:r>
      <w:r w:rsidRPr="00D215C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</w:t>
      </w:r>
      <w:r w:rsidR="00CF76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zemích 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EU13 s cílem usnadnit napojení na </w:t>
      </w:r>
      <w:r w:rsidR="00CF76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širokou </w:t>
      </w:r>
      <w:r w:rsidRPr="005A192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evropskou spolupráci. Mnoho z těchto výzkumných zařízení bylo vytvořeno nebo podstatně modernizováno nedávno s pomocí strukturálních a investičních fondů EU.</w:t>
      </w:r>
    </w:p>
    <w:p w14:paraId="3F8F283B" w14:textId="0ED7E101" w:rsidR="005A192B" w:rsidRDefault="00F818AE" w:rsidP="005A192B">
      <w:pPr>
        <w:pStyle w:val="Nadpis2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Shrnutí všech doporučení</w:t>
      </w:r>
    </w:p>
    <w:p w14:paraId="0ADF8FE0" w14:textId="4047B305" w:rsidR="005A6FB2" w:rsidRPr="005A6FB2" w:rsidRDefault="005A6FB2" w:rsidP="005A6FB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A6F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 prostudování všech tří zde uváděných zpráv lze konstatovat, že se </w:t>
      </w:r>
      <w:r w:rsidR="00627A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závěry jejich analýz a následná</w:t>
      </w:r>
      <w:r w:rsidR="00627AB7" w:rsidRPr="005A6F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A6F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doporučení příliš neliší.</w:t>
      </w:r>
      <w:r w:rsidR="00627A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Lze zároveň konstatovat, že si ČR nedostatky uvědomuje a ve všech oblastech usiluje o změnu, i když toto úsilí – pravděpodobně</w:t>
      </w:r>
      <w:r w:rsidRPr="005A6F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627A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 není dostatečné. D</w:t>
      </w:r>
      <w:r w:rsidRPr="005A6F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oporučení lze shrnout takto:</w:t>
      </w:r>
    </w:p>
    <w:p w14:paraId="5B4E2D8F" w14:textId="074FCDFA" w:rsidR="005A192B" w:rsidRDefault="00F818AE" w:rsidP="005715A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Zvyšovat kvalitu výzkumu (excelenci)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0EEFB8BB" w14:textId="1C61310E" w:rsidR="005715A4" w:rsidRDefault="009945A0" w:rsidP="005715A4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O</w:t>
      </w:r>
      <w:r w:rsidR="00A8094B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dměňovat </w:t>
      </w:r>
      <w:r w:rsidR="0029364A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kvalit</w:t>
      </w:r>
      <w:r w:rsidR="00CF76EE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u</w:t>
      </w:r>
      <w:r w:rsidR="0029364A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/ </w:t>
      </w:r>
      <w:r w:rsidR="00A8094B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excelenc</w:t>
      </w:r>
      <w:r w:rsidR="00CF76EE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i</w:t>
      </w:r>
      <w:r w:rsidR="00A8094B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</w:t>
      </w:r>
      <w:r w:rsidR="0029364A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výzkumu</w:t>
      </w:r>
      <w:r w:rsidR="0029364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8094B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</w:t>
      </w:r>
      <w:r w:rsidR="00CF76E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současně zlepšovat </w:t>
      </w:r>
      <w:r w:rsidR="00A8094B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připravenost výzkumných organizací na účast v projektech rámcového programu</w:t>
      </w:r>
    </w:p>
    <w:p w14:paraId="2C961568" w14:textId="3ACE14E8" w:rsidR="00A8094B" w:rsidRPr="00A8094B" w:rsidRDefault="009945A0" w:rsidP="00A8094B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Podporovat </w:t>
      </w:r>
      <w:r w:rsidR="00CF76EE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rozvoj </w:t>
      </w:r>
      <w:r w:rsidR="00A8094B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excelence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včetně stanovování priorit, hodnocení a monitorování, a podmín</w:t>
      </w:r>
      <w:r w:rsidR="0029364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 financování</w:t>
      </w:r>
      <w:r w:rsidR="009B7C9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ve vazbě na strategické směry evropského výzkumu.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303115FE" w14:textId="619E087C" w:rsidR="00A8094B" w:rsidRPr="004C6BEF" w:rsidRDefault="00A13CB7" w:rsidP="008C6EEB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P</w:t>
      </w:r>
      <w:r w:rsidR="0029364A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o</w:t>
      </w:r>
      <w:r w:rsidR="00A8094B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silovat procesy a aktivity chytré specializace</w:t>
      </w:r>
      <w:r w:rsidR="009B7C9F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(RIS3)</w:t>
      </w:r>
      <w:r w:rsidR="00A8094B" w:rsidRPr="004C6B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vyhodnocovat jejich realizaci a synergicky využívat různé zdroje financování (národní, ESIF, H2020 a další) k posílení pozice regionů v oblastech, </w:t>
      </w:r>
      <w:r w:rsidR="00A8094B" w:rsidRPr="009945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které jsou</w:t>
      </w:r>
      <w:r w:rsidR="00A8094B" w:rsidRPr="004C6B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 ně </w:t>
      </w:r>
      <w:r w:rsidR="00A8094B" w:rsidRPr="009945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konkurenční výhodou</w:t>
      </w:r>
      <w:r w:rsidR="00A8094B" w:rsidRPr="004C6B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21BEEDD" w14:textId="163F1333" w:rsidR="00930CD7" w:rsidRDefault="00A13CB7" w:rsidP="00930CD7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Posílit význam m</w:t>
      </w:r>
      <w:r w:rsidR="009D7095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ezinárodní / evropsk</w:t>
      </w: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é</w:t>
      </w:r>
      <w:r w:rsidR="009D7095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spolupráce </w:t>
      </w: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v </w:t>
      </w:r>
      <w:r w:rsidR="00930CD7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hodnocení výzkumných organizací</w:t>
      </w:r>
      <w:r w:rsidR="00930C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Metodika 2017+; poskytovatelé DKRVO.</w:t>
      </w:r>
    </w:p>
    <w:p w14:paraId="26DEE8BF" w14:textId="6F698519" w:rsidR="004C6BEF" w:rsidRDefault="004C6BEF" w:rsidP="004C6BE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Podpora účasti podniků</w:t>
      </w:r>
      <w:r w:rsid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v evropských programech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09F35047" w14:textId="0E2F746D" w:rsidR="00A8094B" w:rsidRPr="00A8094B" w:rsidRDefault="009D7095" w:rsidP="004C6BEF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Mělo by být posíleno </w:t>
      </w:r>
      <w:r w:rsidR="00A8094B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efektivní využití výstupů výzkumu a vývoje vyplývajících z projektů </w:t>
      </w:r>
      <w:r w:rsidR="004C6BEF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rámcových programů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např. zavedením schématu </w:t>
      </w:r>
      <w:proofErr w:type="spellStart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proof</w:t>
      </w:r>
      <w:proofErr w:type="spellEnd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of</w:t>
      </w:r>
      <w:proofErr w:type="spellEnd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concept</w:t>
      </w:r>
      <w:proofErr w:type="spellEnd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proofErr w:type="gramStart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PoC</w:t>
      </w:r>
      <w:proofErr w:type="spellEnd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 (obdoba</w:t>
      </w:r>
      <w:proofErr w:type="gramEnd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ERC </w:t>
      </w:r>
      <w:proofErr w:type="spellStart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PoC</w:t>
      </w:r>
      <w:proofErr w:type="spellEnd"/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), které by umožnilo navazující aktivity vedoucí k úspěšné realizaci výzkumných a příp. výsledky rozvoje dosažené v projektech </w:t>
      </w:r>
      <w:r w:rsidR="004C6B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rámcových programů.</w:t>
      </w:r>
    </w:p>
    <w:p w14:paraId="565B774D" w14:textId="46912B9C" w:rsidR="00A8094B" w:rsidRPr="00A8094B" w:rsidRDefault="009D7095" w:rsidP="004C6BEF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Měly by se vytvořit </w:t>
      </w:r>
      <w:r w:rsidR="00A8094B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vnitrostátní systémy financování, z ESIF nebo </w:t>
      </w:r>
      <w:r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z jiných zdrojů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pro vnitrostátní nebo regionální „projekty využívání“, v nichž účastníci RP spolupracují s dalšími vnitrostátními a regionálními aktéry za účelem využití výsledků projektů EU;</w:t>
      </w:r>
    </w:p>
    <w:p w14:paraId="0DFCB811" w14:textId="40211680" w:rsidR="00A8094B" w:rsidRPr="00A8094B" w:rsidRDefault="009D7095" w:rsidP="004C6BEF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Je zapotřebí r</w:t>
      </w:r>
      <w:r w:rsidR="00A8094B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acionalizovat, zjednodušit a posílit podporu rámcového programu pro inovační činnosti malých a středních podniků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které se blíží trhu 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(zejména nástroj pro malé a střední podniky a mechanism</w:t>
      </w:r>
      <w:r w:rsidR="005F06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us Fast Track to </w:t>
      </w:r>
      <w:proofErr w:type="spellStart"/>
      <w:r w:rsidR="005F06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Innovation</w:t>
      </w:r>
      <w:proofErr w:type="spellEnd"/>
      <w:r w:rsidR="005F06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). V 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tomto ohledu je užitečné posílit mechanismy, které </w:t>
      </w:r>
      <w:r w:rsidR="005F0696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kombinují granty s </w:t>
      </w:r>
      <w:r w:rsidR="00A8094B" w:rsidRPr="009D709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kapitálovým financováním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Lepší pochopení struktury podpůrných mechanismů ze strany inovativních MSP a vyšší úspěšnost v těchto systémech financování může odstranit bariéry typu A (tj. bariéry při podávání návrhů souvisejících s motivací).</w:t>
      </w:r>
    </w:p>
    <w:p w14:paraId="2364E512" w14:textId="43A75F81" w:rsidR="00F818AE" w:rsidRPr="0029364A" w:rsidRDefault="004C6BEF" w:rsidP="005A6FB2">
      <w:pPr>
        <w:pStyle w:val="Odstavecseseznamem"/>
        <w:keepNext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Technická o</w:t>
      </w:r>
      <w:r w:rsidR="00F818AE"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patření k podávání návrhů projektů do evropských programů</w:t>
      </w:r>
    </w:p>
    <w:p w14:paraId="3455BEBA" w14:textId="5B3811B0" w:rsidR="00F818AE" w:rsidRDefault="009D7095" w:rsidP="005715A4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Nezbytná je p</w:t>
      </w:r>
      <w:r w:rsidR="00F818AE" w:rsidRPr="0029364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odpora přípravy projektů, aktivní asistence při přípravě, poradenství</w:t>
      </w:r>
      <w:r w:rsidR="00BA58C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3D9263CF" w14:textId="5B56174C" w:rsidR="00BA58C9" w:rsidRDefault="00232B2A" w:rsidP="005715A4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Je </w:t>
      </w:r>
      <w:r w:rsidR="000369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vhodné </w:t>
      </w:r>
      <w:r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zvýšit počet </w:t>
      </w:r>
      <w:r w:rsidR="00BA58C9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hodnotitelů</w:t>
      </w:r>
      <w:r w:rsidR="00BA58C9" w:rsidRPr="00BA58C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 evropských programech </w:t>
      </w:r>
    </w:p>
    <w:p w14:paraId="54404AFA" w14:textId="66DD2DA4" w:rsidR="004C6BEF" w:rsidRDefault="00FE3817" w:rsidP="005715A4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U výzkumných organizací by m</w:t>
      </w:r>
      <w:r w:rsidR="00232B2A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ělo být </w:t>
      </w: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podporováno </w:t>
      </w:r>
      <w:r w:rsidR="00232B2A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vytv</w:t>
      </w: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á</w:t>
      </w:r>
      <w:r w:rsidR="00232B2A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řen</w:t>
      </w: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í</w:t>
      </w:r>
      <w:r w:rsidR="00232B2A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administrativní</w:t>
      </w:r>
      <w:r w:rsidR="004C6BEF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zázemí</w:t>
      </w:r>
      <w:r w:rsidR="00232B2A" w:rsidRPr="00232B2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pro zájemce o podávání návrhů projektů</w:t>
      </w:r>
      <w:r w:rsidR="00232B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</w:t>
      </w:r>
      <w:r w:rsidR="003F3C5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zájemcům by měly být </w:t>
      </w:r>
      <w:r w:rsidR="00232B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poskytovány srozumitelné</w:t>
      </w:r>
      <w:r w:rsidR="004C6BEF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pokyny a podpor</w:t>
      </w:r>
      <w:r w:rsidR="00232B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</w:t>
      </w:r>
      <w:r w:rsidR="004C6BEF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ohledně administrativních aspektů nástrojů rámcového programu</w:t>
      </w:r>
    </w:p>
    <w:p w14:paraId="504C6258" w14:textId="7D3DE083" w:rsidR="005715A4" w:rsidRPr="0029364A" w:rsidRDefault="005715A4" w:rsidP="00A8094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Financování</w:t>
      </w:r>
      <w:r w:rsidR="005A6FB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</w:p>
    <w:p w14:paraId="0437EE68" w14:textId="359D9467" w:rsidR="005715A4" w:rsidRPr="00A8094B" w:rsidRDefault="005715A4" w:rsidP="00912A6D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Financování dostupné na </w:t>
      </w:r>
      <w:r w:rsidR="00FE3817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národní </w:t>
      </w:r>
      <w:r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úrovni nebo prostřednictvím evropských strukturálních a investičních fondů (ESIF) by mělo být použito jako pákový efekt k přilákání financování z rámcového programu v rámci zlepšování řízení systémů výzkumu a inovací.</w:t>
      </w:r>
      <w:r w:rsidR="00A8094B"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To vyžaduje dlouhodobé plánování a dobře vyváženou interakci mezi strukturálními fondy EU, nástroji rámcového programu a vnitrostátním financováním (RISE </w:t>
      </w:r>
      <w:proofErr w:type="spellStart"/>
      <w:r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group</w:t>
      </w:r>
      <w:proofErr w:type="spellEnd"/>
      <w:r w:rsidRPr="00A8094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2017).</w:t>
      </w:r>
    </w:p>
    <w:p w14:paraId="1C0D637B" w14:textId="56565996" w:rsidR="00A8094B" w:rsidRPr="005715A4" w:rsidRDefault="003F3C50" w:rsidP="00A8094B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Národní</w:t>
      </w:r>
      <w:r w:rsidR="00A8094B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financování výzkumných organizací</w:t>
      </w:r>
      <w:r w:rsidR="00A8094B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 mělo být využito </w:t>
      </w:r>
      <w:r w:rsidR="00A8094B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jako pák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</w:t>
      </w:r>
      <w:r w:rsidR="00A8094B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ke zvý</w:t>
      </w:r>
      <w:r w:rsidR="004C6B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šení účasti v rámcovém programu.</w:t>
      </w:r>
    </w:p>
    <w:p w14:paraId="6D095282" w14:textId="0C6550A0" w:rsidR="005715A4" w:rsidRPr="0029364A" w:rsidRDefault="004C6BEF" w:rsidP="004C6BE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Propagace, vzdělávání</w:t>
      </w:r>
    </w:p>
    <w:p w14:paraId="6AE8163D" w14:textId="09BD514C" w:rsidR="004C6BEF" w:rsidRPr="005715A4" w:rsidRDefault="003F3C50" w:rsidP="004C6BEF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 propagaci </w:t>
      </w:r>
      <w:r w:rsidR="004C6BEF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úspěšné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ho</w:t>
      </w:r>
      <w:r w:rsidR="004C6BEF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využívání nástrojů rámcového programu ze strany aktérů výzkumu a inovací v </w:t>
      </w:r>
      <w:r w:rsidR="00A6551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ČR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 měl být vytvořen </w:t>
      </w:r>
      <w:r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materiál</w:t>
      </w:r>
      <w:r w:rsidR="004C6BEF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, </w:t>
      </w:r>
      <w:r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obsahující </w:t>
      </w:r>
      <w:r w:rsidR="004C6BEF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příklady </w:t>
      </w:r>
      <w:r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dobré praxe </w:t>
      </w:r>
      <w:r w:rsidR="004C6BEF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pro nové účastníky</w:t>
      </w:r>
      <w:r w:rsidR="004C6BEF"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Materiál by měl být dostatečně rozmanitý, aby upoutal pozornost široké škály aktérů v oblasti výzkumu a inovací, včetně nových účastn</w:t>
      </w:r>
      <w:r w:rsidR="004C6B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íků a inovátorů.</w:t>
      </w:r>
    </w:p>
    <w:p w14:paraId="6C8AEBD3" w14:textId="70F8DD38" w:rsidR="004C6BEF" w:rsidRDefault="003F3C50" w:rsidP="004C6BEF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 zlepšení účasti v evropských programech </w:t>
      </w:r>
      <w:r w:rsidR="00A6551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je nutné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ve </w:t>
      </w:r>
      <w:r w:rsidRPr="00571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výzkumných a inovačních organizací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ch </w:t>
      </w:r>
      <w:r w:rsidR="00A65514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rozvíjet </w:t>
      </w:r>
      <w:r w:rsidR="004C6BEF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manažersk</w:t>
      </w:r>
      <w:r w:rsidR="00A65514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é</w:t>
      </w:r>
      <w:r w:rsidR="004C6BEF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a administrativní schopnost</w:t>
      </w:r>
      <w:r w:rsidR="00A65514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i</w:t>
      </w:r>
      <w:r w:rsidR="004C6BEF"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</w:t>
      </w:r>
      <w:r w:rsidRPr="003F3C50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pro řízení projektů rámcového programu</w:t>
      </w:r>
      <w:r w:rsidR="00930C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31C0F45E" w14:textId="4D262E7F" w:rsidR="00930CD7" w:rsidRDefault="00930CD7" w:rsidP="00930C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29364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Propagace výzkumných zařízení pro členské státy EU</w:t>
      </w:r>
      <w:r w:rsidRPr="00930C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vědecká diplomacie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31B6455" w14:textId="5B242BBA" w:rsidR="009C25FD" w:rsidRPr="000445C1" w:rsidRDefault="009C25FD" w:rsidP="000445C1">
      <w:pPr>
        <w:autoSpaceDE w:val="0"/>
        <w:autoSpaceDN w:val="0"/>
        <w:adjustRightInd w:val="0"/>
        <w:spacing w:after="120"/>
        <w:ind w:left="36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Vzhledem k výše uvedenému se navrhuje, aby TC AV ČR, které vytváří zázemí pro H2020 a nově HORIZONT Evropa v ČR, vypracovalo pro RVVI zprávu – analýzu </w:t>
      </w:r>
      <w:r w:rsidR="00241C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současného stavu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</w:t>
      </w:r>
      <w:r w:rsidR="005F07C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relevantních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oblastech a návrh řešení, a to do konce srpna 2022.</w:t>
      </w:r>
    </w:p>
    <w:sectPr w:rsidR="009C25FD" w:rsidRPr="000445C1" w:rsidSect="00C17BD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51562" w16cex:dateUtc="2022-04-04T04:57:00Z"/>
  <w16cex:commentExtensible w16cex:durableId="25F51574" w16cex:dateUtc="2022-04-04T04:57:00Z"/>
  <w16cex:commentExtensible w16cex:durableId="25F5158F" w16cex:dateUtc="2022-04-04T04:58:00Z"/>
  <w16cex:commentExtensible w16cex:durableId="25F5167A" w16cex:dateUtc="2022-04-04T0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986920" w16cid:durableId="25F51562"/>
  <w16cid:commentId w16cid:paraId="0BB43B75" w16cid:durableId="25F51574"/>
  <w16cid:commentId w16cid:paraId="3DE83623" w16cid:durableId="25F5158F"/>
  <w16cid:commentId w16cid:paraId="4523E159" w16cid:durableId="25F516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DC86C7" w14:textId="77777777" w:rsidR="00B91392" w:rsidRDefault="00B91392" w:rsidP="00C17BDD">
      <w:r>
        <w:separator/>
      </w:r>
    </w:p>
  </w:endnote>
  <w:endnote w:type="continuationSeparator" w:id="0">
    <w:p w14:paraId="3D684A02" w14:textId="77777777" w:rsidR="00B91392" w:rsidRDefault="00B91392" w:rsidP="00C1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77EAD" w14:textId="56999793" w:rsidR="00C84960" w:rsidRDefault="00C84960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E5EA0">
      <w:rPr>
        <w:noProof/>
      </w:rPr>
      <w:t>4</w:t>
    </w:r>
    <w:r>
      <w:fldChar w:fldCharType="end"/>
    </w:r>
    <w:r>
      <w:t xml:space="preserve"> / </w:t>
    </w:r>
    <w:fldSimple w:instr=" NUMPAGES   \* MERGEFORMAT ">
      <w:r w:rsidR="00DE5EA0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CF4E" w14:textId="16A1F922" w:rsidR="00C84960" w:rsidRPr="00C84960" w:rsidRDefault="00C84960">
    <w:pPr>
      <w:pStyle w:val="Zpat"/>
      <w:rPr>
        <w:rFonts w:ascii="Arial" w:hAnsi="Arial" w:cs="Arial"/>
        <w:sz w:val="20"/>
        <w:szCs w:val="20"/>
      </w:rPr>
    </w:pPr>
    <w:r w:rsidRPr="00C84960">
      <w:rPr>
        <w:rFonts w:ascii="Arial" w:hAnsi="Arial" w:cs="Arial"/>
        <w:sz w:val="20"/>
        <w:szCs w:val="20"/>
      </w:rPr>
      <w:fldChar w:fldCharType="begin"/>
    </w:r>
    <w:r w:rsidRPr="00C84960">
      <w:rPr>
        <w:rFonts w:ascii="Arial" w:hAnsi="Arial" w:cs="Arial"/>
        <w:sz w:val="20"/>
        <w:szCs w:val="20"/>
      </w:rPr>
      <w:instrText xml:space="preserve"> FILENAME   \* MERGEFORMAT </w:instrText>
    </w:r>
    <w:r w:rsidRPr="00C84960">
      <w:rPr>
        <w:rFonts w:ascii="Arial" w:hAnsi="Arial" w:cs="Arial"/>
        <w:sz w:val="20"/>
        <w:szCs w:val="20"/>
      </w:rPr>
      <w:fldChar w:fldCharType="separate"/>
    </w:r>
    <w:r w:rsidR="00DE5EA0">
      <w:rPr>
        <w:rFonts w:ascii="Arial" w:hAnsi="Arial" w:cs="Arial"/>
        <w:noProof/>
        <w:sz w:val="20"/>
        <w:szCs w:val="20"/>
      </w:rPr>
      <w:t>378 A4 P-1 Ucast v ramcovych programech EU u22.4.docx</w:t>
    </w:r>
    <w:r w:rsidRPr="00C84960">
      <w:rPr>
        <w:rFonts w:ascii="Arial" w:hAnsi="Arial" w:cs="Arial"/>
        <w:sz w:val="20"/>
        <w:szCs w:val="20"/>
      </w:rPr>
      <w:fldChar w:fldCharType="end"/>
    </w:r>
    <w:r w:rsidRPr="00C84960">
      <w:rPr>
        <w:rFonts w:ascii="Arial" w:hAnsi="Arial" w:cs="Arial"/>
        <w:sz w:val="20"/>
        <w:szCs w:val="20"/>
      </w:rPr>
      <w:tab/>
    </w:r>
    <w:r w:rsidRPr="00C84960">
      <w:rPr>
        <w:rFonts w:ascii="Arial" w:hAnsi="Arial" w:cs="Arial"/>
        <w:sz w:val="20"/>
        <w:szCs w:val="20"/>
      </w:rPr>
      <w:fldChar w:fldCharType="begin"/>
    </w:r>
    <w:r w:rsidRPr="00C84960">
      <w:rPr>
        <w:rFonts w:ascii="Arial" w:hAnsi="Arial" w:cs="Arial"/>
        <w:sz w:val="20"/>
        <w:szCs w:val="20"/>
      </w:rPr>
      <w:instrText xml:space="preserve"> PAGE   \* MERGEFORMAT </w:instrText>
    </w:r>
    <w:r w:rsidRPr="00C84960">
      <w:rPr>
        <w:rFonts w:ascii="Arial" w:hAnsi="Arial" w:cs="Arial"/>
        <w:sz w:val="20"/>
        <w:szCs w:val="20"/>
      </w:rPr>
      <w:fldChar w:fldCharType="separate"/>
    </w:r>
    <w:r w:rsidR="00DE5EA0">
      <w:rPr>
        <w:rFonts w:ascii="Arial" w:hAnsi="Arial" w:cs="Arial"/>
        <w:noProof/>
        <w:sz w:val="20"/>
        <w:szCs w:val="20"/>
      </w:rPr>
      <w:t>1</w:t>
    </w:r>
    <w:r w:rsidRPr="00C84960">
      <w:rPr>
        <w:rFonts w:ascii="Arial" w:hAnsi="Arial" w:cs="Arial"/>
        <w:sz w:val="20"/>
        <w:szCs w:val="20"/>
      </w:rPr>
      <w:fldChar w:fldCharType="end"/>
    </w:r>
    <w:r w:rsidRPr="00C84960">
      <w:rPr>
        <w:rFonts w:ascii="Arial" w:hAnsi="Arial" w:cs="Arial"/>
        <w:sz w:val="20"/>
        <w:szCs w:val="20"/>
      </w:rPr>
      <w:t xml:space="preserve"> / </w:t>
    </w:r>
    <w:r w:rsidRPr="00C84960">
      <w:rPr>
        <w:rFonts w:ascii="Arial" w:hAnsi="Arial" w:cs="Arial"/>
        <w:sz w:val="20"/>
        <w:szCs w:val="20"/>
      </w:rPr>
      <w:fldChar w:fldCharType="begin"/>
    </w:r>
    <w:r w:rsidRPr="00C84960">
      <w:rPr>
        <w:rFonts w:ascii="Arial" w:hAnsi="Arial" w:cs="Arial"/>
        <w:sz w:val="20"/>
        <w:szCs w:val="20"/>
      </w:rPr>
      <w:instrText xml:space="preserve"> NUMPAGES   \* MERGEFORMAT </w:instrText>
    </w:r>
    <w:r w:rsidRPr="00C84960">
      <w:rPr>
        <w:rFonts w:ascii="Arial" w:hAnsi="Arial" w:cs="Arial"/>
        <w:sz w:val="20"/>
        <w:szCs w:val="20"/>
      </w:rPr>
      <w:fldChar w:fldCharType="separate"/>
    </w:r>
    <w:r w:rsidR="00DE5EA0">
      <w:rPr>
        <w:rFonts w:ascii="Arial" w:hAnsi="Arial" w:cs="Arial"/>
        <w:noProof/>
        <w:sz w:val="20"/>
        <w:szCs w:val="20"/>
      </w:rPr>
      <w:t>4</w:t>
    </w:r>
    <w:r w:rsidRPr="00C84960">
      <w:rPr>
        <w:rFonts w:ascii="Arial" w:hAnsi="Arial" w:cs="Arial"/>
        <w:sz w:val="20"/>
        <w:szCs w:val="20"/>
      </w:rPr>
      <w:fldChar w:fldCharType="end"/>
    </w:r>
  </w:p>
  <w:p w14:paraId="7F87C7D2" w14:textId="7077B4DA" w:rsidR="00C84960" w:rsidRPr="00C84960" w:rsidRDefault="00C84960">
    <w:pPr>
      <w:pStyle w:val="Zpat"/>
      <w:rPr>
        <w:rFonts w:ascii="Arial" w:hAnsi="Arial" w:cs="Arial"/>
        <w:sz w:val="20"/>
        <w:szCs w:val="20"/>
      </w:rPr>
    </w:pPr>
    <w:r w:rsidRPr="00C84960">
      <w:rPr>
        <w:rFonts w:ascii="Arial" w:hAnsi="Arial" w:cs="Arial"/>
        <w:sz w:val="20"/>
        <w:szCs w:val="20"/>
      </w:rPr>
      <w:t>JM;</w:t>
    </w:r>
    <w:r w:rsidR="008A3F3A">
      <w:rPr>
        <w:rFonts w:ascii="Arial" w:hAnsi="Arial" w:cs="Arial"/>
        <w:sz w:val="20"/>
        <w:szCs w:val="20"/>
      </w:rPr>
      <w:t xml:space="preserve"> 12.04.2022 16:41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95A8A" w14:textId="77777777" w:rsidR="00B91392" w:rsidRDefault="00B91392" w:rsidP="00C17BDD">
      <w:r>
        <w:separator/>
      </w:r>
    </w:p>
  </w:footnote>
  <w:footnote w:type="continuationSeparator" w:id="0">
    <w:p w14:paraId="44648345" w14:textId="77777777" w:rsidR="00B91392" w:rsidRDefault="00B91392" w:rsidP="00C17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C17BDD" w14:paraId="1A1B0A47" w14:textId="77777777" w:rsidTr="009644F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B7068B0" w14:textId="77777777" w:rsidR="00C17BDD" w:rsidRPr="009758E5" w:rsidRDefault="00C17BDD" w:rsidP="00C17BD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A6614FF" wp14:editId="59402DE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326CFC62" w14:textId="3332C341" w:rsidR="00C17BDD" w:rsidRPr="00C12F55" w:rsidRDefault="00C17BDD" w:rsidP="00CE037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</w:t>
          </w:r>
          <w:r w:rsidR="00A735DF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735DF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CE0378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14:paraId="544A41D8" w14:textId="77777777" w:rsidR="00C17BDD" w:rsidRDefault="00C17B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756D"/>
    <w:multiLevelType w:val="hybridMultilevel"/>
    <w:tmpl w:val="4EA6B1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36DF8"/>
    <w:multiLevelType w:val="hybridMultilevel"/>
    <w:tmpl w:val="18FE2D3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F5AFE"/>
    <w:multiLevelType w:val="hybridMultilevel"/>
    <w:tmpl w:val="2BA6C5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D5A06"/>
    <w:multiLevelType w:val="hybridMultilevel"/>
    <w:tmpl w:val="AC769D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ezentace">
    <w15:presenceInfo w15:providerId="None" w15:userId="prezenta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42"/>
    <w:rsid w:val="00007C95"/>
    <w:rsid w:val="000369E4"/>
    <w:rsid w:val="000445C1"/>
    <w:rsid w:val="00045019"/>
    <w:rsid w:val="00065ABD"/>
    <w:rsid w:val="000908DA"/>
    <w:rsid w:val="000D3A41"/>
    <w:rsid w:val="00143074"/>
    <w:rsid w:val="00152C51"/>
    <w:rsid w:val="0015696B"/>
    <w:rsid w:val="00177C94"/>
    <w:rsid w:val="00185DCB"/>
    <w:rsid w:val="001A00CD"/>
    <w:rsid w:val="001D6540"/>
    <w:rsid w:val="00202F8E"/>
    <w:rsid w:val="00232B2A"/>
    <w:rsid w:val="00241CAA"/>
    <w:rsid w:val="00245AD2"/>
    <w:rsid w:val="002619FD"/>
    <w:rsid w:val="0029364A"/>
    <w:rsid w:val="002F1621"/>
    <w:rsid w:val="003D2EDB"/>
    <w:rsid w:val="003D6DBC"/>
    <w:rsid w:val="003E1D67"/>
    <w:rsid w:val="003F3C50"/>
    <w:rsid w:val="00416933"/>
    <w:rsid w:val="004B090A"/>
    <w:rsid w:val="004C27E3"/>
    <w:rsid w:val="004C6991"/>
    <w:rsid w:val="004C6BEF"/>
    <w:rsid w:val="004C70C8"/>
    <w:rsid w:val="005421BB"/>
    <w:rsid w:val="00547A13"/>
    <w:rsid w:val="00562BC2"/>
    <w:rsid w:val="00562FE2"/>
    <w:rsid w:val="00570D6A"/>
    <w:rsid w:val="005715A4"/>
    <w:rsid w:val="00584450"/>
    <w:rsid w:val="005844BA"/>
    <w:rsid w:val="005A192B"/>
    <w:rsid w:val="005A6FB2"/>
    <w:rsid w:val="005B6B6E"/>
    <w:rsid w:val="005E1458"/>
    <w:rsid w:val="005F0696"/>
    <w:rsid w:val="005F07C2"/>
    <w:rsid w:val="005F4387"/>
    <w:rsid w:val="006015E5"/>
    <w:rsid w:val="00621542"/>
    <w:rsid w:val="006216B0"/>
    <w:rsid w:val="00627AB7"/>
    <w:rsid w:val="0063483B"/>
    <w:rsid w:val="00654970"/>
    <w:rsid w:val="006D4A3A"/>
    <w:rsid w:val="006F4651"/>
    <w:rsid w:val="0082578C"/>
    <w:rsid w:val="008A3F3A"/>
    <w:rsid w:val="00924B8F"/>
    <w:rsid w:val="00930CD7"/>
    <w:rsid w:val="0097329A"/>
    <w:rsid w:val="009945A0"/>
    <w:rsid w:val="009B7C9F"/>
    <w:rsid w:val="009C25FD"/>
    <w:rsid w:val="009D36D0"/>
    <w:rsid w:val="009D7095"/>
    <w:rsid w:val="00A13CB7"/>
    <w:rsid w:val="00A40914"/>
    <w:rsid w:val="00A5044F"/>
    <w:rsid w:val="00A65514"/>
    <w:rsid w:val="00A735DF"/>
    <w:rsid w:val="00A80128"/>
    <w:rsid w:val="00A8094B"/>
    <w:rsid w:val="00A8747F"/>
    <w:rsid w:val="00AF1EF5"/>
    <w:rsid w:val="00AF5C22"/>
    <w:rsid w:val="00B14B53"/>
    <w:rsid w:val="00B91392"/>
    <w:rsid w:val="00BA58C9"/>
    <w:rsid w:val="00BF6F23"/>
    <w:rsid w:val="00C17BDD"/>
    <w:rsid w:val="00C56074"/>
    <w:rsid w:val="00C84960"/>
    <w:rsid w:val="00CA0AE4"/>
    <w:rsid w:val="00CC5DC4"/>
    <w:rsid w:val="00CE0378"/>
    <w:rsid w:val="00CF6186"/>
    <w:rsid w:val="00CF76EE"/>
    <w:rsid w:val="00D215C0"/>
    <w:rsid w:val="00D62517"/>
    <w:rsid w:val="00DC7BD6"/>
    <w:rsid w:val="00DE5125"/>
    <w:rsid w:val="00DE5EA0"/>
    <w:rsid w:val="00F23466"/>
    <w:rsid w:val="00F53EAD"/>
    <w:rsid w:val="00F818AE"/>
    <w:rsid w:val="00F8459C"/>
    <w:rsid w:val="00FA2D84"/>
    <w:rsid w:val="00FE133F"/>
    <w:rsid w:val="00FE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7B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00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450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50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50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50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501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50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501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17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7B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17B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7BD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1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C17B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A00C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A00C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7B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00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450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50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50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50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501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50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501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17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7B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17B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7BD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1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C17B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A00C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A00C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DFA2F-A551-4A44-9CF0-423E1B69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1691</Words>
  <Characters>9982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Moravcová Lenka</cp:lastModifiedBy>
  <cp:revision>6</cp:revision>
  <dcterms:created xsi:type="dcterms:W3CDTF">2022-04-22T09:19:00Z</dcterms:created>
  <dcterms:modified xsi:type="dcterms:W3CDTF">2022-04-22T13:25:00Z</dcterms:modified>
</cp:coreProperties>
</file>