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3D" w:rsidRPr="00B24191" w:rsidRDefault="007B273D" w:rsidP="004B56C7">
      <w:pPr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B24191">
        <w:rPr>
          <w:rFonts w:ascii="Arial" w:hAnsi="Arial" w:cs="Arial"/>
          <w:b/>
          <w:sz w:val="22"/>
          <w:szCs w:val="22"/>
        </w:rPr>
        <w:t>Porovnání slovenského systému hodnocení s M17+</w:t>
      </w:r>
    </w:p>
    <w:p w:rsidR="007B273D" w:rsidRPr="00B24191" w:rsidRDefault="007B273D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7B273D" w:rsidRPr="00B24191" w:rsidRDefault="007B273D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Slovenské hodnocení </w:t>
      </w:r>
      <w:r w:rsidRPr="00B24191">
        <w:rPr>
          <w:rFonts w:ascii="Arial" w:hAnsi="Arial" w:cs="Arial"/>
          <w:i/>
          <w:sz w:val="22"/>
          <w:szCs w:val="22"/>
        </w:rPr>
        <w:t>Metodika a spôsob rozdelenia finančných prostriedkov pre excelentné výskumné súčasti verejných vysokých škôl v roku 2023</w:t>
      </w:r>
      <w:r w:rsidRPr="00B24191">
        <w:rPr>
          <w:rFonts w:ascii="Arial" w:hAnsi="Arial" w:cs="Arial"/>
          <w:sz w:val="22"/>
          <w:szCs w:val="22"/>
        </w:rPr>
        <w:t xml:space="preserve"> je součástí obecné metodiky financování VŠ (Metodika rozpisu dotácií zo štátneho rozp</w:t>
      </w:r>
      <w:r w:rsidR="004B56C7">
        <w:rPr>
          <w:rFonts w:ascii="Arial" w:hAnsi="Arial" w:cs="Arial"/>
          <w:sz w:val="22"/>
          <w:szCs w:val="22"/>
        </w:rPr>
        <w:t>očtu verejným vysokým školám na </w:t>
      </w:r>
      <w:r w:rsidRPr="00B24191">
        <w:rPr>
          <w:rFonts w:ascii="Arial" w:hAnsi="Arial" w:cs="Arial"/>
          <w:sz w:val="22"/>
          <w:szCs w:val="22"/>
        </w:rPr>
        <w:t xml:space="preserve">rok 2023). </w:t>
      </w:r>
    </w:p>
    <w:p w:rsidR="007B273D" w:rsidRPr="00B24191" w:rsidRDefault="007B273D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C606B5" w:rsidRPr="00B24191" w:rsidRDefault="007B273D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V porovnání s M17+ má slovenská</w:t>
      </w:r>
      <w:r w:rsidR="009965BC" w:rsidRPr="00B24191">
        <w:rPr>
          <w:rFonts w:ascii="Arial" w:hAnsi="Arial" w:cs="Arial"/>
          <w:sz w:val="22"/>
          <w:szCs w:val="22"/>
        </w:rPr>
        <w:t xml:space="preserve"> metodika </w:t>
      </w:r>
      <w:r w:rsidRPr="00B24191">
        <w:rPr>
          <w:rFonts w:ascii="Arial" w:hAnsi="Arial" w:cs="Arial"/>
          <w:sz w:val="22"/>
          <w:szCs w:val="22"/>
        </w:rPr>
        <w:t>c</w:t>
      </w:r>
      <w:r w:rsidR="00F72BDA" w:rsidRPr="00B24191">
        <w:rPr>
          <w:rFonts w:ascii="Arial" w:hAnsi="Arial" w:cs="Arial"/>
          <w:sz w:val="22"/>
          <w:szCs w:val="22"/>
        </w:rPr>
        <w:t>elkově nižší komplexitu</w:t>
      </w:r>
      <w:r w:rsidRPr="00B24191">
        <w:rPr>
          <w:rFonts w:ascii="Arial" w:hAnsi="Arial" w:cs="Arial"/>
          <w:sz w:val="22"/>
          <w:szCs w:val="22"/>
        </w:rPr>
        <w:t xml:space="preserve"> a to v těchto parametrech: </w:t>
      </w:r>
    </w:p>
    <w:p w:rsidR="00405FAD" w:rsidRPr="00B24191" w:rsidRDefault="00405FAD" w:rsidP="004B56C7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z hlediska pokryt</w:t>
      </w:r>
      <w:r w:rsidR="00EF190C" w:rsidRPr="00B24191">
        <w:rPr>
          <w:rFonts w:ascii="Arial" w:hAnsi="Arial" w:cs="Arial"/>
          <w:sz w:val="22"/>
          <w:szCs w:val="22"/>
        </w:rPr>
        <w:t xml:space="preserve">í systému VaVaI </w:t>
      </w:r>
      <w:r w:rsidRPr="00B24191">
        <w:rPr>
          <w:rFonts w:ascii="Arial" w:hAnsi="Arial" w:cs="Arial"/>
          <w:sz w:val="22"/>
          <w:szCs w:val="22"/>
        </w:rPr>
        <w:t>(pouze veřejně VŠ),</w:t>
      </w:r>
    </w:p>
    <w:p w:rsidR="00302C74" w:rsidRPr="00B24191" w:rsidRDefault="00302C74" w:rsidP="004B56C7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z hlediska cílů</w:t>
      </w:r>
      <w:r w:rsidR="007B273D" w:rsidRPr="00B24191">
        <w:rPr>
          <w:rFonts w:ascii="Arial" w:hAnsi="Arial" w:cs="Arial"/>
          <w:sz w:val="22"/>
          <w:szCs w:val="22"/>
        </w:rPr>
        <w:t xml:space="preserve"> (</w:t>
      </w:r>
      <w:r w:rsidR="00011128" w:rsidRPr="00B24191">
        <w:rPr>
          <w:rFonts w:ascii="Arial" w:hAnsi="Arial" w:cs="Arial"/>
          <w:sz w:val="22"/>
          <w:szCs w:val="22"/>
        </w:rPr>
        <w:t xml:space="preserve">výsledkem je </w:t>
      </w:r>
      <w:r w:rsidR="007B273D" w:rsidRPr="00B24191">
        <w:rPr>
          <w:rFonts w:ascii="Arial" w:hAnsi="Arial" w:cs="Arial"/>
          <w:sz w:val="22"/>
          <w:szCs w:val="22"/>
        </w:rPr>
        <w:t>identifikace ¼ nejlepších fakult</w:t>
      </w:r>
      <w:r w:rsidR="00011128" w:rsidRPr="00B24191">
        <w:rPr>
          <w:rFonts w:ascii="Arial" w:hAnsi="Arial" w:cs="Arial"/>
          <w:sz w:val="22"/>
          <w:szCs w:val="22"/>
        </w:rPr>
        <w:t xml:space="preserve"> ve vymezených oborech</w:t>
      </w:r>
      <w:r w:rsidR="007B273D" w:rsidRPr="00B24191">
        <w:rPr>
          <w:rFonts w:ascii="Arial" w:hAnsi="Arial" w:cs="Arial"/>
          <w:sz w:val="22"/>
          <w:szCs w:val="22"/>
        </w:rPr>
        <w:t>)</w:t>
      </w:r>
      <w:r w:rsidR="00011128" w:rsidRPr="00B24191">
        <w:rPr>
          <w:rFonts w:ascii="Arial" w:hAnsi="Arial" w:cs="Arial"/>
          <w:sz w:val="22"/>
          <w:szCs w:val="22"/>
        </w:rPr>
        <w:t>,</w:t>
      </w:r>
    </w:p>
    <w:p w:rsidR="00A551EA" w:rsidRPr="00B24191" w:rsidRDefault="00F72BDA" w:rsidP="004B56C7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z hlediska použitých postupů</w:t>
      </w:r>
      <w:r w:rsidR="00A551EA" w:rsidRPr="00B24191">
        <w:rPr>
          <w:rFonts w:ascii="Arial" w:hAnsi="Arial" w:cs="Arial"/>
          <w:sz w:val="22"/>
          <w:szCs w:val="22"/>
        </w:rPr>
        <w:t xml:space="preserve">, indikátorů a tedy získaných informací </w:t>
      </w:r>
      <w:r w:rsidR="007B273D" w:rsidRPr="00B24191">
        <w:rPr>
          <w:rFonts w:ascii="Arial" w:hAnsi="Arial" w:cs="Arial"/>
          <w:sz w:val="22"/>
          <w:szCs w:val="22"/>
        </w:rPr>
        <w:t>(</w:t>
      </w:r>
      <w:r w:rsidR="00011128" w:rsidRPr="00B24191">
        <w:rPr>
          <w:rFonts w:ascii="Arial" w:hAnsi="Arial" w:cs="Arial"/>
          <w:sz w:val="22"/>
          <w:szCs w:val="22"/>
        </w:rPr>
        <w:t xml:space="preserve">sledují se granty a </w:t>
      </w:r>
      <w:r w:rsidR="00011128" w:rsidRPr="00B24191">
        <w:rPr>
          <w:rFonts w:ascii="Arial" w:hAnsi="Arial" w:cs="Arial"/>
          <w:i/>
          <w:sz w:val="22"/>
          <w:szCs w:val="22"/>
        </w:rPr>
        <w:t>publikační</w:t>
      </w:r>
      <w:r w:rsidR="00011128" w:rsidRPr="00B24191">
        <w:rPr>
          <w:rFonts w:ascii="Arial" w:hAnsi="Arial" w:cs="Arial"/>
          <w:sz w:val="22"/>
          <w:szCs w:val="22"/>
        </w:rPr>
        <w:t xml:space="preserve"> výsledky</w:t>
      </w:r>
      <w:r w:rsidR="007B273D" w:rsidRPr="00B24191">
        <w:rPr>
          <w:rFonts w:ascii="Arial" w:hAnsi="Arial" w:cs="Arial"/>
          <w:sz w:val="22"/>
          <w:szCs w:val="22"/>
        </w:rPr>
        <w:t>)</w:t>
      </w:r>
      <w:r w:rsidR="00011128" w:rsidRPr="00B24191">
        <w:rPr>
          <w:rFonts w:ascii="Arial" w:hAnsi="Arial" w:cs="Arial"/>
          <w:sz w:val="22"/>
          <w:szCs w:val="22"/>
        </w:rPr>
        <w:t>,</w:t>
      </w:r>
      <w:r w:rsidR="00A551EA" w:rsidRPr="00B24191">
        <w:rPr>
          <w:rFonts w:ascii="Arial" w:hAnsi="Arial" w:cs="Arial"/>
          <w:sz w:val="22"/>
          <w:szCs w:val="22"/>
        </w:rPr>
        <w:t xml:space="preserve"> </w:t>
      </w:r>
    </w:p>
    <w:p w:rsidR="007B273D" w:rsidRPr="00B24191" w:rsidRDefault="008E3623" w:rsidP="004B56C7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role </w:t>
      </w:r>
      <w:r w:rsidR="008E2917" w:rsidRPr="00B24191">
        <w:rPr>
          <w:rFonts w:ascii="Arial" w:hAnsi="Arial" w:cs="Arial"/>
          <w:sz w:val="22"/>
          <w:szCs w:val="22"/>
        </w:rPr>
        <w:t>vědecké komunity</w:t>
      </w:r>
      <w:r w:rsidR="00011128" w:rsidRPr="00B24191">
        <w:rPr>
          <w:rFonts w:ascii="Arial" w:hAnsi="Arial" w:cs="Arial"/>
          <w:sz w:val="22"/>
          <w:szCs w:val="22"/>
        </w:rPr>
        <w:t xml:space="preserve"> (nekomentovaná statistika). </w:t>
      </w:r>
    </w:p>
    <w:p w:rsidR="00F72BDA" w:rsidRPr="00B24191" w:rsidRDefault="00C606B5" w:rsidP="004B56C7">
      <w:pPr>
        <w:pStyle w:val="Odstavecseseznamem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 </w:t>
      </w:r>
    </w:p>
    <w:p w:rsidR="00EF190C" w:rsidRPr="00B24191" w:rsidRDefault="00EF190C" w:rsidP="004B56C7">
      <w:pPr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B24191">
        <w:rPr>
          <w:rFonts w:ascii="Arial" w:hAnsi="Arial" w:cs="Arial"/>
          <w:b/>
          <w:sz w:val="22"/>
          <w:szCs w:val="22"/>
        </w:rPr>
        <w:t>Ad a) Pokrytí systému VaVaI</w:t>
      </w:r>
    </w:p>
    <w:p w:rsidR="00EF190C" w:rsidRPr="00B24191" w:rsidRDefault="00FA18AD" w:rsidP="004B56C7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Sledován</w:t>
      </w:r>
      <w:r w:rsidR="005E1E91" w:rsidRPr="00B24191">
        <w:rPr>
          <w:rFonts w:ascii="Arial" w:hAnsi="Arial" w:cs="Arial"/>
          <w:sz w:val="22"/>
          <w:szCs w:val="22"/>
        </w:rPr>
        <w:t xml:space="preserve"> je pouze segment vysokých škol a to pouze </w:t>
      </w:r>
      <w:r w:rsidRPr="00B24191">
        <w:rPr>
          <w:rFonts w:ascii="Arial" w:hAnsi="Arial" w:cs="Arial"/>
          <w:sz w:val="22"/>
          <w:szCs w:val="22"/>
        </w:rPr>
        <w:t>veřejných.</w:t>
      </w:r>
    </w:p>
    <w:p w:rsidR="00FA18AD" w:rsidRPr="00B24191" w:rsidRDefault="00FA18AD" w:rsidP="004B56C7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Z hlediska </w:t>
      </w:r>
      <w:r w:rsidR="005E1E91" w:rsidRPr="00B24191">
        <w:rPr>
          <w:rFonts w:ascii="Arial" w:hAnsi="Arial" w:cs="Arial"/>
          <w:sz w:val="22"/>
          <w:szCs w:val="22"/>
        </w:rPr>
        <w:t xml:space="preserve">výsledků nejsou zdaleka hodnoceny všechny typy výstupů, dominují publikace. </w:t>
      </w:r>
      <w:r w:rsidRPr="00B24191">
        <w:rPr>
          <w:rFonts w:ascii="Arial" w:hAnsi="Arial" w:cs="Arial"/>
          <w:sz w:val="22"/>
          <w:szCs w:val="22"/>
        </w:rPr>
        <w:t xml:space="preserve"> </w:t>
      </w:r>
    </w:p>
    <w:p w:rsidR="00EF190C" w:rsidRPr="00B24191" w:rsidRDefault="00EF190C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302C74" w:rsidRPr="00B24191" w:rsidRDefault="007B273D" w:rsidP="004B56C7">
      <w:pPr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B24191">
        <w:rPr>
          <w:rFonts w:ascii="Arial" w:hAnsi="Arial" w:cs="Arial"/>
          <w:b/>
          <w:sz w:val="22"/>
          <w:szCs w:val="22"/>
        </w:rPr>
        <w:t xml:space="preserve">Ad </w:t>
      </w:r>
      <w:r w:rsidR="00EF190C" w:rsidRPr="00B24191">
        <w:rPr>
          <w:rFonts w:ascii="Arial" w:hAnsi="Arial" w:cs="Arial"/>
          <w:b/>
          <w:sz w:val="22"/>
          <w:szCs w:val="22"/>
        </w:rPr>
        <w:t>b</w:t>
      </w:r>
      <w:r w:rsidRPr="00B24191">
        <w:rPr>
          <w:rFonts w:ascii="Arial" w:hAnsi="Arial" w:cs="Arial"/>
          <w:b/>
          <w:sz w:val="22"/>
          <w:szCs w:val="22"/>
        </w:rPr>
        <w:t xml:space="preserve">) </w:t>
      </w:r>
      <w:r w:rsidR="00302C74" w:rsidRPr="00B24191">
        <w:rPr>
          <w:rFonts w:ascii="Arial" w:hAnsi="Arial" w:cs="Arial"/>
          <w:b/>
          <w:sz w:val="22"/>
          <w:szCs w:val="22"/>
        </w:rPr>
        <w:t>Cíl</w:t>
      </w:r>
      <w:r w:rsidRPr="00B24191">
        <w:rPr>
          <w:rFonts w:ascii="Arial" w:hAnsi="Arial" w:cs="Arial"/>
          <w:b/>
          <w:sz w:val="22"/>
          <w:szCs w:val="22"/>
        </w:rPr>
        <w:t>e</w:t>
      </w:r>
    </w:p>
    <w:p w:rsidR="00735B2B" w:rsidRPr="00B24191" w:rsidRDefault="00252055" w:rsidP="004B56C7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Hodnocení má za cíl identifikovat ¼ nejlepších faku</w:t>
      </w:r>
      <w:r w:rsidR="004B56C7">
        <w:rPr>
          <w:rFonts w:ascii="Arial" w:hAnsi="Arial" w:cs="Arial"/>
          <w:sz w:val="22"/>
          <w:szCs w:val="22"/>
        </w:rPr>
        <w:t>lt za sledované vědní oblasti (</w:t>
      </w:r>
      <w:r w:rsidR="00735B2B" w:rsidRPr="00B24191">
        <w:rPr>
          <w:rFonts w:ascii="Arial" w:hAnsi="Arial" w:cs="Arial"/>
          <w:sz w:val="22"/>
          <w:szCs w:val="22"/>
        </w:rPr>
        <w:t>M17+ mapuje celý systém VaVaI z pohledu celých institucí</w:t>
      </w:r>
      <w:r w:rsidR="00936ACB" w:rsidRPr="00B24191">
        <w:rPr>
          <w:rFonts w:ascii="Arial" w:hAnsi="Arial" w:cs="Arial"/>
          <w:sz w:val="22"/>
          <w:szCs w:val="22"/>
        </w:rPr>
        <w:t>)</w:t>
      </w:r>
      <w:r w:rsidR="00735B2B" w:rsidRPr="00B24191">
        <w:rPr>
          <w:rFonts w:ascii="Arial" w:hAnsi="Arial" w:cs="Arial"/>
          <w:sz w:val="22"/>
          <w:szCs w:val="22"/>
        </w:rPr>
        <w:t xml:space="preserve">. </w:t>
      </w:r>
      <w:r w:rsidR="00936ACB" w:rsidRPr="00B24191">
        <w:rPr>
          <w:rFonts w:ascii="Arial" w:hAnsi="Arial" w:cs="Arial"/>
          <w:sz w:val="22"/>
          <w:szCs w:val="22"/>
        </w:rPr>
        <w:t>Prakticky to však znamená, že mohou být tímto mechanismem i</w:t>
      </w:r>
      <w:r w:rsidR="004B56C7">
        <w:rPr>
          <w:rFonts w:ascii="Arial" w:hAnsi="Arial" w:cs="Arial"/>
          <w:sz w:val="22"/>
          <w:szCs w:val="22"/>
        </w:rPr>
        <w:t>dentifikovány jako excelentní i </w:t>
      </w:r>
      <w:r w:rsidR="00936ACB" w:rsidRPr="00B24191">
        <w:rPr>
          <w:rFonts w:ascii="Arial" w:hAnsi="Arial" w:cs="Arial"/>
          <w:sz w:val="22"/>
          <w:szCs w:val="22"/>
        </w:rPr>
        <w:t>z mezinárodního pohledu fakticky substandardní pracoviště.</w:t>
      </w:r>
    </w:p>
    <w:p w:rsidR="00302C74" w:rsidRPr="00B24191" w:rsidRDefault="00936ACB" w:rsidP="004B56C7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Zjišťované statistické informace jsou </w:t>
      </w:r>
      <w:r w:rsidR="00252055" w:rsidRPr="00B24191">
        <w:rPr>
          <w:rFonts w:ascii="Arial" w:hAnsi="Arial" w:cs="Arial"/>
          <w:sz w:val="22"/>
          <w:szCs w:val="22"/>
        </w:rPr>
        <w:t>podřízen</w:t>
      </w:r>
      <w:r w:rsidRPr="00B24191">
        <w:rPr>
          <w:rFonts w:ascii="Arial" w:hAnsi="Arial" w:cs="Arial"/>
          <w:sz w:val="22"/>
          <w:szCs w:val="22"/>
        </w:rPr>
        <w:t>y</w:t>
      </w:r>
      <w:r w:rsidR="00252055" w:rsidRPr="00B24191">
        <w:rPr>
          <w:rFonts w:ascii="Arial" w:hAnsi="Arial" w:cs="Arial"/>
          <w:sz w:val="22"/>
          <w:szCs w:val="22"/>
        </w:rPr>
        <w:t xml:space="preserve"> </w:t>
      </w:r>
      <w:r w:rsidR="008E3623" w:rsidRPr="00B24191">
        <w:rPr>
          <w:rFonts w:ascii="Arial" w:hAnsi="Arial" w:cs="Arial"/>
          <w:sz w:val="22"/>
          <w:szCs w:val="22"/>
        </w:rPr>
        <w:t xml:space="preserve">potřebě přímého </w:t>
      </w:r>
      <w:r w:rsidR="00252055" w:rsidRPr="00B24191">
        <w:rPr>
          <w:rFonts w:ascii="Arial" w:hAnsi="Arial" w:cs="Arial"/>
          <w:sz w:val="22"/>
          <w:szCs w:val="22"/>
        </w:rPr>
        <w:t>převodu na finanční částk</w:t>
      </w:r>
      <w:r w:rsidRPr="00B24191">
        <w:rPr>
          <w:rFonts w:ascii="Arial" w:hAnsi="Arial" w:cs="Arial"/>
          <w:sz w:val="22"/>
          <w:szCs w:val="22"/>
        </w:rPr>
        <w:t>y</w:t>
      </w:r>
      <w:r w:rsidR="00252055" w:rsidRPr="00B24191">
        <w:rPr>
          <w:rFonts w:ascii="Arial" w:hAnsi="Arial" w:cs="Arial"/>
          <w:sz w:val="22"/>
          <w:szCs w:val="22"/>
        </w:rPr>
        <w:t>.</w:t>
      </w:r>
      <w:r w:rsidR="00735B2B" w:rsidRPr="00B24191">
        <w:rPr>
          <w:rFonts w:ascii="Arial" w:hAnsi="Arial" w:cs="Arial"/>
          <w:sz w:val="22"/>
          <w:szCs w:val="22"/>
        </w:rPr>
        <w:t xml:space="preserve"> </w:t>
      </w:r>
    </w:p>
    <w:p w:rsidR="008E3623" w:rsidRPr="00B24191" w:rsidRDefault="00735B2B" w:rsidP="004B56C7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Slovenské h</w:t>
      </w:r>
      <w:r w:rsidR="00F64B1B" w:rsidRPr="00B24191">
        <w:rPr>
          <w:rFonts w:ascii="Arial" w:hAnsi="Arial" w:cs="Arial"/>
          <w:sz w:val="22"/>
          <w:szCs w:val="22"/>
        </w:rPr>
        <w:t>odnocení nemá formativní charakter</w:t>
      </w:r>
      <w:r w:rsidR="008E3623" w:rsidRPr="00B24191">
        <w:rPr>
          <w:rFonts w:ascii="Arial" w:hAnsi="Arial" w:cs="Arial"/>
          <w:sz w:val="22"/>
          <w:szCs w:val="22"/>
        </w:rPr>
        <w:t xml:space="preserve">, takový cíl si ani neklade. </w:t>
      </w:r>
    </w:p>
    <w:p w:rsidR="00302C74" w:rsidRPr="00B24191" w:rsidRDefault="00302C74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F72BDA" w:rsidRPr="00B24191" w:rsidRDefault="007B273D" w:rsidP="004B56C7">
      <w:pPr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B24191">
        <w:rPr>
          <w:rFonts w:ascii="Arial" w:hAnsi="Arial" w:cs="Arial"/>
          <w:b/>
          <w:sz w:val="22"/>
          <w:szCs w:val="22"/>
        </w:rPr>
        <w:t xml:space="preserve">Ad </w:t>
      </w:r>
      <w:r w:rsidR="00EF190C" w:rsidRPr="00B24191">
        <w:rPr>
          <w:rFonts w:ascii="Arial" w:hAnsi="Arial" w:cs="Arial"/>
          <w:b/>
          <w:sz w:val="22"/>
          <w:szCs w:val="22"/>
        </w:rPr>
        <w:t>c</w:t>
      </w:r>
      <w:r w:rsidR="00302C74" w:rsidRPr="00B24191">
        <w:rPr>
          <w:rFonts w:ascii="Arial" w:hAnsi="Arial" w:cs="Arial"/>
          <w:b/>
          <w:sz w:val="22"/>
          <w:szCs w:val="22"/>
        </w:rPr>
        <w:t xml:space="preserve">) </w:t>
      </w:r>
      <w:r w:rsidR="00A551EA" w:rsidRPr="00B24191">
        <w:rPr>
          <w:rFonts w:ascii="Arial" w:hAnsi="Arial" w:cs="Arial"/>
          <w:b/>
          <w:sz w:val="22"/>
          <w:szCs w:val="22"/>
        </w:rPr>
        <w:t>Postupy a indikátory</w:t>
      </w:r>
    </w:p>
    <w:p w:rsidR="009F4E2E" w:rsidRPr="00B24191" w:rsidRDefault="00936ACB" w:rsidP="004B56C7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Hodnocení m</w:t>
      </w:r>
      <w:r w:rsidR="009F4E2E" w:rsidRPr="00B24191">
        <w:rPr>
          <w:rFonts w:ascii="Arial" w:hAnsi="Arial" w:cs="Arial"/>
          <w:sz w:val="22"/>
          <w:szCs w:val="22"/>
        </w:rPr>
        <w:t>á oborový charakter, ale s výrazně nižší granularitou v porovnání s M17</w:t>
      </w:r>
      <w:r w:rsidRPr="00B24191">
        <w:rPr>
          <w:rFonts w:ascii="Arial" w:hAnsi="Arial" w:cs="Arial"/>
          <w:sz w:val="22"/>
          <w:szCs w:val="22"/>
        </w:rPr>
        <w:t>+,</w:t>
      </w:r>
      <w:r w:rsidR="009F4E2E" w:rsidRPr="00B24191">
        <w:rPr>
          <w:rFonts w:ascii="Arial" w:hAnsi="Arial" w:cs="Arial"/>
          <w:sz w:val="22"/>
          <w:szCs w:val="22"/>
        </w:rPr>
        <w:t xml:space="preserve"> pracuje se šesti vědními oblastmi odpovídající šesti oborovým skupinám FORD. Toto hrubé členění má </w:t>
      </w:r>
      <w:r w:rsidRPr="00B24191">
        <w:rPr>
          <w:rFonts w:ascii="Arial" w:hAnsi="Arial" w:cs="Arial"/>
          <w:sz w:val="22"/>
          <w:szCs w:val="22"/>
        </w:rPr>
        <w:t xml:space="preserve">však </w:t>
      </w:r>
      <w:r w:rsidR="009F4E2E" w:rsidRPr="00B24191">
        <w:rPr>
          <w:rFonts w:ascii="Arial" w:hAnsi="Arial" w:cs="Arial"/>
          <w:sz w:val="22"/>
          <w:szCs w:val="22"/>
        </w:rPr>
        <w:t>metodicky vadný dopad na bodový výpočet zahrnující produktivitu, protože uvnitř oborových skupi</w:t>
      </w:r>
      <w:r w:rsidR="004B56C7">
        <w:rPr>
          <w:rFonts w:ascii="Arial" w:hAnsi="Arial" w:cs="Arial"/>
          <w:sz w:val="22"/>
          <w:szCs w:val="22"/>
        </w:rPr>
        <w:t>n existují praktické rozdíly ve </w:t>
      </w:r>
      <w:r w:rsidR="009F4E2E" w:rsidRPr="00B24191">
        <w:rPr>
          <w:rFonts w:ascii="Arial" w:hAnsi="Arial" w:cs="Arial"/>
          <w:sz w:val="22"/>
          <w:szCs w:val="22"/>
        </w:rPr>
        <w:t xml:space="preserve">frekvencích publikování (viz například matematika vs. fyzika patřící do stejné vědní oblasti). </w:t>
      </w:r>
    </w:p>
    <w:p w:rsidR="00A551EA" w:rsidRPr="00B24191" w:rsidRDefault="00A551EA" w:rsidP="004B56C7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Sledují se </w:t>
      </w:r>
      <w:r w:rsidR="000A5AE0" w:rsidRPr="00B24191">
        <w:rPr>
          <w:rFonts w:ascii="Arial" w:hAnsi="Arial" w:cs="Arial"/>
          <w:i/>
          <w:sz w:val="22"/>
          <w:szCs w:val="22"/>
        </w:rPr>
        <w:t xml:space="preserve">zahraniční </w:t>
      </w:r>
      <w:r w:rsidRPr="00B24191">
        <w:rPr>
          <w:rFonts w:ascii="Arial" w:hAnsi="Arial" w:cs="Arial"/>
          <w:sz w:val="22"/>
          <w:szCs w:val="22"/>
        </w:rPr>
        <w:t xml:space="preserve">granty a </w:t>
      </w:r>
      <w:r w:rsidRPr="00B24191">
        <w:rPr>
          <w:rFonts w:ascii="Arial" w:hAnsi="Arial" w:cs="Arial"/>
          <w:i/>
          <w:sz w:val="22"/>
          <w:szCs w:val="22"/>
        </w:rPr>
        <w:t>publikační</w:t>
      </w:r>
      <w:r w:rsidRPr="00B24191">
        <w:rPr>
          <w:rFonts w:ascii="Arial" w:hAnsi="Arial" w:cs="Arial"/>
          <w:sz w:val="22"/>
          <w:szCs w:val="22"/>
        </w:rPr>
        <w:t xml:space="preserve"> činnost</w:t>
      </w:r>
      <w:r w:rsidR="00440615" w:rsidRPr="00B24191">
        <w:rPr>
          <w:rFonts w:ascii="Arial" w:hAnsi="Arial" w:cs="Arial"/>
          <w:sz w:val="22"/>
          <w:szCs w:val="22"/>
        </w:rPr>
        <w:t>, nesledují se jiné výstupy</w:t>
      </w:r>
      <w:r w:rsidR="00011128" w:rsidRPr="00B24191">
        <w:rPr>
          <w:rFonts w:ascii="Arial" w:hAnsi="Arial" w:cs="Arial"/>
          <w:sz w:val="22"/>
          <w:szCs w:val="22"/>
        </w:rPr>
        <w:t>. V</w:t>
      </w:r>
      <w:r w:rsidR="002E4E82" w:rsidRPr="00B24191">
        <w:rPr>
          <w:rFonts w:ascii="Arial" w:hAnsi="Arial" w:cs="Arial"/>
          <w:sz w:val="22"/>
          <w:szCs w:val="22"/>
        </w:rPr>
        <w:t xml:space="preserve">ýjimkou je oblast umění, kde se zohledňují určité </w:t>
      </w:r>
      <w:r w:rsidR="009F4E2E" w:rsidRPr="00B24191">
        <w:rPr>
          <w:rFonts w:ascii="Arial" w:hAnsi="Arial" w:cs="Arial"/>
          <w:sz w:val="22"/>
          <w:szCs w:val="22"/>
        </w:rPr>
        <w:t>typy uměleckých</w:t>
      </w:r>
      <w:r w:rsidR="002E4E82" w:rsidRPr="00B24191">
        <w:rPr>
          <w:rFonts w:ascii="Arial" w:hAnsi="Arial" w:cs="Arial"/>
          <w:sz w:val="22"/>
          <w:szCs w:val="22"/>
        </w:rPr>
        <w:t xml:space="preserve"> výstup</w:t>
      </w:r>
      <w:r w:rsidR="009F4E2E" w:rsidRPr="00B24191">
        <w:rPr>
          <w:rFonts w:ascii="Arial" w:hAnsi="Arial" w:cs="Arial"/>
          <w:sz w:val="22"/>
          <w:szCs w:val="22"/>
        </w:rPr>
        <w:t>ů</w:t>
      </w:r>
      <w:r w:rsidR="002E4E82" w:rsidRPr="00B24191">
        <w:rPr>
          <w:rFonts w:ascii="Arial" w:hAnsi="Arial" w:cs="Arial"/>
          <w:sz w:val="22"/>
          <w:szCs w:val="22"/>
        </w:rPr>
        <w:t>.</w:t>
      </w:r>
      <w:r w:rsidR="009F4E2E" w:rsidRPr="00B24191">
        <w:rPr>
          <w:rFonts w:ascii="Arial" w:hAnsi="Arial" w:cs="Arial"/>
          <w:sz w:val="22"/>
          <w:szCs w:val="22"/>
        </w:rPr>
        <w:t xml:space="preserve"> Výsledky  aplikovaného výzkumu mapovány nejsou. </w:t>
      </w:r>
    </w:p>
    <w:p w:rsidR="009F4E2E" w:rsidRPr="00B24191" w:rsidRDefault="000D6FB9" w:rsidP="004B56C7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Hodnocení má</w:t>
      </w:r>
      <w:r w:rsidR="00440615" w:rsidRPr="00B24191">
        <w:rPr>
          <w:rFonts w:ascii="Arial" w:hAnsi="Arial" w:cs="Arial"/>
          <w:sz w:val="22"/>
          <w:szCs w:val="22"/>
        </w:rPr>
        <w:t xml:space="preserve"> bodovací logi</w:t>
      </w:r>
      <w:r w:rsidR="00011128" w:rsidRPr="00B24191">
        <w:rPr>
          <w:rFonts w:ascii="Arial" w:hAnsi="Arial" w:cs="Arial"/>
          <w:sz w:val="22"/>
          <w:szCs w:val="22"/>
        </w:rPr>
        <w:t>ku</w:t>
      </w:r>
      <w:r w:rsidR="00440615" w:rsidRPr="00B24191">
        <w:rPr>
          <w:rFonts w:ascii="Arial" w:hAnsi="Arial" w:cs="Arial"/>
          <w:sz w:val="22"/>
          <w:szCs w:val="22"/>
        </w:rPr>
        <w:t xml:space="preserve">. </w:t>
      </w:r>
    </w:p>
    <w:p w:rsidR="00440615" w:rsidRPr="00B24191" w:rsidRDefault="009F4E2E" w:rsidP="004B56C7">
      <w:pPr>
        <w:pStyle w:val="Odstavecseseznamem"/>
        <w:numPr>
          <w:ilvl w:val="1"/>
          <w:numId w:val="4"/>
        </w:numPr>
        <w:spacing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U publikací se b</w:t>
      </w:r>
      <w:r w:rsidR="006951CD" w:rsidRPr="00B24191">
        <w:rPr>
          <w:rFonts w:ascii="Arial" w:hAnsi="Arial" w:cs="Arial"/>
          <w:sz w:val="22"/>
          <w:szCs w:val="22"/>
        </w:rPr>
        <w:t xml:space="preserve">ody se udělují </w:t>
      </w:r>
      <w:r w:rsidRPr="00B24191">
        <w:rPr>
          <w:rFonts w:ascii="Arial" w:hAnsi="Arial" w:cs="Arial"/>
          <w:sz w:val="22"/>
          <w:szCs w:val="22"/>
        </w:rPr>
        <w:t xml:space="preserve">na základě </w:t>
      </w:r>
      <w:r w:rsidR="006951CD" w:rsidRPr="00B24191">
        <w:rPr>
          <w:rFonts w:ascii="Arial" w:hAnsi="Arial" w:cs="Arial"/>
          <w:sz w:val="22"/>
          <w:szCs w:val="22"/>
        </w:rPr>
        <w:t>kvartilu dle IF</w:t>
      </w:r>
      <w:r w:rsidR="00433DDD" w:rsidRPr="00B24191">
        <w:rPr>
          <w:rFonts w:ascii="Arial" w:hAnsi="Arial" w:cs="Arial"/>
          <w:sz w:val="22"/>
          <w:szCs w:val="22"/>
        </w:rPr>
        <w:t xml:space="preserve"> (např. 6 publikací v Q4 vyvažují 1 publikaci v Q1)</w:t>
      </w:r>
      <w:r w:rsidRPr="00B24191">
        <w:rPr>
          <w:rFonts w:ascii="Arial" w:hAnsi="Arial" w:cs="Arial"/>
          <w:sz w:val="22"/>
          <w:szCs w:val="22"/>
        </w:rPr>
        <w:t xml:space="preserve">. U </w:t>
      </w:r>
      <w:r w:rsidR="006951CD" w:rsidRPr="00B24191">
        <w:rPr>
          <w:rFonts w:ascii="Arial" w:hAnsi="Arial" w:cs="Arial"/>
          <w:sz w:val="22"/>
          <w:szCs w:val="22"/>
        </w:rPr>
        <w:t>monografií</w:t>
      </w:r>
      <w:r w:rsidR="00433DDD" w:rsidRPr="00B24191">
        <w:rPr>
          <w:rFonts w:ascii="Arial" w:hAnsi="Arial" w:cs="Arial"/>
          <w:sz w:val="22"/>
          <w:szCs w:val="22"/>
        </w:rPr>
        <w:t xml:space="preserve"> se bodování řídí </w:t>
      </w:r>
      <w:r w:rsidR="006951CD" w:rsidRPr="00B24191">
        <w:rPr>
          <w:rFonts w:ascii="Arial" w:hAnsi="Arial" w:cs="Arial"/>
          <w:sz w:val="22"/>
          <w:szCs w:val="22"/>
        </w:rPr>
        <w:t xml:space="preserve">zařazením </w:t>
      </w:r>
      <w:r w:rsidRPr="00B24191">
        <w:rPr>
          <w:rFonts w:ascii="Arial" w:hAnsi="Arial" w:cs="Arial"/>
          <w:sz w:val="22"/>
          <w:szCs w:val="22"/>
        </w:rPr>
        <w:t>nakladatelství do</w:t>
      </w:r>
      <w:r w:rsidR="00433DDD" w:rsidRPr="00B24191">
        <w:rPr>
          <w:rFonts w:ascii="Arial" w:hAnsi="Arial" w:cs="Arial"/>
          <w:sz w:val="22"/>
          <w:szCs w:val="22"/>
        </w:rPr>
        <w:t xml:space="preserve"> bodově členěných </w:t>
      </w:r>
      <w:r w:rsidRPr="00B24191">
        <w:rPr>
          <w:rFonts w:ascii="Arial" w:hAnsi="Arial" w:cs="Arial"/>
          <w:sz w:val="22"/>
          <w:szCs w:val="22"/>
        </w:rPr>
        <w:t>seznamů (</w:t>
      </w:r>
      <w:r w:rsidR="006951CD" w:rsidRPr="00B24191">
        <w:rPr>
          <w:rFonts w:ascii="Arial" w:hAnsi="Arial" w:cs="Arial"/>
          <w:sz w:val="22"/>
          <w:szCs w:val="22"/>
        </w:rPr>
        <w:t xml:space="preserve">například kniha ve skupině </w:t>
      </w:r>
      <w:r w:rsidR="006951CD" w:rsidRPr="00B24191">
        <w:rPr>
          <w:rFonts w:ascii="Arial" w:hAnsi="Arial" w:cs="Arial"/>
          <w:color w:val="000000" w:themeColor="text1"/>
          <w:sz w:val="22"/>
          <w:szCs w:val="22"/>
        </w:rPr>
        <w:t xml:space="preserve">prestižních </w:t>
      </w:r>
      <w:r w:rsidR="00BB2084" w:rsidRPr="00B24191">
        <w:rPr>
          <w:rFonts w:ascii="Arial" w:hAnsi="Arial" w:cs="Arial"/>
          <w:color w:val="000000" w:themeColor="text1"/>
          <w:sz w:val="22"/>
          <w:szCs w:val="22"/>
        </w:rPr>
        <w:t>nakladatelství</w:t>
      </w:r>
      <w:r w:rsidR="006951CD" w:rsidRPr="00B2419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24191">
        <w:rPr>
          <w:rFonts w:ascii="Arial" w:hAnsi="Arial" w:cs="Arial"/>
          <w:color w:val="000000" w:themeColor="text1"/>
          <w:sz w:val="22"/>
          <w:szCs w:val="22"/>
        </w:rPr>
        <w:t xml:space="preserve">v Nordic List </w:t>
      </w:r>
      <w:r w:rsidR="006951CD" w:rsidRPr="00B24191">
        <w:rPr>
          <w:rFonts w:ascii="Arial" w:hAnsi="Arial" w:cs="Arial"/>
          <w:color w:val="000000" w:themeColor="text1"/>
          <w:sz w:val="22"/>
          <w:szCs w:val="22"/>
        </w:rPr>
        <w:t>má stejnou váhu jako článek v Q1).</w:t>
      </w:r>
    </w:p>
    <w:p w:rsidR="00D81706" w:rsidRPr="00B24191" w:rsidRDefault="00D81706" w:rsidP="004B56C7">
      <w:pPr>
        <w:pStyle w:val="Odstavecseseznamem"/>
        <w:numPr>
          <w:ilvl w:val="1"/>
          <w:numId w:val="4"/>
        </w:numPr>
        <w:spacing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U grantů se započítává </w:t>
      </w:r>
      <w:r w:rsidR="005B795C" w:rsidRPr="00B24191">
        <w:rPr>
          <w:rFonts w:ascii="Arial" w:hAnsi="Arial" w:cs="Arial"/>
          <w:sz w:val="22"/>
          <w:szCs w:val="22"/>
        </w:rPr>
        <w:t>objem získaných</w:t>
      </w:r>
      <w:r w:rsidR="00C5774A" w:rsidRPr="00B24191">
        <w:rPr>
          <w:rFonts w:ascii="Arial" w:hAnsi="Arial" w:cs="Arial"/>
          <w:sz w:val="22"/>
          <w:szCs w:val="22"/>
        </w:rPr>
        <w:t xml:space="preserve"> prostředků ze zahraničních zdrojů.</w:t>
      </w:r>
    </w:p>
    <w:p w:rsidR="00CD77B9" w:rsidRPr="00B24191" w:rsidRDefault="00CD77B9" w:rsidP="004B56C7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Bodovací zisky jsou přepočteny na počty aktivních zaměstnanců (v daných oborech). Hodnocení tedy ve výsledku zohledňuje produktivitu.</w:t>
      </w:r>
      <w:r w:rsidR="00764914" w:rsidRPr="00B24191">
        <w:rPr>
          <w:rFonts w:ascii="Arial" w:hAnsi="Arial" w:cs="Arial"/>
          <w:sz w:val="22"/>
          <w:szCs w:val="22"/>
        </w:rPr>
        <w:t xml:space="preserve"> Identifikace nadstandardních pracovišť je založena na stanovení národní produktivity a kladných odchylek od této hodnoty.</w:t>
      </w:r>
    </w:p>
    <w:p w:rsidR="00405FAD" w:rsidRPr="00B24191" w:rsidRDefault="00BB2084" w:rsidP="004B56C7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Poznatky nejsou zasazeny d</w:t>
      </w:r>
      <w:r w:rsidR="00405FAD" w:rsidRPr="00B24191">
        <w:rPr>
          <w:rFonts w:ascii="Arial" w:hAnsi="Arial" w:cs="Arial"/>
          <w:sz w:val="22"/>
          <w:szCs w:val="22"/>
        </w:rPr>
        <w:t xml:space="preserve">o mezinárodního kontextu, tudíž </w:t>
      </w:r>
      <w:r w:rsidRPr="00B24191">
        <w:rPr>
          <w:rFonts w:ascii="Arial" w:hAnsi="Arial" w:cs="Arial"/>
          <w:sz w:val="22"/>
          <w:szCs w:val="22"/>
        </w:rPr>
        <w:t xml:space="preserve">stav </w:t>
      </w:r>
      <w:r w:rsidR="00405FAD" w:rsidRPr="00B24191">
        <w:rPr>
          <w:rFonts w:ascii="Arial" w:hAnsi="Arial" w:cs="Arial"/>
          <w:sz w:val="22"/>
          <w:szCs w:val="22"/>
        </w:rPr>
        <w:t xml:space="preserve">R&amp;D </w:t>
      </w:r>
      <w:r w:rsidRPr="00B24191">
        <w:rPr>
          <w:rFonts w:ascii="Arial" w:hAnsi="Arial" w:cs="Arial"/>
          <w:sz w:val="22"/>
          <w:szCs w:val="22"/>
        </w:rPr>
        <w:t>má sebereferenční charakter bez možnosti konstatovat, zda se nachází v ne/uspokojivém stavu.</w:t>
      </w:r>
      <w:r w:rsidR="00405FAD" w:rsidRPr="00B24191">
        <w:rPr>
          <w:rFonts w:ascii="Arial" w:hAnsi="Arial" w:cs="Arial"/>
          <w:sz w:val="22"/>
          <w:szCs w:val="22"/>
        </w:rPr>
        <w:t xml:space="preserve"> </w:t>
      </w:r>
    </w:p>
    <w:p w:rsidR="00405FAD" w:rsidRPr="00B24191" w:rsidRDefault="00405FAD" w:rsidP="004B56C7">
      <w:pPr>
        <w:spacing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F72BDA" w:rsidRPr="00B24191" w:rsidRDefault="008E3623" w:rsidP="004B56C7">
      <w:pPr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B24191">
        <w:rPr>
          <w:rFonts w:ascii="Arial" w:hAnsi="Arial" w:cs="Arial"/>
          <w:b/>
          <w:sz w:val="22"/>
          <w:szCs w:val="22"/>
        </w:rPr>
        <w:lastRenderedPageBreak/>
        <w:t xml:space="preserve">Ad d) Role </w:t>
      </w:r>
      <w:r w:rsidR="008E2917" w:rsidRPr="00B24191">
        <w:rPr>
          <w:rFonts w:ascii="Arial" w:hAnsi="Arial" w:cs="Arial"/>
          <w:b/>
          <w:sz w:val="22"/>
          <w:szCs w:val="22"/>
        </w:rPr>
        <w:t>vědecké komunity</w:t>
      </w:r>
    </w:p>
    <w:p w:rsidR="00405FAD" w:rsidRPr="00B24191" w:rsidRDefault="008E2917" w:rsidP="004B56C7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Vědecká komunita</w:t>
      </w:r>
      <w:r w:rsidR="00405FAD" w:rsidRPr="00B24191">
        <w:rPr>
          <w:rFonts w:ascii="Arial" w:hAnsi="Arial" w:cs="Arial"/>
          <w:sz w:val="22"/>
          <w:szCs w:val="22"/>
        </w:rPr>
        <w:t xml:space="preserve"> nehraje v procesu hodnocení žádnou roli. Výstupem jsou ne</w:t>
      </w:r>
      <w:r w:rsidR="00735B2B" w:rsidRPr="00B24191">
        <w:rPr>
          <w:rFonts w:ascii="Arial" w:hAnsi="Arial" w:cs="Arial"/>
          <w:sz w:val="22"/>
          <w:szCs w:val="22"/>
        </w:rPr>
        <w:t>komentované informace („slepá statistika“)</w:t>
      </w:r>
      <w:r w:rsidR="00405FAD" w:rsidRPr="00B24191">
        <w:rPr>
          <w:rFonts w:ascii="Arial" w:hAnsi="Arial" w:cs="Arial"/>
          <w:sz w:val="22"/>
          <w:szCs w:val="22"/>
        </w:rPr>
        <w:t>.</w:t>
      </w:r>
      <w:r w:rsidR="00735B2B" w:rsidRPr="00B24191">
        <w:rPr>
          <w:rFonts w:ascii="Arial" w:hAnsi="Arial" w:cs="Arial"/>
          <w:sz w:val="22"/>
          <w:szCs w:val="22"/>
        </w:rPr>
        <w:t xml:space="preserve"> </w:t>
      </w:r>
    </w:p>
    <w:p w:rsidR="008E3623" w:rsidRPr="00B24191" w:rsidRDefault="008E3623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B97C0F" w:rsidRPr="00B24191" w:rsidRDefault="008E3623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b/>
          <w:sz w:val="22"/>
          <w:szCs w:val="22"/>
        </w:rPr>
        <w:t>Závěr</w:t>
      </w:r>
      <w:r w:rsidR="004324A1" w:rsidRPr="00B24191">
        <w:rPr>
          <w:rFonts w:ascii="Arial" w:hAnsi="Arial" w:cs="Arial"/>
          <w:b/>
          <w:sz w:val="22"/>
          <w:szCs w:val="22"/>
        </w:rPr>
        <w:t xml:space="preserve">em: </w:t>
      </w:r>
      <w:r w:rsidRPr="00B24191">
        <w:rPr>
          <w:rFonts w:ascii="Arial" w:hAnsi="Arial" w:cs="Arial"/>
          <w:sz w:val="22"/>
          <w:szCs w:val="22"/>
        </w:rPr>
        <w:t>Ve své podstatě nemá smysl porovnávat slovenské hodnocení s M17+, protože se jedná o nástroje s</w:t>
      </w:r>
      <w:r w:rsidR="004324A1" w:rsidRPr="00B24191">
        <w:rPr>
          <w:rFonts w:ascii="Arial" w:hAnsi="Arial" w:cs="Arial"/>
          <w:sz w:val="22"/>
          <w:szCs w:val="22"/>
        </w:rPr>
        <w:t> </w:t>
      </w:r>
      <w:r w:rsidRPr="00B24191">
        <w:rPr>
          <w:rFonts w:ascii="Arial" w:hAnsi="Arial" w:cs="Arial"/>
          <w:sz w:val="22"/>
          <w:szCs w:val="22"/>
        </w:rPr>
        <w:t xml:space="preserve">rozličnými </w:t>
      </w:r>
      <w:r w:rsidR="00735B2B" w:rsidRPr="00B24191">
        <w:rPr>
          <w:rFonts w:ascii="Arial" w:hAnsi="Arial" w:cs="Arial"/>
          <w:sz w:val="22"/>
          <w:szCs w:val="22"/>
        </w:rPr>
        <w:t>cíli</w:t>
      </w:r>
      <w:r w:rsidR="004324A1" w:rsidRPr="00B24191">
        <w:rPr>
          <w:rFonts w:ascii="Arial" w:hAnsi="Arial" w:cs="Arial"/>
          <w:sz w:val="22"/>
          <w:szCs w:val="22"/>
        </w:rPr>
        <w:t>. Nicméně inspirující pro české prostředí je možnost využívat ve slovenském hodnocení detailní oborové kapacity.</w:t>
      </w:r>
      <w:r w:rsidR="008E2917" w:rsidRPr="00B24191">
        <w:rPr>
          <w:rFonts w:ascii="Arial" w:hAnsi="Arial" w:cs="Arial"/>
          <w:sz w:val="22"/>
          <w:szCs w:val="22"/>
        </w:rPr>
        <w:t xml:space="preserve"> Zároveň je potřeba uvést, že  se jedná zatím o první kolo komplexnější metodiky, jejíž další fáze budou následovat.</w:t>
      </w:r>
    </w:p>
    <w:p w:rsidR="00B97C0F" w:rsidRPr="00B24191" w:rsidRDefault="00B97C0F" w:rsidP="004B56C7">
      <w:pPr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br w:type="page"/>
      </w: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B24191">
        <w:rPr>
          <w:rFonts w:ascii="Arial" w:hAnsi="Arial" w:cs="Arial"/>
          <w:b/>
          <w:sz w:val="22"/>
          <w:szCs w:val="22"/>
        </w:rPr>
        <w:t xml:space="preserve">Porovnání </w:t>
      </w:r>
      <w:r w:rsidR="00B24A35">
        <w:rPr>
          <w:rFonts w:ascii="Arial" w:hAnsi="Arial" w:cs="Arial"/>
          <w:b/>
          <w:sz w:val="22"/>
          <w:szCs w:val="22"/>
        </w:rPr>
        <w:t>britského systému hodnocení s M1</w:t>
      </w:r>
      <w:bookmarkStart w:id="0" w:name="_GoBack"/>
      <w:bookmarkEnd w:id="0"/>
      <w:r w:rsidRPr="00B24191">
        <w:rPr>
          <w:rFonts w:ascii="Arial" w:hAnsi="Arial" w:cs="Arial"/>
          <w:b/>
          <w:sz w:val="22"/>
          <w:szCs w:val="22"/>
        </w:rPr>
        <w:t>7+</w:t>
      </w: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Research Excellence Framework (REF) je metodikou odpovídající potřebám systémové role odpovídající v ČR pozici MŠMT.  </w:t>
      </w: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Britský REF má v řadě ohledů blízko k M17+, v porovnání se slovenským systémem hodnocení je jejich blízkost ještě zřejmější.  </w:t>
      </w:r>
    </w:p>
    <w:p w:rsidR="00B97C0F" w:rsidRPr="00B24191" w:rsidRDefault="00B97C0F" w:rsidP="004B56C7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z hlediska pokrytí systému R&amp;D se REF zaměřuje pouze na segment vysokých škol,</w:t>
      </w:r>
    </w:p>
    <w:p w:rsidR="00B97C0F" w:rsidRPr="00B24191" w:rsidRDefault="00B97C0F" w:rsidP="004B56C7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REF i M17+ mají obdobné cíle, ačkoliv se týkají ve svém důsledku financování, nejedná se o přímý (natož automatizovaný) mechanismus alokace finančních prostředků, </w:t>
      </w:r>
    </w:p>
    <w:p w:rsidR="00B97C0F" w:rsidRPr="00B24191" w:rsidRDefault="00B97C0F" w:rsidP="004B56C7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obě metodiky zapojují odbornou vědeckou komunitu formou panelového hodnocení</w:t>
      </w: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B24191">
        <w:rPr>
          <w:rFonts w:ascii="Arial" w:hAnsi="Arial" w:cs="Arial"/>
          <w:b/>
          <w:sz w:val="22"/>
          <w:szCs w:val="22"/>
        </w:rPr>
        <w:t>Ad a) Pokrytí systému VaVaI</w:t>
      </w:r>
    </w:p>
    <w:p w:rsidR="00B97C0F" w:rsidRPr="00B24191" w:rsidRDefault="00B97C0F" w:rsidP="004B56C7">
      <w:pPr>
        <w:pStyle w:val="Odstavecseseznamem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REF pokrývá pouze segment vysokých škol (157). </w:t>
      </w:r>
    </w:p>
    <w:p w:rsidR="00B97C0F" w:rsidRPr="00B24191" w:rsidRDefault="00B97C0F" w:rsidP="004B56C7">
      <w:pPr>
        <w:pStyle w:val="Odstavecseseznamem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Obě metodiky ctí oborový přístup, přičemž granularita oborů je obdobná (34 oborů REF vs. 40 oborů M17+).</w:t>
      </w:r>
    </w:p>
    <w:p w:rsidR="00B97C0F" w:rsidRPr="00B24191" w:rsidRDefault="00B97C0F" w:rsidP="004B56C7">
      <w:pPr>
        <w:pStyle w:val="Odstavecseseznamem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Jednotkou hodnocení je obor na dané škole. </w:t>
      </w:r>
    </w:p>
    <w:p w:rsidR="00B97C0F" w:rsidRPr="00B24191" w:rsidRDefault="00B97C0F" w:rsidP="004B56C7">
      <w:pPr>
        <w:pStyle w:val="Odstavecseseznamem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B24191">
        <w:rPr>
          <w:rFonts w:ascii="Arial" w:hAnsi="Arial" w:cs="Arial"/>
          <w:b/>
          <w:sz w:val="22"/>
          <w:szCs w:val="22"/>
        </w:rPr>
        <w:t>Ad b) Cíle</w:t>
      </w:r>
    </w:p>
    <w:p w:rsidR="00B97C0F" w:rsidRPr="00B24191" w:rsidRDefault="00B97C0F" w:rsidP="004B56C7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REF i M17+ mají za cíl poskytnout informativní podklad pro financování, nikoliv přímo spočítat konkrétní finanční částky. </w:t>
      </w:r>
    </w:p>
    <w:p w:rsidR="00B97C0F" w:rsidRPr="00B24191" w:rsidRDefault="00B97C0F" w:rsidP="004B56C7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Obě metodiky pomáhají formovat standardy kvalitního výzkumu, respektive výzkumných organizací. Ve výsledku výstupem obou me</w:t>
      </w:r>
      <w:r w:rsidR="004B56C7">
        <w:rPr>
          <w:rFonts w:ascii="Arial" w:hAnsi="Arial" w:cs="Arial"/>
          <w:sz w:val="22"/>
          <w:szCs w:val="22"/>
        </w:rPr>
        <w:t>todik je škálování institucí do </w:t>
      </w:r>
      <w:r w:rsidRPr="00B24191">
        <w:rPr>
          <w:rFonts w:ascii="Arial" w:hAnsi="Arial" w:cs="Arial"/>
          <w:sz w:val="22"/>
          <w:szCs w:val="22"/>
        </w:rPr>
        <w:t xml:space="preserve">4 širokých pásem (přičemž obě odmítají sestavování pořadových bodovacích žebříčků).   </w:t>
      </w:r>
    </w:p>
    <w:p w:rsidR="00B97C0F" w:rsidRPr="00B24191" w:rsidRDefault="00B97C0F" w:rsidP="004B56C7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REF však navíc klade explicitní důraz na „accountability“ -  vynaložené veřejné prostředky musí systém R&amp;D obhájit vůči veřejnosti, a proto REF klade samostatný důraz na mapování společenského dopadu.  </w:t>
      </w: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B24191">
        <w:rPr>
          <w:rFonts w:ascii="Arial" w:hAnsi="Arial" w:cs="Arial"/>
          <w:b/>
          <w:sz w:val="22"/>
          <w:szCs w:val="22"/>
        </w:rPr>
        <w:t>Ad c) Postupy a indikátory</w:t>
      </w:r>
    </w:p>
    <w:p w:rsidR="00B97C0F" w:rsidRPr="00B24191" w:rsidRDefault="00B97C0F" w:rsidP="004B56C7">
      <w:pPr>
        <w:pStyle w:val="Odstavecseseznamem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REF hodnotí výsledky, společenský dopad a prostředí jako tři hlavní parametry </w:t>
      </w:r>
      <w:r w:rsidRPr="00B24191">
        <w:rPr>
          <w:rFonts w:ascii="Arial" w:hAnsi="Arial" w:cs="Arial"/>
          <w:i/>
          <w:sz w:val="22"/>
          <w:szCs w:val="22"/>
        </w:rPr>
        <w:t>každé posuzované jednotky</w:t>
      </w:r>
      <w:r w:rsidRPr="00B24191">
        <w:rPr>
          <w:rFonts w:ascii="Arial" w:hAnsi="Arial" w:cs="Arial"/>
          <w:sz w:val="22"/>
          <w:szCs w:val="22"/>
        </w:rPr>
        <w:t>. Jednotkou je každý obor na dané škole s minimálně 4 FTE. V tomto smyslu má M17+ mírně širší tematické pokrytí při zapojení modulů M3-M5. Na druhou stranu má M17+ menší úroveň detailu, protože posuzovanou jednotkou je instituce jako celek.</w:t>
      </w:r>
    </w:p>
    <w:p w:rsidR="00B97C0F" w:rsidRPr="00B24191" w:rsidRDefault="00B97C0F" w:rsidP="004B56C7">
      <w:pPr>
        <w:pStyle w:val="Odstavecseseznamem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i/>
          <w:sz w:val="22"/>
          <w:szCs w:val="22"/>
        </w:rPr>
        <w:t>Výsledky</w:t>
      </w:r>
      <w:r w:rsidRPr="00B24191">
        <w:rPr>
          <w:rFonts w:ascii="Arial" w:hAnsi="Arial" w:cs="Arial"/>
          <w:sz w:val="22"/>
          <w:szCs w:val="22"/>
        </w:rPr>
        <w:t>:</w:t>
      </w:r>
    </w:p>
    <w:p w:rsidR="00B97C0F" w:rsidRPr="00B24191" w:rsidRDefault="00B97C0F" w:rsidP="004B56C7">
      <w:pPr>
        <w:pStyle w:val="Odstavecseseznamem"/>
        <w:numPr>
          <w:ilvl w:val="1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V obou metodikách nejsou výsledky typ</w:t>
      </w:r>
      <w:r w:rsidR="004B56C7">
        <w:rPr>
          <w:rFonts w:ascii="Arial" w:hAnsi="Arial" w:cs="Arial"/>
          <w:sz w:val="22"/>
          <w:szCs w:val="22"/>
        </w:rPr>
        <w:t>ologicky omezeny a ponechává se </w:t>
      </w:r>
      <w:r w:rsidRPr="00B24191">
        <w:rPr>
          <w:rFonts w:ascii="Arial" w:hAnsi="Arial" w:cs="Arial"/>
          <w:sz w:val="22"/>
          <w:szCs w:val="22"/>
        </w:rPr>
        <w:t xml:space="preserve">jejich výběr na institucích. </w:t>
      </w:r>
    </w:p>
    <w:p w:rsidR="00B97C0F" w:rsidRPr="00B24191" w:rsidRDefault="00B97C0F" w:rsidP="004B56C7">
      <w:pPr>
        <w:pStyle w:val="Odstavecseseznamem"/>
        <w:numPr>
          <w:ilvl w:val="1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Počet zaslaných výsledků v REF je stanoven dle FTE (jako násobek 2,5). V ČR spolehlivá informace o FTE chybí. </w:t>
      </w:r>
    </w:p>
    <w:p w:rsidR="00B97C0F" w:rsidRPr="00B24191" w:rsidRDefault="00B97C0F" w:rsidP="004B56C7">
      <w:pPr>
        <w:pStyle w:val="Odstavecseseznamem"/>
        <w:numPr>
          <w:ilvl w:val="1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REF jako hlavní metodu posuzování používá peer-review. Zhodnoceno je takto cirka 185 000 výsledků, což je řádově více než v Modulu 1. Tomu odpovídají i finanční a personální náklady REF. Masivní počty výsledků zhodnocené v REF tímto postupem supluje M17+ pomocí Modulu 2.   </w:t>
      </w:r>
    </w:p>
    <w:p w:rsidR="00B97C0F" w:rsidRPr="00B24191" w:rsidRDefault="00B97C0F" w:rsidP="004B56C7">
      <w:pPr>
        <w:pStyle w:val="Odstavecseseznamem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i/>
          <w:sz w:val="22"/>
          <w:szCs w:val="22"/>
        </w:rPr>
        <w:t>Společenský dopad</w:t>
      </w:r>
      <w:r w:rsidRPr="00B24191">
        <w:rPr>
          <w:rFonts w:ascii="Arial" w:hAnsi="Arial" w:cs="Arial"/>
          <w:sz w:val="22"/>
          <w:szCs w:val="22"/>
        </w:rPr>
        <w:t>:</w:t>
      </w:r>
    </w:p>
    <w:p w:rsidR="00B97C0F" w:rsidRPr="00B24191" w:rsidRDefault="00B97C0F" w:rsidP="004B56C7">
      <w:pPr>
        <w:pStyle w:val="Odstavecseseznamem"/>
        <w:numPr>
          <w:ilvl w:val="1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REF, jak již bylo zmíněno, klade relativně vysoký důraz na mapování společenského dopadu v porovnání s M17. Je mapován pomocí případových studií. Každá instituce předkládá tyto studie dle počtu FTE.  </w:t>
      </w:r>
    </w:p>
    <w:p w:rsidR="00B97C0F" w:rsidRPr="00B24191" w:rsidRDefault="00B97C0F" w:rsidP="004B56C7">
      <w:pPr>
        <w:pStyle w:val="Odstavecseseznamem"/>
        <w:numPr>
          <w:ilvl w:val="0"/>
          <w:numId w:val="8"/>
        </w:numPr>
        <w:spacing w:line="240" w:lineRule="auto"/>
        <w:jc w:val="both"/>
        <w:rPr>
          <w:rFonts w:ascii="Arial" w:hAnsi="Arial" w:cs="Arial"/>
          <w:i/>
          <w:sz w:val="22"/>
          <w:szCs w:val="22"/>
        </w:rPr>
      </w:pPr>
      <w:r w:rsidRPr="00B24191">
        <w:rPr>
          <w:rFonts w:ascii="Arial" w:hAnsi="Arial" w:cs="Arial"/>
          <w:i/>
          <w:sz w:val="22"/>
          <w:szCs w:val="22"/>
        </w:rPr>
        <w:t>Prostředí</w:t>
      </w:r>
    </w:p>
    <w:p w:rsidR="00B97C0F" w:rsidRPr="00B24191" w:rsidRDefault="00B97C0F" w:rsidP="004B56C7">
      <w:pPr>
        <w:pStyle w:val="Odstavecseseznamem"/>
        <w:numPr>
          <w:ilvl w:val="1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V podstatě se jedná o některé shodné parametry s moduly M3 a M4 týkající se personálních, finančních, materiálních a dalších podmínek pro provádění výzkumu a podporu jeho společenského dopadu. </w:t>
      </w: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B24191">
        <w:rPr>
          <w:rFonts w:ascii="Arial" w:hAnsi="Arial" w:cs="Arial"/>
          <w:b/>
          <w:sz w:val="22"/>
          <w:szCs w:val="22"/>
        </w:rPr>
        <w:t xml:space="preserve">Ad d) Role odborné </w:t>
      </w:r>
      <w:r w:rsidR="00063449" w:rsidRPr="00B24191">
        <w:rPr>
          <w:rFonts w:ascii="Arial" w:hAnsi="Arial" w:cs="Arial"/>
          <w:b/>
          <w:sz w:val="22"/>
          <w:szCs w:val="22"/>
        </w:rPr>
        <w:t>vědecké komunity</w:t>
      </w:r>
    </w:p>
    <w:p w:rsidR="00B97C0F" w:rsidRPr="00B24191" w:rsidRDefault="00B97C0F" w:rsidP="004B56C7">
      <w:pPr>
        <w:pStyle w:val="Odstavecseseznamem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V obou metodikách má zapojení odborné veřejnosti (panelů) ústřední roli. V M17+ je panelové hodnocení explicitně zaručeno na úrov</w:t>
      </w:r>
      <w:r w:rsidR="004B56C7">
        <w:rPr>
          <w:rFonts w:ascii="Arial" w:hAnsi="Arial" w:cs="Arial"/>
          <w:sz w:val="22"/>
          <w:szCs w:val="22"/>
        </w:rPr>
        <w:t>ni národních modulů M1 a M2, na </w:t>
      </w:r>
      <w:r w:rsidRPr="00B24191">
        <w:rPr>
          <w:rFonts w:ascii="Arial" w:hAnsi="Arial" w:cs="Arial"/>
          <w:sz w:val="22"/>
          <w:szCs w:val="22"/>
        </w:rPr>
        <w:t>úrovni rezortů mají hodnotící orgány podobu a roli definovanou dle uvážení gestora. V segmentu AVČR je již panelová struktur</w:t>
      </w:r>
      <w:r w:rsidR="004B56C7">
        <w:rPr>
          <w:rFonts w:ascii="Arial" w:hAnsi="Arial" w:cs="Arial"/>
          <w:sz w:val="22"/>
          <w:szCs w:val="22"/>
        </w:rPr>
        <w:t>a historicky implementována. Má </w:t>
      </w:r>
      <w:r w:rsidRPr="00B24191">
        <w:rPr>
          <w:rFonts w:ascii="Arial" w:hAnsi="Arial" w:cs="Arial"/>
          <w:sz w:val="22"/>
          <w:szCs w:val="22"/>
        </w:rPr>
        <w:t xml:space="preserve">smysl ji požadovat i pro segment VŠ, u ostatních resortů </w:t>
      </w:r>
      <w:r w:rsidR="004B56C7">
        <w:rPr>
          <w:rFonts w:ascii="Arial" w:hAnsi="Arial" w:cs="Arial"/>
          <w:sz w:val="22"/>
          <w:szCs w:val="22"/>
        </w:rPr>
        <w:t>lze akceptovat i jinou podobu a </w:t>
      </w:r>
      <w:r w:rsidRPr="00B24191">
        <w:rPr>
          <w:rFonts w:ascii="Arial" w:hAnsi="Arial" w:cs="Arial"/>
          <w:sz w:val="22"/>
          <w:szCs w:val="22"/>
        </w:rPr>
        <w:t>funkci hodnotícího orgánu.</w:t>
      </w:r>
    </w:p>
    <w:p w:rsidR="00B97C0F" w:rsidRPr="00B24191" w:rsidRDefault="00B97C0F" w:rsidP="004B56C7">
      <w:pPr>
        <w:pStyle w:val="Odstavecseseznamem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Britský REF, stejně jako slovenské hodnocení a další evaluační metodiky fungují ve specifickém národním prostředí R&amp;D, ve zkratce v odlišných „systémech“. Mechanické porovnání podobností a rozdílů je možné, ale ve výsledku má jen formální charakter. Tudíž - přestože formální rozdíly mezi REF a M17+ jsou zřejmé - si dovolujeme konstatovat, že mezi nimi lze nalézt dostatek paralel, které odkazují ke stejné „filosofii“ stojícími za oběma přístupy: </w:t>
      </w:r>
    </w:p>
    <w:p w:rsidR="00B97C0F" w:rsidRPr="00B24191" w:rsidRDefault="00B97C0F" w:rsidP="004B56C7">
      <w:pPr>
        <w:pStyle w:val="Odstavecseseznamem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nehodnotit pouze výsledky (a už vůbec ne jen některé typy výsledků),</w:t>
      </w:r>
    </w:p>
    <w:p w:rsidR="00B97C0F" w:rsidRPr="00B24191" w:rsidRDefault="00B97C0F" w:rsidP="004B56C7">
      <w:pPr>
        <w:pStyle w:val="Odstavecseseznamem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zapojení odborníků formou oborových panelů</w:t>
      </w:r>
      <w:r w:rsidR="004B56C7">
        <w:rPr>
          <w:rFonts w:ascii="Arial" w:hAnsi="Arial" w:cs="Arial"/>
          <w:sz w:val="22"/>
          <w:szCs w:val="22"/>
        </w:rPr>
        <w:t xml:space="preserve"> a provádění hodnocení právě na </w:t>
      </w:r>
      <w:r w:rsidRPr="00B24191">
        <w:rPr>
          <w:rFonts w:ascii="Arial" w:hAnsi="Arial" w:cs="Arial"/>
          <w:sz w:val="22"/>
          <w:szCs w:val="22"/>
        </w:rPr>
        <w:t>oborovém principu,</w:t>
      </w:r>
    </w:p>
    <w:p w:rsidR="00B97C0F" w:rsidRPr="00B24191" w:rsidRDefault="00B97C0F" w:rsidP="004B56C7">
      <w:pPr>
        <w:pStyle w:val="Odstavecseseznamem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nesledovat a nehodnotit individuální výkony jedinců, ale celků,</w:t>
      </w:r>
    </w:p>
    <w:p w:rsidR="00B97C0F" w:rsidRPr="00B24191" w:rsidRDefault="00B97C0F" w:rsidP="004B56C7">
      <w:pPr>
        <w:pStyle w:val="Odstavecseseznamem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nepoužívat bodovací logiku dovolující ve výsledku n</w:t>
      </w:r>
      <w:r w:rsidR="004B56C7">
        <w:rPr>
          <w:rFonts w:ascii="Arial" w:hAnsi="Arial" w:cs="Arial"/>
          <w:sz w:val="22"/>
          <w:szCs w:val="22"/>
        </w:rPr>
        <w:t>ejrůznější pořadová řazení, ale </w:t>
      </w:r>
      <w:r w:rsidRPr="00B24191">
        <w:rPr>
          <w:rFonts w:ascii="Arial" w:hAnsi="Arial" w:cs="Arial"/>
          <w:sz w:val="22"/>
          <w:szCs w:val="22"/>
        </w:rPr>
        <w:t>naopak používat široké (robustní) kvalitativní škály (pásma, kategorie),</w:t>
      </w:r>
    </w:p>
    <w:p w:rsidR="00B97C0F" w:rsidRPr="00B24191" w:rsidRDefault="00B97C0F" w:rsidP="004B56C7">
      <w:pPr>
        <w:pStyle w:val="Odstavecseseznamem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>ačkoliv má být hodnocení podkladem financová</w:t>
      </w:r>
      <w:r w:rsidR="004B56C7">
        <w:rPr>
          <w:rFonts w:ascii="Arial" w:hAnsi="Arial" w:cs="Arial"/>
          <w:sz w:val="22"/>
          <w:szCs w:val="22"/>
        </w:rPr>
        <w:t>ní, má též informační hodnotu a </w:t>
      </w:r>
      <w:r w:rsidRPr="00B24191">
        <w:rPr>
          <w:rFonts w:ascii="Arial" w:hAnsi="Arial" w:cs="Arial"/>
          <w:sz w:val="22"/>
          <w:szCs w:val="22"/>
        </w:rPr>
        <w:t>k financování slouží jako podklad a není výpočetním algoritmem finančních alokací.</w:t>
      </w: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B97C0F" w:rsidRPr="00B24191" w:rsidRDefault="00B97C0F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24191">
        <w:rPr>
          <w:rFonts w:ascii="Arial" w:hAnsi="Arial" w:cs="Arial"/>
          <w:sz w:val="22"/>
          <w:szCs w:val="22"/>
        </w:rPr>
        <w:t xml:space="preserve">Za současného stavu je REF inspirativní zejména z hlediska zapojení informací o oborovém FTE, které v něm slouží jako podklad pro určení struktury zasílaných výsledků. Dále to je ústřední role kvalitativního hodnocení, které je v ČR i nadále přijímáno s jistou nedůvěrou s odkazem na „subjektivitu“. Na národní úrovni je ústřední role kvalitativního hodnocení symbolicky vyjádřena označením příslušného modulu číslovkou 1, komentovaná bibliometrie je metodikou chápána jako komplementární doplňková informace s výhodou mezinárodního srovnání, které je v prostředí ČR potřebné. Tento fakt však není plně respektován ze strany MŠMT, kde se bibliometrické podklady neadekvátně využívají pro financování VO.   </w:t>
      </w:r>
    </w:p>
    <w:p w:rsidR="008E3623" w:rsidRPr="00B24191" w:rsidRDefault="008E3623" w:rsidP="004B56C7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sectPr w:rsidR="008E3623" w:rsidRPr="00B241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6864"/>
    <w:multiLevelType w:val="hybridMultilevel"/>
    <w:tmpl w:val="1BE0B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41480"/>
    <w:multiLevelType w:val="hybridMultilevel"/>
    <w:tmpl w:val="014050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B5D50"/>
    <w:multiLevelType w:val="hybridMultilevel"/>
    <w:tmpl w:val="25AC8A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7396"/>
    <w:multiLevelType w:val="hybridMultilevel"/>
    <w:tmpl w:val="561AA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20A35"/>
    <w:multiLevelType w:val="hybridMultilevel"/>
    <w:tmpl w:val="234457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462FC"/>
    <w:multiLevelType w:val="hybridMultilevel"/>
    <w:tmpl w:val="4CF4BCF8"/>
    <w:lvl w:ilvl="0" w:tplc="2ACEACD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D0A30"/>
    <w:multiLevelType w:val="hybridMultilevel"/>
    <w:tmpl w:val="8BC45B5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013BA9"/>
    <w:multiLevelType w:val="hybridMultilevel"/>
    <w:tmpl w:val="EA9CF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C64A3"/>
    <w:multiLevelType w:val="hybridMultilevel"/>
    <w:tmpl w:val="19A8A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B92A24"/>
    <w:multiLevelType w:val="hybridMultilevel"/>
    <w:tmpl w:val="4CF4BCF8"/>
    <w:lvl w:ilvl="0" w:tplc="2ACEACD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FE6DCB"/>
    <w:multiLevelType w:val="hybridMultilevel"/>
    <w:tmpl w:val="C8086D9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BDA"/>
    <w:rsid w:val="00011128"/>
    <w:rsid w:val="00063449"/>
    <w:rsid w:val="000A5AE0"/>
    <w:rsid w:val="000D6FB9"/>
    <w:rsid w:val="00143E8D"/>
    <w:rsid w:val="002255BC"/>
    <w:rsid w:val="00252055"/>
    <w:rsid w:val="002E4E82"/>
    <w:rsid w:val="00302C74"/>
    <w:rsid w:val="003B2CA4"/>
    <w:rsid w:val="00405FAD"/>
    <w:rsid w:val="004324A1"/>
    <w:rsid w:val="00433DDD"/>
    <w:rsid w:val="00440615"/>
    <w:rsid w:val="004B56C7"/>
    <w:rsid w:val="00526809"/>
    <w:rsid w:val="005B795C"/>
    <w:rsid w:val="005E1E91"/>
    <w:rsid w:val="006951CD"/>
    <w:rsid w:val="00735B2B"/>
    <w:rsid w:val="00764914"/>
    <w:rsid w:val="007B273D"/>
    <w:rsid w:val="008E2917"/>
    <w:rsid w:val="008E3623"/>
    <w:rsid w:val="00936ACB"/>
    <w:rsid w:val="00954DC2"/>
    <w:rsid w:val="009965BC"/>
    <w:rsid w:val="009F4E2E"/>
    <w:rsid w:val="00A551EA"/>
    <w:rsid w:val="00B24191"/>
    <w:rsid w:val="00B24A35"/>
    <w:rsid w:val="00B303DF"/>
    <w:rsid w:val="00B97C0F"/>
    <w:rsid w:val="00BB2084"/>
    <w:rsid w:val="00BF7E61"/>
    <w:rsid w:val="00C206E3"/>
    <w:rsid w:val="00C5774A"/>
    <w:rsid w:val="00C606B5"/>
    <w:rsid w:val="00CD77B9"/>
    <w:rsid w:val="00D81706"/>
    <w:rsid w:val="00E321F8"/>
    <w:rsid w:val="00EF190C"/>
    <w:rsid w:val="00F64B1B"/>
    <w:rsid w:val="00F72BDA"/>
    <w:rsid w:val="00F80F38"/>
    <w:rsid w:val="00FA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94D30"/>
  <w15:docId w15:val="{B8ECB80C-FFE2-4481-A1A4-CD5C662F6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E61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06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1190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Rulíková Lucie</cp:lastModifiedBy>
  <cp:revision>6</cp:revision>
  <dcterms:created xsi:type="dcterms:W3CDTF">2023-02-10T13:24:00Z</dcterms:created>
  <dcterms:modified xsi:type="dcterms:W3CDTF">2023-03-17T13:48:00Z</dcterms:modified>
</cp:coreProperties>
</file>