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403" w:rsidRDefault="000D77FB">
      <w:pPr>
        <w:pStyle w:val="Nadpis1"/>
        <w:numPr>
          <w:ilvl w:val="0"/>
          <w:numId w:val="10"/>
        </w:numPr>
      </w:pPr>
      <w:r>
        <w:t xml:space="preserve">NÁZEV PROGRAMU </w:t>
      </w:r>
    </w:p>
    <w:p w:rsidR="00DE7403" w:rsidRDefault="000D77FB">
      <w:pPr>
        <w:spacing w:before="0" w:after="120" w:line="360" w:lineRule="auto"/>
        <w:rPr>
          <w:rFonts w:ascii="Arial" w:eastAsia="Arial" w:hAnsi="Arial" w:cs="Arial"/>
        </w:rPr>
      </w:pPr>
      <w:r>
        <w:rPr>
          <w:rFonts w:ascii="Arial" w:eastAsia="Arial" w:hAnsi="Arial" w:cs="Arial"/>
        </w:rPr>
        <w:t xml:space="preserve">Program na podporu aplikovaného výzkumu a inovací v obranném průmyslu </w:t>
      </w:r>
      <w:r>
        <w:rPr>
          <w:rFonts w:ascii="Arial" w:eastAsia="Arial" w:hAnsi="Arial" w:cs="Arial"/>
          <w:b/>
        </w:rPr>
        <w:t>PRODEF</w:t>
      </w:r>
      <w:r>
        <w:rPr>
          <w:rFonts w:ascii="Arial" w:eastAsia="Arial" w:hAnsi="Arial" w:cs="Arial"/>
        </w:rPr>
        <w:t xml:space="preserve"> (dále také “program”).</w:t>
      </w:r>
    </w:p>
    <w:p w:rsidR="00DE7403" w:rsidRDefault="000D77FB">
      <w:pPr>
        <w:pStyle w:val="Nadpis1"/>
        <w:numPr>
          <w:ilvl w:val="0"/>
          <w:numId w:val="10"/>
        </w:numPr>
      </w:pPr>
      <w:bookmarkStart w:id="0" w:name="_gjdgxs" w:colFirst="0" w:colLast="0"/>
      <w:bookmarkEnd w:id="0"/>
      <w:r>
        <w:t xml:space="preserve">POSKYTOVATEL </w:t>
      </w:r>
    </w:p>
    <w:p w:rsidR="00DE7403" w:rsidRDefault="000D77FB">
      <w:pPr>
        <w:spacing w:before="0" w:after="120" w:line="360" w:lineRule="auto"/>
        <w:rPr>
          <w:rFonts w:ascii="Arial" w:eastAsia="Arial" w:hAnsi="Arial" w:cs="Arial"/>
        </w:rPr>
      </w:pPr>
      <w:r>
        <w:rPr>
          <w:rFonts w:ascii="Arial" w:eastAsia="Arial" w:hAnsi="Arial" w:cs="Arial"/>
        </w:rPr>
        <w:t>Technologická agentura České republiky (dále také “TA ČR”).</w:t>
      </w:r>
    </w:p>
    <w:p w:rsidR="00DE7403" w:rsidRDefault="000D77FB">
      <w:pPr>
        <w:pStyle w:val="Nadpis1"/>
        <w:numPr>
          <w:ilvl w:val="0"/>
          <w:numId w:val="10"/>
        </w:numPr>
      </w:pPr>
      <w:bookmarkStart w:id="1" w:name="_30j0zll" w:colFirst="0" w:colLast="0"/>
      <w:bookmarkEnd w:id="1"/>
      <w:r>
        <w:t>IDENTIFIKAČNÍ KÓD PROGRAMU</w:t>
      </w:r>
    </w:p>
    <w:p w:rsidR="00DE7403" w:rsidRDefault="000D77FB">
      <w:pPr>
        <w:spacing w:before="0" w:after="120" w:line="360" w:lineRule="auto"/>
        <w:ind w:right="-19"/>
        <w:rPr>
          <w:rFonts w:ascii="Arial" w:eastAsia="Arial" w:hAnsi="Arial" w:cs="Arial"/>
        </w:rPr>
      </w:pPr>
      <w:r>
        <w:rPr>
          <w:rFonts w:ascii="Arial" w:eastAsia="Arial" w:hAnsi="Arial" w:cs="Arial"/>
        </w:rPr>
        <w:t>Pro účely evidence v informačním systému výzkumu, experimentálního vývoje a inovací je programu přidělen kód „</w:t>
      </w:r>
      <w:r>
        <w:rPr>
          <w:rFonts w:ascii="Arial" w:eastAsia="Arial" w:hAnsi="Arial" w:cs="Arial"/>
          <w:b/>
          <w:highlight w:val="yellow"/>
        </w:rPr>
        <w:t>XX</w:t>
      </w:r>
      <w:r>
        <w:rPr>
          <w:rFonts w:ascii="Arial" w:eastAsia="Arial" w:hAnsi="Arial" w:cs="Arial"/>
        </w:rPr>
        <w:t>“.</w:t>
      </w:r>
    </w:p>
    <w:p w:rsidR="00DE7403" w:rsidRDefault="000D77FB">
      <w:pPr>
        <w:pStyle w:val="Nadpis1"/>
        <w:numPr>
          <w:ilvl w:val="0"/>
          <w:numId w:val="10"/>
        </w:numPr>
      </w:pPr>
      <w:bookmarkStart w:id="2" w:name="_1fob9te" w:colFirst="0" w:colLast="0"/>
      <w:bookmarkEnd w:id="2"/>
      <w:r>
        <w:t xml:space="preserve">PRÁVNÍ RÁMEC PROGRAMU </w:t>
      </w:r>
    </w:p>
    <w:p w:rsidR="00DE7403" w:rsidRDefault="000D77FB">
      <w:pPr>
        <w:widowControl w:val="0"/>
        <w:spacing w:before="0" w:after="120" w:line="360" w:lineRule="auto"/>
        <w:ind w:right="6244"/>
        <w:rPr>
          <w:rFonts w:ascii="Arial" w:eastAsia="Arial" w:hAnsi="Arial" w:cs="Arial"/>
        </w:rPr>
      </w:pPr>
      <w:r>
        <w:rPr>
          <w:rFonts w:ascii="Arial" w:eastAsia="Arial" w:hAnsi="Arial" w:cs="Arial"/>
        </w:rPr>
        <w:t xml:space="preserve">Program je realizován dle: </w:t>
      </w:r>
    </w:p>
    <w:p w:rsidR="00DE7403" w:rsidRDefault="000D77FB">
      <w:pPr>
        <w:widowControl w:val="0"/>
        <w:numPr>
          <w:ilvl w:val="0"/>
          <w:numId w:val="11"/>
        </w:numPr>
        <w:pBdr>
          <w:top w:val="nil"/>
          <w:left w:val="nil"/>
          <w:bottom w:val="nil"/>
          <w:right w:val="nil"/>
          <w:between w:val="nil"/>
        </w:pBdr>
        <w:spacing w:before="0" w:line="360" w:lineRule="auto"/>
        <w:ind w:right="-28"/>
        <w:rPr>
          <w:rFonts w:ascii="Arial" w:eastAsia="Arial" w:hAnsi="Arial" w:cs="Arial"/>
          <w:color w:val="000000"/>
        </w:rPr>
      </w:pPr>
      <w:r>
        <w:rPr>
          <w:rFonts w:ascii="Arial" w:eastAsia="Arial" w:hAnsi="Arial" w:cs="Arial"/>
          <w:color w:val="000000"/>
        </w:rPr>
        <w:t>zákona č. 130/2002 Sb., o podpoře výzkumu, experimentálního vývoje a inovací z veřejných prostředků a o změně některých souvisejících zákonů (dále jen “zákon o podpoře výzkumu, experimentálního vývoje a inovací”), ve znění pozdějších předpisů;</w:t>
      </w:r>
    </w:p>
    <w:p w:rsidR="00DE7403" w:rsidRDefault="000D77FB">
      <w:pPr>
        <w:widowControl w:val="0"/>
        <w:numPr>
          <w:ilvl w:val="0"/>
          <w:numId w:val="11"/>
        </w:numPr>
        <w:pBdr>
          <w:top w:val="nil"/>
          <w:left w:val="nil"/>
          <w:bottom w:val="nil"/>
          <w:right w:val="nil"/>
          <w:between w:val="nil"/>
        </w:pBdr>
        <w:spacing w:before="0" w:line="360" w:lineRule="auto"/>
        <w:ind w:right="-28"/>
        <w:rPr>
          <w:rFonts w:ascii="Arial" w:eastAsia="Arial" w:hAnsi="Arial" w:cs="Arial"/>
          <w:color w:val="000000"/>
        </w:rPr>
      </w:pPr>
      <w:r>
        <w:rPr>
          <w:rFonts w:ascii="Arial" w:eastAsia="Arial" w:hAnsi="Arial" w:cs="Arial"/>
          <w:color w:val="000000"/>
        </w:rPr>
        <w:t xml:space="preserve">zákon č. 218/2000 Sb., o rozpočtových pravidlech a o změně některých souvisejících zákonů (rozpočtová pravidla), ve znění pozdějších předpisů; </w:t>
      </w:r>
    </w:p>
    <w:p w:rsidR="00DE7403" w:rsidRDefault="000D77FB">
      <w:pPr>
        <w:widowControl w:val="0"/>
        <w:numPr>
          <w:ilvl w:val="0"/>
          <w:numId w:val="11"/>
        </w:numPr>
        <w:pBdr>
          <w:top w:val="nil"/>
          <w:left w:val="nil"/>
          <w:bottom w:val="nil"/>
          <w:right w:val="nil"/>
          <w:between w:val="nil"/>
        </w:pBdr>
        <w:spacing w:before="0" w:line="360" w:lineRule="auto"/>
        <w:ind w:right="-19"/>
        <w:rPr>
          <w:rFonts w:ascii="Arial" w:eastAsia="Arial" w:hAnsi="Arial" w:cs="Arial"/>
          <w:color w:val="000000"/>
        </w:rPr>
      </w:pPr>
      <w:r>
        <w:rPr>
          <w:rFonts w:ascii="Arial" w:eastAsia="Arial" w:hAnsi="Arial" w:cs="Arial"/>
          <w:color w:val="000000"/>
        </w:rPr>
        <w:t xml:space="preserve">Smlouvy o fungování Evropské unie 2012/C 326/01, (zejména článek 107, případně také články 93 a 106); </w:t>
      </w:r>
    </w:p>
    <w:p w:rsidR="00DE7403" w:rsidRDefault="000D77FB">
      <w:pPr>
        <w:widowControl w:val="0"/>
        <w:numPr>
          <w:ilvl w:val="0"/>
          <w:numId w:val="11"/>
        </w:numPr>
        <w:pBdr>
          <w:top w:val="nil"/>
          <w:left w:val="nil"/>
          <w:bottom w:val="nil"/>
          <w:right w:val="nil"/>
          <w:between w:val="nil"/>
        </w:pBdr>
        <w:spacing w:before="0" w:line="360" w:lineRule="auto"/>
        <w:ind w:right="-33"/>
        <w:rPr>
          <w:rFonts w:ascii="Arial" w:eastAsia="Arial" w:hAnsi="Arial" w:cs="Arial"/>
          <w:color w:val="000000"/>
        </w:rPr>
      </w:pPr>
      <w:r>
        <w:rPr>
          <w:rFonts w:ascii="Arial" w:eastAsia="Arial" w:hAnsi="Arial" w:cs="Arial"/>
          <w:color w:val="000000"/>
        </w:rPr>
        <w:t>Nařízení (EU) č. 651/2014 ze dne 17. června 2014 ze dne 14. června 2017, kterým se v souladu s články 107 a 108 Smlouvy prohlašují určité kategorie podpory za slučitelné s vnitřním trhem, zejm. čl. 25, 28, 29 (dále také “Nařízení”), v úpravě nařízení EK 2023/1315 a pozdějším znění;</w:t>
      </w:r>
    </w:p>
    <w:p w:rsidR="00DE7403" w:rsidRDefault="000D77FB">
      <w:pPr>
        <w:widowControl w:val="0"/>
        <w:numPr>
          <w:ilvl w:val="0"/>
          <w:numId w:val="11"/>
        </w:numPr>
        <w:pBdr>
          <w:top w:val="nil"/>
          <w:left w:val="nil"/>
          <w:bottom w:val="nil"/>
          <w:right w:val="nil"/>
          <w:between w:val="nil"/>
        </w:pBdr>
        <w:spacing w:before="0" w:line="360" w:lineRule="auto"/>
        <w:ind w:right="-28"/>
        <w:rPr>
          <w:rFonts w:ascii="Arial" w:eastAsia="Arial" w:hAnsi="Arial" w:cs="Arial"/>
          <w:color w:val="000000"/>
        </w:rPr>
      </w:pPr>
      <w:r>
        <w:rPr>
          <w:rFonts w:ascii="Arial" w:eastAsia="Arial" w:hAnsi="Arial" w:cs="Arial"/>
          <w:color w:val="000000"/>
        </w:rPr>
        <w:t>Nařízení EP a Rady (EU) 2021/697 ze dne 29. dubna 2021 o zřízení Evropského obranného fondu (a navazujícím) (dále také “Nařízení o EDF”);</w:t>
      </w:r>
    </w:p>
    <w:p w:rsidR="00DE7403" w:rsidRDefault="000D77FB">
      <w:pPr>
        <w:widowControl w:val="0"/>
        <w:numPr>
          <w:ilvl w:val="0"/>
          <w:numId w:val="11"/>
        </w:numPr>
        <w:pBdr>
          <w:top w:val="nil"/>
          <w:left w:val="nil"/>
          <w:bottom w:val="nil"/>
          <w:right w:val="nil"/>
          <w:between w:val="nil"/>
        </w:pBdr>
        <w:spacing w:before="0" w:line="360" w:lineRule="auto"/>
        <w:ind w:right="-28"/>
        <w:rPr>
          <w:rFonts w:ascii="Arial" w:eastAsia="Arial" w:hAnsi="Arial" w:cs="Arial"/>
          <w:color w:val="000000"/>
        </w:rPr>
      </w:pPr>
      <w:r>
        <w:rPr>
          <w:rFonts w:ascii="Arial" w:eastAsia="Arial" w:hAnsi="Arial" w:cs="Arial"/>
          <w:color w:val="000000"/>
        </w:rPr>
        <w:t>Rámce pro státní podporu výzkumu, vývoje a inovací – Úřední věstník Evropské unie 2022/C 414/01, C 7388 z 28. října 2022 (dále také “Rámec”);</w:t>
      </w:r>
    </w:p>
    <w:p w:rsidR="00DE7403" w:rsidRDefault="000D77FB">
      <w:pPr>
        <w:widowControl w:val="0"/>
        <w:numPr>
          <w:ilvl w:val="0"/>
          <w:numId w:val="11"/>
        </w:numPr>
        <w:pBdr>
          <w:top w:val="nil"/>
          <w:left w:val="nil"/>
          <w:bottom w:val="nil"/>
          <w:right w:val="nil"/>
          <w:between w:val="nil"/>
        </w:pBdr>
        <w:spacing w:before="0" w:after="120" w:line="360" w:lineRule="auto"/>
        <w:ind w:right="-28"/>
        <w:rPr>
          <w:rFonts w:ascii="Arial" w:eastAsia="Arial" w:hAnsi="Arial" w:cs="Arial"/>
          <w:color w:val="000000"/>
        </w:rPr>
      </w:pPr>
      <w:r>
        <w:rPr>
          <w:rFonts w:ascii="Arial" w:eastAsia="Arial" w:hAnsi="Arial" w:cs="Arial"/>
          <w:color w:val="000000"/>
        </w:rPr>
        <w:t>a podle ostatních souvisejících předpisů.</w:t>
      </w:r>
    </w:p>
    <w:p w:rsidR="000D77FB" w:rsidRDefault="000D77FB" w:rsidP="000A77E4">
      <w:pPr>
        <w:widowControl w:val="0"/>
        <w:spacing w:before="0" w:after="120" w:line="360" w:lineRule="auto"/>
        <w:ind w:right="-23"/>
        <w:rPr>
          <w:rFonts w:ascii="Arial" w:eastAsia="Arial" w:hAnsi="Arial" w:cs="Arial"/>
        </w:rPr>
      </w:pPr>
      <w:r>
        <w:rPr>
          <w:rFonts w:ascii="Arial" w:eastAsia="Arial" w:hAnsi="Arial" w:cs="Arial"/>
        </w:rPr>
        <w:t xml:space="preserve">Program je vyňat z oznamovací povinnosti podle čl. 108 odst. 3 Smlouvy o fungování Evropské unie, neboť splňuje podmínky Nařízení. </w:t>
      </w:r>
      <w:bookmarkStart w:id="3" w:name="_GoBack"/>
      <w:bookmarkEnd w:id="3"/>
    </w:p>
    <w:p w:rsidR="00DE7403" w:rsidRDefault="000D77FB">
      <w:pPr>
        <w:widowControl w:val="0"/>
        <w:spacing w:before="0" w:after="120" w:line="360" w:lineRule="auto"/>
        <w:rPr>
          <w:rFonts w:ascii="Arial" w:eastAsia="Arial" w:hAnsi="Arial" w:cs="Arial"/>
        </w:rPr>
      </w:pPr>
      <w:r>
        <w:rPr>
          <w:rFonts w:ascii="Arial" w:eastAsia="Arial" w:hAnsi="Arial" w:cs="Arial"/>
        </w:rPr>
        <w:t>V programu je vyloučeno vyplacení jednotlivé podpory ve prospěch podniku:</w:t>
      </w:r>
    </w:p>
    <w:p w:rsidR="00DE7403" w:rsidRDefault="000D77FB">
      <w:pPr>
        <w:widowControl w:val="0"/>
        <w:numPr>
          <w:ilvl w:val="0"/>
          <w:numId w:val="13"/>
        </w:numPr>
        <w:pBdr>
          <w:top w:val="nil"/>
          <w:left w:val="nil"/>
          <w:bottom w:val="nil"/>
          <w:right w:val="nil"/>
          <w:between w:val="nil"/>
        </w:pBdr>
        <w:spacing w:before="0" w:line="360" w:lineRule="auto"/>
        <w:rPr>
          <w:rFonts w:ascii="Arial" w:eastAsia="Arial" w:hAnsi="Arial" w:cs="Arial"/>
          <w:color w:val="000000"/>
          <w:highlight w:val="white"/>
        </w:rPr>
      </w:pPr>
      <w:r>
        <w:rPr>
          <w:rFonts w:ascii="Arial" w:eastAsia="Arial" w:hAnsi="Arial" w:cs="Arial"/>
          <w:color w:val="000000"/>
          <w:highlight w:val="white"/>
        </w:rPr>
        <w:t xml:space="preserve">vůči němuž byl v návaznosti na rozhodnutí Evropské komise vystaven inkasní příkaz, který je nesplacený. Na základě tohoto rozhodnutí Evropská komise prohlásila, </w:t>
      </w:r>
      <w:r>
        <w:rPr>
          <w:rFonts w:ascii="Arial" w:eastAsia="Arial" w:hAnsi="Arial" w:cs="Arial"/>
          <w:color w:val="000000"/>
          <w:highlight w:val="white"/>
        </w:rPr>
        <w:lastRenderedPageBreak/>
        <w:t>že podpora obdržená od poskytovatele z České republiky je protiprávní a neslučitelná s vnitřním trhem;</w:t>
      </w:r>
    </w:p>
    <w:p w:rsidR="00DE7403" w:rsidRDefault="000D77FB">
      <w:pPr>
        <w:widowControl w:val="0"/>
        <w:numPr>
          <w:ilvl w:val="0"/>
          <w:numId w:val="13"/>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který splňuje definici podniku v obtížích uvedenou v Nařízení (čl. 2, odst. 18).</w:t>
      </w:r>
    </w:p>
    <w:p w:rsidR="00DE7403" w:rsidRDefault="000D77FB">
      <w:pPr>
        <w:widowControl w:val="0"/>
        <w:spacing w:before="0" w:after="120" w:line="360" w:lineRule="auto"/>
        <w:rPr>
          <w:rFonts w:ascii="Arial" w:eastAsia="Arial" w:hAnsi="Arial" w:cs="Arial"/>
        </w:rPr>
      </w:pPr>
      <w:r>
        <w:rPr>
          <w:rFonts w:ascii="Arial" w:eastAsia="Arial" w:hAnsi="Arial" w:cs="Arial"/>
        </w:rPr>
        <w:t>Pokud jeden podnik obdrží v programu veřejnou podporu vyšší, než je stanovený limit v Nařízení,</w:t>
      </w:r>
      <w:r>
        <w:rPr>
          <w:rFonts w:ascii="Arial" w:eastAsia="Arial" w:hAnsi="Arial" w:cs="Arial"/>
          <w:vertAlign w:val="superscript"/>
        </w:rPr>
        <w:footnoteReference w:id="1"/>
      </w:r>
      <w:r>
        <w:rPr>
          <w:rFonts w:ascii="Arial" w:eastAsia="Arial" w:hAnsi="Arial" w:cs="Arial"/>
        </w:rPr>
        <w:t xml:space="preserve"> budou zveřejněny informace o příjemci a jemu poskytnuté podpoře (v rozsahu dle přílohy III Nařízení) na centrální webové stránce ve smyslu Nařízení.</w:t>
      </w:r>
    </w:p>
    <w:p w:rsidR="00DE7403" w:rsidRDefault="000D77FB">
      <w:pPr>
        <w:pStyle w:val="Nadpis1"/>
        <w:numPr>
          <w:ilvl w:val="0"/>
          <w:numId w:val="10"/>
        </w:numPr>
      </w:pPr>
      <w:bookmarkStart w:id="4" w:name="_3znysh7" w:colFirst="0" w:colLast="0"/>
      <w:bookmarkEnd w:id="4"/>
      <w:r>
        <w:t>DOBA TRVÁNÍ A TERMÍNY VYHLÁŠENÍ PROGRAMU</w:t>
      </w:r>
    </w:p>
    <w:p w:rsidR="00DE7403" w:rsidRDefault="000D77FB">
      <w:pPr>
        <w:spacing w:before="0" w:after="120" w:line="360" w:lineRule="auto"/>
        <w:rPr>
          <w:rFonts w:ascii="Arial" w:eastAsia="Arial" w:hAnsi="Arial" w:cs="Arial"/>
        </w:rPr>
      </w:pPr>
      <w:r>
        <w:rPr>
          <w:rFonts w:ascii="Arial" w:eastAsia="Arial" w:hAnsi="Arial" w:cs="Arial"/>
        </w:rPr>
        <w:t>Doba trvání programu se předpokládá v letech 2024 až 2031, tedy osm let. První veřejná soutěž v podprogramu 2 se předpokládá vyhlásit v roce 2024. Následně se předpokládá vyhlašování veřejných soutěží v podprogramu 2 v letech 2026 a 2028. Vyhlášení národních výzev na podporu projektů z podprogramu 1 bude termínově záviset na vyhlašování výzev z Evropského obranného fondu a jemu navazujících programů (dále jen “EDF”).</w:t>
      </w:r>
    </w:p>
    <w:p w:rsidR="00DE7403" w:rsidRDefault="000D77FB">
      <w:pPr>
        <w:spacing w:before="0" w:after="120" w:line="360" w:lineRule="auto"/>
        <w:rPr>
          <w:rFonts w:ascii="Arial" w:eastAsia="Arial" w:hAnsi="Arial" w:cs="Arial"/>
        </w:rPr>
      </w:pPr>
      <w:r>
        <w:rPr>
          <w:rFonts w:ascii="Arial" w:eastAsia="Arial" w:hAnsi="Arial" w:cs="Arial"/>
        </w:rPr>
        <w:t>Maximální délka řešení projektů z obou podprogramů nesmí přesáhnout dobu trvání programu.</w:t>
      </w:r>
    </w:p>
    <w:p w:rsidR="00DE7403" w:rsidRDefault="000D77FB">
      <w:pPr>
        <w:pStyle w:val="Nadpis1"/>
        <w:numPr>
          <w:ilvl w:val="0"/>
          <w:numId w:val="10"/>
        </w:numPr>
      </w:pPr>
      <w:bookmarkStart w:id="5" w:name="_2et92p0" w:colFirst="0" w:colLast="0"/>
      <w:bookmarkEnd w:id="5"/>
      <w:r>
        <w:t xml:space="preserve">ZAMĚŘENÍ PROGRAMU </w:t>
      </w:r>
    </w:p>
    <w:p w:rsidR="00DE7403" w:rsidRDefault="000D77FB">
      <w:pPr>
        <w:spacing w:before="0" w:after="120" w:line="360" w:lineRule="auto"/>
        <w:rPr>
          <w:rFonts w:ascii="Arial" w:eastAsia="Arial" w:hAnsi="Arial" w:cs="Arial"/>
        </w:rPr>
      </w:pPr>
      <w:r>
        <w:rPr>
          <w:rFonts w:ascii="Arial" w:eastAsia="Arial" w:hAnsi="Arial" w:cs="Arial"/>
        </w:rPr>
        <w:t xml:space="preserve">Program je realizován v souladu s aktuálně platnými strategickými a koncepčními dokumenty, zaměřenými na oblast výzkumu, vývoje a inovací a oblast obranného průmyslu. Zejména tedy s: </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Inovační strategií České republiky 2019–2030;</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Národní politikou výzkumu, vývoje a inovací České republiky 2021+;</w:t>
      </w:r>
    </w:p>
    <w:p w:rsidR="00DE7403" w:rsidRDefault="000D77FB">
      <w:pPr>
        <w:numPr>
          <w:ilvl w:val="1"/>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rPr>
        <w:t>především s opatřeními č. 3, 21, 22 a 25</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Národními prioritami orientovaného výzkumu, experimentálního vývoje a inovací (dále jen „NPOV“);</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aktualizovanou Národní výzkumnou a inovační strategií pro inteligentní specializaci České republiky (dále také „RIS3“);</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Principy Iniciativy Průmysl 4.0;</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Dlouhodobým výhledem pro obranu 2035</w:t>
      </w:r>
      <w:r w:rsidR="00EE374D">
        <w:rPr>
          <w:rFonts w:ascii="Arial" w:eastAsia="Arial" w:hAnsi="Arial" w:cs="Arial"/>
          <w:color w:val="000000"/>
        </w:rPr>
        <w:t>;</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Koncepcí výstavby Armády ČR do roku 2030;</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Strategií vyzbrojování a podpory rozvoje obranného průmyslu v ČR do roku 2030;</w:t>
      </w:r>
    </w:p>
    <w:p w:rsidR="00DE7403" w:rsidRDefault="000D77FB">
      <w:pPr>
        <w:numPr>
          <w:ilvl w:val="0"/>
          <w:numId w:val="15"/>
        </w:numPr>
        <w:pBdr>
          <w:top w:val="nil"/>
          <w:left w:val="nil"/>
          <w:bottom w:val="nil"/>
          <w:right w:val="nil"/>
          <w:between w:val="nil"/>
        </w:pBdr>
        <w:spacing w:before="0" w:line="360" w:lineRule="auto"/>
        <w:rPr>
          <w:rFonts w:ascii="Arial" w:eastAsia="Arial" w:hAnsi="Arial" w:cs="Arial"/>
        </w:rPr>
      </w:pPr>
      <w:r>
        <w:rPr>
          <w:rFonts w:ascii="Arial" w:eastAsia="Arial" w:hAnsi="Arial" w:cs="Arial"/>
        </w:rPr>
        <w:t>Koncepcí obranného aplikovaného výzkumu, vývoje a inovací na období 2023-2029;</w:t>
      </w:r>
    </w:p>
    <w:p w:rsidR="00DE7403" w:rsidRPr="004A007A" w:rsidRDefault="000D77FB" w:rsidP="004A007A">
      <w:pPr>
        <w:numPr>
          <w:ilvl w:val="0"/>
          <w:numId w:val="15"/>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a v souladu s dalšími koncepčními dokumenty na národní a vnitroresortní úrovni.</w:t>
      </w:r>
    </w:p>
    <w:p w:rsidR="00DE7403" w:rsidRDefault="000D77FB">
      <w:pPr>
        <w:spacing w:before="0" w:after="120" w:line="360" w:lineRule="auto"/>
        <w:rPr>
          <w:rFonts w:ascii="Arial" w:eastAsia="Arial" w:hAnsi="Arial" w:cs="Arial"/>
        </w:rPr>
      </w:pPr>
      <w:r>
        <w:rPr>
          <w:rFonts w:ascii="Arial" w:eastAsia="Arial" w:hAnsi="Arial" w:cs="Arial"/>
          <w:b/>
        </w:rPr>
        <w:t>Program je zaměřen</w:t>
      </w:r>
      <w:r>
        <w:rPr>
          <w:rFonts w:ascii="Arial" w:eastAsia="Arial" w:hAnsi="Arial" w:cs="Arial"/>
        </w:rPr>
        <w:t xml:space="preserve"> na podporu projektů, které dle čl. 25 odst. 2 písm. b) a c) a čl. </w:t>
      </w:r>
      <w:r w:rsidR="004A007A">
        <w:rPr>
          <w:rFonts w:ascii="Arial" w:eastAsia="Arial" w:hAnsi="Arial" w:cs="Arial"/>
        </w:rPr>
        <w:t xml:space="preserve">25e Nařízení a čl. 1.3 </w:t>
      </w:r>
      <w:r>
        <w:rPr>
          <w:rFonts w:ascii="Arial" w:eastAsia="Arial" w:hAnsi="Arial" w:cs="Arial"/>
        </w:rPr>
        <w:t xml:space="preserve">písm. e) Rámce spadají do kategorie aplikovaného výzkumu (zahrnuje průmyslový výzkum, </w:t>
      </w:r>
      <w:r>
        <w:rPr>
          <w:rFonts w:ascii="Arial" w:eastAsia="Arial" w:hAnsi="Arial" w:cs="Arial"/>
        </w:rPr>
        <w:lastRenderedPageBreak/>
        <w:t xml:space="preserve">experimentální vývoj nebo jejich kombinaci), dále také inovace dle č. 28 a 29 Nařízení a čl. 1.3 písm. t) a bb) Rámce. </w:t>
      </w:r>
    </w:p>
    <w:p w:rsidR="00DE7403" w:rsidRDefault="000D77FB">
      <w:pPr>
        <w:widowControl w:val="0"/>
        <w:spacing w:before="0" w:after="120" w:line="360" w:lineRule="auto"/>
        <w:ind w:left="-23" w:right="-23"/>
        <w:rPr>
          <w:rFonts w:ascii="Arial" w:eastAsia="Arial" w:hAnsi="Arial" w:cs="Arial"/>
        </w:rPr>
      </w:pPr>
      <w:r>
        <w:rPr>
          <w:rFonts w:ascii="Arial" w:eastAsia="Arial" w:hAnsi="Arial" w:cs="Arial"/>
        </w:rPr>
        <w:t xml:space="preserve">Program slouží k naplňování synergických a komplementárních efektů zejména s Evropským obranným fondem (a případnými navazujícími programy). Zaměří se i na samostatné projekty obranného průmyslu národního významu. Z toho </w:t>
      </w:r>
      <w:r>
        <w:rPr>
          <w:rFonts w:ascii="Arial" w:eastAsia="Arial" w:hAnsi="Arial" w:cs="Arial"/>
          <w:b/>
        </w:rPr>
        <w:t>důvodu je program členěn na dva podprogramy oblasti podpory</w:t>
      </w:r>
      <w:r>
        <w:rPr>
          <w:rFonts w:ascii="Arial" w:eastAsia="Arial" w:hAnsi="Arial" w:cs="Arial"/>
        </w:rPr>
        <w:t>, přičemž každá má odlišný způsob výběru a hodnocení projektů (podrobněji v kap. 16).</w:t>
      </w:r>
    </w:p>
    <w:p w:rsidR="00DE7403" w:rsidRDefault="000D77FB">
      <w:pPr>
        <w:pStyle w:val="Nadpis1"/>
        <w:numPr>
          <w:ilvl w:val="0"/>
          <w:numId w:val="10"/>
        </w:numPr>
      </w:pPr>
      <w:bookmarkStart w:id="6" w:name="_tyjcwt" w:colFirst="0" w:colLast="0"/>
      <w:bookmarkEnd w:id="6"/>
      <w:r>
        <w:t>CÍL PROGRAMU</w:t>
      </w:r>
    </w:p>
    <w:p w:rsidR="00DE7403" w:rsidRDefault="000D77FB">
      <w:pPr>
        <w:spacing w:before="0" w:after="120" w:line="360" w:lineRule="auto"/>
        <w:rPr>
          <w:rFonts w:ascii="Arial" w:eastAsia="Arial" w:hAnsi="Arial" w:cs="Arial"/>
        </w:rPr>
      </w:pPr>
      <w:r>
        <w:rPr>
          <w:rFonts w:ascii="Arial" w:eastAsia="Arial" w:hAnsi="Arial" w:cs="Arial"/>
        </w:rPr>
        <w:t xml:space="preserve">Hlavním cílem programu je další rozvoj národního VaVaI v oblasti obranného průmyslu, a to prostřednictvím zvýšení zapojení českých subjektů do mezinárodních řetězců a konsorcií, a posílení technologické úrovně českých subjektů, které již v obranném VaVaI působí nebo mohou působit – přičemž i zvýšení multidisciplinarity prostřednictvím zapojení právě těch subjektů, které dosud v obranném VaVaI nepůsobily. </w:t>
      </w:r>
    </w:p>
    <w:p w:rsidR="00DE7403" w:rsidRDefault="000D77FB">
      <w:pPr>
        <w:spacing w:before="0" w:after="120" w:line="360" w:lineRule="auto"/>
        <w:rPr>
          <w:rFonts w:ascii="Arial" w:eastAsia="Arial" w:hAnsi="Arial" w:cs="Arial"/>
        </w:rPr>
      </w:pPr>
      <w:r>
        <w:rPr>
          <w:rFonts w:ascii="Arial" w:eastAsia="Arial" w:hAnsi="Arial" w:cs="Arial"/>
        </w:rPr>
        <w:t>Hlavní cíl je dále tematicky členěn na cíle dvou podprogramů, které jsou blíže specifikovány v příslušných částech kapitoly 15.</w:t>
      </w:r>
    </w:p>
    <w:p w:rsidR="00DE7403" w:rsidRDefault="000D77FB">
      <w:pPr>
        <w:pStyle w:val="Nadpis1"/>
        <w:numPr>
          <w:ilvl w:val="0"/>
          <w:numId w:val="10"/>
        </w:numPr>
      </w:pPr>
      <w:bookmarkStart w:id="7" w:name="_3dy6vkm" w:colFirst="0" w:colLast="0"/>
      <w:bookmarkEnd w:id="7"/>
      <w:r>
        <w:t>ODŮVODNĚNÍ CÍLE PROGRAMU</w:t>
      </w:r>
    </w:p>
    <w:p w:rsidR="00DE7403" w:rsidRDefault="000D77FB">
      <w:pPr>
        <w:spacing w:before="0" w:line="360" w:lineRule="auto"/>
        <w:rPr>
          <w:rFonts w:ascii="Arial" w:eastAsia="Arial" w:hAnsi="Arial" w:cs="Arial"/>
        </w:rPr>
      </w:pPr>
      <w:r>
        <w:rPr>
          <w:rFonts w:ascii="Arial" w:eastAsia="Arial" w:hAnsi="Arial" w:cs="Arial"/>
        </w:rPr>
        <w:t>Domácí subjekty mají při účasti v mezinárodních konsorciích v EDF několik specifických výzev. Jednou z nich je současná absence národního nástroje na dofinancování účasti českých uchazečů v EDF projektech. Na snižování tohoto nerovného postavení je zaměřena realizace podprogramu 1. Prostřednictvím takového finančního nástroje budou mít české subjekty lepší možnosti konkurovat a plněji rozvinout svůj potenciál ve spolupráci s mezinárodními partnery. Podporované iniciativy posílí postavení českých subjektů v mezinárodních dodavatelských řetězcích a přispějí ke zvýšení celkové spolupráce a výměny know-how mezi zeměmi EU v oblasti obranného výzkumu a inovací. Společná práce na mezinárodní úrovni přinese nové příležitosti a zvýšení bezpečnosti a konkurenceschopnosti ČR a EU v oblasti obrany.</w:t>
      </w:r>
    </w:p>
    <w:p w:rsidR="00DE7403" w:rsidRDefault="000D77FB" w:rsidP="004A007A">
      <w:pPr>
        <w:pBdr>
          <w:top w:val="none" w:sz="0" w:space="0" w:color="D9D9E3"/>
          <w:left w:val="none" w:sz="0" w:space="0" w:color="D9D9E3"/>
          <w:bottom w:val="none" w:sz="0" w:space="0" w:color="D9D9E3"/>
          <w:right w:val="none" w:sz="0" w:space="0" w:color="D9D9E3"/>
          <w:between w:val="none" w:sz="0" w:space="0" w:color="D9D9E3"/>
        </w:pBdr>
        <w:spacing w:before="0" w:after="300" w:line="420" w:lineRule="auto"/>
        <w:rPr>
          <w:rFonts w:ascii="Arial" w:eastAsia="Arial" w:hAnsi="Arial" w:cs="Arial"/>
        </w:rPr>
      </w:pPr>
      <w:r>
        <w:rPr>
          <w:rFonts w:ascii="Arial" w:eastAsia="Arial" w:hAnsi="Arial" w:cs="Arial"/>
        </w:rPr>
        <w:t>Český obranný průmysl je dále limitován nejen omezeným počtem dodavatelů finálních vojenských technologií a jejich relevantností pro reálné využití v praxi, ale i malým zaměřením na řešení humanitních/společenských (a obecně sociálně-vědn</w:t>
      </w:r>
      <w:r w:rsidR="004A007A">
        <w:rPr>
          <w:rFonts w:ascii="Arial" w:eastAsia="Arial" w:hAnsi="Arial" w:cs="Arial"/>
        </w:rPr>
        <w:t>ích) problémů v oblasti obrany.</w:t>
      </w:r>
    </w:p>
    <w:p w:rsidR="00DE7403" w:rsidRDefault="000D77FB">
      <w:pPr>
        <w:pBdr>
          <w:top w:val="none" w:sz="0" w:space="0" w:color="D9D9E3"/>
          <w:left w:val="none" w:sz="0" w:space="0" w:color="D9D9E3"/>
          <w:bottom w:val="none" w:sz="0" w:space="0" w:color="D9D9E3"/>
          <w:right w:val="none" w:sz="0" w:space="0" w:color="D9D9E3"/>
          <w:between w:val="none" w:sz="0" w:space="0" w:color="D9D9E3"/>
        </w:pBdr>
        <w:spacing w:before="0" w:after="300" w:line="420" w:lineRule="auto"/>
        <w:rPr>
          <w:rFonts w:ascii="Arial" w:eastAsia="Arial" w:hAnsi="Arial" w:cs="Arial"/>
        </w:rPr>
      </w:pPr>
      <w:r>
        <w:rPr>
          <w:rFonts w:ascii="Arial" w:eastAsia="Arial" w:hAnsi="Arial" w:cs="Arial"/>
        </w:rPr>
        <w:t xml:space="preserve">Tyto limity mohou vést k obtížím při aplikaci výsledků obranného výzkumu do praxe a částečně při zúročení investovaných prostředků ve výsledných produktech. Abychom podpořili rozvoj českého obranného výzkumu a inovací, je klíčové zvýšit zapojení nových subjektů a dosáhnout vyšší multidisciplinarity. Jedním z nástrojů, který má ambice napomoci efektivní podpoře aplikovaného </w:t>
      </w:r>
      <w:r>
        <w:rPr>
          <w:rFonts w:ascii="Arial" w:eastAsia="Arial" w:hAnsi="Arial" w:cs="Arial"/>
        </w:rPr>
        <w:lastRenderedPageBreak/>
        <w:t>výzkumu v oblasti obrany v České republice, je podprogram 2. Ten je určen pro národní projekty v oblasti obranného výzkumu a podporuje národní výzkumnou a inovační činnost. Díky tomu bude docházet ke vzniku relevantních výstupů a výsledků, které by byly využitelné nejen pro Armádu České republiky. Podprogram bude mít příznivý vliv na zvýšení bezpečnosti a obrany státu díky rozvoji technologií, které budou posilovat obrannou schopnost ČR</w:t>
      </w:r>
      <w:r w:rsidR="004A007A">
        <w:rPr>
          <w:rFonts w:ascii="Arial" w:eastAsia="Arial" w:hAnsi="Arial" w:cs="Arial"/>
        </w:rPr>
        <w:t>,</w:t>
      </w:r>
      <w:r>
        <w:rPr>
          <w:rFonts w:ascii="Arial" w:eastAsia="Arial" w:hAnsi="Arial" w:cs="Arial"/>
        </w:rPr>
        <w:t xml:space="preserve"> a zároveň podpora projektů s humanitním zaměřením přinese možnosti řešení společenských a etických problémů, které jsou úzce spjat</w:t>
      </w:r>
      <w:r w:rsidR="004A007A">
        <w:rPr>
          <w:rFonts w:ascii="Arial" w:eastAsia="Arial" w:hAnsi="Arial" w:cs="Arial"/>
        </w:rPr>
        <w:t xml:space="preserve">y s aktuální situací v </w:t>
      </w:r>
      <w:r>
        <w:rPr>
          <w:rFonts w:ascii="Arial" w:eastAsia="Arial" w:hAnsi="Arial" w:cs="Arial"/>
        </w:rPr>
        <w:t>ozbrojených silách. S rozšířením zapojení nových subjektů a multidisciplinárním přístupem se posílí bezpečnost, ekonomika a inovace v zemi, což bude mít pozitivní dopad na celou společnost.</w:t>
      </w:r>
    </w:p>
    <w:p w:rsidR="00DE7403" w:rsidRDefault="000D77FB">
      <w:pPr>
        <w:pBdr>
          <w:top w:val="none" w:sz="0" w:space="0" w:color="D9D9E3"/>
          <w:left w:val="none" w:sz="0" w:space="0" w:color="D9D9E3"/>
          <w:bottom w:val="none" w:sz="0" w:space="0" w:color="D9D9E3"/>
          <w:right w:val="none" w:sz="0" w:space="0" w:color="D9D9E3"/>
          <w:between w:val="none" w:sz="0" w:space="0" w:color="D9D9E3"/>
        </w:pBdr>
        <w:spacing w:before="0" w:after="300" w:line="420" w:lineRule="auto"/>
        <w:rPr>
          <w:rFonts w:ascii="Arial" w:eastAsia="Arial" w:hAnsi="Arial" w:cs="Arial"/>
        </w:rPr>
      </w:pPr>
      <w:r>
        <w:rPr>
          <w:rFonts w:ascii="Arial" w:eastAsia="Arial" w:hAnsi="Arial" w:cs="Arial"/>
        </w:rPr>
        <w:t>V programu PRODEF se též předpokládá zapojení začínajících výzkumníků a výzkumnic do řešitelských týmů projektů. To je samo o sobě pozitivním přínosem programu, protože se jedná o jejich zapojení do kvalitních projektů v oblasti obranného průmyslu, a tím vytváření poolu budoucích výzkumníků a výzkumnic s předešlou zkušeností z praxe (za podporu kvalitních projektů ručí hodnotící proces při výběru projektů k podpoře).</w:t>
      </w:r>
    </w:p>
    <w:p w:rsidR="00DE7403" w:rsidRDefault="000D77FB">
      <w:pPr>
        <w:pStyle w:val="Nadpis1"/>
        <w:numPr>
          <w:ilvl w:val="0"/>
          <w:numId w:val="10"/>
        </w:numPr>
      </w:pPr>
      <w:bookmarkStart w:id="8" w:name="_1t3h5sf" w:colFirst="0" w:colLast="0"/>
      <w:bookmarkEnd w:id="8"/>
      <w:r>
        <w:t>KRITÉRIA SPLNĚNÍ CÍLŮ PROGRAMU</w:t>
      </w:r>
    </w:p>
    <w:p w:rsidR="00DE7403" w:rsidRDefault="000D77FB">
      <w:pPr>
        <w:widowControl w:val="0"/>
        <w:spacing w:before="0" w:after="120" w:line="360" w:lineRule="auto"/>
        <w:ind w:left="20"/>
        <w:rPr>
          <w:rFonts w:ascii="Arial" w:eastAsia="Arial" w:hAnsi="Arial" w:cs="Arial"/>
        </w:rPr>
      </w:pPr>
      <w:r>
        <w:rPr>
          <w:rFonts w:ascii="Arial" w:eastAsia="Arial" w:hAnsi="Arial" w:cs="Arial"/>
        </w:rPr>
        <w:t>Dosažení cílů programu bude poskytovatel vyhodnocovat v souladu s Metodikou hodnocení výsledků výzkumných organizací a hodnocení výsledků ukončených programů platnou v době hodnocení programu (dále “Metodika”), případně dalšími podmínkami stanovenými poskytovatelem.</w:t>
      </w:r>
    </w:p>
    <w:p w:rsidR="00DE7403" w:rsidRDefault="000D77FB">
      <w:pPr>
        <w:widowControl w:val="0"/>
        <w:spacing w:before="0" w:after="120" w:line="360" w:lineRule="auto"/>
        <w:ind w:right="-33"/>
        <w:rPr>
          <w:rFonts w:ascii="Arial" w:eastAsia="Arial" w:hAnsi="Arial" w:cs="Arial"/>
        </w:rPr>
      </w:pPr>
      <w:r>
        <w:rPr>
          <w:rFonts w:ascii="Arial" w:eastAsia="Arial" w:hAnsi="Arial" w:cs="Arial"/>
        </w:rPr>
        <w:t>Vyhodnocení dosažení cílů programu proběhne na základě souboru indikátorů určených pro monitorování průběhu plnění programu (průběžné hodnocení) a hodnocení jeho celkové výkonnosti a úspěšnosti (hodnocení dopadů).</w:t>
      </w:r>
    </w:p>
    <w:p w:rsidR="00DE7403" w:rsidRDefault="000D77FB">
      <w:pPr>
        <w:rPr>
          <w:rFonts w:ascii="Arial" w:eastAsia="Arial" w:hAnsi="Arial" w:cs="Arial"/>
          <w:b/>
        </w:rPr>
      </w:pPr>
      <w:r>
        <w:br w:type="page"/>
      </w:r>
    </w:p>
    <w:p w:rsidR="00DE7403" w:rsidRDefault="000D77FB">
      <w:pPr>
        <w:widowControl w:val="0"/>
        <w:spacing w:before="0"/>
        <w:ind w:left="142" w:right="5270"/>
        <w:rPr>
          <w:rFonts w:ascii="Arial" w:eastAsia="Arial" w:hAnsi="Arial" w:cs="Arial"/>
          <w:b/>
        </w:rPr>
      </w:pPr>
      <w:r>
        <w:rPr>
          <w:rFonts w:ascii="Arial" w:eastAsia="Arial" w:hAnsi="Arial" w:cs="Arial"/>
          <w:b/>
        </w:rPr>
        <w:lastRenderedPageBreak/>
        <w:t xml:space="preserve">Tabulka č. 1: Indikátory programu </w:t>
      </w:r>
    </w:p>
    <w:tbl>
      <w:tblPr>
        <w:tblStyle w:val="a"/>
        <w:tblW w:w="9618" w:type="dxa"/>
        <w:tblInd w:w="0" w:type="dxa"/>
        <w:tblLayout w:type="fixed"/>
        <w:tblLook w:val="0400" w:firstRow="0" w:lastRow="0" w:firstColumn="0" w:lastColumn="0" w:noHBand="0" w:noVBand="1"/>
      </w:tblPr>
      <w:tblGrid>
        <w:gridCol w:w="506"/>
        <w:gridCol w:w="5089"/>
        <w:gridCol w:w="1088"/>
        <w:gridCol w:w="2935"/>
      </w:tblGrid>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DE7403">
            <w:pPr>
              <w:spacing w:before="0" w:line="240" w:lineRule="auto"/>
              <w:jc w:val="center"/>
              <w:rPr>
                <w:rFonts w:ascii="Times New Roman" w:eastAsia="Times New Roman" w:hAnsi="Times New Roman" w:cs="Times New Roman"/>
                <w:sz w:val="24"/>
                <w:szCs w:val="24"/>
              </w:rPr>
            </w:pP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b/>
                <w:color w:val="000000"/>
              </w:rPr>
              <w:t>Indikátor</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b/>
                <w:color w:val="000000"/>
              </w:rPr>
              <w:t>Vazba na cíle</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b/>
                <w:color w:val="000000"/>
              </w:rPr>
              <w:t>Minimální cílová hodnota</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Počet podpořených projektů v programu</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Hlavní cíl</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rPr>
              <w:t>120</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2.</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Míra úspěšnosti dokončených projektů</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Hlavní cíl</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80 % z podpořených projektů</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3.</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Počet výsledků VaVaI dle Metodiky 17+</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Hlavní cíl</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1,5 x počet podpořených projektů</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4.</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Podíl</w:t>
            </w:r>
            <w:r>
              <w:rPr>
                <w:rFonts w:ascii="Arial" w:eastAsia="Arial" w:hAnsi="Arial" w:cs="Arial"/>
                <w:color w:val="000000"/>
                <w:highlight w:val="white"/>
              </w:rPr>
              <w:t xml:space="preserve"> nových technologií, inovativních postupů v oblasti obranného průmyslu</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Hlavní cíl</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1/10 počtu podpořených projektů</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5.</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highlight w:val="white"/>
              </w:rPr>
              <w:t>Podíl zlepšených technologií, inovativních postupů v oblasti obranného průmyslu</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Hlavní cíl</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1/2 počtu podpořených projektů</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6.</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Zvýšení počtu podpořených českých subjektů ve výzvách EDF oproti roku 2021</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PP1</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o 20 %</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7.</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Zvýšení průměrného podílu na financování či aktivitách českých subjektů v projektech EDF oproti roku 2021</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PP1</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o 20 %</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8.</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Počet nových subjektů zabývajících se VaV v oblasti obrany</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PP2</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rPr>
              <w:t>16</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9.</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Podíl unikátních subjektů navazujících průmyslová a výzkumná partnerství v obranném a bezpečnostním průmyslu </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PP2</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10 % z podpořených unikátních subjektů</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10.</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Podíl výsledků využitelných ve prospěch AČR </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PP2</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70 % z podpořených projektů</w:t>
            </w:r>
          </w:p>
        </w:tc>
      </w:tr>
      <w:tr w:rsidR="00DE7403">
        <w:tc>
          <w:tcPr>
            <w:tcW w:w="5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11.</w:t>
            </w:r>
          </w:p>
        </w:tc>
        <w:tc>
          <w:tcPr>
            <w:tcW w:w="50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ind w:left="113"/>
              <w:jc w:val="left"/>
              <w:rPr>
                <w:rFonts w:ascii="Times New Roman" w:eastAsia="Times New Roman" w:hAnsi="Times New Roman" w:cs="Times New Roman"/>
                <w:sz w:val="24"/>
                <w:szCs w:val="24"/>
              </w:rPr>
            </w:pPr>
            <w:r>
              <w:rPr>
                <w:rFonts w:ascii="Arial" w:eastAsia="Arial" w:hAnsi="Arial" w:cs="Arial"/>
                <w:color w:val="000000"/>
              </w:rPr>
              <w:t>Podíl navazujících (follow-up) projektů rozvíjejících vzniklé výsledky z programu PRODEF</w:t>
            </w:r>
          </w:p>
        </w:tc>
        <w:tc>
          <w:tcPr>
            <w:tcW w:w="10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Hlavní cíl</w:t>
            </w:r>
          </w:p>
        </w:tc>
        <w:tc>
          <w:tcPr>
            <w:tcW w:w="2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DE7403" w:rsidRDefault="000D77FB">
            <w:pPr>
              <w:spacing w:before="0" w:line="240" w:lineRule="auto"/>
              <w:jc w:val="center"/>
              <w:rPr>
                <w:rFonts w:ascii="Times New Roman" w:eastAsia="Times New Roman" w:hAnsi="Times New Roman" w:cs="Times New Roman"/>
                <w:sz w:val="24"/>
                <w:szCs w:val="24"/>
              </w:rPr>
            </w:pPr>
            <w:r>
              <w:rPr>
                <w:rFonts w:ascii="Arial" w:eastAsia="Arial" w:hAnsi="Arial" w:cs="Arial"/>
                <w:color w:val="000000"/>
              </w:rPr>
              <w:t>10 % z podpořených projektů</w:t>
            </w:r>
          </w:p>
        </w:tc>
      </w:tr>
    </w:tbl>
    <w:p w:rsidR="004A007A" w:rsidRDefault="000D77FB">
      <w:pPr>
        <w:widowControl w:val="0"/>
        <w:spacing w:before="0"/>
        <w:ind w:left="142" w:right="5270"/>
        <w:rPr>
          <w:rFonts w:ascii="Arial" w:eastAsia="Arial" w:hAnsi="Arial" w:cs="Arial"/>
          <w:b/>
        </w:rPr>
      </w:pPr>
      <w:r>
        <w:rPr>
          <w:rFonts w:ascii="Arial" w:eastAsia="Arial" w:hAnsi="Arial" w:cs="Arial"/>
          <w:b/>
        </w:rPr>
        <w:t xml:space="preserve">Pozn.: </w:t>
      </w:r>
      <w:r w:rsidR="004A007A">
        <w:rPr>
          <w:rFonts w:ascii="Arial" w:eastAsia="Arial" w:hAnsi="Arial" w:cs="Arial"/>
          <w:b/>
        </w:rPr>
        <w:tab/>
      </w:r>
      <w:r>
        <w:rPr>
          <w:rFonts w:ascii="Arial" w:eastAsia="Arial" w:hAnsi="Arial" w:cs="Arial"/>
          <w:b/>
        </w:rPr>
        <w:t xml:space="preserve">PP1 = podprogram 1, </w:t>
      </w:r>
    </w:p>
    <w:p w:rsidR="00DE7403" w:rsidRDefault="000D77FB" w:rsidP="004A007A">
      <w:pPr>
        <w:widowControl w:val="0"/>
        <w:spacing w:before="0"/>
        <w:ind w:left="720" w:right="5270" w:firstLine="720"/>
        <w:rPr>
          <w:rFonts w:ascii="Arial" w:eastAsia="Arial" w:hAnsi="Arial" w:cs="Arial"/>
          <w:b/>
          <w:sz w:val="16"/>
          <w:szCs w:val="16"/>
        </w:rPr>
      </w:pPr>
      <w:r>
        <w:rPr>
          <w:rFonts w:ascii="Arial" w:eastAsia="Arial" w:hAnsi="Arial" w:cs="Arial"/>
          <w:b/>
        </w:rPr>
        <w:t>PP2 = podprogram 2.</w:t>
      </w:r>
    </w:p>
    <w:p w:rsidR="00DE7403" w:rsidRDefault="000D77FB">
      <w:pPr>
        <w:pStyle w:val="Nadpis1"/>
        <w:numPr>
          <w:ilvl w:val="0"/>
          <w:numId w:val="10"/>
        </w:numPr>
        <w:ind w:hanging="283"/>
      </w:pPr>
      <w:bookmarkStart w:id="9" w:name="_4d34og8" w:colFirst="0" w:colLast="0"/>
      <w:bookmarkEnd w:id="9"/>
      <w:r>
        <w:t xml:space="preserve">CELKOVÉ VÝDAJE NA PROGRAM </w:t>
      </w:r>
    </w:p>
    <w:p w:rsidR="00DE7403" w:rsidRDefault="000D77FB">
      <w:pPr>
        <w:spacing w:before="0" w:after="120" w:line="360" w:lineRule="auto"/>
        <w:ind w:right="-28"/>
        <w:rPr>
          <w:rFonts w:ascii="Arial" w:eastAsia="Arial" w:hAnsi="Arial" w:cs="Arial"/>
        </w:rPr>
      </w:pPr>
      <w:r>
        <w:rPr>
          <w:rFonts w:ascii="Arial" w:eastAsia="Arial" w:hAnsi="Arial" w:cs="Arial"/>
        </w:rPr>
        <w:t>Celkové výdaje jsou na období trvání programu stanoveny na základě absorpční kapacity. Ta byla vypočtena v souladu se zkušenostmi s realizací podobných programů na podporu aplikovaného výzkumu a inovací v obranném průmyslu na národní úrovni, též s předpokládanou realizací projektů financovaných z Evropského obranného fondu formou národního dofinancování. Celkové výdaje jsou rozloženy v letech dle předpokládaného postupného vyhlašování veřejných soutěží ve výzkumu, vývoji a inovacích / národních výzev</w:t>
      </w:r>
      <w:r>
        <w:rPr>
          <w:rFonts w:ascii="Arial" w:eastAsia="Arial" w:hAnsi="Arial" w:cs="Arial"/>
          <w:vertAlign w:val="superscript"/>
        </w:rPr>
        <w:footnoteReference w:id="2"/>
      </w:r>
      <w:r>
        <w:rPr>
          <w:rFonts w:ascii="Arial" w:eastAsia="Arial" w:hAnsi="Arial" w:cs="Arial"/>
        </w:rPr>
        <w:t>.</w:t>
      </w:r>
    </w:p>
    <w:p w:rsidR="00DE7403" w:rsidRDefault="00DE7403">
      <w:pPr>
        <w:rPr>
          <w:rFonts w:ascii="Arial" w:eastAsia="Arial" w:hAnsi="Arial" w:cs="Arial"/>
          <w:b/>
        </w:rPr>
      </w:pPr>
    </w:p>
    <w:p w:rsidR="00DE7403" w:rsidRDefault="000D77FB">
      <w:pPr>
        <w:spacing w:line="240" w:lineRule="auto"/>
        <w:ind w:left="-993" w:firstLine="993"/>
        <w:rPr>
          <w:rFonts w:ascii="Arial" w:eastAsia="Arial" w:hAnsi="Arial" w:cs="Arial"/>
          <w:b/>
        </w:rPr>
      </w:pPr>
      <w:r>
        <w:rPr>
          <w:rFonts w:ascii="Arial" w:eastAsia="Arial" w:hAnsi="Arial" w:cs="Arial"/>
          <w:b/>
        </w:rPr>
        <w:t>Tabulka č. 2: Plánované výdaje na program PRODEF (v mil. Kč)</w:t>
      </w:r>
    </w:p>
    <w:tbl>
      <w:tblPr>
        <w:tblStyle w:val="a0"/>
        <w:tblW w:w="1157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2"/>
        <w:gridCol w:w="1055"/>
        <w:gridCol w:w="1055"/>
        <w:gridCol w:w="1056"/>
        <w:gridCol w:w="1056"/>
        <w:gridCol w:w="1056"/>
        <w:gridCol w:w="1056"/>
        <w:gridCol w:w="1056"/>
        <w:gridCol w:w="1056"/>
        <w:gridCol w:w="1056"/>
      </w:tblGrid>
      <w:tr w:rsidR="00DE7403">
        <w:trPr>
          <w:trHeight w:val="419"/>
          <w:jc w:val="center"/>
        </w:trPr>
        <w:tc>
          <w:tcPr>
            <w:tcW w:w="174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Podpora</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2024</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2025</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2026</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2027</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2028</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2029</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2030</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2031</w:t>
            </w:r>
          </w:p>
        </w:tc>
        <w:tc>
          <w:tcPr>
            <w:tcW w:w="88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Celkem</w:t>
            </w:r>
          </w:p>
        </w:tc>
      </w:tr>
      <w:tr w:rsidR="00DE7403">
        <w:trPr>
          <w:trHeight w:val="306"/>
          <w:jc w:val="center"/>
        </w:trPr>
        <w:tc>
          <w:tcPr>
            <w:tcW w:w="174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Celkem za program</w:t>
            </w:r>
          </w:p>
        </w:tc>
        <w:tc>
          <w:tcPr>
            <w:tcW w:w="88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0,0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357,0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765,0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1 139,0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1 292,0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1 241,0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884,0</w:t>
            </w:r>
          </w:p>
        </w:tc>
        <w:tc>
          <w:tcPr>
            <w:tcW w:w="88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442,0</w:t>
            </w:r>
          </w:p>
        </w:tc>
        <w:tc>
          <w:tcPr>
            <w:tcW w:w="88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6 120,0</w:t>
            </w:r>
          </w:p>
        </w:tc>
      </w:tr>
      <w:tr w:rsidR="00DE7403">
        <w:trPr>
          <w:trHeight w:val="401"/>
          <w:jc w:val="center"/>
        </w:trPr>
        <w:tc>
          <w:tcPr>
            <w:tcW w:w="174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Podpora ze SR</w:t>
            </w:r>
          </w:p>
        </w:tc>
        <w:tc>
          <w:tcPr>
            <w:tcW w:w="88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210,0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450,0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670,0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760,0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730,0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520,0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260,0</w:t>
            </w:r>
          </w:p>
        </w:tc>
        <w:tc>
          <w:tcPr>
            <w:tcW w:w="88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3 600,0</w:t>
            </w:r>
          </w:p>
        </w:tc>
      </w:tr>
      <w:tr w:rsidR="00DE7403">
        <w:trPr>
          <w:trHeight w:val="266"/>
          <w:jc w:val="center"/>
        </w:trPr>
        <w:tc>
          <w:tcPr>
            <w:tcW w:w="174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Ostatní zdroje</w:t>
            </w:r>
          </w:p>
        </w:tc>
        <w:tc>
          <w:tcPr>
            <w:tcW w:w="88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0,0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147,0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315,0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469,0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532,0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511,0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364,0</w:t>
            </w:r>
          </w:p>
        </w:tc>
        <w:tc>
          <w:tcPr>
            <w:tcW w:w="88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182,0</w:t>
            </w:r>
          </w:p>
        </w:tc>
        <w:tc>
          <w:tcPr>
            <w:tcW w:w="88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DE7403" w:rsidRDefault="000D77FB">
            <w:pPr>
              <w:widowControl w:val="0"/>
              <w:spacing w:before="0"/>
              <w:jc w:val="right"/>
              <w:rPr>
                <w:rFonts w:ascii="Arial" w:eastAsia="Arial" w:hAnsi="Arial" w:cs="Arial"/>
              </w:rPr>
            </w:pPr>
            <w:r>
              <w:rPr>
                <w:rFonts w:ascii="Arial" w:eastAsia="Arial" w:hAnsi="Arial" w:cs="Arial"/>
              </w:rPr>
              <w:t>2 520,0</w:t>
            </w:r>
          </w:p>
        </w:tc>
      </w:tr>
    </w:tbl>
    <w:p w:rsidR="00DE7403" w:rsidRDefault="00DE7403">
      <w:pPr>
        <w:spacing w:before="0" w:after="120" w:line="360" w:lineRule="auto"/>
        <w:rPr>
          <w:rFonts w:ascii="Arial" w:eastAsia="Arial" w:hAnsi="Arial" w:cs="Arial"/>
          <w:i/>
          <w:highlight w:val="yellow"/>
        </w:rPr>
      </w:pPr>
    </w:p>
    <w:p w:rsidR="00DE7403" w:rsidRDefault="000D77FB">
      <w:pPr>
        <w:pStyle w:val="Nadpis1"/>
        <w:numPr>
          <w:ilvl w:val="0"/>
          <w:numId w:val="10"/>
        </w:numPr>
        <w:ind w:hanging="283"/>
      </w:pPr>
      <w:bookmarkStart w:id="10" w:name="_2s8eyo1" w:colFirst="0" w:colLast="0"/>
      <w:bookmarkEnd w:id="10"/>
      <w:r>
        <w:t>UCHAZEČI A PROKÁZÁNÍ JEJICH ZPŮSOBILOSTI</w:t>
      </w:r>
    </w:p>
    <w:p w:rsidR="00DE7403" w:rsidRDefault="000D77FB">
      <w:pPr>
        <w:widowControl w:val="0"/>
        <w:spacing w:before="0" w:after="120" w:line="360" w:lineRule="auto"/>
        <w:rPr>
          <w:rFonts w:ascii="Arial" w:eastAsia="Arial" w:hAnsi="Arial" w:cs="Arial"/>
        </w:rPr>
      </w:pPr>
      <w:r>
        <w:rPr>
          <w:rFonts w:ascii="Arial" w:eastAsia="Arial" w:hAnsi="Arial" w:cs="Arial"/>
        </w:rPr>
        <w:t xml:space="preserve">Podporu na projekt realizovaný v programu mohou získat pouze ti uchazeči, kteří splňují podmínky způsobilosti dané § 18 zákona o podpoře výzkumu, experimentálního vývoje a inovací, Nařízení a Rámce. </w:t>
      </w:r>
    </w:p>
    <w:p w:rsidR="00DE7403" w:rsidRDefault="000D77FB">
      <w:pPr>
        <w:widowControl w:val="0"/>
        <w:spacing w:before="0" w:after="120" w:line="360" w:lineRule="auto"/>
        <w:rPr>
          <w:rFonts w:ascii="Arial" w:eastAsia="Arial" w:hAnsi="Arial" w:cs="Arial"/>
        </w:rPr>
      </w:pPr>
      <w:r>
        <w:rPr>
          <w:rFonts w:ascii="Arial" w:eastAsia="Arial" w:hAnsi="Arial" w:cs="Arial"/>
        </w:rPr>
        <w:t>Uchazečem, respektive příjemcem podpory na projekt, podle zákona o podpoře výzkumu, experimentálního vývoje a inovací, Rámce a Nařízení, mohou být:</w:t>
      </w:r>
    </w:p>
    <w:p w:rsidR="00DE7403" w:rsidRDefault="000D77FB">
      <w:pPr>
        <w:widowControl w:val="0"/>
        <w:numPr>
          <w:ilvl w:val="0"/>
          <w:numId w:val="4"/>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b/>
          <w:color w:val="000000"/>
        </w:rPr>
        <w:t>Podniky</w:t>
      </w:r>
      <w:r>
        <w:rPr>
          <w:rFonts w:ascii="Arial" w:eastAsia="Arial" w:hAnsi="Arial" w:cs="Arial"/>
          <w:color w:val="000000"/>
        </w:rPr>
        <w:t xml:space="preserve"> – právnické i fyzické osoby vykonávající hospodářskou činnost, bez ohledu na právní formu (příloha 1 Nařízení), které řeší projekt samostatně nebo ve spolupráci s dalšími uchazeči a prokáží schopnost projekt spolufinancovat z neveřejných prostředků.</w:t>
      </w:r>
    </w:p>
    <w:p w:rsidR="00DE7403" w:rsidRDefault="000D77FB">
      <w:pPr>
        <w:widowControl w:val="0"/>
        <w:numPr>
          <w:ilvl w:val="0"/>
          <w:numId w:val="4"/>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b/>
          <w:color w:val="000000"/>
        </w:rPr>
        <w:t>Organizace pro výzkum a šíření znalostí</w:t>
      </w:r>
      <w:r>
        <w:rPr>
          <w:rFonts w:ascii="Arial" w:eastAsia="Arial" w:hAnsi="Arial" w:cs="Arial"/>
          <w:color w:val="000000"/>
        </w:rPr>
        <w:t xml:space="preserve"> – právnické osoby, které splňují definici výzkumné organizace podle čl. 2 odst. 83 Nařízení a dle zákona o podpoře výzkumu, experimentálního vývoje a inovací. Tyto organizace mohou řešit projekt samostatně nebo ve spolupráci s dalšími uchazeči. Pokud výzkumné organizace vykonávají kromě nehospodářských činností i hospodářské činnosti, mají povinnost vést oddělené účetnictví pro náklady a příjmy z těchto hospodářských činností.</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 xml:space="preserve">Podporu na projekt realizovaný v programu mohou získat pouze ti uchazeči, kteří splňují podmínky způsobilosti dané </w:t>
      </w:r>
      <w:r>
        <w:rPr>
          <w:rFonts w:ascii="Arial" w:eastAsia="Arial" w:hAnsi="Arial" w:cs="Arial"/>
          <w:b/>
        </w:rPr>
        <w:t>Ministerstvem obrany České republiky v zadávací dokumentaci pro danou veřejnou soutěž / mezinárodní výzvu.</w:t>
      </w:r>
    </w:p>
    <w:p w:rsidR="00E24D76" w:rsidRDefault="000D77FB">
      <w:pPr>
        <w:widowControl w:val="0"/>
        <w:spacing w:before="0" w:after="120" w:line="360" w:lineRule="auto"/>
        <w:ind w:right="-33"/>
        <w:rPr>
          <w:rFonts w:ascii="Arial" w:eastAsia="Arial" w:hAnsi="Arial" w:cs="Arial"/>
        </w:rPr>
      </w:pPr>
      <w:r>
        <w:rPr>
          <w:rFonts w:ascii="Arial" w:eastAsia="Arial" w:hAnsi="Arial" w:cs="Arial"/>
        </w:rPr>
        <w:t>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DE7403" w:rsidRPr="00E24D76" w:rsidRDefault="00E24D76" w:rsidP="00E24D76">
      <w:r>
        <w:br w:type="page"/>
      </w:r>
    </w:p>
    <w:p w:rsidR="00DE7403" w:rsidRDefault="000D77FB">
      <w:pPr>
        <w:pStyle w:val="Nadpis1"/>
        <w:numPr>
          <w:ilvl w:val="0"/>
          <w:numId w:val="10"/>
        </w:numPr>
        <w:ind w:hanging="283"/>
      </w:pPr>
      <w:bookmarkStart w:id="11" w:name="_17dp8vu" w:colFirst="0" w:colLast="0"/>
      <w:bookmarkEnd w:id="11"/>
      <w:r>
        <w:lastRenderedPageBreak/>
        <w:t xml:space="preserve">INTENZITA PODPORY </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Předpokládaná průměrná intenzita podpory celkově za program je 60 %. Detailní informace o intenzitě podpory jsou specifikovány v kap. 15 u jednotlivých podprogramů.</w:t>
      </w:r>
    </w:p>
    <w:p w:rsidR="00DE7403" w:rsidRDefault="000D77FB">
      <w:pPr>
        <w:pStyle w:val="Nadpis1"/>
        <w:numPr>
          <w:ilvl w:val="0"/>
          <w:numId w:val="10"/>
        </w:numPr>
        <w:ind w:hanging="283"/>
      </w:pPr>
      <w:bookmarkStart w:id="12" w:name="_3rdcrjn" w:colFirst="0" w:colLast="0"/>
      <w:bookmarkEnd w:id="12"/>
      <w:r>
        <w:t>MOTIVAČNÍ ÚČINEK</w:t>
      </w:r>
    </w:p>
    <w:p w:rsidR="00DE7403" w:rsidRDefault="000D77FB">
      <w:pPr>
        <w:widowControl w:val="0"/>
        <w:spacing w:before="0" w:after="120" w:line="360" w:lineRule="auto"/>
        <w:ind w:firstLine="280"/>
        <w:rPr>
          <w:rFonts w:ascii="Arial" w:eastAsia="Arial" w:hAnsi="Arial" w:cs="Arial"/>
        </w:rPr>
      </w:pPr>
      <w:r>
        <w:rPr>
          <w:rFonts w:ascii="Arial" w:eastAsia="Arial" w:hAnsi="Arial" w:cs="Arial"/>
        </w:rPr>
        <w:t>Pro naplnění cílů programu a podmínek Nařízení bude poskytovatel v rámci procesu hodnocení návrhů projektů posuzovat motivační účinek podpory podle čl. 6 Nařízení. Pro splnění motivačního účinku dle čl. 6 Nařízení platí, že práce na projektu nesmí být zahájeny</w:t>
      </w:r>
      <w:r>
        <w:rPr>
          <w:rFonts w:ascii="Arial" w:eastAsia="Arial" w:hAnsi="Arial" w:cs="Arial"/>
          <w:vertAlign w:val="superscript"/>
        </w:rPr>
        <w:footnoteReference w:id="3"/>
      </w:r>
      <w:r>
        <w:rPr>
          <w:rFonts w:ascii="Arial" w:eastAsia="Arial" w:hAnsi="Arial" w:cs="Arial"/>
        </w:rPr>
        <w:t xml:space="preserve"> před podáním žádosti o podporu.</w:t>
      </w:r>
    </w:p>
    <w:p w:rsidR="00DE7403" w:rsidRDefault="000D77FB">
      <w:pPr>
        <w:pStyle w:val="Nadpis1"/>
        <w:numPr>
          <w:ilvl w:val="0"/>
          <w:numId w:val="10"/>
        </w:numPr>
        <w:ind w:hanging="283"/>
      </w:pPr>
      <w:bookmarkStart w:id="13" w:name="_26in1rg" w:colFirst="0" w:colLast="0"/>
      <w:bookmarkEnd w:id="13"/>
      <w:r>
        <w:t>OČEKÁVANÉ VÝSLEDKY A PŘÍNOSY PROGRAMU</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 xml:space="preserve">V tomto programu budou podporovány zejména projekty, u kterých se odůvodněně předpokládá dosažení využitelných výstupů, jejichž aplikace přispěje k plnění stanovených cílů programu. </w:t>
      </w:r>
    </w:p>
    <w:p w:rsidR="00DE7403" w:rsidRDefault="000D77FB">
      <w:pPr>
        <w:widowControl w:val="0"/>
        <w:spacing w:before="0" w:after="120" w:line="360" w:lineRule="auto"/>
        <w:ind w:left="-24" w:right="-23"/>
        <w:rPr>
          <w:rFonts w:ascii="Arial" w:eastAsia="Arial" w:hAnsi="Arial" w:cs="Arial"/>
        </w:rPr>
      </w:pPr>
      <w:r>
        <w:rPr>
          <w:rFonts w:ascii="Arial" w:eastAsia="Arial" w:hAnsi="Arial" w:cs="Arial"/>
        </w:rPr>
        <w:t xml:space="preserve">Vzhledem ke specifickému zaměření programu však existuje celá řada dalších poznatků a dovedností v souladu s §2 odst. 2, písmeno i) zákona o podpoře výzkumu, experimentálního vývoje a inovací, které se očekávají jako výsledky veřejných soutěží. Z tohoto důvodu bude program hodnocen nejen na základě výstupů (ve formě výsledků) dle aktuálně platné metodiky hodnocení výzkumných organizací a hodnocení programů účelové podpory, ale také podle dosažených poznatků a dovedností, které budou specifikovány v rámci přípravy projektu tohoto typu výzkumu. </w:t>
      </w:r>
    </w:p>
    <w:p w:rsidR="00DE7403" w:rsidRDefault="000D77FB">
      <w:pPr>
        <w:spacing w:before="0" w:line="360" w:lineRule="auto"/>
        <w:rPr>
          <w:rFonts w:ascii="Arial" w:eastAsia="Arial" w:hAnsi="Arial" w:cs="Arial"/>
        </w:rPr>
      </w:pPr>
      <w:r>
        <w:rPr>
          <w:rFonts w:ascii="Arial" w:eastAsia="Arial" w:hAnsi="Arial" w:cs="Arial"/>
        </w:rPr>
        <w:t xml:space="preserve">Výsledky v kontextu programu je myšleno hlavně zlepšení atributů vycházejících z jeho cílů – tedy např. zkvalitnění obranného VaV, resp. napomoci subjektům (motivovat je), aby se začaly věnovat vyšší (a nejlépe nejvyšší) úrovni výzkumu, a také zvýšení jejich konkurenceschopnosti na trhu (zvláště mezinárodním – globálním). Dále také zvýšení počtu takto posílených subjektů v oblasti VaV obranného průmyslu a navýšení počtů českých subjektů v mezinárodních řetězcích. </w:t>
      </w:r>
    </w:p>
    <w:p w:rsidR="00DE7403" w:rsidRDefault="000D77FB">
      <w:pPr>
        <w:spacing w:before="0" w:after="120" w:line="360" w:lineRule="auto"/>
        <w:ind w:right="-23"/>
        <w:rPr>
          <w:rFonts w:ascii="Arial" w:eastAsia="Arial" w:hAnsi="Arial" w:cs="Arial"/>
          <w:color w:val="222222"/>
        </w:rPr>
      </w:pPr>
      <w:r>
        <w:rPr>
          <w:rFonts w:ascii="Arial" w:eastAsia="Arial" w:hAnsi="Arial" w:cs="Arial"/>
          <w:color w:val="222222"/>
        </w:rPr>
        <w:t>Detailní informace budou uvedeny vždy v zadávací dokumentaci konkrétní veřejné soutěže (přičemž mezi jednotlivými soutěžemi mohou být rozdíly).</w:t>
      </w:r>
    </w:p>
    <w:p w:rsidR="00DE7403" w:rsidRDefault="000D77FB">
      <w:pPr>
        <w:widowControl w:val="0"/>
        <w:spacing w:before="0" w:after="120" w:line="360" w:lineRule="auto"/>
        <w:ind w:left="-24" w:right="-19"/>
        <w:rPr>
          <w:rFonts w:ascii="Arial" w:eastAsia="Arial" w:hAnsi="Arial" w:cs="Arial"/>
        </w:rPr>
      </w:pPr>
      <w:r>
        <w:rPr>
          <w:rFonts w:ascii="Arial" w:eastAsia="Arial" w:hAnsi="Arial" w:cs="Arial"/>
        </w:rPr>
        <w:t>Detailní přehled druhů výsledků je uveden u příslušných podprogramů v kap. 15.</w:t>
      </w:r>
    </w:p>
    <w:p w:rsidR="00DE7403" w:rsidRDefault="000D77FB">
      <w:pPr>
        <w:pStyle w:val="Nadpis1"/>
        <w:numPr>
          <w:ilvl w:val="0"/>
          <w:numId w:val="10"/>
        </w:numPr>
        <w:ind w:hanging="283"/>
      </w:pPr>
      <w:bookmarkStart w:id="14" w:name="_lnxbz9" w:colFirst="0" w:colLast="0"/>
      <w:bookmarkEnd w:id="14"/>
      <w:r>
        <w:lastRenderedPageBreak/>
        <w:t>PODPROGRAMY A JEJICH SPECIFIKACE</w:t>
      </w:r>
    </w:p>
    <w:p w:rsidR="00DE7403" w:rsidRDefault="000D77FB">
      <w:pPr>
        <w:pStyle w:val="Nadpis2"/>
      </w:pPr>
      <w:bookmarkStart w:id="15" w:name="_35nkun2" w:colFirst="0" w:colLast="0"/>
      <w:bookmarkEnd w:id="15"/>
      <w:r>
        <w:t>Podprogram 1: Podpora českých uchazečů ve výzvách EDF (PP1)</w:t>
      </w:r>
    </w:p>
    <w:p w:rsidR="00DE7403" w:rsidRDefault="000D77FB">
      <w:pPr>
        <w:pStyle w:val="Nadpis3"/>
        <w:rPr>
          <w:rFonts w:ascii="Arial" w:eastAsia="Arial" w:hAnsi="Arial" w:cs="Arial"/>
        </w:rPr>
      </w:pPr>
      <w:r>
        <w:rPr>
          <w:rFonts w:ascii="Arial" w:eastAsia="Arial" w:hAnsi="Arial" w:cs="Arial"/>
        </w:rPr>
        <w:t>Cíl</w:t>
      </w:r>
    </w:p>
    <w:p w:rsidR="00DE7403" w:rsidRDefault="000D77FB">
      <w:pPr>
        <w:spacing w:before="0" w:after="120" w:line="360" w:lineRule="auto"/>
        <w:rPr>
          <w:rFonts w:ascii="Arial" w:eastAsia="Arial" w:hAnsi="Arial" w:cs="Arial"/>
        </w:rPr>
      </w:pPr>
      <w:r>
        <w:rPr>
          <w:rFonts w:ascii="Arial" w:eastAsia="Arial" w:hAnsi="Arial" w:cs="Arial"/>
        </w:rPr>
        <w:t xml:space="preserve">Cílem prvního podprogramu je zvýšit účast českých subjektů do řešení výzev Evropského obranného fondu a jemu navazujících programů. </w:t>
      </w:r>
    </w:p>
    <w:p w:rsidR="00DE7403" w:rsidRDefault="000D77FB">
      <w:pPr>
        <w:pStyle w:val="Nadpis3"/>
        <w:rPr>
          <w:rFonts w:ascii="Arial" w:eastAsia="Arial" w:hAnsi="Arial" w:cs="Arial"/>
        </w:rPr>
      </w:pPr>
      <w:r>
        <w:rPr>
          <w:rFonts w:ascii="Arial" w:eastAsia="Arial" w:hAnsi="Arial" w:cs="Arial"/>
        </w:rPr>
        <w:t>Zaměření</w:t>
      </w:r>
    </w:p>
    <w:p w:rsidR="00DE7403" w:rsidRDefault="000D77FB">
      <w:pPr>
        <w:spacing w:before="0" w:after="120" w:line="360" w:lineRule="auto"/>
        <w:rPr>
          <w:rFonts w:ascii="Arial" w:eastAsia="Arial" w:hAnsi="Arial" w:cs="Arial"/>
        </w:rPr>
      </w:pPr>
      <w:r>
        <w:rPr>
          <w:rFonts w:ascii="Arial" w:eastAsia="Arial" w:hAnsi="Arial" w:cs="Arial"/>
        </w:rPr>
        <w:t>Podprogram je zaměřen na usnadnění plnění podmínek stanovených ve výzvách EDF (dle Nařízení o EDF) či navazujícím programu.</w:t>
      </w:r>
      <w:r>
        <w:rPr>
          <w:rFonts w:ascii="Arial" w:eastAsia="Arial" w:hAnsi="Arial" w:cs="Arial"/>
          <w:vertAlign w:val="superscript"/>
        </w:rPr>
        <w:footnoteReference w:id="4"/>
      </w:r>
      <w:r>
        <w:rPr>
          <w:rFonts w:ascii="Arial" w:eastAsia="Arial" w:hAnsi="Arial" w:cs="Arial"/>
        </w:rPr>
        <w:t xml:space="preserve"> Realizace bude probíhat formou národního spolufinancování aktivit českých subjektů ve výzvách EDF.</w:t>
      </w:r>
      <w:r>
        <w:rPr>
          <w:rFonts w:ascii="Arial" w:eastAsia="Arial" w:hAnsi="Arial" w:cs="Arial"/>
          <w:vertAlign w:val="superscript"/>
        </w:rPr>
        <w:footnoteReference w:id="5"/>
      </w:r>
    </w:p>
    <w:p w:rsidR="00DE7403" w:rsidRDefault="000D77FB">
      <w:pPr>
        <w:rPr>
          <w:rFonts w:ascii="Arial" w:eastAsia="Arial" w:hAnsi="Arial" w:cs="Arial"/>
        </w:rPr>
      </w:pPr>
      <w:r>
        <w:rPr>
          <w:rFonts w:ascii="Arial" w:eastAsia="Arial" w:hAnsi="Arial" w:cs="Arial"/>
        </w:rPr>
        <w:t>Podprogram se zaměřuje na podporu úspěšných projektů v rámci jednotlivých výzev EDF, proto kofinancováním těchto projektů dojde k podpoře excelence, neboť projekty uspěly na celoevropské úrovni.</w:t>
      </w:r>
    </w:p>
    <w:p w:rsidR="00DE7403" w:rsidRDefault="000D77FB">
      <w:pPr>
        <w:pStyle w:val="Nadpis3"/>
        <w:rPr>
          <w:rFonts w:ascii="Arial" w:eastAsia="Arial" w:hAnsi="Arial" w:cs="Arial"/>
        </w:rPr>
      </w:pPr>
      <w:r>
        <w:rPr>
          <w:rFonts w:ascii="Arial" w:eastAsia="Arial" w:hAnsi="Arial" w:cs="Arial"/>
        </w:rPr>
        <w:t>Termíny vyhlášení první výzvy</w:t>
      </w:r>
    </w:p>
    <w:p w:rsidR="00DE7403" w:rsidRDefault="000D77FB">
      <w:pPr>
        <w:spacing w:before="0" w:after="120" w:line="360" w:lineRule="auto"/>
        <w:rPr>
          <w:rFonts w:ascii="Arial" w:eastAsia="Arial" w:hAnsi="Arial" w:cs="Arial"/>
          <w:b/>
        </w:rPr>
      </w:pPr>
      <w:r>
        <w:rPr>
          <w:rFonts w:ascii="Arial" w:eastAsia="Arial" w:hAnsi="Arial" w:cs="Arial"/>
        </w:rPr>
        <w:t>V PP1 se bude periodicita vyhlašování výzev odvíjet od vyhlašování výsledků výzev EDF.</w:t>
      </w:r>
    </w:p>
    <w:p w:rsidR="00DE7403" w:rsidRDefault="000D77FB">
      <w:pPr>
        <w:pStyle w:val="Nadpis3"/>
        <w:rPr>
          <w:rFonts w:ascii="Arial" w:eastAsia="Arial" w:hAnsi="Arial" w:cs="Arial"/>
        </w:rPr>
      </w:pPr>
      <w:r>
        <w:rPr>
          <w:rFonts w:ascii="Arial" w:eastAsia="Arial" w:hAnsi="Arial" w:cs="Arial"/>
        </w:rPr>
        <w:t>Finanční alokace</w:t>
      </w:r>
    </w:p>
    <w:p w:rsidR="00DE7403" w:rsidRDefault="000D77FB">
      <w:pPr>
        <w:spacing w:line="240" w:lineRule="auto"/>
        <w:ind w:left="-425" w:firstLine="708"/>
        <w:rPr>
          <w:rFonts w:ascii="Arial" w:eastAsia="Arial" w:hAnsi="Arial" w:cs="Arial"/>
          <w:b/>
        </w:rPr>
      </w:pPr>
      <w:r>
        <w:rPr>
          <w:rFonts w:ascii="Arial" w:eastAsia="Arial" w:hAnsi="Arial" w:cs="Arial"/>
          <w:b/>
        </w:rPr>
        <w:t>Tabulka č. 3: Plánované výdaje na PP1 (v mil. Kč)</w:t>
      </w:r>
    </w:p>
    <w:tbl>
      <w:tblPr>
        <w:tblStyle w:val="a1"/>
        <w:tblW w:w="908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0"/>
        <w:gridCol w:w="792"/>
        <w:gridCol w:w="697"/>
        <w:gridCol w:w="713"/>
        <w:gridCol w:w="713"/>
        <w:gridCol w:w="713"/>
        <w:gridCol w:w="697"/>
        <w:gridCol w:w="713"/>
        <w:gridCol w:w="697"/>
        <w:gridCol w:w="941"/>
      </w:tblGrid>
      <w:tr w:rsidR="00DE7403">
        <w:trPr>
          <w:trHeight w:val="391"/>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Podpora</w:t>
            </w:r>
          </w:p>
        </w:tc>
        <w:tc>
          <w:tcPr>
            <w:tcW w:w="79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2024</w:t>
            </w:r>
          </w:p>
        </w:tc>
        <w:tc>
          <w:tcPr>
            <w:tcW w:w="6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2025</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2026</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2027</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2028</w:t>
            </w:r>
          </w:p>
        </w:tc>
        <w:tc>
          <w:tcPr>
            <w:tcW w:w="6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2029</w:t>
            </w:r>
          </w:p>
        </w:tc>
        <w:tc>
          <w:tcPr>
            <w:tcW w:w="7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2030</w:t>
            </w:r>
          </w:p>
        </w:tc>
        <w:tc>
          <w:tcPr>
            <w:tcW w:w="6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2031</w:t>
            </w:r>
          </w:p>
        </w:tc>
        <w:tc>
          <w:tcPr>
            <w:tcW w:w="94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Celkem</w:t>
            </w:r>
          </w:p>
        </w:tc>
      </w:tr>
      <w:tr w:rsidR="00DE7403">
        <w:trPr>
          <w:trHeight w:val="287"/>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Celkem za program</w:t>
            </w:r>
          </w:p>
        </w:tc>
        <w:tc>
          <w:tcPr>
            <w:tcW w:w="79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0,0</w:t>
            </w:r>
          </w:p>
        </w:tc>
        <w:tc>
          <w:tcPr>
            <w:tcW w:w="69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252,0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540,0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804,0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912,0</w:t>
            </w:r>
          </w:p>
        </w:tc>
        <w:tc>
          <w:tcPr>
            <w:tcW w:w="69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876,0</w:t>
            </w:r>
          </w:p>
        </w:tc>
        <w:tc>
          <w:tcPr>
            <w:tcW w:w="71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624,0</w:t>
            </w:r>
          </w:p>
        </w:tc>
        <w:tc>
          <w:tcPr>
            <w:tcW w:w="69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312,0</w:t>
            </w:r>
          </w:p>
        </w:tc>
        <w:tc>
          <w:tcPr>
            <w:tcW w:w="941"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4 320,0</w:t>
            </w:r>
          </w:p>
        </w:tc>
      </w:tr>
      <w:tr w:rsidR="00DE7403">
        <w:trPr>
          <w:trHeight w:val="376"/>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Podpora ze SR</w:t>
            </w:r>
          </w:p>
        </w:tc>
        <w:tc>
          <w:tcPr>
            <w:tcW w:w="79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0,0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126,0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270,0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402,0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456,0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438,0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312,0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156,0</w:t>
            </w:r>
          </w:p>
        </w:tc>
        <w:tc>
          <w:tcPr>
            <w:tcW w:w="94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2 160,0</w:t>
            </w:r>
          </w:p>
        </w:tc>
      </w:tr>
      <w:tr w:rsidR="00DE7403">
        <w:trPr>
          <w:trHeight w:val="250"/>
          <w:jc w:val="center"/>
        </w:trPr>
        <w:tc>
          <w:tcPr>
            <w:tcW w:w="24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Ostatní zdroje</w:t>
            </w:r>
          </w:p>
        </w:tc>
        <w:tc>
          <w:tcPr>
            <w:tcW w:w="792"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0,0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126,0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270,0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402,0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456,0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438,0</w:t>
            </w:r>
          </w:p>
        </w:tc>
        <w:tc>
          <w:tcPr>
            <w:tcW w:w="71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312,0</w:t>
            </w:r>
          </w:p>
        </w:tc>
        <w:tc>
          <w:tcPr>
            <w:tcW w:w="69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156,0</w:t>
            </w:r>
          </w:p>
        </w:tc>
        <w:tc>
          <w:tcPr>
            <w:tcW w:w="941"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2 160,0</w:t>
            </w:r>
          </w:p>
        </w:tc>
      </w:tr>
    </w:tbl>
    <w:p w:rsidR="00DE7403" w:rsidRDefault="00DE7403">
      <w:pPr>
        <w:pStyle w:val="Nadpis3"/>
        <w:rPr>
          <w:rFonts w:ascii="Arial" w:eastAsia="Arial" w:hAnsi="Arial" w:cs="Arial"/>
        </w:rPr>
      </w:pPr>
    </w:p>
    <w:p w:rsidR="00DE7403" w:rsidRDefault="000D77FB">
      <w:pPr>
        <w:pStyle w:val="Nadpis3"/>
        <w:rPr>
          <w:rFonts w:ascii="Arial" w:eastAsia="Arial" w:hAnsi="Arial" w:cs="Arial"/>
        </w:rPr>
      </w:pPr>
      <w:r>
        <w:rPr>
          <w:rFonts w:ascii="Arial" w:eastAsia="Arial" w:hAnsi="Arial" w:cs="Arial"/>
        </w:rPr>
        <w:t>Způsobilé a uznané náklady</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 xml:space="preserve">Uchazeč může jako způsobilé náklady navrhnout pouze náklady vymezené vždy v souladu se zákonem o podpoře výzkumu, experimentálního vývoje a inovací, a dále v případě podpory v režimu veřejné podpory podle kategorie podpory, tj. v souladu zejména s čl. 25 Nařízení. </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Pro projekty EDF budou způsobilé náklady definovány v souladu s Nařízením o EDF (zejména články 13, 14 a 15).</w:t>
      </w:r>
    </w:p>
    <w:p w:rsidR="00DE7403" w:rsidRDefault="000D77FB">
      <w:pPr>
        <w:pStyle w:val="Nadpis3"/>
        <w:rPr>
          <w:rFonts w:ascii="Arial" w:eastAsia="Arial" w:hAnsi="Arial" w:cs="Arial"/>
        </w:rPr>
      </w:pPr>
      <w:r>
        <w:rPr>
          <w:rFonts w:ascii="Arial" w:eastAsia="Arial" w:hAnsi="Arial" w:cs="Arial"/>
        </w:rPr>
        <w:lastRenderedPageBreak/>
        <w:t>Očekávané výsledky a přínosy podprogramu</w:t>
      </w:r>
    </w:p>
    <w:p w:rsidR="00DE7403" w:rsidRDefault="000D77FB">
      <w:pPr>
        <w:spacing w:before="0" w:after="120" w:line="360" w:lineRule="auto"/>
        <w:ind w:right="-23"/>
        <w:rPr>
          <w:rFonts w:ascii="Arial" w:eastAsia="Arial" w:hAnsi="Arial" w:cs="Arial"/>
          <w:color w:val="222222"/>
        </w:rPr>
      </w:pPr>
      <w:r>
        <w:rPr>
          <w:rFonts w:ascii="Arial" w:eastAsia="Arial" w:hAnsi="Arial" w:cs="Arial"/>
          <w:color w:val="222222"/>
        </w:rPr>
        <w:t>Očekávané výsledky PP1 korespondují se způsobilými akcemi Evropského obranného fondu, dle Článku 10 Způsobilé akce, konkrétně se jedná o akce, které se týkají jedné nebo více těchto činností:</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činností zaměřených na získávání, podporu a zlepšování znalostí, produktů a technologií, včetně přelomových obranných technologií, které mohou mít na oblast obrany významný dopad;</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činností zaměřených na zvýšení interoperability a odolnosti, včetně zabezpečeného vytváření a výměny údajů, zvládnutí kritických obranných technologií, posílení bezpečnosti dodávek nebo umožnění účinného využívání výsledků pro obranné produkty a technologie;</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studií, jako jsou studie proveditelnosti s cílem prozkoumat možnost zavedení nových nebo modernizovaných produktů, technologií, postupů, služeb a řešení;</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návrhu obranného produktu, hmotné nebo nehmotné součásti nebo technologie, jakož i vymezení technických specifikací, podle kterých byl tento návrh vyvinut, včetně dílčích testů ke snížení rizik v průmyslovém či reprezentativním prostředí;</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systémového prototypu obranného produktu, hmotné nebo nehmotné součásti nebo technologie;</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testování obranného produktu, hmotné či nehmotné součásti nebo technologie;</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kvalifikace obranného produktu, hmotné či nehmotné součásti nebo technologie;</w:t>
      </w:r>
    </w:p>
    <w:p w:rsidR="00DE7403" w:rsidRDefault="000D77FB">
      <w:pPr>
        <w:numPr>
          <w:ilvl w:val="0"/>
          <w:numId w:val="17"/>
        </w:numPr>
        <w:pBdr>
          <w:top w:val="nil"/>
          <w:left w:val="nil"/>
          <w:bottom w:val="nil"/>
          <w:right w:val="nil"/>
          <w:between w:val="nil"/>
        </w:pBdr>
        <w:spacing w:before="0" w:line="360" w:lineRule="auto"/>
        <w:ind w:right="-23"/>
        <w:rPr>
          <w:rFonts w:ascii="Arial" w:eastAsia="Arial" w:hAnsi="Arial" w:cs="Arial"/>
          <w:color w:val="222222"/>
        </w:rPr>
      </w:pPr>
      <w:r>
        <w:rPr>
          <w:rFonts w:ascii="Arial" w:eastAsia="Arial" w:hAnsi="Arial" w:cs="Arial"/>
          <w:color w:val="222222"/>
        </w:rPr>
        <w:t>certifikace obranného produktu, hmotné či nehmotné součásti nebo technologie;</w:t>
      </w:r>
    </w:p>
    <w:p w:rsidR="00DE7403" w:rsidRDefault="000D77FB">
      <w:pPr>
        <w:numPr>
          <w:ilvl w:val="0"/>
          <w:numId w:val="17"/>
        </w:numPr>
        <w:pBdr>
          <w:top w:val="nil"/>
          <w:left w:val="nil"/>
          <w:bottom w:val="nil"/>
          <w:right w:val="nil"/>
          <w:between w:val="nil"/>
        </w:pBdr>
        <w:spacing w:before="0" w:after="120" w:line="360" w:lineRule="auto"/>
        <w:ind w:right="-23"/>
        <w:rPr>
          <w:rFonts w:ascii="Arial" w:eastAsia="Arial" w:hAnsi="Arial" w:cs="Arial"/>
          <w:color w:val="222222"/>
        </w:rPr>
      </w:pPr>
      <w:r>
        <w:rPr>
          <w:rFonts w:ascii="Arial" w:eastAsia="Arial" w:hAnsi="Arial" w:cs="Arial"/>
          <w:color w:val="222222"/>
        </w:rPr>
        <w:t>vývoje technologií nebo prostředků zvyšujících efektivnost během celého životního cyklu obranných produktů a technologií.</w:t>
      </w:r>
    </w:p>
    <w:p w:rsidR="00DE7403" w:rsidRDefault="000D77FB">
      <w:pPr>
        <w:spacing w:before="0" w:after="120" w:line="360" w:lineRule="auto"/>
        <w:ind w:right="-23"/>
        <w:rPr>
          <w:rFonts w:ascii="Arial" w:eastAsia="Arial" w:hAnsi="Arial" w:cs="Arial"/>
          <w:color w:val="222222"/>
        </w:rPr>
      </w:pPr>
      <w:r>
        <w:rPr>
          <w:rFonts w:ascii="Arial" w:eastAsia="Arial" w:hAnsi="Arial" w:cs="Arial"/>
        </w:rPr>
        <w:t>Dále se očekává zvýšení počtu českých účastníků ve výzvách EDF a zvýšení jejich podílu na řešených projektech. To by též mohlo vést k navazování více spoluprací českých řešitelů na mezinárodní úrovni.</w:t>
      </w:r>
      <w:r>
        <w:rPr>
          <w:rFonts w:ascii="Arial" w:eastAsia="Arial" w:hAnsi="Arial" w:cs="Arial"/>
          <w:color w:val="222222"/>
        </w:rPr>
        <w:t xml:space="preserve"> Přínos programu PRODEF lze spatřovat dále v tom, že by ČR mohla získat silnější vyjednávací pozici v rámci EDF k prosazování svých bezpečnostních a ekonomických zájmů, a to v přímém důsledku možnosti kofinancování projektů. </w:t>
      </w:r>
    </w:p>
    <w:p w:rsidR="00DE7403" w:rsidRDefault="000D77FB">
      <w:pPr>
        <w:pStyle w:val="Nadpis3"/>
        <w:rPr>
          <w:rFonts w:ascii="Arial" w:eastAsia="Arial" w:hAnsi="Arial" w:cs="Arial"/>
        </w:rPr>
      </w:pPr>
      <w:r>
        <w:rPr>
          <w:rFonts w:ascii="Arial" w:eastAsia="Arial" w:hAnsi="Arial" w:cs="Arial"/>
        </w:rPr>
        <w:t>Intenzita podpory</w:t>
      </w:r>
    </w:p>
    <w:p w:rsidR="00DE7403" w:rsidRDefault="000D77FB">
      <w:pPr>
        <w:spacing w:before="0" w:after="120" w:line="360" w:lineRule="auto"/>
        <w:rPr>
          <w:rFonts w:ascii="Arial" w:eastAsia="Arial" w:hAnsi="Arial" w:cs="Arial"/>
        </w:rPr>
      </w:pPr>
      <w:r>
        <w:rPr>
          <w:rFonts w:ascii="Arial" w:eastAsia="Arial" w:hAnsi="Arial" w:cs="Arial"/>
        </w:rPr>
        <w:t>Pro výzvy, jež jsou vymezeny v čl. 10 odst. 3 písm. f) až h) Nařízení o EDF, finanční pomoc z fondu nepřevýší 80 % způsobilých nákladů na akci. Nedílnou podmínkou uchazeče ve výzvě je tedy zajištění části finančních prostředků z jiných zdrojů (ostatní prostředky, programy, fondy EU apod.). Podpora v PP1 bude poskytnuta v souladu s článkem 25e Nařízení.</w:t>
      </w:r>
    </w:p>
    <w:p w:rsidR="00DE7403" w:rsidRDefault="000D77FB">
      <w:pPr>
        <w:spacing w:before="0" w:after="120" w:line="360" w:lineRule="auto"/>
        <w:rPr>
          <w:rFonts w:ascii="Arial" w:eastAsia="Arial" w:hAnsi="Arial" w:cs="Arial"/>
        </w:rPr>
      </w:pPr>
      <w:r>
        <w:rPr>
          <w:rFonts w:ascii="Arial" w:eastAsia="Arial" w:hAnsi="Arial" w:cs="Arial"/>
        </w:rPr>
        <w:t>V rámci PP1 bude poskytnuta podpora doplatku spoluúčasti českého uchazeče ve výši až 50 %. Maximální míra spolufinancování ze strany TA ČR bude blíže specifikována v zadávací dokumentaci (podmínkách zapojení) k vyhlášené národní výzvě.</w:t>
      </w:r>
    </w:p>
    <w:p w:rsidR="00DE7403" w:rsidRDefault="000D77FB">
      <w:pPr>
        <w:pStyle w:val="Nadpis2"/>
      </w:pPr>
      <w:bookmarkStart w:id="16" w:name="_1ksv4uv" w:colFirst="0" w:colLast="0"/>
      <w:bookmarkEnd w:id="16"/>
      <w:r>
        <w:lastRenderedPageBreak/>
        <w:t>Podprogram 2: Národní veřejné soutěže v obranném výzkumu (PP2)</w:t>
      </w:r>
    </w:p>
    <w:p w:rsidR="00DE7403" w:rsidRDefault="000D77FB">
      <w:pPr>
        <w:pStyle w:val="Nadpis3"/>
        <w:rPr>
          <w:rFonts w:ascii="Arial" w:eastAsia="Arial" w:hAnsi="Arial" w:cs="Arial"/>
        </w:rPr>
      </w:pPr>
      <w:r>
        <w:rPr>
          <w:rFonts w:ascii="Arial" w:eastAsia="Arial" w:hAnsi="Arial" w:cs="Arial"/>
        </w:rPr>
        <w:t>Cíl</w:t>
      </w:r>
    </w:p>
    <w:p w:rsidR="00DE7403" w:rsidRDefault="000D77FB">
      <w:pPr>
        <w:spacing w:before="0" w:after="120" w:line="360" w:lineRule="auto"/>
        <w:rPr>
          <w:rFonts w:ascii="Arial" w:eastAsia="Arial" w:hAnsi="Arial" w:cs="Arial"/>
        </w:rPr>
      </w:pPr>
      <w:r>
        <w:rPr>
          <w:rFonts w:ascii="Arial" w:eastAsia="Arial" w:hAnsi="Arial" w:cs="Arial"/>
        </w:rPr>
        <w:t xml:space="preserve">Cílem druhého podprogramu je posilovat rozvoj českého VaVaI v oblasti obranného průmyslu, a to pomocí: </w:t>
      </w:r>
    </w:p>
    <w:p w:rsidR="00DE7403" w:rsidRDefault="000D77FB">
      <w:pPr>
        <w:numPr>
          <w:ilvl w:val="0"/>
          <w:numId w:val="2"/>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zvýšení počtu subjektů provádějících obranný VaVaI na národní úrovni;</w:t>
      </w:r>
    </w:p>
    <w:p w:rsidR="00DE7403" w:rsidRDefault="000D77FB">
      <w:pPr>
        <w:numPr>
          <w:ilvl w:val="0"/>
          <w:numId w:val="2"/>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 xml:space="preserve">rozšíření okruhu budoucích uchazečů o podporu z EDF a dalších mezinárodních výzev; </w:t>
      </w:r>
    </w:p>
    <w:p w:rsidR="00DE7403" w:rsidRDefault="000D77FB">
      <w:pPr>
        <w:numPr>
          <w:ilvl w:val="0"/>
          <w:numId w:val="2"/>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posílení užitečnosti a relevance projektů VaVaI v obranném průmyslu;</w:t>
      </w:r>
    </w:p>
    <w:p w:rsidR="00DE7403" w:rsidRDefault="000D77FB">
      <w:pPr>
        <w:numPr>
          <w:ilvl w:val="0"/>
          <w:numId w:val="2"/>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zvýšení užitečnosti českého VaV ve smyslu využití konkrétními institucemi (např. AČR či NATO).</w:t>
      </w:r>
    </w:p>
    <w:p w:rsidR="00DE7403" w:rsidRDefault="000D77FB">
      <w:pPr>
        <w:pStyle w:val="Nadpis3"/>
        <w:rPr>
          <w:rFonts w:ascii="Arial" w:eastAsia="Arial" w:hAnsi="Arial" w:cs="Arial"/>
        </w:rPr>
      </w:pPr>
      <w:r>
        <w:rPr>
          <w:rFonts w:ascii="Arial" w:eastAsia="Arial" w:hAnsi="Arial" w:cs="Arial"/>
        </w:rPr>
        <w:t>Zaměření</w:t>
      </w:r>
    </w:p>
    <w:p w:rsidR="00DE7403" w:rsidRDefault="000D77FB">
      <w:pPr>
        <w:spacing w:before="0" w:after="120" w:line="360" w:lineRule="auto"/>
        <w:rPr>
          <w:rFonts w:ascii="Arial" w:eastAsia="Arial" w:hAnsi="Arial" w:cs="Arial"/>
        </w:rPr>
      </w:pPr>
      <w:r>
        <w:rPr>
          <w:rFonts w:ascii="Arial" w:eastAsia="Arial" w:hAnsi="Arial" w:cs="Arial"/>
        </w:rPr>
        <w:t>Podprogram je zaměřen na projekty aplikovaného výzkumu a inovací v oblastech moderních nastupujících a přelomových technologiích, které lze využít pro potřeby AČR. Budou podporovány projekty, které prokáží vazbu na technologické znalostní domény v oblasti přelomových a nastupujících technologií (EDTs – Emerging and Disruptive Technologies):</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Velká data a pokročilá datová analýza</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Umělá inteligence</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Autonom</w:t>
      </w:r>
      <w:r>
        <w:rPr>
          <w:rFonts w:ascii="Arial" w:eastAsia="Arial" w:hAnsi="Arial" w:cs="Arial"/>
        </w:rPr>
        <w:t>ní systémy</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Kvantové technologie</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Vesmírné technologie</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Hypersonické zbraňové systémy</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Biotechnologie</w:t>
      </w:r>
    </w:p>
    <w:p w:rsidR="00DE7403" w:rsidRDefault="000D77FB">
      <w:pPr>
        <w:widowControl w:val="0"/>
        <w:numPr>
          <w:ilvl w:val="0"/>
          <w:numId w:val="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Nové materiály a výroba</w:t>
      </w:r>
    </w:p>
    <w:p w:rsidR="00DE7403" w:rsidRDefault="000D77FB">
      <w:pPr>
        <w:widowControl w:val="0"/>
        <w:numPr>
          <w:ilvl w:val="0"/>
          <w:numId w:val="6"/>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Energie a pohony</w:t>
      </w:r>
      <w:r>
        <w:rPr>
          <w:color w:val="000000"/>
          <w:vertAlign w:val="superscript"/>
        </w:rPr>
        <w:footnoteReference w:id="6"/>
      </w:r>
    </w:p>
    <w:p w:rsidR="00DE7403" w:rsidRDefault="000D77FB">
      <w:pPr>
        <w:spacing w:before="0" w:after="120" w:line="360" w:lineRule="auto"/>
        <w:rPr>
          <w:rFonts w:ascii="Arial" w:eastAsia="Arial" w:hAnsi="Arial" w:cs="Arial"/>
        </w:rPr>
      </w:pPr>
      <w:r>
        <w:rPr>
          <w:rFonts w:ascii="Arial" w:eastAsia="Arial" w:hAnsi="Arial" w:cs="Arial"/>
        </w:rPr>
        <w:t>Dále půjde o projekty aplikovaného výzkumu a inovací směřující obsahově do oblastí, jež jsou ustanoveny v Koncepci obranného aplikovaného výzkumu, vývoje a inovací 2023–2029 a v souladu s klíčovými technologiemi z hlediska zajištění podstatných bezpečnostních zájmů státu a schopností obranného průmyslu ČR obsaženými ve Strategii vyzbrojování a podpory rozvoje obranného průmyslu České republiky do roku 2030:</w:t>
      </w:r>
      <w:r>
        <w:rPr>
          <w:rFonts w:ascii="Arial" w:eastAsia="Arial" w:hAnsi="Arial" w:cs="Arial"/>
          <w:vertAlign w:val="superscript"/>
        </w:rPr>
        <w:footnoteReference w:id="7"/>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Systém velení a řízení a ISR</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Kybernetizace a robotika</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lastRenderedPageBreak/>
        <w:t>Ochrana proti zbraním hromadného ničené a výbušninám</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 xml:space="preserve">C-IED, EOD, EXO </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Energetické a nesmrtící zbraně</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Prostředky polního zdravotnictví</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Radiolokační systémy</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Vojenská kartografie</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Analytická podpora</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Rozvoj kompetencí personálu, výcvik a simulační technologie</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Vojenské umění</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Zpravodajské schopnosti a kybernetická ochrana</w:t>
      </w:r>
    </w:p>
    <w:p w:rsidR="00DE7403" w:rsidRDefault="000D77FB">
      <w:pPr>
        <w:numPr>
          <w:ilvl w:val="0"/>
          <w:numId w:val="8"/>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Logistické systémy</w:t>
      </w:r>
    </w:p>
    <w:p w:rsidR="00DE7403" w:rsidRDefault="000D77FB">
      <w:pPr>
        <w:numPr>
          <w:ilvl w:val="0"/>
          <w:numId w:val="8"/>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 xml:space="preserve">Materiálové inženýrství </w:t>
      </w:r>
    </w:p>
    <w:p w:rsidR="00DE7403" w:rsidRDefault="000D77FB">
      <w:pPr>
        <w:spacing w:before="0" w:after="120" w:line="360" w:lineRule="auto"/>
        <w:rPr>
          <w:rFonts w:ascii="Arial" w:eastAsia="Arial" w:hAnsi="Arial" w:cs="Arial"/>
        </w:rPr>
      </w:pPr>
      <w:r>
        <w:rPr>
          <w:rFonts w:ascii="Arial" w:eastAsia="Arial" w:hAnsi="Arial" w:cs="Arial"/>
        </w:rPr>
        <w:t>V reakci na aktuální rozvojové trendy se k těmto prioritám řadí také elektronický boj, společná palebná podpora (rozvoj bezosádkových systémů a ochrana proti nim, vývoj munice pro palebné prostředky dělostřelectva a minometné jednotky), ženijní podpora (náhrada lidské osádky), zdravotnické zabezpečení (rozvoj léčebných postupů, vybavení a materiálu, zdravotnická ochrana vojsk) či další oblasti, které budou ustanoveny v aktualizovaných koncepčních dokumentech resortu MO nebo které budou odpovídat aktuálním a budoucím prioritám a potřebám AČR.</w:t>
      </w:r>
    </w:p>
    <w:p w:rsidR="00DE7403" w:rsidRDefault="000D77FB">
      <w:pPr>
        <w:spacing w:before="0" w:after="120" w:line="360" w:lineRule="auto"/>
        <w:rPr>
          <w:rFonts w:ascii="Arial" w:eastAsia="Arial" w:hAnsi="Arial" w:cs="Arial"/>
        </w:rPr>
      </w:pPr>
      <w:r>
        <w:rPr>
          <w:rFonts w:ascii="Arial" w:eastAsia="Arial" w:hAnsi="Arial" w:cs="Arial"/>
        </w:rPr>
        <w:t>Další přípustnou oblastí je podpora projektů z prostředí společenských, humanitních a uměleckých věd (SHUV), které se zaměří např. na systémovou personální podporu a rozvíjení práce s vojáky (např. na základě Koncepce péče o válečné veterány v jejím aktuálním znění) či na rozvoj dalších procesů vycházejících z povinností definovaných v zákoně č. 219/1999, o vojácích z povolání. Dále též dle doporučení a závazků např. z Koncepce přípravy občanů k obraně státu.</w:t>
      </w:r>
    </w:p>
    <w:p w:rsidR="00DE7403" w:rsidRDefault="000D77FB">
      <w:pPr>
        <w:pStyle w:val="Nadpis3"/>
        <w:rPr>
          <w:rFonts w:ascii="Arial" w:eastAsia="Arial" w:hAnsi="Arial" w:cs="Arial"/>
        </w:rPr>
      </w:pPr>
      <w:r>
        <w:rPr>
          <w:rFonts w:ascii="Arial" w:eastAsia="Arial" w:hAnsi="Arial" w:cs="Arial"/>
        </w:rPr>
        <w:t>Termíny vyhlášení první VS</w:t>
      </w:r>
    </w:p>
    <w:p w:rsidR="00DE7403" w:rsidRDefault="000D77FB">
      <w:pPr>
        <w:spacing w:before="0" w:after="120" w:line="360" w:lineRule="auto"/>
        <w:rPr>
          <w:rFonts w:ascii="Arial" w:eastAsia="Arial" w:hAnsi="Arial" w:cs="Arial"/>
          <w:b/>
        </w:rPr>
      </w:pPr>
      <w:r>
        <w:rPr>
          <w:rFonts w:ascii="Arial" w:eastAsia="Arial" w:hAnsi="Arial" w:cs="Arial"/>
        </w:rPr>
        <w:t>První veřejnou soutěž ve výzkumu, vývoji a inovacích (dále také „</w:t>
      </w:r>
      <w:r w:rsidR="00636F9F">
        <w:rPr>
          <w:rFonts w:ascii="Arial" w:eastAsia="Arial" w:hAnsi="Arial" w:cs="Arial"/>
        </w:rPr>
        <w:t>veřejná soutěž”), v podprogramu </w:t>
      </w:r>
      <w:r>
        <w:rPr>
          <w:rFonts w:ascii="Arial" w:eastAsia="Arial" w:hAnsi="Arial" w:cs="Arial"/>
        </w:rPr>
        <w:t>2, na výběr projektů předpokládá poskytovatel vyhlásit v roce 2024 se zahájením poskytování podpory od roku 2025, přičemž se počítá s dvouroční periodicitou vyhlašování veřejných soutěží.</w:t>
      </w:r>
    </w:p>
    <w:p w:rsidR="00DE7403" w:rsidRDefault="000D77FB">
      <w:pPr>
        <w:pStyle w:val="Nadpis3"/>
        <w:rPr>
          <w:rFonts w:ascii="Arial" w:eastAsia="Arial" w:hAnsi="Arial" w:cs="Arial"/>
        </w:rPr>
      </w:pPr>
      <w:r>
        <w:rPr>
          <w:rFonts w:ascii="Arial" w:eastAsia="Arial" w:hAnsi="Arial" w:cs="Arial"/>
        </w:rPr>
        <w:t>Finanční alokace</w:t>
      </w:r>
    </w:p>
    <w:p w:rsidR="00DE7403" w:rsidRDefault="000D77FB">
      <w:pPr>
        <w:spacing w:line="240" w:lineRule="auto"/>
        <w:ind w:left="-567" w:firstLine="708"/>
        <w:rPr>
          <w:rFonts w:ascii="Arial" w:eastAsia="Arial" w:hAnsi="Arial" w:cs="Arial"/>
          <w:b/>
        </w:rPr>
      </w:pPr>
      <w:r>
        <w:rPr>
          <w:rFonts w:ascii="Arial" w:eastAsia="Arial" w:hAnsi="Arial" w:cs="Arial"/>
          <w:b/>
        </w:rPr>
        <w:t>Tabulka č. 4: Plánované výdaje PP2 (v mil. Kč)</w:t>
      </w:r>
    </w:p>
    <w:tbl>
      <w:tblPr>
        <w:tblStyle w:val="a2"/>
        <w:tblW w:w="935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23"/>
        <w:gridCol w:w="797"/>
        <w:gridCol w:w="701"/>
        <w:gridCol w:w="717"/>
        <w:gridCol w:w="717"/>
        <w:gridCol w:w="717"/>
        <w:gridCol w:w="701"/>
        <w:gridCol w:w="717"/>
        <w:gridCol w:w="701"/>
        <w:gridCol w:w="1163"/>
      </w:tblGrid>
      <w:tr w:rsidR="00DE7403">
        <w:trPr>
          <w:trHeight w:val="434"/>
          <w:jc w:val="center"/>
        </w:trPr>
        <w:tc>
          <w:tcPr>
            <w:tcW w:w="242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Podpora</w:t>
            </w:r>
          </w:p>
        </w:tc>
        <w:tc>
          <w:tcPr>
            <w:tcW w:w="79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2024</w:t>
            </w:r>
          </w:p>
        </w:tc>
        <w:tc>
          <w:tcPr>
            <w:tcW w:w="70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2025</w:t>
            </w:r>
          </w:p>
        </w:tc>
        <w:tc>
          <w:tcPr>
            <w:tcW w:w="71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2026</w:t>
            </w:r>
          </w:p>
        </w:tc>
        <w:tc>
          <w:tcPr>
            <w:tcW w:w="71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2027</w:t>
            </w:r>
          </w:p>
        </w:tc>
        <w:tc>
          <w:tcPr>
            <w:tcW w:w="71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2028</w:t>
            </w:r>
          </w:p>
        </w:tc>
        <w:tc>
          <w:tcPr>
            <w:tcW w:w="70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2029</w:t>
            </w:r>
          </w:p>
        </w:tc>
        <w:tc>
          <w:tcPr>
            <w:tcW w:w="71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2030</w:t>
            </w:r>
          </w:p>
        </w:tc>
        <w:tc>
          <w:tcPr>
            <w:tcW w:w="70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2031</w:t>
            </w:r>
          </w:p>
        </w:tc>
        <w:tc>
          <w:tcPr>
            <w:tcW w:w="116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jc w:val="center"/>
              <w:rPr>
                <w:rFonts w:ascii="Arial" w:eastAsia="Arial" w:hAnsi="Arial" w:cs="Arial"/>
                <w:b/>
              </w:rPr>
            </w:pPr>
            <w:r>
              <w:rPr>
                <w:rFonts w:ascii="Arial" w:eastAsia="Arial" w:hAnsi="Arial" w:cs="Arial"/>
                <w:b/>
              </w:rPr>
              <w:t>Celkem</w:t>
            </w:r>
          </w:p>
        </w:tc>
      </w:tr>
      <w:tr w:rsidR="00DE7403">
        <w:trPr>
          <w:trHeight w:val="318"/>
          <w:jc w:val="center"/>
        </w:trPr>
        <w:tc>
          <w:tcPr>
            <w:tcW w:w="242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Celkem za program</w:t>
            </w:r>
          </w:p>
        </w:tc>
        <w:tc>
          <w:tcPr>
            <w:tcW w:w="79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0,0</w:t>
            </w:r>
          </w:p>
        </w:tc>
        <w:tc>
          <w:tcPr>
            <w:tcW w:w="70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105,0</w:t>
            </w:r>
          </w:p>
        </w:tc>
        <w:tc>
          <w:tcPr>
            <w:tcW w:w="71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225,0</w:t>
            </w:r>
          </w:p>
        </w:tc>
        <w:tc>
          <w:tcPr>
            <w:tcW w:w="71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335,0</w:t>
            </w:r>
          </w:p>
        </w:tc>
        <w:tc>
          <w:tcPr>
            <w:tcW w:w="71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380,0</w:t>
            </w:r>
          </w:p>
        </w:tc>
        <w:tc>
          <w:tcPr>
            <w:tcW w:w="70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365,0</w:t>
            </w:r>
          </w:p>
        </w:tc>
        <w:tc>
          <w:tcPr>
            <w:tcW w:w="717"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260,0</w:t>
            </w:r>
          </w:p>
        </w:tc>
        <w:tc>
          <w:tcPr>
            <w:tcW w:w="70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130,0</w:t>
            </w:r>
          </w:p>
        </w:tc>
        <w:tc>
          <w:tcPr>
            <w:tcW w:w="116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1 800,0</w:t>
            </w:r>
          </w:p>
        </w:tc>
      </w:tr>
      <w:tr w:rsidR="00DE7403">
        <w:trPr>
          <w:trHeight w:val="416"/>
          <w:jc w:val="center"/>
        </w:trPr>
        <w:tc>
          <w:tcPr>
            <w:tcW w:w="242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Podpora ze SR</w:t>
            </w:r>
          </w:p>
        </w:tc>
        <w:tc>
          <w:tcPr>
            <w:tcW w:w="79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0,0</w:t>
            </w:r>
          </w:p>
        </w:tc>
        <w:tc>
          <w:tcPr>
            <w:tcW w:w="70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84,0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180,0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268,0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304,0</w:t>
            </w:r>
          </w:p>
        </w:tc>
        <w:tc>
          <w:tcPr>
            <w:tcW w:w="70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292,0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208,0</w:t>
            </w:r>
          </w:p>
        </w:tc>
        <w:tc>
          <w:tcPr>
            <w:tcW w:w="70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104,0</w:t>
            </w:r>
          </w:p>
        </w:tc>
        <w:tc>
          <w:tcPr>
            <w:tcW w:w="116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1 440,0</w:t>
            </w:r>
          </w:p>
        </w:tc>
      </w:tr>
      <w:tr w:rsidR="00DE7403">
        <w:trPr>
          <w:trHeight w:val="277"/>
          <w:jc w:val="center"/>
        </w:trPr>
        <w:tc>
          <w:tcPr>
            <w:tcW w:w="242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DE7403" w:rsidRDefault="000D77FB">
            <w:pPr>
              <w:widowControl w:val="0"/>
              <w:spacing w:before="0"/>
              <w:ind w:left="57"/>
              <w:jc w:val="left"/>
              <w:rPr>
                <w:rFonts w:ascii="Arial" w:eastAsia="Arial" w:hAnsi="Arial" w:cs="Arial"/>
                <w:b/>
              </w:rPr>
            </w:pPr>
            <w:r>
              <w:rPr>
                <w:rFonts w:ascii="Arial" w:eastAsia="Arial" w:hAnsi="Arial" w:cs="Arial"/>
                <w:b/>
              </w:rPr>
              <w:t>Ostatní zdroje</w:t>
            </w:r>
          </w:p>
        </w:tc>
        <w:tc>
          <w:tcPr>
            <w:tcW w:w="79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0,0</w:t>
            </w:r>
          </w:p>
        </w:tc>
        <w:tc>
          <w:tcPr>
            <w:tcW w:w="70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21,0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45,0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67,0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76,0</w:t>
            </w:r>
          </w:p>
        </w:tc>
        <w:tc>
          <w:tcPr>
            <w:tcW w:w="70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73,0</w:t>
            </w:r>
          </w:p>
        </w:tc>
        <w:tc>
          <w:tcPr>
            <w:tcW w:w="717"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52,0</w:t>
            </w:r>
          </w:p>
        </w:tc>
        <w:tc>
          <w:tcPr>
            <w:tcW w:w="70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26,0</w:t>
            </w:r>
          </w:p>
        </w:tc>
        <w:tc>
          <w:tcPr>
            <w:tcW w:w="116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DE7403" w:rsidRDefault="000D77FB">
            <w:pPr>
              <w:widowControl w:val="0"/>
              <w:spacing w:before="0"/>
              <w:jc w:val="right"/>
              <w:rPr>
                <w:rFonts w:ascii="Arial" w:eastAsia="Arial" w:hAnsi="Arial" w:cs="Arial"/>
              </w:rPr>
            </w:pPr>
            <w:r>
              <w:rPr>
                <w:rFonts w:ascii="Arial" w:eastAsia="Arial" w:hAnsi="Arial" w:cs="Arial"/>
              </w:rPr>
              <w:t>360,0</w:t>
            </w:r>
          </w:p>
        </w:tc>
      </w:tr>
    </w:tbl>
    <w:p w:rsidR="00DE7403" w:rsidRDefault="00DE7403">
      <w:pPr>
        <w:spacing w:before="0" w:after="120" w:line="360" w:lineRule="auto"/>
        <w:rPr>
          <w:rFonts w:ascii="Arial" w:eastAsia="Arial" w:hAnsi="Arial" w:cs="Arial"/>
          <w:b/>
        </w:rPr>
      </w:pPr>
    </w:p>
    <w:p w:rsidR="00DE7403" w:rsidRDefault="000D77FB">
      <w:pPr>
        <w:pStyle w:val="Nadpis3"/>
        <w:rPr>
          <w:rFonts w:ascii="Arial" w:eastAsia="Arial" w:hAnsi="Arial" w:cs="Arial"/>
        </w:rPr>
      </w:pPr>
      <w:r>
        <w:rPr>
          <w:rFonts w:ascii="Arial" w:eastAsia="Arial" w:hAnsi="Arial" w:cs="Arial"/>
        </w:rPr>
        <w:lastRenderedPageBreak/>
        <w:t>Očekávané výsledky a přínosy podprogramu</w:t>
      </w:r>
    </w:p>
    <w:p w:rsidR="00DE7403" w:rsidRDefault="000D77FB">
      <w:pPr>
        <w:widowControl w:val="0"/>
        <w:spacing w:before="0" w:after="120" w:line="360" w:lineRule="auto"/>
        <w:ind w:right="-7"/>
        <w:rPr>
          <w:rFonts w:ascii="Arial" w:eastAsia="Arial" w:hAnsi="Arial" w:cs="Arial"/>
        </w:rPr>
      </w:pPr>
      <w:r>
        <w:rPr>
          <w:rFonts w:ascii="Arial" w:eastAsia="Arial" w:hAnsi="Arial" w:cs="Arial"/>
        </w:rPr>
        <w:t>V podprogramu jsou očekávány tyto výsledky:</w:t>
      </w:r>
    </w:p>
    <w:p w:rsidR="00DE7403" w:rsidRDefault="000D77FB">
      <w:pPr>
        <w:widowControl w:val="0"/>
        <w:spacing w:before="0" w:after="120" w:line="360" w:lineRule="auto"/>
        <w:ind w:left="930" w:right="7977" w:hanging="420"/>
        <w:rPr>
          <w:rFonts w:ascii="Arial" w:eastAsia="Arial" w:hAnsi="Arial" w:cs="Arial"/>
        </w:rPr>
      </w:pPr>
      <w:r>
        <w:rPr>
          <w:rFonts w:ascii="Arial" w:eastAsia="Arial" w:hAnsi="Arial" w:cs="Arial"/>
        </w:rPr>
        <w:t xml:space="preserve">P – patent; </w:t>
      </w:r>
    </w:p>
    <w:p w:rsidR="00DE7403" w:rsidRDefault="000D77FB">
      <w:pPr>
        <w:widowControl w:val="0"/>
        <w:spacing w:before="0" w:after="120" w:line="360" w:lineRule="auto"/>
        <w:ind w:left="930" w:right="6230" w:hanging="420"/>
        <w:rPr>
          <w:rFonts w:ascii="Arial" w:eastAsia="Arial" w:hAnsi="Arial" w:cs="Arial"/>
        </w:rPr>
      </w:pPr>
      <w:r>
        <w:rPr>
          <w:rFonts w:ascii="Arial" w:eastAsia="Arial" w:hAnsi="Arial" w:cs="Arial"/>
        </w:rPr>
        <w:t xml:space="preserve">G – prototyp, funkční vzorek; </w:t>
      </w:r>
    </w:p>
    <w:p w:rsidR="00DE7403" w:rsidRDefault="000D77FB">
      <w:pPr>
        <w:widowControl w:val="0"/>
        <w:spacing w:before="0" w:after="120" w:line="360" w:lineRule="auto"/>
        <w:ind w:left="930" w:right="5428" w:hanging="420"/>
        <w:rPr>
          <w:rFonts w:ascii="Arial" w:eastAsia="Arial" w:hAnsi="Arial" w:cs="Arial"/>
        </w:rPr>
      </w:pPr>
      <w:r>
        <w:rPr>
          <w:rFonts w:ascii="Arial" w:eastAsia="Arial" w:hAnsi="Arial" w:cs="Arial"/>
        </w:rPr>
        <w:t xml:space="preserve">Z – poloprovoz, ověřená technologie; </w:t>
      </w:r>
    </w:p>
    <w:p w:rsidR="00DE7403" w:rsidRDefault="000D77FB">
      <w:pPr>
        <w:widowControl w:val="0"/>
        <w:spacing w:before="0" w:after="120" w:line="360" w:lineRule="auto"/>
        <w:ind w:left="930" w:right="7747" w:hanging="420"/>
        <w:rPr>
          <w:rFonts w:ascii="Arial" w:eastAsia="Arial" w:hAnsi="Arial" w:cs="Arial"/>
        </w:rPr>
      </w:pPr>
      <w:r>
        <w:rPr>
          <w:rFonts w:ascii="Arial" w:eastAsia="Arial" w:hAnsi="Arial" w:cs="Arial"/>
        </w:rPr>
        <w:t xml:space="preserve">R – software; </w:t>
      </w:r>
    </w:p>
    <w:p w:rsidR="00DE7403" w:rsidRDefault="000D77FB">
      <w:pPr>
        <w:widowControl w:val="0"/>
        <w:spacing w:before="0" w:after="120" w:line="360" w:lineRule="auto"/>
        <w:ind w:left="930" w:right="6196" w:hanging="420"/>
        <w:rPr>
          <w:rFonts w:ascii="Arial" w:eastAsia="Arial" w:hAnsi="Arial" w:cs="Arial"/>
        </w:rPr>
      </w:pPr>
      <w:r>
        <w:rPr>
          <w:rFonts w:ascii="Arial" w:eastAsia="Arial" w:hAnsi="Arial" w:cs="Arial"/>
        </w:rPr>
        <w:t xml:space="preserve">F – průmyslový a užitný vzor; </w:t>
      </w:r>
    </w:p>
    <w:p w:rsidR="00DE7403" w:rsidRDefault="000D77FB">
      <w:pPr>
        <w:widowControl w:val="0"/>
        <w:spacing w:before="0" w:after="120" w:line="360" w:lineRule="auto"/>
        <w:ind w:left="930" w:right="-19" w:hanging="420"/>
        <w:rPr>
          <w:rFonts w:ascii="Arial" w:eastAsia="Arial" w:hAnsi="Arial" w:cs="Arial"/>
        </w:rPr>
      </w:pPr>
      <w:r>
        <w:rPr>
          <w:rFonts w:ascii="Arial" w:eastAsia="Arial" w:hAnsi="Arial" w:cs="Arial"/>
        </w:rPr>
        <w:t xml:space="preserve">H – výsledky promítnuté do schválených strategických a koncepčních dokumentů orgánů státní nebo veřejné správy, výsledky promítnuté do právních předpisů a norem a výsledky promítnuté do směrnic a předpisů nelegislativní povahy závazných v rámci kompetence příslušného poskytovatele; </w:t>
      </w:r>
    </w:p>
    <w:p w:rsidR="00DE7403" w:rsidRDefault="000D77FB">
      <w:pPr>
        <w:widowControl w:val="0"/>
        <w:spacing w:before="0" w:after="120" w:line="360" w:lineRule="auto"/>
        <w:ind w:left="930" w:right="2347" w:hanging="420"/>
        <w:rPr>
          <w:rFonts w:ascii="Arial" w:eastAsia="Arial" w:hAnsi="Arial" w:cs="Arial"/>
        </w:rPr>
      </w:pPr>
      <w:r>
        <w:rPr>
          <w:rFonts w:ascii="Arial" w:eastAsia="Arial" w:hAnsi="Arial" w:cs="Arial"/>
        </w:rPr>
        <w:t xml:space="preserve">N – metodiky, postupy a specializované mapy s odborným obsahem; </w:t>
      </w:r>
    </w:p>
    <w:p w:rsidR="00DE7403" w:rsidRDefault="000D77FB">
      <w:pPr>
        <w:widowControl w:val="0"/>
        <w:spacing w:before="0" w:after="120" w:line="360" w:lineRule="auto"/>
        <w:ind w:left="930" w:right="2347" w:hanging="420"/>
        <w:rPr>
          <w:rFonts w:ascii="Arial" w:eastAsia="Arial" w:hAnsi="Arial" w:cs="Arial"/>
        </w:rPr>
      </w:pPr>
      <w:r>
        <w:rPr>
          <w:rFonts w:ascii="Arial" w:eastAsia="Arial" w:hAnsi="Arial" w:cs="Arial"/>
        </w:rPr>
        <w:t>S – specializovaná odborná databáze;</w:t>
      </w:r>
    </w:p>
    <w:p w:rsidR="00DE7403" w:rsidRDefault="000D77FB">
      <w:pPr>
        <w:widowControl w:val="0"/>
        <w:spacing w:before="0" w:after="120" w:line="360" w:lineRule="auto"/>
        <w:ind w:left="930" w:right="7910" w:hanging="420"/>
        <w:rPr>
          <w:rFonts w:ascii="Arial" w:eastAsia="Arial" w:hAnsi="Arial" w:cs="Arial"/>
        </w:rPr>
      </w:pPr>
      <w:r>
        <w:rPr>
          <w:rFonts w:ascii="Arial" w:eastAsia="Arial" w:hAnsi="Arial" w:cs="Arial"/>
        </w:rPr>
        <w:t xml:space="preserve">O – ostatní. </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Pro výstupy ve formě výsledků dle Metodiky a RIV druhu „O” platí, že musí splňovat podmínku aplikovatelnosti v praxi a následně bude jejich aplikace v praxi sledována v rámci monitoringu implementačních plánů. Posouzení plánovaných výstupů, resp. výsledků, je součástí hodnocení návrhů projektů. Poskytovatel dále může ve veřejné soutěži specifikovat zvláštní výsledek druhu „O“, kterým bude např. zapojení hlavního příjemce nebo dalšího účastníka v rámci mezinárodního konsorcia do jedné z výzev na mezinárodní úrovni v EDF, programech či výzvách NATO nebo obdobných (např. unijních) programech. Podmínkou uznání výsledku by v takovém případě bylo přijetí do mezinárodní soutěže či výzvy po formální kontrole.</w:t>
      </w:r>
    </w:p>
    <w:p w:rsidR="00DE7403" w:rsidRDefault="000D77FB">
      <w:pPr>
        <w:widowControl w:val="0"/>
        <w:spacing w:before="0" w:after="120" w:line="360" w:lineRule="auto"/>
        <w:ind w:left="-24" w:right="-19"/>
        <w:rPr>
          <w:rFonts w:ascii="Arial" w:eastAsia="Arial" w:hAnsi="Arial" w:cs="Arial"/>
        </w:rPr>
      </w:pPr>
      <w:r>
        <w:rPr>
          <w:rFonts w:ascii="Arial" w:eastAsia="Arial" w:hAnsi="Arial" w:cs="Arial"/>
        </w:rPr>
        <w:t>Mezi očekávané přínosy programu patří především zvýšení kvality a využívání výsledků výzkumu a vývoje, které budou aplikovány v praxi v podobě inovací výrobků, postupů, procesů nebo služeb. U spolupracujících výzkumných organizací se přínosy programu projeví například ve zvýšení počtu jejich výsledků aplikovaných v praxi, v počtu komercializovaných patentů a nárůstu jejich komerčního potenciálu. Za sekundární efekt lze považovat posílení efektivního transferu know-how a technologií do praxe. Dále se předpokládá zvýšení počtu VaV projektů se zaměřením na obranný průmysl, zvýšení podílu účasti českých institucí na mezinárodním poli či zvýšení počtu subjektů navazujících průmyslová a výzkumná partnerství v obranném a bezpečnostním výzkumu a vývoji na národní nebo mezinárodní úrovni.</w:t>
      </w:r>
    </w:p>
    <w:p w:rsidR="00DE7403" w:rsidRDefault="000D77FB">
      <w:pPr>
        <w:widowControl w:val="0"/>
        <w:spacing w:before="0" w:after="120" w:line="360" w:lineRule="auto"/>
        <w:ind w:left="-24" w:right="-19"/>
        <w:rPr>
          <w:rFonts w:ascii="Arial" w:eastAsia="Arial" w:hAnsi="Arial" w:cs="Arial"/>
        </w:rPr>
      </w:pPr>
      <w:r>
        <w:rPr>
          <w:rFonts w:ascii="Arial" w:eastAsia="Arial" w:hAnsi="Arial" w:cs="Arial"/>
        </w:rPr>
        <w:t>Výsledky projektů budou mít vysoký potenciál pro uplatnění v řadě civilních a vojenských oblastí, tzv. dual use (využití pro civilní a vojenské účely).</w:t>
      </w:r>
    </w:p>
    <w:p w:rsidR="00DE7403" w:rsidRDefault="000D77FB">
      <w:pPr>
        <w:pStyle w:val="Nadpis3"/>
        <w:rPr>
          <w:rFonts w:ascii="Arial" w:eastAsia="Arial" w:hAnsi="Arial" w:cs="Arial"/>
        </w:rPr>
      </w:pPr>
      <w:r>
        <w:rPr>
          <w:rFonts w:ascii="Arial" w:eastAsia="Arial" w:hAnsi="Arial" w:cs="Arial"/>
        </w:rPr>
        <w:lastRenderedPageBreak/>
        <w:t>Způsobilé a uznané náklady</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 xml:space="preserve">Uchazeč může jako způsobilé náklady navrhnout pouze náklady vymezené vždy v souladu se zákonem o podpoře výzkumu, experimentálního vývoje a inovací, a dále v případě podpory v režimu veřejné podpory podle kategorie podpory, tj. v souladu s čl. 25, 28, 29 Nařízení. </w:t>
      </w:r>
    </w:p>
    <w:p w:rsidR="00DE7403" w:rsidRDefault="000D77FB">
      <w:pPr>
        <w:widowControl w:val="0"/>
        <w:spacing w:before="0" w:after="120" w:line="360" w:lineRule="auto"/>
        <w:ind w:left="-24" w:right="-33"/>
        <w:rPr>
          <w:rFonts w:ascii="Arial" w:eastAsia="Arial" w:hAnsi="Arial" w:cs="Arial"/>
          <w:b/>
        </w:rPr>
      </w:pPr>
      <w:r>
        <w:rPr>
          <w:rFonts w:ascii="Arial" w:eastAsia="Arial" w:hAnsi="Arial" w:cs="Arial"/>
        </w:rPr>
        <w:t>Konkrétní specifikace způsobilých nákladů bude součástí zadávací dokumentace k příslušné veřejné soutěži.</w:t>
      </w:r>
    </w:p>
    <w:p w:rsidR="00DE7403" w:rsidRDefault="00DE7403">
      <w:pPr>
        <w:rPr>
          <w:rFonts w:ascii="Arial" w:eastAsia="Arial" w:hAnsi="Arial" w:cs="Arial"/>
          <w:b/>
          <w:sz w:val="24"/>
          <w:szCs w:val="24"/>
        </w:rPr>
      </w:pPr>
    </w:p>
    <w:p w:rsidR="00DE7403" w:rsidRDefault="000D77FB">
      <w:pPr>
        <w:pStyle w:val="Nadpis3"/>
        <w:rPr>
          <w:rFonts w:ascii="Arial" w:eastAsia="Arial" w:hAnsi="Arial" w:cs="Arial"/>
        </w:rPr>
      </w:pPr>
      <w:r>
        <w:rPr>
          <w:rFonts w:ascii="Arial" w:eastAsia="Arial" w:hAnsi="Arial" w:cs="Arial"/>
        </w:rPr>
        <w:t>Intenzita podpory</w:t>
      </w:r>
    </w:p>
    <w:p w:rsidR="00DE7403" w:rsidRDefault="000D77FB">
      <w:pPr>
        <w:widowControl w:val="0"/>
        <w:spacing w:before="0" w:after="120" w:line="360" w:lineRule="auto"/>
        <w:ind w:left="-24" w:right="-33"/>
        <w:rPr>
          <w:rFonts w:ascii="Arial" w:eastAsia="Arial" w:hAnsi="Arial" w:cs="Arial"/>
        </w:rPr>
      </w:pPr>
      <w:r>
        <w:rPr>
          <w:rFonts w:ascii="Arial" w:eastAsia="Arial" w:hAnsi="Arial" w:cs="Arial"/>
        </w:rPr>
        <w:t xml:space="preserve">Předpokládaná průměrná intenzita podprogramu je 60 %. Intenzita podpory, stanovená jako procento uznaných nákladů projektu, bude vypočtena pro každý projekt i pro každého příjemce a dalšího uchazeče, zejména dle čl. 25, 28, 29 Nařízení a Rámce. </w:t>
      </w:r>
    </w:p>
    <w:p w:rsidR="00DE7403" w:rsidRDefault="000D77FB">
      <w:pPr>
        <w:spacing w:line="240" w:lineRule="auto"/>
        <w:rPr>
          <w:rFonts w:ascii="Arial" w:eastAsia="Arial" w:hAnsi="Arial" w:cs="Arial"/>
          <w:b/>
        </w:rPr>
      </w:pPr>
      <w:r>
        <w:rPr>
          <w:rFonts w:ascii="Arial" w:eastAsia="Arial" w:hAnsi="Arial" w:cs="Arial"/>
          <w:b/>
        </w:rPr>
        <w:t>Tabulka č. 5: Nejvyšší povolená intenzita podpory dle typu subjektu a kategorie činnosti</w:t>
      </w:r>
    </w:p>
    <w:tbl>
      <w:tblPr>
        <w:tblStyle w:val="a3"/>
        <w:tblW w:w="9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7"/>
        <w:gridCol w:w="1437"/>
        <w:gridCol w:w="1561"/>
        <w:gridCol w:w="1406"/>
        <w:gridCol w:w="1777"/>
      </w:tblGrid>
      <w:tr w:rsidR="00DE7403">
        <w:trPr>
          <w:trHeight w:val="419"/>
          <w:jc w:val="center"/>
        </w:trPr>
        <w:tc>
          <w:tcPr>
            <w:tcW w:w="3317" w:type="dxa"/>
            <w:tcBorders>
              <w:top w:val="nil"/>
              <w:left w:val="nil"/>
            </w:tcBorders>
            <w:vAlign w:val="center"/>
          </w:tcPr>
          <w:p w:rsidR="00DE7403" w:rsidRDefault="00DE7403">
            <w:pPr>
              <w:widowControl w:val="0"/>
              <w:spacing w:before="0"/>
              <w:jc w:val="center"/>
              <w:rPr>
                <w:rFonts w:ascii="Arial" w:eastAsia="Arial" w:hAnsi="Arial" w:cs="Arial"/>
              </w:rPr>
            </w:pPr>
          </w:p>
        </w:tc>
        <w:tc>
          <w:tcPr>
            <w:tcW w:w="6181" w:type="dxa"/>
            <w:gridSpan w:val="4"/>
            <w:tcBorders>
              <w:top w:val="single" w:sz="6" w:space="0" w:color="000000"/>
              <w:bottom w:val="single" w:sz="6" w:space="0" w:color="000000"/>
              <w:right w:val="single" w:sz="6" w:space="0" w:color="000000"/>
            </w:tcBorders>
            <w:shd w:val="clear" w:color="auto" w:fill="D9D9D9"/>
            <w:vAlign w:val="center"/>
          </w:tcPr>
          <w:p w:rsidR="00DE7403" w:rsidRDefault="000D77FB">
            <w:pPr>
              <w:widowControl w:val="0"/>
              <w:spacing w:before="0"/>
              <w:jc w:val="center"/>
              <w:rPr>
                <w:rFonts w:ascii="Arial" w:eastAsia="Arial" w:hAnsi="Arial" w:cs="Arial"/>
                <w:b/>
              </w:rPr>
            </w:pPr>
            <w:r>
              <w:rPr>
                <w:rFonts w:ascii="Arial" w:eastAsia="Arial" w:hAnsi="Arial" w:cs="Arial"/>
                <w:b/>
              </w:rPr>
              <w:t>Příjemci</w:t>
            </w:r>
          </w:p>
        </w:tc>
      </w:tr>
      <w:tr w:rsidR="00DE7403">
        <w:trPr>
          <w:trHeight w:val="535"/>
          <w:jc w:val="center"/>
        </w:trPr>
        <w:tc>
          <w:tcPr>
            <w:tcW w:w="3317" w:type="dxa"/>
            <w:tcBorders>
              <w:left w:val="single" w:sz="6" w:space="0" w:color="000000"/>
              <w:bottom w:val="single" w:sz="6" w:space="0" w:color="000000"/>
              <w:right w:val="single" w:sz="6" w:space="0" w:color="000000"/>
            </w:tcBorders>
            <w:shd w:val="clear" w:color="auto" w:fill="D9D9D9"/>
            <w:vAlign w:val="center"/>
          </w:tcPr>
          <w:p w:rsidR="00DE7403" w:rsidRDefault="000D77FB">
            <w:pPr>
              <w:widowControl w:val="0"/>
              <w:spacing w:before="0"/>
              <w:jc w:val="center"/>
              <w:rPr>
                <w:rFonts w:ascii="Arial" w:eastAsia="Arial" w:hAnsi="Arial" w:cs="Arial"/>
                <w:b/>
              </w:rPr>
            </w:pPr>
            <w:r>
              <w:rPr>
                <w:rFonts w:ascii="Arial" w:eastAsia="Arial" w:hAnsi="Arial" w:cs="Arial"/>
                <w:b/>
              </w:rPr>
              <w:t>Kategorie činností</w:t>
            </w:r>
          </w:p>
        </w:tc>
        <w:tc>
          <w:tcPr>
            <w:tcW w:w="1437"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DE7403" w:rsidRDefault="000D77FB">
            <w:pPr>
              <w:widowControl w:val="0"/>
              <w:spacing w:before="0"/>
              <w:jc w:val="center"/>
              <w:rPr>
                <w:rFonts w:ascii="Arial" w:eastAsia="Arial" w:hAnsi="Arial" w:cs="Arial"/>
              </w:rPr>
            </w:pPr>
            <w:r>
              <w:rPr>
                <w:rFonts w:ascii="Arial" w:eastAsia="Arial" w:hAnsi="Arial" w:cs="Arial"/>
              </w:rPr>
              <w:t>malý podnik*</w:t>
            </w:r>
          </w:p>
        </w:tc>
        <w:tc>
          <w:tcPr>
            <w:tcW w:w="1561"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DE7403" w:rsidRDefault="000D77FB">
            <w:pPr>
              <w:widowControl w:val="0"/>
              <w:spacing w:before="0"/>
              <w:jc w:val="center"/>
              <w:rPr>
                <w:rFonts w:ascii="Arial" w:eastAsia="Arial" w:hAnsi="Arial" w:cs="Arial"/>
              </w:rPr>
            </w:pPr>
            <w:r>
              <w:rPr>
                <w:rFonts w:ascii="Arial" w:eastAsia="Arial" w:hAnsi="Arial" w:cs="Arial"/>
              </w:rPr>
              <w:t>střední podnik*</w:t>
            </w:r>
          </w:p>
        </w:tc>
        <w:tc>
          <w:tcPr>
            <w:tcW w:w="1406"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DE7403" w:rsidRDefault="000D77FB">
            <w:pPr>
              <w:widowControl w:val="0"/>
              <w:spacing w:before="0"/>
              <w:jc w:val="center"/>
              <w:rPr>
                <w:rFonts w:ascii="Arial" w:eastAsia="Arial" w:hAnsi="Arial" w:cs="Arial"/>
              </w:rPr>
            </w:pPr>
            <w:r>
              <w:rPr>
                <w:rFonts w:ascii="Arial" w:eastAsia="Arial" w:hAnsi="Arial" w:cs="Arial"/>
              </w:rPr>
              <w:t>velký podnik</w:t>
            </w:r>
          </w:p>
        </w:tc>
        <w:tc>
          <w:tcPr>
            <w:tcW w:w="1777" w:type="dxa"/>
            <w:tcBorders>
              <w:top w:val="single" w:sz="6" w:space="0" w:color="000000"/>
              <w:left w:val="single" w:sz="6" w:space="0" w:color="000000"/>
              <w:bottom w:val="single" w:sz="6" w:space="0" w:color="000000"/>
              <w:right w:val="single" w:sz="6" w:space="0" w:color="000000"/>
            </w:tcBorders>
            <w:shd w:val="clear" w:color="auto" w:fill="F1F1F1"/>
            <w:vAlign w:val="center"/>
          </w:tcPr>
          <w:p w:rsidR="00DE7403" w:rsidRDefault="000D77FB">
            <w:pPr>
              <w:widowControl w:val="0"/>
              <w:spacing w:before="0"/>
              <w:jc w:val="center"/>
              <w:rPr>
                <w:rFonts w:ascii="Arial" w:eastAsia="Arial" w:hAnsi="Arial" w:cs="Arial"/>
              </w:rPr>
            </w:pPr>
            <w:r>
              <w:rPr>
                <w:rFonts w:ascii="Arial" w:eastAsia="Arial" w:hAnsi="Arial" w:cs="Arial"/>
              </w:rPr>
              <w:t>výzkumné</w:t>
            </w:r>
            <w:r>
              <w:rPr>
                <w:rFonts w:ascii="Arial" w:eastAsia="Arial" w:hAnsi="Arial" w:cs="Arial"/>
              </w:rPr>
              <w:br/>
              <w:t>organizace**</w:t>
            </w:r>
          </w:p>
        </w:tc>
      </w:tr>
      <w:tr w:rsidR="00DE7403">
        <w:trPr>
          <w:trHeight w:val="559"/>
          <w:jc w:val="center"/>
        </w:trPr>
        <w:tc>
          <w:tcPr>
            <w:tcW w:w="331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ind w:left="113"/>
              <w:jc w:val="left"/>
              <w:rPr>
                <w:rFonts w:ascii="Arial" w:eastAsia="Arial" w:hAnsi="Arial" w:cs="Arial"/>
              </w:rPr>
            </w:pPr>
            <w:r>
              <w:rPr>
                <w:rFonts w:ascii="Arial" w:eastAsia="Arial" w:hAnsi="Arial" w:cs="Arial"/>
              </w:rPr>
              <w:t>Průmyslový výzkum</w:t>
            </w:r>
          </w:p>
        </w:tc>
        <w:tc>
          <w:tcPr>
            <w:tcW w:w="143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70 %</w:t>
            </w:r>
          </w:p>
        </w:tc>
        <w:tc>
          <w:tcPr>
            <w:tcW w:w="1561"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60 %</w:t>
            </w:r>
          </w:p>
        </w:tc>
        <w:tc>
          <w:tcPr>
            <w:tcW w:w="1406"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50 %</w:t>
            </w:r>
          </w:p>
        </w:tc>
        <w:tc>
          <w:tcPr>
            <w:tcW w:w="177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100 %</w:t>
            </w:r>
          </w:p>
        </w:tc>
      </w:tr>
      <w:tr w:rsidR="00DE7403">
        <w:trPr>
          <w:trHeight w:val="535"/>
          <w:jc w:val="center"/>
        </w:trPr>
        <w:tc>
          <w:tcPr>
            <w:tcW w:w="331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ind w:left="113"/>
              <w:jc w:val="left"/>
              <w:rPr>
                <w:rFonts w:ascii="Arial" w:eastAsia="Arial" w:hAnsi="Arial" w:cs="Arial"/>
              </w:rPr>
            </w:pPr>
            <w:r>
              <w:rPr>
                <w:rFonts w:ascii="Arial" w:eastAsia="Arial" w:hAnsi="Arial" w:cs="Arial"/>
              </w:rPr>
              <w:t>Průmyslový výzkum v případě účinné spolupráce</w:t>
            </w:r>
          </w:p>
        </w:tc>
        <w:tc>
          <w:tcPr>
            <w:tcW w:w="143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80 %</w:t>
            </w:r>
          </w:p>
        </w:tc>
        <w:tc>
          <w:tcPr>
            <w:tcW w:w="1561"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75 %</w:t>
            </w:r>
          </w:p>
        </w:tc>
        <w:tc>
          <w:tcPr>
            <w:tcW w:w="1406"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65 %</w:t>
            </w:r>
          </w:p>
        </w:tc>
        <w:tc>
          <w:tcPr>
            <w:tcW w:w="177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100 %</w:t>
            </w:r>
          </w:p>
        </w:tc>
      </w:tr>
      <w:tr w:rsidR="00DE7403">
        <w:trPr>
          <w:trHeight w:val="489"/>
          <w:jc w:val="center"/>
        </w:trPr>
        <w:tc>
          <w:tcPr>
            <w:tcW w:w="331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ind w:left="113"/>
              <w:jc w:val="left"/>
              <w:rPr>
                <w:rFonts w:ascii="Arial" w:eastAsia="Arial" w:hAnsi="Arial" w:cs="Arial"/>
              </w:rPr>
            </w:pPr>
            <w:r>
              <w:rPr>
                <w:rFonts w:ascii="Arial" w:eastAsia="Arial" w:hAnsi="Arial" w:cs="Arial"/>
              </w:rPr>
              <w:t>Experimentální vývoj</w:t>
            </w:r>
          </w:p>
        </w:tc>
        <w:tc>
          <w:tcPr>
            <w:tcW w:w="143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45 %</w:t>
            </w:r>
          </w:p>
        </w:tc>
        <w:tc>
          <w:tcPr>
            <w:tcW w:w="1561"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35 %</w:t>
            </w:r>
          </w:p>
        </w:tc>
        <w:tc>
          <w:tcPr>
            <w:tcW w:w="1406"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25 %</w:t>
            </w:r>
          </w:p>
        </w:tc>
        <w:tc>
          <w:tcPr>
            <w:tcW w:w="177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100 %</w:t>
            </w:r>
          </w:p>
        </w:tc>
      </w:tr>
      <w:tr w:rsidR="00DE7403">
        <w:trPr>
          <w:trHeight w:val="535"/>
          <w:jc w:val="center"/>
        </w:trPr>
        <w:tc>
          <w:tcPr>
            <w:tcW w:w="331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ind w:left="113"/>
              <w:jc w:val="left"/>
              <w:rPr>
                <w:rFonts w:ascii="Arial" w:eastAsia="Arial" w:hAnsi="Arial" w:cs="Arial"/>
              </w:rPr>
            </w:pPr>
            <w:r>
              <w:rPr>
                <w:rFonts w:ascii="Arial" w:eastAsia="Arial" w:hAnsi="Arial" w:cs="Arial"/>
              </w:rPr>
              <w:t>Experimentální vývoj</w:t>
            </w:r>
          </w:p>
          <w:p w:rsidR="00DE7403" w:rsidRDefault="000D77FB">
            <w:pPr>
              <w:widowControl w:val="0"/>
              <w:spacing w:before="0"/>
              <w:ind w:left="113"/>
              <w:jc w:val="left"/>
              <w:rPr>
                <w:rFonts w:ascii="Arial" w:eastAsia="Arial" w:hAnsi="Arial" w:cs="Arial"/>
              </w:rPr>
            </w:pPr>
            <w:r>
              <w:rPr>
                <w:rFonts w:ascii="Arial" w:eastAsia="Arial" w:hAnsi="Arial" w:cs="Arial"/>
              </w:rPr>
              <w:t>v případě účinné spolupráce</w:t>
            </w:r>
          </w:p>
        </w:tc>
        <w:tc>
          <w:tcPr>
            <w:tcW w:w="143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60 %</w:t>
            </w:r>
          </w:p>
        </w:tc>
        <w:tc>
          <w:tcPr>
            <w:tcW w:w="1561"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50 %</w:t>
            </w:r>
          </w:p>
        </w:tc>
        <w:tc>
          <w:tcPr>
            <w:tcW w:w="1406"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40 %</w:t>
            </w:r>
          </w:p>
        </w:tc>
        <w:tc>
          <w:tcPr>
            <w:tcW w:w="177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100 %</w:t>
            </w:r>
          </w:p>
        </w:tc>
      </w:tr>
      <w:tr w:rsidR="00DE7403">
        <w:trPr>
          <w:trHeight w:val="535"/>
          <w:jc w:val="center"/>
        </w:trPr>
        <w:tc>
          <w:tcPr>
            <w:tcW w:w="331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ind w:left="113"/>
              <w:jc w:val="left"/>
              <w:rPr>
                <w:rFonts w:ascii="Arial" w:eastAsia="Arial" w:hAnsi="Arial" w:cs="Arial"/>
              </w:rPr>
            </w:pPr>
            <w:r>
              <w:rPr>
                <w:rFonts w:ascii="Arial" w:eastAsia="Arial" w:hAnsi="Arial" w:cs="Arial"/>
              </w:rPr>
              <w:t>Inovace určená MSP</w:t>
            </w:r>
          </w:p>
        </w:tc>
        <w:tc>
          <w:tcPr>
            <w:tcW w:w="143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50 %</w:t>
            </w:r>
          </w:p>
        </w:tc>
        <w:tc>
          <w:tcPr>
            <w:tcW w:w="1561"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50 %</w:t>
            </w:r>
          </w:p>
        </w:tc>
        <w:tc>
          <w:tcPr>
            <w:tcW w:w="1406"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N/A</w:t>
            </w:r>
          </w:p>
        </w:tc>
        <w:tc>
          <w:tcPr>
            <w:tcW w:w="177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N/A</w:t>
            </w:r>
          </w:p>
        </w:tc>
      </w:tr>
      <w:tr w:rsidR="00DE7403">
        <w:trPr>
          <w:trHeight w:val="535"/>
          <w:jc w:val="center"/>
        </w:trPr>
        <w:tc>
          <w:tcPr>
            <w:tcW w:w="331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ind w:left="113"/>
              <w:jc w:val="left"/>
              <w:rPr>
                <w:rFonts w:ascii="Arial" w:eastAsia="Arial" w:hAnsi="Arial" w:cs="Arial"/>
              </w:rPr>
            </w:pPr>
            <w:r>
              <w:rPr>
                <w:rFonts w:ascii="Arial" w:eastAsia="Arial" w:hAnsi="Arial" w:cs="Arial"/>
              </w:rPr>
              <w:t>Inovace postupů a organizační inovace</w:t>
            </w:r>
          </w:p>
        </w:tc>
        <w:tc>
          <w:tcPr>
            <w:tcW w:w="143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50 %</w:t>
            </w:r>
          </w:p>
        </w:tc>
        <w:tc>
          <w:tcPr>
            <w:tcW w:w="1561"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50 %</w:t>
            </w:r>
          </w:p>
        </w:tc>
        <w:tc>
          <w:tcPr>
            <w:tcW w:w="1406"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15 %***</w:t>
            </w:r>
          </w:p>
        </w:tc>
        <w:tc>
          <w:tcPr>
            <w:tcW w:w="1777" w:type="dxa"/>
            <w:tcBorders>
              <w:top w:val="single" w:sz="6" w:space="0" w:color="000000"/>
              <w:left w:val="single" w:sz="6" w:space="0" w:color="000000"/>
              <w:bottom w:val="single" w:sz="6" w:space="0" w:color="000000"/>
              <w:right w:val="single" w:sz="6" w:space="0" w:color="000000"/>
            </w:tcBorders>
            <w:vAlign w:val="center"/>
          </w:tcPr>
          <w:p w:rsidR="00DE7403" w:rsidRDefault="000D77FB">
            <w:pPr>
              <w:widowControl w:val="0"/>
              <w:spacing w:before="0"/>
              <w:jc w:val="center"/>
              <w:rPr>
                <w:rFonts w:ascii="Arial" w:eastAsia="Arial" w:hAnsi="Arial" w:cs="Arial"/>
              </w:rPr>
            </w:pPr>
            <w:r>
              <w:rPr>
                <w:rFonts w:ascii="Arial" w:eastAsia="Arial" w:hAnsi="Arial" w:cs="Arial"/>
              </w:rPr>
              <w:t>N/A</w:t>
            </w:r>
          </w:p>
        </w:tc>
      </w:tr>
    </w:tbl>
    <w:p w:rsidR="00DE7403" w:rsidRDefault="000D77FB">
      <w:pPr>
        <w:widowControl w:val="0"/>
        <w:spacing w:before="0" w:line="240" w:lineRule="auto"/>
        <w:rPr>
          <w:rFonts w:ascii="Arial" w:eastAsia="Arial" w:hAnsi="Arial" w:cs="Arial"/>
          <w:sz w:val="16"/>
          <w:szCs w:val="16"/>
        </w:rPr>
      </w:pPr>
      <w:r>
        <w:rPr>
          <w:rFonts w:ascii="Arial" w:eastAsia="Arial" w:hAnsi="Arial" w:cs="Arial"/>
          <w:b/>
          <w:sz w:val="16"/>
          <w:szCs w:val="16"/>
        </w:rPr>
        <w:t xml:space="preserve">Poznámka: </w:t>
      </w:r>
      <w:r>
        <w:rPr>
          <w:rFonts w:ascii="Arial" w:eastAsia="Arial" w:hAnsi="Arial" w:cs="Arial"/>
          <w:sz w:val="16"/>
          <w:szCs w:val="16"/>
        </w:rPr>
        <w:t xml:space="preserve">* Malý a střední podnik je vymezen podle definice uvedené v článku 2 odst. 2 a potažmo v Příloze 1 Nařízení a velký podnik je vymezen podle definice v článku 2 odst. 24 Nařízení. </w:t>
      </w:r>
    </w:p>
    <w:p w:rsidR="00DE7403" w:rsidRDefault="000D77FB">
      <w:pPr>
        <w:widowControl w:val="0"/>
        <w:spacing w:before="0" w:line="240" w:lineRule="auto"/>
        <w:rPr>
          <w:rFonts w:ascii="Arial" w:eastAsia="Arial" w:hAnsi="Arial" w:cs="Arial"/>
          <w:sz w:val="16"/>
          <w:szCs w:val="16"/>
        </w:rPr>
      </w:pPr>
      <w:r>
        <w:rPr>
          <w:rFonts w:ascii="Arial" w:eastAsia="Arial" w:hAnsi="Arial" w:cs="Arial"/>
          <w:sz w:val="16"/>
          <w:szCs w:val="16"/>
        </w:rPr>
        <w:t xml:space="preserve">** Výzkumná organizace je vymezena podle čl. 2 odst. 83 Nařízení. Uvedená intenzita podpory je určena pro nehospodářské činnosti výzkumných organizací (např. dle odst. 20 Rámce). </w:t>
      </w:r>
    </w:p>
    <w:p w:rsidR="00DE7403" w:rsidRDefault="000D77FB">
      <w:pPr>
        <w:widowControl w:val="0"/>
        <w:spacing w:before="0" w:line="240" w:lineRule="auto"/>
        <w:rPr>
          <w:rFonts w:ascii="Arial" w:eastAsia="Arial" w:hAnsi="Arial" w:cs="Arial"/>
          <w:sz w:val="16"/>
          <w:szCs w:val="16"/>
        </w:rPr>
      </w:pPr>
      <w:r>
        <w:rPr>
          <w:rFonts w:ascii="Arial" w:eastAsia="Arial" w:hAnsi="Arial" w:cs="Arial"/>
          <w:sz w:val="16"/>
          <w:szCs w:val="16"/>
        </w:rPr>
        <w:t>***Podpora velkým podnikům na inovace postupů a organizační inovace je slučitelná pouze za podmínek uvedených v čl. 29 odst. 2 Nařízení.</w:t>
      </w:r>
    </w:p>
    <w:p w:rsidR="00DE7403" w:rsidRDefault="000D77FB">
      <w:pPr>
        <w:widowControl w:val="0"/>
        <w:spacing w:before="0" w:line="240" w:lineRule="auto"/>
        <w:rPr>
          <w:rFonts w:ascii="Arial" w:eastAsia="Arial" w:hAnsi="Arial" w:cs="Arial"/>
          <w:sz w:val="16"/>
          <w:szCs w:val="16"/>
        </w:rPr>
      </w:pPr>
      <w:r>
        <w:rPr>
          <w:rFonts w:ascii="Arial" w:eastAsia="Arial" w:hAnsi="Arial" w:cs="Arial"/>
          <w:sz w:val="16"/>
          <w:szCs w:val="16"/>
        </w:rPr>
        <w:t>Zdroj: Nařízení</w:t>
      </w:r>
    </w:p>
    <w:p w:rsidR="00DE7403" w:rsidRDefault="000D77FB">
      <w:pPr>
        <w:pStyle w:val="Nadpis1"/>
        <w:numPr>
          <w:ilvl w:val="0"/>
          <w:numId w:val="10"/>
        </w:numPr>
        <w:ind w:hanging="283"/>
      </w:pPr>
      <w:bookmarkStart w:id="17" w:name="_44sinio" w:colFirst="0" w:colLast="0"/>
      <w:bookmarkEnd w:id="17"/>
      <w:r>
        <w:lastRenderedPageBreak/>
        <w:t xml:space="preserve">ZPŮSOB A OBECNÁ KRITÉRIA HODNOCENÍ PROJEKTŮ </w:t>
      </w:r>
    </w:p>
    <w:p w:rsidR="00DE7403" w:rsidRDefault="000D77FB">
      <w:pPr>
        <w:pStyle w:val="Nadpis2"/>
      </w:pPr>
      <w:r>
        <w:t>Podprogram 1: Podpora českých uchazečů ve výzvách EDF</w:t>
      </w:r>
    </w:p>
    <w:p w:rsidR="00DE7403" w:rsidRDefault="000D77FB">
      <w:pPr>
        <w:spacing w:before="0" w:after="120" w:line="360" w:lineRule="auto"/>
        <w:rPr>
          <w:rFonts w:ascii="Arial" w:eastAsia="Arial" w:hAnsi="Arial" w:cs="Arial"/>
        </w:rPr>
      </w:pPr>
      <w:r>
        <w:rPr>
          <w:rFonts w:ascii="Arial" w:eastAsia="Arial" w:hAnsi="Arial" w:cs="Arial"/>
        </w:rPr>
        <w:t xml:space="preserve">Hodnocení </w:t>
      </w:r>
      <w:r>
        <w:rPr>
          <w:rFonts w:ascii="Arial" w:eastAsia="Arial" w:hAnsi="Arial" w:cs="Arial"/>
          <w:b/>
        </w:rPr>
        <w:t xml:space="preserve">projektů v PP1 </w:t>
      </w:r>
      <w:r>
        <w:rPr>
          <w:rFonts w:ascii="Arial" w:eastAsia="Arial" w:hAnsi="Arial" w:cs="Arial"/>
        </w:rPr>
        <w:t>nebude prováděno. Podpora bude poskytnuta na základě § 7 odst. 4 zákona o podpoře výzkumu, experimentálního vývoje a inovací,</w:t>
      </w:r>
      <w:r>
        <w:rPr>
          <w:rFonts w:ascii="Arial" w:eastAsia="Arial" w:hAnsi="Arial" w:cs="Arial"/>
          <w:color w:val="007AC3"/>
          <w:highlight w:val="white"/>
        </w:rPr>
        <w:t xml:space="preserve"> </w:t>
      </w:r>
      <w:r>
        <w:rPr>
          <w:rFonts w:ascii="Arial" w:eastAsia="Arial" w:hAnsi="Arial" w:cs="Arial"/>
        </w:rPr>
        <w:t>kde výběr projektů proběhl na mezinárodní úrovni. U těch projektů, které byly vybrány na mezinárodní úrovni, bude v rámci národní výzvy provedena pouze kontrola způsobilosti českého uchazeče a kontrola souladu návrhu projektu s PP1</w:t>
      </w:r>
      <w:r>
        <w:rPr>
          <w:rFonts w:ascii="Arial" w:eastAsia="Arial" w:hAnsi="Arial" w:cs="Arial"/>
          <w:highlight w:val="white"/>
        </w:rPr>
        <w:t xml:space="preserve">. </w:t>
      </w:r>
      <w:r>
        <w:rPr>
          <w:rFonts w:ascii="Arial" w:eastAsia="Arial" w:hAnsi="Arial" w:cs="Arial"/>
        </w:rPr>
        <w:t>Příjemce podá poskytovateli žádost o poskytnutí podpory dle § 14 rozpočtových pravidel, a to pro část nákladů českého účastníka.</w:t>
      </w:r>
      <w:r>
        <w:rPr>
          <w:rFonts w:ascii="Arial" w:eastAsia="Arial" w:hAnsi="Arial" w:cs="Arial"/>
          <w:sz w:val="20"/>
          <w:szCs w:val="20"/>
          <w:highlight w:val="white"/>
        </w:rPr>
        <w:t xml:space="preserve"> </w:t>
      </w:r>
      <w:r>
        <w:rPr>
          <w:rFonts w:ascii="Arial" w:eastAsia="Arial" w:hAnsi="Arial" w:cs="Arial"/>
        </w:rPr>
        <w:t>Hodnocení bude převzato z mezinárodní úrovně, kde bylo provedeno skupinou nezávislých odborníků v souladu s čl. 26. Nařízení o EDF, kde byly hodnoceny oblasti zmíněné v čl. 12 Nařízení o EDF. Projektem se rozumí celý obsah projektové žádosti podané do EDF.</w:t>
      </w:r>
      <w:r>
        <w:rPr>
          <w:rFonts w:ascii="Arial" w:eastAsia="Arial" w:hAnsi="Arial" w:cs="Arial"/>
          <w:sz w:val="20"/>
          <w:szCs w:val="20"/>
          <w:highlight w:val="white"/>
        </w:rPr>
        <w:t xml:space="preserve"> </w:t>
      </w:r>
    </w:p>
    <w:p w:rsidR="00DE7403" w:rsidRDefault="000D77FB">
      <w:pPr>
        <w:spacing w:before="0" w:after="120" w:line="360" w:lineRule="auto"/>
        <w:rPr>
          <w:rFonts w:ascii="Arial" w:eastAsia="Arial" w:hAnsi="Arial" w:cs="Arial"/>
        </w:rPr>
      </w:pPr>
      <w:r>
        <w:rPr>
          <w:rFonts w:ascii="Arial" w:eastAsia="Arial" w:hAnsi="Arial" w:cs="Arial"/>
        </w:rPr>
        <w:t>Subjekt v národní výzvě musí navíc prokázat, že:</w:t>
      </w:r>
    </w:p>
    <w:p w:rsidR="00DE7403" w:rsidRDefault="000D77FB">
      <w:pPr>
        <w:numPr>
          <w:ilvl w:val="0"/>
          <w:numId w:val="12"/>
        </w:numPr>
        <w:pBdr>
          <w:top w:val="nil"/>
          <w:left w:val="nil"/>
          <w:bottom w:val="nil"/>
          <w:right w:val="nil"/>
          <w:between w:val="nil"/>
        </w:pBdr>
        <w:spacing w:before="0" w:line="360" w:lineRule="auto"/>
        <w:ind w:left="993"/>
        <w:rPr>
          <w:rFonts w:ascii="Arial" w:eastAsia="Arial" w:hAnsi="Arial" w:cs="Arial"/>
          <w:color w:val="000000"/>
        </w:rPr>
      </w:pPr>
      <w:bookmarkStart w:id="18" w:name="_2jxsxqh" w:colFirst="0" w:colLast="0"/>
      <w:bookmarkEnd w:id="18"/>
      <w:r>
        <w:rPr>
          <w:rFonts w:ascii="Arial" w:eastAsia="Arial" w:hAnsi="Arial" w:cs="Arial"/>
          <w:color w:val="000000"/>
        </w:rPr>
        <w:t>předložený projekt vzešel z výběru projektů na mezinárodní úrovni a byl vybrán k podpoře (vše v rámci EDF);</w:t>
      </w:r>
    </w:p>
    <w:p w:rsidR="00DE7403" w:rsidRDefault="000D77FB">
      <w:pPr>
        <w:numPr>
          <w:ilvl w:val="0"/>
          <w:numId w:val="12"/>
        </w:numPr>
        <w:pBdr>
          <w:top w:val="nil"/>
          <w:left w:val="nil"/>
          <w:bottom w:val="nil"/>
          <w:right w:val="nil"/>
          <w:between w:val="nil"/>
        </w:pBdr>
        <w:spacing w:before="0" w:after="120" w:line="360" w:lineRule="auto"/>
        <w:ind w:left="993"/>
        <w:rPr>
          <w:rFonts w:ascii="Arial" w:eastAsia="Arial" w:hAnsi="Arial" w:cs="Arial"/>
          <w:color w:val="000000"/>
        </w:rPr>
      </w:pPr>
      <w:bookmarkStart w:id="19" w:name="_z337ya" w:colFirst="0" w:colLast="0"/>
      <w:bookmarkEnd w:id="19"/>
      <w:r>
        <w:rPr>
          <w:rFonts w:ascii="Arial" w:eastAsia="Arial" w:hAnsi="Arial" w:cs="Arial"/>
          <w:color w:val="000000"/>
        </w:rPr>
        <w:t>od MO ČR obdržel souhlasné stanovisko, že výsledky projektu jsou plně využitelné ve prospěch AČR (Prohlášení o záměru ze strany MO ČR vázané na příjemce).</w:t>
      </w:r>
    </w:p>
    <w:p w:rsidR="00DE7403" w:rsidRDefault="000D77FB">
      <w:pPr>
        <w:pStyle w:val="Nadpis2"/>
      </w:pPr>
      <w:r>
        <w:t>Podprogram 2: Národní veřejné soutěže</w:t>
      </w:r>
    </w:p>
    <w:p w:rsidR="00DE7403" w:rsidRDefault="000D77FB">
      <w:pPr>
        <w:spacing w:before="0" w:after="120" w:line="360" w:lineRule="auto"/>
        <w:rPr>
          <w:rFonts w:ascii="Arial" w:eastAsia="Arial" w:hAnsi="Arial" w:cs="Arial"/>
        </w:rPr>
      </w:pPr>
      <w:r>
        <w:rPr>
          <w:rFonts w:ascii="Arial" w:eastAsia="Arial" w:hAnsi="Arial" w:cs="Arial"/>
          <w:b/>
        </w:rPr>
        <w:t>Národní projekty</w:t>
      </w:r>
      <w:r>
        <w:rPr>
          <w:rFonts w:ascii="Arial" w:eastAsia="Arial" w:hAnsi="Arial" w:cs="Arial"/>
        </w:rPr>
        <w:t xml:space="preserve"> budou hodnoceny v souladu s pravidly stanovenými § 21 zákona o podpoře výzkumu, experimentálního vývoje a inovací. Poskytovatel jmenuje komisi pro přijímání návrhů projektů. Tato komise vyhodnotí dodržení splnění podmínek veřejné soutěže pro podání návrhu projektu daných vyhlášením veřejné soutěže a prokázání způsobilosti hlavního uchazeče a dalších uchazečů.</w:t>
      </w:r>
    </w:p>
    <w:p w:rsidR="00DE7403" w:rsidRDefault="000D77FB">
      <w:pPr>
        <w:spacing w:before="0" w:after="120" w:line="360" w:lineRule="auto"/>
        <w:rPr>
          <w:rFonts w:ascii="Arial" w:eastAsia="Arial" w:hAnsi="Arial" w:cs="Arial"/>
          <w:highlight w:val="red"/>
        </w:rPr>
      </w:pPr>
      <w:r>
        <w:rPr>
          <w:rFonts w:ascii="Arial" w:eastAsia="Arial" w:hAnsi="Arial" w:cs="Arial"/>
        </w:rPr>
        <w:t>O přijetí či nepřijetí návrhu projektu do veřejné soutěže rozhoduje poskytovatel v souladu s § 21 odst. 3 zákona o podpoře výzkumu, experimentálního vývoje a inovací na základě protokolu zpracovaného komisí pro přijímání návrhů projektů, resp. odborným poradním orgánem.</w:t>
      </w:r>
    </w:p>
    <w:p w:rsidR="00DE7403" w:rsidRDefault="000D77FB">
      <w:pPr>
        <w:spacing w:before="0" w:after="120" w:line="360" w:lineRule="auto"/>
        <w:rPr>
          <w:rFonts w:ascii="Arial" w:eastAsia="Arial" w:hAnsi="Arial" w:cs="Arial"/>
        </w:rPr>
      </w:pPr>
      <w:r>
        <w:rPr>
          <w:rFonts w:ascii="Arial" w:eastAsia="Arial" w:hAnsi="Arial" w:cs="Arial"/>
        </w:rPr>
        <w:t>Pro hodnocení návrhů projektů přijatých do veřejné soutěže ustaví poskytovatel odborný poradní orgán. Použitá kritéria pro výběr projektů jsou:</w:t>
      </w:r>
    </w:p>
    <w:p w:rsidR="00DE7403" w:rsidRDefault="000D77FB">
      <w:pPr>
        <w:numPr>
          <w:ilvl w:val="0"/>
          <w:numId w:val="14"/>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splnění podmínek veřejné soutěže;</w:t>
      </w:r>
    </w:p>
    <w:p w:rsidR="00DE7403" w:rsidRDefault="000D77FB">
      <w:pPr>
        <w:numPr>
          <w:ilvl w:val="0"/>
          <w:numId w:val="14"/>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potřebnost projektu;</w:t>
      </w:r>
    </w:p>
    <w:p w:rsidR="00DE7403" w:rsidRDefault="000D77FB">
      <w:pPr>
        <w:numPr>
          <w:ilvl w:val="0"/>
          <w:numId w:val="14"/>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proveditelnost a postup realizace projektu;</w:t>
      </w:r>
    </w:p>
    <w:p w:rsidR="00DE7403" w:rsidRDefault="000D77FB">
      <w:pPr>
        <w:numPr>
          <w:ilvl w:val="0"/>
          <w:numId w:val="14"/>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očekávané výsledky a dopady projektu.</w:t>
      </w:r>
    </w:p>
    <w:p w:rsidR="00DE7403" w:rsidRDefault="000D77FB">
      <w:pPr>
        <w:spacing w:before="0" w:after="120" w:line="360" w:lineRule="auto"/>
        <w:rPr>
          <w:rFonts w:ascii="Arial" w:eastAsia="Arial" w:hAnsi="Arial" w:cs="Arial"/>
        </w:rPr>
      </w:pPr>
      <w:r>
        <w:rPr>
          <w:rFonts w:ascii="Arial" w:eastAsia="Arial" w:hAnsi="Arial" w:cs="Arial"/>
        </w:rPr>
        <w:t xml:space="preserve">Podrobnější informace o podmínkách konkrétní veřejné soutěže a dalších náležitostech stanoví zadávací dokumentace k příslušné veřejné soutěži. </w:t>
      </w:r>
    </w:p>
    <w:p w:rsidR="00DE7403" w:rsidRDefault="000D77FB">
      <w:pPr>
        <w:spacing w:before="0" w:after="120" w:line="360" w:lineRule="auto"/>
        <w:rPr>
          <w:rFonts w:ascii="Arial" w:eastAsia="Arial" w:hAnsi="Arial" w:cs="Arial"/>
        </w:rPr>
      </w:pPr>
      <w:r>
        <w:rPr>
          <w:rFonts w:ascii="Arial" w:eastAsia="Arial" w:hAnsi="Arial" w:cs="Arial"/>
        </w:rPr>
        <w:lastRenderedPageBreak/>
        <w:t>Pro hodnocení případných duplicit, návazností, komplementarit a synergií mezi různými již realizovanými projekty a návrhy projektů využije poskytovatel datové a analytické nástroje. Veřejné soutěže budou nastaveny a realizovány tak, aby nedocházelo k překryvům s Fondy politiky soudržnosti, k tomu bude při přípravě veřejných soutěží probíhat spolupráce s relevantními řídícími orgány.</w:t>
      </w:r>
    </w:p>
    <w:p w:rsidR="00DE7403" w:rsidRDefault="000D77FB">
      <w:pPr>
        <w:spacing w:before="0" w:after="120" w:line="360" w:lineRule="auto"/>
        <w:rPr>
          <w:rFonts w:ascii="Arial" w:eastAsia="Arial" w:hAnsi="Arial" w:cs="Arial"/>
        </w:rPr>
      </w:pPr>
      <w:r>
        <w:rPr>
          <w:rFonts w:ascii="Arial" w:eastAsia="Arial" w:hAnsi="Arial" w:cs="Arial"/>
        </w:rPr>
        <w:t xml:space="preserve">V rámci PP2 může být vyžadováno souhlasné stanovisko, že výsledky projektu jsou plně využitelné ve prospěch AČR (Prohlášení o záměru ze strany MO ČR vázané na příjemce). Konkrétní potřeba prohlášení o záměru bude specifikována v rámci zadávací dokumentaci dané veřejné soutěže. </w:t>
      </w:r>
    </w:p>
    <w:p w:rsidR="00DE7403" w:rsidRDefault="000D77FB">
      <w:pPr>
        <w:pStyle w:val="Nadpis1"/>
        <w:numPr>
          <w:ilvl w:val="0"/>
          <w:numId w:val="10"/>
        </w:numPr>
        <w:ind w:hanging="283"/>
      </w:pPr>
      <w:bookmarkStart w:id="20" w:name="_3j2qqm3" w:colFirst="0" w:colLast="0"/>
      <w:bookmarkEnd w:id="20"/>
      <w:r>
        <w:t>HODNOCENÍ PROGRAMU</w:t>
      </w:r>
    </w:p>
    <w:p w:rsidR="00DE7403" w:rsidRDefault="000D77FB">
      <w:pPr>
        <w:spacing w:before="0" w:after="120" w:line="360" w:lineRule="auto"/>
        <w:rPr>
          <w:rFonts w:ascii="Arial" w:eastAsia="Arial" w:hAnsi="Arial" w:cs="Arial"/>
        </w:rPr>
      </w:pPr>
      <w:r>
        <w:rPr>
          <w:rFonts w:ascii="Arial" w:eastAsia="Arial" w:hAnsi="Arial" w:cs="Arial"/>
        </w:rPr>
        <w:t>Hodnocení programů účelové podpory probíhá ve všech životních cyklech daného programu – při koncipování návrhu programu, v jeho průběhu i po jeho skončení. Následující kapitola představuje jednotlivé druhy hodnocení (která budou ve spojení s programem PRODEF realizována) a též základní postupy hodnocení programu – stanovení hodnocení programu, harmonogram plánovaných hodnocení.</w:t>
      </w:r>
    </w:p>
    <w:p w:rsidR="00DE7403" w:rsidRDefault="000D77FB">
      <w:pPr>
        <w:pStyle w:val="Nadpis2"/>
      </w:pPr>
      <w:bookmarkStart w:id="21" w:name="_1y810tw" w:colFirst="0" w:colLast="0"/>
      <w:bookmarkEnd w:id="21"/>
      <w:r>
        <w:t>Druhy prováděného hodnocení</w:t>
      </w:r>
    </w:p>
    <w:p w:rsidR="00DE7403" w:rsidRDefault="000D77FB">
      <w:pPr>
        <w:spacing w:before="0" w:after="120" w:line="360" w:lineRule="auto"/>
        <w:rPr>
          <w:rFonts w:ascii="Arial" w:eastAsia="Arial" w:hAnsi="Arial" w:cs="Arial"/>
          <w:b/>
        </w:rPr>
      </w:pPr>
      <w:r>
        <w:rPr>
          <w:rFonts w:ascii="Arial" w:eastAsia="Arial" w:hAnsi="Arial" w:cs="Arial"/>
        </w:rPr>
        <w:t>Hodnocení se zaměří na samotný program, jeho veřejné soutěže i podpořené projekty, k čemuž budou využity následující typy hodnocení.</w:t>
      </w:r>
    </w:p>
    <w:p w:rsidR="00DE7403" w:rsidRDefault="000D77FB">
      <w:pPr>
        <w:pStyle w:val="Nadpis3"/>
        <w:rPr>
          <w:rFonts w:ascii="Arial" w:eastAsia="Arial" w:hAnsi="Arial" w:cs="Arial"/>
        </w:rPr>
      </w:pPr>
      <w:r>
        <w:rPr>
          <w:rFonts w:ascii="Arial" w:eastAsia="Arial" w:hAnsi="Arial" w:cs="Arial"/>
        </w:rPr>
        <w:t>Ex-ante hodnocení programu PRODEF</w:t>
      </w:r>
    </w:p>
    <w:p w:rsidR="00DE7403" w:rsidRDefault="000D77FB">
      <w:pPr>
        <w:spacing w:before="0" w:after="120" w:line="360" w:lineRule="auto"/>
        <w:rPr>
          <w:rFonts w:ascii="Arial" w:eastAsia="Arial" w:hAnsi="Arial" w:cs="Arial"/>
        </w:rPr>
      </w:pPr>
      <w:r>
        <w:rPr>
          <w:rFonts w:ascii="Arial" w:eastAsia="Arial" w:hAnsi="Arial" w:cs="Arial"/>
        </w:rPr>
        <w:t>Cílem ex-ante hodnocení bylo zhodnocení promyšlenosti (připravovaného) programu PRODEF. Hodnocení se zaměřilo na tři okruhy:</w:t>
      </w:r>
    </w:p>
    <w:p w:rsidR="00DE7403" w:rsidRDefault="000D77FB">
      <w:pPr>
        <w:numPr>
          <w:ilvl w:val="0"/>
          <w:numId w:val="1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zaměření a cíle programu;</w:t>
      </w:r>
    </w:p>
    <w:p w:rsidR="00DE7403" w:rsidRDefault="000D77FB">
      <w:pPr>
        <w:numPr>
          <w:ilvl w:val="0"/>
          <w:numId w:val="16"/>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výsledky a výstupy programu;</w:t>
      </w:r>
    </w:p>
    <w:p w:rsidR="00DE7403" w:rsidRDefault="000D77FB">
      <w:pPr>
        <w:numPr>
          <w:ilvl w:val="0"/>
          <w:numId w:val="16"/>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nastavení indikátorové soustavy programu.</w:t>
      </w:r>
    </w:p>
    <w:p w:rsidR="00DE7403" w:rsidRDefault="000D77FB">
      <w:pPr>
        <w:spacing w:before="0" w:after="120" w:line="360" w:lineRule="auto"/>
        <w:rPr>
          <w:rFonts w:ascii="Arial" w:eastAsia="Arial" w:hAnsi="Arial" w:cs="Arial"/>
        </w:rPr>
      </w:pPr>
      <w:r>
        <w:rPr>
          <w:rFonts w:ascii="Arial" w:eastAsia="Arial" w:hAnsi="Arial" w:cs="Arial"/>
        </w:rPr>
        <w:t>Výstupem hodnocení byla závěrečná zpráva a přílohy – analýza podkladových dokumentů a vyhodnocení (případného) terénního šetření. Dále byl přiložen vyplněný kontrolní list, který dle dokumentu Postup Rady při hodnocení návrhů programů účelové podpory a skupin grantových projektů přikládá poskytovatel k posouzení s návrhem programu Radě pro výzkum, vývoj a inovace.</w:t>
      </w:r>
    </w:p>
    <w:p w:rsidR="00DE7403" w:rsidRDefault="000D77FB">
      <w:pPr>
        <w:pStyle w:val="Nadpis3"/>
        <w:rPr>
          <w:rFonts w:ascii="Arial" w:eastAsia="Arial" w:hAnsi="Arial" w:cs="Arial"/>
        </w:rPr>
      </w:pPr>
      <w:bookmarkStart w:id="22" w:name="_4i7ojhp" w:colFirst="0" w:colLast="0"/>
      <w:bookmarkEnd w:id="22"/>
      <w:r>
        <w:rPr>
          <w:rFonts w:ascii="Arial" w:eastAsia="Arial" w:hAnsi="Arial" w:cs="Arial"/>
        </w:rPr>
        <w:t>Průběžné hodnocení programu PRODEF</w:t>
      </w:r>
    </w:p>
    <w:p w:rsidR="00DE7403" w:rsidRDefault="000D77FB">
      <w:pPr>
        <w:spacing w:before="0" w:after="120" w:line="360" w:lineRule="auto"/>
        <w:rPr>
          <w:rFonts w:ascii="Arial" w:eastAsia="Arial" w:hAnsi="Arial" w:cs="Arial"/>
        </w:rPr>
      </w:pPr>
      <w:bookmarkStart w:id="23" w:name="_2xcytpi" w:colFirst="0" w:colLast="0"/>
      <w:bookmarkEnd w:id="23"/>
      <w:r>
        <w:rPr>
          <w:rFonts w:ascii="Arial" w:eastAsia="Arial" w:hAnsi="Arial" w:cs="Arial"/>
        </w:rPr>
        <w:t xml:space="preserve">Průběžné hodnocení bude sloužit k zefektivnění implementace programu. Vzhledem k jeho finančnímu i obsahovému rozsahu je toto hodnocení důležité pro průběžné hodnocení implementace, nastavených procesů, ale i pro sledování průběžného naplňování cílů programu tak, aby mohly být veřejné soutěže efektivněji cíleny. Důraz bude kladen na poskytnutí relevantních </w:t>
      </w:r>
      <w:r>
        <w:rPr>
          <w:rFonts w:ascii="Arial" w:eastAsia="Arial" w:hAnsi="Arial" w:cs="Arial"/>
        </w:rPr>
        <w:lastRenderedPageBreak/>
        <w:t>a realizovatelných doporučení, která budou moci být zohledněna právě pro vyhlašování veřejných soutěží a celkové implementaci programu.</w:t>
      </w:r>
    </w:p>
    <w:p w:rsidR="00DE7403" w:rsidRDefault="000D77FB">
      <w:pPr>
        <w:spacing w:before="0" w:after="120" w:line="360" w:lineRule="auto"/>
        <w:rPr>
          <w:rFonts w:ascii="Arial" w:eastAsia="Arial" w:hAnsi="Arial" w:cs="Arial"/>
        </w:rPr>
      </w:pPr>
      <w:r>
        <w:rPr>
          <w:rFonts w:ascii="Arial" w:eastAsia="Arial" w:hAnsi="Arial" w:cs="Arial"/>
        </w:rPr>
        <w:t>Za časového hlediska budou probíhat dva typy průběžného hodnocení:</w:t>
      </w:r>
    </w:p>
    <w:p w:rsidR="00DE7403" w:rsidRDefault="000D77FB">
      <w:pPr>
        <w:numPr>
          <w:ilvl w:val="0"/>
          <w:numId w:val="9"/>
        </w:numPr>
        <w:pBdr>
          <w:top w:val="nil"/>
          <w:left w:val="nil"/>
          <w:bottom w:val="nil"/>
          <w:right w:val="nil"/>
          <w:between w:val="nil"/>
        </w:pBdr>
        <w:spacing w:before="0" w:line="360" w:lineRule="auto"/>
        <w:ind w:left="1134"/>
        <w:rPr>
          <w:rFonts w:ascii="Arial" w:eastAsia="Arial" w:hAnsi="Arial" w:cs="Arial"/>
          <w:color w:val="000000"/>
        </w:rPr>
      </w:pPr>
      <w:r>
        <w:rPr>
          <w:rFonts w:ascii="Arial" w:eastAsia="Arial" w:hAnsi="Arial" w:cs="Arial"/>
          <w:color w:val="000000"/>
        </w:rPr>
        <w:t>zjednodušené průběžné hodnocení (monitoring) prováděné po ukončení každé veřejné soutěže, které provede Ministerstvo obrany ve spolupráci s Technologickou agenturou ČR;</w:t>
      </w:r>
    </w:p>
    <w:p w:rsidR="00DE7403" w:rsidRDefault="000D77FB">
      <w:pPr>
        <w:numPr>
          <w:ilvl w:val="0"/>
          <w:numId w:val="9"/>
        </w:numPr>
        <w:pBdr>
          <w:top w:val="nil"/>
          <w:left w:val="nil"/>
          <w:bottom w:val="nil"/>
          <w:right w:val="nil"/>
          <w:between w:val="nil"/>
        </w:pBdr>
        <w:spacing w:before="0" w:after="120" w:line="360" w:lineRule="auto"/>
        <w:ind w:left="1134"/>
        <w:rPr>
          <w:rFonts w:ascii="Arial" w:eastAsia="Arial" w:hAnsi="Arial" w:cs="Arial"/>
          <w:color w:val="000000"/>
        </w:rPr>
      </w:pPr>
      <w:r>
        <w:rPr>
          <w:rFonts w:ascii="Arial" w:eastAsia="Arial" w:hAnsi="Arial" w:cs="Arial"/>
          <w:color w:val="000000"/>
        </w:rPr>
        <w:t>plnohodnotné průběžné hodnocení (tj. komplexnější) prováděné dvakrát v průběhu realizace programu.</w:t>
      </w:r>
    </w:p>
    <w:p w:rsidR="00DE7403" w:rsidRDefault="000D77FB">
      <w:pPr>
        <w:pStyle w:val="Nadpis3"/>
        <w:rPr>
          <w:rFonts w:ascii="Arial" w:eastAsia="Arial" w:hAnsi="Arial" w:cs="Arial"/>
        </w:rPr>
      </w:pPr>
      <w:bookmarkStart w:id="24" w:name="_1ci93xb" w:colFirst="0" w:colLast="0"/>
      <w:bookmarkEnd w:id="24"/>
      <w:r>
        <w:rPr>
          <w:rFonts w:ascii="Arial" w:eastAsia="Arial" w:hAnsi="Arial" w:cs="Arial"/>
        </w:rPr>
        <w:t>Závěrečné hodnocení programu PRODEF</w:t>
      </w:r>
    </w:p>
    <w:p w:rsidR="00DE7403" w:rsidRDefault="000D77FB">
      <w:pPr>
        <w:spacing w:before="0" w:after="120" w:line="360" w:lineRule="auto"/>
        <w:rPr>
          <w:rFonts w:ascii="Arial" w:eastAsia="Arial" w:hAnsi="Arial" w:cs="Arial"/>
        </w:rPr>
      </w:pPr>
      <w:r>
        <w:rPr>
          <w:rFonts w:ascii="Arial" w:eastAsia="Arial" w:hAnsi="Arial" w:cs="Arial"/>
        </w:rPr>
        <w:t>Závěrečné hodnocení bude vycházet z informací získaných monitorováním jeho průběhu a z průběžných hodnocení. Závěrečné hodnocení programu PRODEF bude založeno na vyhodnocení naplnění indikátorů. Hodnocení bude vycházet z modelu intervenční logiky programu, kdy bude posuzována míra naplnění jednotlivých cílů a fungování předpokládaných mechanismů a změn, které měly nastat.</w:t>
      </w:r>
    </w:p>
    <w:p w:rsidR="00DE7403" w:rsidRDefault="000D77FB">
      <w:pPr>
        <w:spacing w:before="0" w:after="120" w:line="360" w:lineRule="auto"/>
        <w:rPr>
          <w:rFonts w:ascii="Arial" w:eastAsia="Arial" w:hAnsi="Arial" w:cs="Arial"/>
        </w:rPr>
      </w:pPr>
      <w:r>
        <w:rPr>
          <w:rFonts w:ascii="Arial" w:eastAsia="Arial" w:hAnsi="Arial" w:cs="Arial"/>
        </w:rPr>
        <w:t>V rámci závěrečného hodnocení by měly být, nad rámec programových indikátorů, vyhodnoceny také specifické cíle jednotlivých podprogramů. K tomu lze využít například následujících ukazatelů:</w:t>
      </w:r>
    </w:p>
    <w:p w:rsidR="00DE7403" w:rsidRDefault="000D77FB">
      <w:pPr>
        <w:numPr>
          <w:ilvl w:val="0"/>
          <w:numId w:val="1"/>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pro všechny podprogramy: počet výsledků využitých v praxi (s doložením jejich aplikace) tři roky po ukončení projektu, počet začínajících výzkumníků a výzkumnic v dokončených projektech;</w:t>
      </w:r>
    </w:p>
    <w:p w:rsidR="00DE7403" w:rsidRDefault="000D77FB">
      <w:pPr>
        <w:numPr>
          <w:ilvl w:val="0"/>
          <w:numId w:val="1"/>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přínosy, které výsledky v praxi zaznamenaly, tj. užitky, zlepšení nebo změny, které uplatnění výsledků v obranném průmyslu nebo v armádě způsobily, a které jsou na jejich využití bezprostředně vázány;</w:t>
      </w:r>
    </w:p>
    <w:p w:rsidR="00DE7403" w:rsidRDefault="000D77FB">
      <w:pPr>
        <w:numPr>
          <w:ilvl w:val="0"/>
          <w:numId w:val="1"/>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zvýšení počtu partnerství či společných projektů v obranném průmyslu u zúčastněných subjektů ve srovnání s dobou před účastí v programu PRODEF;</w:t>
      </w:r>
    </w:p>
    <w:p w:rsidR="00DE7403" w:rsidRDefault="000D77FB">
      <w:pPr>
        <w:numPr>
          <w:ilvl w:val="0"/>
          <w:numId w:val="1"/>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pro hodnocení naplňování cílů obou podprogramů mohou být využity indikátory vypovídající o technologické konkurences</w:t>
      </w:r>
      <w:r w:rsidR="007961A1">
        <w:rPr>
          <w:rFonts w:ascii="Arial" w:eastAsia="Arial" w:hAnsi="Arial" w:cs="Arial"/>
          <w:color w:val="000000"/>
        </w:rPr>
        <w:t>c</w:t>
      </w:r>
      <w:r>
        <w:rPr>
          <w:rFonts w:ascii="Arial" w:eastAsia="Arial" w:hAnsi="Arial" w:cs="Arial"/>
          <w:color w:val="000000"/>
        </w:rPr>
        <w:t>hopnosti podniků zapojených do programu PRODEF – např. růst vlastních výdajů na VaV, zvýšení počtu zaměstnaných výzkumníků, podíl tržeb z inovovaných výrobků na celkových tržbách, podíl tržeb z prodeje licencí na celkových tržbách apod.</w:t>
      </w:r>
    </w:p>
    <w:p w:rsidR="00DE7403" w:rsidRDefault="000D77FB">
      <w:pPr>
        <w:spacing w:before="0" w:after="120" w:line="360" w:lineRule="auto"/>
        <w:rPr>
          <w:rFonts w:ascii="Arial" w:eastAsia="Arial" w:hAnsi="Arial" w:cs="Arial"/>
        </w:rPr>
      </w:pPr>
      <w:r>
        <w:rPr>
          <w:rFonts w:ascii="Arial" w:eastAsia="Arial" w:hAnsi="Arial" w:cs="Arial"/>
        </w:rPr>
        <w:t>Vyhodnocení cílů programu kvalitativní povahy bude řešit až hodnocení dopadů programu, které proběhne s odstupem pěti let po ukončení programu, a to zejména z důvodu potřebného času pro aplikaci výsledků projektů v praxi a rozvoji přínosů.</w:t>
      </w:r>
    </w:p>
    <w:p w:rsidR="00DE7403" w:rsidRDefault="000D77FB">
      <w:pPr>
        <w:pStyle w:val="Nadpis3"/>
        <w:rPr>
          <w:rFonts w:ascii="Arial" w:eastAsia="Arial" w:hAnsi="Arial" w:cs="Arial"/>
        </w:rPr>
      </w:pPr>
      <w:bookmarkStart w:id="25" w:name="_3whwml4" w:colFirst="0" w:colLast="0"/>
      <w:bookmarkEnd w:id="25"/>
      <w:r>
        <w:rPr>
          <w:rFonts w:ascii="Arial" w:eastAsia="Arial" w:hAnsi="Arial" w:cs="Arial"/>
        </w:rPr>
        <w:lastRenderedPageBreak/>
        <w:t>Hodnocení dopadů programu PRODEF</w:t>
      </w:r>
    </w:p>
    <w:p w:rsidR="00DE7403" w:rsidRDefault="000D77FB">
      <w:pPr>
        <w:spacing w:before="0" w:after="120" w:line="360" w:lineRule="auto"/>
        <w:rPr>
          <w:rFonts w:ascii="Arial" w:eastAsia="Arial" w:hAnsi="Arial" w:cs="Arial"/>
        </w:rPr>
      </w:pPr>
      <w:r>
        <w:rPr>
          <w:rFonts w:ascii="Arial" w:eastAsia="Arial" w:hAnsi="Arial" w:cs="Arial"/>
        </w:rPr>
        <w:t>Hodnocení dopadů proběhne s odstupem pěti let od jeho ukončení, což je dostatečná doba pro rozvoj přínosů a dopadů, které nastaly na základě realizace podpořených projektů. Hodnocení se zaměří na vyhodnocení kvalitativních přínosů, zejména v následujících oblastech:</w:t>
      </w:r>
    </w:p>
    <w:p w:rsidR="00DE7403" w:rsidRDefault="000D77FB">
      <w:pPr>
        <w:numPr>
          <w:ilvl w:val="0"/>
          <w:numId w:val="3"/>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rozvoje technologií a postupů v oblasti obrany;</w:t>
      </w:r>
    </w:p>
    <w:p w:rsidR="00DE7403" w:rsidRDefault="000D77FB">
      <w:pPr>
        <w:numPr>
          <w:ilvl w:val="0"/>
          <w:numId w:val="3"/>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zvýšení efektivnosti vývoje a výroby v obranném průmyslu;</w:t>
      </w:r>
    </w:p>
    <w:p w:rsidR="00DE7403" w:rsidRDefault="000D77FB">
      <w:pPr>
        <w:numPr>
          <w:ilvl w:val="0"/>
          <w:numId w:val="3"/>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zkvalitnění a zefektivnění personálních služeb v Armádě České republiky;</w:t>
      </w:r>
    </w:p>
    <w:p w:rsidR="00DE7403" w:rsidRDefault="000D77FB">
      <w:pPr>
        <w:numPr>
          <w:ilvl w:val="0"/>
          <w:numId w:val="3"/>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usnadnění přístupu k novým technologiím pro ozbrojené složky ČR;</w:t>
      </w:r>
    </w:p>
    <w:p w:rsidR="00DE7403" w:rsidRDefault="000D77FB">
      <w:pPr>
        <w:numPr>
          <w:ilvl w:val="0"/>
          <w:numId w:val="3"/>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počty nových projektů nebo výrobních či výzkumných spoluprací navazujících na účast v programu PRODEF a současně nefinancovaných veřejným sektorem;</w:t>
      </w:r>
    </w:p>
    <w:p w:rsidR="00DE7403" w:rsidRDefault="000D77FB">
      <w:pPr>
        <w:numPr>
          <w:ilvl w:val="0"/>
          <w:numId w:val="3"/>
        </w:numPr>
        <w:pBdr>
          <w:top w:val="nil"/>
          <w:left w:val="nil"/>
          <w:bottom w:val="nil"/>
          <w:right w:val="nil"/>
          <w:between w:val="nil"/>
        </w:pBdr>
        <w:spacing w:before="0" w:line="360" w:lineRule="auto"/>
        <w:rPr>
          <w:rFonts w:ascii="Arial" w:eastAsia="Arial" w:hAnsi="Arial" w:cs="Arial"/>
          <w:color w:val="000000"/>
        </w:rPr>
      </w:pPr>
      <w:bookmarkStart w:id="26" w:name="_2bn6wsx" w:colFirst="0" w:colLast="0"/>
      <w:bookmarkEnd w:id="26"/>
      <w:r>
        <w:rPr>
          <w:rFonts w:ascii="Arial" w:eastAsia="Arial" w:hAnsi="Arial" w:cs="Arial"/>
          <w:color w:val="000000"/>
        </w:rPr>
        <w:t>sledovat zapojení účastníků PP2 do mezinárodních konsorcií v obraném průmyslu;</w:t>
      </w:r>
    </w:p>
    <w:p w:rsidR="00DE7403" w:rsidRDefault="000D77FB">
      <w:pPr>
        <w:numPr>
          <w:ilvl w:val="0"/>
          <w:numId w:val="3"/>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příspěvek programu k naplňování cílů vyplývajících z povinností ČR jako členského státu (např. EU a NATO).</w:t>
      </w:r>
    </w:p>
    <w:p w:rsidR="00DE7403" w:rsidRDefault="000D77FB">
      <w:pPr>
        <w:spacing w:before="0" w:after="120" w:line="360" w:lineRule="auto"/>
        <w:rPr>
          <w:rFonts w:ascii="Arial" w:eastAsia="Arial" w:hAnsi="Arial" w:cs="Arial"/>
        </w:rPr>
      </w:pPr>
      <w:r>
        <w:rPr>
          <w:rFonts w:ascii="Arial" w:eastAsia="Arial" w:hAnsi="Arial" w:cs="Arial"/>
        </w:rPr>
        <w:t>Do hodnocení bude zapojena nezávislá heterogenní skupina expertů, která by měla zahrnovat zástupce výzkumné organizace, veřejného sektoru i aplikační sféry vč. zahraničních expertů, kteří jsou znalí a aktivně zapojení v obranném sektoru.</w:t>
      </w:r>
    </w:p>
    <w:p w:rsidR="00DE7403" w:rsidRDefault="000D77FB">
      <w:pPr>
        <w:spacing w:before="0" w:after="120" w:line="360" w:lineRule="auto"/>
        <w:rPr>
          <w:rFonts w:ascii="Arial" w:eastAsia="Arial" w:hAnsi="Arial" w:cs="Arial"/>
          <w:b/>
        </w:rPr>
      </w:pPr>
      <w:r>
        <w:rPr>
          <w:rFonts w:ascii="Arial" w:eastAsia="Arial" w:hAnsi="Arial" w:cs="Arial"/>
          <w:b/>
        </w:rPr>
        <w:t>Hodnocené aspekty:</w:t>
      </w:r>
    </w:p>
    <w:p w:rsidR="00DE7403" w:rsidRDefault="000D77FB">
      <w:pPr>
        <w:numPr>
          <w:ilvl w:val="0"/>
          <w:numId w:val="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fungování programu (funkčnost intervenční logiky, průběh programu);</w:t>
      </w:r>
    </w:p>
    <w:p w:rsidR="00DE7403" w:rsidRDefault="000D77FB">
      <w:pPr>
        <w:numPr>
          <w:ilvl w:val="0"/>
          <w:numId w:val="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výpočet dopadů pomoci (např. pomocí kontrafaktuální analýzy);</w:t>
      </w:r>
    </w:p>
    <w:p w:rsidR="00DE7403" w:rsidRDefault="000D77FB">
      <w:pPr>
        <w:numPr>
          <w:ilvl w:val="0"/>
          <w:numId w:val="5"/>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využití výstupů a výsledků programu;</w:t>
      </w:r>
    </w:p>
    <w:p w:rsidR="00DE7403" w:rsidRDefault="000D77FB">
      <w:pPr>
        <w:numPr>
          <w:ilvl w:val="0"/>
          <w:numId w:val="5"/>
        </w:numPr>
        <w:pBdr>
          <w:top w:val="nil"/>
          <w:left w:val="nil"/>
          <w:bottom w:val="nil"/>
          <w:right w:val="nil"/>
          <w:between w:val="nil"/>
        </w:pBdr>
        <w:spacing w:before="0" w:after="120" w:line="360" w:lineRule="auto"/>
        <w:rPr>
          <w:rFonts w:ascii="Arial" w:eastAsia="Arial" w:hAnsi="Arial" w:cs="Arial"/>
          <w:color w:val="000000"/>
        </w:rPr>
      </w:pPr>
      <w:bookmarkStart w:id="27" w:name="_qsh70q" w:colFirst="0" w:colLast="0"/>
      <w:bookmarkEnd w:id="27"/>
      <w:r>
        <w:rPr>
          <w:rFonts w:ascii="Arial" w:eastAsia="Arial" w:hAnsi="Arial" w:cs="Arial"/>
          <w:color w:val="000000"/>
        </w:rPr>
        <w:t>závěry vyplývající z dopadů a doporučení.</w:t>
      </w:r>
    </w:p>
    <w:p w:rsidR="00DE7403" w:rsidRDefault="000D77FB">
      <w:pPr>
        <w:pStyle w:val="Nadpis1"/>
        <w:numPr>
          <w:ilvl w:val="0"/>
          <w:numId w:val="10"/>
        </w:numPr>
        <w:ind w:hanging="283"/>
      </w:pPr>
      <w:bookmarkStart w:id="28" w:name="_3as4poj" w:colFirst="0" w:colLast="0"/>
      <w:bookmarkEnd w:id="28"/>
      <w:r>
        <w:t xml:space="preserve">SROVNÁNÍ SOUČASNÉHO STAVU V ČESKÉ REPUBLICE A V ZAHRANIČÍ </w:t>
      </w:r>
    </w:p>
    <w:p w:rsidR="00DE7403" w:rsidRDefault="000D77FB">
      <w:pPr>
        <w:pStyle w:val="Nadpis2"/>
      </w:pPr>
      <w:r>
        <w:t>Srovnání na mezinárodní úrovni (PP1)</w:t>
      </w:r>
    </w:p>
    <w:p w:rsidR="00DE7403" w:rsidRDefault="000D77FB">
      <w:pPr>
        <w:spacing w:before="0" w:after="120" w:line="360" w:lineRule="auto"/>
        <w:rPr>
          <w:rFonts w:ascii="Arial" w:eastAsia="Arial" w:hAnsi="Arial" w:cs="Arial"/>
        </w:rPr>
      </w:pPr>
      <w:r>
        <w:rPr>
          <w:rFonts w:ascii="Arial" w:eastAsia="Arial" w:hAnsi="Arial" w:cs="Arial"/>
        </w:rPr>
        <w:t xml:space="preserve">Česká republika v současnosti neposkytuje doplňkové financování k projektům přeshraniční spolupráce v oblasti obranného průmyslu. MO ČR neposkytuje účelovou podporu pro mezinárodní projekty s výjimkou projektů řešených v Evropské obranné agentuře. Přípravné fáze Evropského akčního plánu pro obranu (PADR – Preparatory Action Plan on Defence Reseach) a Evropského programu pro rozvoj obranného průmyslu (EDIDP – European Defence Industrial Development Programme) byly závislé na spolufinancování ze soukromých zdrojů – příjemce se zavázal poskytnout částku pokrývající způsobilé náklady projektu nad částku poskytnutou z Evropského obranného fondu, a to až do výše 100 % způsobilých nákladů projektu. Nemožnost financování ze strany členského státu (národních prostředků) by mohla ve svém důsledku vést až k tomu, že české subjekty nebudou zahraničními partnery osloveny k participaci v daném konsorciu, byť by </w:t>
      </w:r>
      <w:r>
        <w:rPr>
          <w:rFonts w:ascii="Arial" w:eastAsia="Arial" w:hAnsi="Arial" w:cs="Arial"/>
        </w:rPr>
        <w:lastRenderedPageBreak/>
        <w:t>disponovaly dostatečnými schopnostmi a znalostmi. Jejich podíl na financování by musel zaplatit další členský stát EU, potažmo jiný člen konsorcia v případě, pokud by takový český subjekt nedisponoval vlastními prostředky na dofinancování své účasti v projektu. Tím by mohlo dojít k dalšímu omezení konkurenceschopnosti českých subjektů a znemožnění mezinárodní spolupráce v oblastech řešených v rámci EDF a v důsledku k úpadku průmyslové základny obrany.</w:t>
      </w:r>
    </w:p>
    <w:p w:rsidR="00DE7403" w:rsidRDefault="000D77FB">
      <w:pPr>
        <w:spacing w:before="0" w:after="120" w:line="360" w:lineRule="auto"/>
        <w:rPr>
          <w:rFonts w:ascii="Arial" w:eastAsia="Arial" w:hAnsi="Arial" w:cs="Arial"/>
        </w:rPr>
      </w:pPr>
      <w:r>
        <w:rPr>
          <w:rFonts w:ascii="Arial" w:eastAsia="Arial" w:hAnsi="Arial" w:cs="Arial"/>
        </w:rPr>
        <w:t>Členské státy nemají jednotně nastavený systém doplňkového financování EDF, některé státy poskytují max. 50 % sumy doplňkového financování, jiné státy (např. Pobaltské) maximální výši příspěvku poskytují formou fixní částky.</w:t>
      </w:r>
    </w:p>
    <w:p w:rsidR="00DE7403" w:rsidRDefault="000D77FB">
      <w:pPr>
        <w:spacing w:before="0" w:after="120" w:line="360" w:lineRule="auto"/>
        <w:rPr>
          <w:rFonts w:ascii="Arial" w:eastAsia="Arial" w:hAnsi="Arial" w:cs="Arial"/>
        </w:rPr>
      </w:pPr>
      <w:r>
        <w:rPr>
          <w:rFonts w:ascii="Arial" w:eastAsia="Arial" w:hAnsi="Arial" w:cs="Arial"/>
          <w:b/>
        </w:rPr>
        <w:t>V rámci budoucího směřování obranného výzkumu a vývoje</w:t>
      </w:r>
      <w:r>
        <w:rPr>
          <w:rFonts w:ascii="Arial" w:eastAsia="Arial" w:hAnsi="Arial" w:cs="Arial"/>
        </w:rPr>
        <w:t xml:space="preserve"> bude kladen </w:t>
      </w:r>
      <w:r>
        <w:rPr>
          <w:rFonts w:ascii="Arial" w:eastAsia="Arial" w:hAnsi="Arial" w:cs="Arial"/>
          <w:b/>
        </w:rPr>
        <w:t>důraz na rozvoj schopností v oblasti EDTs</w:t>
      </w:r>
      <w:r>
        <w:rPr>
          <w:rFonts w:ascii="Arial" w:eastAsia="Arial" w:hAnsi="Arial" w:cs="Arial"/>
        </w:rPr>
        <w:t xml:space="preserve"> (</w:t>
      </w:r>
      <w:r>
        <w:rPr>
          <w:rFonts w:ascii="Arial" w:eastAsia="Arial" w:hAnsi="Arial" w:cs="Arial"/>
          <w:b/>
        </w:rPr>
        <w:t>nastupující a přelomové technologie).</w:t>
      </w:r>
      <w:r>
        <w:rPr>
          <w:rFonts w:ascii="Arial" w:eastAsia="Arial" w:hAnsi="Arial" w:cs="Arial"/>
          <w:b/>
          <w:vertAlign w:val="superscript"/>
        </w:rPr>
        <w:footnoteReference w:id="8"/>
      </w:r>
      <w:r>
        <w:rPr>
          <w:rFonts w:ascii="Arial" w:eastAsia="Arial" w:hAnsi="Arial" w:cs="Arial"/>
        </w:rPr>
        <w:t xml:space="preserve"> EDTs dramaticky promění dosavadní způsoby vedení konfliktu a s přihlédnutím k možnostem rychlé proliferace těchto technologií v důsledku globalizace tak dojde k proměně rovnováhy sil mezi státy i uvnitř nich samých. Hrozí růst nestability a nepředvídatelnosti bezpečnostního prostředí.</w:t>
      </w:r>
      <w:r>
        <w:rPr>
          <w:rFonts w:ascii="Arial" w:eastAsia="Arial" w:hAnsi="Arial" w:cs="Arial"/>
          <w:b/>
        </w:rPr>
        <w:t xml:space="preserve"> Klíčový význam EDTs</w:t>
      </w:r>
      <w:r>
        <w:rPr>
          <w:rFonts w:ascii="Arial" w:eastAsia="Arial" w:hAnsi="Arial" w:cs="Arial"/>
        </w:rPr>
        <w:t xml:space="preserve"> pro udržení vojenské převahy je </w:t>
      </w:r>
      <w:r>
        <w:rPr>
          <w:rFonts w:ascii="Arial" w:eastAsia="Arial" w:hAnsi="Arial" w:cs="Arial"/>
          <w:b/>
        </w:rPr>
        <w:t>zdůrazňován na strategické úrovni NATO i EU.</w:t>
      </w:r>
      <w:r>
        <w:rPr>
          <w:rFonts w:ascii="Arial" w:eastAsia="Arial" w:hAnsi="Arial" w:cs="Arial"/>
        </w:rPr>
        <w:t xml:space="preserve"> Pro Severoatlantickou alianci jsou obecně technologie základem úspěšných schopností obrany a odstrašení.</w:t>
      </w:r>
    </w:p>
    <w:p w:rsidR="00DE7403" w:rsidRDefault="000D77FB">
      <w:pPr>
        <w:spacing w:before="0" w:after="120" w:line="360" w:lineRule="auto"/>
        <w:rPr>
          <w:rFonts w:ascii="Arial" w:eastAsia="Arial" w:hAnsi="Arial" w:cs="Arial"/>
        </w:rPr>
      </w:pPr>
      <w:r>
        <w:rPr>
          <w:rFonts w:ascii="Arial" w:eastAsia="Arial" w:hAnsi="Arial" w:cs="Arial"/>
        </w:rPr>
        <w:t>Oblasti v rámci nastupujících a přelomových technologií (EDTs) vychází ze strategických dokumentů NATO, které v současné době uvádějí 9 klíčových technologických oblastí.</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Velká data a pokročilá datová analýza</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Umělá inteligence</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Autonom</w:t>
      </w:r>
      <w:r>
        <w:rPr>
          <w:rFonts w:ascii="Arial" w:eastAsia="Arial" w:hAnsi="Arial" w:cs="Arial"/>
        </w:rPr>
        <w:t>ní systémy</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Kvantové technologie</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Vesmírné technologie</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Hypersonické zbraňové systémy</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Biotechnologie</w:t>
      </w:r>
    </w:p>
    <w:p w:rsidR="00DE7403" w:rsidRDefault="000D77FB">
      <w:pPr>
        <w:numPr>
          <w:ilvl w:val="0"/>
          <w:numId w:val="7"/>
        </w:numPr>
        <w:pBdr>
          <w:top w:val="nil"/>
          <w:left w:val="nil"/>
          <w:bottom w:val="nil"/>
          <w:right w:val="nil"/>
          <w:between w:val="nil"/>
        </w:pBdr>
        <w:spacing w:before="0" w:line="360" w:lineRule="auto"/>
        <w:rPr>
          <w:rFonts w:ascii="Arial" w:eastAsia="Arial" w:hAnsi="Arial" w:cs="Arial"/>
          <w:color w:val="000000"/>
        </w:rPr>
      </w:pPr>
      <w:r>
        <w:rPr>
          <w:rFonts w:ascii="Arial" w:eastAsia="Arial" w:hAnsi="Arial" w:cs="Arial"/>
          <w:color w:val="000000"/>
        </w:rPr>
        <w:t>Nové materiály a výroba</w:t>
      </w:r>
    </w:p>
    <w:p w:rsidR="00DE7403" w:rsidRDefault="000D77FB">
      <w:pPr>
        <w:numPr>
          <w:ilvl w:val="0"/>
          <w:numId w:val="7"/>
        </w:numPr>
        <w:pBdr>
          <w:top w:val="nil"/>
          <w:left w:val="nil"/>
          <w:bottom w:val="nil"/>
          <w:right w:val="nil"/>
          <w:between w:val="nil"/>
        </w:pBdr>
        <w:spacing w:before="0" w:after="120" w:line="360" w:lineRule="auto"/>
        <w:rPr>
          <w:rFonts w:ascii="Arial" w:eastAsia="Arial" w:hAnsi="Arial" w:cs="Arial"/>
          <w:color w:val="000000"/>
        </w:rPr>
      </w:pPr>
      <w:r>
        <w:rPr>
          <w:rFonts w:ascii="Arial" w:eastAsia="Arial" w:hAnsi="Arial" w:cs="Arial"/>
          <w:color w:val="000000"/>
        </w:rPr>
        <w:t>Energie a pohony</w:t>
      </w:r>
    </w:p>
    <w:p w:rsidR="00DE7403" w:rsidRDefault="000D77FB">
      <w:pPr>
        <w:spacing w:before="0" w:after="120" w:line="360" w:lineRule="auto"/>
        <w:rPr>
          <w:rFonts w:ascii="Arial" w:eastAsia="Arial" w:hAnsi="Arial" w:cs="Arial"/>
          <w:b/>
        </w:rPr>
      </w:pPr>
      <w:r>
        <w:rPr>
          <w:rFonts w:ascii="Arial" w:eastAsia="Arial" w:hAnsi="Arial" w:cs="Arial"/>
        </w:rPr>
        <w:t xml:space="preserve">EDTs ovlivní systém velení a řízení, zpravodajské a logistické zabezpečení, výstavbu a plánování schopností, výcvik, nábor, a nasazení všech druhů sil. Budou mít také </w:t>
      </w:r>
      <w:r>
        <w:rPr>
          <w:rFonts w:ascii="Arial" w:eastAsia="Arial" w:hAnsi="Arial" w:cs="Arial"/>
          <w:b/>
        </w:rPr>
        <w:t xml:space="preserve">vliv napříč všemi úrovněmi velení </w:t>
      </w:r>
      <w:r>
        <w:rPr>
          <w:rFonts w:ascii="Arial" w:eastAsia="Arial" w:hAnsi="Arial" w:cs="Arial"/>
        </w:rPr>
        <w:t xml:space="preserve">(vertikálně) </w:t>
      </w:r>
      <w:r>
        <w:rPr>
          <w:rFonts w:ascii="Arial" w:eastAsia="Arial" w:hAnsi="Arial" w:cs="Arial"/>
          <w:b/>
        </w:rPr>
        <w:t>i ve všech operačních doménách</w:t>
      </w:r>
      <w:r>
        <w:rPr>
          <w:rFonts w:ascii="Arial" w:eastAsia="Arial" w:hAnsi="Arial" w:cs="Arial"/>
        </w:rPr>
        <w:t xml:space="preserve"> </w:t>
      </w:r>
      <w:r>
        <w:rPr>
          <w:rFonts w:ascii="Arial" w:eastAsia="Arial" w:hAnsi="Arial" w:cs="Arial"/>
          <w:b/>
        </w:rPr>
        <w:t>(horizontálně).</w:t>
      </w:r>
    </w:p>
    <w:p w:rsidR="00DE7403" w:rsidRDefault="000D77FB">
      <w:pPr>
        <w:spacing w:before="0" w:after="120" w:line="360" w:lineRule="auto"/>
        <w:rPr>
          <w:rFonts w:ascii="Arial" w:eastAsia="Arial" w:hAnsi="Arial" w:cs="Arial"/>
        </w:rPr>
      </w:pPr>
      <w:r>
        <w:rPr>
          <w:rFonts w:ascii="Arial" w:eastAsia="Arial" w:hAnsi="Arial" w:cs="Arial"/>
        </w:rPr>
        <w:t xml:space="preserve">Trendem na evropské úrovni je snaha o překonání existujících nedostatků v budování evropského pilíře obrany, které byly uvedeny např. v dokumentu Defence Investment Gaps Analysis (DIGA). Nedostatky se týkají jak zdrojového zajištění, tak průmyslových schopností a kapacit výroby. Cílem je tyto nedostatky překonat a zajistit konkurenceschopnost evropské obraně-průmyslové základny </w:t>
      </w:r>
      <w:r>
        <w:rPr>
          <w:rFonts w:ascii="Arial" w:eastAsia="Arial" w:hAnsi="Arial" w:cs="Arial"/>
        </w:rPr>
        <w:lastRenderedPageBreak/>
        <w:t xml:space="preserve">(EDTIB). Na evropské úrovni dochází rovněž ke snaze vyrovnat náskok globálních konkurentů v kritických technologiích, např. v rámci nastupujících a přelomových technologií, kde EU v některých technologiích zaostává za globálními konkurenty. Od toho se odvíjí i snaha o udržení náskoku v těch technologiích, kde Evropská unie drží technologické prvenství. </w:t>
      </w:r>
    </w:p>
    <w:p w:rsidR="00DE7403" w:rsidRDefault="000D77FB">
      <w:pPr>
        <w:pStyle w:val="Nadpis2"/>
      </w:pPr>
      <w:r>
        <w:t>Srovnání na národní úrovni (PP2)</w:t>
      </w:r>
    </w:p>
    <w:p w:rsidR="00DE7403" w:rsidRDefault="000D77FB">
      <w:pPr>
        <w:spacing w:before="0" w:after="120" w:line="360" w:lineRule="auto"/>
        <w:rPr>
          <w:rFonts w:ascii="Arial" w:eastAsia="Arial" w:hAnsi="Arial" w:cs="Arial"/>
        </w:rPr>
      </w:pPr>
      <w:r>
        <w:rPr>
          <w:rFonts w:ascii="Arial" w:eastAsia="Arial" w:hAnsi="Arial" w:cs="Arial"/>
        </w:rPr>
        <w:t>Programy obranného aplikovaného výzkumu, experimentálního vývoje a inovací resortu MO jsou v současném stavu realizovány pouze ve formě veřejných zakázek v rámci poskytování účelové podpory. Tyto programy jsou realizovány dle zákona č. 130/2002 a zákona č. 134/2016 a v souladu s dalšími vnitroresortními předpisy. Obsah programů je v souladu s koncepčními a strategickými dokumenty ČR v oblasti výzkumu, vývoje a inovací s přímou orientací na oblast obranyschopnosti a bezpečnosti státu. Programy MO vzájemně navazují na své předchozí a ukončované programy, jako je Program OZ 020 “Rozvoj ozbrojených sil České republiky” 2015–2022. V současné době je realizován Program OY 050 Ambice (2020–2026) – “Podpora rozvoje oblastí, ve kterých Ozbrojené složky dosahují významných výsledků v rámci NATO a EU” a probíhá příprava navazujícího programu OZ 060 “Zdokonalení – podpora rozvoje oblastí, ve kterých Ozbrojené složky budou obranným pilířem NATO a EU”, který bude realizován od roku 2024 ve formě veřejné zakázky. V rámci institucionální podpory je kontinuálně podporováno zapojení českých subjektů do mezinárodní spolupráce v rámci Evropské obranné agentury a jejich ad hoc projektů (kategorie A i B) a NATO Science and Technology Organization.</w:t>
      </w:r>
    </w:p>
    <w:p w:rsidR="00DE7403" w:rsidRDefault="000D77FB">
      <w:pPr>
        <w:spacing w:before="0" w:after="120" w:line="360" w:lineRule="auto"/>
        <w:rPr>
          <w:rFonts w:ascii="Arial" w:eastAsia="Arial" w:hAnsi="Arial" w:cs="Arial"/>
        </w:rPr>
      </w:pPr>
      <w:r>
        <w:rPr>
          <w:rFonts w:ascii="Arial" w:eastAsia="Arial" w:hAnsi="Arial" w:cs="Arial"/>
        </w:rPr>
        <w:t xml:space="preserve">Programy obranných inovací jsou kontinuálně tematicky blízké s tématy bezpečnostního VaVaI Ministerstva vnitra, v rámci kterého je realizován program veřejné soutěže SECTECH, který představuje program pro oblast podpory podnikového sektoru, zejm. začínajících, malých a středních podniků, k participaci na vývoji a transferu nových technologií a podpoře dosažení a rozvoje technologické úrovně a budování schopností v rámci bezpečnostního systému ČR. Dále Program bezpečnostního výzkumu pro potřeby státu v letech 2022–2027 (SecPro), který je určen k naplňování konkrétních výzkumných potřeb orgánů státní správy podílejících se na plnění úkolů v rámci systému vnitřní bezpečnosti a ochrany obyvatelstva ČR. Uživatelem výsledků programu je stát, tj. příslušný orgán státní správy, který své výzkumné potřeby předložil poskytovateli. Formou veřejné soutěže je realizován program OPSEC, jehož cíle je podpořit výzkumné a vývojové aktivity v oblasti bezpečnosti státu a jeho občanů v souladu s charakteristickými potřebami bezpečnostního systému a společenskými potřebami systémového charakteru v oblasti bezpečnosti, jak je vymezují platné strategické a koncepční materiály bezpečnostní politiky, které shrnuje Meziresortní koncepce podpory bezpečnostního výzkumu ČR 2017–2023. </w:t>
      </w:r>
    </w:p>
    <w:p w:rsidR="00DE7403" w:rsidRDefault="000D77FB">
      <w:pPr>
        <w:spacing w:before="0" w:after="120" w:line="360" w:lineRule="auto"/>
        <w:rPr>
          <w:rFonts w:ascii="Arial" w:eastAsia="Arial" w:hAnsi="Arial" w:cs="Arial"/>
        </w:rPr>
      </w:pPr>
      <w:r>
        <w:rPr>
          <w:rFonts w:ascii="Arial" w:eastAsia="Arial" w:hAnsi="Arial" w:cs="Arial"/>
        </w:rPr>
        <w:t xml:space="preserve">V radách programů bezpečnostního výzkumu je resort MO pravidelně zastoupen na pozicích členů Rady MV ČR pro daný program. </w:t>
      </w:r>
    </w:p>
    <w:p w:rsidR="00DE7403" w:rsidRDefault="000D77FB">
      <w:pPr>
        <w:spacing w:before="0" w:after="120" w:line="360" w:lineRule="auto"/>
        <w:rPr>
          <w:rFonts w:ascii="Arial" w:eastAsia="Arial" w:hAnsi="Arial" w:cs="Arial"/>
        </w:rPr>
      </w:pPr>
      <w:r>
        <w:rPr>
          <w:rFonts w:ascii="Arial" w:eastAsia="Arial" w:hAnsi="Arial" w:cs="Arial"/>
        </w:rPr>
        <w:lastRenderedPageBreak/>
        <w:t xml:space="preserve">Technologicky relevantní je také program TREND, jehož garantem je MPO, a který podporuje průmyslový výzkum a vývoj a jehož hlavním cílem je </w:t>
      </w:r>
      <w:r>
        <w:rPr>
          <w:rFonts w:ascii="Arial" w:eastAsia="Arial" w:hAnsi="Arial" w:cs="Arial"/>
          <w:highlight w:val="white"/>
        </w:rPr>
        <w:t xml:space="preserve">zvýšení mezinárodní konkurenceschopnosti podniků a především rozšířením jejich trhů v zahraničí, pronikáním na trhy nové či posunem výše v globálních hodnotových řetězcích. </w:t>
      </w:r>
    </w:p>
    <w:p w:rsidR="00DE7403" w:rsidRDefault="000D77FB">
      <w:pPr>
        <w:spacing w:before="0" w:after="120" w:line="360" w:lineRule="auto"/>
        <w:rPr>
          <w:rFonts w:ascii="Arial" w:eastAsia="Arial" w:hAnsi="Arial" w:cs="Arial"/>
        </w:rPr>
      </w:pPr>
      <w:r>
        <w:rPr>
          <w:rFonts w:ascii="Arial" w:eastAsia="Arial" w:hAnsi="Arial" w:cs="Arial"/>
        </w:rPr>
        <w:t xml:space="preserve">V rámci výzkumného ekosystému jsou v realizaci také programy Technologické agentury ČR – BETA2, který je zaměřen na podporu aplikovaného výzkumu a inovací pro potřeby orgánů státní správy, a to zejména pro potřeby těch orgánů, které nejsou poskytovateli podpory výzkumu, vývoje a inovací a program SIGMA s širším zaměřením do oblastí komercionalizace výsledků, podpory vědeckých pracovníků a rozvoje výzkumu v humanitních oblastech. Program THÉTA (a THÉTA 2) pak cílí na oblast energetického sektoru a program Národních center kompetence na podporu dlouhodobé spolupráce mezi výzkumnou a aplikační sférou a posílení institucionální základny aplikovaného výzkumu. </w:t>
      </w:r>
    </w:p>
    <w:p w:rsidR="00DE7403" w:rsidRDefault="000D77FB">
      <w:pPr>
        <w:spacing w:before="0" w:after="120" w:line="360" w:lineRule="auto"/>
        <w:rPr>
          <w:rFonts w:ascii="Arial" w:eastAsia="Arial" w:hAnsi="Arial" w:cs="Arial"/>
        </w:rPr>
      </w:pPr>
      <w:r>
        <w:rPr>
          <w:rFonts w:ascii="Arial" w:eastAsia="Arial" w:hAnsi="Arial" w:cs="Arial"/>
        </w:rPr>
        <w:t>Vysoký potenciál programu veřejné soutěže ve VaVaI pro potřeby MO spočívá v doplnění stávajících řešení o nově identifikované aspekty související s podporou schopností součástí Ministerstva obrany ČR, jmenovitě pak ozbrojených sil. Vedle přesně definovaných potřeb reprezentovaných konkrétními požadavky na řešení projektů realizovaných veřejnou zakázkou ve VaVaI návrhy řešení ve veřejné soutěži nabízejí možnost nových pohledů na řešenou problematiku, nových způsobů řešení i způsobů aplikací. V tomto kontextu lze počítat s využitím synergických efektů s ostatními uváděnými programy účelové podpory, kde lze předpokládat, že v jejich rámci rozvíjený vědecko-výzkumný potenciál jejich řešitelů bude využit v oblasti projektů obranného výzkumu i s jeho specifickými požadavky na odolnost konstrukcí, materiálů, odolnost proti rušení, elektromagnetickou kompatibilitu, bezpečnost atp. a uplatnění navržených řešení ve specifických bezpečnostních, klimatických, zdravotních a sociálních podmínkách působení ozbrojených sil.</w:t>
      </w:r>
    </w:p>
    <w:p w:rsidR="00DE7403" w:rsidRDefault="000D77FB">
      <w:pPr>
        <w:spacing w:before="0" w:after="120" w:line="360" w:lineRule="auto"/>
        <w:rPr>
          <w:rFonts w:ascii="Arial" w:eastAsia="Arial" w:hAnsi="Arial" w:cs="Arial"/>
          <w:color w:val="38761D"/>
        </w:rPr>
      </w:pPr>
      <w:r>
        <w:rPr>
          <w:rFonts w:ascii="Arial" w:eastAsia="Arial" w:hAnsi="Arial" w:cs="Arial"/>
        </w:rPr>
        <w:t xml:space="preserve">Realizace programu PRODEF tak bude unikátním nástrojem pro podporu domácího průmyslu v oblasti klíčových technologických oblastí s přesahem mezi civilními technologiemi využitelných pro vojenské účely a možností zapojení se českých subjektů do Evropského obranného fondu, které je klíčovým nástrojem EU pro budoucí rozvoj inovačního ekosystému v rámci společné bezpečností a obranné politiky EU. </w:t>
      </w:r>
    </w:p>
    <w:sectPr w:rsidR="00DE7403">
      <w:headerReference w:type="default" r:id="rId7"/>
      <w:footerReference w:type="default" r:id="rId8"/>
      <w:pgSz w:w="11906" w:h="16838"/>
      <w:pgMar w:top="1275" w:right="1134" w:bottom="1134" w:left="1134" w:header="1125" w:footer="68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BA4" w:rsidRDefault="00C10BA4">
      <w:pPr>
        <w:spacing w:before="0" w:line="240" w:lineRule="auto"/>
      </w:pPr>
      <w:r>
        <w:separator/>
      </w:r>
    </w:p>
  </w:endnote>
  <w:endnote w:type="continuationSeparator" w:id="0">
    <w:p w:rsidR="00C10BA4" w:rsidRDefault="00C10BA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7FB" w:rsidRDefault="000D77FB">
    <w:pPr>
      <w:pBdr>
        <w:top w:val="nil"/>
        <w:left w:val="nil"/>
        <w:bottom w:val="nil"/>
        <w:right w:val="nil"/>
        <w:between w:val="nil"/>
      </w:pBdr>
      <w:tabs>
        <w:tab w:val="center" w:pos="4536"/>
        <w:tab w:val="right" w:pos="9072"/>
      </w:tabs>
      <w:spacing w:before="0" w:line="240" w:lineRule="auto"/>
      <w:jc w:val="right"/>
      <w:rPr>
        <w:color w:val="000000"/>
      </w:rPr>
    </w:pPr>
    <w:r>
      <w:rPr>
        <w:color w:val="000000"/>
      </w:rPr>
      <w:fldChar w:fldCharType="begin"/>
    </w:r>
    <w:r>
      <w:rPr>
        <w:color w:val="000000"/>
      </w:rPr>
      <w:instrText>PAGE</w:instrText>
    </w:r>
    <w:r>
      <w:rPr>
        <w:color w:val="000000"/>
      </w:rPr>
      <w:fldChar w:fldCharType="separate"/>
    </w:r>
    <w:r w:rsidR="000A77E4">
      <w:rPr>
        <w:noProof/>
        <w:color w:val="000000"/>
      </w:rPr>
      <w:t>2</w:t>
    </w:r>
    <w:r>
      <w:rPr>
        <w:color w:val="000000"/>
      </w:rPr>
      <w:fldChar w:fldCharType="end"/>
    </w:r>
  </w:p>
  <w:p w:rsidR="000D77FB" w:rsidRDefault="000D77FB">
    <w:pPr>
      <w:pBdr>
        <w:top w:val="nil"/>
        <w:left w:val="nil"/>
        <w:bottom w:val="nil"/>
        <w:right w:val="nil"/>
        <w:between w:val="nil"/>
      </w:pBdr>
      <w:tabs>
        <w:tab w:val="center" w:pos="4536"/>
        <w:tab w:val="right" w:pos="9072"/>
      </w:tabs>
      <w:spacing w:before="0" w:line="240" w:lineRule="auto"/>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BA4" w:rsidRDefault="00C10BA4">
      <w:pPr>
        <w:spacing w:before="0" w:line="240" w:lineRule="auto"/>
      </w:pPr>
      <w:r>
        <w:separator/>
      </w:r>
    </w:p>
  </w:footnote>
  <w:footnote w:type="continuationSeparator" w:id="0">
    <w:p w:rsidR="00C10BA4" w:rsidRDefault="00C10BA4">
      <w:pPr>
        <w:spacing w:before="0" w:line="240" w:lineRule="auto"/>
      </w:pPr>
      <w:r>
        <w:continuationSeparator/>
      </w:r>
    </w:p>
  </w:footnote>
  <w:footnote w:id="1">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 V roce 2023 je tento limit 100 000 EUR.</w:t>
      </w:r>
    </w:p>
  </w:footnote>
  <w:footnote w:id="2">
    <w:p w:rsidR="000D77FB" w:rsidRDefault="000D77FB">
      <w:pPr>
        <w:spacing w:before="0" w:line="240" w:lineRule="auto"/>
        <w:rPr>
          <w:rFonts w:ascii="Arial" w:eastAsia="Arial" w:hAnsi="Arial" w:cs="Arial"/>
          <w:sz w:val="16"/>
          <w:szCs w:val="16"/>
        </w:rPr>
      </w:pPr>
      <w:r>
        <w:rPr>
          <w:vertAlign w:val="superscript"/>
        </w:rPr>
        <w:footnoteRef/>
      </w:r>
      <w:r>
        <w:rPr>
          <w:sz w:val="20"/>
          <w:szCs w:val="20"/>
        </w:rPr>
        <w:t xml:space="preserve"> </w:t>
      </w:r>
      <w:r>
        <w:rPr>
          <w:rFonts w:ascii="Arial" w:eastAsia="Arial" w:hAnsi="Arial" w:cs="Arial"/>
          <w:sz w:val="16"/>
          <w:szCs w:val="16"/>
        </w:rPr>
        <w:t xml:space="preserve">Pojem národní výzva je interní termín TA </w:t>
      </w:r>
      <w:r w:rsidR="00E24D76">
        <w:rPr>
          <w:rFonts w:ascii="Arial" w:eastAsia="Arial" w:hAnsi="Arial" w:cs="Arial"/>
          <w:sz w:val="16"/>
          <w:szCs w:val="16"/>
        </w:rPr>
        <w:t xml:space="preserve">ČR užívaný pro rozlišení výzev </w:t>
      </w:r>
      <w:r>
        <w:rPr>
          <w:rFonts w:ascii="Arial" w:eastAsia="Arial" w:hAnsi="Arial" w:cs="Arial"/>
          <w:sz w:val="16"/>
          <w:szCs w:val="16"/>
        </w:rPr>
        <w:t>v PP1 programu PRODEF a výzev EDF. Nevychází ze zákona č. 130/2002 Sb.</w:t>
      </w:r>
    </w:p>
  </w:footnote>
  <w:footnote w:id="3">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 Dle čl. 2. odst. 23 se „zahájením prací“ rozumí buď zahájení stavebních prací v rámci investice, nebo první právně vymahatelný závazek objednávky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footnote>
  <w:footnote w:id="4">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 Tedy dopodpořit ty návrhy projektů, které byly vybrány jako úspěšné (výherní) při hodnocení jednotlivých výzev EDF a byla jim tak poskytnuta finanční podpora ze strany Evropské unie. Pozn.: U vývojových projektů tato podpora nečiní 100 % způsobilých nákladů projektu, a proto musí členské státy EU participující na EDF zajistit dofinancování ze svých zdrojů, popř. členové jednotlivých vítězných konsorcií získávají peníze na dofinancování projektů dalšími cestami (např. z vlastních zdrojů či jednotliví členové konsorcia financují účast dalších členů).</w:t>
      </w:r>
    </w:p>
  </w:footnote>
  <w:footnote w:id="5">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 </w:t>
      </w:r>
      <w:r>
        <w:rPr>
          <w:rFonts w:ascii="Arial" w:eastAsia="Arial" w:hAnsi="Arial" w:cs="Arial"/>
          <w:color w:val="1F1F1F"/>
          <w:sz w:val="16"/>
          <w:szCs w:val="16"/>
          <w:highlight w:val="white"/>
        </w:rPr>
        <w:t>Poskytovatel si vyhrazuje právo postupovat ve věcech nespecifikovaných programem PRODEF dle Nařízení o EDF (např. dle čl. 20).</w:t>
      </w:r>
    </w:p>
  </w:footnote>
  <w:footnote w:id="6">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 Původní oblasti EDTs vycházely z analýzy NATO (2020) “</w:t>
      </w:r>
      <w:r>
        <w:rPr>
          <w:rFonts w:ascii="Arial" w:eastAsia="Arial" w:hAnsi="Arial" w:cs="Arial"/>
          <w:i/>
          <w:sz w:val="16"/>
          <w:szCs w:val="16"/>
        </w:rPr>
        <w:t>Science &amp; Technology Trends 2020</w:t>
      </w:r>
      <w:r>
        <w:rPr>
          <w:rFonts w:ascii="Arial" w:eastAsia="Arial" w:hAnsi="Arial" w:cs="Arial"/>
          <w:sz w:val="16"/>
          <w:szCs w:val="16"/>
        </w:rPr>
        <w:t>–</w:t>
      </w:r>
      <w:r>
        <w:rPr>
          <w:rFonts w:ascii="Arial" w:eastAsia="Arial" w:hAnsi="Arial" w:cs="Arial"/>
          <w:i/>
          <w:sz w:val="16"/>
          <w:szCs w:val="16"/>
        </w:rPr>
        <w:t xml:space="preserve">2040”, </w:t>
      </w:r>
      <w:r>
        <w:rPr>
          <w:rFonts w:ascii="Arial" w:eastAsia="Arial" w:hAnsi="Arial" w:cs="Arial"/>
          <w:sz w:val="16"/>
          <w:szCs w:val="16"/>
        </w:rPr>
        <w:t>seznam byl dále upřesněn v rámci neveřejné strategie NATO “</w:t>
      </w:r>
      <w:r>
        <w:rPr>
          <w:rFonts w:ascii="Arial" w:eastAsia="Arial" w:hAnsi="Arial" w:cs="Arial"/>
          <w:i/>
          <w:sz w:val="16"/>
          <w:szCs w:val="16"/>
        </w:rPr>
        <w:t>Foster and Protect: NATO’s Coherent Implementation Strategy on EDTs</w:t>
      </w:r>
      <w:r>
        <w:rPr>
          <w:rFonts w:ascii="Arial" w:eastAsia="Arial" w:hAnsi="Arial" w:cs="Arial"/>
          <w:sz w:val="16"/>
          <w:szCs w:val="16"/>
        </w:rPr>
        <w:t>“ z roku 2021. Po revizi nových technologických směrů došlo v polovině roku 2022 k přidání dvou dalších technologických oblastí, viz https://www.nato.int/cps/en/natohq/topics_184303.htm.</w:t>
      </w:r>
    </w:p>
  </w:footnote>
  <w:footnote w:id="7">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 Bližší specifikace jednotlivých prioritních oblastí obranného VaVaI jsou definovány v Koncepci obranného a aplikovaného výzkumu, vývoje a inovací na období 2016–2022 (viz </w:t>
      </w:r>
      <w:hyperlink r:id="rId1">
        <w:r>
          <w:rPr>
            <w:rFonts w:ascii="Arial" w:eastAsia="Arial" w:hAnsi="Arial" w:cs="Arial"/>
            <w:color w:val="1155CC"/>
            <w:sz w:val="16"/>
            <w:szCs w:val="16"/>
            <w:u w:val="single"/>
          </w:rPr>
          <w:t>https://vyzkum.army.cz/sites/vyzkum.army.cz/files/dokumenty/zakladni-stranka/iii_koncepce.pdf</w:t>
        </w:r>
      </w:hyperlink>
      <w:r>
        <w:rPr>
          <w:rFonts w:ascii="Arial" w:eastAsia="Arial" w:hAnsi="Arial" w:cs="Arial"/>
          <w:sz w:val="16"/>
          <w:szCs w:val="16"/>
        </w:rPr>
        <w:t xml:space="preserve">) a jejích aktualizacích. </w:t>
      </w:r>
    </w:p>
  </w:footnote>
  <w:footnote w:id="8">
    <w:p w:rsidR="000D77FB" w:rsidRDefault="000D77FB">
      <w:pPr>
        <w:spacing w:before="0" w:line="240" w:lineRule="auto"/>
        <w:rPr>
          <w:rFonts w:ascii="Arial" w:eastAsia="Arial" w:hAnsi="Arial" w:cs="Arial"/>
          <w:sz w:val="16"/>
          <w:szCs w:val="16"/>
        </w:rPr>
      </w:pPr>
      <w:r>
        <w:rPr>
          <w:vertAlign w:val="superscript"/>
        </w:rPr>
        <w:footnoteRef/>
      </w:r>
      <w:r>
        <w:rPr>
          <w:rFonts w:ascii="Arial" w:eastAsia="Arial" w:hAnsi="Arial" w:cs="Arial"/>
          <w:sz w:val="16"/>
          <w:szCs w:val="16"/>
        </w:rPr>
        <w:t xml:space="preserve">Termín </w:t>
      </w:r>
      <w:r>
        <w:rPr>
          <w:rFonts w:ascii="Arial" w:eastAsia="Arial" w:hAnsi="Arial" w:cs="Arial"/>
          <w:b/>
          <w:sz w:val="16"/>
          <w:szCs w:val="16"/>
        </w:rPr>
        <w:t>nastupující a přelomové technologie (EDTs</w:t>
      </w:r>
      <w:r>
        <w:rPr>
          <w:rFonts w:ascii="Arial" w:eastAsia="Arial" w:hAnsi="Arial" w:cs="Arial"/>
          <w:sz w:val="16"/>
          <w:szCs w:val="16"/>
        </w:rPr>
        <w:t>) je zastřešujícím pojmem pro technologie, u kterých se v nejbližších letech očekává, že výrazně promění nároky na zajištění obrany a bezpečnosti.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7FB" w:rsidRDefault="000D77FB">
    <w:pPr>
      <w:tabs>
        <w:tab w:val="center" w:pos="4536"/>
        <w:tab w:val="right" w:pos="9072"/>
      </w:tabs>
      <w:spacing w:before="0" w:line="240" w:lineRule="auto"/>
      <w:jc w:val="right"/>
      <w:rPr>
        <w:color w:val="000000"/>
        <w:sz w:val="16"/>
        <w:szCs w:val="16"/>
      </w:rPr>
    </w:pPr>
    <w:r>
      <w:rPr>
        <w:rFonts w:ascii="Arial" w:eastAsia="Arial" w:hAnsi="Arial" w:cs="Arial"/>
        <w:sz w:val="16"/>
        <w:szCs w:val="16"/>
      </w:rPr>
      <w:t>v4, listopad 2023, chybí finální korektura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0689"/>
    <w:multiLevelType w:val="multilevel"/>
    <w:tmpl w:val="DEB44E5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2D227EE"/>
    <w:multiLevelType w:val="multilevel"/>
    <w:tmpl w:val="2EDCF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0A3F59"/>
    <w:multiLevelType w:val="multilevel"/>
    <w:tmpl w:val="1982D3C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F271D8D"/>
    <w:multiLevelType w:val="multilevel"/>
    <w:tmpl w:val="B428F81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381A0C02"/>
    <w:multiLevelType w:val="multilevel"/>
    <w:tmpl w:val="8ED86D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3A730DDA"/>
    <w:multiLevelType w:val="multilevel"/>
    <w:tmpl w:val="26B8D81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3E7E250F"/>
    <w:multiLevelType w:val="multilevel"/>
    <w:tmpl w:val="D128990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4B3744F7"/>
    <w:multiLevelType w:val="multilevel"/>
    <w:tmpl w:val="130E681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53413002"/>
    <w:multiLevelType w:val="multilevel"/>
    <w:tmpl w:val="D1E0219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E785FF1"/>
    <w:multiLevelType w:val="multilevel"/>
    <w:tmpl w:val="BDBA36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6369015E"/>
    <w:multiLevelType w:val="multilevel"/>
    <w:tmpl w:val="224E5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5181E98"/>
    <w:multiLevelType w:val="multilevel"/>
    <w:tmpl w:val="AFF6195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65636587"/>
    <w:multiLevelType w:val="multilevel"/>
    <w:tmpl w:val="67B0686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76671D32"/>
    <w:multiLevelType w:val="multilevel"/>
    <w:tmpl w:val="865CFBC2"/>
    <w:lvl w:ilvl="0">
      <w:start w:val="1"/>
      <w:numFmt w:val="decimal"/>
      <w:lvlText w:val="%1."/>
      <w:lvlJc w:val="left"/>
      <w:pPr>
        <w:ind w:left="283" w:hanging="425"/>
      </w:pPr>
      <w:rPr>
        <w:highlight w:val="whit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B8566BD"/>
    <w:multiLevelType w:val="multilevel"/>
    <w:tmpl w:val="70528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C2A3474"/>
    <w:multiLevelType w:val="multilevel"/>
    <w:tmpl w:val="E78A2F0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7CB208F4"/>
    <w:multiLevelType w:val="multilevel"/>
    <w:tmpl w:val="55D4272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7"/>
  </w:num>
  <w:num w:numId="3">
    <w:abstractNumId w:val="0"/>
  </w:num>
  <w:num w:numId="4">
    <w:abstractNumId w:val="12"/>
  </w:num>
  <w:num w:numId="5">
    <w:abstractNumId w:val="9"/>
  </w:num>
  <w:num w:numId="6">
    <w:abstractNumId w:val="5"/>
  </w:num>
  <w:num w:numId="7">
    <w:abstractNumId w:val="8"/>
  </w:num>
  <w:num w:numId="8">
    <w:abstractNumId w:val="2"/>
  </w:num>
  <w:num w:numId="9">
    <w:abstractNumId w:val="14"/>
  </w:num>
  <w:num w:numId="10">
    <w:abstractNumId w:val="13"/>
  </w:num>
  <w:num w:numId="11">
    <w:abstractNumId w:val="15"/>
  </w:num>
  <w:num w:numId="12">
    <w:abstractNumId w:val="1"/>
  </w:num>
  <w:num w:numId="13">
    <w:abstractNumId w:val="16"/>
  </w:num>
  <w:num w:numId="14">
    <w:abstractNumId w:val="6"/>
  </w:num>
  <w:num w:numId="15">
    <w:abstractNumId w:val="10"/>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403"/>
    <w:rsid w:val="000A77E4"/>
    <w:rsid w:val="000D77FB"/>
    <w:rsid w:val="000E3836"/>
    <w:rsid w:val="004A007A"/>
    <w:rsid w:val="00636F9F"/>
    <w:rsid w:val="007961A1"/>
    <w:rsid w:val="00C10BA4"/>
    <w:rsid w:val="00DE7403"/>
    <w:rsid w:val="00E24D76"/>
    <w:rsid w:val="00EE37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2B99"/>
  <w15:docId w15:val="{B276D9BC-A7E9-4676-A6B5-FC2C2092B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2"/>
        <w:szCs w:val="22"/>
        <w:lang w:val="cs-CZ" w:eastAsia="cs-CZ" w:bidi="ar-SA"/>
      </w:rPr>
    </w:rPrDefault>
    <w:pPrDefault>
      <w:pPr>
        <w:spacing w:before="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240" w:after="120" w:line="360" w:lineRule="auto"/>
      <w:outlineLvl w:val="0"/>
    </w:pPr>
    <w:rPr>
      <w:rFonts w:ascii="Arial" w:eastAsia="Arial" w:hAnsi="Arial" w:cs="Arial"/>
      <w:b/>
      <w:sz w:val="32"/>
      <w:szCs w:val="32"/>
    </w:rPr>
  </w:style>
  <w:style w:type="paragraph" w:styleId="Nadpis2">
    <w:name w:val="heading 2"/>
    <w:basedOn w:val="Normln"/>
    <w:next w:val="Normln"/>
    <w:pPr>
      <w:keepNext/>
      <w:keepLines/>
      <w:spacing w:after="120" w:line="360" w:lineRule="auto"/>
      <w:outlineLvl w:val="1"/>
    </w:pPr>
    <w:rPr>
      <w:rFonts w:ascii="Arial" w:eastAsia="Arial" w:hAnsi="Arial" w:cs="Arial"/>
      <w:b/>
      <w:sz w:val="28"/>
      <w:szCs w:val="28"/>
    </w:rPr>
  </w:style>
  <w:style w:type="paragraph" w:styleId="Nadpis3">
    <w:name w:val="heading 3"/>
    <w:basedOn w:val="Normln"/>
    <w:next w:val="Normln"/>
    <w:pPr>
      <w:keepNext/>
      <w:keepLines/>
      <w:spacing w:after="120" w:line="360" w:lineRule="auto"/>
      <w:outlineLvl w:val="2"/>
    </w:pPr>
    <w:rPr>
      <w:b/>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FB"/>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FB"/>
    <w:rPr>
      <w:rFonts w:ascii="Segoe UI" w:hAnsi="Segoe UI" w:cs="Segoe UI"/>
      <w:sz w:val="18"/>
      <w:szCs w:val="18"/>
    </w:rPr>
  </w:style>
  <w:style w:type="paragraph" w:styleId="Zhlav">
    <w:name w:val="header"/>
    <w:basedOn w:val="Normln"/>
    <w:link w:val="ZhlavChar"/>
    <w:uiPriority w:val="99"/>
    <w:unhideWhenUsed/>
    <w:rsid w:val="000D77FB"/>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D77FB"/>
  </w:style>
  <w:style w:type="paragraph" w:styleId="Zpat">
    <w:name w:val="footer"/>
    <w:basedOn w:val="Normln"/>
    <w:link w:val="ZpatChar"/>
    <w:uiPriority w:val="99"/>
    <w:unhideWhenUsed/>
    <w:rsid w:val="000D77FB"/>
    <w:pPr>
      <w:tabs>
        <w:tab w:val="center" w:pos="4536"/>
        <w:tab w:val="right" w:pos="9072"/>
      </w:tabs>
      <w:spacing w:before="0" w:line="240" w:lineRule="auto"/>
    </w:pPr>
  </w:style>
  <w:style w:type="character" w:customStyle="1" w:styleId="ZpatChar">
    <w:name w:val="Zápatí Char"/>
    <w:basedOn w:val="Standardnpsmoodstavce"/>
    <w:link w:val="Zpat"/>
    <w:uiPriority w:val="99"/>
    <w:rsid w:val="000D7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yzkum.army.cz/sites/vyzkum.army.cz/files/dokumenty/zakladni-stranka/iii_koncep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20</Pages>
  <Words>6129</Words>
  <Characters>36164</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uživatel</cp:lastModifiedBy>
  <cp:revision>4</cp:revision>
  <dcterms:created xsi:type="dcterms:W3CDTF">2023-12-01T08:01:00Z</dcterms:created>
  <dcterms:modified xsi:type="dcterms:W3CDTF">2023-12-01T11:39:00Z</dcterms:modified>
</cp:coreProperties>
</file>