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0A8E" w:rsidRDefault="00706C05" w:rsidP="00E10A8E">
      <w:pPr>
        <w:pStyle w:val="Podtitul"/>
        <w:ind w:right="283"/>
        <w:jc w:val="right"/>
        <w:rPr>
          <w:sz w:val="28"/>
          <w:szCs w:val="28"/>
        </w:rPr>
      </w:pPr>
      <w:bookmarkStart w:id="0" w:name="_GoBack"/>
      <w:bookmarkEnd w:id="0"/>
      <w:r>
        <w:rPr>
          <w:sz w:val="28"/>
          <w:szCs w:val="28"/>
        </w:rPr>
        <w:t>I</w:t>
      </w:r>
      <w:r w:rsidR="00932DF7">
        <w:rPr>
          <w:sz w:val="28"/>
          <w:szCs w:val="28"/>
        </w:rPr>
        <w:t>I</w:t>
      </w:r>
      <w:r w:rsidR="00E10A8E" w:rsidRPr="00E10A8E">
        <w:rPr>
          <w:sz w:val="28"/>
          <w:szCs w:val="28"/>
        </w:rPr>
        <w:t>.</w:t>
      </w:r>
    </w:p>
    <w:p w:rsidR="003725CD" w:rsidRPr="003725CD" w:rsidRDefault="003725CD" w:rsidP="003725CD"/>
    <w:p w:rsidR="0019389C" w:rsidRPr="0089063A" w:rsidRDefault="00754A08" w:rsidP="0019389C">
      <w:pPr>
        <w:pStyle w:val="Podtitul"/>
        <w:spacing w:before="3840"/>
        <w:rPr>
          <w:rFonts w:ascii="Times New Roman" w:eastAsia="Arial Unicode MS" w:hAnsi="Times New Roman" w:cs="Times New Roman"/>
          <w:b w:val="0"/>
          <w:iCs w:val="0"/>
          <w:spacing w:val="0"/>
          <w:sz w:val="22"/>
          <w:szCs w:val="22"/>
        </w:rPr>
      </w:pPr>
      <w:r w:rsidRPr="0089063A">
        <w:rPr>
          <w:sz w:val="52"/>
          <w:szCs w:val="56"/>
        </w:rPr>
        <w:t xml:space="preserve">Informace o </w:t>
      </w:r>
      <w:r w:rsidR="00B265D5" w:rsidRPr="0089063A">
        <w:rPr>
          <w:sz w:val="52"/>
          <w:szCs w:val="56"/>
        </w:rPr>
        <w:t xml:space="preserve">stavu přípravy </w:t>
      </w:r>
      <w:r w:rsidR="00C74597" w:rsidRPr="0089063A">
        <w:rPr>
          <w:sz w:val="52"/>
          <w:szCs w:val="56"/>
        </w:rPr>
        <w:t xml:space="preserve">programů </w:t>
      </w:r>
      <w:r w:rsidR="00B265D5" w:rsidRPr="0089063A">
        <w:rPr>
          <w:sz w:val="52"/>
          <w:szCs w:val="56"/>
        </w:rPr>
        <w:t xml:space="preserve">a řešení předběžných podmínek </w:t>
      </w:r>
      <w:r w:rsidR="00C74597" w:rsidRPr="0089063A">
        <w:rPr>
          <w:sz w:val="52"/>
          <w:szCs w:val="56"/>
        </w:rPr>
        <w:t>pro</w:t>
      </w:r>
      <w:r w:rsidR="0019389C" w:rsidRPr="0089063A">
        <w:rPr>
          <w:sz w:val="52"/>
          <w:szCs w:val="56"/>
        </w:rPr>
        <w:t> </w:t>
      </w:r>
      <w:r w:rsidRPr="0089063A">
        <w:rPr>
          <w:sz w:val="52"/>
          <w:szCs w:val="56"/>
        </w:rPr>
        <w:t xml:space="preserve">programové </w:t>
      </w:r>
      <w:r w:rsidR="0019389C" w:rsidRPr="0089063A">
        <w:rPr>
          <w:sz w:val="52"/>
          <w:szCs w:val="56"/>
        </w:rPr>
        <w:t>období </w:t>
      </w:r>
      <w:r w:rsidRPr="0089063A">
        <w:rPr>
          <w:sz w:val="52"/>
          <w:szCs w:val="56"/>
        </w:rPr>
        <w:t>2014–2020</w:t>
      </w:r>
      <w:r w:rsidR="0019389C" w:rsidRPr="0089063A">
        <w:rPr>
          <w:rFonts w:ascii="Times New Roman" w:eastAsia="Arial Unicode MS" w:hAnsi="Times New Roman" w:cs="Times New Roman"/>
          <w:b w:val="0"/>
          <w:iCs w:val="0"/>
          <w:spacing w:val="0"/>
          <w:sz w:val="22"/>
          <w:szCs w:val="22"/>
        </w:rPr>
        <w:t xml:space="preserve"> </w:t>
      </w:r>
    </w:p>
    <w:p w:rsidR="00C74597" w:rsidRDefault="00C74597" w:rsidP="00C74597"/>
    <w:p w:rsidR="00C74597" w:rsidRPr="00085CC8" w:rsidRDefault="00C74597" w:rsidP="00C74597">
      <w:pPr>
        <w:jc w:val="center"/>
        <w:rPr>
          <w:rFonts w:ascii="Arial" w:eastAsiaTheme="majorEastAsia" w:hAnsi="Arial" w:cs="Arial"/>
          <w:b/>
          <w:iCs/>
          <w:spacing w:val="15"/>
          <w:sz w:val="36"/>
          <w:szCs w:val="56"/>
        </w:rPr>
      </w:pPr>
      <w:r w:rsidRPr="00085CC8">
        <w:rPr>
          <w:rFonts w:ascii="Arial" w:eastAsiaTheme="majorEastAsia" w:hAnsi="Arial" w:cs="Arial"/>
          <w:b/>
          <w:iCs/>
          <w:spacing w:val="15"/>
          <w:sz w:val="36"/>
          <w:szCs w:val="56"/>
        </w:rPr>
        <w:t>Pl</w:t>
      </w:r>
      <w:r w:rsidR="00085CC8" w:rsidRPr="00085CC8">
        <w:rPr>
          <w:rFonts w:ascii="Arial" w:eastAsiaTheme="majorEastAsia" w:hAnsi="Arial" w:cs="Arial"/>
          <w:b/>
          <w:iCs/>
          <w:spacing w:val="15"/>
          <w:sz w:val="36"/>
          <w:szCs w:val="56"/>
        </w:rPr>
        <w:t>nění usnesení vlády č. 182/2014</w:t>
      </w:r>
    </w:p>
    <w:p w:rsidR="009D4DEB" w:rsidRPr="009D4DEB" w:rsidRDefault="002C74E9" w:rsidP="003736CE">
      <w:pPr>
        <w:pStyle w:val="Podtitul"/>
        <w:spacing w:before="4920"/>
        <w:rPr>
          <w:sz w:val="28"/>
          <w:szCs w:val="28"/>
        </w:rPr>
      </w:pPr>
      <w:r>
        <w:rPr>
          <w:sz w:val="28"/>
          <w:szCs w:val="28"/>
        </w:rPr>
        <w:t>leden</w:t>
      </w:r>
      <w:r w:rsidR="009445BD">
        <w:rPr>
          <w:sz w:val="28"/>
          <w:szCs w:val="28"/>
        </w:rPr>
        <w:t xml:space="preserve"> </w:t>
      </w:r>
      <w:r>
        <w:rPr>
          <w:sz w:val="28"/>
          <w:szCs w:val="28"/>
        </w:rPr>
        <w:t>2015</w:t>
      </w:r>
    </w:p>
    <w:p w:rsidR="003736CE" w:rsidRDefault="009D4DEB">
      <w:pPr>
        <w:spacing w:before="0" w:line="240" w:lineRule="auto"/>
        <w:jc w:val="left"/>
        <w:rPr>
          <w:rFonts w:ascii="Arial" w:eastAsiaTheme="majorEastAsia" w:hAnsi="Arial" w:cs="Arial"/>
          <w:b/>
          <w:bCs/>
          <w:sz w:val="28"/>
          <w:szCs w:val="28"/>
        </w:rPr>
      </w:pPr>
      <w:r>
        <w:br w:type="page"/>
      </w:r>
    </w:p>
    <w:p w:rsidR="00B265D5" w:rsidRDefault="00E358FF" w:rsidP="00EB677D">
      <w:pPr>
        <w:pStyle w:val="Nadpis1"/>
        <w:numPr>
          <w:ilvl w:val="0"/>
          <w:numId w:val="0"/>
        </w:numPr>
        <w:spacing w:after="0"/>
        <w:ind w:left="425" w:hanging="425"/>
      </w:pPr>
      <w:bookmarkStart w:id="1" w:name="_Toc385492639"/>
      <w:bookmarkStart w:id="2" w:name="_Toc388618011"/>
      <w:bookmarkStart w:id="3" w:name="_Toc391300574"/>
      <w:bookmarkStart w:id="4" w:name="_Toc401148474"/>
      <w:bookmarkStart w:id="5" w:name="_Toc401839048"/>
      <w:bookmarkStart w:id="6" w:name="_Toc401842232"/>
      <w:bookmarkStart w:id="7" w:name="_Toc409196586"/>
      <w:r>
        <w:lastRenderedPageBreak/>
        <w:t>O</w:t>
      </w:r>
      <w:r w:rsidR="000716F1">
        <w:t>bsah</w:t>
      </w:r>
      <w:bookmarkEnd w:id="1"/>
      <w:bookmarkEnd w:id="2"/>
      <w:bookmarkEnd w:id="3"/>
      <w:bookmarkEnd w:id="4"/>
      <w:bookmarkEnd w:id="5"/>
      <w:bookmarkEnd w:id="6"/>
      <w:bookmarkEnd w:id="7"/>
    </w:p>
    <w:bookmarkStart w:id="8" w:name="_Toc401148475" w:displacedByCustomXml="next"/>
    <w:bookmarkStart w:id="9" w:name="_Toc385492638" w:displacedByCustomXml="next"/>
    <w:bookmarkStart w:id="10" w:name="_Toc352675895" w:displacedByCustomXml="next"/>
    <w:sdt>
      <w:sdtPr>
        <w:rPr>
          <w:b/>
          <w:bCs/>
        </w:rPr>
        <w:id w:val="-1186136570"/>
        <w:docPartObj>
          <w:docPartGallery w:val="Table of Contents"/>
          <w:docPartUnique/>
        </w:docPartObj>
      </w:sdtPr>
      <w:sdtEndPr>
        <w:rPr>
          <w:rFonts w:ascii="Arial" w:hAnsi="Arial" w:cs="Arial"/>
          <w:b w:val="0"/>
          <w:bCs w:val="0"/>
        </w:rPr>
      </w:sdtEndPr>
      <w:sdtContent>
        <w:p w:rsidR="00015D8A" w:rsidRPr="00A756F5" w:rsidRDefault="008A3716" w:rsidP="00EB677D">
          <w:pPr>
            <w:rPr>
              <w:rFonts w:ascii="Arial" w:eastAsiaTheme="minorEastAsia" w:hAnsi="Arial" w:cs="Arial"/>
              <w:noProof/>
            </w:rPr>
          </w:pPr>
          <w:r w:rsidRPr="00015D8A">
            <w:fldChar w:fldCharType="begin"/>
          </w:r>
          <w:r w:rsidRPr="00015D8A">
            <w:instrText xml:space="preserve"> TOC \o "1-3" \h \z \u </w:instrText>
          </w:r>
          <w:r w:rsidRPr="00015D8A">
            <w:fldChar w:fldCharType="separate"/>
          </w:r>
        </w:p>
        <w:p w:rsidR="00015D8A" w:rsidRPr="00A756F5" w:rsidRDefault="004E0FD7" w:rsidP="00EB677D">
          <w:pPr>
            <w:pStyle w:val="Obsah1"/>
            <w:rPr>
              <w:rFonts w:eastAsiaTheme="minorEastAsia"/>
            </w:rPr>
          </w:pPr>
          <w:hyperlink w:anchor="_Toc409196587" w:history="1">
            <w:r w:rsidR="00015D8A" w:rsidRPr="00A756F5">
              <w:rPr>
                <w:rStyle w:val="Hypertextovodkaz"/>
                <w:b/>
              </w:rPr>
              <w:t>Úvod</w:t>
            </w:r>
            <w:r w:rsidR="00015D8A" w:rsidRPr="00A756F5">
              <w:rPr>
                <w:webHidden/>
              </w:rPr>
              <w:tab/>
            </w:r>
            <w:r w:rsidR="00015D8A" w:rsidRPr="00A756F5">
              <w:rPr>
                <w:webHidden/>
              </w:rPr>
              <w:fldChar w:fldCharType="begin"/>
            </w:r>
            <w:r w:rsidR="00015D8A" w:rsidRPr="00A756F5">
              <w:rPr>
                <w:webHidden/>
              </w:rPr>
              <w:instrText xml:space="preserve"> PAGEREF _Toc409196587 \h </w:instrText>
            </w:r>
            <w:r w:rsidR="00015D8A" w:rsidRPr="00A756F5">
              <w:rPr>
                <w:webHidden/>
              </w:rPr>
            </w:r>
            <w:r w:rsidR="00015D8A" w:rsidRPr="00A756F5">
              <w:rPr>
                <w:webHidden/>
              </w:rPr>
              <w:fldChar w:fldCharType="separate"/>
            </w:r>
            <w:r w:rsidR="000C3E5B">
              <w:rPr>
                <w:webHidden/>
              </w:rPr>
              <w:t>3</w:t>
            </w:r>
            <w:r w:rsidR="00015D8A" w:rsidRPr="00A756F5">
              <w:rPr>
                <w:webHidden/>
              </w:rPr>
              <w:fldChar w:fldCharType="end"/>
            </w:r>
          </w:hyperlink>
        </w:p>
        <w:p w:rsidR="00015D8A" w:rsidRPr="00A756F5" w:rsidRDefault="004E0FD7" w:rsidP="00EB677D">
          <w:pPr>
            <w:pStyle w:val="Obsah1"/>
            <w:rPr>
              <w:rFonts w:eastAsiaTheme="minorEastAsia"/>
            </w:rPr>
          </w:pPr>
          <w:hyperlink w:anchor="_Toc409196588" w:history="1">
            <w:r w:rsidR="00015D8A" w:rsidRPr="00A756F5">
              <w:rPr>
                <w:rStyle w:val="Hypertextovodkaz"/>
                <w:b/>
              </w:rPr>
              <w:t>1.</w:t>
            </w:r>
            <w:r w:rsidR="00015D8A" w:rsidRPr="00A756F5">
              <w:rPr>
                <w:rFonts w:eastAsiaTheme="minorEastAsia"/>
              </w:rPr>
              <w:tab/>
            </w:r>
            <w:r w:rsidR="00015D8A" w:rsidRPr="00A756F5">
              <w:rPr>
                <w:rStyle w:val="Hypertextovodkaz"/>
                <w:b/>
              </w:rPr>
              <w:t>Aktuální stav vyjednávání programů s EK</w:t>
            </w:r>
            <w:r w:rsidR="00015D8A" w:rsidRPr="00A756F5">
              <w:rPr>
                <w:webHidden/>
              </w:rPr>
              <w:tab/>
            </w:r>
            <w:r w:rsidR="00015D8A" w:rsidRPr="00A756F5">
              <w:rPr>
                <w:webHidden/>
              </w:rPr>
              <w:fldChar w:fldCharType="begin"/>
            </w:r>
            <w:r w:rsidR="00015D8A" w:rsidRPr="00A756F5">
              <w:rPr>
                <w:webHidden/>
              </w:rPr>
              <w:instrText xml:space="preserve"> PAGEREF _Toc409196588 \h </w:instrText>
            </w:r>
            <w:r w:rsidR="00015D8A" w:rsidRPr="00A756F5">
              <w:rPr>
                <w:webHidden/>
              </w:rPr>
            </w:r>
            <w:r w:rsidR="00015D8A" w:rsidRPr="00A756F5">
              <w:rPr>
                <w:webHidden/>
              </w:rPr>
              <w:fldChar w:fldCharType="separate"/>
            </w:r>
            <w:r w:rsidR="000C3E5B">
              <w:rPr>
                <w:webHidden/>
              </w:rPr>
              <w:t>5</w:t>
            </w:r>
            <w:r w:rsidR="00015D8A" w:rsidRPr="00A756F5">
              <w:rPr>
                <w:webHidden/>
              </w:rPr>
              <w:fldChar w:fldCharType="end"/>
            </w:r>
          </w:hyperlink>
        </w:p>
        <w:p w:rsidR="00015D8A" w:rsidRPr="00A756F5" w:rsidRDefault="004E0FD7" w:rsidP="00EB677D">
          <w:pPr>
            <w:pStyle w:val="Obsah2"/>
            <w:rPr>
              <w:rFonts w:ascii="Arial" w:eastAsiaTheme="minorEastAsia" w:hAnsi="Arial" w:cs="Arial"/>
              <w:noProof/>
            </w:rPr>
          </w:pPr>
          <w:hyperlink w:anchor="_Toc409196589" w:history="1">
            <w:r w:rsidR="00015D8A" w:rsidRPr="00A756F5">
              <w:rPr>
                <w:rStyle w:val="Hypertextovodkaz"/>
                <w:rFonts w:ascii="Arial" w:hAnsi="Arial" w:cs="Arial"/>
                <w:noProof/>
              </w:rPr>
              <w:t>1.1.</w:t>
            </w:r>
            <w:r w:rsidR="00015D8A" w:rsidRPr="00A756F5">
              <w:rPr>
                <w:rFonts w:ascii="Arial" w:eastAsiaTheme="minorEastAsia" w:hAnsi="Arial" w:cs="Arial"/>
                <w:noProof/>
              </w:rPr>
              <w:tab/>
            </w:r>
            <w:r w:rsidR="00015D8A" w:rsidRPr="00A756F5">
              <w:rPr>
                <w:rStyle w:val="Hypertextovodkaz"/>
                <w:rFonts w:ascii="Arial" w:hAnsi="Arial" w:cs="Arial"/>
                <w:noProof/>
              </w:rPr>
              <w:t>Stav vyjednávání českých programů s EK</w:t>
            </w:r>
            <w:r w:rsidR="00015D8A" w:rsidRPr="00A756F5">
              <w:rPr>
                <w:rFonts w:ascii="Arial" w:hAnsi="Arial" w:cs="Arial"/>
                <w:noProof/>
                <w:webHidden/>
              </w:rPr>
              <w:tab/>
            </w:r>
            <w:r w:rsidR="00015D8A" w:rsidRPr="00A756F5">
              <w:rPr>
                <w:rFonts w:ascii="Arial" w:hAnsi="Arial" w:cs="Arial"/>
                <w:noProof/>
                <w:webHidden/>
              </w:rPr>
              <w:fldChar w:fldCharType="begin"/>
            </w:r>
            <w:r w:rsidR="00015D8A" w:rsidRPr="00A756F5">
              <w:rPr>
                <w:rFonts w:ascii="Arial" w:hAnsi="Arial" w:cs="Arial"/>
                <w:noProof/>
                <w:webHidden/>
              </w:rPr>
              <w:instrText xml:space="preserve"> PAGEREF _Toc409196589 \h </w:instrText>
            </w:r>
            <w:r w:rsidR="00015D8A" w:rsidRPr="00A756F5">
              <w:rPr>
                <w:rFonts w:ascii="Arial" w:hAnsi="Arial" w:cs="Arial"/>
                <w:noProof/>
                <w:webHidden/>
              </w:rPr>
            </w:r>
            <w:r w:rsidR="00015D8A" w:rsidRPr="00A756F5">
              <w:rPr>
                <w:rFonts w:ascii="Arial" w:hAnsi="Arial" w:cs="Arial"/>
                <w:noProof/>
                <w:webHidden/>
              </w:rPr>
              <w:fldChar w:fldCharType="separate"/>
            </w:r>
            <w:r w:rsidR="000C3E5B">
              <w:rPr>
                <w:rFonts w:ascii="Arial" w:hAnsi="Arial" w:cs="Arial"/>
                <w:noProof/>
                <w:webHidden/>
              </w:rPr>
              <w:t>5</w:t>
            </w:r>
            <w:r w:rsidR="00015D8A" w:rsidRPr="00A756F5">
              <w:rPr>
                <w:rFonts w:ascii="Arial" w:hAnsi="Arial" w:cs="Arial"/>
                <w:noProof/>
                <w:webHidden/>
              </w:rPr>
              <w:fldChar w:fldCharType="end"/>
            </w:r>
          </w:hyperlink>
        </w:p>
        <w:p w:rsidR="00015D8A" w:rsidRPr="00A756F5" w:rsidRDefault="004E0FD7" w:rsidP="00EB677D">
          <w:pPr>
            <w:pStyle w:val="Obsah2"/>
            <w:rPr>
              <w:rFonts w:ascii="Arial" w:eastAsiaTheme="minorEastAsia" w:hAnsi="Arial" w:cs="Arial"/>
              <w:noProof/>
            </w:rPr>
          </w:pPr>
          <w:hyperlink w:anchor="_Toc409196600" w:history="1">
            <w:r w:rsidR="00015D8A" w:rsidRPr="00A756F5">
              <w:rPr>
                <w:rStyle w:val="Hypertextovodkaz"/>
                <w:rFonts w:ascii="Arial" w:hAnsi="Arial" w:cs="Arial"/>
                <w:noProof/>
              </w:rPr>
              <w:t>1.2.</w:t>
            </w:r>
            <w:r w:rsidR="00015D8A" w:rsidRPr="00A756F5">
              <w:rPr>
                <w:rFonts w:ascii="Arial" w:eastAsiaTheme="minorEastAsia" w:hAnsi="Arial" w:cs="Arial"/>
                <w:noProof/>
              </w:rPr>
              <w:tab/>
            </w:r>
            <w:r w:rsidR="00015D8A" w:rsidRPr="00A756F5">
              <w:rPr>
                <w:rStyle w:val="Hypertextovodkaz"/>
                <w:rFonts w:ascii="Arial" w:hAnsi="Arial" w:cs="Arial"/>
                <w:noProof/>
              </w:rPr>
              <w:t>Aktuální stav vyjednávání programů s EK v ostatních členských státech EU</w:t>
            </w:r>
            <w:r w:rsidR="00015D8A" w:rsidRPr="00A756F5">
              <w:rPr>
                <w:rFonts w:ascii="Arial" w:hAnsi="Arial" w:cs="Arial"/>
                <w:noProof/>
                <w:webHidden/>
              </w:rPr>
              <w:tab/>
            </w:r>
            <w:r w:rsidR="00015D8A" w:rsidRPr="00A756F5">
              <w:rPr>
                <w:rFonts w:ascii="Arial" w:hAnsi="Arial" w:cs="Arial"/>
                <w:noProof/>
                <w:webHidden/>
              </w:rPr>
              <w:fldChar w:fldCharType="begin"/>
            </w:r>
            <w:r w:rsidR="00015D8A" w:rsidRPr="00A756F5">
              <w:rPr>
                <w:rFonts w:ascii="Arial" w:hAnsi="Arial" w:cs="Arial"/>
                <w:noProof/>
                <w:webHidden/>
              </w:rPr>
              <w:instrText xml:space="preserve"> PAGEREF _Toc409196600 \h </w:instrText>
            </w:r>
            <w:r w:rsidR="00015D8A" w:rsidRPr="00A756F5">
              <w:rPr>
                <w:rFonts w:ascii="Arial" w:hAnsi="Arial" w:cs="Arial"/>
                <w:noProof/>
                <w:webHidden/>
              </w:rPr>
            </w:r>
            <w:r w:rsidR="00015D8A" w:rsidRPr="00A756F5">
              <w:rPr>
                <w:rFonts w:ascii="Arial" w:hAnsi="Arial" w:cs="Arial"/>
                <w:noProof/>
                <w:webHidden/>
              </w:rPr>
              <w:fldChar w:fldCharType="separate"/>
            </w:r>
            <w:r w:rsidR="000C3E5B">
              <w:rPr>
                <w:rFonts w:ascii="Arial" w:hAnsi="Arial" w:cs="Arial"/>
                <w:noProof/>
                <w:webHidden/>
              </w:rPr>
              <w:t>6</w:t>
            </w:r>
            <w:r w:rsidR="00015D8A" w:rsidRPr="00A756F5">
              <w:rPr>
                <w:rFonts w:ascii="Arial" w:hAnsi="Arial" w:cs="Arial"/>
                <w:noProof/>
                <w:webHidden/>
              </w:rPr>
              <w:fldChar w:fldCharType="end"/>
            </w:r>
          </w:hyperlink>
        </w:p>
        <w:p w:rsidR="00015D8A" w:rsidRPr="00A756F5" w:rsidRDefault="004E0FD7" w:rsidP="00EB677D">
          <w:pPr>
            <w:pStyle w:val="Obsah1"/>
            <w:rPr>
              <w:rFonts w:eastAsiaTheme="minorEastAsia"/>
            </w:rPr>
          </w:pPr>
          <w:hyperlink w:anchor="_Toc409196601" w:history="1">
            <w:r w:rsidR="00015D8A" w:rsidRPr="00A756F5">
              <w:rPr>
                <w:rStyle w:val="Hypertextovodkaz"/>
                <w:b/>
              </w:rPr>
              <w:t>2.</w:t>
            </w:r>
            <w:r w:rsidR="00015D8A" w:rsidRPr="00A756F5">
              <w:rPr>
                <w:rFonts w:eastAsiaTheme="minorEastAsia"/>
              </w:rPr>
              <w:tab/>
            </w:r>
            <w:r w:rsidR="00015D8A" w:rsidRPr="00A756F5">
              <w:rPr>
                <w:rStyle w:val="Hypertextovodkaz"/>
                <w:b/>
              </w:rPr>
              <w:t>Předběžné podmínky</w:t>
            </w:r>
            <w:r w:rsidR="00015D8A" w:rsidRPr="00A756F5">
              <w:rPr>
                <w:webHidden/>
              </w:rPr>
              <w:tab/>
            </w:r>
            <w:r w:rsidR="00015D8A" w:rsidRPr="00A756F5">
              <w:rPr>
                <w:webHidden/>
              </w:rPr>
              <w:fldChar w:fldCharType="begin"/>
            </w:r>
            <w:r w:rsidR="00015D8A" w:rsidRPr="00A756F5">
              <w:rPr>
                <w:webHidden/>
              </w:rPr>
              <w:instrText xml:space="preserve"> PAGEREF _Toc409196601 \h </w:instrText>
            </w:r>
            <w:r w:rsidR="00015D8A" w:rsidRPr="00A756F5">
              <w:rPr>
                <w:webHidden/>
              </w:rPr>
            </w:r>
            <w:r w:rsidR="00015D8A" w:rsidRPr="00A756F5">
              <w:rPr>
                <w:webHidden/>
              </w:rPr>
              <w:fldChar w:fldCharType="separate"/>
            </w:r>
            <w:r w:rsidR="000C3E5B">
              <w:rPr>
                <w:webHidden/>
              </w:rPr>
              <w:t>10</w:t>
            </w:r>
            <w:r w:rsidR="00015D8A" w:rsidRPr="00A756F5">
              <w:rPr>
                <w:webHidden/>
              </w:rPr>
              <w:fldChar w:fldCharType="end"/>
            </w:r>
          </w:hyperlink>
        </w:p>
        <w:p w:rsidR="00015D8A" w:rsidRPr="00A756F5" w:rsidRDefault="004E0FD7" w:rsidP="00EB677D">
          <w:pPr>
            <w:pStyle w:val="Obsah1"/>
            <w:rPr>
              <w:rFonts w:eastAsiaTheme="minorEastAsia"/>
            </w:rPr>
          </w:pPr>
          <w:hyperlink w:anchor="_Toc409196606" w:history="1">
            <w:r w:rsidR="00015D8A" w:rsidRPr="00A756F5">
              <w:rPr>
                <w:rStyle w:val="Hypertextovodkaz"/>
                <w:b/>
              </w:rPr>
              <w:t>3.</w:t>
            </w:r>
            <w:r w:rsidR="00015D8A" w:rsidRPr="00A756F5">
              <w:rPr>
                <w:rFonts w:eastAsiaTheme="minorEastAsia"/>
              </w:rPr>
              <w:tab/>
            </w:r>
            <w:r w:rsidR="00015D8A" w:rsidRPr="00A756F5">
              <w:rPr>
                <w:rStyle w:val="Hypertextovodkaz"/>
                <w:b/>
              </w:rPr>
              <w:t>Další aktuální oblasti v rámci přípravy 2014–2020</w:t>
            </w:r>
            <w:r w:rsidR="00015D8A" w:rsidRPr="00A756F5">
              <w:rPr>
                <w:webHidden/>
              </w:rPr>
              <w:tab/>
            </w:r>
            <w:r w:rsidR="00015D8A" w:rsidRPr="00A756F5">
              <w:rPr>
                <w:webHidden/>
              </w:rPr>
              <w:fldChar w:fldCharType="begin"/>
            </w:r>
            <w:r w:rsidR="00015D8A" w:rsidRPr="00A756F5">
              <w:rPr>
                <w:webHidden/>
              </w:rPr>
              <w:instrText xml:space="preserve"> PAGEREF _Toc409196606 \h </w:instrText>
            </w:r>
            <w:r w:rsidR="00015D8A" w:rsidRPr="00A756F5">
              <w:rPr>
                <w:webHidden/>
              </w:rPr>
            </w:r>
            <w:r w:rsidR="00015D8A" w:rsidRPr="00A756F5">
              <w:rPr>
                <w:webHidden/>
              </w:rPr>
              <w:fldChar w:fldCharType="separate"/>
            </w:r>
            <w:r w:rsidR="000C3E5B">
              <w:rPr>
                <w:webHidden/>
              </w:rPr>
              <w:t>15</w:t>
            </w:r>
            <w:r w:rsidR="00015D8A" w:rsidRPr="00A756F5">
              <w:rPr>
                <w:webHidden/>
              </w:rPr>
              <w:fldChar w:fldCharType="end"/>
            </w:r>
          </w:hyperlink>
        </w:p>
        <w:p w:rsidR="00015D8A" w:rsidRPr="00A756F5" w:rsidRDefault="004E0FD7" w:rsidP="00EB677D">
          <w:pPr>
            <w:pStyle w:val="Obsah1"/>
            <w:rPr>
              <w:rFonts w:eastAsiaTheme="minorEastAsia"/>
            </w:rPr>
          </w:pPr>
          <w:hyperlink w:anchor="_Toc409196610" w:history="1">
            <w:r w:rsidR="00015D8A" w:rsidRPr="00A756F5">
              <w:rPr>
                <w:rStyle w:val="Hypertextovodkaz"/>
                <w:b/>
                <w:bdr w:val="nil"/>
              </w:rPr>
              <w:t>4.</w:t>
            </w:r>
            <w:r w:rsidR="00015D8A" w:rsidRPr="00A756F5">
              <w:rPr>
                <w:rFonts w:eastAsiaTheme="minorEastAsia"/>
              </w:rPr>
              <w:tab/>
            </w:r>
            <w:r w:rsidR="00015D8A" w:rsidRPr="00A756F5">
              <w:rPr>
                <w:rStyle w:val="Hypertextovodkaz"/>
                <w:b/>
                <w:bdr w:val="nil"/>
              </w:rPr>
              <w:t>Oblasti nejednotného přístupu EK k jednotlivým členským státům</w:t>
            </w:r>
            <w:r w:rsidR="00015D8A" w:rsidRPr="00A756F5">
              <w:rPr>
                <w:webHidden/>
              </w:rPr>
              <w:tab/>
            </w:r>
            <w:r w:rsidR="00015D8A" w:rsidRPr="00A756F5">
              <w:rPr>
                <w:webHidden/>
              </w:rPr>
              <w:fldChar w:fldCharType="begin"/>
            </w:r>
            <w:r w:rsidR="00015D8A" w:rsidRPr="00A756F5">
              <w:rPr>
                <w:webHidden/>
              </w:rPr>
              <w:instrText xml:space="preserve"> PAGEREF _Toc409196610 \h </w:instrText>
            </w:r>
            <w:r w:rsidR="00015D8A" w:rsidRPr="00A756F5">
              <w:rPr>
                <w:webHidden/>
              </w:rPr>
            </w:r>
            <w:r w:rsidR="00015D8A" w:rsidRPr="00A756F5">
              <w:rPr>
                <w:webHidden/>
              </w:rPr>
              <w:fldChar w:fldCharType="separate"/>
            </w:r>
            <w:r w:rsidR="000C3E5B">
              <w:rPr>
                <w:webHidden/>
              </w:rPr>
              <w:t>16</w:t>
            </w:r>
            <w:r w:rsidR="00015D8A" w:rsidRPr="00A756F5">
              <w:rPr>
                <w:webHidden/>
              </w:rPr>
              <w:fldChar w:fldCharType="end"/>
            </w:r>
          </w:hyperlink>
        </w:p>
        <w:p w:rsidR="00015D8A" w:rsidRPr="00A756F5" w:rsidRDefault="004E0FD7" w:rsidP="00EB677D">
          <w:pPr>
            <w:pStyle w:val="Obsah2"/>
            <w:rPr>
              <w:rFonts w:ascii="Arial" w:eastAsiaTheme="minorEastAsia" w:hAnsi="Arial" w:cs="Arial"/>
              <w:noProof/>
            </w:rPr>
          </w:pPr>
          <w:hyperlink w:anchor="_Toc409196611" w:history="1">
            <w:r w:rsidR="00015D8A" w:rsidRPr="00A756F5">
              <w:rPr>
                <w:rStyle w:val="Hypertextovodkaz"/>
                <w:rFonts w:ascii="Arial" w:hAnsi="Arial" w:cs="Arial"/>
                <w:noProof/>
              </w:rPr>
              <w:t>4.1.</w:t>
            </w:r>
            <w:r w:rsidR="00015D8A" w:rsidRPr="00A756F5">
              <w:rPr>
                <w:rFonts w:ascii="Arial" w:eastAsiaTheme="minorEastAsia" w:hAnsi="Arial" w:cs="Arial"/>
                <w:noProof/>
              </w:rPr>
              <w:tab/>
            </w:r>
            <w:r w:rsidR="00015D8A" w:rsidRPr="00A756F5">
              <w:rPr>
                <w:rStyle w:val="Hypertextovodkaz"/>
                <w:rFonts w:ascii="Arial" w:hAnsi="Arial" w:cs="Arial"/>
                <w:noProof/>
              </w:rPr>
              <w:t>Předběžná podmínka Služební zákon (T 11) – Srovnání zákona o státní službě v</w:t>
            </w:r>
            <w:r w:rsidR="00EB677D" w:rsidRPr="00A756F5">
              <w:rPr>
                <w:rStyle w:val="Hypertextovodkaz"/>
                <w:rFonts w:ascii="Arial" w:hAnsi="Arial" w:cs="Arial"/>
                <w:noProof/>
              </w:rPr>
              <w:t> </w:t>
            </w:r>
            <w:r w:rsidR="00015D8A" w:rsidRPr="00A756F5">
              <w:rPr>
                <w:rStyle w:val="Hypertextovodkaz"/>
                <w:rFonts w:ascii="Arial" w:hAnsi="Arial" w:cs="Arial"/>
                <w:noProof/>
              </w:rPr>
              <w:t>České republice a Slovenské republice – hlavní body, shrnutí</w:t>
            </w:r>
            <w:r w:rsidR="00015D8A" w:rsidRPr="00A756F5">
              <w:rPr>
                <w:rFonts w:ascii="Arial" w:hAnsi="Arial" w:cs="Arial"/>
                <w:noProof/>
                <w:webHidden/>
              </w:rPr>
              <w:tab/>
            </w:r>
            <w:r w:rsidR="00015D8A" w:rsidRPr="00A756F5">
              <w:rPr>
                <w:rFonts w:ascii="Arial" w:hAnsi="Arial" w:cs="Arial"/>
                <w:noProof/>
                <w:webHidden/>
              </w:rPr>
              <w:fldChar w:fldCharType="begin"/>
            </w:r>
            <w:r w:rsidR="00015D8A" w:rsidRPr="00A756F5">
              <w:rPr>
                <w:rFonts w:ascii="Arial" w:hAnsi="Arial" w:cs="Arial"/>
                <w:noProof/>
                <w:webHidden/>
              </w:rPr>
              <w:instrText xml:space="preserve"> PAGEREF _Toc409196611 \h </w:instrText>
            </w:r>
            <w:r w:rsidR="00015D8A" w:rsidRPr="00A756F5">
              <w:rPr>
                <w:rFonts w:ascii="Arial" w:hAnsi="Arial" w:cs="Arial"/>
                <w:noProof/>
                <w:webHidden/>
              </w:rPr>
            </w:r>
            <w:r w:rsidR="00015D8A" w:rsidRPr="00A756F5">
              <w:rPr>
                <w:rFonts w:ascii="Arial" w:hAnsi="Arial" w:cs="Arial"/>
                <w:noProof/>
                <w:webHidden/>
              </w:rPr>
              <w:fldChar w:fldCharType="separate"/>
            </w:r>
            <w:r w:rsidR="000C3E5B">
              <w:rPr>
                <w:rFonts w:ascii="Arial" w:hAnsi="Arial" w:cs="Arial"/>
                <w:noProof/>
                <w:webHidden/>
              </w:rPr>
              <w:t>16</w:t>
            </w:r>
            <w:r w:rsidR="00015D8A" w:rsidRPr="00A756F5">
              <w:rPr>
                <w:rFonts w:ascii="Arial" w:hAnsi="Arial" w:cs="Arial"/>
                <w:noProof/>
                <w:webHidden/>
              </w:rPr>
              <w:fldChar w:fldCharType="end"/>
            </w:r>
          </w:hyperlink>
        </w:p>
        <w:p w:rsidR="00015D8A" w:rsidRPr="00A756F5" w:rsidRDefault="004E0FD7" w:rsidP="00EB677D">
          <w:pPr>
            <w:pStyle w:val="Obsah2"/>
            <w:rPr>
              <w:rFonts w:ascii="Arial" w:eastAsiaTheme="minorEastAsia" w:hAnsi="Arial" w:cs="Arial"/>
              <w:noProof/>
            </w:rPr>
          </w:pPr>
          <w:hyperlink w:anchor="_Toc409196613" w:history="1">
            <w:r w:rsidR="00015D8A" w:rsidRPr="00A756F5">
              <w:rPr>
                <w:rStyle w:val="Hypertextovodkaz"/>
                <w:rFonts w:ascii="Arial" w:hAnsi="Arial" w:cs="Arial"/>
                <w:noProof/>
              </w:rPr>
              <w:t>4.2.</w:t>
            </w:r>
            <w:r w:rsidR="00015D8A" w:rsidRPr="00A756F5">
              <w:rPr>
                <w:rFonts w:ascii="Arial" w:eastAsiaTheme="minorEastAsia" w:hAnsi="Arial" w:cs="Arial"/>
                <w:noProof/>
              </w:rPr>
              <w:tab/>
            </w:r>
            <w:r w:rsidR="00015D8A" w:rsidRPr="00A756F5">
              <w:rPr>
                <w:rStyle w:val="Hypertextovodkaz"/>
                <w:rFonts w:ascii="Arial" w:hAnsi="Arial" w:cs="Arial"/>
                <w:noProof/>
              </w:rPr>
              <w:t>Předběžná podmínka Veřejné zakázky (O</w:t>
            </w:r>
            <w:r w:rsidR="008A282E">
              <w:rPr>
                <w:rStyle w:val="Hypertextovodkaz"/>
                <w:rFonts w:ascii="Arial" w:hAnsi="Arial" w:cs="Arial"/>
                <w:noProof/>
              </w:rPr>
              <w:t xml:space="preserve"> </w:t>
            </w:r>
            <w:r w:rsidR="00015D8A" w:rsidRPr="00A756F5">
              <w:rPr>
                <w:rStyle w:val="Hypertextovodkaz"/>
                <w:rFonts w:ascii="Arial" w:hAnsi="Arial" w:cs="Arial"/>
                <w:noProof/>
              </w:rPr>
              <w:t>4) – požadavek na zavedení jednoho Centrálního registru smluv</w:t>
            </w:r>
            <w:r w:rsidR="00015D8A" w:rsidRPr="00A756F5">
              <w:rPr>
                <w:rFonts w:ascii="Arial" w:hAnsi="Arial" w:cs="Arial"/>
                <w:noProof/>
                <w:webHidden/>
              </w:rPr>
              <w:tab/>
            </w:r>
            <w:r w:rsidR="00015D8A" w:rsidRPr="00A756F5">
              <w:rPr>
                <w:rFonts w:ascii="Arial" w:hAnsi="Arial" w:cs="Arial"/>
                <w:noProof/>
                <w:webHidden/>
              </w:rPr>
              <w:fldChar w:fldCharType="begin"/>
            </w:r>
            <w:r w:rsidR="00015D8A" w:rsidRPr="00A756F5">
              <w:rPr>
                <w:rFonts w:ascii="Arial" w:hAnsi="Arial" w:cs="Arial"/>
                <w:noProof/>
                <w:webHidden/>
              </w:rPr>
              <w:instrText xml:space="preserve"> PAGEREF _Toc409196613 \h </w:instrText>
            </w:r>
            <w:r w:rsidR="00015D8A" w:rsidRPr="00A756F5">
              <w:rPr>
                <w:rFonts w:ascii="Arial" w:hAnsi="Arial" w:cs="Arial"/>
                <w:noProof/>
                <w:webHidden/>
              </w:rPr>
            </w:r>
            <w:r w:rsidR="00015D8A" w:rsidRPr="00A756F5">
              <w:rPr>
                <w:rFonts w:ascii="Arial" w:hAnsi="Arial" w:cs="Arial"/>
                <w:noProof/>
                <w:webHidden/>
              </w:rPr>
              <w:fldChar w:fldCharType="separate"/>
            </w:r>
            <w:r w:rsidR="000C3E5B">
              <w:rPr>
                <w:rFonts w:ascii="Arial" w:hAnsi="Arial" w:cs="Arial"/>
                <w:noProof/>
                <w:webHidden/>
              </w:rPr>
              <w:t>20</w:t>
            </w:r>
            <w:r w:rsidR="00015D8A" w:rsidRPr="00A756F5">
              <w:rPr>
                <w:rFonts w:ascii="Arial" w:hAnsi="Arial" w:cs="Arial"/>
                <w:noProof/>
                <w:webHidden/>
              </w:rPr>
              <w:fldChar w:fldCharType="end"/>
            </w:r>
          </w:hyperlink>
        </w:p>
        <w:p w:rsidR="00015D8A" w:rsidRPr="00A756F5" w:rsidRDefault="004E0FD7" w:rsidP="00EB677D">
          <w:pPr>
            <w:pStyle w:val="Obsah2"/>
            <w:rPr>
              <w:rFonts w:ascii="Arial" w:eastAsiaTheme="minorEastAsia" w:hAnsi="Arial" w:cs="Arial"/>
              <w:noProof/>
            </w:rPr>
          </w:pPr>
          <w:hyperlink w:anchor="_Toc409196616" w:history="1">
            <w:r w:rsidR="00015D8A" w:rsidRPr="00A756F5">
              <w:rPr>
                <w:rStyle w:val="Hypertextovodkaz"/>
                <w:rFonts w:ascii="Arial" w:hAnsi="Arial" w:cs="Arial"/>
                <w:noProof/>
              </w:rPr>
              <w:t>4.3.</w:t>
            </w:r>
            <w:r w:rsidR="00015D8A" w:rsidRPr="00A756F5">
              <w:rPr>
                <w:rFonts w:ascii="Arial" w:eastAsiaTheme="minorEastAsia" w:hAnsi="Arial" w:cs="Arial"/>
                <w:noProof/>
              </w:rPr>
              <w:tab/>
            </w:r>
            <w:r w:rsidR="00015D8A" w:rsidRPr="00A756F5">
              <w:rPr>
                <w:rStyle w:val="Hypertextovodkaz"/>
                <w:rFonts w:ascii="Arial" w:hAnsi="Arial" w:cs="Arial"/>
                <w:noProof/>
              </w:rPr>
              <w:t>Financování operací mimo programové území</w:t>
            </w:r>
            <w:r w:rsidR="00015D8A" w:rsidRPr="00A756F5">
              <w:rPr>
                <w:rFonts w:ascii="Arial" w:hAnsi="Arial" w:cs="Arial"/>
                <w:noProof/>
                <w:webHidden/>
              </w:rPr>
              <w:tab/>
            </w:r>
            <w:r w:rsidR="00015D8A" w:rsidRPr="00A756F5">
              <w:rPr>
                <w:rFonts w:ascii="Arial" w:hAnsi="Arial" w:cs="Arial"/>
                <w:noProof/>
                <w:webHidden/>
              </w:rPr>
              <w:fldChar w:fldCharType="begin"/>
            </w:r>
            <w:r w:rsidR="00015D8A" w:rsidRPr="00A756F5">
              <w:rPr>
                <w:rFonts w:ascii="Arial" w:hAnsi="Arial" w:cs="Arial"/>
                <w:noProof/>
                <w:webHidden/>
              </w:rPr>
              <w:instrText xml:space="preserve"> PAGEREF _Toc409196616 \h </w:instrText>
            </w:r>
            <w:r w:rsidR="00015D8A" w:rsidRPr="00A756F5">
              <w:rPr>
                <w:rFonts w:ascii="Arial" w:hAnsi="Arial" w:cs="Arial"/>
                <w:noProof/>
                <w:webHidden/>
              </w:rPr>
            </w:r>
            <w:r w:rsidR="00015D8A" w:rsidRPr="00A756F5">
              <w:rPr>
                <w:rFonts w:ascii="Arial" w:hAnsi="Arial" w:cs="Arial"/>
                <w:noProof/>
                <w:webHidden/>
              </w:rPr>
              <w:fldChar w:fldCharType="separate"/>
            </w:r>
            <w:r w:rsidR="000C3E5B">
              <w:rPr>
                <w:rFonts w:ascii="Arial" w:hAnsi="Arial" w:cs="Arial"/>
                <w:noProof/>
                <w:webHidden/>
              </w:rPr>
              <w:t>21</w:t>
            </w:r>
            <w:r w:rsidR="00015D8A" w:rsidRPr="00A756F5">
              <w:rPr>
                <w:rFonts w:ascii="Arial" w:hAnsi="Arial" w:cs="Arial"/>
                <w:noProof/>
                <w:webHidden/>
              </w:rPr>
              <w:fldChar w:fldCharType="end"/>
            </w:r>
          </w:hyperlink>
        </w:p>
        <w:p w:rsidR="00015D8A" w:rsidRPr="00A756F5" w:rsidRDefault="004E0FD7" w:rsidP="00EB677D">
          <w:pPr>
            <w:pStyle w:val="Obsah1"/>
            <w:rPr>
              <w:rFonts w:eastAsiaTheme="minorEastAsia"/>
            </w:rPr>
          </w:pPr>
          <w:hyperlink w:anchor="_Toc409196633" w:history="1">
            <w:r w:rsidR="00015D8A" w:rsidRPr="00A756F5">
              <w:rPr>
                <w:rStyle w:val="Hypertextovodkaz"/>
                <w:b/>
              </w:rPr>
              <w:t>5.</w:t>
            </w:r>
            <w:r w:rsidR="00015D8A" w:rsidRPr="00A756F5">
              <w:rPr>
                <w:rFonts w:eastAsiaTheme="minorEastAsia"/>
              </w:rPr>
              <w:tab/>
            </w:r>
            <w:r w:rsidR="00015D8A" w:rsidRPr="00A756F5">
              <w:rPr>
                <w:rStyle w:val="Hypertextovodkaz"/>
                <w:b/>
              </w:rPr>
              <w:t>Oblasti řešené ze strany EK až ve finální fázi vyjednávání</w:t>
            </w:r>
            <w:r w:rsidR="00015D8A" w:rsidRPr="00A756F5">
              <w:rPr>
                <w:webHidden/>
              </w:rPr>
              <w:tab/>
            </w:r>
            <w:r w:rsidR="00015D8A" w:rsidRPr="00A756F5">
              <w:rPr>
                <w:webHidden/>
              </w:rPr>
              <w:fldChar w:fldCharType="begin"/>
            </w:r>
            <w:r w:rsidR="00015D8A" w:rsidRPr="00A756F5">
              <w:rPr>
                <w:webHidden/>
              </w:rPr>
              <w:instrText xml:space="preserve"> PAGEREF _Toc409196633 \h </w:instrText>
            </w:r>
            <w:r w:rsidR="00015D8A" w:rsidRPr="00A756F5">
              <w:rPr>
                <w:webHidden/>
              </w:rPr>
            </w:r>
            <w:r w:rsidR="00015D8A" w:rsidRPr="00A756F5">
              <w:rPr>
                <w:webHidden/>
              </w:rPr>
              <w:fldChar w:fldCharType="separate"/>
            </w:r>
            <w:r w:rsidR="000C3E5B">
              <w:rPr>
                <w:webHidden/>
              </w:rPr>
              <w:t>24</w:t>
            </w:r>
            <w:r w:rsidR="00015D8A" w:rsidRPr="00A756F5">
              <w:rPr>
                <w:webHidden/>
              </w:rPr>
              <w:fldChar w:fldCharType="end"/>
            </w:r>
          </w:hyperlink>
        </w:p>
        <w:p w:rsidR="00015D8A" w:rsidRPr="00A756F5" w:rsidRDefault="004E0FD7" w:rsidP="00EB677D">
          <w:pPr>
            <w:pStyle w:val="Obsah2"/>
            <w:rPr>
              <w:rFonts w:ascii="Arial" w:eastAsiaTheme="minorEastAsia" w:hAnsi="Arial" w:cs="Arial"/>
              <w:noProof/>
            </w:rPr>
          </w:pPr>
          <w:hyperlink w:anchor="_Toc409196634" w:history="1">
            <w:r w:rsidR="00015D8A" w:rsidRPr="00A756F5">
              <w:rPr>
                <w:rStyle w:val="Hypertextovodkaz"/>
                <w:rFonts w:ascii="Arial" w:hAnsi="Arial" w:cs="Arial"/>
                <w:noProof/>
              </w:rPr>
              <w:t>5.1.</w:t>
            </w:r>
            <w:r w:rsidR="00015D8A" w:rsidRPr="00A756F5">
              <w:rPr>
                <w:rFonts w:ascii="Arial" w:eastAsiaTheme="minorEastAsia" w:hAnsi="Arial" w:cs="Arial"/>
                <w:noProof/>
              </w:rPr>
              <w:tab/>
            </w:r>
            <w:r w:rsidR="00015D8A" w:rsidRPr="00A756F5">
              <w:rPr>
                <w:rStyle w:val="Hypertextovodkaz"/>
                <w:rFonts w:ascii="Arial" w:hAnsi="Arial" w:cs="Arial"/>
                <w:noProof/>
              </w:rPr>
              <w:t>Problematika podpory fyzických osob</w:t>
            </w:r>
            <w:r w:rsidR="00015D8A" w:rsidRPr="00A756F5">
              <w:rPr>
                <w:rFonts w:ascii="Arial" w:hAnsi="Arial" w:cs="Arial"/>
                <w:noProof/>
                <w:webHidden/>
              </w:rPr>
              <w:tab/>
            </w:r>
            <w:r w:rsidR="00015D8A" w:rsidRPr="00A756F5">
              <w:rPr>
                <w:rFonts w:ascii="Arial" w:hAnsi="Arial" w:cs="Arial"/>
                <w:noProof/>
                <w:webHidden/>
              </w:rPr>
              <w:fldChar w:fldCharType="begin"/>
            </w:r>
            <w:r w:rsidR="00015D8A" w:rsidRPr="00A756F5">
              <w:rPr>
                <w:rFonts w:ascii="Arial" w:hAnsi="Arial" w:cs="Arial"/>
                <w:noProof/>
                <w:webHidden/>
              </w:rPr>
              <w:instrText xml:space="preserve"> PAGEREF _Toc409196634 \h </w:instrText>
            </w:r>
            <w:r w:rsidR="00015D8A" w:rsidRPr="00A756F5">
              <w:rPr>
                <w:rFonts w:ascii="Arial" w:hAnsi="Arial" w:cs="Arial"/>
                <w:noProof/>
                <w:webHidden/>
              </w:rPr>
            </w:r>
            <w:r w:rsidR="00015D8A" w:rsidRPr="00A756F5">
              <w:rPr>
                <w:rFonts w:ascii="Arial" w:hAnsi="Arial" w:cs="Arial"/>
                <w:noProof/>
                <w:webHidden/>
              </w:rPr>
              <w:fldChar w:fldCharType="separate"/>
            </w:r>
            <w:r w:rsidR="000C3E5B">
              <w:rPr>
                <w:rFonts w:ascii="Arial" w:hAnsi="Arial" w:cs="Arial"/>
                <w:noProof/>
                <w:webHidden/>
              </w:rPr>
              <w:t>24</w:t>
            </w:r>
            <w:r w:rsidR="00015D8A" w:rsidRPr="00A756F5">
              <w:rPr>
                <w:rFonts w:ascii="Arial" w:hAnsi="Arial" w:cs="Arial"/>
                <w:noProof/>
                <w:webHidden/>
              </w:rPr>
              <w:fldChar w:fldCharType="end"/>
            </w:r>
          </w:hyperlink>
        </w:p>
        <w:p w:rsidR="00015D8A" w:rsidRPr="00A756F5" w:rsidRDefault="004E0FD7" w:rsidP="00EB677D">
          <w:pPr>
            <w:pStyle w:val="Obsah2"/>
            <w:rPr>
              <w:rFonts w:ascii="Arial" w:eastAsiaTheme="minorEastAsia" w:hAnsi="Arial" w:cs="Arial"/>
              <w:noProof/>
            </w:rPr>
          </w:pPr>
          <w:hyperlink w:anchor="_Toc409196642" w:history="1">
            <w:r w:rsidR="00015D8A" w:rsidRPr="00A756F5">
              <w:rPr>
                <w:rStyle w:val="Hypertextovodkaz"/>
                <w:rFonts w:ascii="Arial" w:hAnsi="Arial" w:cs="Arial"/>
                <w:noProof/>
              </w:rPr>
              <w:t>5.2.</w:t>
            </w:r>
            <w:r w:rsidR="00015D8A" w:rsidRPr="00A756F5">
              <w:rPr>
                <w:rFonts w:ascii="Arial" w:eastAsiaTheme="minorEastAsia" w:hAnsi="Arial" w:cs="Arial"/>
                <w:noProof/>
              </w:rPr>
              <w:tab/>
            </w:r>
            <w:r w:rsidR="00015D8A" w:rsidRPr="00A756F5">
              <w:rPr>
                <w:rStyle w:val="Hypertextovodkaz"/>
                <w:rFonts w:ascii="Arial" w:hAnsi="Arial" w:cs="Arial"/>
                <w:noProof/>
              </w:rPr>
              <w:t>Výpočet výkonnostní rezervy</w:t>
            </w:r>
            <w:r w:rsidR="00015D8A" w:rsidRPr="00A756F5">
              <w:rPr>
                <w:rFonts w:ascii="Arial" w:hAnsi="Arial" w:cs="Arial"/>
                <w:noProof/>
                <w:webHidden/>
              </w:rPr>
              <w:tab/>
            </w:r>
            <w:r w:rsidR="00015D8A" w:rsidRPr="00A756F5">
              <w:rPr>
                <w:rFonts w:ascii="Arial" w:hAnsi="Arial" w:cs="Arial"/>
                <w:noProof/>
                <w:webHidden/>
              </w:rPr>
              <w:fldChar w:fldCharType="begin"/>
            </w:r>
            <w:r w:rsidR="00015D8A" w:rsidRPr="00A756F5">
              <w:rPr>
                <w:rFonts w:ascii="Arial" w:hAnsi="Arial" w:cs="Arial"/>
                <w:noProof/>
                <w:webHidden/>
              </w:rPr>
              <w:instrText xml:space="preserve"> PAGEREF _Toc409196642 \h </w:instrText>
            </w:r>
            <w:r w:rsidR="00015D8A" w:rsidRPr="00A756F5">
              <w:rPr>
                <w:rFonts w:ascii="Arial" w:hAnsi="Arial" w:cs="Arial"/>
                <w:noProof/>
                <w:webHidden/>
              </w:rPr>
            </w:r>
            <w:r w:rsidR="00015D8A" w:rsidRPr="00A756F5">
              <w:rPr>
                <w:rFonts w:ascii="Arial" w:hAnsi="Arial" w:cs="Arial"/>
                <w:noProof/>
                <w:webHidden/>
              </w:rPr>
              <w:fldChar w:fldCharType="separate"/>
            </w:r>
            <w:r w:rsidR="000C3E5B">
              <w:rPr>
                <w:rFonts w:ascii="Arial" w:hAnsi="Arial" w:cs="Arial"/>
                <w:noProof/>
                <w:webHidden/>
              </w:rPr>
              <w:t>24</w:t>
            </w:r>
            <w:r w:rsidR="00015D8A" w:rsidRPr="00A756F5">
              <w:rPr>
                <w:rFonts w:ascii="Arial" w:hAnsi="Arial" w:cs="Arial"/>
                <w:noProof/>
                <w:webHidden/>
              </w:rPr>
              <w:fldChar w:fldCharType="end"/>
            </w:r>
          </w:hyperlink>
        </w:p>
        <w:p w:rsidR="00015D8A" w:rsidRPr="00A756F5" w:rsidRDefault="004E0FD7" w:rsidP="00EB677D">
          <w:pPr>
            <w:pStyle w:val="Obsah2"/>
            <w:rPr>
              <w:rFonts w:ascii="Arial" w:eastAsiaTheme="minorEastAsia" w:hAnsi="Arial" w:cs="Arial"/>
              <w:noProof/>
            </w:rPr>
          </w:pPr>
          <w:hyperlink w:anchor="_Toc409196645" w:history="1">
            <w:r w:rsidR="00015D8A" w:rsidRPr="00A756F5">
              <w:rPr>
                <w:rStyle w:val="Hypertextovodkaz"/>
                <w:rFonts w:ascii="Arial" w:hAnsi="Arial" w:cs="Arial"/>
                <w:noProof/>
              </w:rPr>
              <w:t>5.3.</w:t>
            </w:r>
            <w:r w:rsidR="00015D8A" w:rsidRPr="00A756F5">
              <w:rPr>
                <w:rFonts w:ascii="Arial" w:eastAsiaTheme="minorEastAsia" w:hAnsi="Arial" w:cs="Arial"/>
                <w:noProof/>
              </w:rPr>
              <w:tab/>
            </w:r>
            <w:r w:rsidR="00015D8A" w:rsidRPr="00A756F5">
              <w:rPr>
                <w:rStyle w:val="Hypertextovodkaz"/>
                <w:rFonts w:ascii="Arial" w:hAnsi="Arial" w:cs="Arial"/>
                <w:noProof/>
              </w:rPr>
              <w:t>Financování rozvoje MS2014+</w:t>
            </w:r>
            <w:r w:rsidR="00015D8A" w:rsidRPr="00A756F5">
              <w:rPr>
                <w:rFonts w:ascii="Arial" w:hAnsi="Arial" w:cs="Arial"/>
                <w:noProof/>
                <w:webHidden/>
              </w:rPr>
              <w:tab/>
            </w:r>
            <w:r w:rsidR="00015D8A" w:rsidRPr="00A756F5">
              <w:rPr>
                <w:rFonts w:ascii="Arial" w:hAnsi="Arial" w:cs="Arial"/>
                <w:noProof/>
                <w:webHidden/>
              </w:rPr>
              <w:fldChar w:fldCharType="begin"/>
            </w:r>
            <w:r w:rsidR="00015D8A" w:rsidRPr="00A756F5">
              <w:rPr>
                <w:rFonts w:ascii="Arial" w:hAnsi="Arial" w:cs="Arial"/>
                <w:noProof/>
                <w:webHidden/>
              </w:rPr>
              <w:instrText xml:space="preserve"> PAGEREF _Toc409196645 \h </w:instrText>
            </w:r>
            <w:r w:rsidR="00015D8A" w:rsidRPr="00A756F5">
              <w:rPr>
                <w:rFonts w:ascii="Arial" w:hAnsi="Arial" w:cs="Arial"/>
                <w:noProof/>
                <w:webHidden/>
              </w:rPr>
            </w:r>
            <w:r w:rsidR="00015D8A" w:rsidRPr="00A756F5">
              <w:rPr>
                <w:rFonts w:ascii="Arial" w:hAnsi="Arial" w:cs="Arial"/>
                <w:noProof/>
                <w:webHidden/>
              </w:rPr>
              <w:fldChar w:fldCharType="separate"/>
            </w:r>
            <w:r w:rsidR="000C3E5B">
              <w:rPr>
                <w:rFonts w:ascii="Arial" w:hAnsi="Arial" w:cs="Arial"/>
                <w:noProof/>
                <w:webHidden/>
              </w:rPr>
              <w:t>25</w:t>
            </w:r>
            <w:r w:rsidR="00015D8A" w:rsidRPr="00A756F5">
              <w:rPr>
                <w:rFonts w:ascii="Arial" w:hAnsi="Arial" w:cs="Arial"/>
                <w:noProof/>
                <w:webHidden/>
              </w:rPr>
              <w:fldChar w:fldCharType="end"/>
            </w:r>
          </w:hyperlink>
        </w:p>
        <w:p w:rsidR="00015D8A" w:rsidRPr="00EB677D" w:rsidRDefault="004E0FD7" w:rsidP="00EB677D">
          <w:pPr>
            <w:pStyle w:val="Obsah1"/>
            <w:rPr>
              <w:rFonts w:eastAsiaTheme="minorEastAsia"/>
            </w:rPr>
          </w:pPr>
          <w:hyperlink w:anchor="_Toc409196650" w:history="1">
            <w:r w:rsidR="00015D8A" w:rsidRPr="00A756F5">
              <w:rPr>
                <w:rStyle w:val="Hypertextovodkaz"/>
                <w:b/>
              </w:rPr>
              <w:t>Seznam zkratek</w:t>
            </w:r>
            <w:r w:rsidR="00015D8A" w:rsidRPr="00A756F5">
              <w:rPr>
                <w:webHidden/>
              </w:rPr>
              <w:tab/>
            </w:r>
            <w:r w:rsidR="00015D8A" w:rsidRPr="00A756F5">
              <w:rPr>
                <w:webHidden/>
              </w:rPr>
              <w:fldChar w:fldCharType="begin"/>
            </w:r>
            <w:r w:rsidR="00015D8A" w:rsidRPr="00A756F5">
              <w:rPr>
                <w:webHidden/>
              </w:rPr>
              <w:instrText xml:space="preserve"> PAGEREF _Toc409196650 \h </w:instrText>
            </w:r>
            <w:r w:rsidR="00015D8A" w:rsidRPr="00A756F5">
              <w:rPr>
                <w:webHidden/>
              </w:rPr>
            </w:r>
            <w:r w:rsidR="00015D8A" w:rsidRPr="00A756F5">
              <w:rPr>
                <w:webHidden/>
              </w:rPr>
              <w:fldChar w:fldCharType="separate"/>
            </w:r>
            <w:r w:rsidR="000C3E5B">
              <w:rPr>
                <w:webHidden/>
              </w:rPr>
              <w:t>26</w:t>
            </w:r>
            <w:r w:rsidR="00015D8A" w:rsidRPr="00A756F5">
              <w:rPr>
                <w:webHidden/>
              </w:rPr>
              <w:fldChar w:fldCharType="end"/>
            </w:r>
          </w:hyperlink>
        </w:p>
        <w:p w:rsidR="008A3716" w:rsidRPr="008073B7" w:rsidRDefault="008A3716" w:rsidP="00EB677D">
          <w:pPr>
            <w:spacing w:after="240" w:line="312" w:lineRule="auto"/>
            <w:rPr>
              <w:rFonts w:ascii="Arial" w:hAnsi="Arial" w:cs="Arial"/>
            </w:rPr>
          </w:pPr>
          <w:r w:rsidRPr="00015D8A">
            <w:rPr>
              <w:rFonts w:ascii="Arial" w:hAnsi="Arial" w:cs="Arial"/>
              <w:bCs/>
            </w:rPr>
            <w:fldChar w:fldCharType="end"/>
          </w:r>
        </w:p>
      </w:sdtContent>
    </w:sdt>
    <w:p w:rsidR="008A3716" w:rsidRDefault="008A3716">
      <w:pPr>
        <w:spacing w:before="0" w:line="240" w:lineRule="auto"/>
        <w:jc w:val="left"/>
        <w:rPr>
          <w:rFonts w:ascii="Arial" w:eastAsiaTheme="majorEastAsia" w:hAnsi="Arial" w:cs="Arial"/>
          <w:b/>
          <w:bCs/>
          <w:sz w:val="36"/>
          <w:szCs w:val="32"/>
        </w:rPr>
      </w:pPr>
      <w:r>
        <w:br w:type="page"/>
      </w:r>
    </w:p>
    <w:p w:rsidR="00E358FF" w:rsidRPr="00F815CD" w:rsidRDefault="00E358FF" w:rsidP="00015D8A">
      <w:pPr>
        <w:pStyle w:val="Nadpis1"/>
        <w:numPr>
          <w:ilvl w:val="0"/>
          <w:numId w:val="0"/>
        </w:numPr>
        <w:ind w:left="425" w:hanging="425"/>
      </w:pPr>
      <w:bookmarkStart w:id="11" w:name="_Toc409196587"/>
      <w:r w:rsidRPr="003736CE">
        <w:lastRenderedPageBreak/>
        <w:t>Úvod</w:t>
      </w:r>
      <w:bookmarkEnd w:id="11"/>
      <w:bookmarkEnd w:id="10"/>
      <w:bookmarkEnd w:id="9"/>
      <w:bookmarkEnd w:id="8"/>
    </w:p>
    <w:p w:rsidR="00753152" w:rsidRDefault="00A65BA8" w:rsidP="00753152">
      <w:pPr>
        <w:rPr>
          <w:rFonts w:ascii="Arial" w:hAnsi="Arial" w:cs="Arial"/>
          <w:sz w:val="20"/>
          <w:szCs w:val="24"/>
        </w:rPr>
      </w:pPr>
      <w:r w:rsidRPr="003A6035">
        <w:rPr>
          <w:rFonts w:ascii="Arial" w:hAnsi="Arial" w:cs="Arial"/>
          <w:sz w:val="20"/>
          <w:szCs w:val="24"/>
        </w:rPr>
        <w:t>Ministerstvo pro místní rozvoj -</w:t>
      </w:r>
      <w:r w:rsidR="00E358FF" w:rsidRPr="003A6035">
        <w:rPr>
          <w:rFonts w:ascii="Arial" w:hAnsi="Arial" w:cs="Arial"/>
          <w:sz w:val="20"/>
          <w:szCs w:val="24"/>
        </w:rPr>
        <w:t xml:space="preserve"> Národní orgán pro koordinaci (MMR-NOK) v souvislosti s plněním usnesení vlády ze dne 24. března 2014 č. 182 předkládá vládě </w:t>
      </w:r>
      <w:r w:rsidR="00E358FF" w:rsidRPr="003A6035">
        <w:rPr>
          <w:rFonts w:ascii="Arial" w:hAnsi="Arial" w:cs="Arial"/>
          <w:b/>
          <w:i/>
          <w:sz w:val="20"/>
          <w:szCs w:val="24"/>
        </w:rPr>
        <w:t>„Informaci o stavu přípravy programů a řešení předběžných podmínek pro programové období 2014–2020“</w:t>
      </w:r>
      <w:r w:rsidR="0014171B" w:rsidRPr="003A6035">
        <w:rPr>
          <w:rFonts w:ascii="Arial" w:hAnsi="Arial" w:cs="Arial"/>
          <w:b/>
          <w:i/>
          <w:sz w:val="20"/>
          <w:szCs w:val="24"/>
        </w:rPr>
        <w:t xml:space="preserve"> </w:t>
      </w:r>
      <w:r w:rsidR="0014171B" w:rsidRPr="003A6035">
        <w:rPr>
          <w:rFonts w:ascii="Arial" w:hAnsi="Arial" w:cs="Arial"/>
          <w:b/>
          <w:sz w:val="20"/>
          <w:szCs w:val="24"/>
        </w:rPr>
        <w:t>za</w:t>
      </w:r>
      <w:r w:rsidR="0014171B" w:rsidRPr="003A6035">
        <w:rPr>
          <w:rFonts w:ascii="Arial" w:hAnsi="Arial" w:cs="Arial"/>
          <w:sz w:val="20"/>
          <w:szCs w:val="24"/>
        </w:rPr>
        <w:t xml:space="preserve"> </w:t>
      </w:r>
      <w:r w:rsidR="0014171B" w:rsidRPr="003A6035">
        <w:rPr>
          <w:rFonts w:ascii="Arial" w:hAnsi="Arial" w:cs="Arial"/>
          <w:b/>
          <w:sz w:val="20"/>
          <w:szCs w:val="24"/>
        </w:rPr>
        <w:t xml:space="preserve">měsíc </w:t>
      </w:r>
      <w:r w:rsidR="00243DE3">
        <w:rPr>
          <w:rFonts w:ascii="Arial" w:hAnsi="Arial" w:cs="Arial"/>
          <w:b/>
          <w:sz w:val="20"/>
          <w:szCs w:val="24"/>
        </w:rPr>
        <w:t>leden 2015</w:t>
      </w:r>
      <w:r w:rsidR="00C23A06" w:rsidRPr="003A6035">
        <w:rPr>
          <w:rFonts w:ascii="Arial" w:hAnsi="Arial" w:cs="Arial"/>
          <w:sz w:val="20"/>
          <w:szCs w:val="24"/>
        </w:rPr>
        <w:t xml:space="preserve">. </w:t>
      </w:r>
      <w:r w:rsidR="00753152" w:rsidRPr="003A6035">
        <w:rPr>
          <w:rFonts w:ascii="Arial" w:hAnsi="Arial" w:cs="Arial"/>
          <w:sz w:val="20"/>
          <w:szCs w:val="24"/>
        </w:rPr>
        <w:t>Materiál obsahuje</w:t>
      </w:r>
      <w:r w:rsidR="00753152">
        <w:rPr>
          <w:rFonts w:ascii="Arial" w:hAnsi="Arial" w:cs="Arial"/>
          <w:b/>
          <w:sz w:val="20"/>
          <w:szCs w:val="24"/>
        </w:rPr>
        <w:t xml:space="preserve"> </w:t>
      </w:r>
      <w:r w:rsidR="00753152" w:rsidRPr="003A6035">
        <w:rPr>
          <w:rFonts w:ascii="Arial" w:hAnsi="Arial" w:cs="Arial"/>
          <w:sz w:val="20"/>
          <w:szCs w:val="24"/>
        </w:rPr>
        <w:t xml:space="preserve">aktuální informace, které se udály od předložení poslední informace za měsíc </w:t>
      </w:r>
      <w:r w:rsidR="00753152">
        <w:rPr>
          <w:rFonts w:ascii="Arial" w:hAnsi="Arial" w:cs="Arial"/>
          <w:sz w:val="20"/>
          <w:szCs w:val="24"/>
        </w:rPr>
        <w:t>prosinec 2014</w:t>
      </w:r>
      <w:r w:rsidR="00753152" w:rsidRPr="003A6035">
        <w:rPr>
          <w:rFonts w:ascii="Arial" w:hAnsi="Arial" w:cs="Arial"/>
          <w:sz w:val="20"/>
          <w:szCs w:val="24"/>
        </w:rPr>
        <w:t xml:space="preserve"> a</w:t>
      </w:r>
      <w:r w:rsidR="00753152">
        <w:rPr>
          <w:rFonts w:ascii="Arial" w:hAnsi="Arial" w:cs="Arial"/>
          <w:b/>
          <w:sz w:val="20"/>
          <w:szCs w:val="24"/>
        </w:rPr>
        <w:t> </w:t>
      </w:r>
      <w:r w:rsidR="00753152" w:rsidRPr="00CF77AE">
        <w:rPr>
          <w:rFonts w:ascii="Arial" w:hAnsi="Arial" w:cs="Arial"/>
          <w:b/>
          <w:sz w:val="20"/>
          <w:szCs w:val="24"/>
        </w:rPr>
        <w:t xml:space="preserve">jsou </w:t>
      </w:r>
      <w:r w:rsidR="00753152" w:rsidRPr="00CF77AE">
        <w:rPr>
          <w:rFonts w:ascii="Arial" w:hAnsi="Arial" w:cs="Arial"/>
          <w:b/>
          <w:sz w:val="20"/>
          <w:szCs w:val="24"/>
          <w:u w:val="single"/>
        </w:rPr>
        <w:t xml:space="preserve">platné ke </w:t>
      </w:r>
      <w:r w:rsidR="00753152" w:rsidRPr="00ED5250">
        <w:rPr>
          <w:rFonts w:ascii="Arial" w:hAnsi="Arial" w:cs="Arial"/>
          <w:b/>
          <w:sz w:val="20"/>
          <w:szCs w:val="24"/>
          <w:u w:val="single"/>
        </w:rPr>
        <w:t xml:space="preserve">dni </w:t>
      </w:r>
      <w:r w:rsidR="00753152">
        <w:rPr>
          <w:rFonts w:ascii="Arial" w:hAnsi="Arial" w:cs="Arial"/>
          <w:b/>
          <w:sz w:val="20"/>
          <w:szCs w:val="24"/>
          <w:u w:val="single"/>
        </w:rPr>
        <w:t>20.</w:t>
      </w:r>
      <w:r w:rsidR="00753152" w:rsidRPr="00ED5250">
        <w:rPr>
          <w:rFonts w:ascii="Arial" w:hAnsi="Arial" w:cs="Arial"/>
          <w:b/>
          <w:sz w:val="20"/>
          <w:szCs w:val="24"/>
          <w:u w:val="single"/>
        </w:rPr>
        <w:t xml:space="preserve"> </w:t>
      </w:r>
      <w:r w:rsidR="00753152">
        <w:rPr>
          <w:rFonts w:ascii="Arial" w:hAnsi="Arial" w:cs="Arial"/>
          <w:b/>
          <w:sz w:val="20"/>
          <w:szCs w:val="24"/>
          <w:u w:val="single"/>
        </w:rPr>
        <w:t>ledna</w:t>
      </w:r>
      <w:r w:rsidR="00753152" w:rsidRPr="00ED5250">
        <w:rPr>
          <w:rFonts w:ascii="Arial" w:hAnsi="Arial" w:cs="Arial"/>
          <w:b/>
          <w:sz w:val="20"/>
          <w:szCs w:val="24"/>
          <w:u w:val="single"/>
        </w:rPr>
        <w:t xml:space="preserve"> 201</w:t>
      </w:r>
      <w:r w:rsidR="00753152">
        <w:rPr>
          <w:rFonts w:ascii="Arial" w:hAnsi="Arial" w:cs="Arial"/>
          <w:b/>
          <w:sz w:val="20"/>
          <w:szCs w:val="24"/>
          <w:u w:val="single"/>
        </w:rPr>
        <w:t>5</w:t>
      </w:r>
      <w:r w:rsidR="00753152" w:rsidRPr="00ED5250">
        <w:rPr>
          <w:rFonts w:ascii="Arial" w:hAnsi="Arial" w:cs="Arial"/>
          <w:sz w:val="20"/>
          <w:szCs w:val="24"/>
        </w:rPr>
        <w:t>.</w:t>
      </w:r>
    </w:p>
    <w:p w:rsidR="003A6035" w:rsidRDefault="003A6035" w:rsidP="00C77D36">
      <w:pPr>
        <w:rPr>
          <w:rFonts w:ascii="Arial" w:hAnsi="Arial" w:cs="Arial"/>
          <w:sz w:val="20"/>
          <w:szCs w:val="24"/>
        </w:rPr>
      </w:pPr>
      <w:r>
        <w:rPr>
          <w:rFonts w:ascii="Arial" w:hAnsi="Arial" w:cs="Arial"/>
          <w:sz w:val="20"/>
          <w:szCs w:val="24"/>
        </w:rPr>
        <w:t>Aktuální informace obsažené v předkládaném materiálu se týkají:</w:t>
      </w:r>
    </w:p>
    <w:p w:rsidR="003A6035" w:rsidRDefault="00C77D36" w:rsidP="00E93E67">
      <w:pPr>
        <w:pStyle w:val="Odstavecseseznamem"/>
        <w:numPr>
          <w:ilvl w:val="0"/>
          <w:numId w:val="5"/>
        </w:numPr>
        <w:ind w:left="777" w:hanging="357"/>
        <w:contextualSpacing w:val="0"/>
        <w:rPr>
          <w:rFonts w:ascii="Arial" w:hAnsi="Arial" w:cs="Arial"/>
          <w:sz w:val="20"/>
          <w:szCs w:val="24"/>
        </w:rPr>
      </w:pPr>
      <w:r w:rsidRPr="003A6035">
        <w:rPr>
          <w:rFonts w:ascii="Arial" w:hAnsi="Arial" w:cs="Arial"/>
          <w:sz w:val="20"/>
          <w:szCs w:val="24"/>
        </w:rPr>
        <w:t xml:space="preserve">stavu </w:t>
      </w:r>
      <w:r w:rsidR="00E93E67">
        <w:rPr>
          <w:rFonts w:ascii="Arial" w:hAnsi="Arial" w:cs="Arial"/>
          <w:sz w:val="20"/>
          <w:szCs w:val="24"/>
        </w:rPr>
        <w:t>vyjednávání</w:t>
      </w:r>
      <w:r w:rsidRPr="003A6035">
        <w:rPr>
          <w:rFonts w:ascii="Arial" w:hAnsi="Arial" w:cs="Arial"/>
          <w:sz w:val="20"/>
          <w:szCs w:val="24"/>
        </w:rPr>
        <w:t xml:space="preserve"> </w:t>
      </w:r>
      <w:r w:rsidR="00B22BD2" w:rsidRPr="003A6035">
        <w:rPr>
          <w:rFonts w:ascii="Arial" w:hAnsi="Arial" w:cs="Arial"/>
          <w:sz w:val="20"/>
          <w:szCs w:val="24"/>
        </w:rPr>
        <w:t>programů pro čerpání prostředků z Evropských strukturálních a</w:t>
      </w:r>
      <w:r w:rsidR="00EC3E99">
        <w:rPr>
          <w:rFonts w:ascii="Arial" w:hAnsi="Arial" w:cs="Arial"/>
          <w:sz w:val="20"/>
          <w:szCs w:val="24"/>
        </w:rPr>
        <w:t> </w:t>
      </w:r>
      <w:r w:rsidR="00B22BD2" w:rsidRPr="003A6035">
        <w:rPr>
          <w:rFonts w:ascii="Arial" w:hAnsi="Arial" w:cs="Arial"/>
          <w:sz w:val="20"/>
          <w:szCs w:val="24"/>
        </w:rPr>
        <w:t>investičních fondů (ESI fondy)</w:t>
      </w:r>
      <w:r w:rsidRPr="003A6035">
        <w:rPr>
          <w:rFonts w:ascii="Arial" w:hAnsi="Arial" w:cs="Arial"/>
          <w:sz w:val="20"/>
          <w:szCs w:val="24"/>
        </w:rPr>
        <w:t xml:space="preserve"> </w:t>
      </w:r>
      <w:r w:rsidR="00B22BD2" w:rsidRPr="003A6035">
        <w:rPr>
          <w:rFonts w:ascii="Arial" w:hAnsi="Arial" w:cs="Arial"/>
          <w:sz w:val="20"/>
          <w:szCs w:val="24"/>
        </w:rPr>
        <w:t>s Evropskou komisí</w:t>
      </w:r>
      <w:r w:rsidR="00CF77AE">
        <w:rPr>
          <w:rFonts w:ascii="Arial" w:hAnsi="Arial" w:cs="Arial"/>
          <w:sz w:val="20"/>
          <w:szCs w:val="24"/>
        </w:rPr>
        <w:t xml:space="preserve"> (EK)</w:t>
      </w:r>
      <w:r w:rsidR="00C251D9">
        <w:rPr>
          <w:rFonts w:ascii="Arial" w:hAnsi="Arial" w:cs="Arial"/>
          <w:sz w:val="20"/>
          <w:szCs w:val="24"/>
        </w:rPr>
        <w:t>,</w:t>
      </w:r>
    </w:p>
    <w:p w:rsidR="00C251D9" w:rsidRDefault="00C77D36" w:rsidP="00E93E67">
      <w:pPr>
        <w:pStyle w:val="Odstavecseseznamem"/>
        <w:numPr>
          <w:ilvl w:val="0"/>
          <w:numId w:val="5"/>
        </w:numPr>
        <w:ind w:left="777" w:hanging="357"/>
        <w:contextualSpacing w:val="0"/>
        <w:rPr>
          <w:rFonts w:ascii="Arial" w:hAnsi="Arial" w:cs="Arial"/>
          <w:sz w:val="20"/>
          <w:szCs w:val="24"/>
        </w:rPr>
      </w:pPr>
      <w:r w:rsidRPr="003A6035">
        <w:rPr>
          <w:rFonts w:ascii="Arial" w:hAnsi="Arial" w:cs="Arial"/>
          <w:sz w:val="20"/>
          <w:szCs w:val="24"/>
        </w:rPr>
        <w:t>stavu plnění rizikových předběžných podmínek a </w:t>
      </w:r>
      <w:r w:rsidR="003A6035">
        <w:rPr>
          <w:rFonts w:ascii="Arial" w:hAnsi="Arial" w:cs="Arial"/>
          <w:sz w:val="20"/>
          <w:szCs w:val="24"/>
        </w:rPr>
        <w:t>kroků</w:t>
      </w:r>
      <w:r w:rsidRPr="003A6035">
        <w:rPr>
          <w:rFonts w:ascii="Arial" w:hAnsi="Arial" w:cs="Arial"/>
          <w:sz w:val="20"/>
          <w:szCs w:val="24"/>
        </w:rPr>
        <w:t xml:space="preserve"> přijímaných k jejich naplnění</w:t>
      </w:r>
    </w:p>
    <w:p w:rsidR="00C77D36" w:rsidRDefault="00C251D9" w:rsidP="00E93E67">
      <w:pPr>
        <w:pStyle w:val="Odstavecseseznamem"/>
        <w:numPr>
          <w:ilvl w:val="0"/>
          <w:numId w:val="5"/>
        </w:numPr>
        <w:rPr>
          <w:rFonts w:ascii="Arial" w:hAnsi="Arial" w:cs="Arial"/>
          <w:sz w:val="20"/>
          <w:szCs w:val="24"/>
        </w:rPr>
      </w:pPr>
      <w:r>
        <w:rPr>
          <w:rFonts w:ascii="Arial" w:hAnsi="Arial" w:cs="Arial"/>
          <w:sz w:val="20"/>
          <w:szCs w:val="24"/>
        </w:rPr>
        <w:t>a dalších oblastí souvisejících s přípravou programového období 2014–2020</w:t>
      </w:r>
      <w:r w:rsidR="00C77D36" w:rsidRPr="003A6035">
        <w:rPr>
          <w:rFonts w:ascii="Arial" w:hAnsi="Arial" w:cs="Arial"/>
          <w:sz w:val="20"/>
          <w:szCs w:val="24"/>
        </w:rPr>
        <w:t xml:space="preserve">. </w:t>
      </w:r>
    </w:p>
    <w:p w:rsidR="00765E51" w:rsidRPr="002A2E60" w:rsidRDefault="00015D8A" w:rsidP="00015D8A">
      <w:pPr>
        <w:rPr>
          <w:rFonts w:ascii="Arial" w:hAnsi="Arial" w:cs="Arial"/>
          <w:sz w:val="20"/>
          <w:szCs w:val="20"/>
        </w:rPr>
      </w:pPr>
      <w:r w:rsidRPr="00015D8A">
        <w:rPr>
          <w:rFonts w:ascii="Arial" w:hAnsi="Arial" w:cs="Arial"/>
          <w:sz w:val="20"/>
        </w:rPr>
        <w:t xml:space="preserve">Na </w:t>
      </w:r>
      <w:r>
        <w:rPr>
          <w:rFonts w:ascii="Arial" w:hAnsi="Arial" w:cs="Arial"/>
          <w:sz w:val="20"/>
        </w:rPr>
        <w:t xml:space="preserve">základě požadavku předsedy vlády vzneseného na </w:t>
      </w:r>
      <w:r w:rsidRPr="00015D8A">
        <w:rPr>
          <w:rFonts w:ascii="Arial" w:hAnsi="Arial" w:cs="Arial"/>
          <w:sz w:val="20"/>
        </w:rPr>
        <w:t xml:space="preserve">jednání Výboru pro </w:t>
      </w:r>
      <w:r w:rsidR="008A282E">
        <w:rPr>
          <w:rFonts w:ascii="Arial" w:hAnsi="Arial" w:cs="Arial"/>
          <w:sz w:val="20"/>
        </w:rPr>
        <w:t>Evropskou unii (</w:t>
      </w:r>
      <w:r w:rsidRPr="00015D8A">
        <w:rPr>
          <w:rFonts w:ascii="Arial" w:hAnsi="Arial" w:cs="Arial"/>
          <w:sz w:val="20"/>
        </w:rPr>
        <w:t>EU</w:t>
      </w:r>
      <w:r w:rsidR="008A282E">
        <w:rPr>
          <w:rFonts w:ascii="Arial" w:hAnsi="Arial" w:cs="Arial"/>
          <w:sz w:val="20"/>
        </w:rPr>
        <w:t>) na </w:t>
      </w:r>
      <w:r w:rsidRPr="00015D8A">
        <w:rPr>
          <w:rFonts w:ascii="Arial" w:hAnsi="Arial" w:cs="Arial"/>
          <w:sz w:val="20"/>
        </w:rPr>
        <w:t xml:space="preserve">vládní úrovni dne 15. prosince 2014 </w:t>
      </w:r>
      <w:r>
        <w:rPr>
          <w:rFonts w:ascii="Arial" w:hAnsi="Arial" w:cs="Arial"/>
          <w:sz w:val="20"/>
        </w:rPr>
        <w:t xml:space="preserve">je předkládaný materiál </w:t>
      </w:r>
      <w:r w:rsidR="00765E51">
        <w:rPr>
          <w:rFonts w:ascii="Arial" w:hAnsi="Arial" w:cs="Arial"/>
          <w:sz w:val="20"/>
          <w:szCs w:val="20"/>
        </w:rPr>
        <w:t xml:space="preserve">doplněn o </w:t>
      </w:r>
      <w:r>
        <w:rPr>
          <w:rFonts w:ascii="Arial" w:hAnsi="Arial" w:cs="Arial"/>
          <w:sz w:val="20"/>
          <w:szCs w:val="20"/>
        </w:rPr>
        <w:t>informace týkající se</w:t>
      </w:r>
      <w:r w:rsidR="00765E51" w:rsidRPr="002A2E60">
        <w:rPr>
          <w:rFonts w:ascii="Arial" w:hAnsi="Arial" w:cs="Arial"/>
          <w:sz w:val="20"/>
          <w:szCs w:val="20"/>
        </w:rPr>
        <w:t xml:space="preserve"> následující</w:t>
      </w:r>
      <w:r>
        <w:rPr>
          <w:rFonts w:ascii="Arial" w:hAnsi="Arial" w:cs="Arial"/>
          <w:sz w:val="20"/>
          <w:szCs w:val="20"/>
        </w:rPr>
        <w:t>ch oblastí</w:t>
      </w:r>
      <w:r w:rsidR="00765E51" w:rsidRPr="002A2E60">
        <w:rPr>
          <w:rFonts w:ascii="Arial" w:hAnsi="Arial" w:cs="Arial"/>
          <w:sz w:val="20"/>
          <w:szCs w:val="20"/>
        </w:rPr>
        <w:t xml:space="preserve">: </w:t>
      </w:r>
    </w:p>
    <w:p w:rsidR="00765E51" w:rsidRPr="002A2E60" w:rsidRDefault="00015D8A" w:rsidP="00765E51">
      <w:pPr>
        <w:pStyle w:val="Odstavecseseznamem"/>
        <w:numPr>
          <w:ilvl w:val="0"/>
          <w:numId w:val="5"/>
        </w:numPr>
        <w:spacing w:line="240" w:lineRule="auto"/>
        <w:ind w:left="777" w:hanging="357"/>
        <w:contextualSpacing w:val="0"/>
        <w:rPr>
          <w:rFonts w:ascii="Arial" w:hAnsi="Arial" w:cs="Arial"/>
          <w:sz w:val="20"/>
          <w:szCs w:val="20"/>
        </w:rPr>
      </w:pPr>
      <w:r>
        <w:rPr>
          <w:rFonts w:ascii="Arial" w:hAnsi="Arial" w:cs="Arial"/>
          <w:sz w:val="20"/>
          <w:szCs w:val="20"/>
        </w:rPr>
        <w:t>a</w:t>
      </w:r>
      <w:r w:rsidR="00765E51" w:rsidRPr="002A2E60">
        <w:rPr>
          <w:rFonts w:ascii="Arial" w:hAnsi="Arial" w:cs="Arial"/>
          <w:sz w:val="20"/>
          <w:szCs w:val="20"/>
        </w:rPr>
        <w:t xml:space="preserve">ktuální stav vyjednávání programů s </w:t>
      </w:r>
      <w:r w:rsidR="00765E51">
        <w:rPr>
          <w:rFonts w:ascii="Arial" w:hAnsi="Arial" w:cs="Arial"/>
          <w:sz w:val="20"/>
          <w:szCs w:val="20"/>
        </w:rPr>
        <w:t>EK</w:t>
      </w:r>
      <w:r w:rsidR="00765E51" w:rsidRPr="002A2E60">
        <w:rPr>
          <w:rFonts w:ascii="Arial" w:hAnsi="Arial" w:cs="Arial"/>
          <w:sz w:val="20"/>
          <w:szCs w:val="20"/>
        </w:rPr>
        <w:t xml:space="preserve"> v ostatních členských státech EU</w:t>
      </w:r>
      <w:r>
        <w:rPr>
          <w:rFonts w:ascii="Arial" w:hAnsi="Arial" w:cs="Arial"/>
          <w:sz w:val="20"/>
          <w:szCs w:val="20"/>
        </w:rPr>
        <w:t>,</w:t>
      </w:r>
    </w:p>
    <w:p w:rsidR="00765E51" w:rsidRPr="002A2E60" w:rsidRDefault="00015D8A" w:rsidP="00765E51">
      <w:pPr>
        <w:pStyle w:val="Odstavecseseznamem"/>
        <w:numPr>
          <w:ilvl w:val="0"/>
          <w:numId w:val="5"/>
        </w:numPr>
        <w:spacing w:line="240" w:lineRule="auto"/>
        <w:ind w:left="777" w:hanging="357"/>
        <w:contextualSpacing w:val="0"/>
        <w:rPr>
          <w:rFonts w:ascii="Arial" w:hAnsi="Arial" w:cs="Arial"/>
          <w:sz w:val="20"/>
          <w:szCs w:val="20"/>
        </w:rPr>
      </w:pPr>
      <w:r>
        <w:rPr>
          <w:rFonts w:ascii="Arial" w:hAnsi="Arial" w:cs="Arial"/>
          <w:sz w:val="20"/>
          <w:szCs w:val="20"/>
        </w:rPr>
        <w:t>o</w:t>
      </w:r>
      <w:r w:rsidR="00765E51" w:rsidRPr="002A2E60">
        <w:rPr>
          <w:rFonts w:ascii="Arial" w:hAnsi="Arial" w:cs="Arial"/>
          <w:sz w:val="20"/>
          <w:szCs w:val="20"/>
        </w:rPr>
        <w:t xml:space="preserve">blasti nejednotného přístupu </w:t>
      </w:r>
      <w:r w:rsidR="00765E51">
        <w:rPr>
          <w:rFonts w:ascii="Arial" w:hAnsi="Arial" w:cs="Arial"/>
          <w:sz w:val="20"/>
          <w:szCs w:val="20"/>
        </w:rPr>
        <w:t>EK</w:t>
      </w:r>
      <w:r w:rsidR="00765E51" w:rsidRPr="002A2E60">
        <w:rPr>
          <w:rFonts w:ascii="Arial" w:hAnsi="Arial" w:cs="Arial"/>
          <w:sz w:val="20"/>
          <w:szCs w:val="20"/>
        </w:rPr>
        <w:t xml:space="preserve"> k jednotlivým členským státům</w:t>
      </w:r>
      <w:r>
        <w:rPr>
          <w:rFonts w:ascii="Arial" w:hAnsi="Arial" w:cs="Arial"/>
          <w:sz w:val="20"/>
          <w:szCs w:val="20"/>
        </w:rPr>
        <w:t>,</w:t>
      </w:r>
    </w:p>
    <w:p w:rsidR="00765E51" w:rsidRPr="002A2E60" w:rsidRDefault="00015D8A" w:rsidP="00765E51">
      <w:pPr>
        <w:pStyle w:val="Odstavecseseznamem"/>
        <w:numPr>
          <w:ilvl w:val="0"/>
          <w:numId w:val="5"/>
        </w:numPr>
        <w:spacing w:line="240" w:lineRule="auto"/>
        <w:ind w:left="777" w:hanging="357"/>
        <w:contextualSpacing w:val="0"/>
        <w:rPr>
          <w:rFonts w:ascii="Arial" w:hAnsi="Arial" w:cs="Arial"/>
          <w:sz w:val="20"/>
          <w:szCs w:val="20"/>
        </w:rPr>
      </w:pPr>
      <w:r>
        <w:rPr>
          <w:rFonts w:ascii="Arial" w:hAnsi="Arial" w:cs="Arial"/>
          <w:sz w:val="20"/>
          <w:szCs w:val="20"/>
        </w:rPr>
        <w:t>o</w:t>
      </w:r>
      <w:r w:rsidR="00765E51" w:rsidRPr="002A2E60">
        <w:rPr>
          <w:rFonts w:ascii="Arial" w:hAnsi="Arial" w:cs="Arial"/>
          <w:sz w:val="20"/>
          <w:szCs w:val="20"/>
        </w:rPr>
        <w:t>blasti, které byly ze strany EK řešeny až ve finální fázi vyjednávání</w:t>
      </w:r>
      <w:r>
        <w:rPr>
          <w:rFonts w:ascii="Arial" w:hAnsi="Arial" w:cs="Arial"/>
          <w:sz w:val="20"/>
          <w:szCs w:val="20"/>
        </w:rPr>
        <w:t>.</w:t>
      </w:r>
    </w:p>
    <w:p w:rsidR="00765E51" w:rsidRDefault="008139DD" w:rsidP="00015D8A">
      <w:pPr>
        <w:rPr>
          <w:rFonts w:ascii="Arial" w:hAnsi="Arial" w:cs="Arial"/>
          <w:sz w:val="20"/>
        </w:rPr>
      </w:pPr>
      <w:r>
        <w:rPr>
          <w:rFonts w:ascii="Arial" w:hAnsi="Arial" w:cs="Arial"/>
          <w:b/>
          <w:sz w:val="20"/>
        </w:rPr>
        <w:t>V</w:t>
      </w:r>
      <w:r w:rsidR="00765E51" w:rsidRPr="00015D8A">
        <w:rPr>
          <w:rFonts w:ascii="Arial" w:hAnsi="Arial" w:cs="Arial"/>
          <w:b/>
          <w:sz w:val="20"/>
        </w:rPr>
        <w:t> celoevropském kontextu došlo při přípravě programového období k významnému zpoždění</w:t>
      </w:r>
      <w:r w:rsidR="00765E51" w:rsidRPr="00015D8A">
        <w:rPr>
          <w:rFonts w:ascii="Arial" w:hAnsi="Arial" w:cs="Arial"/>
          <w:sz w:val="20"/>
        </w:rPr>
        <w:t xml:space="preserve">, což je primárně způsobeno zpožděním v přijímání relevantní legislativy ze strany </w:t>
      </w:r>
      <w:r w:rsidR="00015D8A">
        <w:rPr>
          <w:rFonts w:ascii="Arial" w:hAnsi="Arial" w:cs="Arial"/>
          <w:sz w:val="20"/>
        </w:rPr>
        <w:t>EK. Ta nejdůležitější část, tj.</w:t>
      </w:r>
      <w:r w:rsidR="00765E51" w:rsidRPr="00015D8A">
        <w:rPr>
          <w:rFonts w:ascii="Arial" w:hAnsi="Arial" w:cs="Arial"/>
          <w:sz w:val="20"/>
        </w:rPr>
        <w:t xml:space="preserve"> </w:t>
      </w:r>
      <w:r w:rsidR="00015D8A">
        <w:rPr>
          <w:rFonts w:ascii="Arial" w:hAnsi="Arial" w:cs="Arial"/>
          <w:sz w:val="20"/>
        </w:rPr>
        <w:t>nařízení byla</w:t>
      </w:r>
      <w:r w:rsidR="00765E51" w:rsidRPr="00015D8A">
        <w:rPr>
          <w:rFonts w:ascii="Arial" w:hAnsi="Arial" w:cs="Arial"/>
          <w:sz w:val="20"/>
        </w:rPr>
        <w:t xml:space="preserve"> schvále</w:t>
      </w:r>
      <w:r w:rsidR="00015D8A">
        <w:rPr>
          <w:rFonts w:ascii="Arial" w:hAnsi="Arial" w:cs="Arial"/>
          <w:sz w:val="20"/>
        </w:rPr>
        <w:t>na</w:t>
      </w:r>
      <w:r w:rsidR="00765E51" w:rsidRPr="00015D8A">
        <w:rPr>
          <w:rFonts w:ascii="Arial" w:hAnsi="Arial" w:cs="Arial"/>
          <w:sz w:val="20"/>
        </w:rPr>
        <w:t xml:space="preserve"> až v prosinci 2013 a někter</w:t>
      </w:r>
      <w:r w:rsidR="00F07326">
        <w:rPr>
          <w:rFonts w:ascii="Arial" w:hAnsi="Arial" w:cs="Arial"/>
          <w:sz w:val="20"/>
        </w:rPr>
        <w:t>á</w:t>
      </w:r>
      <w:r w:rsidR="00765E51" w:rsidRPr="00015D8A">
        <w:rPr>
          <w:rFonts w:ascii="Arial" w:hAnsi="Arial" w:cs="Arial"/>
          <w:sz w:val="20"/>
        </w:rPr>
        <w:t xml:space="preserve"> až v průběhu roku 2014. Nejsou stále ještě vydány všechny delegované a implementační akty, které jsou také pro zahájení implementace klíčové. Proto docház</w:t>
      </w:r>
      <w:r w:rsidR="00015D8A">
        <w:rPr>
          <w:rFonts w:ascii="Arial" w:hAnsi="Arial" w:cs="Arial"/>
          <w:sz w:val="20"/>
        </w:rPr>
        <w:t>í ve všech členských státech ke </w:t>
      </w:r>
      <w:r w:rsidR="00765E51" w:rsidRPr="00015D8A">
        <w:rPr>
          <w:rFonts w:ascii="Arial" w:hAnsi="Arial" w:cs="Arial"/>
          <w:sz w:val="20"/>
        </w:rPr>
        <w:t xml:space="preserve">zpoždění při schvalování programů. </w:t>
      </w:r>
    </w:p>
    <w:p w:rsidR="008A282E" w:rsidRDefault="008139DD" w:rsidP="00015D8A">
      <w:pPr>
        <w:rPr>
          <w:rFonts w:ascii="Arial" w:hAnsi="Arial" w:cs="Arial"/>
          <w:sz w:val="20"/>
        </w:rPr>
      </w:pPr>
      <w:r>
        <w:rPr>
          <w:rFonts w:ascii="Arial" w:hAnsi="Arial" w:cs="Arial"/>
          <w:sz w:val="20"/>
        </w:rPr>
        <w:t>Post</w:t>
      </w:r>
      <w:r w:rsidR="008B305D">
        <w:rPr>
          <w:rFonts w:ascii="Arial" w:hAnsi="Arial" w:cs="Arial"/>
          <w:sz w:val="20"/>
        </w:rPr>
        <w:t xml:space="preserve">up schvalování českých programů závisí na postupu souvisejícím se změnou víceletého finančního rámce. Některé </w:t>
      </w:r>
      <w:r w:rsidR="00234E7E">
        <w:rPr>
          <w:rFonts w:ascii="Arial" w:hAnsi="Arial" w:cs="Arial"/>
          <w:sz w:val="20"/>
        </w:rPr>
        <w:t xml:space="preserve">české řídicí orgány usilovaly o to, aby schválení programu nebylo dotčeno změnou víceletého finančního rámce, a proto předložily program EK v příslušných </w:t>
      </w:r>
      <w:r w:rsidR="00753152">
        <w:rPr>
          <w:rFonts w:ascii="Arial" w:hAnsi="Arial" w:cs="Arial"/>
          <w:sz w:val="20"/>
        </w:rPr>
        <w:t>termínech na </w:t>
      </w:r>
      <w:r w:rsidR="00234E7E">
        <w:rPr>
          <w:rFonts w:ascii="Arial" w:hAnsi="Arial" w:cs="Arial"/>
          <w:sz w:val="20"/>
        </w:rPr>
        <w:t xml:space="preserve">podzim </w:t>
      </w:r>
      <w:r w:rsidR="00753152">
        <w:rPr>
          <w:rFonts w:ascii="Arial" w:hAnsi="Arial" w:cs="Arial"/>
          <w:sz w:val="20"/>
        </w:rPr>
        <w:t xml:space="preserve">roku </w:t>
      </w:r>
      <w:r w:rsidR="00234E7E">
        <w:rPr>
          <w:rFonts w:ascii="Arial" w:hAnsi="Arial" w:cs="Arial"/>
          <w:sz w:val="20"/>
        </w:rPr>
        <w:t>2014</w:t>
      </w:r>
      <w:r>
        <w:rPr>
          <w:rFonts w:ascii="Arial" w:hAnsi="Arial" w:cs="Arial"/>
          <w:sz w:val="20"/>
        </w:rPr>
        <w:t xml:space="preserve">. </w:t>
      </w:r>
      <w:r w:rsidR="00234E7E" w:rsidRPr="00753152">
        <w:rPr>
          <w:rFonts w:ascii="Arial" w:hAnsi="Arial" w:cs="Arial"/>
          <w:b/>
          <w:sz w:val="20"/>
        </w:rPr>
        <w:t>V</w:t>
      </w:r>
      <w:r w:rsidRPr="00753152">
        <w:rPr>
          <w:rFonts w:ascii="Arial" w:hAnsi="Arial" w:cs="Arial"/>
          <w:b/>
          <w:sz w:val="20"/>
        </w:rPr>
        <w:t>zhledem k</w:t>
      </w:r>
      <w:r w:rsidR="0036242C" w:rsidRPr="00753152">
        <w:rPr>
          <w:rFonts w:ascii="Arial" w:hAnsi="Arial" w:cs="Arial"/>
          <w:b/>
          <w:sz w:val="20"/>
        </w:rPr>
        <w:t> aktuálně řešené problematice</w:t>
      </w:r>
      <w:r w:rsidRPr="00753152">
        <w:rPr>
          <w:rFonts w:ascii="Arial" w:hAnsi="Arial" w:cs="Arial"/>
          <w:b/>
          <w:sz w:val="20"/>
        </w:rPr>
        <w:t xml:space="preserve"> zákona o státní službě</w:t>
      </w:r>
      <w:r>
        <w:rPr>
          <w:rFonts w:ascii="Arial" w:hAnsi="Arial" w:cs="Arial"/>
          <w:sz w:val="20"/>
        </w:rPr>
        <w:t xml:space="preserve"> (</w:t>
      </w:r>
      <w:r w:rsidR="0036242C">
        <w:rPr>
          <w:rFonts w:ascii="Arial" w:hAnsi="Arial" w:cs="Arial"/>
          <w:sz w:val="20"/>
        </w:rPr>
        <w:t xml:space="preserve">dále </w:t>
      </w:r>
      <w:r>
        <w:rPr>
          <w:rFonts w:ascii="Arial" w:hAnsi="Arial" w:cs="Arial"/>
          <w:sz w:val="20"/>
        </w:rPr>
        <w:t>také „</w:t>
      </w:r>
      <w:r w:rsidR="002F4BE9">
        <w:rPr>
          <w:rFonts w:ascii="Arial" w:hAnsi="Arial" w:cs="Arial"/>
          <w:sz w:val="20"/>
        </w:rPr>
        <w:t>s</w:t>
      </w:r>
      <w:r>
        <w:rPr>
          <w:rFonts w:ascii="Arial" w:hAnsi="Arial" w:cs="Arial"/>
          <w:sz w:val="20"/>
        </w:rPr>
        <w:t>lužební zákon“</w:t>
      </w:r>
      <w:r w:rsidR="0036242C">
        <w:rPr>
          <w:rFonts w:ascii="Arial" w:hAnsi="Arial" w:cs="Arial"/>
          <w:sz w:val="20"/>
        </w:rPr>
        <w:t xml:space="preserve">) </w:t>
      </w:r>
      <w:r w:rsidR="00234E7E">
        <w:rPr>
          <w:rFonts w:ascii="Arial" w:hAnsi="Arial" w:cs="Arial"/>
          <w:sz w:val="20"/>
        </w:rPr>
        <w:t xml:space="preserve">však </w:t>
      </w:r>
      <w:r w:rsidR="0036242C">
        <w:rPr>
          <w:rFonts w:ascii="Arial" w:hAnsi="Arial" w:cs="Arial"/>
          <w:sz w:val="20"/>
        </w:rPr>
        <w:t xml:space="preserve">EK informovala, že žádný </w:t>
      </w:r>
      <w:r w:rsidR="00753152">
        <w:rPr>
          <w:rFonts w:ascii="Arial" w:hAnsi="Arial" w:cs="Arial"/>
          <w:sz w:val="20"/>
        </w:rPr>
        <w:t xml:space="preserve">český </w:t>
      </w:r>
      <w:r w:rsidR="0036242C">
        <w:rPr>
          <w:rFonts w:ascii="Arial" w:hAnsi="Arial" w:cs="Arial"/>
          <w:sz w:val="20"/>
        </w:rPr>
        <w:t xml:space="preserve">program nebude ze strany EK </w:t>
      </w:r>
      <w:r w:rsidR="00F07326">
        <w:rPr>
          <w:rFonts w:ascii="Arial" w:hAnsi="Arial" w:cs="Arial"/>
          <w:sz w:val="20"/>
        </w:rPr>
        <w:t xml:space="preserve">v současné době </w:t>
      </w:r>
      <w:r w:rsidR="0036242C">
        <w:rPr>
          <w:rFonts w:ascii="Arial" w:hAnsi="Arial" w:cs="Arial"/>
          <w:sz w:val="20"/>
        </w:rPr>
        <w:t xml:space="preserve">posouzen jako připraven k přijetí. To znamená, že </w:t>
      </w:r>
      <w:r w:rsidR="0036242C" w:rsidRPr="00753152">
        <w:rPr>
          <w:rFonts w:ascii="Arial" w:hAnsi="Arial" w:cs="Arial"/>
          <w:b/>
          <w:sz w:val="20"/>
        </w:rPr>
        <w:t>všechny české programy budou schvalovány až v červnu 2015</w:t>
      </w:r>
      <w:r w:rsidR="004E755D">
        <w:rPr>
          <w:rStyle w:val="Znakapoznpodarou"/>
          <w:rFonts w:ascii="Arial" w:hAnsi="Arial" w:cs="Arial"/>
          <w:sz w:val="20"/>
        </w:rPr>
        <w:footnoteReference w:id="2"/>
      </w:r>
      <w:r w:rsidR="00CE1D29">
        <w:rPr>
          <w:rFonts w:ascii="Arial" w:hAnsi="Arial" w:cs="Arial"/>
          <w:sz w:val="20"/>
        </w:rPr>
        <w:t>.</w:t>
      </w:r>
    </w:p>
    <w:p w:rsidR="000864D5" w:rsidRDefault="0036242C" w:rsidP="00015D8A">
      <w:pPr>
        <w:rPr>
          <w:rFonts w:ascii="Arial" w:hAnsi="Arial" w:cs="Arial"/>
          <w:sz w:val="20"/>
        </w:rPr>
      </w:pPr>
      <w:r>
        <w:rPr>
          <w:rFonts w:ascii="Arial" w:hAnsi="Arial" w:cs="Arial"/>
          <w:sz w:val="20"/>
        </w:rPr>
        <w:t xml:space="preserve">Problematiku </w:t>
      </w:r>
      <w:r w:rsidR="002F4BE9">
        <w:rPr>
          <w:rFonts w:ascii="Arial" w:hAnsi="Arial" w:cs="Arial"/>
          <w:sz w:val="20"/>
        </w:rPr>
        <w:t>s</w:t>
      </w:r>
      <w:r>
        <w:rPr>
          <w:rFonts w:ascii="Arial" w:hAnsi="Arial" w:cs="Arial"/>
          <w:sz w:val="20"/>
        </w:rPr>
        <w:t xml:space="preserve">lužebního zákona navíc Česká republika (ČR) vnímá jako jednu z oblastí, v nichž </w:t>
      </w:r>
      <w:r w:rsidRPr="00753152">
        <w:rPr>
          <w:rFonts w:ascii="Arial" w:hAnsi="Arial" w:cs="Arial"/>
          <w:b/>
          <w:sz w:val="20"/>
        </w:rPr>
        <w:t>EK neuplatňuje jednotný přístup ke všem členským státům EU</w:t>
      </w:r>
      <w:r>
        <w:rPr>
          <w:rFonts w:ascii="Arial" w:hAnsi="Arial" w:cs="Arial"/>
          <w:sz w:val="20"/>
        </w:rPr>
        <w:t xml:space="preserve">. Kromě </w:t>
      </w:r>
      <w:r w:rsidR="002F4BE9">
        <w:rPr>
          <w:rFonts w:ascii="Arial" w:hAnsi="Arial" w:cs="Arial"/>
          <w:sz w:val="20"/>
        </w:rPr>
        <w:t>s</w:t>
      </w:r>
      <w:r>
        <w:rPr>
          <w:rFonts w:ascii="Arial" w:hAnsi="Arial" w:cs="Arial"/>
          <w:sz w:val="20"/>
        </w:rPr>
        <w:t>lužebního zákona se nejednotný přístup EK dotýká také oblasti veřejných zakázek a vyjednávání o aplikaci článku 70 Obecného nařízení</w:t>
      </w:r>
      <w:r>
        <w:rPr>
          <w:rStyle w:val="Znakapoznpodarou"/>
          <w:rFonts w:ascii="Arial" w:hAnsi="Arial" w:cs="Arial"/>
          <w:sz w:val="20"/>
        </w:rPr>
        <w:footnoteReference w:id="3"/>
      </w:r>
      <w:r>
        <w:rPr>
          <w:rFonts w:ascii="Arial" w:hAnsi="Arial" w:cs="Arial"/>
          <w:sz w:val="20"/>
        </w:rPr>
        <w:t>, tj. problematika financování operací mimo programové území.</w:t>
      </w:r>
      <w:r w:rsidR="000864D5">
        <w:rPr>
          <w:rFonts w:ascii="Arial" w:hAnsi="Arial" w:cs="Arial"/>
          <w:sz w:val="20"/>
        </w:rPr>
        <w:t xml:space="preserve"> V</w:t>
      </w:r>
      <w:r>
        <w:rPr>
          <w:rFonts w:ascii="Arial" w:hAnsi="Arial" w:cs="Arial"/>
          <w:sz w:val="20"/>
        </w:rPr>
        <w:t>yjednávání těchto oblastí</w:t>
      </w:r>
      <w:r w:rsidR="000864D5">
        <w:rPr>
          <w:rFonts w:ascii="Arial" w:hAnsi="Arial" w:cs="Arial"/>
          <w:sz w:val="20"/>
        </w:rPr>
        <w:t xml:space="preserve"> s EK jsou náročná mimo jiné proto, že požadavky EK v mnoha případe</w:t>
      </w:r>
      <w:r w:rsidR="00C270DD">
        <w:rPr>
          <w:rFonts w:ascii="Arial" w:hAnsi="Arial" w:cs="Arial"/>
          <w:sz w:val="20"/>
        </w:rPr>
        <w:t>ch jdou nad </w:t>
      </w:r>
      <w:r w:rsidR="000864D5">
        <w:rPr>
          <w:rFonts w:ascii="Arial" w:hAnsi="Arial" w:cs="Arial"/>
          <w:sz w:val="20"/>
        </w:rPr>
        <w:t>rámec legislativy</w:t>
      </w:r>
      <w:r w:rsidR="00C270DD">
        <w:rPr>
          <w:rFonts w:ascii="Arial" w:hAnsi="Arial" w:cs="Arial"/>
          <w:sz w:val="20"/>
        </w:rPr>
        <w:t xml:space="preserve"> EU</w:t>
      </w:r>
      <w:r w:rsidR="000864D5">
        <w:rPr>
          <w:rFonts w:ascii="Arial" w:hAnsi="Arial" w:cs="Arial"/>
          <w:sz w:val="20"/>
        </w:rPr>
        <w:t xml:space="preserve"> i pravomocí EK</w:t>
      </w:r>
      <w:r w:rsidR="00F07326">
        <w:rPr>
          <w:rFonts w:ascii="Arial" w:hAnsi="Arial" w:cs="Arial"/>
          <w:sz w:val="20"/>
        </w:rPr>
        <w:t xml:space="preserve"> a jsou sdělovány postupně až v průběhu vyjednávání</w:t>
      </w:r>
      <w:r w:rsidR="00A16F0F">
        <w:rPr>
          <w:rFonts w:ascii="Arial" w:hAnsi="Arial" w:cs="Arial"/>
          <w:sz w:val="20"/>
        </w:rPr>
        <w:t>. MMR</w:t>
      </w:r>
      <w:r w:rsidR="00A16F0F">
        <w:rPr>
          <w:rFonts w:ascii="Arial" w:hAnsi="Arial" w:cs="Arial"/>
          <w:sz w:val="20"/>
        </w:rPr>
        <w:noBreakHyphen/>
      </w:r>
      <w:r w:rsidR="000864D5">
        <w:rPr>
          <w:rFonts w:ascii="Arial" w:hAnsi="Arial" w:cs="Arial"/>
          <w:sz w:val="20"/>
        </w:rPr>
        <w:t>NOK ve spolupráci se </w:t>
      </w:r>
      <w:r w:rsidR="00C270DD">
        <w:rPr>
          <w:rFonts w:ascii="Arial" w:hAnsi="Arial" w:cs="Arial"/>
          <w:sz w:val="20"/>
        </w:rPr>
        <w:t>Stálým zastoupením ČR v </w:t>
      </w:r>
      <w:r w:rsidR="000864D5" w:rsidRPr="00CC5D9C">
        <w:rPr>
          <w:rFonts w:ascii="Arial" w:hAnsi="Arial" w:cs="Arial"/>
          <w:sz w:val="20"/>
        </w:rPr>
        <w:t xml:space="preserve">Bruselu provedlo screening situace v několika </w:t>
      </w:r>
      <w:r w:rsidR="000864D5" w:rsidRPr="00CC5D9C">
        <w:rPr>
          <w:rFonts w:ascii="Arial" w:hAnsi="Arial" w:cs="Arial"/>
          <w:sz w:val="20"/>
        </w:rPr>
        <w:lastRenderedPageBreak/>
        <w:t>členských státech</w:t>
      </w:r>
      <w:r w:rsidR="000864D5">
        <w:rPr>
          <w:rFonts w:ascii="Arial" w:hAnsi="Arial" w:cs="Arial"/>
          <w:sz w:val="20"/>
        </w:rPr>
        <w:t>, na základě něhož je porovnán přístup EK k řešení uvedených oblastí v těchto členských státech a v ČR.</w:t>
      </w:r>
    </w:p>
    <w:p w:rsidR="000864D5" w:rsidRDefault="000864D5" w:rsidP="00015D8A">
      <w:pPr>
        <w:rPr>
          <w:rFonts w:ascii="Arial" w:hAnsi="Arial" w:cs="Arial"/>
          <w:sz w:val="20"/>
        </w:rPr>
      </w:pPr>
      <w:r>
        <w:rPr>
          <w:rFonts w:ascii="Arial" w:hAnsi="Arial" w:cs="Arial"/>
          <w:sz w:val="20"/>
        </w:rPr>
        <w:t xml:space="preserve">Dalším faktorem majícím vliv na zpoždění schvalování programů a zahájení implementace programového období 2014–2020 jsou </w:t>
      </w:r>
      <w:r w:rsidRPr="00753152">
        <w:rPr>
          <w:rFonts w:ascii="Arial" w:hAnsi="Arial" w:cs="Arial"/>
          <w:b/>
          <w:sz w:val="20"/>
        </w:rPr>
        <w:t>oblasti řešené ze strany EK až ve finální fázi vyjednávání</w:t>
      </w:r>
      <w:r w:rsidR="00E713CF">
        <w:rPr>
          <w:rFonts w:ascii="Arial" w:hAnsi="Arial" w:cs="Arial"/>
          <w:b/>
          <w:sz w:val="20"/>
        </w:rPr>
        <w:t xml:space="preserve"> programů</w:t>
      </w:r>
      <w:r>
        <w:rPr>
          <w:rFonts w:ascii="Arial" w:hAnsi="Arial" w:cs="Arial"/>
          <w:sz w:val="20"/>
        </w:rPr>
        <w:t>. Tento problém se týká například problematiky podpory fyzických osob, ale také zmíněné aplikace článku 70 Obecného nařízení</w:t>
      </w:r>
      <w:r w:rsidR="00C270DD">
        <w:rPr>
          <w:rFonts w:ascii="Arial" w:hAnsi="Arial" w:cs="Arial"/>
          <w:sz w:val="20"/>
        </w:rPr>
        <w:t xml:space="preserve">, který má mimo jiné dopad na </w:t>
      </w:r>
      <w:r w:rsidR="00F07326">
        <w:rPr>
          <w:rFonts w:ascii="Arial" w:hAnsi="Arial" w:cs="Arial"/>
          <w:sz w:val="20"/>
        </w:rPr>
        <w:t xml:space="preserve">využití prostředků v rámci programů, resp. </w:t>
      </w:r>
      <w:r w:rsidR="00C270DD">
        <w:rPr>
          <w:rFonts w:ascii="Arial" w:hAnsi="Arial" w:cs="Arial"/>
          <w:sz w:val="20"/>
        </w:rPr>
        <w:t>nastavení převodu prostředků mezi </w:t>
      </w:r>
      <w:r w:rsidR="00C270DD" w:rsidRPr="00AA5E27">
        <w:rPr>
          <w:rFonts w:ascii="Arial" w:hAnsi="Arial" w:cs="Arial"/>
          <w:sz w:val="20"/>
        </w:rPr>
        <w:t>kategoriemi regionů</w:t>
      </w:r>
      <w:r>
        <w:rPr>
          <w:rFonts w:ascii="Arial" w:hAnsi="Arial" w:cs="Arial"/>
          <w:sz w:val="20"/>
        </w:rPr>
        <w:t xml:space="preserve">. Dosud není k dispozici </w:t>
      </w:r>
      <w:r w:rsidR="00C270DD">
        <w:rPr>
          <w:rFonts w:ascii="Arial" w:hAnsi="Arial" w:cs="Arial"/>
          <w:sz w:val="20"/>
        </w:rPr>
        <w:t>slíbený metodický dokument EK</w:t>
      </w:r>
      <w:r w:rsidR="00F07326">
        <w:rPr>
          <w:rFonts w:ascii="Arial" w:hAnsi="Arial" w:cs="Arial"/>
          <w:sz w:val="20"/>
        </w:rPr>
        <w:t xml:space="preserve">, jehož vydání EK avizovala </w:t>
      </w:r>
      <w:r w:rsidR="00CE1D29">
        <w:rPr>
          <w:rFonts w:ascii="Arial" w:hAnsi="Arial" w:cs="Arial"/>
          <w:sz w:val="20"/>
        </w:rPr>
        <w:t xml:space="preserve">postupně </w:t>
      </w:r>
      <w:r w:rsidR="00F07326">
        <w:rPr>
          <w:rFonts w:ascii="Arial" w:hAnsi="Arial" w:cs="Arial"/>
          <w:sz w:val="20"/>
        </w:rPr>
        <w:t xml:space="preserve">již </w:t>
      </w:r>
      <w:r w:rsidR="00FA41E6">
        <w:rPr>
          <w:rFonts w:ascii="Arial" w:hAnsi="Arial" w:cs="Arial"/>
          <w:sz w:val="20"/>
        </w:rPr>
        <w:t>v průběhu celého loňského roku</w:t>
      </w:r>
      <w:r w:rsidR="00F07326">
        <w:rPr>
          <w:rFonts w:ascii="Arial" w:hAnsi="Arial" w:cs="Arial"/>
          <w:sz w:val="20"/>
        </w:rPr>
        <w:t>,</w:t>
      </w:r>
      <w:r w:rsidR="00C270DD">
        <w:rPr>
          <w:rFonts w:ascii="Arial" w:hAnsi="Arial" w:cs="Arial"/>
          <w:sz w:val="20"/>
        </w:rPr>
        <w:t xml:space="preserve"> </w:t>
      </w:r>
      <w:r w:rsidR="00F07326">
        <w:rPr>
          <w:rFonts w:ascii="Arial" w:hAnsi="Arial" w:cs="Arial"/>
          <w:sz w:val="20"/>
        </w:rPr>
        <w:t xml:space="preserve">který </w:t>
      </w:r>
      <w:r w:rsidR="00C270DD">
        <w:rPr>
          <w:rFonts w:ascii="Arial" w:hAnsi="Arial" w:cs="Arial"/>
          <w:sz w:val="20"/>
        </w:rPr>
        <w:t>upravuj</w:t>
      </w:r>
      <w:r w:rsidR="00F07326">
        <w:rPr>
          <w:rFonts w:ascii="Arial" w:hAnsi="Arial" w:cs="Arial"/>
          <w:sz w:val="20"/>
        </w:rPr>
        <w:t>e</w:t>
      </w:r>
      <w:r w:rsidR="00C270DD">
        <w:rPr>
          <w:rFonts w:ascii="Arial" w:hAnsi="Arial" w:cs="Arial"/>
          <w:sz w:val="20"/>
        </w:rPr>
        <w:t xml:space="preserve"> pravidla pro financování operací mimo programové území</w:t>
      </w:r>
      <w:r w:rsidR="00F07326">
        <w:rPr>
          <w:rFonts w:ascii="Arial" w:hAnsi="Arial" w:cs="Arial"/>
          <w:sz w:val="20"/>
        </w:rPr>
        <w:t xml:space="preserve"> a</w:t>
      </w:r>
      <w:r w:rsidR="00041357">
        <w:rPr>
          <w:rFonts w:ascii="Arial" w:hAnsi="Arial" w:cs="Arial"/>
          <w:sz w:val="20"/>
        </w:rPr>
        <w:t xml:space="preserve"> je nezbytný pro </w:t>
      </w:r>
      <w:r w:rsidR="00C270DD">
        <w:rPr>
          <w:rFonts w:ascii="Arial" w:hAnsi="Arial" w:cs="Arial"/>
          <w:sz w:val="20"/>
        </w:rPr>
        <w:t>implementaci dotčených programů.</w:t>
      </w:r>
    </w:p>
    <w:p w:rsidR="00C270DD" w:rsidRPr="00753152" w:rsidRDefault="00C270DD" w:rsidP="00015D8A">
      <w:pPr>
        <w:rPr>
          <w:rFonts w:ascii="Arial" w:hAnsi="Arial" w:cs="Arial"/>
          <w:sz w:val="20"/>
        </w:rPr>
      </w:pPr>
      <w:r w:rsidRPr="00753152">
        <w:rPr>
          <w:rFonts w:ascii="Arial" w:hAnsi="Arial" w:cs="Arial"/>
          <w:b/>
          <w:sz w:val="20"/>
        </w:rPr>
        <w:t>Snahou</w:t>
      </w:r>
      <w:r w:rsidR="00234E7E" w:rsidRPr="00753152">
        <w:rPr>
          <w:rFonts w:ascii="Arial" w:hAnsi="Arial" w:cs="Arial"/>
          <w:b/>
          <w:sz w:val="20"/>
        </w:rPr>
        <w:t xml:space="preserve"> MMR-NOK a řídicích orgánů </w:t>
      </w:r>
      <w:r w:rsidRPr="00753152">
        <w:rPr>
          <w:rFonts w:ascii="Arial" w:hAnsi="Arial" w:cs="Arial"/>
          <w:b/>
          <w:sz w:val="20"/>
        </w:rPr>
        <w:t>je brzké ukončení vyjednávání s EK</w:t>
      </w:r>
      <w:r>
        <w:rPr>
          <w:rFonts w:ascii="Arial" w:hAnsi="Arial" w:cs="Arial"/>
          <w:sz w:val="20"/>
        </w:rPr>
        <w:t xml:space="preserve"> o výše uvedených oblastech tak, aby </w:t>
      </w:r>
      <w:r w:rsidR="00F07326">
        <w:rPr>
          <w:rFonts w:ascii="Arial" w:hAnsi="Arial" w:cs="Arial"/>
          <w:sz w:val="20"/>
        </w:rPr>
        <w:t xml:space="preserve">vyjednávání </w:t>
      </w:r>
      <w:r>
        <w:rPr>
          <w:rFonts w:ascii="Arial" w:hAnsi="Arial" w:cs="Arial"/>
          <w:sz w:val="20"/>
        </w:rPr>
        <w:t>program</w:t>
      </w:r>
      <w:r w:rsidR="00F07326">
        <w:rPr>
          <w:rFonts w:ascii="Arial" w:hAnsi="Arial" w:cs="Arial"/>
          <w:sz w:val="20"/>
        </w:rPr>
        <w:t>ů</w:t>
      </w:r>
      <w:r>
        <w:rPr>
          <w:rFonts w:ascii="Arial" w:hAnsi="Arial" w:cs="Arial"/>
          <w:sz w:val="20"/>
        </w:rPr>
        <w:t xml:space="preserve"> spolufinancovan</w:t>
      </w:r>
      <w:r w:rsidR="00F07326">
        <w:rPr>
          <w:rFonts w:ascii="Arial" w:hAnsi="Arial" w:cs="Arial"/>
          <w:sz w:val="20"/>
        </w:rPr>
        <w:t>ých</w:t>
      </w:r>
      <w:r>
        <w:rPr>
          <w:rFonts w:ascii="Arial" w:hAnsi="Arial" w:cs="Arial"/>
          <w:sz w:val="20"/>
        </w:rPr>
        <w:t xml:space="preserve"> z ESI fondů v programovém období 2014–2020 </w:t>
      </w:r>
      <w:r w:rsidR="00753152">
        <w:rPr>
          <w:rFonts w:ascii="Arial" w:hAnsi="Arial" w:cs="Arial"/>
          <w:sz w:val="20"/>
        </w:rPr>
        <w:t>mohl</w:t>
      </w:r>
      <w:r w:rsidR="00F07326">
        <w:rPr>
          <w:rFonts w:ascii="Arial" w:hAnsi="Arial" w:cs="Arial"/>
          <w:sz w:val="20"/>
        </w:rPr>
        <w:t>o</w:t>
      </w:r>
      <w:r w:rsidR="00753152">
        <w:rPr>
          <w:rFonts w:ascii="Arial" w:hAnsi="Arial" w:cs="Arial"/>
          <w:sz w:val="20"/>
        </w:rPr>
        <w:t> </w:t>
      </w:r>
      <w:r>
        <w:rPr>
          <w:rFonts w:ascii="Arial" w:hAnsi="Arial" w:cs="Arial"/>
          <w:sz w:val="20"/>
        </w:rPr>
        <w:t xml:space="preserve">být v blízké době </w:t>
      </w:r>
      <w:r w:rsidR="00F07326">
        <w:rPr>
          <w:rFonts w:ascii="Arial" w:hAnsi="Arial" w:cs="Arial"/>
          <w:sz w:val="20"/>
        </w:rPr>
        <w:t xml:space="preserve">uzavřeno </w:t>
      </w:r>
      <w:r>
        <w:rPr>
          <w:rFonts w:ascii="Arial" w:hAnsi="Arial" w:cs="Arial"/>
          <w:sz w:val="20"/>
        </w:rPr>
        <w:t xml:space="preserve">a mohla být zahájena jejich implementace. </w:t>
      </w:r>
      <w:r w:rsidR="00234E7E">
        <w:rPr>
          <w:rFonts w:ascii="Arial" w:hAnsi="Arial" w:cs="Arial"/>
          <w:sz w:val="20"/>
        </w:rPr>
        <w:t xml:space="preserve">Z tohoto </w:t>
      </w:r>
      <w:r w:rsidR="00753152">
        <w:rPr>
          <w:rFonts w:ascii="Arial" w:hAnsi="Arial" w:cs="Arial"/>
          <w:sz w:val="20"/>
        </w:rPr>
        <w:t>důvodu je na </w:t>
      </w:r>
      <w:r w:rsidR="00234E7E">
        <w:rPr>
          <w:rFonts w:ascii="Arial" w:hAnsi="Arial" w:cs="Arial"/>
          <w:sz w:val="20"/>
        </w:rPr>
        <w:t xml:space="preserve">únor 2015 plánováno jednání </w:t>
      </w:r>
      <w:r w:rsidR="00A166A8">
        <w:rPr>
          <w:rFonts w:ascii="Arial" w:hAnsi="Arial" w:cs="Arial"/>
          <w:sz w:val="20"/>
        </w:rPr>
        <w:t>za účasti zástupců</w:t>
      </w:r>
      <w:r w:rsidR="00234E7E">
        <w:rPr>
          <w:rFonts w:ascii="Arial" w:hAnsi="Arial" w:cs="Arial"/>
          <w:sz w:val="20"/>
        </w:rPr>
        <w:t xml:space="preserve"> EK </w:t>
      </w:r>
      <w:r w:rsidR="00A166A8">
        <w:rPr>
          <w:rFonts w:ascii="Arial" w:hAnsi="Arial" w:cs="Arial"/>
          <w:sz w:val="20"/>
        </w:rPr>
        <w:t xml:space="preserve">a řídicích orgánů </w:t>
      </w:r>
      <w:r w:rsidR="00234E7E">
        <w:rPr>
          <w:rFonts w:ascii="Arial" w:hAnsi="Arial" w:cs="Arial"/>
          <w:sz w:val="20"/>
        </w:rPr>
        <w:t xml:space="preserve">s cílem </w:t>
      </w:r>
      <w:r w:rsidR="00753152">
        <w:rPr>
          <w:rFonts w:ascii="Arial" w:hAnsi="Arial" w:cs="Arial"/>
          <w:sz w:val="20"/>
        </w:rPr>
        <w:t>uzavřít otevřené otázky ve </w:t>
      </w:r>
      <w:r w:rsidR="00234E7E">
        <w:rPr>
          <w:rFonts w:ascii="Arial" w:hAnsi="Arial" w:cs="Arial"/>
          <w:sz w:val="20"/>
        </w:rPr>
        <w:t>vztahu k jednotlivým programům.</w:t>
      </w:r>
    </w:p>
    <w:p w:rsidR="00C270DD" w:rsidRDefault="00C270DD">
      <w:pPr>
        <w:spacing w:before="0" w:line="240" w:lineRule="auto"/>
        <w:jc w:val="left"/>
        <w:rPr>
          <w:rFonts w:ascii="Arial" w:hAnsi="Arial" w:cs="Arial"/>
          <w:sz w:val="20"/>
          <w:szCs w:val="24"/>
        </w:rPr>
      </w:pPr>
      <w:r>
        <w:rPr>
          <w:rFonts w:ascii="Arial" w:hAnsi="Arial" w:cs="Arial"/>
          <w:sz w:val="20"/>
          <w:szCs w:val="24"/>
        </w:rPr>
        <w:br w:type="page"/>
      </w:r>
    </w:p>
    <w:p w:rsidR="00951AF4" w:rsidRDefault="007719D9" w:rsidP="00A16F0F">
      <w:pPr>
        <w:pStyle w:val="Nadpis1"/>
        <w:spacing w:after="120"/>
      </w:pPr>
      <w:bookmarkStart w:id="12" w:name="_Toc409196588"/>
      <w:bookmarkStart w:id="13" w:name="_Toc401148476"/>
      <w:r>
        <w:lastRenderedPageBreak/>
        <w:t>Aktuální s</w:t>
      </w:r>
      <w:r w:rsidR="004F5242">
        <w:t>tav v</w:t>
      </w:r>
      <w:r w:rsidR="00910F75">
        <w:t xml:space="preserve">yjednávání </w:t>
      </w:r>
      <w:r w:rsidR="00E94B67" w:rsidRPr="002B7CE4">
        <w:t>programů</w:t>
      </w:r>
      <w:r w:rsidR="00153AA0" w:rsidRPr="002B7CE4">
        <w:t xml:space="preserve"> </w:t>
      </w:r>
      <w:r w:rsidR="00F96229">
        <w:t>s </w:t>
      </w:r>
      <w:r w:rsidR="00711B14">
        <w:t>EK</w:t>
      </w:r>
      <w:bookmarkEnd w:id="12"/>
      <w:r w:rsidR="00153AA0" w:rsidRPr="002B7CE4">
        <w:t xml:space="preserve"> </w:t>
      </w:r>
      <w:bookmarkStart w:id="14" w:name="_Toc391300587"/>
      <w:bookmarkEnd w:id="13"/>
    </w:p>
    <w:p w:rsidR="007719D9" w:rsidRPr="007719D9" w:rsidRDefault="007719D9" w:rsidP="00A16F0F">
      <w:pPr>
        <w:pStyle w:val="Nadpis2"/>
        <w:spacing w:before="160"/>
      </w:pPr>
      <w:bookmarkStart w:id="15" w:name="_Toc409196589"/>
      <w:r>
        <w:t>Stav vyjednávání českých programů s EK</w:t>
      </w:r>
      <w:bookmarkEnd w:id="15"/>
    </w:p>
    <w:p w:rsidR="0001246D" w:rsidRDefault="00D253F2" w:rsidP="00D253F2">
      <w:pPr>
        <w:tabs>
          <w:tab w:val="left" w:pos="2694"/>
        </w:tabs>
        <w:outlineLvl w:val="0"/>
        <w:rPr>
          <w:rFonts w:ascii="Arial" w:hAnsi="Arial" w:cs="Arial"/>
          <w:sz w:val="20"/>
        </w:rPr>
      </w:pPr>
      <w:bookmarkStart w:id="16" w:name="_Toc409196590"/>
      <w:bookmarkEnd w:id="14"/>
      <w:r w:rsidRPr="00ED5250">
        <w:rPr>
          <w:rFonts w:ascii="Arial" w:hAnsi="Arial" w:cs="Arial"/>
          <w:sz w:val="20"/>
        </w:rPr>
        <w:t xml:space="preserve">MMR-NOK v předchozí </w:t>
      </w:r>
      <w:r>
        <w:rPr>
          <w:rFonts w:ascii="Arial" w:hAnsi="Arial" w:cs="Arial"/>
          <w:sz w:val="20"/>
        </w:rPr>
        <w:t>I</w:t>
      </w:r>
      <w:r w:rsidRPr="00ED5250">
        <w:rPr>
          <w:rFonts w:ascii="Arial" w:hAnsi="Arial" w:cs="Arial"/>
          <w:sz w:val="20"/>
        </w:rPr>
        <w:t>nformaci</w:t>
      </w:r>
      <w:r>
        <w:rPr>
          <w:rFonts w:ascii="Arial" w:hAnsi="Arial" w:cs="Arial"/>
          <w:sz w:val="20"/>
        </w:rPr>
        <w:t xml:space="preserve"> pro vládu o stavu přípravy programů a řešení předběžných podmínek za měsíc </w:t>
      </w:r>
      <w:r w:rsidR="00024A60">
        <w:rPr>
          <w:rFonts w:ascii="Arial" w:hAnsi="Arial" w:cs="Arial"/>
          <w:sz w:val="20"/>
        </w:rPr>
        <w:t xml:space="preserve">prosinec </w:t>
      </w:r>
      <w:r>
        <w:rPr>
          <w:rFonts w:ascii="Arial" w:hAnsi="Arial" w:cs="Arial"/>
          <w:sz w:val="20"/>
        </w:rPr>
        <w:t xml:space="preserve">2014 informoval o variantách dalšího postupu ke schválení programů, které </w:t>
      </w:r>
      <w:r w:rsidRPr="00ED5250">
        <w:rPr>
          <w:rFonts w:ascii="Arial" w:hAnsi="Arial" w:cs="Arial"/>
          <w:sz w:val="20"/>
        </w:rPr>
        <w:t>se liší v závislosti na připravenosti programu s ohledem na vypořádání připomínek EK</w:t>
      </w:r>
      <w:r w:rsidRPr="00C90AE1">
        <w:rPr>
          <w:rFonts w:ascii="Arial" w:hAnsi="Arial" w:cs="Arial"/>
          <w:sz w:val="20"/>
        </w:rPr>
        <w:t xml:space="preserve">. </w:t>
      </w:r>
      <w:r w:rsidR="0001246D">
        <w:rPr>
          <w:rFonts w:ascii="Arial" w:hAnsi="Arial" w:cs="Arial"/>
          <w:sz w:val="20"/>
        </w:rPr>
        <w:t xml:space="preserve">V lednu </w:t>
      </w:r>
      <w:r w:rsidR="00C76E0E">
        <w:rPr>
          <w:rFonts w:ascii="Arial" w:hAnsi="Arial" w:cs="Arial"/>
          <w:sz w:val="20"/>
        </w:rPr>
        <w:t xml:space="preserve">2015 </w:t>
      </w:r>
      <w:r w:rsidR="0001246D">
        <w:rPr>
          <w:rFonts w:ascii="Arial" w:hAnsi="Arial" w:cs="Arial"/>
          <w:sz w:val="20"/>
        </w:rPr>
        <w:t xml:space="preserve">však došlo </w:t>
      </w:r>
      <w:r w:rsidR="00203F05">
        <w:rPr>
          <w:rFonts w:ascii="Arial" w:hAnsi="Arial" w:cs="Arial"/>
          <w:sz w:val="20"/>
        </w:rPr>
        <w:t xml:space="preserve">ze strany EK </w:t>
      </w:r>
      <w:r w:rsidR="0001246D">
        <w:rPr>
          <w:rFonts w:ascii="Arial" w:hAnsi="Arial" w:cs="Arial"/>
          <w:sz w:val="20"/>
        </w:rPr>
        <w:t xml:space="preserve">ke změně v avizovaném průběhu schvalování </w:t>
      </w:r>
      <w:r w:rsidR="00203F05">
        <w:rPr>
          <w:rFonts w:ascii="Arial" w:hAnsi="Arial" w:cs="Arial"/>
          <w:sz w:val="20"/>
        </w:rPr>
        <w:t xml:space="preserve">českých </w:t>
      </w:r>
      <w:r w:rsidR="0001246D">
        <w:rPr>
          <w:rFonts w:ascii="Arial" w:hAnsi="Arial" w:cs="Arial"/>
          <w:sz w:val="20"/>
        </w:rPr>
        <w:t>program</w:t>
      </w:r>
      <w:r w:rsidR="00C76E0E">
        <w:rPr>
          <w:rFonts w:ascii="Arial" w:hAnsi="Arial" w:cs="Arial"/>
          <w:sz w:val="20"/>
        </w:rPr>
        <w:t>ů</w:t>
      </w:r>
      <w:r w:rsidR="00203F05">
        <w:rPr>
          <w:rFonts w:ascii="Arial" w:hAnsi="Arial" w:cs="Arial"/>
          <w:sz w:val="20"/>
        </w:rPr>
        <w:t>, které byly oficiálně EK předloženy do konce roku 2014</w:t>
      </w:r>
      <w:r w:rsidR="0001246D">
        <w:rPr>
          <w:rFonts w:ascii="Arial" w:hAnsi="Arial" w:cs="Arial"/>
          <w:sz w:val="20"/>
        </w:rPr>
        <w:t>.</w:t>
      </w:r>
      <w:bookmarkEnd w:id="16"/>
    </w:p>
    <w:p w:rsidR="0001246D" w:rsidRDefault="0001246D" w:rsidP="00711B14">
      <w:pPr>
        <w:spacing w:after="120"/>
        <w:rPr>
          <w:rFonts w:ascii="Arial" w:hAnsi="Arial" w:cs="Arial"/>
          <w:sz w:val="20"/>
          <w:szCs w:val="20"/>
        </w:rPr>
      </w:pPr>
      <w:r>
        <w:rPr>
          <w:rFonts w:ascii="Arial" w:hAnsi="Arial" w:cs="Arial"/>
          <w:b/>
          <w:bCs/>
          <w:sz w:val="20"/>
          <w:szCs w:val="20"/>
        </w:rPr>
        <w:t xml:space="preserve">Dne 9. </w:t>
      </w:r>
      <w:r w:rsidR="00C76E0E">
        <w:rPr>
          <w:rFonts w:ascii="Arial" w:hAnsi="Arial" w:cs="Arial"/>
          <w:b/>
          <w:bCs/>
          <w:sz w:val="20"/>
          <w:szCs w:val="20"/>
        </w:rPr>
        <w:t>ledna</w:t>
      </w:r>
      <w:r>
        <w:rPr>
          <w:rFonts w:ascii="Arial" w:hAnsi="Arial" w:cs="Arial"/>
          <w:b/>
          <w:bCs/>
          <w:sz w:val="20"/>
          <w:szCs w:val="20"/>
        </w:rPr>
        <w:t xml:space="preserve"> 2015 se uskutečnilo jednání s </w:t>
      </w:r>
      <w:r w:rsidR="002F4BE9">
        <w:rPr>
          <w:rFonts w:ascii="Arial" w:hAnsi="Arial" w:cs="Arial"/>
          <w:b/>
          <w:bCs/>
          <w:sz w:val="20"/>
          <w:szCs w:val="20"/>
        </w:rPr>
        <w:t>EK</w:t>
      </w:r>
      <w:r>
        <w:rPr>
          <w:rFonts w:ascii="Arial" w:hAnsi="Arial" w:cs="Arial"/>
          <w:b/>
          <w:bCs/>
          <w:sz w:val="20"/>
          <w:szCs w:val="20"/>
        </w:rPr>
        <w:t xml:space="preserve"> ve věci </w:t>
      </w:r>
      <w:r w:rsidR="002F4BE9">
        <w:rPr>
          <w:rFonts w:ascii="Arial" w:hAnsi="Arial" w:cs="Arial"/>
          <w:b/>
          <w:bCs/>
          <w:sz w:val="20"/>
          <w:szCs w:val="20"/>
        </w:rPr>
        <w:t>s</w:t>
      </w:r>
      <w:r>
        <w:rPr>
          <w:rFonts w:ascii="Arial" w:hAnsi="Arial" w:cs="Arial"/>
          <w:b/>
          <w:bCs/>
          <w:sz w:val="20"/>
          <w:szCs w:val="20"/>
        </w:rPr>
        <w:t>lužebního zákona</w:t>
      </w:r>
      <w:r>
        <w:rPr>
          <w:rFonts w:ascii="Arial" w:hAnsi="Arial" w:cs="Arial"/>
          <w:sz w:val="20"/>
          <w:szCs w:val="20"/>
        </w:rPr>
        <w:t>, ze</w:t>
      </w:r>
      <w:r w:rsidR="00C76E0E">
        <w:rPr>
          <w:rFonts w:ascii="Arial" w:hAnsi="Arial" w:cs="Arial"/>
          <w:sz w:val="20"/>
          <w:szCs w:val="20"/>
        </w:rPr>
        <w:t> </w:t>
      </w:r>
      <w:r>
        <w:rPr>
          <w:rFonts w:ascii="Arial" w:hAnsi="Arial" w:cs="Arial"/>
          <w:sz w:val="20"/>
          <w:szCs w:val="20"/>
        </w:rPr>
        <w:t xml:space="preserve">kterého vyplynulo, že </w:t>
      </w:r>
      <w:r w:rsidR="002F4BE9">
        <w:rPr>
          <w:rFonts w:ascii="Arial" w:hAnsi="Arial" w:cs="Arial"/>
          <w:sz w:val="20"/>
          <w:szCs w:val="20"/>
        </w:rPr>
        <w:t>EK</w:t>
      </w:r>
      <w:r w:rsidRPr="00024A60">
        <w:rPr>
          <w:rFonts w:ascii="Arial" w:hAnsi="Arial" w:cs="Arial"/>
          <w:sz w:val="20"/>
          <w:szCs w:val="20"/>
        </w:rPr>
        <w:t xml:space="preserve"> prozatím nezahrne české programy do skupiny aktuálně s</w:t>
      </w:r>
      <w:r w:rsidR="00753152">
        <w:rPr>
          <w:rFonts w:ascii="Arial" w:hAnsi="Arial" w:cs="Arial"/>
          <w:sz w:val="20"/>
          <w:szCs w:val="20"/>
        </w:rPr>
        <w:t>chvalovaných programů, tedy dle </w:t>
      </w:r>
      <w:r w:rsidRPr="00024A60">
        <w:rPr>
          <w:rFonts w:ascii="Arial" w:hAnsi="Arial" w:cs="Arial"/>
          <w:sz w:val="20"/>
          <w:szCs w:val="20"/>
        </w:rPr>
        <w:t>varianty č. 1</w:t>
      </w:r>
      <w:r w:rsidR="00BE56A4">
        <w:rPr>
          <w:rFonts w:ascii="Arial" w:hAnsi="Arial" w:cs="Arial"/>
          <w:sz w:val="20"/>
          <w:szCs w:val="20"/>
        </w:rPr>
        <w:t>,</w:t>
      </w:r>
      <w:r w:rsidR="00ED4C66" w:rsidRPr="00024A60">
        <w:rPr>
          <w:rFonts w:ascii="Arial" w:hAnsi="Arial" w:cs="Arial"/>
          <w:sz w:val="20"/>
          <w:szCs w:val="20"/>
        </w:rPr>
        <w:t xml:space="preserve"> </w:t>
      </w:r>
      <w:r w:rsidR="00C76E0E">
        <w:rPr>
          <w:rFonts w:ascii="Arial" w:hAnsi="Arial" w:cs="Arial"/>
          <w:sz w:val="20"/>
          <w:szCs w:val="20"/>
        </w:rPr>
        <w:t xml:space="preserve">tj. </w:t>
      </w:r>
      <w:r w:rsidR="00ED4C66" w:rsidRPr="00024A60">
        <w:rPr>
          <w:rFonts w:ascii="Arial" w:hAnsi="Arial" w:cs="Arial"/>
          <w:sz w:val="20"/>
          <w:szCs w:val="20"/>
        </w:rPr>
        <w:t xml:space="preserve">bez změny </w:t>
      </w:r>
      <w:r w:rsidR="002F4BE9">
        <w:rPr>
          <w:rFonts w:ascii="Arial" w:hAnsi="Arial" w:cs="Arial"/>
          <w:sz w:val="20"/>
          <w:szCs w:val="20"/>
        </w:rPr>
        <w:t>V</w:t>
      </w:r>
      <w:r w:rsidR="00ED4C66" w:rsidRPr="00024A60">
        <w:rPr>
          <w:rFonts w:ascii="Arial" w:hAnsi="Arial" w:cs="Arial"/>
          <w:sz w:val="20"/>
          <w:szCs w:val="20"/>
        </w:rPr>
        <w:t>íceletého finančního rámce</w:t>
      </w:r>
      <w:r w:rsidR="002F4BE9">
        <w:rPr>
          <w:rFonts w:ascii="Arial" w:hAnsi="Arial" w:cs="Arial"/>
          <w:sz w:val="20"/>
          <w:szCs w:val="20"/>
        </w:rPr>
        <w:t xml:space="preserve"> </w:t>
      </w:r>
      <w:r w:rsidR="00BE56A4">
        <w:rPr>
          <w:rFonts w:ascii="Arial" w:hAnsi="Arial" w:cs="Arial"/>
          <w:sz w:val="20"/>
          <w:szCs w:val="20"/>
        </w:rPr>
        <w:t>(</w:t>
      </w:r>
      <w:r w:rsidR="002F4BE9">
        <w:rPr>
          <w:rFonts w:ascii="Arial" w:hAnsi="Arial" w:cs="Arial"/>
          <w:sz w:val="20"/>
          <w:szCs w:val="20"/>
        </w:rPr>
        <w:t>VFR</w:t>
      </w:r>
      <w:r w:rsidR="00ED4C66" w:rsidRPr="00024A60">
        <w:rPr>
          <w:rFonts w:ascii="Arial" w:hAnsi="Arial" w:cs="Arial"/>
          <w:sz w:val="20"/>
          <w:szCs w:val="20"/>
        </w:rPr>
        <w:t>)</w:t>
      </w:r>
      <w:r w:rsidRPr="00024A60">
        <w:rPr>
          <w:rFonts w:ascii="Arial" w:hAnsi="Arial" w:cs="Arial"/>
          <w:sz w:val="20"/>
          <w:szCs w:val="20"/>
        </w:rPr>
        <w:t>. Ve</w:t>
      </w:r>
      <w:r w:rsidR="00C76E0E">
        <w:rPr>
          <w:rFonts w:ascii="Arial" w:hAnsi="Arial" w:cs="Arial"/>
          <w:sz w:val="20"/>
          <w:szCs w:val="20"/>
        </w:rPr>
        <w:t> </w:t>
      </w:r>
      <w:r w:rsidRPr="00024A60">
        <w:rPr>
          <w:rFonts w:ascii="Arial" w:hAnsi="Arial" w:cs="Arial"/>
          <w:sz w:val="20"/>
          <w:szCs w:val="20"/>
        </w:rPr>
        <w:t xml:space="preserve">vyjádření, ve kterém se </w:t>
      </w:r>
      <w:r w:rsidR="002F4BE9">
        <w:rPr>
          <w:rFonts w:ascii="Arial" w:hAnsi="Arial" w:cs="Arial"/>
          <w:sz w:val="20"/>
          <w:szCs w:val="20"/>
        </w:rPr>
        <w:t>EK</w:t>
      </w:r>
      <w:r w:rsidRPr="00024A60">
        <w:rPr>
          <w:rFonts w:ascii="Arial" w:hAnsi="Arial" w:cs="Arial"/>
          <w:sz w:val="20"/>
          <w:szCs w:val="20"/>
        </w:rPr>
        <w:t xml:space="preserve"> odvolává na dopis komisařky pro zaměstnanost, sociální záležitos</w:t>
      </w:r>
      <w:r w:rsidR="00753152">
        <w:rPr>
          <w:rFonts w:ascii="Arial" w:hAnsi="Arial" w:cs="Arial"/>
          <w:sz w:val="20"/>
          <w:szCs w:val="20"/>
        </w:rPr>
        <w:t>ti a inkluzi Marianne Thyssen z </w:t>
      </w:r>
      <w:r w:rsidRPr="00024A60">
        <w:rPr>
          <w:rFonts w:ascii="Arial" w:hAnsi="Arial" w:cs="Arial"/>
          <w:sz w:val="20"/>
          <w:szCs w:val="20"/>
        </w:rPr>
        <w:t>prosince 2014</w:t>
      </w:r>
      <w:r w:rsidR="00711B14">
        <w:rPr>
          <w:rStyle w:val="Znakapoznpodarou"/>
          <w:rFonts w:ascii="Arial" w:hAnsi="Arial" w:cs="Arial"/>
          <w:sz w:val="20"/>
          <w:szCs w:val="20"/>
        </w:rPr>
        <w:footnoteReference w:id="4"/>
      </w:r>
      <w:r w:rsidRPr="00024A60">
        <w:rPr>
          <w:rFonts w:ascii="Arial" w:hAnsi="Arial" w:cs="Arial"/>
          <w:sz w:val="20"/>
          <w:szCs w:val="20"/>
        </w:rPr>
        <w:t xml:space="preserve">, se uvádí, že aktuálně nejsou z české strany zohledněna očekávání </w:t>
      </w:r>
      <w:r w:rsidR="002F4BE9">
        <w:rPr>
          <w:rFonts w:ascii="Arial" w:hAnsi="Arial" w:cs="Arial"/>
          <w:sz w:val="20"/>
          <w:szCs w:val="20"/>
        </w:rPr>
        <w:t>EK</w:t>
      </w:r>
      <w:r w:rsidR="00753152">
        <w:rPr>
          <w:rFonts w:ascii="Arial" w:hAnsi="Arial" w:cs="Arial"/>
          <w:sz w:val="20"/>
          <w:szCs w:val="20"/>
        </w:rPr>
        <w:t xml:space="preserve"> definovaná v </w:t>
      </w:r>
      <w:r w:rsidRPr="00024A60">
        <w:rPr>
          <w:rFonts w:ascii="Arial" w:hAnsi="Arial" w:cs="Arial"/>
          <w:sz w:val="20"/>
          <w:szCs w:val="20"/>
        </w:rPr>
        <w:t>Dohodě o partnerství</w:t>
      </w:r>
      <w:r w:rsidR="00203F05">
        <w:rPr>
          <w:rFonts w:ascii="Arial" w:hAnsi="Arial" w:cs="Arial"/>
          <w:sz w:val="20"/>
          <w:szCs w:val="20"/>
        </w:rPr>
        <w:t xml:space="preserve"> pro programové období 2014</w:t>
      </w:r>
      <w:r w:rsidR="00D06609">
        <w:rPr>
          <w:rFonts w:ascii="Arial" w:hAnsi="Arial" w:cs="Arial"/>
          <w:sz w:val="20"/>
          <w:szCs w:val="20"/>
        </w:rPr>
        <w:t>–</w:t>
      </w:r>
      <w:r w:rsidR="00203F05">
        <w:rPr>
          <w:rFonts w:ascii="Arial" w:hAnsi="Arial" w:cs="Arial"/>
          <w:sz w:val="20"/>
          <w:szCs w:val="20"/>
        </w:rPr>
        <w:t>2020</w:t>
      </w:r>
      <w:r w:rsidRPr="00024A60">
        <w:rPr>
          <w:rFonts w:ascii="Arial" w:hAnsi="Arial" w:cs="Arial"/>
          <w:sz w:val="20"/>
          <w:szCs w:val="20"/>
        </w:rPr>
        <w:t>. Jako n</w:t>
      </w:r>
      <w:r w:rsidRPr="0001246D">
        <w:rPr>
          <w:rFonts w:ascii="Arial" w:hAnsi="Arial" w:cs="Arial"/>
          <w:sz w:val="20"/>
          <w:szCs w:val="20"/>
        </w:rPr>
        <w:t xml:space="preserve">ejvětší problém je </w:t>
      </w:r>
      <w:r w:rsidR="00636E10">
        <w:rPr>
          <w:rFonts w:ascii="Arial" w:hAnsi="Arial" w:cs="Arial"/>
          <w:sz w:val="20"/>
          <w:szCs w:val="20"/>
        </w:rPr>
        <w:t>vnímána</w:t>
      </w:r>
      <w:r w:rsidR="00636E10" w:rsidRPr="0001246D">
        <w:rPr>
          <w:rFonts w:ascii="Arial" w:hAnsi="Arial" w:cs="Arial"/>
          <w:sz w:val="20"/>
          <w:szCs w:val="20"/>
        </w:rPr>
        <w:t xml:space="preserve"> </w:t>
      </w:r>
      <w:r w:rsidRPr="0001246D">
        <w:rPr>
          <w:rFonts w:ascii="Arial" w:hAnsi="Arial" w:cs="Arial"/>
          <w:sz w:val="20"/>
          <w:szCs w:val="20"/>
        </w:rPr>
        <w:t xml:space="preserve">oblast odměňování, kde </w:t>
      </w:r>
      <w:r w:rsidR="002F4BE9">
        <w:rPr>
          <w:rFonts w:ascii="Arial" w:hAnsi="Arial" w:cs="Arial"/>
          <w:sz w:val="20"/>
          <w:szCs w:val="20"/>
        </w:rPr>
        <w:t>EK</w:t>
      </w:r>
      <w:r w:rsidRPr="0001246D">
        <w:rPr>
          <w:rFonts w:ascii="Arial" w:hAnsi="Arial" w:cs="Arial"/>
          <w:sz w:val="20"/>
          <w:szCs w:val="20"/>
        </w:rPr>
        <w:t xml:space="preserve"> požaduje zavedení jasných parametrů ohodnocení jednotlivých zaměstnanců vázaných na výkon. Dále bude rovněž nutné znovu ujistit </w:t>
      </w:r>
      <w:r w:rsidR="002F4BE9">
        <w:rPr>
          <w:rFonts w:ascii="Arial" w:hAnsi="Arial" w:cs="Arial"/>
          <w:sz w:val="20"/>
          <w:szCs w:val="20"/>
        </w:rPr>
        <w:t>EK</w:t>
      </w:r>
      <w:r w:rsidRPr="0001246D">
        <w:rPr>
          <w:rFonts w:ascii="Arial" w:hAnsi="Arial" w:cs="Arial"/>
          <w:sz w:val="20"/>
          <w:szCs w:val="20"/>
        </w:rPr>
        <w:t xml:space="preserve"> o úmyslu vlády ČR přijmout veškerou nezbytnou prováděcí legislativu ke</w:t>
      </w:r>
      <w:r w:rsidR="00636E10">
        <w:rPr>
          <w:rFonts w:ascii="Arial" w:hAnsi="Arial" w:cs="Arial"/>
          <w:sz w:val="20"/>
          <w:szCs w:val="20"/>
        </w:rPr>
        <w:t> </w:t>
      </w:r>
      <w:r w:rsidRPr="0001246D">
        <w:rPr>
          <w:rFonts w:ascii="Arial" w:hAnsi="Arial" w:cs="Arial"/>
          <w:sz w:val="20"/>
          <w:szCs w:val="20"/>
        </w:rPr>
        <w:t xml:space="preserve">služebnímu zákonu do konce roku 2015, a to včetně pravidel pro odměňování. Tento závazek, spočívající v zaslání aktualizovaného harmonogramu, je tedy nutné prioritně a v co nejkratším termínu splnit </w:t>
      </w:r>
      <w:r w:rsidR="002E4FB5">
        <w:rPr>
          <w:rFonts w:ascii="Arial" w:hAnsi="Arial" w:cs="Arial"/>
          <w:sz w:val="20"/>
          <w:szCs w:val="20"/>
        </w:rPr>
        <w:t>(více viz kapitola 2).</w:t>
      </w:r>
    </w:p>
    <w:p w:rsidR="0001246D" w:rsidRDefault="0001246D" w:rsidP="0001246D">
      <w:pPr>
        <w:spacing w:before="80"/>
        <w:rPr>
          <w:rFonts w:ascii="Arial" w:hAnsi="Arial" w:cs="Arial"/>
          <w:sz w:val="20"/>
          <w:szCs w:val="20"/>
        </w:rPr>
      </w:pPr>
      <w:r>
        <w:rPr>
          <w:rFonts w:ascii="Arial" w:hAnsi="Arial" w:cs="Arial"/>
          <w:sz w:val="20"/>
          <w:szCs w:val="20"/>
        </w:rPr>
        <w:t xml:space="preserve">Na základě výše uvedených informací </w:t>
      </w:r>
      <w:r>
        <w:rPr>
          <w:rFonts w:ascii="Arial" w:hAnsi="Arial" w:cs="Arial"/>
          <w:b/>
          <w:bCs/>
          <w:sz w:val="20"/>
          <w:szCs w:val="20"/>
        </w:rPr>
        <w:t xml:space="preserve">nebude vzhledem k aktuální situaci ve věci </w:t>
      </w:r>
      <w:r w:rsidR="002F4BE9">
        <w:rPr>
          <w:rFonts w:ascii="Arial" w:hAnsi="Arial" w:cs="Arial"/>
          <w:b/>
          <w:bCs/>
          <w:sz w:val="20"/>
          <w:szCs w:val="20"/>
        </w:rPr>
        <w:t>s</w:t>
      </w:r>
      <w:r>
        <w:rPr>
          <w:rFonts w:ascii="Arial" w:hAnsi="Arial" w:cs="Arial"/>
          <w:b/>
          <w:bCs/>
          <w:sz w:val="20"/>
          <w:szCs w:val="20"/>
        </w:rPr>
        <w:t xml:space="preserve">lužebního zákona žádný program předložený EK přes SFC na konci roku 2014 přesunut do stavu „připraven k přijetí“ a schválen do března 2015. Tzn., že všechny programy budou dotčeny změnou </w:t>
      </w:r>
      <w:r w:rsidR="002F4BE9">
        <w:rPr>
          <w:rFonts w:ascii="Arial" w:hAnsi="Arial" w:cs="Arial"/>
          <w:b/>
          <w:bCs/>
          <w:sz w:val="20"/>
          <w:szCs w:val="20"/>
        </w:rPr>
        <w:t>VFR</w:t>
      </w:r>
      <w:r>
        <w:rPr>
          <w:rFonts w:ascii="Arial" w:hAnsi="Arial" w:cs="Arial"/>
          <w:b/>
          <w:bCs/>
          <w:sz w:val="20"/>
          <w:szCs w:val="20"/>
        </w:rPr>
        <w:t>, tedy dle původní varianty č. 2</w:t>
      </w:r>
      <w:r w:rsidR="00ED4C66">
        <w:rPr>
          <w:rFonts w:ascii="Arial" w:hAnsi="Arial" w:cs="Arial"/>
          <w:b/>
          <w:bCs/>
          <w:sz w:val="20"/>
          <w:szCs w:val="20"/>
        </w:rPr>
        <w:t xml:space="preserve"> (se změnou </w:t>
      </w:r>
      <w:r w:rsidR="002F4BE9">
        <w:rPr>
          <w:rFonts w:ascii="Arial" w:hAnsi="Arial" w:cs="Arial"/>
          <w:b/>
          <w:bCs/>
          <w:sz w:val="20"/>
          <w:szCs w:val="20"/>
        </w:rPr>
        <w:t>VFR</w:t>
      </w:r>
      <w:r w:rsidR="00ED4C66">
        <w:rPr>
          <w:rFonts w:ascii="Arial" w:hAnsi="Arial" w:cs="Arial"/>
          <w:b/>
          <w:bCs/>
          <w:sz w:val="20"/>
          <w:szCs w:val="20"/>
        </w:rPr>
        <w:t>)</w:t>
      </w:r>
      <w:r w:rsidR="002F4BE9">
        <w:rPr>
          <w:rStyle w:val="Znakapoznpodarou"/>
          <w:rFonts w:ascii="Arial" w:hAnsi="Arial" w:cs="Arial"/>
          <w:b/>
          <w:bCs/>
          <w:sz w:val="20"/>
          <w:szCs w:val="20"/>
        </w:rPr>
        <w:footnoteReference w:id="5"/>
      </w:r>
      <w:r>
        <w:rPr>
          <w:rFonts w:ascii="Arial" w:hAnsi="Arial" w:cs="Arial"/>
          <w:b/>
          <w:bCs/>
          <w:sz w:val="20"/>
          <w:szCs w:val="20"/>
        </w:rPr>
        <w:t xml:space="preserve">. </w:t>
      </w:r>
    </w:p>
    <w:p w:rsidR="00177990" w:rsidRDefault="00D253F2" w:rsidP="00D253F2">
      <w:pPr>
        <w:tabs>
          <w:tab w:val="left" w:pos="2694"/>
        </w:tabs>
        <w:outlineLvl w:val="0"/>
        <w:rPr>
          <w:rFonts w:ascii="Arial" w:hAnsi="Arial" w:cs="Arial"/>
          <w:sz w:val="20"/>
        </w:rPr>
      </w:pPr>
      <w:bookmarkStart w:id="17" w:name="_Toc409196591"/>
      <w:r>
        <w:rPr>
          <w:rFonts w:ascii="Arial" w:hAnsi="Arial" w:cs="Arial"/>
          <w:b/>
          <w:sz w:val="20"/>
        </w:rPr>
        <w:t>OP</w:t>
      </w:r>
      <w:r w:rsidRPr="005C421A">
        <w:rPr>
          <w:rFonts w:ascii="Arial" w:hAnsi="Arial" w:cs="Arial"/>
          <w:b/>
          <w:sz w:val="20"/>
        </w:rPr>
        <w:t xml:space="preserve"> Životní prostředí</w:t>
      </w:r>
      <w:r w:rsidRPr="00B54274">
        <w:rPr>
          <w:rFonts w:ascii="Arial" w:hAnsi="Arial" w:cs="Arial"/>
          <w:sz w:val="20"/>
        </w:rPr>
        <w:t xml:space="preserve"> byl odeslán</w:t>
      </w:r>
      <w:r w:rsidR="00177990">
        <w:rPr>
          <w:rFonts w:ascii="Arial" w:hAnsi="Arial" w:cs="Arial"/>
          <w:sz w:val="20"/>
        </w:rPr>
        <w:t xml:space="preserve"> po vypořádání připomínek EK</w:t>
      </w:r>
      <w:r w:rsidRPr="00B54274">
        <w:rPr>
          <w:rFonts w:ascii="Arial" w:hAnsi="Arial" w:cs="Arial"/>
          <w:sz w:val="20"/>
        </w:rPr>
        <w:t xml:space="preserve"> </w:t>
      </w:r>
      <w:r w:rsidR="00203F05">
        <w:rPr>
          <w:rFonts w:ascii="Arial" w:hAnsi="Arial" w:cs="Arial"/>
          <w:sz w:val="20"/>
        </w:rPr>
        <w:t xml:space="preserve">v řádném termínu </w:t>
      </w:r>
      <w:r w:rsidR="00A16F0F">
        <w:rPr>
          <w:rFonts w:ascii="Arial" w:hAnsi="Arial" w:cs="Arial"/>
          <w:sz w:val="20"/>
        </w:rPr>
        <w:t>přes SFC dne 24. </w:t>
      </w:r>
      <w:r w:rsidRPr="00B54274">
        <w:rPr>
          <w:rFonts w:ascii="Arial" w:hAnsi="Arial" w:cs="Arial"/>
          <w:sz w:val="20"/>
        </w:rPr>
        <w:t>listopadu 2014</w:t>
      </w:r>
      <w:r w:rsidR="001A49E1">
        <w:rPr>
          <w:rFonts w:ascii="Arial" w:hAnsi="Arial" w:cs="Arial"/>
          <w:sz w:val="20"/>
        </w:rPr>
        <w:t xml:space="preserve"> a</w:t>
      </w:r>
      <w:r w:rsidR="002F4BE9">
        <w:rPr>
          <w:rFonts w:ascii="Arial" w:hAnsi="Arial" w:cs="Arial"/>
          <w:sz w:val="20"/>
        </w:rPr>
        <w:t> </w:t>
      </w:r>
      <w:r w:rsidRPr="00E17C0E">
        <w:rPr>
          <w:rFonts w:ascii="Arial" w:hAnsi="Arial" w:cs="Arial"/>
          <w:sz w:val="20"/>
        </w:rPr>
        <w:t>po další úpravě</w:t>
      </w:r>
      <w:r w:rsidR="001A49E1">
        <w:rPr>
          <w:rFonts w:ascii="Arial" w:hAnsi="Arial" w:cs="Arial"/>
          <w:sz w:val="20"/>
        </w:rPr>
        <w:t>,</w:t>
      </w:r>
      <w:r w:rsidRPr="00E17C0E">
        <w:rPr>
          <w:rFonts w:ascii="Arial" w:hAnsi="Arial" w:cs="Arial"/>
          <w:sz w:val="20"/>
        </w:rPr>
        <w:t xml:space="preserve"> v návaznosti na dodatečné připomínky EK</w:t>
      </w:r>
      <w:r w:rsidR="001A49E1">
        <w:rPr>
          <w:rFonts w:ascii="Arial" w:hAnsi="Arial" w:cs="Arial"/>
          <w:sz w:val="20"/>
        </w:rPr>
        <w:t>,</w:t>
      </w:r>
      <w:r w:rsidRPr="00E17C0E">
        <w:rPr>
          <w:rFonts w:ascii="Arial" w:hAnsi="Arial" w:cs="Arial"/>
          <w:sz w:val="20"/>
        </w:rPr>
        <w:t xml:space="preserve"> odeslán přes SFC znovu dne 11. </w:t>
      </w:r>
      <w:r w:rsidR="002F4BE9">
        <w:rPr>
          <w:rFonts w:ascii="Arial" w:hAnsi="Arial" w:cs="Arial"/>
          <w:sz w:val="20"/>
        </w:rPr>
        <w:t> </w:t>
      </w:r>
      <w:r>
        <w:rPr>
          <w:rFonts w:ascii="Arial" w:hAnsi="Arial" w:cs="Arial"/>
          <w:sz w:val="20"/>
        </w:rPr>
        <w:t>prosince</w:t>
      </w:r>
      <w:r w:rsidRPr="00E17C0E">
        <w:rPr>
          <w:rFonts w:ascii="Arial" w:hAnsi="Arial" w:cs="Arial"/>
          <w:sz w:val="20"/>
        </w:rPr>
        <w:t xml:space="preserve"> 2014.</w:t>
      </w:r>
      <w:r>
        <w:rPr>
          <w:rFonts w:ascii="Arial" w:hAnsi="Arial" w:cs="Arial"/>
          <w:sz w:val="20"/>
        </w:rPr>
        <w:t xml:space="preserve"> </w:t>
      </w:r>
      <w:r w:rsidR="00134F0F">
        <w:rPr>
          <w:rFonts w:ascii="Arial" w:hAnsi="Arial" w:cs="Arial"/>
          <w:sz w:val="20"/>
        </w:rPr>
        <w:t>Připomínky EK k této verzi programového dokumentu byly obdrženy v druhé polovině prosinc</w:t>
      </w:r>
      <w:r w:rsidR="00177990">
        <w:rPr>
          <w:rFonts w:ascii="Arial" w:hAnsi="Arial" w:cs="Arial"/>
          <w:sz w:val="20"/>
        </w:rPr>
        <w:t>e</w:t>
      </w:r>
      <w:r w:rsidR="00753152">
        <w:rPr>
          <w:rFonts w:ascii="Arial" w:hAnsi="Arial" w:cs="Arial"/>
          <w:sz w:val="20"/>
        </w:rPr>
        <w:t xml:space="preserve"> 2014</w:t>
      </w:r>
      <w:r w:rsidR="00177990">
        <w:rPr>
          <w:rFonts w:ascii="Arial" w:hAnsi="Arial" w:cs="Arial"/>
          <w:sz w:val="20"/>
        </w:rPr>
        <w:t>, nyní se pracuje na jejich vypořádání</w:t>
      </w:r>
      <w:r w:rsidR="002A6665">
        <w:rPr>
          <w:rFonts w:ascii="Arial" w:hAnsi="Arial" w:cs="Arial"/>
          <w:sz w:val="20"/>
        </w:rPr>
        <w:t>, tj. probíhá neformální komunikace s EK na další podobě programového dokumentu.</w:t>
      </w:r>
      <w:bookmarkEnd w:id="17"/>
      <w:r w:rsidR="00134F0F">
        <w:rPr>
          <w:rFonts w:ascii="Arial" w:hAnsi="Arial" w:cs="Arial"/>
          <w:sz w:val="20"/>
        </w:rPr>
        <w:t xml:space="preserve"> </w:t>
      </w:r>
    </w:p>
    <w:p w:rsidR="00D253F2" w:rsidRDefault="00D253F2" w:rsidP="00D253F2">
      <w:pPr>
        <w:tabs>
          <w:tab w:val="left" w:pos="2694"/>
        </w:tabs>
        <w:outlineLvl w:val="0"/>
        <w:rPr>
          <w:rFonts w:ascii="Arial" w:hAnsi="Arial" w:cs="Arial"/>
          <w:sz w:val="20"/>
        </w:rPr>
      </w:pPr>
      <w:bookmarkStart w:id="18" w:name="_Toc409196592"/>
      <w:r>
        <w:rPr>
          <w:rFonts w:ascii="Arial" w:hAnsi="Arial" w:cs="Arial"/>
          <w:b/>
          <w:sz w:val="20"/>
        </w:rPr>
        <w:t>OP</w:t>
      </w:r>
      <w:r w:rsidRPr="005C421A">
        <w:rPr>
          <w:rFonts w:ascii="Arial" w:hAnsi="Arial" w:cs="Arial"/>
          <w:b/>
          <w:sz w:val="20"/>
        </w:rPr>
        <w:t xml:space="preserve"> Podnikání </w:t>
      </w:r>
      <w:r>
        <w:rPr>
          <w:rFonts w:ascii="Arial" w:hAnsi="Arial" w:cs="Arial"/>
          <w:b/>
          <w:sz w:val="20"/>
        </w:rPr>
        <w:t>a inovace pro </w:t>
      </w:r>
      <w:r w:rsidRPr="005C421A">
        <w:rPr>
          <w:rFonts w:ascii="Arial" w:hAnsi="Arial" w:cs="Arial"/>
          <w:b/>
          <w:sz w:val="20"/>
        </w:rPr>
        <w:t>konkurenceschopnost</w:t>
      </w:r>
      <w:r w:rsidRPr="008B4E21">
        <w:rPr>
          <w:rFonts w:ascii="Arial" w:hAnsi="Arial" w:cs="Arial"/>
          <w:b/>
          <w:sz w:val="20"/>
        </w:rPr>
        <w:t xml:space="preserve"> byl</w:t>
      </w:r>
      <w:r>
        <w:rPr>
          <w:rFonts w:ascii="Arial" w:hAnsi="Arial" w:cs="Arial"/>
          <w:b/>
          <w:sz w:val="20"/>
        </w:rPr>
        <w:t xml:space="preserve"> </w:t>
      </w:r>
      <w:r w:rsidRPr="008B4E21">
        <w:rPr>
          <w:rFonts w:ascii="Arial" w:hAnsi="Arial" w:cs="Arial"/>
          <w:b/>
          <w:sz w:val="20"/>
        </w:rPr>
        <w:t xml:space="preserve">odeslán </w:t>
      </w:r>
      <w:r>
        <w:rPr>
          <w:rFonts w:ascii="Arial" w:hAnsi="Arial" w:cs="Arial"/>
          <w:b/>
          <w:sz w:val="20"/>
        </w:rPr>
        <w:t xml:space="preserve">EK </w:t>
      </w:r>
      <w:r w:rsidRPr="008B4E21">
        <w:rPr>
          <w:rFonts w:ascii="Arial" w:hAnsi="Arial" w:cs="Arial"/>
          <w:b/>
          <w:sz w:val="20"/>
        </w:rPr>
        <w:t xml:space="preserve">přes SFC dle dohodnutého postupu s EK dne 28. </w:t>
      </w:r>
      <w:r>
        <w:rPr>
          <w:rFonts w:ascii="Arial" w:hAnsi="Arial" w:cs="Arial"/>
          <w:b/>
          <w:sz w:val="20"/>
        </w:rPr>
        <w:t>listopadu</w:t>
      </w:r>
      <w:r w:rsidRPr="008B4E21">
        <w:rPr>
          <w:rFonts w:ascii="Arial" w:hAnsi="Arial" w:cs="Arial"/>
          <w:b/>
          <w:sz w:val="20"/>
        </w:rPr>
        <w:t xml:space="preserve"> 2014.</w:t>
      </w:r>
      <w:r>
        <w:rPr>
          <w:rFonts w:ascii="Arial" w:hAnsi="Arial" w:cs="Arial"/>
          <w:b/>
          <w:sz w:val="20"/>
        </w:rPr>
        <w:t xml:space="preserve"> </w:t>
      </w:r>
      <w:r>
        <w:rPr>
          <w:rFonts w:ascii="Arial" w:hAnsi="Arial" w:cs="Arial"/>
          <w:sz w:val="20"/>
        </w:rPr>
        <w:t xml:space="preserve">OP </w:t>
      </w:r>
      <w:r w:rsidRPr="000D562B">
        <w:rPr>
          <w:rFonts w:ascii="Arial" w:hAnsi="Arial" w:cs="Arial"/>
          <w:sz w:val="20"/>
        </w:rPr>
        <w:t xml:space="preserve">Podnikání a inovace pro konkurenceschopnost </w:t>
      </w:r>
      <w:r w:rsidR="0001246D">
        <w:rPr>
          <w:rFonts w:ascii="Arial" w:hAnsi="Arial" w:cs="Arial"/>
          <w:sz w:val="20"/>
        </w:rPr>
        <w:t>obdržel následně</w:t>
      </w:r>
      <w:r>
        <w:rPr>
          <w:rFonts w:ascii="Arial" w:hAnsi="Arial" w:cs="Arial"/>
          <w:sz w:val="20"/>
        </w:rPr>
        <w:t xml:space="preserve"> ještě technické komentáře ze strany EK v průběhu prosince</w:t>
      </w:r>
      <w:r w:rsidR="00753152">
        <w:rPr>
          <w:rFonts w:ascii="Arial" w:hAnsi="Arial" w:cs="Arial"/>
          <w:sz w:val="20"/>
        </w:rPr>
        <w:t xml:space="preserve"> 2014</w:t>
      </w:r>
      <w:r>
        <w:rPr>
          <w:rFonts w:ascii="Arial" w:hAnsi="Arial" w:cs="Arial"/>
          <w:sz w:val="20"/>
        </w:rPr>
        <w:t>,</w:t>
      </w:r>
      <w:r w:rsidR="0001246D">
        <w:rPr>
          <w:rFonts w:ascii="Arial" w:hAnsi="Arial" w:cs="Arial"/>
          <w:sz w:val="20"/>
        </w:rPr>
        <w:t xml:space="preserve"> které jsou nyní</w:t>
      </w:r>
      <w:r>
        <w:rPr>
          <w:rFonts w:ascii="Arial" w:hAnsi="Arial" w:cs="Arial"/>
          <w:sz w:val="20"/>
        </w:rPr>
        <w:t xml:space="preserve"> vypořádá</w:t>
      </w:r>
      <w:r w:rsidR="0001246D">
        <w:rPr>
          <w:rFonts w:ascii="Arial" w:hAnsi="Arial" w:cs="Arial"/>
          <w:sz w:val="20"/>
        </w:rPr>
        <w:t>vá</w:t>
      </w:r>
      <w:r>
        <w:rPr>
          <w:rFonts w:ascii="Arial" w:hAnsi="Arial" w:cs="Arial"/>
          <w:sz w:val="20"/>
        </w:rPr>
        <w:t>ny</w:t>
      </w:r>
      <w:r w:rsidR="00753152">
        <w:rPr>
          <w:rFonts w:ascii="Arial" w:hAnsi="Arial" w:cs="Arial"/>
          <w:sz w:val="20"/>
        </w:rPr>
        <w:t>,</w:t>
      </w:r>
      <w:r>
        <w:rPr>
          <w:rFonts w:ascii="Arial" w:hAnsi="Arial" w:cs="Arial"/>
          <w:sz w:val="20"/>
        </w:rPr>
        <w:t xml:space="preserve"> a programový dokument </w:t>
      </w:r>
      <w:r w:rsidR="001A49E1">
        <w:rPr>
          <w:rFonts w:ascii="Arial" w:hAnsi="Arial" w:cs="Arial"/>
          <w:sz w:val="20"/>
        </w:rPr>
        <w:t>je dále</w:t>
      </w:r>
      <w:r>
        <w:rPr>
          <w:rFonts w:ascii="Arial" w:hAnsi="Arial" w:cs="Arial"/>
          <w:sz w:val="20"/>
        </w:rPr>
        <w:t xml:space="preserve"> </w:t>
      </w:r>
      <w:r w:rsidR="0001246D">
        <w:rPr>
          <w:rFonts w:ascii="Arial" w:hAnsi="Arial" w:cs="Arial"/>
          <w:sz w:val="20"/>
        </w:rPr>
        <w:t>upravován</w:t>
      </w:r>
      <w:r w:rsidR="002A6665">
        <w:rPr>
          <w:rFonts w:ascii="Arial" w:hAnsi="Arial" w:cs="Arial"/>
          <w:sz w:val="20"/>
        </w:rPr>
        <w:t xml:space="preserve"> v</w:t>
      </w:r>
      <w:r w:rsidR="00A16F0F">
        <w:rPr>
          <w:rFonts w:ascii="Arial" w:hAnsi="Arial" w:cs="Arial"/>
          <w:sz w:val="20"/>
        </w:rPr>
        <w:t xml:space="preserve"> rámci </w:t>
      </w:r>
      <w:r w:rsidR="002A6665">
        <w:rPr>
          <w:rFonts w:ascii="Arial" w:hAnsi="Arial" w:cs="Arial"/>
          <w:sz w:val="20"/>
        </w:rPr>
        <w:t>neformální komunikace s EK.</w:t>
      </w:r>
      <w:bookmarkEnd w:id="18"/>
    </w:p>
    <w:p w:rsidR="00D253F2" w:rsidRDefault="00D253F2" w:rsidP="00D253F2">
      <w:pPr>
        <w:tabs>
          <w:tab w:val="left" w:pos="2694"/>
        </w:tabs>
        <w:outlineLvl w:val="0"/>
        <w:rPr>
          <w:rFonts w:ascii="Arial" w:hAnsi="Arial" w:cs="Arial"/>
          <w:sz w:val="20"/>
        </w:rPr>
      </w:pPr>
      <w:bookmarkStart w:id="19" w:name="_Toc409196593"/>
      <w:r w:rsidRPr="00A3487A">
        <w:rPr>
          <w:rFonts w:ascii="Arial" w:hAnsi="Arial" w:cs="Arial"/>
          <w:b/>
          <w:sz w:val="20"/>
        </w:rPr>
        <w:t>OP Zaměstnanost</w:t>
      </w:r>
      <w:r>
        <w:rPr>
          <w:rFonts w:ascii="Arial" w:hAnsi="Arial" w:cs="Arial"/>
          <w:sz w:val="20"/>
        </w:rPr>
        <w:t xml:space="preserve"> bude předložen </w:t>
      </w:r>
      <w:r w:rsidR="0066537E">
        <w:rPr>
          <w:rFonts w:ascii="Arial" w:hAnsi="Arial" w:cs="Arial"/>
          <w:sz w:val="20"/>
        </w:rPr>
        <w:t>EK</w:t>
      </w:r>
      <w:r>
        <w:rPr>
          <w:rFonts w:ascii="Arial" w:hAnsi="Arial" w:cs="Arial"/>
          <w:sz w:val="20"/>
        </w:rPr>
        <w:t xml:space="preserve"> </w:t>
      </w:r>
      <w:r w:rsidR="001A49E1">
        <w:rPr>
          <w:rFonts w:ascii="Arial" w:hAnsi="Arial" w:cs="Arial"/>
          <w:sz w:val="20"/>
        </w:rPr>
        <w:t xml:space="preserve">na </w:t>
      </w:r>
      <w:r w:rsidR="00203F05">
        <w:rPr>
          <w:rFonts w:ascii="Arial" w:hAnsi="Arial" w:cs="Arial"/>
          <w:sz w:val="20"/>
        </w:rPr>
        <w:t xml:space="preserve">začátku </w:t>
      </w:r>
      <w:r w:rsidR="001A49E1">
        <w:rPr>
          <w:rFonts w:ascii="Arial" w:hAnsi="Arial" w:cs="Arial"/>
          <w:sz w:val="20"/>
        </w:rPr>
        <w:t>února</w:t>
      </w:r>
      <w:r>
        <w:rPr>
          <w:rFonts w:ascii="Arial" w:hAnsi="Arial" w:cs="Arial"/>
          <w:sz w:val="20"/>
        </w:rPr>
        <w:t xml:space="preserve"> 2015. Formální dialog proběhl dne 27.</w:t>
      </w:r>
      <w:r w:rsidR="00D06609">
        <w:rPr>
          <w:rFonts w:ascii="Arial" w:hAnsi="Arial" w:cs="Arial"/>
          <w:sz w:val="20"/>
        </w:rPr>
        <w:t> </w:t>
      </w:r>
      <w:r>
        <w:rPr>
          <w:rFonts w:ascii="Arial" w:hAnsi="Arial" w:cs="Arial"/>
          <w:sz w:val="20"/>
        </w:rPr>
        <w:t>listopadu 2014.</w:t>
      </w:r>
      <w:r w:rsidR="001A49E1">
        <w:rPr>
          <w:rFonts w:ascii="Arial" w:hAnsi="Arial" w:cs="Arial"/>
          <w:sz w:val="20"/>
        </w:rPr>
        <w:t xml:space="preserve"> EK následně zaslala dodatečné připomínky, na základě kterých je programový dokument aktuálně upravován</w:t>
      </w:r>
      <w:r w:rsidR="00636E10">
        <w:rPr>
          <w:rFonts w:ascii="Arial" w:hAnsi="Arial" w:cs="Arial"/>
          <w:sz w:val="20"/>
        </w:rPr>
        <w:t>.</w:t>
      </w:r>
      <w:r w:rsidR="000B404D">
        <w:rPr>
          <w:rFonts w:ascii="Arial" w:hAnsi="Arial" w:cs="Arial"/>
          <w:sz w:val="20"/>
        </w:rPr>
        <w:t xml:space="preserve"> </w:t>
      </w:r>
      <w:r w:rsidR="00636E10">
        <w:rPr>
          <w:rFonts w:ascii="Arial" w:hAnsi="Arial" w:cs="Arial"/>
          <w:sz w:val="20"/>
        </w:rPr>
        <w:t>D</w:t>
      </w:r>
      <w:r w:rsidR="000B404D">
        <w:rPr>
          <w:rFonts w:ascii="Arial" w:hAnsi="Arial" w:cs="Arial"/>
          <w:sz w:val="20"/>
        </w:rPr>
        <w:t>ne 13. ledna 2015 proběhlo další jednání s EK formou videokonference k problematickým oblastem</w:t>
      </w:r>
      <w:r w:rsidR="003D2104">
        <w:rPr>
          <w:rFonts w:ascii="Arial" w:hAnsi="Arial" w:cs="Arial"/>
          <w:sz w:val="20"/>
        </w:rPr>
        <w:t>, po neformálním zaslání další upravené verze programu na EK bude v nejbližší době následovat i odeslání přes SFC.</w:t>
      </w:r>
      <w:bookmarkEnd w:id="19"/>
      <w:r w:rsidR="001A49E1">
        <w:rPr>
          <w:rFonts w:ascii="Arial" w:hAnsi="Arial" w:cs="Arial"/>
          <w:sz w:val="20"/>
        </w:rPr>
        <w:t xml:space="preserve"> </w:t>
      </w:r>
    </w:p>
    <w:p w:rsidR="00D253F2" w:rsidRDefault="00D253F2" w:rsidP="00D253F2">
      <w:pPr>
        <w:tabs>
          <w:tab w:val="left" w:pos="2694"/>
        </w:tabs>
        <w:outlineLvl w:val="0"/>
        <w:rPr>
          <w:rFonts w:ascii="Arial" w:hAnsi="Arial" w:cs="Arial"/>
          <w:sz w:val="20"/>
        </w:rPr>
      </w:pPr>
      <w:bookmarkStart w:id="20" w:name="_Toc409196594"/>
      <w:r w:rsidRPr="00A3487A">
        <w:rPr>
          <w:rFonts w:ascii="Arial" w:hAnsi="Arial" w:cs="Arial"/>
          <w:b/>
          <w:sz w:val="20"/>
        </w:rPr>
        <w:t>OP Doprava</w:t>
      </w:r>
      <w:r>
        <w:rPr>
          <w:rFonts w:ascii="Arial" w:hAnsi="Arial" w:cs="Arial"/>
          <w:sz w:val="20"/>
        </w:rPr>
        <w:t xml:space="preserve"> bude </w:t>
      </w:r>
      <w:r w:rsidR="0066537E">
        <w:rPr>
          <w:rFonts w:ascii="Arial" w:hAnsi="Arial" w:cs="Arial"/>
          <w:sz w:val="20"/>
        </w:rPr>
        <w:t>EK</w:t>
      </w:r>
      <w:r>
        <w:rPr>
          <w:rFonts w:ascii="Arial" w:hAnsi="Arial" w:cs="Arial"/>
          <w:sz w:val="20"/>
        </w:rPr>
        <w:t xml:space="preserve"> znovu předložen pravděpodobně </w:t>
      </w:r>
      <w:r w:rsidR="001A49E1">
        <w:rPr>
          <w:rFonts w:ascii="Arial" w:hAnsi="Arial" w:cs="Arial"/>
          <w:sz w:val="20"/>
        </w:rPr>
        <w:t>na přelomu ledna a února</w:t>
      </w:r>
      <w:r>
        <w:rPr>
          <w:rFonts w:ascii="Arial" w:hAnsi="Arial" w:cs="Arial"/>
          <w:sz w:val="20"/>
        </w:rPr>
        <w:t xml:space="preserve"> 2015. Dne</w:t>
      </w:r>
      <w:r w:rsidR="00636E10">
        <w:rPr>
          <w:rFonts w:ascii="Arial" w:hAnsi="Arial" w:cs="Arial"/>
          <w:sz w:val="20"/>
        </w:rPr>
        <w:t xml:space="preserve"> </w:t>
      </w:r>
      <w:r w:rsidR="00753152">
        <w:rPr>
          <w:rFonts w:ascii="Arial" w:hAnsi="Arial" w:cs="Arial"/>
          <w:sz w:val="20"/>
        </w:rPr>
        <w:t>27. </w:t>
      </w:r>
      <w:r>
        <w:rPr>
          <w:rFonts w:ascii="Arial" w:hAnsi="Arial" w:cs="Arial"/>
          <w:sz w:val="20"/>
        </w:rPr>
        <w:t xml:space="preserve">listopadu 2014 proběhlo technické jednání k některým zásadním připomínkám, např. možnost podpory vnitrozemské vodní dopravy nebo požadavek na restrukturalizaci prioritní osy 1, či plány udržitelné městské dopravy. Dne 18. prosince 2014 </w:t>
      </w:r>
      <w:r w:rsidR="001A49E1">
        <w:rPr>
          <w:rFonts w:ascii="Arial" w:hAnsi="Arial" w:cs="Arial"/>
          <w:sz w:val="20"/>
        </w:rPr>
        <w:t>byly</w:t>
      </w:r>
      <w:r>
        <w:rPr>
          <w:rFonts w:ascii="Arial" w:hAnsi="Arial" w:cs="Arial"/>
          <w:sz w:val="20"/>
        </w:rPr>
        <w:t xml:space="preserve"> projednány záležitosti týkající se indikátorové soustavy.</w:t>
      </w:r>
      <w:r w:rsidR="001A49E1">
        <w:rPr>
          <w:rFonts w:ascii="Arial" w:hAnsi="Arial" w:cs="Arial"/>
          <w:sz w:val="20"/>
        </w:rPr>
        <w:t xml:space="preserve"> Zástupci EK během videokonference 18.</w:t>
      </w:r>
      <w:r w:rsidR="00636E10">
        <w:rPr>
          <w:rFonts w:ascii="Arial" w:hAnsi="Arial" w:cs="Arial"/>
          <w:sz w:val="20"/>
        </w:rPr>
        <w:t xml:space="preserve"> prosince</w:t>
      </w:r>
      <w:r w:rsidR="001A49E1">
        <w:rPr>
          <w:rFonts w:ascii="Arial" w:hAnsi="Arial" w:cs="Arial"/>
          <w:sz w:val="20"/>
        </w:rPr>
        <w:t xml:space="preserve"> 2014 naznačil</w:t>
      </w:r>
      <w:r w:rsidR="00636E10">
        <w:rPr>
          <w:rFonts w:ascii="Arial" w:hAnsi="Arial" w:cs="Arial"/>
          <w:sz w:val="20"/>
        </w:rPr>
        <w:t>i</w:t>
      </w:r>
      <w:r w:rsidR="001A49E1">
        <w:rPr>
          <w:rFonts w:ascii="Arial" w:hAnsi="Arial" w:cs="Arial"/>
          <w:sz w:val="20"/>
        </w:rPr>
        <w:t xml:space="preserve">, že považují stávající nastavení podpory vnitrozemské vodní plavby a udržitelné městské dopravy za problematické. </w:t>
      </w:r>
      <w:r w:rsidR="001A49E1">
        <w:rPr>
          <w:rFonts w:ascii="Arial" w:hAnsi="Arial" w:cs="Arial"/>
          <w:sz w:val="20"/>
        </w:rPr>
        <w:lastRenderedPageBreak/>
        <w:t xml:space="preserve">Přetrvávající rozpory bude nutné </w:t>
      </w:r>
      <w:r w:rsidR="00AF1A2A">
        <w:rPr>
          <w:rFonts w:ascii="Arial" w:hAnsi="Arial" w:cs="Arial"/>
          <w:sz w:val="20"/>
        </w:rPr>
        <w:t>vyřešit ještě před plánovaným zasláním programu do SFC</w:t>
      </w:r>
      <w:r w:rsidR="00AD28CD">
        <w:rPr>
          <w:rFonts w:ascii="Arial" w:hAnsi="Arial" w:cs="Arial"/>
          <w:sz w:val="20"/>
        </w:rPr>
        <w:t xml:space="preserve"> na</w:t>
      </w:r>
      <w:r w:rsidR="00A16F0F">
        <w:rPr>
          <w:rFonts w:ascii="Arial" w:hAnsi="Arial" w:cs="Arial"/>
          <w:sz w:val="20"/>
        </w:rPr>
        <w:t> </w:t>
      </w:r>
      <w:r w:rsidR="00AD28CD">
        <w:rPr>
          <w:rFonts w:ascii="Arial" w:hAnsi="Arial" w:cs="Arial"/>
          <w:sz w:val="20"/>
        </w:rPr>
        <w:t>základě další komunikace s EK.</w:t>
      </w:r>
      <w:bookmarkEnd w:id="20"/>
    </w:p>
    <w:p w:rsidR="00D253F2" w:rsidRDefault="00D253F2" w:rsidP="00D253F2">
      <w:pPr>
        <w:tabs>
          <w:tab w:val="left" w:pos="2694"/>
        </w:tabs>
        <w:outlineLvl w:val="0"/>
        <w:rPr>
          <w:rFonts w:ascii="Arial" w:hAnsi="Arial" w:cs="Arial"/>
          <w:sz w:val="20"/>
        </w:rPr>
      </w:pPr>
      <w:bookmarkStart w:id="21" w:name="_Toc409196595"/>
      <w:r>
        <w:rPr>
          <w:rFonts w:ascii="Arial" w:hAnsi="Arial" w:cs="Arial"/>
          <w:b/>
          <w:sz w:val="20"/>
        </w:rPr>
        <w:t>OP</w:t>
      </w:r>
      <w:r w:rsidRPr="00A3487A">
        <w:rPr>
          <w:rFonts w:ascii="Arial" w:hAnsi="Arial" w:cs="Arial"/>
          <w:b/>
          <w:sz w:val="20"/>
        </w:rPr>
        <w:t xml:space="preserve"> Výzkum, vývoj a vzdělávání</w:t>
      </w:r>
      <w:r>
        <w:rPr>
          <w:rFonts w:ascii="Arial" w:hAnsi="Arial" w:cs="Arial"/>
          <w:sz w:val="20"/>
        </w:rPr>
        <w:t xml:space="preserve"> bude </w:t>
      </w:r>
      <w:r w:rsidR="0066537E">
        <w:rPr>
          <w:rFonts w:ascii="Arial" w:hAnsi="Arial" w:cs="Arial"/>
          <w:sz w:val="20"/>
        </w:rPr>
        <w:t>EK</w:t>
      </w:r>
      <w:r>
        <w:rPr>
          <w:rFonts w:ascii="Arial" w:hAnsi="Arial" w:cs="Arial"/>
          <w:sz w:val="20"/>
        </w:rPr>
        <w:t xml:space="preserve"> znovu předložen pravděpodobně </w:t>
      </w:r>
      <w:r w:rsidR="0001246D">
        <w:rPr>
          <w:rFonts w:ascii="Arial" w:hAnsi="Arial" w:cs="Arial"/>
          <w:sz w:val="20"/>
        </w:rPr>
        <w:t xml:space="preserve">na konci ledna </w:t>
      </w:r>
      <w:r>
        <w:rPr>
          <w:rFonts w:ascii="Arial" w:hAnsi="Arial" w:cs="Arial"/>
          <w:sz w:val="20"/>
        </w:rPr>
        <w:t>2015, kdy by již řídicí orgán chtěl mít vykomunikovány s EK všechny problémové oblasti. Formální dialog proběhl ve dnech 3. a 4. prosince 2014</w:t>
      </w:r>
      <w:r w:rsidR="00AD28CD">
        <w:rPr>
          <w:rFonts w:ascii="Arial" w:hAnsi="Arial" w:cs="Arial"/>
          <w:sz w:val="20"/>
        </w:rPr>
        <w:t xml:space="preserve">, na 22. ledna </w:t>
      </w:r>
      <w:r w:rsidR="00A16F0F">
        <w:rPr>
          <w:rFonts w:ascii="Arial" w:hAnsi="Arial" w:cs="Arial"/>
          <w:sz w:val="20"/>
        </w:rPr>
        <w:t xml:space="preserve">2015 </w:t>
      </w:r>
      <w:r w:rsidR="00AD28CD">
        <w:rPr>
          <w:rFonts w:ascii="Arial" w:hAnsi="Arial" w:cs="Arial"/>
          <w:sz w:val="20"/>
        </w:rPr>
        <w:t>je plánována další videokonference k problematice indikátorů, následně se plánuje odeslat program přes SFC.</w:t>
      </w:r>
      <w:bookmarkEnd w:id="21"/>
    </w:p>
    <w:p w:rsidR="00D253F2" w:rsidRDefault="00D253F2" w:rsidP="00D253F2">
      <w:pPr>
        <w:tabs>
          <w:tab w:val="left" w:pos="2694"/>
        </w:tabs>
        <w:outlineLvl w:val="0"/>
        <w:rPr>
          <w:rFonts w:ascii="Arial" w:hAnsi="Arial" w:cs="Arial"/>
          <w:sz w:val="20"/>
        </w:rPr>
      </w:pPr>
      <w:bookmarkStart w:id="22" w:name="_Toc409196596"/>
      <w:r w:rsidRPr="00A3487A">
        <w:rPr>
          <w:rFonts w:ascii="Arial" w:hAnsi="Arial" w:cs="Arial"/>
          <w:b/>
          <w:sz w:val="20"/>
        </w:rPr>
        <w:t>Integrovaný regionální operační program</w:t>
      </w:r>
      <w:r w:rsidRPr="00190592">
        <w:rPr>
          <w:rFonts w:ascii="Arial" w:hAnsi="Arial" w:cs="Arial"/>
          <w:sz w:val="20"/>
        </w:rPr>
        <w:t xml:space="preserve"> </w:t>
      </w:r>
      <w:r>
        <w:rPr>
          <w:rFonts w:ascii="Arial" w:hAnsi="Arial" w:cs="Arial"/>
          <w:sz w:val="20"/>
        </w:rPr>
        <w:t xml:space="preserve">byl </w:t>
      </w:r>
      <w:r w:rsidR="0066537E">
        <w:rPr>
          <w:rFonts w:ascii="Arial" w:hAnsi="Arial" w:cs="Arial"/>
          <w:sz w:val="20"/>
        </w:rPr>
        <w:t>EK</w:t>
      </w:r>
      <w:r>
        <w:rPr>
          <w:rFonts w:ascii="Arial" w:hAnsi="Arial" w:cs="Arial"/>
          <w:sz w:val="20"/>
        </w:rPr>
        <w:t xml:space="preserve"> opět předložen </w:t>
      </w:r>
      <w:r w:rsidR="001C263D">
        <w:rPr>
          <w:rFonts w:ascii="Arial" w:hAnsi="Arial" w:cs="Arial"/>
          <w:sz w:val="20"/>
        </w:rPr>
        <w:t xml:space="preserve">přes SFC </w:t>
      </w:r>
      <w:r>
        <w:rPr>
          <w:rFonts w:ascii="Arial" w:hAnsi="Arial" w:cs="Arial"/>
          <w:sz w:val="20"/>
        </w:rPr>
        <w:t xml:space="preserve">dne 15. prosince 2014. </w:t>
      </w:r>
      <w:r w:rsidR="007F1DA4">
        <w:rPr>
          <w:rFonts w:ascii="Arial" w:hAnsi="Arial" w:cs="Arial"/>
          <w:sz w:val="20"/>
        </w:rPr>
        <w:t>Aktuálně se diskutují otevřená témata, přičemž t</w:t>
      </w:r>
      <w:r>
        <w:rPr>
          <w:rFonts w:ascii="Arial" w:hAnsi="Arial" w:cs="Arial"/>
          <w:sz w:val="20"/>
        </w:rPr>
        <w:t>echnická jednání formou videokonference proběhla v prosinci 2014</w:t>
      </w:r>
      <w:r w:rsidR="007F1DA4">
        <w:rPr>
          <w:rFonts w:ascii="Arial" w:hAnsi="Arial" w:cs="Arial"/>
          <w:sz w:val="20"/>
        </w:rPr>
        <w:t xml:space="preserve"> a jednání formálního dialogu je naplánováno na 22. </w:t>
      </w:r>
      <w:r w:rsidR="00636E10">
        <w:rPr>
          <w:rFonts w:ascii="Arial" w:hAnsi="Arial" w:cs="Arial"/>
          <w:sz w:val="20"/>
        </w:rPr>
        <w:t>ledna</w:t>
      </w:r>
      <w:r w:rsidR="007F1DA4">
        <w:rPr>
          <w:rFonts w:ascii="Arial" w:hAnsi="Arial" w:cs="Arial"/>
          <w:sz w:val="20"/>
        </w:rPr>
        <w:t xml:space="preserve"> 2015</w:t>
      </w:r>
      <w:r>
        <w:rPr>
          <w:rFonts w:ascii="Arial" w:hAnsi="Arial" w:cs="Arial"/>
          <w:sz w:val="20"/>
        </w:rPr>
        <w:t>.</w:t>
      </w:r>
      <w:bookmarkEnd w:id="22"/>
    </w:p>
    <w:p w:rsidR="00D253F2" w:rsidRDefault="00D253F2" w:rsidP="00D253F2">
      <w:pPr>
        <w:tabs>
          <w:tab w:val="left" w:pos="2694"/>
        </w:tabs>
        <w:outlineLvl w:val="0"/>
        <w:rPr>
          <w:rFonts w:ascii="Arial" w:hAnsi="Arial" w:cs="Arial"/>
          <w:sz w:val="20"/>
        </w:rPr>
      </w:pPr>
      <w:bookmarkStart w:id="23" w:name="_Toc409196597"/>
      <w:r w:rsidRPr="00A3487A">
        <w:rPr>
          <w:rFonts w:ascii="Arial" w:hAnsi="Arial" w:cs="Arial"/>
          <w:b/>
          <w:sz w:val="20"/>
        </w:rPr>
        <w:t>OP Praha - pól růstu ČR</w:t>
      </w:r>
      <w:r>
        <w:rPr>
          <w:rFonts w:ascii="Arial" w:hAnsi="Arial" w:cs="Arial"/>
          <w:sz w:val="20"/>
        </w:rPr>
        <w:t xml:space="preserve"> bude předložen </w:t>
      </w:r>
      <w:r w:rsidR="0066537E">
        <w:rPr>
          <w:rFonts w:ascii="Arial" w:hAnsi="Arial" w:cs="Arial"/>
          <w:sz w:val="20"/>
        </w:rPr>
        <w:t>EK</w:t>
      </w:r>
      <w:r>
        <w:rPr>
          <w:rFonts w:ascii="Arial" w:hAnsi="Arial" w:cs="Arial"/>
          <w:sz w:val="20"/>
        </w:rPr>
        <w:t xml:space="preserve"> zřejmě až </w:t>
      </w:r>
      <w:r w:rsidR="00AF1A2A">
        <w:rPr>
          <w:rFonts w:ascii="Arial" w:hAnsi="Arial" w:cs="Arial"/>
          <w:sz w:val="20"/>
        </w:rPr>
        <w:t>koncem února</w:t>
      </w:r>
      <w:r>
        <w:rPr>
          <w:rFonts w:ascii="Arial" w:hAnsi="Arial" w:cs="Arial"/>
          <w:sz w:val="20"/>
        </w:rPr>
        <w:t xml:space="preserve"> 2015. Termín pro formální vyjednávání programu s EK je plánován na </w:t>
      </w:r>
      <w:r w:rsidR="002A6665">
        <w:rPr>
          <w:rFonts w:ascii="Arial" w:hAnsi="Arial" w:cs="Arial"/>
          <w:sz w:val="20"/>
        </w:rPr>
        <w:t xml:space="preserve">27. ledna </w:t>
      </w:r>
      <w:r>
        <w:rPr>
          <w:rFonts w:ascii="Arial" w:hAnsi="Arial" w:cs="Arial"/>
          <w:sz w:val="20"/>
        </w:rPr>
        <w:t>2015.</w:t>
      </w:r>
      <w:bookmarkEnd w:id="23"/>
      <w:r>
        <w:rPr>
          <w:rFonts w:ascii="Arial" w:hAnsi="Arial" w:cs="Arial"/>
          <w:sz w:val="20"/>
        </w:rPr>
        <w:t xml:space="preserve">  </w:t>
      </w:r>
    </w:p>
    <w:p w:rsidR="00D253F2" w:rsidRDefault="00D253F2" w:rsidP="00D253F2">
      <w:pPr>
        <w:tabs>
          <w:tab w:val="left" w:pos="2694"/>
        </w:tabs>
        <w:outlineLvl w:val="0"/>
        <w:rPr>
          <w:rFonts w:ascii="Arial" w:hAnsi="Arial" w:cs="Arial"/>
          <w:sz w:val="20"/>
        </w:rPr>
      </w:pPr>
      <w:bookmarkStart w:id="24" w:name="_Toc409196598"/>
      <w:r>
        <w:rPr>
          <w:rFonts w:ascii="Arial" w:hAnsi="Arial" w:cs="Arial"/>
          <w:b/>
          <w:sz w:val="20"/>
        </w:rPr>
        <w:t>OP</w:t>
      </w:r>
      <w:r w:rsidRPr="00A3487A">
        <w:rPr>
          <w:rFonts w:ascii="Arial" w:hAnsi="Arial" w:cs="Arial"/>
          <w:b/>
          <w:sz w:val="20"/>
        </w:rPr>
        <w:t xml:space="preserve"> Technická pomoc</w:t>
      </w:r>
      <w:r>
        <w:rPr>
          <w:rFonts w:ascii="Arial" w:hAnsi="Arial" w:cs="Arial"/>
          <w:sz w:val="20"/>
        </w:rPr>
        <w:t xml:space="preserve"> bude předložen EK zřejmě v prvním čtvrtletí roku 2015. Termín pro formální vyjednávání programu s </w:t>
      </w:r>
      <w:r w:rsidR="0066537E">
        <w:rPr>
          <w:rFonts w:ascii="Arial" w:hAnsi="Arial" w:cs="Arial"/>
          <w:sz w:val="20"/>
        </w:rPr>
        <w:t>EK</w:t>
      </w:r>
      <w:r>
        <w:rPr>
          <w:rFonts w:ascii="Arial" w:hAnsi="Arial" w:cs="Arial"/>
          <w:sz w:val="20"/>
        </w:rPr>
        <w:t xml:space="preserve"> nebyl stanoven.</w:t>
      </w:r>
      <w:bookmarkEnd w:id="24"/>
      <w:r>
        <w:rPr>
          <w:rFonts w:ascii="Arial" w:hAnsi="Arial" w:cs="Arial"/>
          <w:sz w:val="20"/>
        </w:rPr>
        <w:t xml:space="preserve">  </w:t>
      </w:r>
    </w:p>
    <w:p w:rsidR="00D253F2" w:rsidRDefault="00D253F2" w:rsidP="00C70C95">
      <w:pPr>
        <w:tabs>
          <w:tab w:val="left" w:pos="2694"/>
        </w:tabs>
        <w:outlineLvl w:val="0"/>
        <w:rPr>
          <w:rFonts w:ascii="Arial" w:hAnsi="Arial" w:cs="Arial"/>
          <w:b/>
          <w:sz w:val="20"/>
        </w:rPr>
      </w:pPr>
      <w:bookmarkStart w:id="25" w:name="_Toc409196599"/>
      <w:r w:rsidRPr="00B54274">
        <w:rPr>
          <w:rFonts w:ascii="Arial" w:hAnsi="Arial" w:cs="Arial"/>
          <w:sz w:val="20"/>
        </w:rPr>
        <w:t xml:space="preserve">U </w:t>
      </w:r>
      <w:r w:rsidRPr="00A3487A">
        <w:rPr>
          <w:rFonts w:ascii="Arial" w:hAnsi="Arial" w:cs="Arial"/>
          <w:b/>
          <w:sz w:val="20"/>
        </w:rPr>
        <w:t>Programu rozvoje venkova</w:t>
      </w:r>
      <w:r w:rsidRPr="00556B4D">
        <w:rPr>
          <w:rFonts w:ascii="Arial" w:hAnsi="Arial" w:cs="Arial"/>
          <w:b/>
          <w:sz w:val="20"/>
        </w:rPr>
        <w:t xml:space="preserve"> </w:t>
      </w:r>
      <w:r w:rsidRPr="00B54274">
        <w:rPr>
          <w:rFonts w:ascii="Arial" w:hAnsi="Arial" w:cs="Arial"/>
          <w:sz w:val="20"/>
        </w:rPr>
        <w:t>(PRV)</w:t>
      </w:r>
      <w:r>
        <w:rPr>
          <w:rFonts w:ascii="Arial" w:hAnsi="Arial" w:cs="Arial"/>
          <w:b/>
          <w:sz w:val="20"/>
        </w:rPr>
        <w:t xml:space="preserve"> </w:t>
      </w:r>
      <w:r w:rsidRPr="00556B4D">
        <w:rPr>
          <w:rFonts w:ascii="Arial" w:hAnsi="Arial" w:cs="Arial"/>
          <w:sz w:val="20"/>
        </w:rPr>
        <w:t>proběhla</w:t>
      </w:r>
      <w:r w:rsidRPr="00556B4D">
        <w:rPr>
          <w:rFonts w:ascii="Arial" w:hAnsi="Arial" w:cs="Arial"/>
          <w:b/>
          <w:sz w:val="20"/>
        </w:rPr>
        <w:t xml:space="preserve"> </w:t>
      </w:r>
      <w:r w:rsidRPr="00556B4D">
        <w:rPr>
          <w:rFonts w:ascii="Arial" w:hAnsi="Arial" w:cs="Arial"/>
          <w:sz w:val="20"/>
        </w:rPr>
        <w:t xml:space="preserve">ve dnech 19. </w:t>
      </w:r>
      <w:r>
        <w:rPr>
          <w:rFonts w:ascii="Arial" w:hAnsi="Arial" w:cs="Arial"/>
          <w:sz w:val="20"/>
        </w:rPr>
        <w:t>listopadu</w:t>
      </w:r>
      <w:r w:rsidRPr="00556B4D">
        <w:rPr>
          <w:rFonts w:ascii="Arial" w:hAnsi="Arial" w:cs="Arial"/>
          <w:sz w:val="20"/>
        </w:rPr>
        <w:t xml:space="preserve"> 2014, 2. a 4. </w:t>
      </w:r>
      <w:r>
        <w:rPr>
          <w:rFonts w:ascii="Arial" w:hAnsi="Arial" w:cs="Arial"/>
          <w:sz w:val="20"/>
        </w:rPr>
        <w:t>prosince</w:t>
      </w:r>
      <w:r w:rsidRPr="00556B4D">
        <w:rPr>
          <w:rFonts w:ascii="Arial" w:hAnsi="Arial" w:cs="Arial"/>
          <w:sz w:val="20"/>
        </w:rPr>
        <w:t xml:space="preserve"> 2014 technická jednání se zástupci EK k připomínkám, které k návrhu PRV </w:t>
      </w:r>
      <w:r>
        <w:rPr>
          <w:rFonts w:ascii="Arial" w:hAnsi="Arial" w:cs="Arial"/>
          <w:sz w:val="20"/>
        </w:rPr>
        <w:t>ministerstvo zemědělství</w:t>
      </w:r>
      <w:r w:rsidRPr="00556B4D">
        <w:rPr>
          <w:rFonts w:ascii="Arial" w:hAnsi="Arial" w:cs="Arial"/>
          <w:sz w:val="20"/>
        </w:rPr>
        <w:t xml:space="preserve"> obdrželo 23. </w:t>
      </w:r>
      <w:r>
        <w:rPr>
          <w:rFonts w:ascii="Arial" w:hAnsi="Arial" w:cs="Arial"/>
          <w:sz w:val="20"/>
        </w:rPr>
        <w:t>října</w:t>
      </w:r>
      <w:r w:rsidRPr="00556B4D">
        <w:rPr>
          <w:rFonts w:ascii="Arial" w:hAnsi="Arial" w:cs="Arial"/>
          <w:sz w:val="20"/>
        </w:rPr>
        <w:t xml:space="preserve"> 2014. Na základě požadavku EK nebyly diskutovány připomínky ke všem kapitolám a tématům, tj. nebyly projednávány strategické kapitoly, ani kapitoly horizontálních témat (jako předběžné podmínky, hraniční oblasti, vazba na strategie atd.), ale byly řešeny pouze připomínky vztahující se k plošným zemědělským opatřením a k projektovým opatřením.</w:t>
      </w:r>
      <w:r w:rsidRPr="00556B4D">
        <w:rPr>
          <w:rFonts w:ascii="Arial" w:hAnsi="Arial" w:cs="Arial"/>
          <w:b/>
          <w:sz w:val="20"/>
        </w:rPr>
        <w:t xml:space="preserve"> </w:t>
      </w:r>
      <w:r w:rsidR="002202B8">
        <w:rPr>
          <w:rFonts w:ascii="Arial" w:hAnsi="Arial" w:cs="Arial"/>
          <w:sz w:val="20"/>
        </w:rPr>
        <w:t>D</w:t>
      </w:r>
      <w:r w:rsidR="002202B8" w:rsidRPr="00636E10">
        <w:rPr>
          <w:rFonts w:ascii="Arial" w:hAnsi="Arial" w:cs="Arial"/>
          <w:sz w:val="20"/>
        </w:rPr>
        <w:t>ne 23.</w:t>
      </w:r>
      <w:r w:rsidR="002202B8">
        <w:rPr>
          <w:rFonts w:ascii="Arial" w:hAnsi="Arial" w:cs="Arial"/>
          <w:sz w:val="20"/>
        </w:rPr>
        <w:t xml:space="preserve"> ledna 2015</w:t>
      </w:r>
      <w:r w:rsidR="002202B8" w:rsidRPr="00636E10">
        <w:rPr>
          <w:rFonts w:ascii="Arial" w:hAnsi="Arial" w:cs="Arial"/>
          <w:sz w:val="20"/>
        </w:rPr>
        <w:t xml:space="preserve"> proběhne videokonzultace s </w:t>
      </w:r>
      <w:r w:rsidR="002202B8">
        <w:rPr>
          <w:rFonts w:ascii="Arial" w:hAnsi="Arial" w:cs="Arial"/>
          <w:sz w:val="20"/>
        </w:rPr>
        <w:t>EK</w:t>
      </w:r>
      <w:r w:rsidR="002202B8" w:rsidRPr="00C70C95">
        <w:rPr>
          <w:rFonts w:ascii="Arial" w:hAnsi="Arial" w:cs="Arial"/>
          <w:sz w:val="20"/>
        </w:rPr>
        <w:t xml:space="preserve"> na téma </w:t>
      </w:r>
      <w:r w:rsidR="00753152">
        <w:rPr>
          <w:rFonts w:ascii="Arial" w:hAnsi="Arial" w:cs="Arial"/>
          <w:sz w:val="20"/>
        </w:rPr>
        <w:t>LEADER</w:t>
      </w:r>
      <w:r w:rsidR="002202B8" w:rsidRPr="00C70C95">
        <w:rPr>
          <w:rFonts w:ascii="Arial" w:hAnsi="Arial" w:cs="Arial"/>
          <w:sz w:val="20"/>
        </w:rPr>
        <w:t xml:space="preserve"> v PRV, potažmo společný kontext </w:t>
      </w:r>
      <w:r w:rsidR="001D4B63">
        <w:rPr>
          <w:rFonts w:ascii="Arial" w:hAnsi="Arial" w:cs="Arial"/>
          <w:sz w:val="20"/>
        </w:rPr>
        <w:t>Komunitně</w:t>
      </w:r>
      <w:r w:rsidR="00C70C95">
        <w:rPr>
          <w:rFonts w:ascii="Arial" w:hAnsi="Arial" w:cs="Arial"/>
          <w:sz w:val="20"/>
        </w:rPr>
        <w:t xml:space="preserve"> vedeného </w:t>
      </w:r>
      <w:r w:rsidR="001D4B63">
        <w:rPr>
          <w:rFonts w:ascii="Arial" w:hAnsi="Arial" w:cs="Arial"/>
          <w:sz w:val="20"/>
        </w:rPr>
        <w:t>místní</w:t>
      </w:r>
      <w:r w:rsidR="00C70C95">
        <w:rPr>
          <w:rFonts w:ascii="Arial" w:hAnsi="Arial" w:cs="Arial"/>
          <w:sz w:val="20"/>
        </w:rPr>
        <w:t>ho rozvoje (</w:t>
      </w:r>
      <w:r w:rsidR="002202B8" w:rsidRPr="00C70C95">
        <w:rPr>
          <w:rFonts w:ascii="Arial" w:hAnsi="Arial" w:cs="Arial"/>
          <w:sz w:val="20"/>
        </w:rPr>
        <w:t>CLLD</w:t>
      </w:r>
      <w:r w:rsidR="00C70C95">
        <w:rPr>
          <w:rFonts w:ascii="Arial" w:hAnsi="Arial" w:cs="Arial"/>
          <w:sz w:val="20"/>
        </w:rPr>
        <w:t xml:space="preserve">). </w:t>
      </w:r>
      <w:r>
        <w:rPr>
          <w:rFonts w:ascii="Arial" w:hAnsi="Arial" w:cs="Arial"/>
          <w:b/>
          <w:sz w:val="20"/>
        </w:rPr>
        <w:t>Předpokládan</w:t>
      </w:r>
      <w:r w:rsidR="00AF1A2A">
        <w:rPr>
          <w:rFonts w:ascii="Arial" w:hAnsi="Arial" w:cs="Arial"/>
          <w:b/>
          <w:sz w:val="20"/>
        </w:rPr>
        <w:t>ý termín</w:t>
      </w:r>
      <w:r>
        <w:rPr>
          <w:rFonts w:ascii="Arial" w:hAnsi="Arial" w:cs="Arial"/>
          <w:b/>
          <w:sz w:val="20"/>
        </w:rPr>
        <w:t xml:space="preserve"> odeslání programu je v březnu 2015.</w:t>
      </w:r>
      <w:bookmarkEnd w:id="25"/>
      <w:r w:rsidR="00104AA0" w:rsidRPr="00104AA0">
        <w:t xml:space="preserve"> </w:t>
      </w:r>
    </w:p>
    <w:p w:rsidR="00D253F2" w:rsidRPr="00CA2393" w:rsidRDefault="00A16F0F" w:rsidP="00D253F2">
      <w:pPr>
        <w:rPr>
          <w:rFonts w:ascii="Arial" w:hAnsi="Arial" w:cs="Arial"/>
          <w:sz w:val="20"/>
          <w:szCs w:val="24"/>
        </w:rPr>
      </w:pPr>
      <w:r>
        <w:rPr>
          <w:rFonts w:ascii="Arial" w:hAnsi="Arial" w:cs="Arial"/>
          <w:b/>
          <w:sz w:val="20"/>
          <w:szCs w:val="24"/>
        </w:rPr>
        <w:t>OP</w:t>
      </w:r>
      <w:r w:rsidR="00D253F2">
        <w:rPr>
          <w:rFonts w:ascii="Arial" w:hAnsi="Arial" w:cs="Arial"/>
          <w:b/>
          <w:sz w:val="20"/>
          <w:szCs w:val="24"/>
        </w:rPr>
        <w:t xml:space="preserve"> Rybářství 2014–</w:t>
      </w:r>
      <w:r w:rsidR="00D253F2" w:rsidRPr="00ED5250">
        <w:rPr>
          <w:rFonts w:ascii="Arial" w:hAnsi="Arial" w:cs="Arial"/>
          <w:b/>
          <w:sz w:val="20"/>
          <w:szCs w:val="24"/>
        </w:rPr>
        <w:t>2020</w:t>
      </w:r>
      <w:r w:rsidR="00D253F2" w:rsidRPr="00CA2393">
        <w:rPr>
          <w:rFonts w:ascii="Arial" w:hAnsi="Arial" w:cs="Arial"/>
          <w:sz w:val="20"/>
          <w:szCs w:val="24"/>
        </w:rPr>
        <w:t xml:space="preserve"> </w:t>
      </w:r>
      <w:r w:rsidR="002B39C4">
        <w:rPr>
          <w:rFonts w:ascii="Arial" w:hAnsi="Arial" w:cs="Arial"/>
          <w:sz w:val="20"/>
          <w:szCs w:val="24"/>
        </w:rPr>
        <w:t xml:space="preserve">byl </w:t>
      </w:r>
      <w:r w:rsidR="0074748B">
        <w:rPr>
          <w:rFonts w:ascii="Arial" w:hAnsi="Arial" w:cs="Arial"/>
          <w:sz w:val="20"/>
          <w:szCs w:val="24"/>
        </w:rPr>
        <w:t>z důvodu nedokončení nastavení SFC pro přijetí program</w:t>
      </w:r>
      <w:r w:rsidR="00C70C95">
        <w:rPr>
          <w:rFonts w:ascii="Arial" w:hAnsi="Arial" w:cs="Arial"/>
          <w:sz w:val="20"/>
          <w:szCs w:val="24"/>
        </w:rPr>
        <w:t>ů</w:t>
      </w:r>
      <w:r w:rsidR="0074748B">
        <w:rPr>
          <w:rFonts w:ascii="Arial" w:hAnsi="Arial" w:cs="Arial"/>
          <w:sz w:val="20"/>
          <w:szCs w:val="24"/>
        </w:rPr>
        <w:t xml:space="preserve"> spolu</w:t>
      </w:r>
      <w:r w:rsidR="00D06609">
        <w:rPr>
          <w:rFonts w:ascii="Arial" w:hAnsi="Arial" w:cs="Arial"/>
          <w:sz w:val="20"/>
          <w:szCs w:val="24"/>
        </w:rPr>
        <w:t>-</w:t>
      </w:r>
      <w:r w:rsidR="0074748B">
        <w:rPr>
          <w:rFonts w:ascii="Arial" w:hAnsi="Arial" w:cs="Arial"/>
          <w:sz w:val="20"/>
          <w:szCs w:val="24"/>
        </w:rPr>
        <w:t>financovaných z</w:t>
      </w:r>
      <w:r w:rsidR="00C70C95">
        <w:rPr>
          <w:rFonts w:ascii="Arial" w:hAnsi="Arial" w:cs="Arial"/>
          <w:sz w:val="20"/>
          <w:szCs w:val="24"/>
        </w:rPr>
        <w:t> Evropského námořního a rybářského fondu (</w:t>
      </w:r>
      <w:r w:rsidR="0074748B">
        <w:rPr>
          <w:rFonts w:ascii="Arial" w:hAnsi="Arial" w:cs="Arial"/>
          <w:sz w:val="20"/>
          <w:szCs w:val="24"/>
        </w:rPr>
        <w:t>ENRF</w:t>
      </w:r>
      <w:r w:rsidR="00C70C95">
        <w:rPr>
          <w:rFonts w:ascii="Arial" w:hAnsi="Arial" w:cs="Arial"/>
          <w:sz w:val="20"/>
          <w:szCs w:val="24"/>
        </w:rPr>
        <w:t>)</w:t>
      </w:r>
      <w:r w:rsidR="0074748B">
        <w:rPr>
          <w:rFonts w:ascii="Arial" w:hAnsi="Arial" w:cs="Arial"/>
          <w:sz w:val="20"/>
          <w:szCs w:val="24"/>
        </w:rPr>
        <w:t xml:space="preserve"> předložen </w:t>
      </w:r>
      <w:r w:rsidR="002B39C4">
        <w:rPr>
          <w:rFonts w:ascii="Arial" w:hAnsi="Arial" w:cs="Arial"/>
          <w:sz w:val="20"/>
          <w:szCs w:val="24"/>
        </w:rPr>
        <w:t xml:space="preserve">EK </w:t>
      </w:r>
      <w:r w:rsidR="00C70C95">
        <w:rPr>
          <w:rFonts w:ascii="Arial" w:hAnsi="Arial" w:cs="Arial"/>
          <w:sz w:val="20"/>
          <w:szCs w:val="24"/>
        </w:rPr>
        <w:t xml:space="preserve">prostřednictvím </w:t>
      </w:r>
      <w:r w:rsidR="002B39C4">
        <w:rPr>
          <w:rFonts w:ascii="Arial" w:hAnsi="Arial" w:cs="Arial"/>
          <w:sz w:val="20"/>
          <w:szCs w:val="24"/>
        </w:rPr>
        <w:t>e</w:t>
      </w:r>
      <w:r w:rsidR="00D06609">
        <w:rPr>
          <w:rFonts w:ascii="Arial" w:hAnsi="Arial" w:cs="Arial"/>
          <w:sz w:val="20"/>
          <w:szCs w:val="24"/>
        </w:rPr>
        <w:noBreakHyphen/>
      </w:r>
      <w:r w:rsidR="002B39C4">
        <w:rPr>
          <w:rFonts w:ascii="Arial" w:hAnsi="Arial" w:cs="Arial"/>
          <w:sz w:val="20"/>
          <w:szCs w:val="24"/>
        </w:rPr>
        <w:t>mailu dne 3. listopadu 2014.</w:t>
      </w:r>
      <w:r w:rsidR="002B39C4" w:rsidRPr="002B39C4">
        <w:rPr>
          <w:rFonts w:ascii="Arial" w:hAnsi="Arial" w:cs="Arial"/>
          <w:sz w:val="20"/>
          <w:szCs w:val="24"/>
        </w:rPr>
        <w:t xml:space="preserve"> </w:t>
      </w:r>
      <w:r w:rsidR="002B39C4">
        <w:rPr>
          <w:rFonts w:ascii="Arial" w:hAnsi="Arial" w:cs="Arial"/>
          <w:sz w:val="20"/>
          <w:szCs w:val="24"/>
        </w:rPr>
        <w:t xml:space="preserve">Následně Řídicí orgán OP Rybářství </w:t>
      </w:r>
      <w:r w:rsidR="002B39C4" w:rsidRPr="000D562B">
        <w:rPr>
          <w:rFonts w:ascii="Arial" w:hAnsi="Arial" w:cs="Arial"/>
          <w:sz w:val="20"/>
          <w:szCs w:val="24"/>
        </w:rPr>
        <w:t>2014–2020</w:t>
      </w:r>
      <w:r w:rsidR="00D06609">
        <w:rPr>
          <w:rFonts w:ascii="Arial" w:hAnsi="Arial" w:cs="Arial"/>
          <w:sz w:val="20"/>
          <w:szCs w:val="24"/>
        </w:rPr>
        <w:t xml:space="preserve"> obdržel dne 8. </w:t>
      </w:r>
      <w:r w:rsidR="002B39C4">
        <w:rPr>
          <w:rFonts w:ascii="Arial" w:hAnsi="Arial" w:cs="Arial"/>
          <w:sz w:val="20"/>
          <w:szCs w:val="24"/>
        </w:rPr>
        <w:t>prosince</w:t>
      </w:r>
      <w:r w:rsidR="002B39C4" w:rsidRPr="00CA2393">
        <w:rPr>
          <w:rFonts w:ascii="Arial" w:hAnsi="Arial" w:cs="Arial"/>
          <w:sz w:val="20"/>
          <w:szCs w:val="24"/>
        </w:rPr>
        <w:t xml:space="preserve"> 2014 neformální připomínky </w:t>
      </w:r>
      <w:r w:rsidR="004A2608">
        <w:rPr>
          <w:rFonts w:ascii="Arial" w:hAnsi="Arial" w:cs="Arial"/>
          <w:sz w:val="20"/>
          <w:szCs w:val="24"/>
        </w:rPr>
        <w:t>EK</w:t>
      </w:r>
      <w:r w:rsidR="002B39C4" w:rsidRPr="00CA2393">
        <w:rPr>
          <w:rFonts w:ascii="Arial" w:hAnsi="Arial" w:cs="Arial"/>
          <w:sz w:val="20"/>
          <w:szCs w:val="24"/>
        </w:rPr>
        <w:t xml:space="preserve"> k  programu</w:t>
      </w:r>
      <w:r w:rsidR="002B39C4">
        <w:rPr>
          <w:rFonts w:ascii="Arial" w:hAnsi="Arial" w:cs="Arial"/>
          <w:sz w:val="20"/>
          <w:szCs w:val="24"/>
        </w:rPr>
        <w:t xml:space="preserve">. Pro vypořádání připomínek </w:t>
      </w:r>
      <w:r w:rsidR="000D51EA">
        <w:rPr>
          <w:rFonts w:ascii="Arial" w:hAnsi="Arial" w:cs="Arial"/>
          <w:b/>
          <w:sz w:val="20"/>
          <w:szCs w:val="24"/>
        </w:rPr>
        <w:t>na </w:t>
      </w:r>
      <w:r w:rsidR="002B39C4" w:rsidRPr="00B54274">
        <w:rPr>
          <w:rFonts w:ascii="Arial" w:hAnsi="Arial" w:cs="Arial"/>
          <w:b/>
          <w:sz w:val="20"/>
          <w:szCs w:val="24"/>
        </w:rPr>
        <w:t>základě zrychlené procedury byl OP Rybářství</w:t>
      </w:r>
      <w:r w:rsidR="002B39C4">
        <w:rPr>
          <w:rFonts w:ascii="Arial" w:hAnsi="Arial" w:cs="Arial"/>
          <w:b/>
          <w:sz w:val="20"/>
          <w:szCs w:val="24"/>
        </w:rPr>
        <w:t xml:space="preserve"> </w:t>
      </w:r>
      <w:r w:rsidR="002B39C4" w:rsidRPr="00D45824">
        <w:rPr>
          <w:rFonts w:ascii="Arial" w:hAnsi="Arial" w:cs="Arial"/>
          <w:sz w:val="20"/>
          <w:szCs w:val="24"/>
        </w:rPr>
        <w:t>2014–2020</w:t>
      </w:r>
      <w:r w:rsidR="002B39C4" w:rsidRPr="00CA2393">
        <w:rPr>
          <w:rFonts w:ascii="Arial" w:hAnsi="Arial" w:cs="Arial"/>
          <w:sz w:val="20"/>
          <w:szCs w:val="24"/>
        </w:rPr>
        <w:t xml:space="preserve"> </w:t>
      </w:r>
      <w:r w:rsidR="002B39C4" w:rsidRPr="00B54274">
        <w:rPr>
          <w:rFonts w:ascii="Arial" w:hAnsi="Arial" w:cs="Arial"/>
          <w:b/>
          <w:sz w:val="20"/>
          <w:szCs w:val="24"/>
        </w:rPr>
        <w:t xml:space="preserve">dne 10. prosince 2014 </w:t>
      </w:r>
      <w:r w:rsidR="002B39C4">
        <w:rPr>
          <w:rFonts w:ascii="Arial" w:hAnsi="Arial" w:cs="Arial"/>
          <w:b/>
          <w:sz w:val="20"/>
          <w:szCs w:val="24"/>
        </w:rPr>
        <w:t xml:space="preserve">oficiálně </w:t>
      </w:r>
      <w:r w:rsidR="00D06609">
        <w:rPr>
          <w:rFonts w:ascii="Arial" w:hAnsi="Arial" w:cs="Arial"/>
          <w:b/>
          <w:sz w:val="20"/>
          <w:szCs w:val="24"/>
        </w:rPr>
        <w:t>odeslán přes </w:t>
      </w:r>
      <w:r w:rsidR="002B39C4" w:rsidRPr="00B54274">
        <w:rPr>
          <w:rFonts w:ascii="Arial" w:hAnsi="Arial" w:cs="Arial"/>
          <w:b/>
          <w:sz w:val="20"/>
          <w:szCs w:val="24"/>
        </w:rPr>
        <w:t>SFC EK</w:t>
      </w:r>
      <w:r w:rsidR="00CA6AE0">
        <w:rPr>
          <w:rFonts w:ascii="Arial" w:hAnsi="Arial" w:cs="Arial"/>
          <w:b/>
          <w:sz w:val="20"/>
          <w:szCs w:val="24"/>
        </w:rPr>
        <w:t xml:space="preserve">. </w:t>
      </w:r>
      <w:r w:rsidR="00CA6AE0" w:rsidRPr="000D51EA">
        <w:rPr>
          <w:rFonts w:ascii="Arial" w:hAnsi="Arial" w:cs="Arial"/>
          <w:sz w:val="20"/>
          <w:szCs w:val="24"/>
        </w:rPr>
        <w:t>Ná</w:t>
      </w:r>
      <w:r w:rsidR="001E4CB7" w:rsidRPr="000D51EA">
        <w:rPr>
          <w:rFonts w:ascii="Arial" w:hAnsi="Arial" w:cs="Arial"/>
          <w:sz w:val="20"/>
          <w:szCs w:val="24"/>
        </w:rPr>
        <w:t>sledné připomínky EK byly vypořádány tak, aby mohla být další</w:t>
      </w:r>
      <w:r w:rsidR="001E4CB7">
        <w:rPr>
          <w:rFonts w:ascii="Arial" w:hAnsi="Arial" w:cs="Arial"/>
          <w:b/>
          <w:sz w:val="20"/>
          <w:szCs w:val="24"/>
        </w:rPr>
        <w:t xml:space="preserve"> upravená ver</w:t>
      </w:r>
      <w:r w:rsidR="00C70C95">
        <w:rPr>
          <w:rFonts w:ascii="Arial" w:hAnsi="Arial" w:cs="Arial"/>
          <w:b/>
          <w:sz w:val="20"/>
          <w:szCs w:val="24"/>
        </w:rPr>
        <w:t>z</w:t>
      </w:r>
      <w:r w:rsidR="001E4CB7">
        <w:rPr>
          <w:rFonts w:ascii="Arial" w:hAnsi="Arial" w:cs="Arial"/>
          <w:b/>
          <w:sz w:val="20"/>
          <w:szCs w:val="24"/>
        </w:rPr>
        <w:t>e programu odeslána EK přes SFC dne 7. ledna 2015. Nyní řídicí orgán očekává vyjádření EK.</w:t>
      </w:r>
      <w:r w:rsidR="002B39C4" w:rsidRPr="00CA2393" w:rsidDel="0074748B">
        <w:rPr>
          <w:rFonts w:ascii="Arial" w:hAnsi="Arial" w:cs="Arial"/>
          <w:sz w:val="20"/>
          <w:szCs w:val="24"/>
        </w:rPr>
        <w:t xml:space="preserve"> </w:t>
      </w:r>
    </w:p>
    <w:p w:rsidR="00164349" w:rsidRDefault="00164349" w:rsidP="00164349">
      <w:pPr>
        <w:rPr>
          <w:rFonts w:ascii="Arial" w:hAnsi="Arial" w:cs="Arial"/>
          <w:b/>
          <w:bCs/>
          <w:sz w:val="20"/>
          <w:szCs w:val="20"/>
        </w:rPr>
      </w:pPr>
      <w:r w:rsidRPr="00C70C95">
        <w:rPr>
          <w:rFonts w:ascii="Arial" w:hAnsi="Arial" w:cs="Arial"/>
          <w:b/>
          <w:bCs/>
          <w:sz w:val="20"/>
          <w:szCs w:val="20"/>
        </w:rPr>
        <w:t>MMR-NOK</w:t>
      </w:r>
      <w:r>
        <w:rPr>
          <w:rFonts w:ascii="Arial" w:hAnsi="Arial" w:cs="Arial"/>
          <w:b/>
          <w:bCs/>
          <w:sz w:val="20"/>
          <w:szCs w:val="20"/>
        </w:rPr>
        <w:t xml:space="preserve"> uskuteční v polovině února </w:t>
      </w:r>
      <w:r w:rsidR="00C70C95">
        <w:rPr>
          <w:rFonts w:ascii="Arial" w:hAnsi="Arial" w:cs="Arial"/>
          <w:b/>
          <w:bCs/>
          <w:sz w:val="20"/>
          <w:szCs w:val="20"/>
        </w:rPr>
        <w:t xml:space="preserve">2015 </w:t>
      </w:r>
      <w:r>
        <w:rPr>
          <w:rFonts w:ascii="Arial" w:hAnsi="Arial" w:cs="Arial"/>
          <w:b/>
          <w:bCs/>
          <w:sz w:val="20"/>
          <w:szCs w:val="20"/>
        </w:rPr>
        <w:t xml:space="preserve">jednání se zástupci </w:t>
      </w:r>
      <w:r w:rsidR="00C70C95">
        <w:rPr>
          <w:rFonts w:ascii="Arial" w:hAnsi="Arial" w:cs="Arial"/>
          <w:b/>
          <w:bCs/>
          <w:sz w:val="20"/>
          <w:szCs w:val="20"/>
        </w:rPr>
        <w:t>EK</w:t>
      </w:r>
      <w:r w:rsidR="00AF5375">
        <w:rPr>
          <w:rFonts w:ascii="Arial" w:hAnsi="Arial" w:cs="Arial"/>
          <w:b/>
          <w:bCs/>
          <w:sz w:val="20"/>
          <w:szCs w:val="20"/>
        </w:rPr>
        <w:t xml:space="preserve"> a jednotlivých řídicích orgánů</w:t>
      </w:r>
      <w:r w:rsidR="00343EED">
        <w:rPr>
          <w:rFonts w:ascii="Arial" w:hAnsi="Arial" w:cs="Arial"/>
          <w:b/>
          <w:bCs/>
          <w:sz w:val="20"/>
          <w:szCs w:val="20"/>
        </w:rPr>
        <w:t>,</w:t>
      </w:r>
      <w:r w:rsidRPr="00164349">
        <w:t xml:space="preserve"> </w:t>
      </w:r>
      <w:r w:rsidRPr="00164349">
        <w:rPr>
          <w:rFonts w:ascii="Arial" w:hAnsi="Arial" w:cs="Arial"/>
          <w:b/>
          <w:bCs/>
          <w:sz w:val="20"/>
          <w:szCs w:val="20"/>
        </w:rPr>
        <w:t>jehož cílem je projednat a nejlépe již uzavřít klíčové otevřené otázky</w:t>
      </w:r>
      <w:r w:rsidR="00343EED">
        <w:rPr>
          <w:rFonts w:ascii="Arial" w:hAnsi="Arial" w:cs="Arial"/>
          <w:b/>
          <w:bCs/>
          <w:sz w:val="20"/>
          <w:szCs w:val="20"/>
        </w:rPr>
        <w:t xml:space="preserve"> programů</w:t>
      </w:r>
      <w:r w:rsidRPr="00164349">
        <w:rPr>
          <w:rFonts w:ascii="Arial" w:hAnsi="Arial" w:cs="Arial"/>
          <w:b/>
          <w:bCs/>
          <w:sz w:val="20"/>
          <w:szCs w:val="20"/>
        </w:rPr>
        <w:t xml:space="preserve">. </w:t>
      </w:r>
      <w:r w:rsidR="00A166A8">
        <w:rPr>
          <w:rFonts w:ascii="Arial" w:hAnsi="Arial" w:cs="Arial"/>
          <w:b/>
          <w:bCs/>
          <w:sz w:val="20"/>
          <w:szCs w:val="20"/>
        </w:rPr>
        <w:t>J</w:t>
      </w:r>
      <w:r w:rsidRPr="00164349">
        <w:rPr>
          <w:rFonts w:ascii="Arial" w:hAnsi="Arial" w:cs="Arial"/>
          <w:b/>
          <w:bCs/>
          <w:sz w:val="20"/>
          <w:szCs w:val="20"/>
        </w:rPr>
        <w:t xml:space="preserve">ednání </w:t>
      </w:r>
      <w:r w:rsidR="00A166A8">
        <w:rPr>
          <w:rFonts w:ascii="Arial" w:hAnsi="Arial" w:cs="Arial"/>
          <w:b/>
          <w:bCs/>
          <w:sz w:val="20"/>
          <w:szCs w:val="20"/>
        </w:rPr>
        <w:t xml:space="preserve">se </w:t>
      </w:r>
      <w:r w:rsidRPr="00164349">
        <w:rPr>
          <w:rFonts w:ascii="Arial" w:hAnsi="Arial" w:cs="Arial"/>
          <w:b/>
          <w:bCs/>
          <w:sz w:val="20"/>
          <w:szCs w:val="20"/>
        </w:rPr>
        <w:t xml:space="preserve">bude zaměřovat </w:t>
      </w:r>
      <w:r w:rsidR="00A166A8">
        <w:rPr>
          <w:rFonts w:ascii="Arial" w:hAnsi="Arial" w:cs="Arial"/>
          <w:b/>
          <w:bCs/>
          <w:sz w:val="20"/>
          <w:szCs w:val="20"/>
        </w:rPr>
        <w:t xml:space="preserve">nejen </w:t>
      </w:r>
      <w:r w:rsidRPr="00164349">
        <w:rPr>
          <w:rFonts w:ascii="Arial" w:hAnsi="Arial" w:cs="Arial"/>
          <w:b/>
          <w:bCs/>
          <w:sz w:val="20"/>
          <w:szCs w:val="20"/>
        </w:rPr>
        <w:t>na programy, u nichž je gestorem</w:t>
      </w:r>
      <w:r w:rsidR="00D06609">
        <w:rPr>
          <w:rFonts w:ascii="Arial" w:hAnsi="Arial" w:cs="Arial"/>
          <w:b/>
          <w:bCs/>
          <w:sz w:val="20"/>
          <w:szCs w:val="20"/>
        </w:rPr>
        <w:t xml:space="preserve"> Generální ředitelství pro </w:t>
      </w:r>
      <w:r w:rsidR="00C70C95">
        <w:rPr>
          <w:rFonts w:ascii="Arial" w:hAnsi="Arial" w:cs="Arial"/>
          <w:b/>
          <w:bCs/>
          <w:sz w:val="20"/>
          <w:szCs w:val="20"/>
        </w:rPr>
        <w:t>regionální politiku</w:t>
      </w:r>
      <w:r w:rsidR="00C70C95" w:rsidRPr="00C70C95">
        <w:rPr>
          <w:rFonts w:ascii="Arial" w:hAnsi="Arial" w:cs="Arial"/>
          <w:b/>
          <w:bCs/>
          <w:sz w:val="20"/>
          <w:szCs w:val="20"/>
        </w:rPr>
        <w:t xml:space="preserve"> </w:t>
      </w:r>
      <w:r w:rsidR="00C70C95">
        <w:rPr>
          <w:rFonts w:ascii="Arial" w:hAnsi="Arial" w:cs="Arial"/>
          <w:b/>
          <w:bCs/>
          <w:sz w:val="20"/>
          <w:szCs w:val="20"/>
        </w:rPr>
        <w:t>(</w:t>
      </w:r>
      <w:r w:rsidR="00C70C95" w:rsidRPr="00164349">
        <w:rPr>
          <w:rFonts w:ascii="Arial" w:hAnsi="Arial" w:cs="Arial"/>
          <w:b/>
          <w:bCs/>
          <w:sz w:val="20"/>
          <w:szCs w:val="20"/>
        </w:rPr>
        <w:t>DG REGIO</w:t>
      </w:r>
      <w:r w:rsidR="00C70C95">
        <w:rPr>
          <w:rFonts w:ascii="Arial" w:hAnsi="Arial" w:cs="Arial"/>
          <w:b/>
          <w:bCs/>
          <w:sz w:val="20"/>
          <w:szCs w:val="20"/>
        </w:rPr>
        <w:t>)</w:t>
      </w:r>
      <w:r w:rsidR="00A166A8">
        <w:rPr>
          <w:rFonts w:ascii="Arial" w:hAnsi="Arial" w:cs="Arial"/>
          <w:b/>
          <w:bCs/>
          <w:sz w:val="20"/>
          <w:szCs w:val="20"/>
        </w:rPr>
        <w:t>, ale i programy v ge</w:t>
      </w:r>
      <w:r w:rsidR="00D06609">
        <w:rPr>
          <w:rFonts w:ascii="Arial" w:hAnsi="Arial" w:cs="Arial"/>
          <w:b/>
          <w:bCs/>
          <w:sz w:val="20"/>
          <w:szCs w:val="20"/>
        </w:rPr>
        <w:t>sci Generálního ředitelství pro </w:t>
      </w:r>
      <w:r w:rsidR="00A166A8" w:rsidRPr="000D51EA">
        <w:rPr>
          <w:rFonts w:ascii="Arial" w:hAnsi="Arial" w:cs="Arial"/>
          <w:b/>
          <w:bCs/>
          <w:sz w:val="20"/>
          <w:szCs w:val="20"/>
        </w:rPr>
        <w:t xml:space="preserve">zaměstnanost, sociální </w:t>
      </w:r>
      <w:r w:rsidR="00A166A8">
        <w:rPr>
          <w:rFonts w:ascii="Arial" w:hAnsi="Arial" w:cs="Arial"/>
          <w:b/>
          <w:bCs/>
          <w:sz w:val="20"/>
          <w:szCs w:val="20"/>
        </w:rPr>
        <w:t>věci</w:t>
      </w:r>
      <w:r w:rsidR="00A166A8" w:rsidRPr="000D51EA">
        <w:rPr>
          <w:rFonts w:ascii="Arial" w:hAnsi="Arial" w:cs="Arial"/>
          <w:b/>
          <w:bCs/>
          <w:sz w:val="20"/>
          <w:szCs w:val="20"/>
        </w:rPr>
        <w:t xml:space="preserve"> a </w:t>
      </w:r>
      <w:r w:rsidR="00A166A8">
        <w:rPr>
          <w:rFonts w:ascii="Arial" w:hAnsi="Arial" w:cs="Arial"/>
          <w:b/>
          <w:bCs/>
          <w:sz w:val="20"/>
          <w:szCs w:val="20"/>
        </w:rPr>
        <w:t>sociální začleňování (DG EMPL)</w:t>
      </w:r>
      <w:r w:rsidRPr="00164349">
        <w:rPr>
          <w:rFonts w:ascii="Arial" w:hAnsi="Arial" w:cs="Arial"/>
          <w:b/>
          <w:bCs/>
          <w:sz w:val="20"/>
          <w:szCs w:val="20"/>
        </w:rPr>
        <w:t xml:space="preserve">. </w:t>
      </w:r>
    </w:p>
    <w:p w:rsidR="007719D9" w:rsidRPr="009C2D1C" w:rsidRDefault="007719D9" w:rsidP="00A16F0F">
      <w:pPr>
        <w:pStyle w:val="Nadpis2"/>
        <w:spacing w:before="240"/>
      </w:pPr>
      <w:bookmarkStart w:id="26" w:name="_Toc409191121"/>
      <w:bookmarkStart w:id="27" w:name="_Toc409196600"/>
      <w:r w:rsidRPr="009C2D1C">
        <w:t xml:space="preserve">Aktuální stav vyjednávání programů s </w:t>
      </w:r>
      <w:r w:rsidR="00585ECC">
        <w:t>EK</w:t>
      </w:r>
      <w:r w:rsidRPr="009C2D1C">
        <w:t xml:space="preserve"> v ostatních členských státech EU</w:t>
      </w:r>
      <w:bookmarkEnd w:id="26"/>
      <w:bookmarkEnd w:id="27"/>
    </w:p>
    <w:p w:rsidR="007719D9" w:rsidRPr="007719D9" w:rsidRDefault="007719D9" w:rsidP="007719D9">
      <w:pPr>
        <w:rPr>
          <w:rFonts w:ascii="Arial" w:hAnsi="Arial" w:cs="Arial"/>
          <w:bCs/>
          <w:sz w:val="20"/>
          <w:szCs w:val="20"/>
        </w:rPr>
      </w:pPr>
      <w:r w:rsidRPr="007719D9">
        <w:rPr>
          <w:rFonts w:ascii="Arial" w:hAnsi="Arial" w:cs="Arial"/>
          <w:bCs/>
          <w:sz w:val="20"/>
          <w:szCs w:val="20"/>
        </w:rPr>
        <w:t>Stav schvalování programů v jednotlivých zemích je zachycen v  tabulce č. 1. Ta zachycuje jednotlivé členské státy, celkový počet programů a jejich stav – kolik programů financovaných z Evropského fondu pro regionální rozvoj (ERDF), Evropského sociálního fondu (ESF), Kohezního fondu (CF) nebo multifodových je schváleno, bude schváleno bez změn VFR</w:t>
      </w:r>
      <w:r w:rsidR="00711B14">
        <w:rPr>
          <w:rStyle w:val="Znakapoznpodarou"/>
          <w:rFonts w:ascii="Arial" w:hAnsi="Arial" w:cs="Arial"/>
          <w:bCs/>
          <w:sz w:val="20"/>
          <w:szCs w:val="20"/>
        </w:rPr>
        <w:footnoteReference w:id="6"/>
      </w:r>
      <w:r w:rsidRPr="007719D9">
        <w:rPr>
          <w:rFonts w:ascii="Arial" w:hAnsi="Arial" w:cs="Arial"/>
          <w:bCs/>
          <w:sz w:val="20"/>
          <w:szCs w:val="20"/>
        </w:rPr>
        <w:t xml:space="preserve"> (dále také „varianta 1“) nebo bude schváleno až po schválení revize VFR</w:t>
      </w:r>
      <w:r w:rsidR="00711B14">
        <w:rPr>
          <w:rStyle w:val="Znakapoznpodarou"/>
          <w:rFonts w:ascii="Arial" w:hAnsi="Arial" w:cs="Arial"/>
          <w:bCs/>
          <w:sz w:val="20"/>
          <w:szCs w:val="20"/>
        </w:rPr>
        <w:footnoteReference w:id="7"/>
      </w:r>
      <w:r w:rsidRPr="007719D9">
        <w:rPr>
          <w:rFonts w:ascii="Arial" w:hAnsi="Arial" w:cs="Arial"/>
          <w:bCs/>
          <w:sz w:val="20"/>
          <w:szCs w:val="20"/>
        </w:rPr>
        <w:t xml:space="preserve"> (dále také „varianta 2“).</w:t>
      </w:r>
    </w:p>
    <w:p w:rsidR="00F9454B" w:rsidRPr="00F026D0" w:rsidRDefault="007719D9" w:rsidP="00A16F0F">
      <w:pPr>
        <w:rPr>
          <w:rFonts w:ascii="Arial" w:hAnsi="Arial" w:cs="Arial"/>
          <w:sz w:val="20"/>
        </w:rPr>
      </w:pPr>
      <w:r w:rsidRPr="007719D9">
        <w:rPr>
          <w:rFonts w:ascii="Arial" w:hAnsi="Arial" w:cs="Arial"/>
          <w:bCs/>
          <w:sz w:val="20"/>
          <w:szCs w:val="20"/>
        </w:rPr>
        <w:t xml:space="preserve">Vzhledem k blokačnímu účinku dopisu </w:t>
      </w:r>
      <w:r w:rsidR="004A2608">
        <w:rPr>
          <w:rFonts w:ascii="Arial" w:hAnsi="Arial" w:cs="Arial"/>
          <w:bCs/>
          <w:sz w:val="20"/>
          <w:szCs w:val="20"/>
        </w:rPr>
        <w:t>EK</w:t>
      </w:r>
      <w:r w:rsidRPr="007719D9">
        <w:rPr>
          <w:rFonts w:ascii="Arial" w:hAnsi="Arial" w:cs="Arial"/>
          <w:bCs/>
          <w:sz w:val="20"/>
          <w:szCs w:val="20"/>
        </w:rPr>
        <w:t xml:space="preserve"> (</w:t>
      </w:r>
      <w:r w:rsidR="00711B14">
        <w:rPr>
          <w:rFonts w:ascii="Arial" w:hAnsi="Arial" w:cs="Arial"/>
          <w:bCs/>
          <w:sz w:val="20"/>
          <w:szCs w:val="20"/>
        </w:rPr>
        <w:t>více viz výše</w:t>
      </w:r>
      <w:r w:rsidRPr="007719D9">
        <w:rPr>
          <w:rFonts w:ascii="Arial" w:hAnsi="Arial" w:cs="Arial"/>
          <w:bCs/>
          <w:sz w:val="20"/>
          <w:szCs w:val="20"/>
        </w:rPr>
        <w:t xml:space="preserve">) </w:t>
      </w:r>
      <w:r w:rsidR="000D51EA">
        <w:rPr>
          <w:rFonts w:ascii="Arial" w:hAnsi="Arial" w:cs="Arial"/>
          <w:bCs/>
          <w:sz w:val="20"/>
          <w:szCs w:val="20"/>
        </w:rPr>
        <w:t>ve věci</w:t>
      </w:r>
      <w:r w:rsidRPr="007719D9">
        <w:rPr>
          <w:rFonts w:ascii="Arial" w:hAnsi="Arial" w:cs="Arial"/>
          <w:bCs/>
          <w:sz w:val="20"/>
          <w:szCs w:val="20"/>
        </w:rPr>
        <w:t xml:space="preserve"> zák</w:t>
      </w:r>
      <w:r w:rsidR="000D51EA">
        <w:rPr>
          <w:rFonts w:ascii="Arial" w:hAnsi="Arial" w:cs="Arial"/>
          <w:bCs/>
          <w:sz w:val="20"/>
          <w:szCs w:val="20"/>
        </w:rPr>
        <w:t>ona o státní službě, nebudou do </w:t>
      </w:r>
      <w:r w:rsidRPr="007719D9">
        <w:rPr>
          <w:rFonts w:ascii="Arial" w:hAnsi="Arial" w:cs="Arial"/>
          <w:bCs/>
          <w:sz w:val="20"/>
          <w:szCs w:val="20"/>
        </w:rPr>
        <w:t>března 2015 schváleny žádné české programy, tj.</w:t>
      </w:r>
      <w:r w:rsidR="00711B14">
        <w:rPr>
          <w:rFonts w:ascii="Arial" w:hAnsi="Arial" w:cs="Arial"/>
          <w:bCs/>
          <w:sz w:val="20"/>
          <w:szCs w:val="20"/>
        </w:rPr>
        <w:t> </w:t>
      </w:r>
      <w:r w:rsidRPr="000D51EA">
        <w:rPr>
          <w:rFonts w:ascii="Arial" w:hAnsi="Arial" w:cs="Arial"/>
          <w:b/>
          <w:bCs/>
          <w:sz w:val="20"/>
          <w:szCs w:val="20"/>
        </w:rPr>
        <w:t>vše</w:t>
      </w:r>
      <w:r w:rsidR="000D51EA">
        <w:rPr>
          <w:rFonts w:ascii="Arial" w:hAnsi="Arial" w:cs="Arial"/>
          <w:b/>
          <w:bCs/>
          <w:sz w:val="20"/>
          <w:szCs w:val="20"/>
        </w:rPr>
        <w:t>chny budou dotčeny změnou VFR a </w:t>
      </w:r>
      <w:r w:rsidRPr="000D51EA">
        <w:rPr>
          <w:rFonts w:ascii="Arial" w:hAnsi="Arial" w:cs="Arial"/>
          <w:b/>
          <w:bCs/>
          <w:sz w:val="20"/>
          <w:szCs w:val="20"/>
        </w:rPr>
        <w:t xml:space="preserve">budou pravděpodobně schváleny po vyjasnění problematiky týkající se </w:t>
      </w:r>
      <w:r w:rsidR="000D51EA" w:rsidRPr="000D51EA">
        <w:rPr>
          <w:rFonts w:ascii="Arial" w:hAnsi="Arial" w:cs="Arial"/>
          <w:b/>
          <w:bCs/>
          <w:sz w:val="20"/>
          <w:szCs w:val="20"/>
        </w:rPr>
        <w:t>služebního zákona</w:t>
      </w:r>
      <w:r w:rsidR="000D51EA">
        <w:rPr>
          <w:rFonts w:ascii="Arial" w:hAnsi="Arial" w:cs="Arial"/>
          <w:bCs/>
          <w:sz w:val="20"/>
          <w:szCs w:val="20"/>
        </w:rPr>
        <w:t xml:space="preserve"> a dále po </w:t>
      </w:r>
      <w:r w:rsidRPr="007719D9">
        <w:rPr>
          <w:rFonts w:ascii="Arial" w:hAnsi="Arial" w:cs="Arial"/>
          <w:bCs/>
          <w:sz w:val="20"/>
          <w:szCs w:val="20"/>
        </w:rPr>
        <w:t>schvále</w:t>
      </w:r>
      <w:r w:rsidR="00F9454B">
        <w:rPr>
          <w:rFonts w:ascii="Arial" w:hAnsi="Arial" w:cs="Arial"/>
          <w:bCs/>
          <w:sz w:val="20"/>
          <w:szCs w:val="20"/>
        </w:rPr>
        <w:t xml:space="preserve">ní VFR. </w:t>
      </w:r>
    </w:p>
    <w:p w:rsidR="00711B14" w:rsidRDefault="00711B14" w:rsidP="007719D9">
      <w:pPr>
        <w:rPr>
          <w:rFonts w:ascii="Arial" w:hAnsi="Arial" w:cs="Arial"/>
          <w:bCs/>
          <w:sz w:val="20"/>
          <w:szCs w:val="20"/>
        </w:rPr>
        <w:sectPr w:rsidR="00711B14" w:rsidSect="0064376B">
          <w:footerReference w:type="default" r:id="rId10"/>
          <w:footerReference w:type="first" r:id="rId11"/>
          <w:pgSz w:w="11906" w:h="16838"/>
          <w:pgMar w:top="1417" w:right="1417" w:bottom="1417" w:left="1417" w:header="708" w:footer="708" w:gutter="0"/>
          <w:cols w:space="708"/>
          <w:titlePg/>
          <w:docGrid w:linePitch="360"/>
        </w:sectPr>
      </w:pPr>
    </w:p>
    <w:p w:rsidR="00711B14" w:rsidRPr="009C2D1C" w:rsidRDefault="00711B14" w:rsidP="009377B8">
      <w:pPr>
        <w:pStyle w:val="Titulek"/>
        <w:spacing w:before="0"/>
        <w:ind w:left="425"/>
        <w:rPr>
          <w:rFonts w:ascii="Arial" w:hAnsi="Arial" w:cs="Arial"/>
          <w:sz w:val="20"/>
          <w:szCs w:val="20"/>
        </w:rPr>
      </w:pPr>
      <w:r w:rsidRPr="009C2D1C">
        <w:rPr>
          <w:rFonts w:ascii="Arial" w:hAnsi="Arial" w:cs="Arial"/>
          <w:sz w:val="20"/>
          <w:szCs w:val="20"/>
        </w:rPr>
        <w:lastRenderedPageBreak/>
        <w:t>Tabulka</w:t>
      </w:r>
      <w:r>
        <w:rPr>
          <w:rFonts w:ascii="Arial" w:hAnsi="Arial" w:cs="Arial"/>
          <w:sz w:val="20"/>
          <w:szCs w:val="20"/>
        </w:rPr>
        <w:t xml:space="preserve"> č. </w:t>
      </w:r>
      <w:r w:rsidRPr="009C2D1C">
        <w:rPr>
          <w:rFonts w:ascii="Arial" w:hAnsi="Arial" w:cs="Arial"/>
          <w:sz w:val="20"/>
          <w:szCs w:val="20"/>
        </w:rPr>
        <w:fldChar w:fldCharType="begin"/>
      </w:r>
      <w:r w:rsidRPr="009C2D1C">
        <w:rPr>
          <w:rFonts w:ascii="Arial" w:hAnsi="Arial" w:cs="Arial"/>
          <w:sz w:val="20"/>
          <w:szCs w:val="20"/>
        </w:rPr>
        <w:instrText xml:space="preserve"> SEQ Tabulka \* ARABIC </w:instrText>
      </w:r>
      <w:r w:rsidRPr="009C2D1C">
        <w:rPr>
          <w:rFonts w:ascii="Arial" w:hAnsi="Arial" w:cs="Arial"/>
          <w:sz w:val="20"/>
          <w:szCs w:val="20"/>
        </w:rPr>
        <w:fldChar w:fldCharType="separate"/>
      </w:r>
      <w:r w:rsidR="000C3E5B">
        <w:rPr>
          <w:rFonts w:ascii="Arial" w:hAnsi="Arial" w:cs="Arial"/>
          <w:noProof/>
          <w:sz w:val="20"/>
          <w:szCs w:val="20"/>
        </w:rPr>
        <w:t>1</w:t>
      </w:r>
      <w:r w:rsidRPr="009C2D1C">
        <w:rPr>
          <w:rFonts w:ascii="Arial" w:hAnsi="Arial" w:cs="Arial"/>
          <w:sz w:val="20"/>
          <w:szCs w:val="20"/>
        </w:rPr>
        <w:fldChar w:fldCharType="end"/>
      </w:r>
      <w:r>
        <w:rPr>
          <w:rFonts w:ascii="Arial" w:hAnsi="Arial" w:cs="Arial"/>
          <w:sz w:val="20"/>
          <w:szCs w:val="20"/>
        </w:rPr>
        <w:t xml:space="preserve"> - </w:t>
      </w:r>
      <w:r w:rsidRPr="009C2D1C">
        <w:rPr>
          <w:rFonts w:ascii="Arial" w:hAnsi="Arial" w:cs="Arial"/>
          <w:sz w:val="20"/>
          <w:szCs w:val="20"/>
        </w:rPr>
        <w:t xml:space="preserve">Stav schvalování </w:t>
      </w:r>
      <w:r>
        <w:rPr>
          <w:rFonts w:ascii="Arial" w:hAnsi="Arial" w:cs="Arial"/>
          <w:sz w:val="20"/>
          <w:szCs w:val="20"/>
        </w:rPr>
        <w:t>programů</w:t>
      </w:r>
      <w:r w:rsidRPr="009C2D1C">
        <w:rPr>
          <w:rFonts w:ascii="Arial" w:hAnsi="Arial" w:cs="Arial"/>
          <w:sz w:val="20"/>
          <w:szCs w:val="20"/>
        </w:rPr>
        <w:t xml:space="preserve"> v jednotlivých </w:t>
      </w:r>
      <w:r>
        <w:rPr>
          <w:rFonts w:ascii="Arial" w:hAnsi="Arial" w:cs="Arial"/>
          <w:sz w:val="20"/>
          <w:szCs w:val="20"/>
        </w:rPr>
        <w:t xml:space="preserve">členských </w:t>
      </w:r>
      <w:r w:rsidRPr="009C2D1C">
        <w:rPr>
          <w:rFonts w:ascii="Arial" w:hAnsi="Arial" w:cs="Arial"/>
          <w:sz w:val="20"/>
          <w:szCs w:val="20"/>
        </w:rPr>
        <w:t>zemích</w:t>
      </w:r>
      <w:r w:rsidR="000D51EA">
        <w:rPr>
          <w:rFonts w:ascii="Arial" w:hAnsi="Arial" w:cs="Arial"/>
          <w:sz w:val="20"/>
          <w:szCs w:val="20"/>
        </w:rPr>
        <w:t xml:space="preserve"> EU</w:t>
      </w:r>
    </w:p>
    <w:tbl>
      <w:tblPr>
        <w:tblW w:w="13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331"/>
        <w:gridCol w:w="1814"/>
        <w:gridCol w:w="761"/>
        <w:gridCol w:w="807"/>
        <w:gridCol w:w="753"/>
        <w:gridCol w:w="1100"/>
        <w:gridCol w:w="799"/>
        <w:gridCol w:w="754"/>
        <w:gridCol w:w="725"/>
        <w:gridCol w:w="1101"/>
        <w:gridCol w:w="790"/>
        <w:gridCol w:w="771"/>
        <w:gridCol w:w="716"/>
        <w:gridCol w:w="1100"/>
      </w:tblGrid>
      <w:tr w:rsidR="00B22CAB" w:rsidRPr="00711B14" w:rsidTr="00A16F0F">
        <w:trPr>
          <w:trHeight w:val="444"/>
          <w:tblHeader/>
          <w:jc w:val="center"/>
        </w:trPr>
        <w:tc>
          <w:tcPr>
            <w:tcW w:w="1331" w:type="dxa"/>
            <w:vMerge w:val="restart"/>
            <w:shd w:val="clear" w:color="auto" w:fill="A6A6A6" w:themeFill="background1" w:themeFillShade="A6"/>
            <w:vAlign w:val="center"/>
          </w:tcPr>
          <w:p w:rsidR="00711B14" w:rsidRPr="00711B14" w:rsidRDefault="00711B14" w:rsidP="00111912">
            <w:pPr>
              <w:spacing w:before="0" w:line="240" w:lineRule="auto"/>
              <w:jc w:val="center"/>
              <w:rPr>
                <w:rFonts w:ascii="Arial" w:hAnsi="Arial" w:cs="Arial"/>
                <w:b/>
                <w:bCs/>
                <w:color w:val="FFFFFF" w:themeColor="background1"/>
                <w:sz w:val="20"/>
                <w:szCs w:val="20"/>
              </w:rPr>
            </w:pPr>
            <w:r w:rsidRPr="00711B14">
              <w:rPr>
                <w:rFonts w:ascii="Arial" w:hAnsi="Arial" w:cs="Arial"/>
                <w:b/>
                <w:bCs/>
                <w:color w:val="FFFFFF" w:themeColor="background1"/>
                <w:sz w:val="20"/>
                <w:szCs w:val="20"/>
              </w:rPr>
              <w:t>Členský stát</w:t>
            </w:r>
          </w:p>
        </w:tc>
        <w:tc>
          <w:tcPr>
            <w:tcW w:w="1814" w:type="dxa"/>
            <w:vMerge w:val="restart"/>
            <w:shd w:val="clear" w:color="auto" w:fill="A6A6A6" w:themeFill="background1" w:themeFillShade="A6"/>
            <w:tcMar>
              <w:top w:w="0" w:type="dxa"/>
              <w:left w:w="108" w:type="dxa"/>
              <w:bottom w:w="0" w:type="dxa"/>
              <w:right w:w="108" w:type="dxa"/>
            </w:tcMar>
            <w:vAlign w:val="center"/>
            <w:hideMark/>
          </w:tcPr>
          <w:p w:rsidR="00711B14" w:rsidRPr="00711B14" w:rsidRDefault="00711B14" w:rsidP="00111912">
            <w:pPr>
              <w:spacing w:before="0" w:line="240" w:lineRule="auto"/>
              <w:jc w:val="center"/>
              <w:rPr>
                <w:rFonts w:ascii="Arial" w:hAnsi="Arial" w:cs="Arial"/>
                <w:b/>
                <w:bCs/>
                <w:color w:val="FFFFFF" w:themeColor="background1"/>
                <w:sz w:val="20"/>
                <w:szCs w:val="20"/>
              </w:rPr>
            </w:pPr>
            <w:r w:rsidRPr="00711B14">
              <w:rPr>
                <w:rFonts w:ascii="Arial" w:hAnsi="Arial" w:cs="Arial"/>
                <w:b/>
                <w:bCs/>
                <w:color w:val="FFFFFF" w:themeColor="background1"/>
                <w:sz w:val="20"/>
                <w:szCs w:val="20"/>
              </w:rPr>
              <w:t>Celkový počet operačních programů</w:t>
            </w:r>
            <w:r w:rsidR="00D03007">
              <w:rPr>
                <w:rFonts w:ascii="Arial" w:hAnsi="Arial" w:cs="Arial"/>
                <w:b/>
                <w:bCs/>
                <w:color w:val="FFFFFF" w:themeColor="background1"/>
                <w:sz w:val="20"/>
                <w:szCs w:val="20"/>
              </w:rPr>
              <w:t xml:space="preserve"> (ERDF, ESF, CF)</w:t>
            </w:r>
          </w:p>
        </w:tc>
        <w:tc>
          <w:tcPr>
            <w:tcW w:w="3421" w:type="dxa"/>
            <w:gridSpan w:val="4"/>
            <w:shd w:val="clear" w:color="auto" w:fill="A6A6A6" w:themeFill="background1" w:themeFillShade="A6"/>
            <w:tcMar>
              <w:top w:w="0" w:type="dxa"/>
              <w:left w:w="108" w:type="dxa"/>
              <w:bottom w:w="0" w:type="dxa"/>
              <w:right w:w="108" w:type="dxa"/>
            </w:tcMar>
            <w:vAlign w:val="center"/>
            <w:hideMark/>
          </w:tcPr>
          <w:p w:rsidR="00711B14" w:rsidRPr="00711B14" w:rsidRDefault="00711B14" w:rsidP="00111912">
            <w:pPr>
              <w:spacing w:before="0" w:line="240" w:lineRule="auto"/>
              <w:jc w:val="center"/>
              <w:rPr>
                <w:rFonts w:ascii="Arial" w:hAnsi="Arial" w:cs="Arial"/>
                <w:b/>
                <w:bCs/>
                <w:color w:val="FFFFFF" w:themeColor="background1"/>
                <w:sz w:val="20"/>
                <w:szCs w:val="20"/>
              </w:rPr>
            </w:pPr>
            <w:r w:rsidRPr="00711B14">
              <w:rPr>
                <w:rFonts w:ascii="Arial" w:hAnsi="Arial" w:cs="Arial"/>
                <w:b/>
                <w:bCs/>
                <w:color w:val="FFFFFF" w:themeColor="background1"/>
                <w:sz w:val="20"/>
                <w:szCs w:val="20"/>
              </w:rPr>
              <w:t>Schválené operačních programy</w:t>
            </w:r>
            <w:r w:rsidR="008F298A">
              <w:rPr>
                <w:rFonts w:ascii="Arial" w:hAnsi="Arial" w:cs="Arial"/>
                <w:b/>
                <w:bCs/>
                <w:color w:val="FFFFFF" w:themeColor="background1"/>
                <w:sz w:val="20"/>
                <w:szCs w:val="20"/>
              </w:rPr>
              <w:t xml:space="preserve"> ke konci roku 2014</w:t>
            </w:r>
          </w:p>
        </w:tc>
        <w:tc>
          <w:tcPr>
            <w:tcW w:w="3379" w:type="dxa"/>
            <w:gridSpan w:val="4"/>
            <w:shd w:val="clear" w:color="auto" w:fill="A6A6A6" w:themeFill="background1" w:themeFillShade="A6"/>
            <w:tcMar>
              <w:top w:w="0" w:type="dxa"/>
              <w:left w:w="108" w:type="dxa"/>
              <w:bottom w:w="0" w:type="dxa"/>
              <w:right w:w="108" w:type="dxa"/>
            </w:tcMar>
            <w:vAlign w:val="center"/>
            <w:hideMark/>
          </w:tcPr>
          <w:p w:rsidR="00711B14" w:rsidRPr="00711B14" w:rsidRDefault="00711B14" w:rsidP="00111912">
            <w:pPr>
              <w:spacing w:before="0" w:line="240" w:lineRule="auto"/>
              <w:jc w:val="center"/>
              <w:rPr>
                <w:rFonts w:ascii="Arial" w:hAnsi="Arial" w:cs="Arial"/>
                <w:b/>
                <w:bCs/>
                <w:color w:val="FFFFFF" w:themeColor="background1"/>
                <w:sz w:val="20"/>
                <w:szCs w:val="20"/>
              </w:rPr>
            </w:pPr>
            <w:r w:rsidRPr="00711B14">
              <w:rPr>
                <w:rFonts w:ascii="Arial" w:hAnsi="Arial" w:cs="Arial"/>
                <w:b/>
                <w:bCs/>
                <w:color w:val="FFFFFF" w:themeColor="background1"/>
                <w:sz w:val="20"/>
                <w:szCs w:val="20"/>
              </w:rPr>
              <w:t>Varianta č. 1 (bez změny VFR)</w:t>
            </w:r>
          </w:p>
        </w:tc>
        <w:tc>
          <w:tcPr>
            <w:tcW w:w="3377" w:type="dxa"/>
            <w:gridSpan w:val="4"/>
            <w:shd w:val="clear" w:color="auto" w:fill="A6A6A6" w:themeFill="background1" w:themeFillShade="A6"/>
            <w:tcMar>
              <w:top w:w="0" w:type="dxa"/>
              <w:left w:w="108" w:type="dxa"/>
              <w:bottom w:w="0" w:type="dxa"/>
              <w:right w:w="108" w:type="dxa"/>
            </w:tcMar>
            <w:vAlign w:val="center"/>
            <w:hideMark/>
          </w:tcPr>
          <w:p w:rsidR="00711B14" w:rsidRPr="00711B14" w:rsidRDefault="00711B14" w:rsidP="00111912">
            <w:pPr>
              <w:spacing w:before="0" w:line="240" w:lineRule="auto"/>
              <w:jc w:val="center"/>
              <w:rPr>
                <w:rFonts w:ascii="Arial" w:hAnsi="Arial" w:cs="Arial"/>
                <w:b/>
                <w:bCs/>
                <w:color w:val="FFFFFF" w:themeColor="background1"/>
                <w:sz w:val="20"/>
                <w:szCs w:val="20"/>
              </w:rPr>
            </w:pPr>
            <w:r w:rsidRPr="00711B14">
              <w:rPr>
                <w:rFonts w:ascii="Arial" w:hAnsi="Arial" w:cs="Arial"/>
                <w:b/>
                <w:bCs/>
                <w:color w:val="FFFFFF" w:themeColor="background1"/>
                <w:sz w:val="20"/>
                <w:szCs w:val="20"/>
              </w:rPr>
              <w:t>Varianta č. 2 (se změnou VFR)</w:t>
            </w:r>
          </w:p>
        </w:tc>
      </w:tr>
      <w:tr w:rsidR="00B22CAB" w:rsidRPr="00711B14" w:rsidTr="00A16F0F">
        <w:trPr>
          <w:trHeight w:val="691"/>
          <w:tblHeader/>
          <w:jc w:val="center"/>
        </w:trPr>
        <w:tc>
          <w:tcPr>
            <w:tcW w:w="1331" w:type="dxa"/>
            <w:vMerge/>
            <w:shd w:val="clear" w:color="auto" w:fill="A6A6A6" w:themeFill="background1" w:themeFillShade="A6"/>
            <w:vAlign w:val="center"/>
          </w:tcPr>
          <w:p w:rsidR="00711B14" w:rsidRPr="00711B14" w:rsidRDefault="00711B14" w:rsidP="00111912">
            <w:pPr>
              <w:spacing w:before="0" w:line="240" w:lineRule="auto"/>
              <w:jc w:val="center"/>
              <w:rPr>
                <w:rFonts w:ascii="Arial" w:hAnsi="Arial" w:cs="Arial"/>
                <w:b/>
                <w:bCs/>
                <w:color w:val="FFFFFF" w:themeColor="background1"/>
                <w:sz w:val="20"/>
                <w:szCs w:val="20"/>
              </w:rPr>
            </w:pPr>
          </w:p>
        </w:tc>
        <w:tc>
          <w:tcPr>
            <w:tcW w:w="1814" w:type="dxa"/>
            <w:vMerge/>
            <w:shd w:val="clear" w:color="auto" w:fill="A6A6A6" w:themeFill="background1" w:themeFillShade="A6"/>
            <w:vAlign w:val="center"/>
            <w:hideMark/>
          </w:tcPr>
          <w:p w:rsidR="00711B14" w:rsidRPr="00711B14" w:rsidRDefault="00711B14" w:rsidP="00111912">
            <w:pPr>
              <w:spacing w:before="0" w:line="240" w:lineRule="auto"/>
              <w:jc w:val="center"/>
              <w:rPr>
                <w:rFonts w:ascii="Arial" w:hAnsi="Arial" w:cs="Arial"/>
                <w:b/>
                <w:bCs/>
                <w:color w:val="FFFFFF" w:themeColor="background1"/>
                <w:sz w:val="20"/>
                <w:szCs w:val="20"/>
              </w:rPr>
            </w:pPr>
          </w:p>
        </w:tc>
        <w:tc>
          <w:tcPr>
            <w:tcW w:w="761" w:type="dxa"/>
            <w:shd w:val="clear" w:color="auto" w:fill="A6A6A6" w:themeFill="background1" w:themeFillShade="A6"/>
            <w:tcMar>
              <w:top w:w="0" w:type="dxa"/>
              <w:left w:w="108" w:type="dxa"/>
              <w:bottom w:w="0" w:type="dxa"/>
              <w:right w:w="108" w:type="dxa"/>
            </w:tcMar>
            <w:vAlign w:val="center"/>
            <w:hideMark/>
          </w:tcPr>
          <w:p w:rsidR="00711B14" w:rsidRPr="00711B14" w:rsidRDefault="00711B14" w:rsidP="00111912">
            <w:pPr>
              <w:spacing w:before="0" w:line="240" w:lineRule="auto"/>
              <w:jc w:val="center"/>
              <w:rPr>
                <w:rFonts w:ascii="Arial" w:hAnsi="Arial" w:cs="Arial"/>
                <w:b/>
                <w:bCs/>
                <w:color w:val="FFFFFF" w:themeColor="background1"/>
                <w:sz w:val="20"/>
                <w:szCs w:val="20"/>
              </w:rPr>
            </w:pPr>
            <w:r w:rsidRPr="00711B14">
              <w:rPr>
                <w:rFonts w:ascii="Arial" w:hAnsi="Arial" w:cs="Arial"/>
                <w:b/>
                <w:bCs/>
                <w:color w:val="FFFFFF" w:themeColor="background1"/>
                <w:sz w:val="20"/>
                <w:szCs w:val="20"/>
              </w:rPr>
              <w:t>ERDF</w:t>
            </w:r>
          </w:p>
        </w:tc>
        <w:tc>
          <w:tcPr>
            <w:tcW w:w="807" w:type="dxa"/>
            <w:shd w:val="clear" w:color="auto" w:fill="A6A6A6" w:themeFill="background1" w:themeFillShade="A6"/>
            <w:tcMar>
              <w:top w:w="0" w:type="dxa"/>
              <w:left w:w="108" w:type="dxa"/>
              <w:bottom w:w="0" w:type="dxa"/>
              <w:right w:w="108" w:type="dxa"/>
            </w:tcMar>
            <w:vAlign w:val="center"/>
            <w:hideMark/>
          </w:tcPr>
          <w:p w:rsidR="00711B14" w:rsidRPr="00711B14" w:rsidRDefault="00711B14" w:rsidP="00111912">
            <w:pPr>
              <w:spacing w:before="0" w:line="240" w:lineRule="auto"/>
              <w:jc w:val="center"/>
              <w:rPr>
                <w:rFonts w:ascii="Arial" w:hAnsi="Arial" w:cs="Arial"/>
                <w:b/>
                <w:bCs/>
                <w:color w:val="FFFFFF" w:themeColor="background1"/>
                <w:sz w:val="20"/>
                <w:szCs w:val="20"/>
              </w:rPr>
            </w:pPr>
            <w:r w:rsidRPr="00711B14">
              <w:rPr>
                <w:rFonts w:ascii="Arial" w:hAnsi="Arial" w:cs="Arial"/>
                <w:b/>
                <w:bCs/>
                <w:color w:val="FFFFFF" w:themeColor="background1"/>
                <w:sz w:val="20"/>
                <w:szCs w:val="20"/>
              </w:rPr>
              <w:t>ESF</w:t>
            </w:r>
          </w:p>
        </w:tc>
        <w:tc>
          <w:tcPr>
            <w:tcW w:w="753" w:type="dxa"/>
            <w:shd w:val="clear" w:color="auto" w:fill="A6A6A6" w:themeFill="background1" w:themeFillShade="A6"/>
            <w:tcMar>
              <w:top w:w="0" w:type="dxa"/>
              <w:left w:w="108" w:type="dxa"/>
              <w:bottom w:w="0" w:type="dxa"/>
              <w:right w:w="108" w:type="dxa"/>
            </w:tcMar>
            <w:vAlign w:val="center"/>
            <w:hideMark/>
          </w:tcPr>
          <w:p w:rsidR="00711B14" w:rsidRPr="00711B14" w:rsidRDefault="00711B14" w:rsidP="00111912">
            <w:pPr>
              <w:spacing w:before="0" w:line="240" w:lineRule="auto"/>
              <w:jc w:val="center"/>
              <w:rPr>
                <w:rFonts w:ascii="Arial" w:hAnsi="Arial" w:cs="Arial"/>
                <w:b/>
                <w:bCs/>
                <w:color w:val="FFFFFF" w:themeColor="background1"/>
                <w:sz w:val="20"/>
                <w:szCs w:val="20"/>
              </w:rPr>
            </w:pPr>
            <w:r w:rsidRPr="00711B14">
              <w:rPr>
                <w:rFonts w:ascii="Arial" w:hAnsi="Arial" w:cs="Arial"/>
                <w:b/>
                <w:bCs/>
                <w:color w:val="FFFFFF" w:themeColor="background1"/>
                <w:sz w:val="20"/>
                <w:szCs w:val="20"/>
              </w:rPr>
              <w:t>CF</w:t>
            </w:r>
          </w:p>
        </w:tc>
        <w:tc>
          <w:tcPr>
            <w:tcW w:w="1100" w:type="dxa"/>
            <w:shd w:val="clear" w:color="auto" w:fill="A6A6A6" w:themeFill="background1" w:themeFillShade="A6"/>
            <w:tcMar>
              <w:top w:w="0" w:type="dxa"/>
              <w:left w:w="108" w:type="dxa"/>
              <w:bottom w:w="0" w:type="dxa"/>
              <w:right w:w="108" w:type="dxa"/>
            </w:tcMar>
            <w:vAlign w:val="center"/>
            <w:hideMark/>
          </w:tcPr>
          <w:p w:rsidR="00711B14" w:rsidRPr="00711B14" w:rsidRDefault="00711B14" w:rsidP="00111912">
            <w:pPr>
              <w:spacing w:before="0" w:line="240" w:lineRule="auto"/>
              <w:jc w:val="center"/>
              <w:rPr>
                <w:rFonts w:ascii="Arial" w:hAnsi="Arial" w:cs="Arial"/>
                <w:b/>
                <w:bCs/>
                <w:color w:val="FFFFFF" w:themeColor="background1"/>
                <w:sz w:val="20"/>
                <w:szCs w:val="20"/>
              </w:rPr>
            </w:pPr>
            <w:r w:rsidRPr="00711B14">
              <w:rPr>
                <w:rFonts w:ascii="Arial" w:hAnsi="Arial" w:cs="Arial"/>
                <w:b/>
                <w:bCs/>
                <w:color w:val="FFFFFF" w:themeColor="background1"/>
                <w:sz w:val="20"/>
                <w:szCs w:val="20"/>
              </w:rPr>
              <w:t>multi-fondový</w:t>
            </w:r>
          </w:p>
        </w:tc>
        <w:tc>
          <w:tcPr>
            <w:tcW w:w="799" w:type="dxa"/>
            <w:shd w:val="clear" w:color="auto" w:fill="A6A6A6" w:themeFill="background1" w:themeFillShade="A6"/>
            <w:tcMar>
              <w:top w:w="0" w:type="dxa"/>
              <w:left w:w="108" w:type="dxa"/>
              <w:bottom w:w="0" w:type="dxa"/>
              <w:right w:w="108" w:type="dxa"/>
            </w:tcMar>
            <w:vAlign w:val="center"/>
            <w:hideMark/>
          </w:tcPr>
          <w:p w:rsidR="00711B14" w:rsidRPr="00711B14" w:rsidRDefault="00711B14" w:rsidP="00111912">
            <w:pPr>
              <w:spacing w:before="0" w:line="240" w:lineRule="auto"/>
              <w:jc w:val="center"/>
              <w:rPr>
                <w:rFonts w:ascii="Arial" w:hAnsi="Arial" w:cs="Arial"/>
                <w:b/>
                <w:bCs/>
                <w:color w:val="FFFFFF" w:themeColor="background1"/>
                <w:sz w:val="20"/>
                <w:szCs w:val="20"/>
              </w:rPr>
            </w:pPr>
            <w:r w:rsidRPr="00711B14">
              <w:rPr>
                <w:rFonts w:ascii="Arial" w:hAnsi="Arial" w:cs="Arial"/>
                <w:b/>
                <w:bCs/>
                <w:color w:val="FFFFFF" w:themeColor="background1"/>
                <w:sz w:val="20"/>
                <w:szCs w:val="20"/>
              </w:rPr>
              <w:t>ERDF</w:t>
            </w:r>
          </w:p>
        </w:tc>
        <w:tc>
          <w:tcPr>
            <w:tcW w:w="754" w:type="dxa"/>
            <w:shd w:val="clear" w:color="auto" w:fill="A6A6A6" w:themeFill="background1" w:themeFillShade="A6"/>
            <w:tcMar>
              <w:top w:w="0" w:type="dxa"/>
              <w:left w:w="108" w:type="dxa"/>
              <w:bottom w:w="0" w:type="dxa"/>
              <w:right w:w="108" w:type="dxa"/>
            </w:tcMar>
            <w:vAlign w:val="center"/>
            <w:hideMark/>
          </w:tcPr>
          <w:p w:rsidR="00711B14" w:rsidRPr="00711B14" w:rsidRDefault="00711B14" w:rsidP="00111912">
            <w:pPr>
              <w:spacing w:before="0" w:line="240" w:lineRule="auto"/>
              <w:jc w:val="center"/>
              <w:rPr>
                <w:rFonts w:ascii="Arial" w:hAnsi="Arial" w:cs="Arial"/>
                <w:b/>
                <w:bCs/>
                <w:color w:val="FFFFFF" w:themeColor="background1"/>
                <w:sz w:val="20"/>
                <w:szCs w:val="20"/>
              </w:rPr>
            </w:pPr>
            <w:r w:rsidRPr="00711B14">
              <w:rPr>
                <w:rFonts w:ascii="Arial" w:hAnsi="Arial" w:cs="Arial"/>
                <w:b/>
                <w:bCs/>
                <w:color w:val="FFFFFF" w:themeColor="background1"/>
                <w:sz w:val="20"/>
                <w:szCs w:val="20"/>
              </w:rPr>
              <w:t>ESF</w:t>
            </w:r>
          </w:p>
        </w:tc>
        <w:tc>
          <w:tcPr>
            <w:tcW w:w="725" w:type="dxa"/>
            <w:shd w:val="clear" w:color="auto" w:fill="A6A6A6" w:themeFill="background1" w:themeFillShade="A6"/>
            <w:tcMar>
              <w:top w:w="0" w:type="dxa"/>
              <w:left w:w="108" w:type="dxa"/>
              <w:bottom w:w="0" w:type="dxa"/>
              <w:right w:w="108" w:type="dxa"/>
            </w:tcMar>
            <w:vAlign w:val="center"/>
            <w:hideMark/>
          </w:tcPr>
          <w:p w:rsidR="00711B14" w:rsidRPr="00711B14" w:rsidRDefault="00711B14" w:rsidP="00111912">
            <w:pPr>
              <w:spacing w:before="0" w:line="240" w:lineRule="auto"/>
              <w:jc w:val="center"/>
              <w:rPr>
                <w:rFonts w:ascii="Arial" w:hAnsi="Arial" w:cs="Arial"/>
                <w:b/>
                <w:bCs/>
                <w:color w:val="FFFFFF" w:themeColor="background1"/>
                <w:sz w:val="20"/>
                <w:szCs w:val="20"/>
              </w:rPr>
            </w:pPr>
            <w:r w:rsidRPr="00711B14">
              <w:rPr>
                <w:rFonts w:ascii="Arial" w:hAnsi="Arial" w:cs="Arial"/>
                <w:b/>
                <w:bCs/>
                <w:color w:val="FFFFFF" w:themeColor="background1"/>
                <w:sz w:val="20"/>
                <w:szCs w:val="20"/>
              </w:rPr>
              <w:t>CF</w:t>
            </w:r>
          </w:p>
        </w:tc>
        <w:tc>
          <w:tcPr>
            <w:tcW w:w="1101" w:type="dxa"/>
            <w:shd w:val="clear" w:color="auto" w:fill="A6A6A6" w:themeFill="background1" w:themeFillShade="A6"/>
            <w:tcMar>
              <w:top w:w="0" w:type="dxa"/>
              <w:left w:w="108" w:type="dxa"/>
              <w:bottom w:w="0" w:type="dxa"/>
              <w:right w:w="108" w:type="dxa"/>
            </w:tcMar>
            <w:vAlign w:val="center"/>
            <w:hideMark/>
          </w:tcPr>
          <w:p w:rsidR="00711B14" w:rsidRPr="00711B14" w:rsidRDefault="00711B14" w:rsidP="00111912">
            <w:pPr>
              <w:spacing w:before="0" w:line="240" w:lineRule="auto"/>
              <w:jc w:val="center"/>
              <w:rPr>
                <w:rFonts w:ascii="Arial" w:hAnsi="Arial" w:cs="Arial"/>
                <w:b/>
                <w:bCs/>
                <w:color w:val="FFFFFF" w:themeColor="background1"/>
                <w:sz w:val="20"/>
                <w:szCs w:val="20"/>
              </w:rPr>
            </w:pPr>
            <w:r w:rsidRPr="00711B14">
              <w:rPr>
                <w:rFonts w:ascii="Arial" w:hAnsi="Arial" w:cs="Arial"/>
                <w:b/>
                <w:bCs/>
                <w:color w:val="FFFFFF" w:themeColor="background1"/>
                <w:sz w:val="20"/>
                <w:szCs w:val="20"/>
              </w:rPr>
              <w:t>multi-fondový</w:t>
            </w:r>
          </w:p>
        </w:tc>
        <w:tc>
          <w:tcPr>
            <w:tcW w:w="790" w:type="dxa"/>
            <w:shd w:val="clear" w:color="auto" w:fill="A6A6A6" w:themeFill="background1" w:themeFillShade="A6"/>
            <w:tcMar>
              <w:top w:w="0" w:type="dxa"/>
              <w:left w:w="108" w:type="dxa"/>
              <w:bottom w:w="0" w:type="dxa"/>
              <w:right w:w="108" w:type="dxa"/>
            </w:tcMar>
            <w:vAlign w:val="center"/>
            <w:hideMark/>
          </w:tcPr>
          <w:p w:rsidR="00711B14" w:rsidRPr="00711B14" w:rsidRDefault="00711B14" w:rsidP="00111912">
            <w:pPr>
              <w:spacing w:before="0" w:line="240" w:lineRule="auto"/>
              <w:jc w:val="center"/>
              <w:rPr>
                <w:rFonts w:ascii="Arial" w:hAnsi="Arial" w:cs="Arial"/>
                <w:b/>
                <w:bCs/>
                <w:color w:val="FFFFFF" w:themeColor="background1"/>
                <w:sz w:val="20"/>
                <w:szCs w:val="20"/>
              </w:rPr>
            </w:pPr>
            <w:r w:rsidRPr="00711B14">
              <w:rPr>
                <w:rFonts w:ascii="Arial" w:hAnsi="Arial" w:cs="Arial"/>
                <w:b/>
                <w:bCs/>
                <w:color w:val="FFFFFF" w:themeColor="background1"/>
                <w:sz w:val="20"/>
                <w:szCs w:val="20"/>
              </w:rPr>
              <w:t>ERDF</w:t>
            </w:r>
          </w:p>
        </w:tc>
        <w:tc>
          <w:tcPr>
            <w:tcW w:w="771" w:type="dxa"/>
            <w:shd w:val="clear" w:color="auto" w:fill="A6A6A6" w:themeFill="background1" w:themeFillShade="A6"/>
            <w:tcMar>
              <w:top w:w="0" w:type="dxa"/>
              <w:left w:w="108" w:type="dxa"/>
              <w:bottom w:w="0" w:type="dxa"/>
              <w:right w:w="108" w:type="dxa"/>
            </w:tcMar>
            <w:vAlign w:val="center"/>
            <w:hideMark/>
          </w:tcPr>
          <w:p w:rsidR="00711B14" w:rsidRPr="00711B14" w:rsidRDefault="00711B14" w:rsidP="00111912">
            <w:pPr>
              <w:spacing w:before="0" w:line="240" w:lineRule="auto"/>
              <w:jc w:val="center"/>
              <w:rPr>
                <w:rFonts w:ascii="Arial" w:hAnsi="Arial" w:cs="Arial"/>
                <w:b/>
                <w:bCs/>
                <w:color w:val="FFFFFF" w:themeColor="background1"/>
                <w:sz w:val="20"/>
                <w:szCs w:val="20"/>
              </w:rPr>
            </w:pPr>
            <w:r w:rsidRPr="00711B14">
              <w:rPr>
                <w:rFonts w:ascii="Arial" w:hAnsi="Arial" w:cs="Arial"/>
                <w:b/>
                <w:bCs/>
                <w:color w:val="FFFFFF" w:themeColor="background1"/>
                <w:sz w:val="20"/>
                <w:szCs w:val="20"/>
              </w:rPr>
              <w:t>ESF</w:t>
            </w:r>
          </w:p>
        </w:tc>
        <w:tc>
          <w:tcPr>
            <w:tcW w:w="716" w:type="dxa"/>
            <w:shd w:val="clear" w:color="auto" w:fill="A6A6A6" w:themeFill="background1" w:themeFillShade="A6"/>
            <w:tcMar>
              <w:top w:w="0" w:type="dxa"/>
              <w:left w:w="108" w:type="dxa"/>
              <w:bottom w:w="0" w:type="dxa"/>
              <w:right w:w="108" w:type="dxa"/>
            </w:tcMar>
            <w:vAlign w:val="center"/>
            <w:hideMark/>
          </w:tcPr>
          <w:p w:rsidR="00711B14" w:rsidRPr="00711B14" w:rsidRDefault="00711B14" w:rsidP="00111912">
            <w:pPr>
              <w:spacing w:before="0" w:line="240" w:lineRule="auto"/>
              <w:jc w:val="center"/>
              <w:rPr>
                <w:rFonts w:ascii="Arial" w:hAnsi="Arial" w:cs="Arial"/>
                <w:b/>
                <w:bCs/>
                <w:color w:val="FFFFFF" w:themeColor="background1"/>
                <w:sz w:val="20"/>
                <w:szCs w:val="20"/>
              </w:rPr>
            </w:pPr>
            <w:r w:rsidRPr="00711B14">
              <w:rPr>
                <w:rFonts w:ascii="Arial" w:hAnsi="Arial" w:cs="Arial"/>
                <w:b/>
                <w:bCs/>
                <w:color w:val="FFFFFF" w:themeColor="background1"/>
                <w:sz w:val="20"/>
                <w:szCs w:val="20"/>
              </w:rPr>
              <w:t>CF</w:t>
            </w:r>
          </w:p>
        </w:tc>
        <w:tc>
          <w:tcPr>
            <w:tcW w:w="1100" w:type="dxa"/>
            <w:shd w:val="clear" w:color="auto" w:fill="A6A6A6" w:themeFill="background1" w:themeFillShade="A6"/>
            <w:tcMar>
              <w:top w:w="0" w:type="dxa"/>
              <w:left w:w="108" w:type="dxa"/>
              <w:bottom w:w="0" w:type="dxa"/>
              <w:right w:w="108" w:type="dxa"/>
            </w:tcMar>
            <w:vAlign w:val="center"/>
            <w:hideMark/>
          </w:tcPr>
          <w:p w:rsidR="00711B14" w:rsidRPr="00711B14" w:rsidRDefault="00711B14" w:rsidP="00111912">
            <w:pPr>
              <w:spacing w:before="0" w:line="240" w:lineRule="auto"/>
              <w:jc w:val="center"/>
              <w:rPr>
                <w:rFonts w:ascii="Arial" w:hAnsi="Arial" w:cs="Arial"/>
                <w:b/>
                <w:bCs/>
                <w:color w:val="FFFFFF" w:themeColor="background1"/>
                <w:sz w:val="20"/>
                <w:szCs w:val="20"/>
              </w:rPr>
            </w:pPr>
            <w:r w:rsidRPr="00711B14">
              <w:rPr>
                <w:rFonts w:ascii="Arial" w:hAnsi="Arial" w:cs="Arial"/>
                <w:b/>
                <w:bCs/>
                <w:color w:val="FFFFFF" w:themeColor="background1"/>
                <w:sz w:val="20"/>
                <w:szCs w:val="20"/>
              </w:rPr>
              <w:t>multi-fondový</w:t>
            </w:r>
          </w:p>
        </w:tc>
      </w:tr>
      <w:tr w:rsidR="00B22CAB" w:rsidRPr="00711B14" w:rsidTr="00305EF5">
        <w:trPr>
          <w:trHeight w:val="397"/>
          <w:jc w:val="center"/>
        </w:trPr>
        <w:tc>
          <w:tcPr>
            <w:tcW w:w="1331" w:type="dxa"/>
            <w:shd w:val="clear" w:color="auto" w:fill="auto"/>
            <w:vAlign w:val="center"/>
          </w:tcPr>
          <w:p w:rsidR="00711B14" w:rsidRPr="00711B14" w:rsidRDefault="00711B14" w:rsidP="00D06609">
            <w:pPr>
              <w:spacing w:before="0" w:line="240" w:lineRule="auto"/>
              <w:jc w:val="center"/>
              <w:rPr>
                <w:rFonts w:ascii="Arial" w:hAnsi="Arial" w:cs="Arial"/>
                <w:b/>
                <w:sz w:val="20"/>
                <w:szCs w:val="20"/>
              </w:rPr>
            </w:pPr>
            <w:r w:rsidRPr="00711B14">
              <w:rPr>
                <w:rFonts w:ascii="Arial" w:hAnsi="Arial" w:cs="Arial"/>
                <w:b/>
                <w:sz w:val="20"/>
                <w:szCs w:val="20"/>
              </w:rPr>
              <w:t>DE</w:t>
            </w:r>
            <w:r w:rsidRPr="00711B14">
              <w:rPr>
                <w:rStyle w:val="Znakapoznpodarou"/>
                <w:rFonts w:ascii="Arial" w:hAnsi="Arial" w:cs="Arial"/>
                <w:b/>
                <w:sz w:val="20"/>
                <w:szCs w:val="20"/>
              </w:rPr>
              <w:footnoteReference w:id="8"/>
            </w:r>
          </w:p>
        </w:tc>
        <w:tc>
          <w:tcPr>
            <w:tcW w:w="1814" w:type="dxa"/>
            <w:shd w:val="clear" w:color="auto" w:fill="auto"/>
            <w:tcMar>
              <w:top w:w="0" w:type="dxa"/>
              <w:left w:w="108" w:type="dxa"/>
              <w:bottom w:w="0" w:type="dxa"/>
              <w:right w:w="108" w:type="dxa"/>
            </w:tcMar>
            <w:vAlign w:val="center"/>
          </w:tcPr>
          <w:p w:rsidR="00711B14" w:rsidRPr="00711B14" w:rsidRDefault="00711B14" w:rsidP="00111912">
            <w:pPr>
              <w:spacing w:before="0" w:line="240" w:lineRule="auto"/>
              <w:jc w:val="center"/>
              <w:rPr>
                <w:rFonts w:ascii="Arial" w:hAnsi="Arial" w:cs="Arial"/>
                <w:b/>
                <w:sz w:val="20"/>
                <w:szCs w:val="20"/>
              </w:rPr>
            </w:pPr>
            <w:r w:rsidRPr="00711B14">
              <w:rPr>
                <w:rFonts w:ascii="Arial" w:hAnsi="Arial" w:cs="Arial"/>
                <w:b/>
                <w:sz w:val="20"/>
                <w:szCs w:val="20"/>
              </w:rPr>
              <w:t>32</w:t>
            </w:r>
          </w:p>
        </w:tc>
        <w:tc>
          <w:tcPr>
            <w:tcW w:w="761" w:type="dxa"/>
            <w:shd w:val="clear" w:color="auto" w:fill="auto"/>
            <w:tcMar>
              <w:top w:w="0" w:type="dxa"/>
              <w:left w:w="108" w:type="dxa"/>
              <w:bottom w:w="0" w:type="dxa"/>
              <w:right w:w="108" w:type="dxa"/>
            </w:tcMar>
            <w:vAlign w:val="center"/>
          </w:tcPr>
          <w:p w:rsidR="00711B14" w:rsidRPr="00711B14" w:rsidRDefault="00711B14" w:rsidP="00111912">
            <w:pPr>
              <w:spacing w:before="0" w:line="240" w:lineRule="auto"/>
              <w:jc w:val="center"/>
              <w:rPr>
                <w:rFonts w:ascii="Arial" w:hAnsi="Arial" w:cs="Arial"/>
                <w:b/>
                <w:sz w:val="20"/>
                <w:szCs w:val="20"/>
              </w:rPr>
            </w:pPr>
            <w:r w:rsidRPr="00711B14">
              <w:rPr>
                <w:rFonts w:ascii="Arial" w:hAnsi="Arial" w:cs="Arial"/>
                <w:b/>
                <w:sz w:val="20"/>
                <w:szCs w:val="20"/>
              </w:rPr>
              <w:t>15</w:t>
            </w:r>
          </w:p>
        </w:tc>
        <w:tc>
          <w:tcPr>
            <w:tcW w:w="807" w:type="dxa"/>
            <w:shd w:val="clear" w:color="auto" w:fill="auto"/>
            <w:tcMar>
              <w:top w:w="0" w:type="dxa"/>
              <w:left w:w="108" w:type="dxa"/>
              <w:bottom w:w="0" w:type="dxa"/>
              <w:right w:w="108" w:type="dxa"/>
            </w:tcMar>
            <w:vAlign w:val="center"/>
          </w:tcPr>
          <w:p w:rsidR="00711B14" w:rsidRPr="00711B14" w:rsidRDefault="00711B14" w:rsidP="00111912">
            <w:pPr>
              <w:spacing w:before="0" w:line="240" w:lineRule="auto"/>
              <w:jc w:val="center"/>
              <w:rPr>
                <w:rFonts w:ascii="Arial" w:hAnsi="Arial" w:cs="Arial"/>
                <w:b/>
                <w:sz w:val="20"/>
                <w:szCs w:val="20"/>
              </w:rPr>
            </w:pPr>
            <w:r w:rsidRPr="00711B14">
              <w:rPr>
                <w:rFonts w:ascii="Arial" w:hAnsi="Arial" w:cs="Arial"/>
                <w:b/>
                <w:sz w:val="20"/>
                <w:szCs w:val="20"/>
              </w:rPr>
              <w:t>16</w:t>
            </w:r>
          </w:p>
        </w:tc>
        <w:tc>
          <w:tcPr>
            <w:tcW w:w="753" w:type="dxa"/>
            <w:shd w:val="clear" w:color="auto" w:fill="auto"/>
            <w:tcMar>
              <w:top w:w="0" w:type="dxa"/>
              <w:left w:w="108" w:type="dxa"/>
              <w:bottom w:w="0" w:type="dxa"/>
              <w:right w:w="108" w:type="dxa"/>
            </w:tcMar>
            <w:vAlign w:val="center"/>
          </w:tcPr>
          <w:p w:rsidR="00711B14" w:rsidRPr="00711B14" w:rsidRDefault="00711B14" w:rsidP="00111912">
            <w:pPr>
              <w:spacing w:before="0" w:line="240" w:lineRule="auto"/>
              <w:jc w:val="center"/>
              <w:rPr>
                <w:rFonts w:ascii="Arial" w:hAnsi="Arial" w:cs="Arial"/>
                <w:b/>
                <w:sz w:val="20"/>
                <w:szCs w:val="20"/>
              </w:rPr>
            </w:pPr>
            <w:r w:rsidRPr="00711B14">
              <w:rPr>
                <w:rFonts w:ascii="Arial" w:hAnsi="Arial" w:cs="Arial"/>
                <w:b/>
                <w:sz w:val="20"/>
                <w:szCs w:val="20"/>
              </w:rPr>
              <w:t>-</w:t>
            </w:r>
          </w:p>
        </w:tc>
        <w:tc>
          <w:tcPr>
            <w:tcW w:w="1100" w:type="dxa"/>
            <w:shd w:val="clear" w:color="auto" w:fill="auto"/>
            <w:tcMar>
              <w:top w:w="0" w:type="dxa"/>
              <w:left w:w="108" w:type="dxa"/>
              <w:bottom w:w="0" w:type="dxa"/>
              <w:right w:w="108" w:type="dxa"/>
            </w:tcMar>
            <w:vAlign w:val="center"/>
          </w:tcPr>
          <w:p w:rsidR="00711B14" w:rsidRPr="00711B14" w:rsidRDefault="00711B14" w:rsidP="00111912">
            <w:pPr>
              <w:spacing w:before="0" w:line="240" w:lineRule="auto"/>
              <w:jc w:val="center"/>
              <w:rPr>
                <w:rFonts w:ascii="Arial" w:hAnsi="Arial" w:cs="Arial"/>
                <w:b/>
                <w:sz w:val="20"/>
                <w:szCs w:val="20"/>
              </w:rPr>
            </w:pPr>
            <w:r w:rsidRPr="00711B14">
              <w:rPr>
                <w:rFonts w:ascii="Arial" w:hAnsi="Arial" w:cs="Arial"/>
                <w:b/>
                <w:sz w:val="20"/>
                <w:szCs w:val="20"/>
              </w:rPr>
              <w:t>0</w:t>
            </w:r>
          </w:p>
        </w:tc>
        <w:tc>
          <w:tcPr>
            <w:tcW w:w="799" w:type="dxa"/>
            <w:shd w:val="clear" w:color="auto" w:fill="auto"/>
            <w:tcMar>
              <w:top w:w="0" w:type="dxa"/>
              <w:left w:w="108" w:type="dxa"/>
              <w:bottom w:w="0" w:type="dxa"/>
              <w:right w:w="108" w:type="dxa"/>
            </w:tcMar>
            <w:vAlign w:val="center"/>
          </w:tcPr>
          <w:p w:rsidR="00711B14" w:rsidRPr="00711B14" w:rsidRDefault="00711B14" w:rsidP="00111912">
            <w:pPr>
              <w:spacing w:before="0" w:line="240" w:lineRule="auto"/>
              <w:jc w:val="center"/>
              <w:rPr>
                <w:rFonts w:ascii="Arial" w:hAnsi="Arial" w:cs="Arial"/>
                <w:b/>
                <w:sz w:val="20"/>
                <w:szCs w:val="20"/>
              </w:rPr>
            </w:pPr>
            <w:r w:rsidRPr="00711B14">
              <w:rPr>
                <w:rFonts w:ascii="Arial" w:hAnsi="Arial" w:cs="Arial"/>
                <w:b/>
                <w:sz w:val="20"/>
                <w:szCs w:val="20"/>
              </w:rPr>
              <w:t>-</w:t>
            </w:r>
          </w:p>
        </w:tc>
        <w:tc>
          <w:tcPr>
            <w:tcW w:w="754" w:type="dxa"/>
            <w:shd w:val="clear" w:color="auto" w:fill="auto"/>
            <w:tcMar>
              <w:top w:w="0" w:type="dxa"/>
              <w:left w:w="108" w:type="dxa"/>
              <w:bottom w:w="0" w:type="dxa"/>
              <w:right w:w="108" w:type="dxa"/>
            </w:tcMar>
            <w:vAlign w:val="center"/>
          </w:tcPr>
          <w:p w:rsidR="00711B14" w:rsidRPr="00711B14" w:rsidRDefault="00711B14" w:rsidP="00111912">
            <w:pPr>
              <w:spacing w:before="0" w:line="240" w:lineRule="auto"/>
              <w:jc w:val="center"/>
              <w:rPr>
                <w:rFonts w:ascii="Arial" w:hAnsi="Arial" w:cs="Arial"/>
                <w:b/>
                <w:sz w:val="20"/>
                <w:szCs w:val="20"/>
              </w:rPr>
            </w:pPr>
            <w:r w:rsidRPr="00711B14">
              <w:rPr>
                <w:rFonts w:ascii="Arial" w:hAnsi="Arial" w:cs="Arial"/>
                <w:b/>
                <w:sz w:val="20"/>
                <w:szCs w:val="20"/>
              </w:rPr>
              <w:t>-</w:t>
            </w:r>
          </w:p>
        </w:tc>
        <w:tc>
          <w:tcPr>
            <w:tcW w:w="725" w:type="dxa"/>
            <w:shd w:val="clear" w:color="auto" w:fill="auto"/>
            <w:tcMar>
              <w:top w:w="0" w:type="dxa"/>
              <w:left w:w="108" w:type="dxa"/>
              <w:bottom w:w="0" w:type="dxa"/>
              <w:right w:w="108" w:type="dxa"/>
            </w:tcMar>
            <w:vAlign w:val="center"/>
          </w:tcPr>
          <w:p w:rsidR="00711B14" w:rsidRPr="00711B14" w:rsidRDefault="00711B14" w:rsidP="00111912">
            <w:pPr>
              <w:spacing w:before="0" w:line="240" w:lineRule="auto"/>
              <w:jc w:val="center"/>
              <w:rPr>
                <w:rFonts w:ascii="Arial" w:hAnsi="Arial" w:cs="Arial"/>
                <w:b/>
                <w:sz w:val="20"/>
                <w:szCs w:val="20"/>
              </w:rPr>
            </w:pPr>
            <w:r w:rsidRPr="00711B14">
              <w:rPr>
                <w:rFonts w:ascii="Arial" w:hAnsi="Arial" w:cs="Arial"/>
                <w:b/>
                <w:sz w:val="20"/>
                <w:szCs w:val="20"/>
              </w:rPr>
              <w:t>-</w:t>
            </w:r>
          </w:p>
        </w:tc>
        <w:tc>
          <w:tcPr>
            <w:tcW w:w="1101" w:type="dxa"/>
            <w:shd w:val="clear" w:color="auto" w:fill="auto"/>
            <w:tcMar>
              <w:top w:w="0" w:type="dxa"/>
              <w:left w:w="108" w:type="dxa"/>
              <w:bottom w:w="0" w:type="dxa"/>
              <w:right w:w="108" w:type="dxa"/>
            </w:tcMar>
            <w:vAlign w:val="center"/>
          </w:tcPr>
          <w:p w:rsidR="00711B14" w:rsidRPr="00711B14" w:rsidRDefault="00711B14" w:rsidP="00111912">
            <w:pPr>
              <w:spacing w:before="0" w:line="240" w:lineRule="auto"/>
              <w:jc w:val="center"/>
              <w:rPr>
                <w:rFonts w:ascii="Arial" w:hAnsi="Arial" w:cs="Arial"/>
                <w:b/>
                <w:sz w:val="20"/>
                <w:szCs w:val="20"/>
              </w:rPr>
            </w:pPr>
            <w:r w:rsidRPr="00711B14">
              <w:rPr>
                <w:rFonts w:ascii="Arial" w:hAnsi="Arial" w:cs="Arial"/>
                <w:b/>
                <w:sz w:val="20"/>
                <w:szCs w:val="20"/>
              </w:rPr>
              <w:t>-</w:t>
            </w:r>
          </w:p>
        </w:tc>
        <w:tc>
          <w:tcPr>
            <w:tcW w:w="790" w:type="dxa"/>
            <w:shd w:val="clear" w:color="auto" w:fill="auto"/>
            <w:tcMar>
              <w:top w:w="0" w:type="dxa"/>
              <w:left w:w="108" w:type="dxa"/>
              <w:bottom w:w="0" w:type="dxa"/>
              <w:right w:w="108" w:type="dxa"/>
            </w:tcMar>
            <w:vAlign w:val="center"/>
          </w:tcPr>
          <w:p w:rsidR="00711B14" w:rsidRPr="00711B14" w:rsidRDefault="00711B14" w:rsidP="00111912">
            <w:pPr>
              <w:spacing w:before="0" w:line="240" w:lineRule="auto"/>
              <w:jc w:val="center"/>
              <w:rPr>
                <w:rFonts w:ascii="Arial" w:hAnsi="Arial" w:cs="Arial"/>
                <w:b/>
                <w:sz w:val="20"/>
                <w:szCs w:val="20"/>
              </w:rPr>
            </w:pPr>
            <w:r w:rsidRPr="00711B14">
              <w:rPr>
                <w:rFonts w:ascii="Arial" w:hAnsi="Arial" w:cs="Arial"/>
                <w:b/>
                <w:sz w:val="20"/>
                <w:szCs w:val="20"/>
              </w:rPr>
              <w:t>-</w:t>
            </w:r>
          </w:p>
        </w:tc>
        <w:tc>
          <w:tcPr>
            <w:tcW w:w="771" w:type="dxa"/>
            <w:shd w:val="clear" w:color="auto" w:fill="auto"/>
            <w:tcMar>
              <w:top w:w="0" w:type="dxa"/>
              <w:left w:w="108" w:type="dxa"/>
              <w:bottom w:w="0" w:type="dxa"/>
              <w:right w:w="108" w:type="dxa"/>
            </w:tcMar>
            <w:vAlign w:val="center"/>
          </w:tcPr>
          <w:p w:rsidR="00711B14" w:rsidRPr="00711B14" w:rsidRDefault="00711B14" w:rsidP="00111912">
            <w:pPr>
              <w:spacing w:before="0" w:line="240" w:lineRule="auto"/>
              <w:jc w:val="center"/>
              <w:rPr>
                <w:rFonts w:ascii="Arial" w:hAnsi="Arial" w:cs="Arial"/>
                <w:b/>
                <w:sz w:val="20"/>
                <w:szCs w:val="20"/>
              </w:rPr>
            </w:pPr>
            <w:r w:rsidRPr="00711B14">
              <w:rPr>
                <w:rFonts w:ascii="Arial" w:hAnsi="Arial" w:cs="Arial"/>
                <w:b/>
                <w:sz w:val="20"/>
                <w:szCs w:val="20"/>
              </w:rPr>
              <w:t>-</w:t>
            </w:r>
          </w:p>
        </w:tc>
        <w:tc>
          <w:tcPr>
            <w:tcW w:w="716" w:type="dxa"/>
            <w:shd w:val="clear" w:color="auto" w:fill="auto"/>
            <w:tcMar>
              <w:top w:w="0" w:type="dxa"/>
              <w:left w:w="108" w:type="dxa"/>
              <w:bottom w:w="0" w:type="dxa"/>
              <w:right w:w="108" w:type="dxa"/>
            </w:tcMar>
            <w:vAlign w:val="center"/>
          </w:tcPr>
          <w:p w:rsidR="00711B14" w:rsidRPr="00711B14" w:rsidRDefault="00711B14" w:rsidP="00111912">
            <w:pPr>
              <w:spacing w:before="0" w:line="240" w:lineRule="auto"/>
              <w:jc w:val="center"/>
              <w:rPr>
                <w:rFonts w:ascii="Arial" w:hAnsi="Arial" w:cs="Arial"/>
                <w:b/>
                <w:sz w:val="20"/>
                <w:szCs w:val="20"/>
              </w:rPr>
            </w:pPr>
            <w:r w:rsidRPr="00711B14">
              <w:rPr>
                <w:rFonts w:ascii="Arial" w:hAnsi="Arial" w:cs="Arial"/>
                <w:b/>
                <w:sz w:val="20"/>
                <w:szCs w:val="20"/>
              </w:rPr>
              <w:t>-</w:t>
            </w:r>
          </w:p>
        </w:tc>
        <w:tc>
          <w:tcPr>
            <w:tcW w:w="1100" w:type="dxa"/>
            <w:shd w:val="clear" w:color="auto" w:fill="auto"/>
            <w:tcMar>
              <w:top w:w="0" w:type="dxa"/>
              <w:left w:w="108" w:type="dxa"/>
              <w:bottom w:w="0" w:type="dxa"/>
              <w:right w:w="108" w:type="dxa"/>
            </w:tcMar>
            <w:vAlign w:val="center"/>
          </w:tcPr>
          <w:p w:rsidR="00711B14" w:rsidRPr="00711B14" w:rsidRDefault="00711B14" w:rsidP="00111912">
            <w:pPr>
              <w:spacing w:before="0" w:line="240" w:lineRule="auto"/>
              <w:jc w:val="center"/>
              <w:rPr>
                <w:rFonts w:ascii="Arial" w:hAnsi="Arial" w:cs="Arial"/>
                <w:b/>
                <w:sz w:val="20"/>
                <w:szCs w:val="20"/>
              </w:rPr>
            </w:pPr>
            <w:r w:rsidRPr="00711B14">
              <w:rPr>
                <w:rFonts w:ascii="Arial" w:hAnsi="Arial" w:cs="Arial"/>
                <w:b/>
                <w:sz w:val="20"/>
                <w:szCs w:val="20"/>
              </w:rPr>
              <w:t>-</w:t>
            </w:r>
          </w:p>
        </w:tc>
      </w:tr>
      <w:tr w:rsidR="00B22CAB" w:rsidRPr="00711B14" w:rsidTr="00305EF5">
        <w:trPr>
          <w:trHeight w:val="397"/>
          <w:jc w:val="center"/>
        </w:trPr>
        <w:tc>
          <w:tcPr>
            <w:tcW w:w="1331" w:type="dxa"/>
            <w:shd w:val="clear" w:color="auto" w:fill="D9D9D9" w:themeFill="background1" w:themeFillShade="D9"/>
            <w:vAlign w:val="center"/>
          </w:tcPr>
          <w:p w:rsidR="00711B14" w:rsidRPr="00711B14" w:rsidRDefault="00711B14" w:rsidP="00D06609">
            <w:pPr>
              <w:spacing w:before="0" w:line="240" w:lineRule="auto"/>
              <w:jc w:val="center"/>
              <w:rPr>
                <w:rFonts w:ascii="Arial" w:hAnsi="Arial" w:cs="Arial"/>
                <w:b/>
                <w:sz w:val="20"/>
                <w:szCs w:val="20"/>
              </w:rPr>
            </w:pPr>
            <w:r w:rsidRPr="00711B14">
              <w:rPr>
                <w:rFonts w:ascii="Arial" w:hAnsi="Arial" w:cs="Arial"/>
                <w:b/>
                <w:sz w:val="20"/>
                <w:szCs w:val="20"/>
              </w:rPr>
              <w:t>HU</w:t>
            </w:r>
          </w:p>
        </w:tc>
        <w:tc>
          <w:tcPr>
            <w:tcW w:w="1814" w:type="dxa"/>
            <w:shd w:val="clear" w:color="auto" w:fill="D9D9D9" w:themeFill="background1" w:themeFillShade="D9"/>
            <w:tcMar>
              <w:top w:w="0" w:type="dxa"/>
              <w:left w:w="108" w:type="dxa"/>
              <w:bottom w:w="0" w:type="dxa"/>
              <w:right w:w="108" w:type="dxa"/>
            </w:tcMar>
            <w:vAlign w:val="center"/>
          </w:tcPr>
          <w:p w:rsidR="00711B14" w:rsidRPr="00711B14" w:rsidRDefault="00711B14" w:rsidP="00111912">
            <w:pPr>
              <w:spacing w:before="0" w:line="240" w:lineRule="auto"/>
              <w:jc w:val="center"/>
              <w:rPr>
                <w:rFonts w:ascii="Arial" w:hAnsi="Arial" w:cs="Arial"/>
                <w:b/>
                <w:sz w:val="20"/>
                <w:szCs w:val="20"/>
              </w:rPr>
            </w:pPr>
            <w:r w:rsidRPr="00711B14">
              <w:rPr>
                <w:rFonts w:ascii="Arial" w:hAnsi="Arial" w:cs="Arial"/>
                <w:b/>
                <w:sz w:val="20"/>
                <w:szCs w:val="20"/>
              </w:rPr>
              <w:t>8</w:t>
            </w:r>
          </w:p>
        </w:tc>
        <w:tc>
          <w:tcPr>
            <w:tcW w:w="761" w:type="dxa"/>
            <w:shd w:val="clear" w:color="auto" w:fill="D9D9D9" w:themeFill="background1" w:themeFillShade="D9"/>
            <w:tcMar>
              <w:top w:w="0" w:type="dxa"/>
              <w:left w:w="108" w:type="dxa"/>
              <w:bottom w:w="0" w:type="dxa"/>
              <w:right w:w="108" w:type="dxa"/>
            </w:tcMar>
            <w:vAlign w:val="center"/>
          </w:tcPr>
          <w:p w:rsidR="00711B14" w:rsidRPr="00711B14" w:rsidRDefault="00711B14" w:rsidP="00111912">
            <w:pPr>
              <w:spacing w:before="0" w:line="240" w:lineRule="auto"/>
              <w:jc w:val="center"/>
              <w:rPr>
                <w:rFonts w:ascii="Arial" w:hAnsi="Arial" w:cs="Arial"/>
                <w:b/>
                <w:sz w:val="20"/>
                <w:szCs w:val="20"/>
              </w:rPr>
            </w:pPr>
            <w:r w:rsidRPr="00711B14">
              <w:rPr>
                <w:rFonts w:ascii="Arial" w:hAnsi="Arial" w:cs="Arial"/>
                <w:b/>
                <w:sz w:val="20"/>
                <w:szCs w:val="20"/>
              </w:rPr>
              <w:t>-</w:t>
            </w:r>
          </w:p>
        </w:tc>
        <w:tc>
          <w:tcPr>
            <w:tcW w:w="807" w:type="dxa"/>
            <w:shd w:val="clear" w:color="auto" w:fill="D9D9D9" w:themeFill="background1" w:themeFillShade="D9"/>
            <w:tcMar>
              <w:top w:w="0" w:type="dxa"/>
              <w:left w:w="108" w:type="dxa"/>
              <w:bottom w:w="0" w:type="dxa"/>
              <w:right w:w="108" w:type="dxa"/>
            </w:tcMar>
            <w:vAlign w:val="center"/>
          </w:tcPr>
          <w:p w:rsidR="00711B14" w:rsidRPr="00711B14" w:rsidRDefault="00711B14" w:rsidP="00111912">
            <w:pPr>
              <w:spacing w:before="0" w:line="240" w:lineRule="auto"/>
              <w:jc w:val="center"/>
              <w:rPr>
                <w:rFonts w:ascii="Arial" w:hAnsi="Arial" w:cs="Arial"/>
                <w:b/>
                <w:sz w:val="20"/>
                <w:szCs w:val="20"/>
              </w:rPr>
            </w:pPr>
            <w:r w:rsidRPr="00711B14">
              <w:rPr>
                <w:rFonts w:ascii="Arial" w:hAnsi="Arial" w:cs="Arial"/>
                <w:b/>
                <w:sz w:val="20"/>
                <w:szCs w:val="20"/>
              </w:rPr>
              <w:t>-</w:t>
            </w:r>
          </w:p>
        </w:tc>
        <w:tc>
          <w:tcPr>
            <w:tcW w:w="753" w:type="dxa"/>
            <w:shd w:val="clear" w:color="auto" w:fill="D9D9D9" w:themeFill="background1" w:themeFillShade="D9"/>
            <w:tcMar>
              <w:top w:w="0" w:type="dxa"/>
              <w:left w:w="108" w:type="dxa"/>
              <w:bottom w:w="0" w:type="dxa"/>
              <w:right w:w="108" w:type="dxa"/>
            </w:tcMar>
            <w:vAlign w:val="center"/>
          </w:tcPr>
          <w:p w:rsidR="00711B14" w:rsidRPr="00711B14" w:rsidRDefault="00711B14" w:rsidP="00111912">
            <w:pPr>
              <w:spacing w:before="0" w:line="240" w:lineRule="auto"/>
              <w:jc w:val="center"/>
              <w:rPr>
                <w:rFonts w:ascii="Arial" w:hAnsi="Arial" w:cs="Arial"/>
                <w:b/>
                <w:sz w:val="20"/>
                <w:szCs w:val="20"/>
              </w:rPr>
            </w:pPr>
            <w:r w:rsidRPr="00711B14">
              <w:rPr>
                <w:rFonts w:ascii="Arial" w:hAnsi="Arial" w:cs="Arial"/>
                <w:b/>
                <w:sz w:val="20"/>
                <w:szCs w:val="20"/>
              </w:rPr>
              <w:t>-</w:t>
            </w:r>
          </w:p>
        </w:tc>
        <w:tc>
          <w:tcPr>
            <w:tcW w:w="1100" w:type="dxa"/>
            <w:shd w:val="clear" w:color="auto" w:fill="D9D9D9" w:themeFill="background1" w:themeFillShade="D9"/>
            <w:tcMar>
              <w:top w:w="0" w:type="dxa"/>
              <w:left w:w="108" w:type="dxa"/>
              <w:bottom w:w="0" w:type="dxa"/>
              <w:right w:w="108" w:type="dxa"/>
            </w:tcMar>
            <w:vAlign w:val="center"/>
          </w:tcPr>
          <w:p w:rsidR="00711B14" w:rsidRPr="00711B14" w:rsidRDefault="00711B14" w:rsidP="00111912">
            <w:pPr>
              <w:spacing w:before="0" w:line="240" w:lineRule="auto"/>
              <w:jc w:val="center"/>
              <w:rPr>
                <w:rFonts w:ascii="Arial" w:hAnsi="Arial" w:cs="Arial"/>
                <w:b/>
                <w:sz w:val="20"/>
                <w:szCs w:val="20"/>
              </w:rPr>
            </w:pPr>
            <w:r w:rsidRPr="00711B14">
              <w:rPr>
                <w:rFonts w:ascii="Arial" w:hAnsi="Arial" w:cs="Arial"/>
                <w:b/>
                <w:sz w:val="20"/>
                <w:szCs w:val="20"/>
              </w:rPr>
              <w:t>-</w:t>
            </w:r>
          </w:p>
        </w:tc>
        <w:tc>
          <w:tcPr>
            <w:tcW w:w="799" w:type="dxa"/>
            <w:shd w:val="clear" w:color="auto" w:fill="D9D9D9" w:themeFill="background1" w:themeFillShade="D9"/>
            <w:tcMar>
              <w:top w:w="0" w:type="dxa"/>
              <w:left w:w="108" w:type="dxa"/>
              <w:bottom w:w="0" w:type="dxa"/>
              <w:right w:w="108" w:type="dxa"/>
            </w:tcMar>
            <w:vAlign w:val="center"/>
          </w:tcPr>
          <w:p w:rsidR="00711B14" w:rsidRPr="00711B14" w:rsidRDefault="00711B14" w:rsidP="00111912">
            <w:pPr>
              <w:spacing w:before="0" w:line="240" w:lineRule="auto"/>
              <w:jc w:val="center"/>
              <w:rPr>
                <w:rFonts w:ascii="Arial" w:hAnsi="Arial" w:cs="Arial"/>
                <w:b/>
                <w:sz w:val="20"/>
                <w:szCs w:val="20"/>
              </w:rPr>
            </w:pPr>
            <w:r w:rsidRPr="00711B14">
              <w:rPr>
                <w:rFonts w:ascii="Arial" w:hAnsi="Arial" w:cs="Arial"/>
                <w:b/>
                <w:sz w:val="20"/>
                <w:szCs w:val="20"/>
              </w:rPr>
              <w:t>-</w:t>
            </w:r>
          </w:p>
        </w:tc>
        <w:tc>
          <w:tcPr>
            <w:tcW w:w="754" w:type="dxa"/>
            <w:shd w:val="clear" w:color="auto" w:fill="D9D9D9" w:themeFill="background1" w:themeFillShade="D9"/>
            <w:tcMar>
              <w:top w:w="0" w:type="dxa"/>
              <w:left w:w="108" w:type="dxa"/>
              <w:bottom w:w="0" w:type="dxa"/>
              <w:right w:w="108" w:type="dxa"/>
            </w:tcMar>
            <w:vAlign w:val="center"/>
          </w:tcPr>
          <w:p w:rsidR="00711B14" w:rsidRPr="00711B14" w:rsidRDefault="00711B14" w:rsidP="00111912">
            <w:pPr>
              <w:spacing w:before="0" w:line="240" w:lineRule="auto"/>
              <w:jc w:val="center"/>
              <w:rPr>
                <w:rFonts w:ascii="Arial" w:hAnsi="Arial" w:cs="Arial"/>
                <w:b/>
                <w:sz w:val="20"/>
                <w:szCs w:val="20"/>
              </w:rPr>
            </w:pPr>
            <w:r w:rsidRPr="00711B14">
              <w:rPr>
                <w:rFonts w:ascii="Arial" w:hAnsi="Arial" w:cs="Arial"/>
                <w:b/>
                <w:sz w:val="20"/>
                <w:szCs w:val="20"/>
              </w:rPr>
              <w:t>-</w:t>
            </w:r>
          </w:p>
        </w:tc>
        <w:tc>
          <w:tcPr>
            <w:tcW w:w="725" w:type="dxa"/>
            <w:shd w:val="clear" w:color="auto" w:fill="D9D9D9" w:themeFill="background1" w:themeFillShade="D9"/>
            <w:tcMar>
              <w:top w:w="0" w:type="dxa"/>
              <w:left w:w="108" w:type="dxa"/>
              <w:bottom w:w="0" w:type="dxa"/>
              <w:right w:w="108" w:type="dxa"/>
            </w:tcMar>
            <w:vAlign w:val="center"/>
          </w:tcPr>
          <w:p w:rsidR="00711B14" w:rsidRPr="00711B14" w:rsidRDefault="00711B14" w:rsidP="00111912">
            <w:pPr>
              <w:spacing w:before="0" w:line="240" w:lineRule="auto"/>
              <w:jc w:val="center"/>
              <w:rPr>
                <w:rFonts w:ascii="Arial" w:hAnsi="Arial" w:cs="Arial"/>
                <w:b/>
                <w:sz w:val="20"/>
                <w:szCs w:val="20"/>
              </w:rPr>
            </w:pPr>
            <w:r w:rsidRPr="00711B14">
              <w:rPr>
                <w:rFonts w:ascii="Arial" w:hAnsi="Arial" w:cs="Arial"/>
                <w:b/>
                <w:sz w:val="20"/>
                <w:szCs w:val="20"/>
              </w:rPr>
              <w:t>-</w:t>
            </w:r>
          </w:p>
        </w:tc>
        <w:tc>
          <w:tcPr>
            <w:tcW w:w="1101" w:type="dxa"/>
            <w:shd w:val="clear" w:color="auto" w:fill="D9D9D9" w:themeFill="background1" w:themeFillShade="D9"/>
            <w:tcMar>
              <w:top w:w="0" w:type="dxa"/>
              <w:left w:w="108" w:type="dxa"/>
              <w:bottom w:w="0" w:type="dxa"/>
              <w:right w:w="108" w:type="dxa"/>
            </w:tcMar>
            <w:vAlign w:val="center"/>
          </w:tcPr>
          <w:p w:rsidR="00711B14" w:rsidRPr="00711B14" w:rsidRDefault="00711B14" w:rsidP="00111912">
            <w:pPr>
              <w:spacing w:before="0" w:line="240" w:lineRule="auto"/>
              <w:jc w:val="center"/>
              <w:rPr>
                <w:rFonts w:ascii="Arial" w:hAnsi="Arial" w:cs="Arial"/>
                <w:b/>
                <w:sz w:val="20"/>
                <w:szCs w:val="20"/>
              </w:rPr>
            </w:pPr>
            <w:r w:rsidRPr="00711B14">
              <w:rPr>
                <w:rFonts w:ascii="Arial" w:hAnsi="Arial" w:cs="Arial"/>
                <w:b/>
                <w:sz w:val="20"/>
                <w:szCs w:val="20"/>
              </w:rPr>
              <w:t>6</w:t>
            </w:r>
          </w:p>
        </w:tc>
        <w:tc>
          <w:tcPr>
            <w:tcW w:w="790" w:type="dxa"/>
            <w:shd w:val="clear" w:color="auto" w:fill="D9D9D9" w:themeFill="background1" w:themeFillShade="D9"/>
            <w:tcMar>
              <w:top w:w="0" w:type="dxa"/>
              <w:left w:w="108" w:type="dxa"/>
              <w:bottom w:w="0" w:type="dxa"/>
              <w:right w:w="108" w:type="dxa"/>
            </w:tcMar>
            <w:vAlign w:val="center"/>
          </w:tcPr>
          <w:p w:rsidR="00711B14" w:rsidRPr="00711B14" w:rsidRDefault="00711B14" w:rsidP="00111912">
            <w:pPr>
              <w:spacing w:before="0" w:line="240" w:lineRule="auto"/>
              <w:jc w:val="center"/>
              <w:rPr>
                <w:rFonts w:ascii="Arial" w:hAnsi="Arial" w:cs="Arial"/>
                <w:b/>
                <w:sz w:val="20"/>
                <w:szCs w:val="20"/>
              </w:rPr>
            </w:pPr>
            <w:r w:rsidRPr="00711B14">
              <w:rPr>
                <w:rFonts w:ascii="Arial" w:hAnsi="Arial" w:cs="Arial"/>
                <w:b/>
                <w:sz w:val="20"/>
                <w:szCs w:val="20"/>
              </w:rPr>
              <w:t>-</w:t>
            </w:r>
          </w:p>
        </w:tc>
        <w:tc>
          <w:tcPr>
            <w:tcW w:w="771" w:type="dxa"/>
            <w:shd w:val="clear" w:color="auto" w:fill="D9D9D9" w:themeFill="background1" w:themeFillShade="D9"/>
            <w:tcMar>
              <w:top w:w="0" w:type="dxa"/>
              <w:left w:w="108" w:type="dxa"/>
              <w:bottom w:w="0" w:type="dxa"/>
              <w:right w:w="108" w:type="dxa"/>
            </w:tcMar>
            <w:vAlign w:val="center"/>
          </w:tcPr>
          <w:p w:rsidR="00711B14" w:rsidRPr="00711B14" w:rsidRDefault="00711B14" w:rsidP="00111912">
            <w:pPr>
              <w:spacing w:before="0" w:line="240" w:lineRule="auto"/>
              <w:jc w:val="center"/>
              <w:rPr>
                <w:rFonts w:ascii="Arial" w:hAnsi="Arial" w:cs="Arial"/>
                <w:b/>
                <w:sz w:val="20"/>
                <w:szCs w:val="20"/>
              </w:rPr>
            </w:pPr>
            <w:r w:rsidRPr="00711B14">
              <w:rPr>
                <w:rFonts w:ascii="Arial" w:hAnsi="Arial" w:cs="Arial"/>
                <w:b/>
                <w:sz w:val="20"/>
                <w:szCs w:val="20"/>
              </w:rPr>
              <w:t>1</w:t>
            </w:r>
          </w:p>
        </w:tc>
        <w:tc>
          <w:tcPr>
            <w:tcW w:w="716" w:type="dxa"/>
            <w:shd w:val="clear" w:color="auto" w:fill="D9D9D9" w:themeFill="background1" w:themeFillShade="D9"/>
            <w:tcMar>
              <w:top w:w="0" w:type="dxa"/>
              <w:left w:w="108" w:type="dxa"/>
              <w:bottom w:w="0" w:type="dxa"/>
              <w:right w:w="108" w:type="dxa"/>
            </w:tcMar>
            <w:vAlign w:val="center"/>
          </w:tcPr>
          <w:p w:rsidR="00711B14" w:rsidRPr="00711B14" w:rsidRDefault="00711B14" w:rsidP="00111912">
            <w:pPr>
              <w:spacing w:before="0" w:line="240" w:lineRule="auto"/>
              <w:jc w:val="center"/>
              <w:rPr>
                <w:rFonts w:ascii="Arial" w:hAnsi="Arial" w:cs="Arial"/>
                <w:b/>
                <w:sz w:val="20"/>
                <w:szCs w:val="20"/>
              </w:rPr>
            </w:pPr>
            <w:r w:rsidRPr="00711B14">
              <w:rPr>
                <w:rFonts w:ascii="Arial" w:hAnsi="Arial" w:cs="Arial"/>
                <w:b/>
                <w:sz w:val="20"/>
                <w:szCs w:val="20"/>
              </w:rPr>
              <w:t>1</w:t>
            </w:r>
          </w:p>
        </w:tc>
        <w:tc>
          <w:tcPr>
            <w:tcW w:w="1100" w:type="dxa"/>
            <w:shd w:val="clear" w:color="auto" w:fill="D9D9D9" w:themeFill="background1" w:themeFillShade="D9"/>
            <w:tcMar>
              <w:top w:w="0" w:type="dxa"/>
              <w:left w:w="108" w:type="dxa"/>
              <w:bottom w:w="0" w:type="dxa"/>
              <w:right w:w="108" w:type="dxa"/>
            </w:tcMar>
            <w:vAlign w:val="center"/>
          </w:tcPr>
          <w:p w:rsidR="00711B14" w:rsidRPr="00711B14" w:rsidRDefault="00711B14" w:rsidP="00111912">
            <w:pPr>
              <w:spacing w:before="0" w:line="240" w:lineRule="auto"/>
              <w:jc w:val="center"/>
              <w:rPr>
                <w:rFonts w:ascii="Arial" w:hAnsi="Arial" w:cs="Arial"/>
                <w:b/>
                <w:sz w:val="20"/>
                <w:szCs w:val="20"/>
              </w:rPr>
            </w:pPr>
          </w:p>
        </w:tc>
      </w:tr>
      <w:tr w:rsidR="00B22CAB" w:rsidRPr="00711B14" w:rsidTr="00305EF5">
        <w:trPr>
          <w:trHeight w:val="397"/>
          <w:jc w:val="center"/>
        </w:trPr>
        <w:tc>
          <w:tcPr>
            <w:tcW w:w="1331" w:type="dxa"/>
            <w:shd w:val="clear" w:color="auto" w:fill="auto"/>
            <w:vAlign w:val="center"/>
          </w:tcPr>
          <w:p w:rsidR="00711B14" w:rsidRPr="00711B14" w:rsidRDefault="00711B14" w:rsidP="00D06609">
            <w:pPr>
              <w:spacing w:before="0" w:line="240" w:lineRule="auto"/>
              <w:jc w:val="center"/>
              <w:rPr>
                <w:rFonts w:ascii="Arial" w:hAnsi="Arial" w:cs="Arial"/>
                <w:b/>
                <w:sz w:val="20"/>
                <w:szCs w:val="20"/>
              </w:rPr>
            </w:pPr>
            <w:r w:rsidRPr="00711B14">
              <w:rPr>
                <w:rFonts w:ascii="Arial" w:hAnsi="Arial" w:cs="Arial"/>
                <w:b/>
                <w:sz w:val="20"/>
                <w:szCs w:val="20"/>
              </w:rPr>
              <w:t>SI</w:t>
            </w:r>
          </w:p>
        </w:tc>
        <w:tc>
          <w:tcPr>
            <w:tcW w:w="1814" w:type="dxa"/>
            <w:shd w:val="clear" w:color="auto" w:fill="auto"/>
            <w:tcMar>
              <w:top w:w="0" w:type="dxa"/>
              <w:left w:w="108" w:type="dxa"/>
              <w:bottom w:w="0" w:type="dxa"/>
              <w:right w:w="108" w:type="dxa"/>
            </w:tcMar>
            <w:vAlign w:val="center"/>
          </w:tcPr>
          <w:p w:rsidR="00711B14" w:rsidRPr="00711B14" w:rsidRDefault="00711B14" w:rsidP="00111912">
            <w:pPr>
              <w:spacing w:before="0" w:line="240" w:lineRule="auto"/>
              <w:jc w:val="center"/>
              <w:rPr>
                <w:rFonts w:ascii="Arial" w:hAnsi="Arial" w:cs="Arial"/>
                <w:b/>
                <w:sz w:val="20"/>
                <w:szCs w:val="20"/>
              </w:rPr>
            </w:pPr>
            <w:r w:rsidRPr="00711B14">
              <w:rPr>
                <w:rFonts w:ascii="Arial" w:hAnsi="Arial" w:cs="Arial"/>
                <w:b/>
                <w:sz w:val="20"/>
                <w:szCs w:val="20"/>
              </w:rPr>
              <w:t>1</w:t>
            </w:r>
          </w:p>
        </w:tc>
        <w:tc>
          <w:tcPr>
            <w:tcW w:w="761" w:type="dxa"/>
            <w:shd w:val="clear" w:color="auto" w:fill="auto"/>
            <w:tcMar>
              <w:top w:w="0" w:type="dxa"/>
              <w:left w:w="108" w:type="dxa"/>
              <w:bottom w:w="0" w:type="dxa"/>
              <w:right w:w="108" w:type="dxa"/>
            </w:tcMar>
            <w:vAlign w:val="center"/>
          </w:tcPr>
          <w:p w:rsidR="00711B14" w:rsidRPr="00711B14" w:rsidRDefault="00711B14" w:rsidP="00111912">
            <w:pPr>
              <w:spacing w:before="0" w:line="240" w:lineRule="auto"/>
              <w:jc w:val="center"/>
              <w:rPr>
                <w:rFonts w:ascii="Arial" w:hAnsi="Arial" w:cs="Arial"/>
                <w:sz w:val="20"/>
                <w:szCs w:val="20"/>
              </w:rPr>
            </w:pPr>
            <w:r w:rsidRPr="00711B14">
              <w:rPr>
                <w:rFonts w:ascii="Arial" w:hAnsi="Arial" w:cs="Arial"/>
                <w:b/>
                <w:sz w:val="20"/>
                <w:szCs w:val="20"/>
              </w:rPr>
              <w:t>-</w:t>
            </w:r>
          </w:p>
        </w:tc>
        <w:tc>
          <w:tcPr>
            <w:tcW w:w="807" w:type="dxa"/>
            <w:shd w:val="clear" w:color="auto" w:fill="auto"/>
            <w:tcMar>
              <w:top w:w="0" w:type="dxa"/>
              <w:left w:w="108" w:type="dxa"/>
              <w:bottom w:w="0" w:type="dxa"/>
              <w:right w:w="108" w:type="dxa"/>
            </w:tcMar>
            <w:vAlign w:val="center"/>
          </w:tcPr>
          <w:p w:rsidR="00711B14" w:rsidRPr="00711B14" w:rsidRDefault="00711B14" w:rsidP="00111912">
            <w:pPr>
              <w:spacing w:before="0" w:line="240" w:lineRule="auto"/>
              <w:jc w:val="center"/>
              <w:rPr>
                <w:rFonts w:ascii="Arial" w:hAnsi="Arial" w:cs="Arial"/>
                <w:sz w:val="20"/>
                <w:szCs w:val="20"/>
              </w:rPr>
            </w:pPr>
            <w:r w:rsidRPr="00711B14">
              <w:rPr>
                <w:rFonts w:ascii="Arial" w:hAnsi="Arial" w:cs="Arial"/>
                <w:b/>
                <w:sz w:val="20"/>
                <w:szCs w:val="20"/>
              </w:rPr>
              <w:t>-</w:t>
            </w:r>
          </w:p>
        </w:tc>
        <w:tc>
          <w:tcPr>
            <w:tcW w:w="753" w:type="dxa"/>
            <w:shd w:val="clear" w:color="auto" w:fill="auto"/>
            <w:tcMar>
              <w:top w:w="0" w:type="dxa"/>
              <w:left w:w="108" w:type="dxa"/>
              <w:bottom w:w="0" w:type="dxa"/>
              <w:right w:w="108" w:type="dxa"/>
            </w:tcMar>
            <w:vAlign w:val="center"/>
          </w:tcPr>
          <w:p w:rsidR="00711B14" w:rsidRPr="00711B14" w:rsidRDefault="00711B14" w:rsidP="00111912">
            <w:pPr>
              <w:spacing w:before="0" w:line="240" w:lineRule="auto"/>
              <w:jc w:val="center"/>
              <w:rPr>
                <w:rFonts w:ascii="Arial" w:hAnsi="Arial" w:cs="Arial"/>
                <w:sz w:val="20"/>
                <w:szCs w:val="20"/>
              </w:rPr>
            </w:pPr>
            <w:r w:rsidRPr="00711B14">
              <w:rPr>
                <w:rFonts w:ascii="Arial" w:hAnsi="Arial" w:cs="Arial"/>
                <w:b/>
                <w:sz w:val="20"/>
                <w:szCs w:val="20"/>
              </w:rPr>
              <w:t>-</w:t>
            </w:r>
          </w:p>
        </w:tc>
        <w:tc>
          <w:tcPr>
            <w:tcW w:w="1100" w:type="dxa"/>
            <w:shd w:val="clear" w:color="auto" w:fill="auto"/>
            <w:tcMar>
              <w:top w:w="0" w:type="dxa"/>
              <w:left w:w="108" w:type="dxa"/>
              <w:bottom w:w="0" w:type="dxa"/>
              <w:right w:w="108" w:type="dxa"/>
            </w:tcMar>
            <w:vAlign w:val="center"/>
          </w:tcPr>
          <w:p w:rsidR="00711B14" w:rsidRPr="00711B14" w:rsidRDefault="00711B14" w:rsidP="00111912">
            <w:pPr>
              <w:spacing w:before="0" w:line="240" w:lineRule="auto"/>
              <w:jc w:val="center"/>
              <w:rPr>
                <w:rFonts w:ascii="Arial" w:hAnsi="Arial" w:cs="Arial"/>
                <w:b/>
                <w:sz w:val="20"/>
                <w:szCs w:val="20"/>
              </w:rPr>
            </w:pPr>
            <w:r w:rsidRPr="00711B14">
              <w:rPr>
                <w:rFonts w:ascii="Arial" w:hAnsi="Arial" w:cs="Arial"/>
                <w:b/>
                <w:sz w:val="20"/>
                <w:szCs w:val="20"/>
              </w:rPr>
              <w:t>1</w:t>
            </w:r>
          </w:p>
        </w:tc>
        <w:tc>
          <w:tcPr>
            <w:tcW w:w="799" w:type="dxa"/>
            <w:shd w:val="clear" w:color="auto" w:fill="auto"/>
            <w:tcMar>
              <w:top w:w="0" w:type="dxa"/>
              <w:left w:w="108" w:type="dxa"/>
              <w:bottom w:w="0" w:type="dxa"/>
              <w:right w:w="108" w:type="dxa"/>
            </w:tcMar>
            <w:vAlign w:val="center"/>
          </w:tcPr>
          <w:p w:rsidR="00711B14" w:rsidRPr="00711B14" w:rsidRDefault="00711B14" w:rsidP="00111912">
            <w:pPr>
              <w:spacing w:before="0" w:line="240" w:lineRule="auto"/>
              <w:jc w:val="center"/>
              <w:rPr>
                <w:rFonts w:ascii="Arial" w:hAnsi="Arial" w:cs="Arial"/>
                <w:b/>
                <w:sz w:val="20"/>
                <w:szCs w:val="20"/>
              </w:rPr>
            </w:pPr>
            <w:r w:rsidRPr="00711B14">
              <w:rPr>
                <w:rFonts w:ascii="Arial" w:hAnsi="Arial" w:cs="Arial"/>
                <w:b/>
                <w:sz w:val="20"/>
                <w:szCs w:val="20"/>
              </w:rPr>
              <w:t>-</w:t>
            </w:r>
          </w:p>
        </w:tc>
        <w:tc>
          <w:tcPr>
            <w:tcW w:w="754" w:type="dxa"/>
            <w:shd w:val="clear" w:color="auto" w:fill="auto"/>
            <w:tcMar>
              <w:top w:w="0" w:type="dxa"/>
              <w:left w:w="108" w:type="dxa"/>
              <w:bottom w:w="0" w:type="dxa"/>
              <w:right w:w="108" w:type="dxa"/>
            </w:tcMar>
            <w:vAlign w:val="center"/>
          </w:tcPr>
          <w:p w:rsidR="00711B14" w:rsidRPr="00711B14" w:rsidRDefault="00711B14" w:rsidP="00111912">
            <w:pPr>
              <w:spacing w:before="0" w:line="240" w:lineRule="auto"/>
              <w:jc w:val="center"/>
              <w:rPr>
                <w:rFonts w:ascii="Arial" w:hAnsi="Arial" w:cs="Arial"/>
                <w:sz w:val="20"/>
                <w:szCs w:val="20"/>
              </w:rPr>
            </w:pPr>
            <w:r w:rsidRPr="00711B14">
              <w:rPr>
                <w:rFonts w:ascii="Arial" w:hAnsi="Arial" w:cs="Arial"/>
                <w:b/>
                <w:sz w:val="20"/>
                <w:szCs w:val="20"/>
              </w:rPr>
              <w:t>-</w:t>
            </w:r>
          </w:p>
        </w:tc>
        <w:tc>
          <w:tcPr>
            <w:tcW w:w="725" w:type="dxa"/>
            <w:shd w:val="clear" w:color="auto" w:fill="auto"/>
            <w:tcMar>
              <w:top w:w="0" w:type="dxa"/>
              <w:left w:w="108" w:type="dxa"/>
              <w:bottom w:w="0" w:type="dxa"/>
              <w:right w:w="108" w:type="dxa"/>
            </w:tcMar>
            <w:vAlign w:val="center"/>
          </w:tcPr>
          <w:p w:rsidR="00711B14" w:rsidRPr="00711B14" w:rsidRDefault="00711B14" w:rsidP="00111912">
            <w:pPr>
              <w:spacing w:before="0" w:line="240" w:lineRule="auto"/>
              <w:jc w:val="center"/>
              <w:rPr>
                <w:rFonts w:ascii="Arial" w:hAnsi="Arial" w:cs="Arial"/>
                <w:sz w:val="20"/>
                <w:szCs w:val="20"/>
              </w:rPr>
            </w:pPr>
            <w:r w:rsidRPr="00711B14">
              <w:rPr>
                <w:rFonts w:ascii="Arial" w:hAnsi="Arial" w:cs="Arial"/>
                <w:b/>
                <w:sz w:val="20"/>
                <w:szCs w:val="20"/>
              </w:rPr>
              <w:t>-</w:t>
            </w:r>
          </w:p>
        </w:tc>
        <w:tc>
          <w:tcPr>
            <w:tcW w:w="1101" w:type="dxa"/>
            <w:shd w:val="clear" w:color="auto" w:fill="auto"/>
            <w:tcMar>
              <w:top w:w="0" w:type="dxa"/>
              <w:left w:w="108" w:type="dxa"/>
              <w:bottom w:w="0" w:type="dxa"/>
              <w:right w:w="108" w:type="dxa"/>
            </w:tcMar>
            <w:vAlign w:val="center"/>
          </w:tcPr>
          <w:p w:rsidR="00711B14" w:rsidRPr="00711B14" w:rsidRDefault="00711B14" w:rsidP="00111912">
            <w:pPr>
              <w:spacing w:before="0" w:line="240" w:lineRule="auto"/>
              <w:jc w:val="center"/>
              <w:rPr>
                <w:rFonts w:ascii="Arial" w:hAnsi="Arial" w:cs="Arial"/>
                <w:sz w:val="20"/>
                <w:szCs w:val="20"/>
              </w:rPr>
            </w:pPr>
            <w:r w:rsidRPr="00711B14">
              <w:rPr>
                <w:rFonts w:ascii="Arial" w:hAnsi="Arial" w:cs="Arial"/>
                <w:b/>
                <w:sz w:val="20"/>
                <w:szCs w:val="20"/>
              </w:rPr>
              <w:t>-</w:t>
            </w:r>
          </w:p>
        </w:tc>
        <w:tc>
          <w:tcPr>
            <w:tcW w:w="790" w:type="dxa"/>
            <w:shd w:val="clear" w:color="auto" w:fill="auto"/>
            <w:tcMar>
              <w:top w:w="0" w:type="dxa"/>
              <w:left w:w="108" w:type="dxa"/>
              <w:bottom w:w="0" w:type="dxa"/>
              <w:right w:w="108" w:type="dxa"/>
            </w:tcMar>
            <w:vAlign w:val="center"/>
          </w:tcPr>
          <w:p w:rsidR="00711B14" w:rsidRPr="00711B14" w:rsidRDefault="00711B14" w:rsidP="00111912">
            <w:pPr>
              <w:spacing w:before="0" w:line="240" w:lineRule="auto"/>
              <w:jc w:val="center"/>
              <w:rPr>
                <w:rFonts w:ascii="Arial" w:hAnsi="Arial" w:cs="Arial"/>
                <w:b/>
                <w:sz w:val="20"/>
                <w:szCs w:val="20"/>
              </w:rPr>
            </w:pPr>
            <w:r w:rsidRPr="00711B14">
              <w:rPr>
                <w:rFonts w:ascii="Arial" w:hAnsi="Arial" w:cs="Arial"/>
                <w:b/>
                <w:sz w:val="20"/>
                <w:szCs w:val="20"/>
              </w:rPr>
              <w:t>-</w:t>
            </w:r>
          </w:p>
        </w:tc>
        <w:tc>
          <w:tcPr>
            <w:tcW w:w="771" w:type="dxa"/>
            <w:shd w:val="clear" w:color="auto" w:fill="auto"/>
            <w:tcMar>
              <w:top w:w="0" w:type="dxa"/>
              <w:left w:w="108" w:type="dxa"/>
              <w:bottom w:w="0" w:type="dxa"/>
              <w:right w:w="108" w:type="dxa"/>
            </w:tcMar>
            <w:vAlign w:val="center"/>
          </w:tcPr>
          <w:p w:rsidR="00711B14" w:rsidRPr="00711B14" w:rsidRDefault="00711B14" w:rsidP="00111912">
            <w:pPr>
              <w:spacing w:before="0" w:line="240" w:lineRule="auto"/>
              <w:jc w:val="center"/>
              <w:rPr>
                <w:rFonts w:ascii="Arial" w:hAnsi="Arial" w:cs="Arial"/>
                <w:b/>
                <w:sz w:val="20"/>
                <w:szCs w:val="20"/>
              </w:rPr>
            </w:pPr>
            <w:r w:rsidRPr="00711B14">
              <w:rPr>
                <w:rFonts w:ascii="Arial" w:hAnsi="Arial" w:cs="Arial"/>
                <w:b/>
                <w:sz w:val="20"/>
                <w:szCs w:val="20"/>
              </w:rPr>
              <w:t>-</w:t>
            </w:r>
          </w:p>
        </w:tc>
        <w:tc>
          <w:tcPr>
            <w:tcW w:w="716" w:type="dxa"/>
            <w:shd w:val="clear" w:color="auto" w:fill="auto"/>
            <w:tcMar>
              <w:top w:w="0" w:type="dxa"/>
              <w:left w:w="108" w:type="dxa"/>
              <w:bottom w:w="0" w:type="dxa"/>
              <w:right w:w="108" w:type="dxa"/>
            </w:tcMar>
            <w:vAlign w:val="center"/>
          </w:tcPr>
          <w:p w:rsidR="00711B14" w:rsidRPr="00711B14" w:rsidRDefault="00711B14" w:rsidP="00111912">
            <w:pPr>
              <w:spacing w:before="0" w:line="240" w:lineRule="auto"/>
              <w:jc w:val="center"/>
              <w:rPr>
                <w:rFonts w:ascii="Arial" w:hAnsi="Arial" w:cs="Arial"/>
                <w:b/>
                <w:sz w:val="20"/>
                <w:szCs w:val="20"/>
              </w:rPr>
            </w:pPr>
            <w:r w:rsidRPr="00711B14">
              <w:rPr>
                <w:rFonts w:ascii="Arial" w:hAnsi="Arial" w:cs="Arial"/>
                <w:b/>
                <w:sz w:val="20"/>
                <w:szCs w:val="20"/>
              </w:rPr>
              <w:t>-</w:t>
            </w:r>
          </w:p>
        </w:tc>
        <w:tc>
          <w:tcPr>
            <w:tcW w:w="1100" w:type="dxa"/>
            <w:shd w:val="clear" w:color="auto" w:fill="auto"/>
            <w:tcMar>
              <w:top w:w="0" w:type="dxa"/>
              <w:left w:w="108" w:type="dxa"/>
              <w:bottom w:w="0" w:type="dxa"/>
              <w:right w:w="108" w:type="dxa"/>
            </w:tcMar>
            <w:vAlign w:val="center"/>
          </w:tcPr>
          <w:p w:rsidR="00711B14" w:rsidRPr="00711B14" w:rsidRDefault="00711B14" w:rsidP="00111912">
            <w:pPr>
              <w:spacing w:before="0" w:line="240" w:lineRule="auto"/>
              <w:jc w:val="center"/>
              <w:rPr>
                <w:rFonts w:ascii="Arial" w:hAnsi="Arial" w:cs="Arial"/>
                <w:b/>
                <w:sz w:val="20"/>
                <w:szCs w:val="20"/>
              </w:rPr>
            </w:pPr>
            <w:r w:rsidRPr="00711B14">
              <w:rPr>
                <w:rFonts w:ascii="Arial" w:hAnsi="Arial" w:cs="Arial"/>
                <w:b/>
                <w:sz w:val="20"/>
                <w:szCs w:val="20"/>
              </w:rPr>
              <w:t>-</w:t>
            </w:r>
          </w:p>
        </w:tc>
      </w:tr>
      <w:tr w:rsidR="00B22CAB" w:rsidRPr="00711B14" w:rsidTr="00305EF5">
        <w:trPr>
          <w:trHeight w:val="397"/>
          <w:jc w:val="center"/>
        </w:trPr>
        <w:tc>
          <w:tcPr>
            <w:tcW w:w="1331" w:type="dxa"/>
            <w:shd w:val="clear" w:color="auto" w:fill="D9D9D9" w:themeFill="background1" w:themeFillShade="D9"/>
            <w:vAlign w:val="center"/>
          </w:tcPr>
          <w:p w:rsidR="00711B14" w:rsidRPr="00711B14" w:rsidRDefault="00711B14" w:rsidP="00D06609">
            <w:pPr>
              <w:spacing w:before="0" w:line="240" w:lineRule="auto"/>
              <w:jc w:val="center"/>
              <w:rPr>
                <w:rFonts w:ascii="Arial" w:hAnsi="Arial" w:cs="Arial"/>
                <w:b/>
                <w:sz w:val="20"/>
                <w:szCs w:val="20"/>
              </w:rPr>
            </w:pPr>
            <w:r w:rsidRPr="00711B14">
              <w:rPr>
                <w:rFonts w:ascii="Arial" w:hAnsi="Arial" w:cs="Arial"/>
                <w:b/>
                <w:sz w:val="20"/>
                <w:szCs w:val="20"/>
              </w:rPr>
              <w:t>UK</w:t>
            </w:r>
          </w:p>
        </w:tc>
        <w:tc>
          <w:tcPr>
            <w:tcW w:w="1814" w:type="dxa"/>
            <w:shd w:val="clear" w:color="auto" w:fill="D9D9D9" w:themeFill="background1" w:themeFillShade="D9"/>
            <w:tcMar>
              <w:top w:w="0" w:type="dxa"/>
              <w:left w:w="108" w:type="dxa"/>
              <w:bottom w:w="0" w:type="dxa"/>
              <w:right w:w="108" w:type="dxa"/>
            </w:tcMar>
            <w:vAlign w:val="center"/>
          </w:tcPr>
          <w:p w:rsidR="00711B14" w:rsidRPr="00711B14" w:rsidRDefault="00711B14" w:rsidP="00111912">
            <w:pPr>
              <w:spacing w:before="0" w:line="240" w:lineRule="auto"/>
              <w:jc w:val="center"/>
              <w:rPr>
                <w:rFonts w:ascii="Arial" w:hAnsi="Arial" w:cs="Arial"/>
                <w:b/>
                <w:sz w:val="20"/>
                <w:szCs w:val="20"/>
              </w:rPr>
            </w:pPr>
            <w:r w:rsidRPr="00711B14">
              <w:rPr>
                <w:rFonts w:ascii="Arial" w:hAnsi="Arial" w:cs="Arial"/>
                <w:b/>
                <w:sz w:val="20"/>
                <w:szCs w:val="20"/>
              </w:rPr>
              <w:t>12</w:t>
            </w:r>
          </w:p>
        </w:tc>
        <w:tc>
          <w:tcPr>
            <w:tcW w:w="761" w:type="dxa"/>
            <w:shd w:val="clear" w:color="auto" w:fill="D9D9D9" w:themeFill="background1" w:themeFillShade="D9"/>
            <w:tcMar>
              <w:top w:w="0" w:type="dxa"/>
              <w:left w:w="108" w:type="dxa"/>
              <w:bottom w:w="0" w:type="dxa"/>
              <w:right w:w="108" w:type="dxa"/>
            </w:tcMar>
            <w:vAlign w:val="center"/>
          </w:tcPr>
          <w:p w:rsidR="00711B14" w:rsidRPr="00711B14" w:rsidRDefault="00711B14" w:rsidP="00111912">
            <w:pPr>
              <w:spacing w:before="0" w:line="240" w:lineRule="auto"/>
              <w:jc w:val="center"/>
              <w:rPr>
                <w:rFonts w:ascii="Arial" w:hAnsi="Arial" w:cs="Arial"/>
                <w:b/>
                <w:sz w:val="20"/>
                <w:szCs w:val="20"/>
              </w:rPr>
            </w:pPr>
            <w:r w:rsidRPr="00711B14">
              <w:rPr>
                <w:rFonts w:ascii="Arial" w:hAnsi="Arial" w:cs="Arial"/>
                <w:b/>
                <w:sz w:val="20"/>
                <w:szCs w:val="20"/>
              </w:rPr>
              <w:t>5</w:t>
            </w:r>
          </w:p>
        </w:tc>
        <w:tc>
          <w:tcPr>
            <w:tcW w:w="807" w:type="dxa"/>
            <w:shd w:val="clear" w:color="auto" w:fill="D9D9D9" w:themeFill="background1" w:themeFillShade="D9"/>
            <w:tcMar>
              <w:top w:w="0" w:type="dxa"/>
              <w:left w:w="108" w:type="dxa"/>
              <w:bottom w:w="0" w:type="dxa"/>
              <w:right w:w="108" w:type="dxa"/>
            </w:tcMar>
            <w:vAlign w:val="center"/>
          </w:tcPr>
          <w:p w:rsidR="00711B14" w:rsidRPr="00711B14" w:rsidRDefault="00711B14" w:rsidP="00111912">
            <w:pPr>
              <w:spacing w:before="0" w:line="240" w:lineRule="auto"/>
              <w:jc w:val="center"/>
              <w:rPr>
                <w:rFonts w:ascii="Arial" w:hAnsi="Arial" w:cs="Arial"/>
                <w:b/>
                <w:sz w:val="20"/>
                <w:szCs w:val="20"/>
              </w:rPr>
            </w:pPr>
            <w:r w:rsidRPr="00711B14">
              <w:rPr>
                <w:rFonts w:ascii="Arial" w:hAnsi="Arial" w:cs="Arial"/>
                <w:b/>
                <w:sz w:val="20"/>
                <w:szCs w:val="20"/>
              </w:rPr>
              <w:t>4</w:t>
            </w:r>
          </w:p>
        </w:tc>
        <w:tc>
          <w:tcPr>
            <w:tcW w:w="753" w:type="dxa"/>
            <w:shd w:val="clear" w:color="auto" w:fill="D9D9D9" w:themeFill="background1" w:themeFillShade="D9"/>
            <w:tcMar>
              <w:top w:w="0" w:type="dxa"/>
              <w:left w:w="108" w:type="dxa"/>
              <w:bottom w:w="0" w:type="dxa"/>
              <w:right w:w="108" w:type="dxa"/>
            </w:tcMar>
            <w:vAlign w:val="center"/>
          </w:tcPr>
          <w:p w:rsidR="00711B14" w:rsidRPr="00711B14" w:rsidRDefault="00711B14" w:rsidP="00111912">
            <w:pPr>
              <w:spacing w:before="0" w:line="240" w:lineRule="auto"/>
              <w:jc w:val="center"/>
              <w:rPr>
                <w:rFonts w:ascii="Arial" w:hAnsi="Arial" w:cs="Arial"/>
                <w:b/>
                <w:sz w:val="20"/>
                <w:szCs w:val="20"/>
              </w:rPr>
            </w:pPr>
            <w:r w:rsidRPr="00711B14">
              <w:rPr>
                <w:rFonts w:ascii="Arial" w:hAnsi="Arial" w:cs="Arial"/>
                <w:b/>
                <w:sz w:val="20"/>
                <w:szCs w:val="20"/>
              </w:rPr>
              <w:t>-</w:t>
            </w:r>
          </w:p>
        </w:tc>
        <w:tc>
          <w:tcPr>
            <w:tcW w:w="1100" w:type="dxa"/>
            <w:shd w:val="clear" w:color="auto" w:fill="D9D9D9" w:themeFill="background1" w:themeFillShade="D9"/>
            <w:tcMar>
              <w:top w:w="0" w:type="dxa"/>
              <w:left w:w="108" w:type="dxa"/>
              <w:bottom w:w="0" w:type="dxa"/>
              <w:right w:w="108" w:type="dxa"/>
            </w:tcMar>
            <w:vAlign w:val="center"/>
          </w:tcPr>
          <w:p w:rsidR="00711B14" w:rsidRPr="00711B14" w:rsidRDefault="00711B14" w:rsidP="00111912">
            <w:pPr>
              <w:spacing w:before="0" w:line="240" w:lineRule="auto"/>
              <w:jc w:val="center"/>
              <w:rPr>
                <w:rFonts w:ascii="Arial" w:hAnsi="Arial" w:cs="Arial"/>
                <w:b/>
                <w:sz w:val="20"/>
                <w:szCs w:val="20"/>
              </w:rPr>
            </w:pPr>
            <w:r w:rsidRPr="00711B14">
              <w:rPr>
                <w:rFonts w:ascii="Arial" w:hAnsi="Arial" w:cs="Arial"/>
                <w:b/>
                <w:sz w:val="20"/>
                <w:szCs w:val="20"/>
              </w:rPr>
              <w:t>-</w:t>
            </w:r>
          </w:p>
        </w:tc>
        <w:tc>
          <w:tcPr>
            <w:tcW w:w="799" w:type="dxa"/>
            <w:shd w:val="clear" w:color="auto" w:fill="D9D9D9" w:themeFill="background1" w:themeFillShade="D9"/>
            <w:tcMar>
              <w:top w:w="0" w:type="dxa"/>
              <w:left w:w="108" w:type="dxa"/>
              <w:bottom w:w="0" w:type="dxa"/>
              <w:right w:w="108" w:type="dxa"/>
            </w:tcMar>
            <w:vAlign w:val="center"/>
          </w:tcPr>
          <w:p w:rsidR="00711B14" w:rsidRPr="00711B14" w:rsidRDefault="00711B14" w:rsidP="00111912">
            <w:pPr>
              <w:spacing w:before="0" w:line="240" w:lineRule="auto"/>
              <w:jc w:val="center"/>
              <w:rPr>
                <w:rFonts w:ascii="Arial" w:hAnsi="Arial" w:cs="Arial"/>
                <w:b/>
                <w:sz w:val="20"/>
                <w:szCs w:val="20"/>
              </w:rPr>
            </w:pPr>
            <w:r w:rsidRPr="00711B14">
              <w:rPr>
                <w:rFonts w:ascii="Arial" w:hAnsi="Arial" w:cs="Arial"/>
                <w:b/>
                <w:sz w:val="20"/>
                <w:szCs w:val="20"/>
              </w:rPr>
              <w:t>0</w:t>
            </w:r>
          </w:p>
        </w:tc>
        <w:tc>
          <w:tcPr>
            <w:tcW w:w="754" w:type="dxa"/>
            <w:shd w:val="clear" w:color="auto" w:fill="D9D9D9" w:themeFill="background1" w:themeFillShade="D9"/>
            <w:tcMar>
              <w:top w:w="0" w:type="dxa"/>
              <w:left w:w="108" w:type="dxa"/>
              <w:bottom w:w="0" w:type="dxa"/>
              <w:right w:w="108" w:type="dxa"/>
            </w:tcMar>
            <w:vAlign w:val="center"/>
          </w:tcPr>
          <w:p w:rsidR="00711B14" w:rsidRPr="00711B14" w:rsidRDefault="00711B14" w:rsidP="00111912">
            <w:pPr>
              <w:spacing w:before="0" w:line="240" w:lineRule="auto"/>
              <w:jc w:val="center"/>
              <w:rPr>
                <w:rFonts w:ascii="Arial" w:hAnsi="Arial" w:cs="Arial"/>
                <w:b/>
                <w:sz w:val="20"/>
                <w:szCs w:val="20"/>
              </w:rPr>
            </w:pPr>
            <w:r w:rsidRPr="00711B14">
              <w:rPr>
                <w:rFonts w:ascii="Arial" w:hAnsi="Arial" w:cs="Arial"/>
                <w:b/>
                <w:sz w:val="20"/>
                <w:szCs w:val="20"/>
              </w:rPr>
              <w:t>0</w:t>
            </w:r>
          </w:p>
        </w:tc>
        <w:tc>
          <w:tcPr>
            <w:tcW w:w="725" w:type="dxa"/>
            <w:shd w:val="clear" w:color="auto" w:fill="D9D9D9" w:themeFill="background1" w:themeFillShade="D9"/>
            <w:tcMar>
              <w:top w:w="0" w:type="dxa"/>
              <w:left w:w="108" w:type="dxa"/>
              <w:bottom w:w="0" w:type="dxa"/>
              <w:right w:w="108" w:type="dxa"/>
            </w:tcMar>
            <w:vAlign w:val="center"/>
          </w:tcPr>
          <w:p w:rsidR="00711B14" w:rsidRPr="00711B14" w:rsidRDefault="00711B14" w:rsidP="00111912">
            <w:pPr>
              <w:spacing w:before="0" w:line="240" w:lineRule="auto"/>
              <w:jc w:val="center"/>
              <w:rPr>
                <w:rFonts w:ascii="Arial" w:hAnsi="Arial" w:cs="Arial"/>
                <w:b/>
                <w:sz w:val="20"/>
                <w:szCs w:val="20"/>
              </w:rPr>
            </w:pPr>
            <w:r w:rsidRPr="00711B14">
              <w:rPr>
                <w:rFonts w:ascii="Arial" w:hAnsi="Arial" w:cs="Arial"/>
                <w:b/>
                <w:sz w:val="20"/>
                <w:szCs w:val="20"/>
              </w:rPr>
              <w:t>-</w:t>
            </w:r>
          </w:p>
        </w:tc>
        <w:tc>
          <w:tcPr>
            <w:tcW w:w="1101" w:type="dxa"/>
            <w:shd w:val="clear" w:color="auto" w:fill="D9D9D9" w:themeFill="background1" w:themeFillShade="D9"/>
            <w:tcMar>
              <w:top w:w="0" w:type="dxa"/>
              <w:left w:w="108" w:type="dxa"/>
              <w:bottom w:w="0" w:type="dxa"/>
              <w:right w:w="108" w:type="dxa"/>
            </w:tcMar>
            <w:vAlign w:val="center"/>
          </w:tcPr>
          <w:p w:rsidR="00711B14" w:rsidRPr="00711B14" w:rsidRDefault="00711B14" w:rsidP="00111912">
            <w:pPr>
              <w:spacing w:before="0" w:line="240" w:lineRule="auto"/>
              <w:jc w:val="center"/>
              <w:rPr>
                <w:rFonts w:ascii="Arial" w:hAnsi="Arial" w:cs="Arial"/>
                <w:b/>
                <w:sz w:val="20"/>
                <w:szCs w:val="20"/>
              </w:rPr>
            </w:pPr>
            <w:r w:rsidRPr="00711B14">
              <w:rPr>
                <w:rFonts w:ascii="Arial" w:hAnsi="Arial" w:cs="Arial"/>
                <w:b/>
                <w:sz w:val="20"/>
                <w:szCs w:val="20"/>
              </w:rPr>
              <w:t>-</w:t>
            </w:r>
          </w:p>
        </w:tc>
        <w:tc>
          <w:tcPr>
            <w:tcW w:w="790" w:type="dxa"/>
            <w:shd w:val="clear" w:color="auto" w:fill="D9D9D9" w:themeFill="background1" w:themeFillShade="D9"/>
            <w:tcMar>
              <w:top w:w="0" w:type="dxa"/>
              <w:left w:w="108" w:type="dxa"/>
              <w:bottom w:w="0" w:type="dxa"/>
              <w:right w:w="108" w:type="dxa"/>
            </w:tcMar>
            <w:vAlign w:val="center"/>
          </w:tcPr>
          <w:p w:rsidR="00711B14" w:rsidRPr="00711B14" w:rsidRDefault="00711B14" w:rsidP="00111912">
            <w:pPr>
              <w:spacing w:before="0" w:line="240" w:lineRule="auto"/>
              <w:jc w:val="center"/>
              <w:rPr>
                <w:rFonts w:ascii="Arial" w:hAnsi="Arial" w:cs="Arial"/>
                <w:b/>
                <w:sz w:val="20"/>
                <w:szCs w:val="20"/>
              </w:rPr>
            </w:pPr>
            <w:r w:rsidRPr="00711B14">
              <w:rPr>
                <w:rFonts w:ascii="Arial" w:hAnsi="Arial" w:cs="Arial"/>
                <w:b/>
                <w:sz w:val="20"/>
                <w:szCs w:val="20"/>
              </w:rPr>
              <w:t>1</w:t>
            </w:r>
          </w:p>
        </w:tc>
        <w:tc>
          <w:tcPr>
            <w:tcW w:w="771" w:type="dxa"/>
            <w:shd w:val="clear" w:color="auto" w:fill="D9D9D9" w:themeFill="background1" w:themeFillShade="D9"/>
            <w:tcMar>
              <w:top w:w="0" w:type="dxa"/>
              <w:left w:w="108" w:type="dxa"/>
              <w:bottom w:w="0" w:type="dxa"/>
              <w:right w:w="108" w:type="dxa"/>
            </w:tcMar>
            <w:vAlign w:val="center"/>
          </w:tcPr>
          <w:p w:rsidR="00711B14" w:rsidRPr="00711B14" w:rsidRDefault="00711B14" w:rsidP="00111912">
            <w:pPr>
              <w:spacing w:before="0" w:line="240" w:lineRule="auto"/>
              <w:jc w:val="center"/>
              <w:rPr>
                <w:rFonts w:ascii="Arial" w:hAnsi="Arial" w:cs="Arial"/>
                <w:b/>
                <w:sz w:val="20"/>
                <w:szCs w:val="20"/>
              </w:rPr>
            </w:pPr>
            <w:r w:rsidRPr="00711B14">
              <w:rPr>
                <w:rFonts w:ascii="Arial" w:hAnsi="Arial" w:cs="Arial"/>
                <w:b/>
                <w:sz w:val="20"/>
                <w:szCs w:val="20"/>
              </w:rPr>
              <w:t>2</w:t>
            </w:r>
          </w:p>
        </w:tc>
        <w:tc>
          <w:tcPr>
            <w:tcW w:w="716" w:type="dxa"/>
            <w:shd w:val="clear" w:color="auto" w:fill="D9D9D9" w:themeFill="background1" w:themeFillShade="D9"/>
            <w:tcMar>
              <w:top w:w="0" w:type="dxa"/>
              <w:left w:w="108" w:type="dxa"/>
              <w:bottom w:w="0" w:type="dxa"/>
              <w:right w:w="108" w:type="dxa"/>
            </w:tcMar>
            <w:vAlign w:val="center"/>
          </w:tcPr>
          <w:p w:rsidR="00711B14" w:rsidRPr="00711B14" w:rsidRDefault="00711B14" w:rsidP="00111912">
            <w:pPr>
              <w:spacing w:before="0" w:line="240" w:lineRule="auto"/>
              <w:jc w:val="center"/>
              <w:rPr>
                <w:rFonts w:ascii="Arial" w:hAnsi="Arial" w:cs="Arial"/>
                <w:b/>
                <w:sz w:val="20"/>
                <w:szCs w:val="20"/>
              </w:rPr>
            </w:pPr>
            <w:r w:rsidRPr="00711B14">
              <w:rPr>
                <w:rFonts w:ascii="Arial" w:hAnsi="Arial" w:cs="Arial"/>
                <w:b/>
                <w:sz w:val="20"/>
                <w:szCs w:val="20"/>
              </w:rPr>
              <w:t>-</w:t>
            </w:r>
          </w:p>
        </w:tc>
        <w:tc>
          <w:tcPr>
            <w:tcW w:w="1100" w:type="dxa"/>
            <w:shd w:val="clear" w:color="auto" w:fill="D9D9D9" w:themeFill="background1" w:themeFillShade="D9"/>
            <w:tcMar>
              <w:top w:w="0" w:type="dxa"/>
              <w:left w:w="108" w:type="dxa"/>
              <w:bottom w:w="0" w:type="dxa"/>
              <w:right w:w="108" w:type="dxa"/>
            </w:tcMar>
            <w:vAlign w:val="center"/>
          </w:tcPr>
          <w:p w:rsidR="00711B14" w:rsidRPr="00711B14" w:rsidRDefault="00711B14" w:rsidP="00111912">
            <w:pPr>
              <w:spacing w:before="0" w:line="240" w:lineRule="auto"/>
              <w:jc w:val="center"/>
              <w:rPr>
                <w:rFonts w:ascii="Arial" w:hAnsi="Arial" w:cs="Arial"/>
                <w:b/>
                <w:sz w:val="20"/>
                <w:szCs w:val="20"/>
              </w:rPr>
            </w:pPr>
            <w:r w:rsidRPr="00711B14">
              <w:rPr>
                <w:rFonts w:ascii="Arial" w:hAnsi="Arial" w:cs="Arial"/>
                <w:b/>
                <w:sz w:val="20"/>
                <w:szCs w:val="20"/>
              </w:rPr>
              <w:t>-</w:t>
            </w:r>
          </w:p>
        </w:tc>
      </w:tr>
      <w:tr w:rsidR="00B22CAB" w:rsidRPr="00711B14" w:rsidTr="00305EF5">
        <w:trPr>
          <w:trHeight w:val="397"/>
          <w:jc w:val="center"/>
        </w:trPr>
        <w:tc>
          <w:tcPr>
            <w:tcW w:w="1331" w:type="dxa"/>
            <w:shd w:val="clear" w:color="auto" w:fill="FFFF00"/>
            <w:vAlign w:val="center"/>
          </w:tcPr>
          <w:p w:rsidR="00711B14" w:rsidRPr="00711B14" w:rsidRDefault="00711B14" w:rsidP="00D06609">
            <w:pPr>
              <w:spacing w:before="0" w:line="240" w:lineRule="auto"/>
              <w:jc w:val="center"/>
              <w:rPr>
                <w:rFonts w:ascii="Arial" w:hAnsi="Arial" w:cs="Arial"/>
                <w:b/>
                <w:sz w:val="20"/>
                <w:szCs w:val="20"/>
              </w:rPr>
            </w:pPr>
            <w:r w:rsidRPr="00711B14">
              <w:rPr>
                <w:rFonts w:ascii="Arial" w:hAnsi="Arial" w:cs="Arial"/>
                <w:b/>
                <w:sz w:val="20"/>
                <w:szCs w:val="20"/>
              </w:rPr>
              <w:t>CZ</w:t>
            </w:r>
            <w:r w:rsidR="009C6291">
              <w:rPr>
                <w:rStyle w:val="Znakapoznpodarou"/>
                <w:rFonts w:ascii="Arial" w:hAnsi="Arial" w:cs="Arial"/>
                <w:b/>
                <w:sz w:val="20"/>
                <w:szCs w:val="20"/>
              </w:rPr>
              <w:footnoteReference w:id="9"/>
            </w:r>
          </w:p>
        </w:tc>
        <w:tc>
          <w:tcPr>
            <w:tcW w:w="1814" w:type="dxa"/>
            <w:shd w:val="clear" w:color="auto" w:fill="FFFF00"/>
            <w:tcMar>
              <w:top w:w="0" w:type="dxa"/>
              <w:left w:w="108" w:type="dxa"/>
              <w:bottom w:w="0" w:type="dxa"/>
              <w:right w:w="108" w:type="dxa"/>
            </w:tcMar>
            <w:vAlign w:val="center"/>
          </w:tcPr>
          <w:p w:rsidR="00711B14" w:rsidRPr="00711B14" w:rsidRDefault="00711B14" w:rsidP="00111912">
            <w:pPr>
              <w:spacing w:before="0" w:line="240" w:lineRule="auto"/>
              <w:jc w:val="center"/>
              <w:rPr>
                <w:rFonts w:ascii="Arial" w:hAnsi="Arial" w:cs="Arial"/>
                <w:b/>
                <w:sz w:val="20"/>
                <w:szCs w:val="20"/>
              </w:rPr>
            </w:pPr>
            <w:r w:rsidRPr="00711B14">
              <w:rPr>
                <w:rFonts w:ascii="Arial" w:hAnsi="Arial" w:cs="Arial"/>
                <w:b/>
                <w:sz w:val="20"/>
                <w:szCs w:val="20"/>
              </w:rPr>
              <w:t>9</w:t>
            </w:r>
          </w:p>
        </w:tc>
        <w:tc>
          <w:tcPr>
            <w:tcW w:w="761" w:type="dxa"/>
            <w:shd w:val="clear" w:color="auto" w:fill="FFFF00"/>
            <w:tcMar>
              <w:top w:w="0" w:type="dxa"/>
              <w:left w:w="108" w:type="dxa"/>
              <w:bottom w:w="0" w:type="dxa"/>
              <w:right w:w="108" w:type="dxa"/>
            </w:tcMar>
            <w:vAlign w:val="center"/>
          </w:tcPr>
          <w:p w:rsidR="00711B14" w:rsidRPr="00711B14" w:rsidRDefault="00711B14" w:rsidP="00111912">
            <w:pPr>
              <w:spacing w:before="0" w:line="240" w:lineRule="auto"/>
              <w:jc w:val="center"/>
              <w:rPr>
                <w:rFonts w:ascii="Arial" w:hAnsi="Arial" w:cs="Arial"/>
                <w:b/>
                <w:sz w:val="20"/>
                <w:szCs w:val="20"/>
              </w:rPr>
            </w:pPr>
            <w:r w:rsidRPr="00711B14">
              <w:rPr>
                <w:rFonts w:ascii="Arial" w:hAnsi="Arial" w:cs="Arial"/>
                <w:b/>
                <w:sz w:val="20"/>
                <w:szCs w:val="20"/>
              </w:rPr>
              <w:t>-</w:t>
            </w:r>
          </w:p>
        </w:tc>
        <w:tc>
          <w:tcPr>
            <w:tcW w:w="807" w:type="dxa"/>
            <w:shd w:val="clear" w:color="auto" w:fill="FFFF00"/>
            <w:tcMar>
              <w:top w:w="0" w:type="dxa"/>
              <w:left w:w="108" w:type="dxa"/>
              <w:bottom w:w="0" w:type="dxa"/>
              <w:right w:w="108" w:type="dxa"/>
            </w:tcMar>
            <w:vAlign w:val="center"/>
          </w:tcPr>
          <w:p w:rsidR="00711B14" w:rsidRPr="00711B14" w:rsidRDefault="00711B14" w:rsidP="00111912">
            <w:pPr>
              <w:spacing w:before="0" w:line="240" w:lineRule="auto"/>
              <w:jc w:val="center"/>
              <w:rPr>
                <w:rFonts w:ascii="Arial" w:hAnsi="Arial" w:cs="Arial"/>
                <w:b/>
                <w:sz w:val="20"/>
                <w:szCs w:val="20"/>
              </w:rPr>
            </w:pPr>
            <w:r w:rsidRPr="00711B14">
              <w:rPr>
                <w:rFonts w:ascii="Arial" w:hAnsi="Arial" w:cs="Arial"/>
                <w:b/>
                <w:sz w:val="20"/>
                <w:szCs w:val="20"/>
              </w:rPr>
              <w:t>-</w:t>
            </w:r>
          </w:p>
        </w:tc>
        <w:tc>
          <w:tcPr>
            <w:tcW w:w="753" w:type="dxa"/>
            <w:shd w:val="clear" w:color="auto" w:fill="FFFF00"/>
            <w:tcMar>
              <w:top w:w="0" w:type="dxa"/>
              <w:left w:w="108" w:type="dxa"/>
              <w:bottom w:w="0" w:type="dxa"/>
              <w:right w:w="108" w:type="dxa"/>
            </w:tcMar>
            <w:vAlign w:val="center"/>
          </w:tcPr>
          <w:p w:rsidR="00711B14" w:rsidRPr="00711B14" w:rsidRDefault="00711B14" w:rsidP="00111912">
            <w:pPr>
              <w:spacing w:before="0" w:line="240" w:lineRule="auto"/>
              <w:jc w:val="center"/>
              <w:rPr>
                <w:rFonts w:ascii="Arial" w:hAnsi="Arial" w:cs="Arial"/>
                <w:b/>
                <w:sz w:val="20"/>
                <w:szCs w:val="20"/>
              </w:rPr>
            </w:pPr>
            <w:r w:rsidRPr="00711B14">
              <w:rPr>
                <w:rFonts w:ascii="Arial" w:hAnsi="Arial" w:cs="Arial"/>
                <w:b/>
                <w:sz w:val="20"/>
                <w:szCs w:val="20"/>
              </w:rPr>
              <w:t>-</w:t>
            </w:r>
          </w:p>
        </w:tc>
        <w:tc>
          <w:tcPr>
            <w:tcW w:w="1100" w:type="dxa"/>
            <w:shd w:val="clear" w:color="auto" w:fill="FFFF00"/>
            <w:tcMar>
              <w:top w:w="0" w:type="dxa"/>
              <w:left w:w="108" w:type="dxa"/>
              <w:bottom w:w="0" w:type="dxa"/>
              <w:right w:w="108" w:type="dxa"/>
            </w:tcMar>
            <w:vAlign w:val="center"/>
          </w:tcPr>
          <w:p w:rsidR="00711B14" w:rsidRPr="00711B14" w:rsidRDefault="00711B14" w:rsidP="00111912">
            <w:pPr>
              <w:spacing w:before="0" w:line="240" w:lineRule="auto"/>
              <w:jc w:val="center"/>
              <w:rPr>
                <w:rFonts w:ascii="Arial" w:hAnsi="Arial" w:cs="Arial"/>
                <w:b/>
                <w:sz w:val="20"/>
                <w:szCs w:val="20"/>
              </w:rPr>
            </w:pPr>
            <w:r w:rsidRPr="00711B14">
              <w:rPr>
                <w:rFonts w:ascii="Arial" w:hAnsi="Arial" w:cs="Arial"/>
                <w:b/>
                <w:sz w:val="20"/>
                <w:szCs w:val="20"/>
              </w:rPr>
              <w:t>-</w:t>
            </w:r>
          </w:p>
        </w:tc>
        <w:tc>
          <w:tcPr>
            <w:tcW w:w="799" w:type="dxa"/>
            <w:shd w:val="clear" w:color="auto" w:fill="FFFF00"/>
            <w:tcMar>
              <w:top w:w="0" w:type="dxa"/>
              <w:left w:w="108" w:type="dxa"/>
              <w:bottom w:w="0" w:type="dxa"/>
              <w:right w:w="108" w:type="dxa"/>
            </w:tcMar>
            <w:vAlign w:val="center"/>
          </w:tcPr>
          <w:p w:rsidR="00711B14" w:rsidRPr="00711B14" w:rsidRDefault="00711B14" w:rsidP="00111912">
            <w:pPr>
              <w:spacing w:before="0" w:line="240" w:lineRule="auto"/>
              <w:jc w:val="center"/>
              <w:rPr>
                <w:rFonts w:ascii="Arial" w:hAnsi="Arial" w:cs="Arial"/>
                <w:b/>
                <w:sz w:val="20"/>
                <w:szCs w:val="20"/>
              </w:rPr>
            </w:pPr>
            <w:r w:rsidRPr="00711B14">
              <w:rPr>
                <w:rFonts w:ascii="Arial" w:hAnsi="Arial" w:cs="Arial"/>
                <w:b/>
                <w:sz w:val="20"/>
                <w:szCs w:val="20"/>
              </w:rPr>
              <w:t>-</w:t>
            </w:r>
          </w:p>
        </w:tc>
        <w:tc>
          <w:tcPr>
            <w:tcW w:w="754" w:type="dxa"/>
            <w:shd w:val="clear" w:color="auto" w:fill="FFFF00"/>
            <w:tcMar>
              <w:top w:w="0" w:type="dxa"/>
              <w:left w:w="108" w:type="dxa"/>
              <w:bottom w:w="0" w:type="dxa"/>
              <w:right w:w="108" w:type="dxa"/>
            </w:tcMar>
            <w:vAlign w:val="center"/>
          </w:tcPr>
          <w:p w:rsidR="00711B14" w:rsidRPr="00711B14" w:rsidRDefault="00711B14" w:rsidP="00111912">
            <w:pPr>
              <w:spacing w:before="0" w:line="240" w:lineRule="auto"/>
              <w:jc w:val="center"/>
              <w:rPr>
                <w:rFonts w:ascii="Arial" w:hAnsi="Arial" w:cs="Arial"/>
                <w:b/>
                <w:sz w:val="20"/>
                <w:szCs w:val="20"/>
              </w:rPr>
            </w:pPr>
            <w:r w:rsidRPr="00711B14">
              <w:rPr>
                <w:rFonts w:ascii="Arial" w:hAnsi="Arial" w:cs="Arial"/>
                <w:b/>
                <w:sz w:val="20"/>
                <w:szCs w:val="20"/>
              </w:rPr>
              <w:t>-</w:t>
            </w:r>
          </w:p>
        </w:tc>
        <w:tc>
          <w:tcPr>
            <w:tcW w:w="725" w:type="dxa"/>
            <w:shd w:val="clear" w:color="auto" w:fill="FFFF00"/>
            <w:tcMar>
              <w:top w:w="0" w:type="dxa"/>
              <w:left w:w="108" w:type="dxa"/>
              <w:bottom w:w="0" w:type="dxa"/>
              <w:right w:w="108" w:type="dxa"/>
            </w:tcMar>
            <w:vAlign w:val="center"/>
          </w:tcPr>
          <w:p w:rsidR="00711B14" w:rsidRPr="00711B14" w:rsidRDefault="00711B14" w:rsidP="00111912">
            <w:pPr>
              <w:spacing w:before="0" w:line="240" w:lineRule="auto"/>
              <w:jc w:val="center"/>
              <w:rPr>
                <w:rFonts w:ascii="Arial" w:hAnsi="Arial" w:cs="Arial"/>
                <w:b/>
                <w:sz w:val="20"/>
                <w:szCs w:val="20"/>
              </w:rPr>
            </w:pPr>
            <w:r w:rsidRPr="00711B14">
              <w:rPr>
                <w:rFonts w:ascii="Arial" w:hAnsi="Arial" w:cs="Arial"/>
                <w:b/>
                <w:sz w:val="20"/>
                <w:szCs w:val="20"/>
              </w:rPr>
              <w:t>-</w:t>
            </w:r>
          </w:p>
        </w:tc>
        <w:tc>
          <w:tcPr>
            <w:tcW w:w="1101" w:type="dxa"/>
            <w:shd w:val="clear" w:color="auto" w:fill="FFFF00"/>
            <w:tcMar>
              <w:top w:w="0" w:type="dxa"/>
              <w:left w:w="108" w:type="dxa"/>
              <w:bottom w:w="0" w:type="dxa"/>
              <w:right w:w="108" w:type="dxa"/>
            </w:tcMar>
            <w:vAlign w:val="center"/>
          </w:tcPr>
          <w:p w:rsidR="00711B14" w:rsidRPr="00711B14" w:rsidRDefault="00711B14" w:rsidP="00111912">
            <w:pPr>
              <w:spacing w:before="0" w:line="240" w:lineRule="auto"/>
              <w:jc w:val="center"/>
              <w:rPr>
                <w:rFonts w:ascii="Arial" w:hAnsi="Arial" w:cs="Arial"/>
                <w:b/>
                <w:sz w:val="20"/>
                <w:szCs w:val="20"/>
              </w:rPr>
            </w:pPr>
            <w:r w:rsidRPr="00711B14">
              <w:rPr>
                <w:rFonts w:ascii="Arial" w:hAnsi="Arial" w:cs="Arial"/>
                <w:b/>
                <w:sz w:val="20"/>
                <w:szCs w:val="20"/>
              </w:rPr>
              <w:t>-</w:t>
            </w:r>
          </w:p>
        </w:tc>
        <w:tc>
          <w:tcPr>
            <w:tcW w:w="790" w:type="dxa"/>
            <w:shd w:val="clear" w:color="auto" w:fill="FFFF00"/>
            <w:tcMar>
              <w:top w:w="0" w:type="dxa"/>
              <w:left w:w="108" w:type="dxa"/>
              <w:bottom w:w="0" w:type="dxa"/>
              <w:right w:w="108" w:type="dxa"/>
            </w:tcMar>
            <w:vAlign w:val="center"/>
          </w:tcPr>
          <w:p w:rsidR="00711B14" w:rsidRPr="00711B14" w:rsidRDefault="00711B14" w:rsidP="00111912">
            <w:pPr>
              <w:spacing w:before="0" w:line="240" w:lineRule="auto"/>
              <w:jc w:val="center"/>
              <w:rPr>
                <w:rFonts w:ascii="Arial" w:hAnsi="Arial" w:cs="Arial"/>
                <w:b/>
                <w:sz w:val="20"/>
                <w:szCs w:val="20"/>
              </w:rPr>
            </w:pPr>
            <w:r w:rsidRPr="00711B14">
              <w:rPr>
                <w:rFonts w:ascii="Arial" w:hAnsi="Arial" w:cs="Arial"/>
                <w:b/>
                <w:sz w:val="20"/>
                <w:szCs w:val="20"/>
              </w:rPr>
              <w:t>5</w:t>
            </w:r>
          </w:p>
        </w:tc>
        <w:tc>
          <w:tcPr>
            <w:tcW w:w="771" w:type="dxa"/>
            <w:shd w:val="clear" w:color="auto" w:fill="FFFF00"/>
            <w:tcMar>
              <w:top w:w="0" w:type="dxa"/>
              <w:left w:w="108" w:type="dxa"/>
              <w:bottom w:w="0" w:type="dxa"/>
              <w:right w:w="108" w:type="dxa"/>
            </w:tcMar>
            <w:vAlign w:val="center"/>
          </w:tcPr>
          <w:p w:rsidR="00711B14" w:rsidRPr="00711B14" w:rsidRDefault="00711B14" w:rsidP="00111912">
            <w:pPr>
              <w:spacing w:before="0" w:line="240" w:lineRule="auto"/>
              <w:jc w:val="center"/>
              <w:rPr>
                <w:rFonts w:ascii="Arial" w:hAnsi="Arial" w:cs="Arial"/>
                <w:b/>
                <w:sz w:val="20"/>
                <w:szCs w:val="20"/>
              </w:rPr>
            </w:pPr>
            <w:r w:rsidRPr="00711B14">
              <w:rPr>
                <w:rFonts w:ascii="Arial" w:hAnsi="Arial" w:cs="Arial"/>
                <w:b/>
                <w:sz w:val="20"/>
                <w:szCs w:val="20"/>
              </w:rPr>
              <w:t>1</w:t>
            </w:r>
          </w:p>
        </w:tc>
        <w:tc>
          <w:tcPr>
            <w:tcW w:w="716" w:type="dxa"/>
            <w:shd w:val="clear" w:color="auto" w:fill="FFFF00"/>
            <w:tcMar>
              <w:top w:w="0" w:type="dxa"/>
              <w:left w:w="108" w:type="dxa"/>
              <w:bottom w:w="0" w:type="dxa"/>
              <w:right w:w="108" w:type="dxa"/>
            </w:tcMar>
            <w:vAlign w:val="center"/>
          </w:tcPr>
          <w:p w:rsidR="00711B14" w:rsidRPr="00711B14" w:rsidRDefault="00711B14" w:rsidP="00111912">
            <w:pPr>
              <w:spacing w:before="0" w:line="240" w:lineRule="auto"/>
              <w:jc w:val="center"/>
              <w:rPr>
                <w:rFonts w:ascii="Arial" w:hAnsi="Arial" w:cs="Arial"/>
                <w:b/>
                <w:sz w:val="20"/>
                <w:szCs w:val="20"/>
              </w:rPr>
            </w:pPr>
            <w:r w:rsidRPr="00711B14">
              <w:rPr>
                <w:rFonts w:ascii="Arial" w:hAnsi="Arial" w:cs="Arial"/>
                <w:b/>
                <w:sz w:val="20"/>
                <w:szCs w:val="20"/>
              </w:rPr>
              <w:t>-</w:t>
            </w:r>
          </w:p>
        </w:tc>
        <w:tc>
          <w:tcPr>
            <w:tcW w:w="1100" w:type="dxa"/>
            <w:shd w:val="clear" w:color="auto" w:fill="FFFF00"/>
            <w:tcMar>
              <w:top w:w="0" w:type="dxa"/>
              <w:left w:w="108" w:type="dxa"/>
              <w:bottom w:w="0" w:type="dxa"/>
              <w:right w:w="108" w:type="dxa"/>
            </w:tcMar>
            <w:vAlign w:val="center"/>
          </w:tcPr>
          <w:p w:rsidR="00711B14" w:rsidRPr="00711B14" w:rsidRDefault="00711B14" w:rsidP="00111912">
            <w:pPr>
              <w:spacing w:before="0" w:line="240" w:lineRule="auto"/>
              <w:jc w:val="center"/>
              <w:rPr>
                <w:rFonts w:ascii="Arial" w:hAnsi="Arial" w:cs="Arial"/>
                <w:b/>
                <w:sz w:val="20"/>
                <w:szCs w:val="20"/>
              </w:rPr>
            </w:pPr>
            <w:r w:rsidRPr="00711B14">
              <w:rPr>
                <w:rFonts w:ascii="Arial" w:hAnsi="Arial" w:cs="Arial"/>
                <w:b/>
                <w:sz w:val="20"/>
                <w:szCs w:val="20"/>
              </w:rPr>
              <w:t>3</w:t>
            </w:r>
          </w:p>
        </w:tc>
      </w:tr>
      <w:tr w:rsidR="00B22CAB" w:rsidRPr="00711B14" w:rsidTr="00305EF5">
        <w:trPr>
          <w:trHeight w:val="397"/>
          <w:jc w:val="center"/>
        </w:trPr>
        <w:tc>
          <w:tcPr>
            <w:tcW w:w="1331" w:type="dxa"/>
            <w:shd w:val="clear" w:color="auto" w:fill="auto"/>
            <w:vAlign w:val="center"/>
          </w:tcPr>
          <w:p w:rsidR="00711B14" w:rsidRPr="00711B14" w:rsidRDefault="00711B14" w:rsidP="00D06609">
            <w:pPr>
              <w:spacing w:before="0" w:line="240" w:lineRule="auto"/>
              <w:jc w:val="center"/>
              <w:rPr>
                <w:rFonts w:ascii="Arial" w:hAnsi="Arial" w:cs="Arial"/>
                <w:b/>
                <w:sz w:val="20"/>
                <w:szCs w:val="20"/>
              </w:rPr>
            </w:pPr>
            <w:r w:rsidRPr="00711B14">
              <w:rPr>
                <w:rFonts w:ascii="Arial" w:hAnsi="Arial" w:cs="Arial"/>
                <w:b/>
                <w:sz w:val="20"/>
                <w:szCs w:val="20"/>
              </w:rPr>
              <w:t>RO</w:t>
            </w:r>
          </w:p>
        </w:tc>
        <w:tc>
          <w:tcPr>
            <w:tcW w:w="1814" w:type="dxa"/>
            <w:shd w:val="clear" w:color="auto" w:fill="auto"/>
            <w:tcMar>
              <w:top w:w="0" w:type="dxa"/>
              <w:left w:w="108" w:type="dxa"/>
              <w:bottom w:w="0" w:type="dxa"/>
              <w:right w:w="108" w:type="dxa"/>
            </w:tcMar>
            <w:vAlign w:val="center"/>
          </w:tcPr>
          <w:p w:rsidR="00711B14" w:rsidRPr="00711B14" w:rsidRDefault="00711B14" w:rsidP="00111912">
            <w:pPr>
              <w:spacing w:before="0" w:line="240" w:lineRule="auto"/>
              <w:jc w:val="center"/>
              <w:rPr>
                <w:rFonts w:ascii="Arial" w:hAnsi="Arial" w:cs="Arial"/>
                <w:b/>
                <w:sz w:val="20"/>
                <w:szCs w:val="20"/>
              </w:rPr>
            </w:pPr>
            <w:r w:rsidRPr="00711B14">
              <w:rPr>
                <w:rFonts w:ascii="Arial" w:hAnsi="Arial" w:cs="Arial"/>
                <w:b/>
                <w:sz w:val="20"/>
                <w:szCs w:val="20"/>
              </w:rPr>
              <w:t>6</w:t>
            </w:r>
          </w:p>
        </w:tc>
        <w:tc>
          <w:tcPr>
            <w:tcW w:w="761" w:type="dxa"/>
            <w:shd w:val="clear" w:color="auto" w:fill="auto"/>
            <w:tcMar>
              <w:top w:w="0" w:type="dxa"/>
              <w:left w:w="108" w:type="dxa"/>
              <w:bottom w:w="0" w:type="dxa"/>
              <w:right w:w="108" w:type="dxa"/>
            </w:tcMar>
            <w:vAlign w:val="center"/>
          </w:tcPr>
          <w:p w:rsidR="00711B14" w:rsidRPr="00711B14" w:rsidRDefault="00711B14" w:rsidP="00111912">
            <w:pPr>
              <w:spacing w:before="0" w:line="240" w:lineRule="auto"/>
              <w:jc w:val="center"/>
              <w:rPr>
                <w:rFonts w:ascii="Arial" w:hAnsi="Arial" w:cs="Arial"/>
                <w:b/>
                <w:sz w:val="20"/>
                <w:szCs w:val="20"/>
              </w:rPr>
            </w:pPr>
            <w:r w:rsidRPr="00711B14">
              <w:rPr>
                <w:rFonts w:ascii="Arial" w:hAnsi="Arial" w:cs="Arial"/>
                <w:b/>
                <w:sz w:val="20"/>
                <w:szCs w:val="20"/>
              </w:rPr>
              <w:t>2</w:t>
            </w:r>
          </w:p>
        </w:tc>
        <w:tc>
          <w:tcPr>
            <w:tcW w:w="807" w:type="dxa"/>
            <w:shd w:val="clear" w:color="auto" w:fill="auto"/>
            <w:tcMar>
              <w:top w:w="0" w:type="dxa"/>
              <w:left w:w="108" w:type="dxa"/>
              <w:bottom w:w="0" w:type="dxa"/>
              <w:right w:w="108" w:type="dxa"/>
            </w:tcMar>
            <w:vAlign w:val="center"/>
          </w:tcPr>
          <w:p w:rsidR="00711B14" w:rsidRPr="00711B14" w:rsidRDefault="00711B14" w:rsidP="00111912">
            <w:pPr>
              <w:spacing w:before="0" w:line="240" w:lineRule="auto"/>
              <w:jc w:val="center"/>
              <w:rPr>
                <w:rFonts w:ascii="Arial" w:hAnsi="Arial" w:cs="Arial"/>
                <w:b/>
                <w:sz w:val="20"/>
                <w:szCs w:val="20"/>
              </w:rPr>
            </w:pPr>
            <w:r w:rsidRPr="00711B14">
              <w:rPr>
                <w:rFonts w:ascii="Arial" w:hAnsi="Arial" w:cs="Arial"/>
                <w:b/>
                <w:sz w:val="20"/>
                <w:szCs w:val="20"/>
              </w:rPr>
              <w:t>-</w:t>
            </w:r>
          </w:p>
        </w:tc>
        <w:tc>
          <w:tcPr>
            <w:tcW w:w="753" w:type="dxa"/>
            <w:shd w:val="clear" w:color="auto" w:fill="auto"/>
            <w:tcMar>
              <w:top w:w="0" w:type="dxa"/>
              <w:left w:w="108" w:type="dxa"/>
              <w:bottom w:w="0" w:type="dxa"/>
              <w:right w:w="108" w:type="dxa"/>
            </w:tcMar>
            <w:vAlign w:val="center"/>
          </w:tcPr>
          <w:p w:rsidR="00711B14" w:rsidRPr="00711B14" w:rsidRDefault="00711B14" w:rsidP="00111912">
            <w:pPr>
              <w:spacing w:before="0" w:line="240" w:lineRule="auto"/>
              <w:jc w:val="center"/>
              <w:rPr>
                <w:rFonts w:ascii="Arial" w:hAnsi="Arial" w:cs="Arial"/>
                <w:b/>
                <w:sz w:val="20"/>
                <w:szCs w:val="20"/>
              </w:rPr>
            </w:pPr>
            <w:r w:rsidRPr="00711B14">
              <w:rPr>
                <w:rFonts w:ascii="Arial" w:hAnsi="Arial" w:cs="Arial"/>
                <w:b/>
                <w:sz w:val="20"/>
                <w:szCs w:val="20"/>
              </w:rPr>
              <w:t>-</w:t>
            </w:r>
          </w:p>
        </w:tc>
        <w:tc>
          <w:tcPr>
            <w:tcW w:w="1100" w:type="dxa"/>
            <w:shd w:val="clear" w:color="auto" w:fill="auto"/>
            <w:tcMar>
              <w:top w:w="0" w:type="dxa"/>
              <w:left w:w="108" w:type="dxa"/>
              <w:bottom w:w="0" w:type="dxa"/>
              <w:right w:w="108" w:type="dxa"/>
            </w:tcMar>
            <w:vAlign w:val="center"/>
          </w:tcPr>
          <w:p w:rsidR="00711B14" w:rsidRPr="00711B14" w:rsidRDefault="00711B14" w:rsidP="00111912">
            <w:pPr>
              <w:spacing w:before="0" w:line="240" w:lineRule="auto"/>
              <w:jc w:val="center"/>
              <w:rPr>
                <w:rFonts w:ascii="Arial" w:hAnsi="Arial" w:cs="Arial"/>
                <w:b/>
                <w:sz w:val="20"/>
                <w:szCs w:val="20"/>
              </w:rPr>
            </w:pPr>
            <w:r w:rsidRPr="00711B14">
              <w:rPr>
                <w:rFonts w:ascii="Arial" w:hAnsi="Arial" w:cs="Arial"/>
                <w:b/>
                <w:sz w:val="20"/>
                <w:szCs w:val="20"/>
              </w:rPr>
              <w:t>-</w:t>
            </w:r>
          </w:p>
        </w:tc>
        <w:tc>
          <w:tcPr>
            <w:tcW w:w="799" w:type="dxa"/>
            <w:shd w:val="clear" w:color="auto" w:fill="auto"/>
            <w:tcMar>
              <w:top w:w="0" w:type="dxa"/>
              <w:left w:w="108" w:type="dxa"/>
              <w:bottom w:w="0" w:type="dxa"/>
              <w:right w:w="108" w:type="dxa"/>
            </w:tcMar>
            <w:vAlign w:val="center"/>
          </w:tcPr>
          <w:p w:rsidR="00711B14" w:rsidRPr="00711B14" w:rsidRDefault="00711B14" w:rsidP="00111912">
            <w:pPr>
              <w:spacing w:before="0" w:line="240" w:lineRule="auto"/>
              <w:jc w:val="center"/>
              <w:rPr>
                <w:rFonts w:ascii="Arial" w:hAnsi="Arial" w:cs="Arial"/>
                <w:b/>
                <w:sz w:val="20"/>
                <w:szCs w:val="20"/>
              </w:rPr>
            </w:pPr>
            <w:r w:rsidRPr="00711B14">
              <w:rPr>
                <w:rFonts w:ascii="Arial" w:hAnsi="Arial" w:cs="Arial"/>
                <w:b/>
                <w:sz w:val="20"/>
                <w:szCs w:val="20"/>
              </w:rPr>
              <w:t>-</w:t>
            </w:r>
          </w:p>
        </w:tc>
        <w:tc>
          <w:tcPr>
            <w:tcW w:w="754" w:type="dxa"/>
            <w:shd w:val="clear" w:color="auto" w:fill="auto"/>
            <w:tcMar>
              <w:top w:w="0" w:type="dxa"/>
              <w:left w:w="108" w:type="dxa"/>
              <w:bottom w:w="0" w:type="dxa"/>
              <w:right w:w="108" w:type="dxa"/>
            </w:tcMar>
            <w:vAlign w:val="center"/>
          </w:tcPr>
          <w:p w:rsidR="00711B14" w:rsidRPr="00711B14" w:rsidRDefault="00711B14" w:rsidP="00111912">
            <w:pPr>
              <w:spacing w:before="0" w:line="240" w:lineRule="auto"/>
              <w:jc w:val="center"/>
              <w:rPr>
                <w:rFonts w:ascii="Arial" w:hAnsi="Arial" w:cs="Arial"/>
                <w:b/>
                <w:sz w:val="20"/>
                <w:szCs w:val="20"/>
              </w:rPr>
            </w:pPr>
            <w:r w:rsidRPr="00711B14">
              <w:rPr>
                <w:rFonts w:ascii="Arial" w:hAnsi="Arial" w:cs="Arial"/>
                <w:b/>
                <w:sz w:val="20"/>
                <w:szCs w:val="20"/>
              </w:rPr>
              <w:t>2</w:t>
            </w:r>
          </w:p>
        </w:tc>
        <w:tc>
          <w:tcPr>
            <w:tcW w:w="725" w:type="dxa"/>
            <w:shd w:val="clear" w:color="auto" w:fill="auto"/>
            <w:tcMar>
              <w:top w:w="0" w:type="dxa"/>
              <w:left w:w="108" w:type="dxa"/>
              <w:bottom w:w="0" w:type="dxa"/>
              <w:right w:w="108" w:type="dxa"/>
            </w:tcMar>
            <w:vAlign w:val="center"/>
          </w:tcPr>
          <w:p w:rsidR="00711B14" w:rsidRPr="00711B14" w:rsidRDefault="00711B14" w:rsidP="00111912">
            <w:pPr>
              <w:spacing w:before="0" w:line="240" w:lineRule="auto"/>
              <w:jc w:val="center"/>
              <w:rPr>
                <w:rFonts w:ascii="Arial" w:hAnsi="Arial" w:cs="Arial"/>
                <w:b/>
                <w:sz w:val="20"/>
                <w:szCs w:val="20"/>
              </w:rPr>
            </w:pPr>
            <w:r w:rsidRPr="00711B14">
              <w:rPr>
                <w:rFonts w:ascii="Arial" w:hAnsi="Arial" w:cs="Arial"/>
                <w:b/>
                <w:sz w:val="20"/>
                <w:szCs w:val="20"/>
              </w:rPr>
              <w:t>-</w:t>
            </w:r>
          </w:p>
        </w:tc>
        <w:tc>
          <w:tcPr>
            <w:tcW w:w="1101" w:type="dxa"/>
            <w:shd w:val="clear" w:color="auto" w:fill="auto"/>
            <w:tcMar>
              <w:top w:w="0" w:type="dxa"/>
              <w:left w:w="108" w:type="dxa"/>
              <w:bottom w:w="0" w:type="dxa"/>
              <w:right w:w="108" w:type="dxa"/>
            </w:tcMar>
            <w:vAlign w:val="center"/>
          </w:tcPr>
          <w:p w:rsidR="00711B14" w:rsidRPr="00711B14" w:rsidRDefault="00711B14" w:rsidP="00111912">
            <w:pPr>
              <w:spacing w:before="0" w:line="240" w:lineRule="auto"/>
              <w:jc w:val="center"/>
              <w:rPr>
                <w:rFonts w:ascii="Arial" w:hAnsi="Arial" w:cs="Arial"/>
                <w:b/>
                <w:sz w:val="20"/>
                <w:szCs w:val="20"/>
              </w:rPr>
            </w:pPr>
            <w:r w:rsidRPr="00711B14">
              <w:rPr>
                <w:rFonts w:ascii="Arial" w:hAnsi="Arial" w:cs="Arial"/>
                <w:b/>
                <w:sz w:val="20"/>
                <w:szCs w:val="20"/>
              </w:rPr>
              <w:t>-</w:t>
            </w:r>
          </w:p>
        </w:tc>
        <w:tc>
          <w:tcPr>
            <w:tcW w:w="790" w:type="dxa"/>
            <w:shd w:val="clear" w:color="auto" w:fill="auto"/>
            <w:tcMar>
              <w:top w:w="0" w:type="dxa"/>
              <w:left w:w="108" w:type="dxa"/>
              <w:bottom w:w="0" w:type="dxa"/>
              <w:right w:w="108" w:type="dxa"/>
            </w:tcMar>
            <w:vAlign w:val="center"/>
          </w:tcPr>
          <w:p w:rsidR="00711B14" w:rsidRPr="00711B14" w:rsidRDefault="00711B14" w:rsidP="00111912">
            <w:pPr>
              <w:spacing w:before="0" w:line="240" w:lineRule="auto"/>
              <w:jc w:val="center"/>
              <w:rPr>
                <w:rFonts w:ascii="Arial" w:hAnsi="Arial" w:cs="Arial"/>
                <w:b/>
                <w:sz w:val="20"/>
                <w:szCs w:val="20"/>
              </w:rPr>
            </w:pPr>
            <w:r w:rsidRPr="00711B14">
              <w:rPr>
                <w:rFonts w:ascii="Arial" w:hAnsi="Arial" w:cs="Arial"/>
                <w:b/>
                <w:sz w:val="20"/>
                <w:szCs w:val="20"/>
              </w:rPr>
              <w:t>1</w:t>
            </w:r>
          </w:p>
        </w:tc>
        <w:tc>
          <w:tcPr>
            <w:tcW w:w="771" w:type="dxa"/>
            <w:shd w:val="clear" w:color="auto" w:fill="auto"/>
            <w:tcMar>
              <w:top w:w="0" w:type="dxa"/>
              <w:left w:w="108" w:type="dxa"/>
              <w:bottom w:w="0" w:type="dxa"/>
              <w:right w:w="108" w:type="dxa"/>
            </w:tcMar>
            <w:vAlign w:val="center"/>
          </w:tcPr>
          <w:p w:rsidR="00711B14" w:rsidRPr="00711B14" w:rsidRDefault="00711B14" w:rsidP="00111912">
            <w:pPr>
              <w:spacing w:before="0" w:line="240" w:lineRule="auto"/>
              <w:jc w:val="center"/>
              <w:rPr>
                <w:rFonts w:ascii="Arial" w:hAnsi="Arial" w:cs="Arial"/>
                <w:b/>
                <w:sz w:val="20"/>
                <w:szCs w:val="20"/>
              </w:rPr>
            </w:pPr>
            <w:r w:rsidRPr="00711B14">
              <w:rPr>
                <w:rFonts w:ascii="Arial" w:hAnsi="Arial" w:cs="Arial"/>
                <w:b/>
                <w:sz w:val="20"/>
                <w:szCs w:val="20"/>
              </w:rPr>
              <w:t>-</w:t>
            </w:r>
          </w:p>
        </w:tc>
        <w:tc>
          <w:tcPr>
            <w:tcW w:w="716" w:type="dxa"/>
            <w:shd w:val="clear" w:color="auto" w:fill="auto"/>
            <w:tcMar>
              <w:top w:w="0" w:type="dxa"/>
              <w:left w:w="108" w:type="dxa"/>
              <w:bottom w:w="0" w:type="dxa"/>
              <w:right w:w="108" w:type="dxa"/>
            </w:tcMar>
            <w:vAlign w:val="center"/>
          </w:tcPr>
          <w:p w:rsidR="00711B14" w:rsidRPr="00711B14" w:rsidRDefault="00711B14" w:rsidP="00111912">
            <w:pPr>
              <w:spacing w:before="0" w:line="240" w:lineRule="auto"/>
              <w:jc w:val="center"/>
              <w:rPr>
                <w:rFonts w:ascii="Arial" w:hAnsi="Arial" w:cs="Arial"/>
                <w:b/>
                <w:sz w:val="20"/>
                <w:szCs w:val="20"/>
              </w:rPr>
            </w:pPr>
            <w:r w:rsidRPr="00711B14">
              <w:rPr>
                <w:rFonts w:ascii="Arial" w:hAnsi="Arial" w:cs="Arial"/>
                <w:b/>
                <w:sz w:val="20"/>
                <w:szCs w:val="20"/>
              </w:rPr>
              <w:t>-</w:t>
            </w:r>
          </w:p>
        </w:tc>
        <w:tc>
          <w:tcPr>
            <w:tcW w:w="1100" w:type="dxa"/>
            <w:shd w:val="clear" w:color="auto" w:fill="auto"/>
            <w:tcMar>
              <w:top w:w="0" w:type="dxa"/>
              <w:left w:w="108" w:type="dxa"/>
              <w:bottom w:w="0" w:type="dxa"/>
              <w:right w:w="108" w:type="dxa"/>
            </w:tcMar>
            <w:vAlign w:val="center"/>
          </w:tcPr>
          <w:p w:rsidR="00711B14" w:rsidRPr="00711B14" w:rsidRDefault="00711B14" w:rsidP="00111912">
            <w:pPr>
              <w:spacing w:before="0" w:line="240" w:lineRule="auto"/>
              <w:jc w:val="center"/>
              <w:rPr>
                <w:rFonts w:ascii="Arial" w:hAnsi="Arial" w:cs="Arial"/>
                <w:b/>
                <w:sz w:val="20"/>
                <w:szCs w:val="20"/>
              </w:rPr>
            </w:pPr>
            <w:r w:rsidRPr="00711B14">
              <w:rPr>
                <w:rFonts w:ascii="Arial" w:hAnsi="Arial" w:cs="Arial"/>
                <w:b/>
                <w:sz w:val="20"/>
                <w:szCs w:val="20"/>
              </w:rPr>
              <w:t>1</w:t>
            </w:r>
          </w:p>
        </w:tc>
      </w:tr>
      <w:tr w:rsidR="00B22CAB" w:rsidRPr="00711B14" w:rsidTr="00305EF5">
        <w:trPr>
          <w:trHeight w:val="397"/>
          <w:jc w:val="center"/>
        </w:trPr>
        <w:tc>
          <w:tcPr>
            <w:tcW w:w="1331" w:type="dxa"/>
            <w:shd w:val="clear" w:color="auto" w:fill="auto"/>
            <w:vAlign w:val="center"/>
          </w:tcPr>
          <w:p w:rsidR="00711B14" w:rsidRPr="00711B14" w:rsidRDefault="00711B14" w:rsidP="00D06609">
            <w:pPr>
              <w:spacing w:before="0" w:line="240" w:lineRule="auto"/>
              <w:jc w:val="center"/>
              <w:rPr>
                <w:rFonts w:ascii="Arial" w:hAnsi="Arial" w:cs="Arial"/>
                <w:b/>
                <w:sz w:val="20"/>
                <w:szCs w:val="20"/>
              </w:rPr>
            </w:pPr>
            <w:r w:rsidRPr="00F770F2">
              <w:rPr>
                <w:rFonts w:ascii="Arial" w:hAnsi="Arial" w:cs="Arial"/>
                <w:b/>
                <w:sz w:val="20"/>
                <w:szCs w:val="20"/>
              </w:rPr>
              <w:t>EL</w:t>
            </w:r>
            <w:r w:rsidRPr="00711B14">
              <w:rPr>
                <w:rStyle w:val="Znakapoznpodarou"/>
                <w:rFonts w:ascii="Arial" w:hAnsi="Arial" w:cs="Arial"/>
                <w:b/>
                <w:sz w:val="20"/>
                <w:szCs w:val="20"/>
              </w:rPr>
              <w:footnoteReference w:id="10"/>
            </w:r>
          </w:p>
        </w:tc>
        <w:tc>
          <w:tcPr>
            <w:tcW w:w="1814" w:type="dxa"/>
            <w:shd w:val="clear" w:color="auto" w:fill="auto"/>
            <w:tcMar>
              <w:top w:w="0" w:type="dxa"/>
              <w:left w:w="108" w:type="dxa"/>
              <w:bottom w:w="0" w:type="dxa"/>
              <w:right w:w="108" w:type="dxa"/>
            </w:tcMar>
            <w:vAlign w:val="center"/>
          </w:tcPr>
          <w:p w:rsidR="00711B14" w:rsidRPr="00711B14" w:rsidRDefault="00711B14" w:rsidP="00111912">
            <w:pPr>
              <w:spacing w:before="0" w:line="240" w:lineRule="auto"/>
              <w:jc w:val="center"/>
              <w:rPr>
                <w:rFonts w:ascii="Arial" w:hAnsi="Arial" w:cs="Arial"/>
                <w:b/>
                <w:sz w:val="20"/>
                <w:szCs w:val="20"/>
              </w:rPr>
            </w:pPr>
            <w:r w:rsidRPr="00711B14">
              <w:rPr>
                <w:rFonts w:ascii="Arial" w:hAnsi="Arial" w:cs="Arial"/>
                <w:b/>
                <w:sz w:val="20"/>
                <w:szCs w:val="20"/>
              </w:rPr>
              <w:t>18</w:t>
            </w:r>
          </w:p>
        </w:tc>
        <w:tc>
          <w:tcPr>
            <w:tcW w:w="761" w:type="dxa"/>
            <w:shd w:val="clear" w:color="auto" w:fill="auto"/>
            <w:tcMar>
              <w:top w:w="0" w:type="dxa"/>
              <w:left w:w="108" w:type="dxa"/>
              <w:bottom w:w="0" w:type="dxa"/>
              <w:right w:w="108" w:type="dxa"/>
            </w:tcMar>
            <w:vAlign w:val="center"/>
          </w:tcPr>
          <w:p w:rsidR="00711B14" w:rsidRPr="00711B14" w:rsidRDefault="00711B14" w:rsidP="00111912">
            <w:pPr>
              <w:spacing w:before="0" w:line="240" w:lineRule="auto"/>
              <w:jc w:val="center"/>
              <w:rPr>
                <w:rFonts w:ascii="Arial" w:hAnsi="Arial" w:cs="Arial"/>
                <w:b/>
                <w:sz w:val="20"/>
                <w:szCs w:val="20"/>
              </w:rPr>
            </w:pPr>
            <w:r w:rsidRPr="00711B14">
              <w:rPr>
                <w:rFonts w:ascii="Arial" w:hAnsi="Arial" w:cs="Arial"/>
                <w:b/>
                <w:sz w:val="20"/>
                <w:szCs w:val="20"/>
              </w:rPr>
              <w:t>-</w:t>
            </w:r>
          </w:p>
        </w:tc>
        <w:tc>
          <w:tcPr>
            <w:tcW w:w="807" w:type="dxa"/>
            <w:shd w:val="clear" w:color="auto" w:fill="auto"/>
            <w:tcMar>
              <w:top w:w="0" w:type="dxa"/>
              <w:left w:w="108" w:type="dxa"/>
              <w:bottom w:w="0" w:type="dxa"/>
              <w:right w:w="108" w:type="dxa"/>
            </w:tcMar>
            <w:vAlign w:val="center"/>
          </w:tcPr>
          <w:p w:rsidR="00711B14" w:rsidRPr="00711B14" w:rsidRDefault="00711B14" w:rsidP="00111912">
            <w:pPr>
              <w:spacing w:before="0" w:line="240" w:lineRule="auto"/>
              <w:jc w:val="center"/>
              <w:rPr>
                <w:rFonts w:ascii="Arial" w:hAnsi="Arial" w:cs="Arial"/>
                <w:b/>
                <w:sz w:val="20"/>
                <w:szCs w:val="20"/>
              </w:rPr>
            </w:pPr>
            <w:r w:rsidRPr="00711B14">
              <w:rPr>
                <w:rFonts w:ascii="Arial" w:hAnsi="Arial" w:cs="Arial"/>
                <w:b/>
                <w:sz w:val="20"/>
                <w:szCs w:val="20"/>
              </w:rPr>
              <w:t>2</w:t>
            </w:r>
          </w:p>
        </w:tc>
        <w:tc>
          <w:tcPr>
            <w:tcW w:w="753" w:type="dxa"/>
            <w:shd w:val="clear" w:color="auto" w:fill="auto"/>
            <w:tcMar>
              <w:top w:w="0" w:type="dxa"/>
              <w:left w:w="108" w:type="dxa"/>
              <w:bottom w:w="0" w:type="dxa"/>
              <w:right w:w="108" w:type="dxa"/>
            </w:tcMar>
            <w:vAlign w:val="center"/>
          </w:tcPr>
          <w:p w:rsidR="00711B14" w:rsidRPr="00711B14" w:rsidRDefault="00711B14" w:rsidP="00111912">
            <w:pPr>
              <w:spacing w:before="0" w:line="240" w:lineRule="auto"/>
              <w:jc w:val="center"/>
              <w:rPr>
                <w:rFonts w:ascii="Arial" w:hAnsi="Arial" w:cs="Arial"/>
                <w:b/>
                <w:sz w:val="20"/>
                <w:szCs w:val="20"/>
              </w:rPr>
            </w:pPr>
            <w:r w:rsidRPr="00711B14">
              <w:rPr>
                <w:rFonts w:ascii="Arial" w:hAnsi="Arial" w:cs="Arial"/>
                <w:b/>
                <w:sz w:val="20"/>
                <w:szCs w:val="20"/>
              </w:rPr>
              <w:t>-</w:t>
            </w:r>
          </w:p>
        </w:tc>
        <w:tc>
          <w:tcPr>
            <w:tcW w:w="1100" w:type="dxa"/>
            <w:shd w:val="clear" w:color="auto" w:fill="auto"/>
            <w:tcMar>
              <w:top w:w="0" w:type="dxa"/>
              <w:left w:w="108" w:type="dxa"/>
              <w:bottom w:w="0" w:type="dxa"/>
              <w:right w:w="108" w:type="dxa"/>
            </w:tcMar>
            <w:vAlign w:val="center"/>
          </w:tcPr>
          <w:p w:rsidR="00711B14" w:rsidRPr="00711B14" w:rsidRDefault="00711B14" w:rsidP="00111912">
            <w:pPr>
              <w:spacing w:before="0" w:line="240" w:lineRule="auto"/>
              <w:jc w:val="center"/>
              <w:rPr>
                <w:rFonts w:ascii="Arial" w:hAnsi="Arial" w:cs="Arial"/>
                <w:b/>
                <w:sz w:val="20"/>
                <w:szCs w:val="20"/>
              </w:rPr>
            </w:pPr>
            <w:r w:rsidRPr="00711B14">
              <w:rPr>
                <w:rFonts w:ascii="Arial" w:hAnsi="Arial" w:cs="Arial"/>
                <w:b/>
                <w:sz w:val="20"/>
                <w:szCs w:val="20"/>
              </w:rPr>
              <w:t>16</w:t>
            </w:r>
          </w:p>
        </w:tc>
        <w:tc>
          <w:tcPr>
            <w:tcW w:w="799" w:type="dxa"/>
            <w:shd w:val="clear" w:color="auto" w:fill="auto"/>
            <w:tcMar>
              <w:top w:w="0" w:type="dxa"/>
              <w:left w:w="108" w:type="dxa"/>
              <w:bottom w:w="0" w:type="dxa"/>
              <w:right w:w="108" w:type="dxa"/>
            </w:tcMar>
            <w:vAlign w:val="center"/>
          </w:tcPr>
          <w:p w:rsidR="00711B14" w:rsidRPr="00711B14" w:rsidRDefault="00711B14" w:rsidP="00111912">
            <w:pPr>
              <w:spacing w:before="0" w:line="240" w:lineRule="auto"/>
              <w:jc w:val="center"/>
              <w:rPr>
                <w:rFonts w:ascii="Arial" w:hAnsi="Arial" w:cs="Arial"/>
                <w:b/>
                <w:sz w:val="20"/>
                <w:szCs w:val="20"/>
              </w:rPr>
            </w:pPr>
            <w:r w:rsidRPr="00711B14">
              <w:rPr>
                <w:rFonts w:ascii="Arial" w:hAnsi="Arial" w:cs="Arial"/>
                <w:b/>
                <w:sz w:val="20"/>
                <w:szCs w:val="20"/>
              </w:rPr>
              <w:t>-</w:t>
            </w:r>
          </w:p>
        </w:tc>
        <w:tc>
          <w:tcPr>
            <w:tcW w:w="754" w:type="dxa"/>
            <w:shd w:val="clear" w:color="auto" w:fill="auto"/>
            <w:tcMar>
              <w:top w:w="0" w:type="dxa"/>
              <w:left w:w="108" w:type="dxa"/>
              <w:bottom w:w="0" w:type="dxa"/>
              <w:right w:w="108" w:type="dxa"/>
            </w:tcMar>
            <w:vAlign w:val="center"/>
          </w:tcPr>
          <w:p w:rsidR="00711B14" w:rsidRPr="00711B14" w:rsidRDefault="00711B14" w:rsidP="00111912">
            <w:pPr>
              <w:spacing w:before="0" w:line="240" w:lineRule="auto"/>
              <w:jc w:val="center"/>
              <w:rPr>
                <w:rFonts w:ascii="Arial" w:hAnsi="Arial" w:cs="Arial"/>
                <w:b/>
                <w:sz w:val="20"/>
                <w:szCs w:val="20"/>
              </w:rPr>
            </w:pPr>
            <w:r w:rsidRPr="00711B14">
              <w:rPr>
                <w:rFonts w:ascii="Arial" w:hAnsi="Arial" w:cs="Arial"/>
                <w:b/>
                <w:sz w:val="20"/>
                <w:szCs w:val="20"/>
              </w:rPr>
              <w:t>-</w:t>
            </w:r>
          </w:p>
        </w:tc>
        <w:tc>
          <w:tcPr>
            <w:tcW w:w="725" w:type="dxa"/>
            <w:shd w:val="clear" w:color="auto" w:fill="auto"/>
            <w:tcMar>
              <w:top w:w="0" w:type="dxa"/>
              <w:left w:w="108" w:type="dxa"/>
              <w:bottom w:w="0" w:type="dxa"/>
              <w:right w:w="108" w:type="dxa"/>
            </w:tcMar>
            <w:vAlign w:val="center"/>
          </w:tcPr>
          <w:p w:rsidR="00711B14" w:rsidRPr="00711B14" w:rsidRDefault="00711B14" w:rsidP="00111912">
            <w:pPr>
              <w:spacing w:before="0" w:line="240" w:lineRule="auto"/>
              <w:jc w:val="center"/>
              <w:rPr>
                <w:rFonts w:ascii="Arial" w:hAnsi="Arial" w:cs="Arial"/>
                <w:b/>
                <w:sz w:val="20"/>
                <w:szCs w:val="20"/>
              </w:rPr>
            </w:pPr>
            <w:r w:rsidRPr="00711B14">
              <w:rPr>
                <w:rFonts w:ascii="Arial" w:hAnsi="Arial" w:cs="Arial"/>
                <w:b/>
                <w:sz w:val="20"/>
                <w:szCs w:val="20"/>
              </w:rPr>
              <w:t>-</w:t>
            </w:r>
          </w:p>
        </w:tc>
        <w:tc>
          <w:tcPr>
            <w:tcW w:w="1101" w:type="dxa"/>
            <w:shd w:val="clear" w:color="auto" w:fill="auto"/>
            <w:tcMar>
              <w:top w:w="0" w:type="dxa"/>
              <w:left w:w="108" w:type="dxa"/>
              <w:bottom w:w="0" w:type="dxa"/>
              <w:right w:w="108" w:type="dxa"/>
            </w:tcMar>
            <w:vAlign w:val="center"/>
          </w:tcPr>
          <w:p w:rsidR="00711B14" w:rsidRPr="00711B14" w:rsidRDefault="00711B14" w:rsidP="00111912">
            <w:pPr>
              <w:spacing w:before="0" w:line="240" w:lineRule="auto"/>
              <w:jc w:val="center"/>
              <w:rPr>
                <w:rFonts w:ascii="Arial" w:hAnsi="Arial" w:cs="Arial"/>
                <w:b/>
                <w:sz w:val="20"/>
                <w:szCs w:val="20"/>
              </w:rPr>
            </w:pPr>
            <w:r w:rsidRPr="00711B14">
              <w:rPr>
                <w:rFonts w:ascii="Arial" w:hAnsi="Arial" w:cs="Arial"/>
                <w:b/>
                <w:sz w:val="20"/>
                <w:szCs w:val="20"/>
              </w:rPr>
              <w:t>-</w:t>
            </w:r>
          </w:p>
        </w:tc>
        <w:tc>
          <w:tcPr>
            <w:tcW w:w="790" w:type="dxa"/>
            <w:shd w:val="clear" w:color="auto" w:fill="auto"/>
            <w:tcMar>
              <w:top w:w="0" w:type="dxa"/>
              <w:left w:w="108" w:type="dxa"/>
              <w:bottom w:w="0" w:type="dxa"/>
              <w:right w:w="108" w:type="dxa"/>
            </w:tcMar>
            <w:vAlign w:val="center"/>
          </w:tcPr>
          <w:p w:rsidR="00711B14" w:rsidRPr="00711B14" w:rsidRDefault="00711B14" w:rsidP="00111912">
            <w:pPr>
              <w:spacing w:before="0" w:line="240" w:lineRule="auto"/>
              <w:jc w:val="center"/>
              <w:rPr>
                <w:rFonts w:ascii="Arial" w:hAnsi="Arial" w:cs="Arial"/>
                <w:b/>
                <w:sz w:val="20"/>
                <w:szCs w:val="20"/>
              </w:rPr>
            </w:pPr>
            <w:r w:rsidRPr="00711B14">
              <w:rPr>
                <w:rFonts w:ascii="Arial" w:hAnsi="Arial" w:cs="Arial"/>
                <w:b/>
                <w:sz w:val="20"/>
                <w:szCs w:val="20"/>
              </w:rPr>
              <w:t>-</w:t>
            </w:r>
          </w:p>
        </w:tc>
        <w:tc>
          <w:tcPr>
            <w:tcW w:w="771" w:type="dxa"/>
            <w:shd w:val="clear" w:color="auto" w:fill="auto"/>
            <w:tcMar>
              <w:top w:w="0" w:type="dxa"/>
              <w:left w:w="108" w:type="dxa"/>
              <w:bottom w:w="0" w:type="dxa"/>
              <w:right w:w="108" w:type="dxa"/>
            </w:tcMar>
            <w:vAlign w:val="center"/>
          </w:tcPr>
          <w:p w:rsidR="00711B14" w:rsidRPr="00711B14" w:rsidRDefault="00711B14" w:rsidP="00111912">
            <w:pPr>
              <w:spacing w:before="0" w:line="240" w:lineRule="auto"/>
              <w:jc w:val="center"/>
              <w:rPr>
                <w:rFonts w:ascii="Arial" w:hAnsi="Arial" w:cs="Arial"/>
                <w:b/>
                <w:sz w:val="20"/>
                <w:szCs w:val="20"/>
              </w:rPr>
            </w:pPr>
            <w:r w:rsidRPr="00711B14">
              <w:rPr>
                <w:rFonts w:ascii="Arial" w:hAnsi="Arial" w:cs="Arial"/>
                <w:b/>
                <w:sz w:val="20"/>
                <w:szCs w:val="20"/>
              </w:rPr>
              <w:t>-</w:t>
            </w:r>
          </w:p>
        </w:tc>
        <w:tc>
          <w:tcPr>
            <w:tcW w:w="716" w:type="dxa"/>
            <w:shd w:val="clear" w:color="auto" w:fill="auto"/>
            <w:tcMar>
              <w:top w:w="0" w:type="dxa"/>
              <w:left w:w="108" w:type="dxa"/>
              <w:bottom w:w="0" w:type="dxa"/>
              <w:right w:w="108" w:type="dxa"/>
            </w:tcMar>
            <w:vAlign w:val="center"/>
          </w:tcPr>
          <w:p w:rsidR="00711B14" w:rsidRPr="00711B14" w:rsidRDefault="00711B14" w:rsidP="00111912">
            <w:pPr>
              <w:spacing w:before="0" w:line="240" w:lineRule="auto"/>
              <w:jc w:val="center"/>
              <w:rPr>
                <w:rFonts w:ascii="Arial" w:hAnsi="Arial" w:cs="Arial"/>
                <w:b/>
                <w:sz w:val="20"/>
                <w:szCs w:val="20"/>
              </w:rPr>
            </w:pPr>
            <w:r w:rsidRPr="00711B14">
              <w:rPr>
                <w:rFonts w:ascii="Arial" w:hAnsi="Arial" w:cs="Arial"/>
                <w:b/>
                <w:sz w:val="20"/>
                <w:szCs w:val="20"/>
              </w:rPr>
              <w:t>-</w:t>
            </w:r>
          </w:p>
        </w:tc>
        <w:tc>
          <w:tcPr>
            <w:tcW w:w="1100" w:type="dxa"/>
            <w:shd w:val="clear" w:color="auto" w:fill="auto"/>
            <w:tcMar>
              <w:top w:w="0" w:type="dxa"/>
              <w:left w:w="108" w:type="dxa"/>
              <w:bottom w:w="0" w:type="dxa"/>
              <w:right w:w="108" w:type="dxa"/>
            </w:tcMar>
            <w:vAlign w:val="center"/>
          </w:tcPr>
          <w:p w:rsidR="00711B14" w:rsidRPr="00711B14" w:rsidRDefault="00711B14" w:rsidP="00111912">
            <w:pPr>
              <w:spacing w:before="0" w:line="240" w:lineRule="auto"/>
              <w:jc w:val="center"/>
              <w:rPr>
                <w:rFonts w:ascii="Arial" w:hAnsi="Arial" w:cs="Arial"/>
                <w:b/>
                <w:sz w:val="20"/>
                <w:szCs w:val="20"/>
              </w:rPr>
            </w:pPr>
            <w:r w:rsidRPr="00711B14">
              <w:rPr>
                <w:rFonts w:ascii="Arial" w:hAnsi="Arial" w:cs="Arial"/>
                <w:b/>
                <w:sz w:val="20"/>
                <w:szCs w:val="20"/>
              </w:rPr>
              <w:t>-</w:t>
            </w:r>
          </w:p>
        </w:tc>
      </w:tr>
      <w:tr w:rsidR="00B22CAB" w:rsidRPr="00B22CAB" w:rsidTr="00305EF5">
        <w:trPr>
          <w:trHeight w:val="397"/>
          <w:jc w:val="center"/>
        </w:trPr>
        <w:tc>
          <w:tcPr>
            <w:tcW w:w="1331" w:type="dxa"/>
            <w:shd w:val="clear" w:color="auto" w:fill="auto"/>
            <w:vAlign w:val="center"/>
          </w:tcPr>
          <w:p w:rsidR="00B22CAB" w:rsidRPr="00B22CAB" w:rsidRDefault="00B22CAB" w:rsidP="00D06609">
            <w:pPr>
              <w:spacing w:before="0" w:line="240" w:lineRule="auto"/>
              <w:jc w:val="center"/>
              <w:rPr>
                <w:rFonts w:ascii="Arial" w:hAnsi="Arial" w:cs="Arial"/>
                <w:b/>
                <w:sz w:val="20"/>
                <w:szCs w:val="20"/>
              </w:rPr>
            </w:pPr>
            <w:r w:rsidRPr="00B22CAB">
              <w:rPr>
                <w:rFonts w:ascii="Arial" w:hAnsi="Arial" w:cs="Arial"/>
                <w:b/>
                <w:sz w:val="20"/>
                <w:szCs w:val="20"/>
              </w:rPr>
              <w:t>PL</w:t>
            </w:r>
          </w:p>
        </w:tc>
        <w:tc>
          <w:tcPr>
            <w:tcW w:w="1814" w:type="dxa"/>
            <w:shd w:val="clear" w:color="auto" w:fill="auto"/>
            <w:tcMar>
              <w:top w:w="0" w:type="dxa"/>
              <w:left w:w="108" w:type="dxa"/>
              <w:bottom w:w="0" w:type="dxa"/>
              <w:right w:w="108" w:type="dxa"/>
            </w:tcMar>
            <w:vAlign w:val="center"/>
          </w:tcPr>
          <w:p w:rsidR="00B22CAB" w:rsidRPr="00B22CAB" w:rsidRDefault="00B22CAB" w:rsidP="00B22CAB">
            <w:pPr>
              <w:spacing w:before="0" w:line="240" w:lineRule="auto"/>
              <w:jc w:val="center"/>
              <w:rPr>
                <w:rFonts w:ascii="Arial" w:hAnsi="Arial" w:cs="Arial"/>
                <w:b/>
                <w:sz w:val="20"/>
                <w:szCs w:val="20"/>
              </w:rPr>
            </w:pPr>
            <w:r w:rsidRPr="00B22CAB">
              <w:rPr>
                <w:rFonts w:ascii="Arial" w:hAnsi="Arial" w:cs="Arial"/>
                <w:b/>
                <w:sz w:val="20"/>
                <w:szCs w:val="20"/>
              </w:rPr>
              <w:t>22</w:t>
            </w:r>
          </w:p>
        </w:tc>
        <w:tc>
          <w:tcPr>
            <w:tcW w:w="761" w:type="dxa"/>
            <w:shd w:val="clear" w:color="auto" w:fill="auto"/>
            <w:tcMar>
              <w:top w:w="0" w:type="dxa"/>
              <w:left w:w="108" w:type="dxa"/>
              <w:bottom w:w="0" w:type="dxa"/>
              <w:right w:w="108" w:type="dxa"/>
            </w:tcMar>
            <w:vAlign w:val="center"/>
          </w:tcPr>
          <w:p w:rsidR="00B22CAB" w:rsidRPr="00B22CAB" w:rsidRDefault="00B22CAB" w:rsidP="00B22CAB">
            <w:pPr>
              <w:spacing w:before="0" w:line="240" w:lineRule="auto"/>
              <w:jc w:val="center"/>
              <w:rPr>
                <w:rFonts w:ascii="Arial" w:hAnsi="Arial" w:cs="Arial"/>
                <w:b/>
                <w:sz w:val="20"/>
                <w:szCs w:val="20"/>
              </w:rPr>
            </w:pPr>
            <w:r w:rsidRPr="00B22CAB">
              <w:rPr>
                <w:rFonts w:ascii="Arial" w:hAnsi="Arial" w:cs="Arial"/>
                <w:b/>
                <w:sz w:val="20"/>
                <w:szCs w:val="20"/>
              </w:rPr>
              <w:t>2</w:t>
            </w:r>
          </w:p>
        </w:tc>
        <w:tc>
          <w:tcPr>
            <w:tcW w:w="807" w:type="dxa"/>
            <w:shd w:val="clear" w:color="auto" w:fill="auto"/>
            <w:tcMar>
              <w:top w:w="0" w:type="dxa"/>
              <w:left w:w="108" w:type="dxa"/>
              <w:bottom w:w="0" w:type="dxa"/>
              <w:right w:w="108" w:type="dxa"/>
            </w:tcMar>
            <w:vAlign w:val="center"/>
          </w:tcPr>
          <w:p w:rsidR="00B22CAB" w:rsidRPr="00B22CAB" w:rsidRDefault="00B22CAB" w:rsidP="00B22CAB">
            <w:pPr>
              <w:spacing w:before="0" w:line="240" w:lineRule="auto"/>
              <w:jc w:val="center"/>
              <w:rPr>
                <w:rFonts w:ascii="Arial" w:hAnsi="Arial" w:cs="Arial"/>
                <w:b/>
                <w:sz w:val="20"/>
                <w:szCs w:val="20"/>
              </w:rPr>
            </w:pPr>
            <w:r w:rsidRPr="00B22CAB">
              <w:rPr>
                <w:rFonts w:ascii="Arial" w:hAnsi="Arial" w:cs="Arial"/>
                <w:b/>
                <w:sz w:val="20"/>
                <w:szCs w:val="20"/>
              </w:rPr>
              <w:t>1</w:t>
            </w:r>
          </w:p>
        </w:tc>
        <w:tc>
          <w:tcPr>
            <w:tcW w:w="753" w:type="dxa"/>
            <w:shd w:val="clear" w:color="auto" w:fill="auto"/>
            <w:tcMar>
              <w:top w:w="0" w:type="dxa"/>
              <w:left w:w="108" w:type="dxa"/>
              <w:bottom w:w="0" w:type="dxa"/>
              <w:right w:w="108" w:type="dxa"/>
            </w:tcMar>
            <w:vAlign w:val="center"/>
          </w:tcPr>
          <w:p w:rsidR="00B22CAB" w:rsidRPr="00B22CAB" w:rsidRDefault="00B22CAB" w:rsidP="00B22CAB">
            <w:pPr>
              <w:spacing w:before="0" w:line="240" w:lineRule="auto"/>
              <w:jc w:val="center"/>
              <w:rPr>
                <w:rFonts w:ascii="Arial" w:hAnsi="Arial" w:cs="Arial"/>
                <w:b/>
                <w:sz w:val="20"/>
                <w:szCs w:val="20"/>
              </w:rPr>
            </w:pPr>
            <w:r w:rsidRPr="00B22CAB">
              <w:rPr>
                <w:rFonts w:ascii="Arial" w:hAnsi="Arial" w:cs="Arial"/>
                <w:b/>
                <w:sz w:val="20"/>
                <w:szCs w:val="20"/>
              </w:rPr>
              <w:t>1</w:t>
            </w:r>
          </w:p>
        </w:tc>
        <w:tc>
          <w:tcPr>
            <w:tcW w:w="1100" w:type="dxa"/>
            <w:shd w:val="clear" w:color="auto" w:fill="auto"/>
            <w:tcMar>
              <w:top w:w="0" w:type="dxa"/>
              <w:left w:w="108" w:type="dxa"/>
              <w:bottom w:w="0" w:type="dxa"/>
              <w:right w:w="108" w:type="dxa"/>
            </w:tcMar>
            <w:vAlign w:val="center"/>
          </w:tcPr>
          <w:p w:rsidR="00B22CAB" w:rsidRPr="00B22CAB" w:rsidRDefault="00B22CAB" w:rsidP="00B22CAB">
            <w:pPr>
              <w:spacing w:before="0" w:line="240" w:lineRule="auto"/>
              <w:jc w:val="center"/>
              <w:rPr>
                <w:rFonts w:ascii="Arial" w:hAnsi="Arial" w:cs="Arial"/>
                <w:b/>
                <w:sz w:val="20"/>
                <w:szCs w:val="20"/>
              </w:rPr>
            </w:pPr>
            <w:r w:rsidRPr="00B22CAB">
              <w:rPr>
                <w:rFonts w:ascii="Arial" w:hAnsi="Arial" w:cs="Arial"/>
                <w:b/>
                <w:sz w:val="20"/>
                <w:szCs w:val="20"/>
              </w:rPr>
              <w:t>8</w:t>
            </w:r>
          </w:p>
        </w:tc>
        <w:tc>
          <w:tcPr>
            <w:tcW w:w="799" w:type="dxa"/>
            <w:shd w:val="clear" w:color="auto" w:fill="auto"/>
            <w:tcMar>
              <w:top w:w="0" w:type="dxa"/>
              <w:left w:w="108" w:type="dxa"/>
              <w:bottom w:w="0" w:type="dxa"/>
              <w:right w:w="108" w:type="dxa"/>
            </w:tcMar>
            <w:vAlign w:val="center"/>
          </w:tcPr>
          <w:p w:rsidR="00B22CAB" w:rsidRPr="00B22CAB" w:rsidRDefault="00B22CAB" w:rsidP="00B22CAB">
            <w:pPr>
              <w:spacing w:before="0" w:line="240" w:lineRule="auto"/>
              <w:jc w:val="center"/>
              <w:rPr>
                <w:rFonts w:ascii="Arial" w:hAnsi="Arial" w:cs="Arial"/>
                <w:b/>
                <w:sz w:val="20"/>
                <w:szCs w:val="20"/>
              </w:rPr>
            </w:pPr>
            <w:r w:rsidRPr="00B22CAB">
              <w:rPr>
                <w:rFonts w:ascii="Arial" w:hAnsi="Arial" w:cs="Arial"/>
                <w:b/>
                <w:sz w:val="20"/>
                <w:szCs w:val="20"/>
              </w:rPr>
              <w:t>1</w:t>
            </w:r>
          </w:p>
        </w:tc>
        <w:tc>
          <w:tcPr>
            <w:tcW w:w="754" w:type="dxa"/>
            <w:shd w:val="clear" w:color="auto" w:fill="auto"/>
            <w:tcMar>
              <w:top w:w="0" w:type="dxa"/>
              <w:left w:w="108" w:type="dxa"/>
              <w:bottom w:w="0" w:type="dxa"/>
              <w:right w:w="108" w:type="dxa"/>
            </w:tcMar>
            <w:vAlign w:val="center"/>
          </w:tcPr>
          <w:p w:rsidR="00B22CAB" w:rsidRPr="00B22CAB" w:rsidRDefault="00B22CAB" w:rsidP="00B22CAB">
            <w:pPr>
              <w:spacing w:before="0" w:line="240" w:lineRule="auto"/>
              <w:jc w:val="center"/>
              <w:rPr>
                <w:rFonts w:ascii="Arial" w:hAnsi="Arial" w:cs="Arial"/>
                <w:b/>
                <w:sz w:val="20"/>
                <w:szCs w:val="20"/>
              </w:rPr>
            </w:pPr>
            <w:r w:rsidRPr="00B22CAB">
              <w:rPr>
                <w:rFonts w:ascii="Arial" w:hAnsi="Arial" w:cs="Arial"/>
                <w:b/>
                <w:sz w:val="20"/>
                <w:szCs w:val="20"/>
              </w:rPr>
              <w:t>-</w:t>
            </w:r>
          </w:p>
        </w:tc>
        <w:tc>
          <w:tcPr>
            <w:tcW w:w="725" w:type="dxa"/>
            <w:shd w:val="clear" w:color="auto" w:fill="auto"/>
            <w:tcMar>
              <w:top w:w="0" w:type="dxa"/>
              <w:left w:w="108" w:type="dxa"/>
              <w:bottom w:w="0" w:type="dxa"/>
              <w:right w:w="108" w:type="dxa"/>
            </w:tcMar>
            <w:vAlign w:val="center"/>
          </w:tcPr>
          <w:p w:rsidR="00B22CAB" w:rsidRPr="00B22CAB" w:rsidRDefault="00B22CAB" w:rsidP="00B22CAB">
            <w:pPr>
              <w:spacing w:before="0" w:line="240" w:lineRule="auto"/>
              <w:jc w:val="center"/>
              <w:rPr>
                <w:rFonts w:ascii="Arial" w:hAnsi="Arial" w:cs="Arial"/>
                <w:b/>
                <w:sz w:val="20"/>
                <w:szCs w:val="20"/>
              </w:rPr>
            </w:pPr>
            <w:r w:rsidRPr="00B22CAB">
              <w:rPr>
                <w:rFonts w:ascii="Arial" w:hAnsi="Arial" w:cs="Arial"/>
                <w:b/>
                <w:sz w:val="20"/>
                <w:szCs w:val="20"/>
              </w:rPr>
              <w:t>-</w:t>
            </w:r>
          </w:p>
        </w:tc>
        <w:tc>
          <w:tcPr>
            <w:tcW w:w="1101" w:type="dxa"/>
            <w:shd w:val="clear" w:color="auto" w:fill="auto"/>
            <w:tcMar>
              <w:top w:w="0" w:type="dxa"/>
              <w:left w:w="108" w:type="dxa"/>
              <w:bottom w:w="0" w:type="dxa"/>
              <w:right w:w="108" w:type="dxa"/>
            </w:tcMar>
            <w:vAlign w:val="center"/>
          </w:tcPr>
          <w:p w:rsidR="00B22CAB" w:rsidRPr="00B22CAB" w:rsidRDefault="00B22CAB" w:rsidP="00B22CAB">
            <w:pPr>
              <w:spacing w:before="0" w:line="240" w:lineRule="auto"/>
              <w:jc w:val="center"/>
              <w:rPr>
                <w:rFonts w:ascii="Arial" w:hAnsi="Arial" w:cs="Arial"/>
                <w:b/>
                <w:sz w:val="20"/>
                <w:szCs w:val="20"/>
              </w:rPr>
            </w:pPr>
            <w:r w:rsidRPr="00B22CAB">
              <w:rPr>
                <w:rFonts w:ascii="Arial" w:hAnsi="Arial" w:cs="Arial"/>
                <w:b/>
                <w:sz w:val="20"/>
                <w:szCs w:val="20"/>
              </w:rPr>
              <w:t>9</w:t>
            </w:r>
          </w:p>
        </w:tc>
        <w:tc>
          <w:tcPr>
            <w:tcW w:w="790" w:type="dxa"/>
            <w:shd w:val="clear" w:color="auto" w:fill="auto"/>
            <w:tcMar>
              <w:top w:w="0" w:type="dxa"/>
              <w:left w:w="108" w:type="dxa"/>
              <w:bottom w:w="0" w:type="dxa"/>
              <w:right w:w="108" w:type="dxa"/>
            </w:tcMar>
            <w:vAlign w:val="center"/>
          </w:tcPr>
          <w:p w:rsidR="00B22CAB" w:rsidRPr="00B22CAB" w:rsidRDefault="00B22CAB" w:rsidP="00B22CAB">
            <w:pPr>
              <w:spacing w:before="0" w:line="240" w:lineRule="auto"/>
              <w:jc w:val="center"/>
              <w:rPr>
                <w:rFonts w:ascii="Arial" w:hAnsi="Arial" w:cs="Arial"/>
                <w:b/>
                <w:sz w:val="20"/>
                <w:szCs w:val="20"/>
              </w:rPr>
            </w:pPr>
            <w:r w:rsidRPr="00B22CAB">
              <w:rPr>
                <w:rFonts w:ascii="Arial" w:hAnsi="Arial" w:cs="Arial"/>
                <w:b/>
                <w:sz w:val="20"/>
                <w:szCs w:val="20"/>
              </w:rPr>
              <w:t>-</w:t>
            </w:r>
          </w:p>
        </w:tc>
        <w:tc>
          <w:tcPr>
            <w:tcW w:w="771" w:type="dxa"/>
            <w:shd w:val="clear" w:color="auto" w:fill="auto"/>
            <w:tcMar>
              <w:top w:w="0" w:type="dxa"/>
              <w:left w:w="108" w:type="dxa"/>
              <w:bottom w:w="0" w:type="dxa"/>
              <w:right w:w="108" w:type="dxa"/>
            </w:tcMar>
            <w:vAlign w:val="center"/>
          </w:tcPr>
          <w:p w:rsidR="00B22CAB" w:rsidRPr="00B22CAB" w:rsidRDefault="00B22CAB" w:rsidP="00B22CAB">
            <w:pPr>
              <w:spacing w:before="0" w:line="240" w:lineRule="auto"/>
              <w:jc w:val="center"/>
              <w:rPr>
                <w:rFonts w:ascii="Arial" w:hAnsi="Arial" w:cs="Arial"/>
                <w:b/>
                <w:sz w:val="20"/>
                <w:szCs w:val="20"/>
              </w:rPr>
            </w:pPr>
            <w:r w:rsidRPr="00B22CAB">
              <w:rPr>
                <w:rFonts w:ascii="Arial" w:hAnsi="Arial" w:cs="Arial"/>
                <w:b/>
                <w:sz w:val="20"/>
                <w:szCs w:val="20"/>
              </w:rPr>
              <w:t>-</w:t>
            </w:r>
          </w:p>
        </w:tc>
        <w:tc>
          <w:tcPr>
            <w:tcW w:w="716" w:type="dxa"/>
            <w:shd w:val="clear" w:color="auto" w:fill="auto"/>
            <w:tcMar>
              <w:top w:w="0" w:type="dxa"/>
              <w:left w:w="108" w:type="dxa"/>
              <w:bottom w:w="0" w:type="dxa"/>
              <w:right w:w="108" w:type="dxa"/>
            </w:tcMar>
            <w:vAlign w:val="center"/>
          </w:tcPr>
          <w:p w:rsidR="00B22CAB" w:rsidRPr="00B22CAB" w:rsidRDefault="00B22CAB" w:rsidP="00B22CAB">
            <w:pPr>
              <w:spacing w:before="0" w:line="240" w:lineRule="auto"/>
              <w:jc w:val="center"/>
              <w:rPr>
                <w:rFonts w:ascii="Arial" w:hAnsi="Arial" w:cs="Arial"/>
                <w:b/>
                <w:sz w:val="20"/>
                <w:szCs w:val="20"/>
              </w:rPr>
            </w:pPr>
            <w:r w:rsidRPr="00B22CAB">
              <w:rPr>
                <w:rFonts w:ascii="Arial" w:hAnsi="Arial" w:cs="Arial"/>
                <w:b/>
                <w:sz w:val="20"/>
                <w:szCs w:val="20"/>
              </w:rPr>
              <w:t>-</w:t>
            </w:r>
          </w:p>
        </w:tc>
        <w:tc>
          <w:tcPr>
            <w:tcW w:w="1100" w:type="dxa"/>
            <w:shd w:val="clear" w:color="auto" w:fill="auto"/>
            <w:tcMar>
              <w:top w:w="0" w:type="dxa"/>
              <w:left w:w="108" w:type="dxa"/>
              <w:bottom w:w="0" w:type="dxa"/>
              <w:right w:w="108" w:type="dxa"/>
            </w:tcMar>
            <w:vAlign w:val="center"/>
          </w:tcPr>
          <w:p w:rsidR="00B22CAB" w:rsidRPr="00B22CAB" w:rsidRDefault="00B22CAB" w:rsidP="00B22CAB">
            <w:pPr>
              <w:spacing w:before="0" w:line="240" w:lineRule="auto"/>
              <w:jc w:val="center"/>
              <w:rPr>
                <w:rFonts w:ascii="Arial" w:hAnsi="Arial" w:cs="Arial"/>
                <w:b/>
                <w:sz w:val="20"/>
                <w:szCs w:val="20"/>
              </w:rPr>
            </w:pPr>
            <w:r w:rsidRPr="00B22CAB">
              <w:rPr>
                <w:rFonts w:ascii="Arial" w:hAnsi="Arial" w:cs="Arial"/>
                <w:b/>
                <w:sz w:val="20"/>
                <w:szCs w:val="20"/>
              </w:rPr>
              <w:t>-</w:t>
            </w:r>
          </w:p>
        </w:tc>
      </w:tr>
      <w:tr w:rsidR="00B22CAB" w:rsidRPr="00111912" w:rsidTr="00305EF5">
        <w:trPr>
          <w:trHeight w:val="397"/>
          <w:jc w:val="center"/>
        </w:trPr>
        <w:tc>
          <w:tcPr>
            <w:tcW w:w="1331" w:type="dxa"/>
            <w:shd w:val="clear" w:color="auto" w:fill="auto"/>
            <w:vAlign w:val="center"/>
          </w:tcPr>
          <w:p w:rsidR="00111912" w:rsidRPr="00111912" w:rsidRDefault="00111912" w:rsidP="00D06609">
            <w:pPr>
              <w:spacing w:before="0" w:line="240" w:lineRule="auto"/>
              <w:jc w:val="center"/>
              <w:rPr>
                <w:rFonts w:ascii="Arial" w:hAnsi="Arial" w:cs="Arial"/>
                <w:b/>
                <w:sz w:val="20"/>
                <w:szCs w:val="20"/>
              </w:rPr>
            </w:pPr>
            <w:r w:rsidRPr="00111912">
              <w:rPr>
                <w:rFonts w:ascii="Arial" w:hAnsi="Arial" w:cs="Arial"/>
                <w:b/>
                <w:sz w:val="20"/>
                <w:szCs w:val="20"/>
              </w:rPr>
              <w:t>SK</w:t>
            </w:r>
          </w:p>
        </w:tc>
        <w:tc>
          <w:tcPr>
            <w:tcW w:w="1814" w:type="dxa"/>
            <w:shd w:val="clear" w:color="auto" w:fill="auto"/>
            <w:tcMar>
              <w:top w:w="0" w:type="dxa"/>
              <w:left w:w="108" w:type="dxa"/>
              <w:bottom w:w="0" w:type="dxa"/>
              <w:right w:w="108" w:type="dxa"/>
            </w:tcMar>
            <w:vAlign w:val="center"/>
          </w:tcPr>
          <w:p w:rsidR="00111912" w:rsidRPr="00111912" w:rsidRDefault="00111912" w:rsidP="00111912">
            <w:pPr>
              <w:spacing w:before="0" w:line="240" w:lineRule="auto"/>
              <w:jc w:val="center"/>
              <w:rPr>
                <w:rFonts w:ascii="Arial" w:hAnsi="Arial" w:cs="Arial"/>
                <w:b/>
                <w:sz w:val="20"/>
                <w:szCs w:val="20"/>
              </w:rPr>
            </w:pPr>
            <w:r w:rsidRPr="00111912">
              <w:rPr>
                <w:rFonts w:ascii="Arial" w:hAnsi="Arial" w:cs="Arial"/>
                <w:b/>
                <w:sz w:val="20"/>
                <w:szCs w:val="20"/>
              </w:rPr>
              <w:t>7</w:t>
            </w:r>
            <w:r w:rsidRPr="00111912">
              <w:rPr>
                <w:rStyle w:val="Znakapoznpodarou"/>
                <w:rFonts w:ascii="Arial" w:hAnsi="Arial" w:cs="Arial"/>
                <w:b/>
                <w:sz w:val="20"/>
                <w:szCs w:val="20"/>
              </w:rPr>
              <w:footnoteReference w:id="11"/>
            </w:r>
          </w:p>
        </w:tc>
        <w:tc>
          <w:tcPr>
            <w:tcW w:w="761" w:type="dxa"/>
            <w:shd w:val="clear" w:color="auto" w:fill="auto"/>
            <w:tcMar>
              <w:top w:w="0" w:type="dxa"/>
              <w:left w:w="108" w:type="dxa"/>
              <w:bottom w:w="0" w:type="dxa"/>
              <w:right w:w="108" w:type="dxa"/>
            </w:tcMar>
            <w:vAlign w:val="center"/>
          </w:tcPr>
          <w:p w:rsidR="00111912" w:rsidRPr="00111912" w:rsidRDefault="00111912" w:rsidP="00111912">
            <w:pPr>
              <w:spacing w:before="0" w:line="240" w:lineRule="auto"/>
              <w:jc w:val="center"/>
              <w:rPr>
                <w:rFonts w:ascii="Arial" w:hAnsi="Arial" w:cs="Arial"/>
                <w:b/>
                <w:sz w:val="20"/>
                <w:szCs w:val="20"/>
              </w:rPr>
            </w:pPr>
            <w:r w:rsidRPr="00111912">
              <w:rPr>
                <w:rFonts w:ascii="Arial" w:hAnsi="Arial" w:cs="Arial"/>
                <w:b/>
                <w:sz w:val="20"/>
                <w:szCs w:val="20"/>
              </w:rPr>
              <w:t>3</w:t>
            </w:r>
          </w:p>
        </w:tc>
        <w:tc>
          <w:tcPr>
            <w:tcW w:w="807" w:type="dxa"/>
            <w:shd w:val="clear" w:color="auto" w:fill="auto"/>
            <w:tcMar>
              <w:top w:w="0" w:type="dxa"/>
              <w:left w:w="108" w:type="dxa"/>
              <w:bottom w:w="0" w:type="dxa"/>
              <w:right w:w="108" w:type="dxa"/>
            </w:tcMar>
            <w:vAlign w:val="center"/>
          </w:tcPr>
          <w:p w:rsidR="00111912" w:rsidRPr="00111912" w:rsidRDefault="00111912" w:rsidP="00111912">
            <w:pPr>
              <w:spacing w:before="0" w:line="240" w:lineRule="auto"/>
              <w:jc w:val="center"/>
              <w:rPr>
                <w:rFonts w:ascii="Arial" w:hAnsi="Arial" w:cs="Arial"/>
                <w:b/>
                <w:sz w:val="20"/>
                <w:szCs w:val="20"/>
              </w:rPr>
            </w:pPr>
            <w:r w:rsidRPr="00111912">
              <w:rPr>
                <w:rFonts w:ascii="Arial" w:hAnsi="Arial" w:cs="Arial"/>
                <w:b/>
                <w:sz w:val="20"/>
                <w:szCs w:val="20"/>
              </w:rPr>
              <w:t>1</w:t>
            </w:r>
          </w:p>
        </w:tc>
        <w:tc>
          <w:tcPr>
            <w:tcW w:w="753" w:type="dxa"/>
            <w:shd w:val="clear" w:color="auto" w:fill="auto"/>
            <w:tcMar>
              <w:top w:w="0" w:type="dxa"/>
              <w:left w:w="108" w:type="dxa"/>
              <w:bottom w:w="0" w:type="dxa"/>
              <w:right w:w="108" w:type="dxa"/>
            </w:tcMar>
            <w:vAlign w:val="center"/>
          </w:tcPr>
          <w:p w:rsidR="00111912" w:rsidRPr="00111912" w:rsidRDefault="00111912" w:rsidP="00111912">
            <w:pPr>
              <w:spacing w:before="0" w:line="240" w:lineRule="auto"/>
              <w:jc w:val="center"/>
              <w:rPr>
                <w:rFonts w:ascii="Arial" w:hAnsi="Arial" w:cs="Arial"/>
                <w:b/>
                <w:sz w:val="20"/>
                <w:szCs w:val="20"/>
              </w:rPr>
            </w:pPr>
            <w:r w:rsidRPr="00111912">
              <w:rPr>
                <w:rFonts w:ascii="Arial" w:hAnsi="Arial" w:cs="Arial"/>
                <w:b/>
                <w:sz w:val="20"/>
                <w:szCs w:val="20"/>
              </w:rPr>
              <w:t>-</w:t>
            </w:r>
          </w:p>
        </w:tc>
        <w:tc>
          <w:tcPr>
            <w:tcW w:w="1100" w:type="dxa"/>
            <w:shd w:val="clear" w:color="auto" w:fill="auto"/>
            <w:tcMar>
              <w:top w:w="0" w:type="dxa"/>
              <w:left w:w="108" w:type="dxa"/>
              <w:bottom w:w="0" w:type="dxa"/>
              <w:right w:w="108" w:type="dxa"/>
            </w:tcMar>
            <w:vAlign w:val="center"/>
          </w:tcPr>
          <w:p w:rsidR="00111912" w:rsidRPr="00111912" w:rsidRDefault="00111912" w:rsidP="00111912">
            <w:pPr>
              <w:spacing w:before="0" w:line="240" w:lineRule="auto"/>
              <w:jc w:val="center"/>
              <w:rPr>
                <w:rFonts w:ascii="Arial" w:hAnsi="Arial" w:cs="Arial"/>
                <w:b/>
                <w:sz w:val="20"/>
                <w:szCs w:val="20"/>
              </w:rPr>
            </w:pPr>
            <w:r w:rsidRPr="00111912">
              <w:rPr>
                <w:rFonts w:ascii="Arial" w:hAnsi="Arial" w:cs="Arial"/>
                <w:b/>
                <w:sz w:val="20"/>
                <w:szCs w:val="20"/>
              </w:rPr>
              <w:t>3</w:t>
            </w:r>
          </w:p>
        </w:tc>
        <w:tc>
          <w:tcPr>
            <w:tcW w:w="799" w:type="dxa"/>
            <w:shd w:val="clear" w:color="auto" w:fill="auto"/>
            <w:tcMar>
              <w:top w:w="0" w:type="dxa"/>
              <w:left w:w="108" w:type="dxa"/>
              <w:bottom w:w="0" w:type="dxa"/>
              <w:right w:w="108" w:type="dxa"/>
            </w:tcMar>
            <w:vAlign w:val="center"/>
          </w:tcPr>
          <w:p w:rsidR="00111912" w:rsidRPr="00111912" w:rsidRDefault="00111912" w:rsidP="00111912">
            <w:pPr>
              <w:spacing w:before="0" w:line="240" w:lineRule="auto"/>
              <w:jc w:val="center"/>
              <w:rPr>
                <w:rFonts w:ascii="Arial" w:hAnsi="Arial" w:cs="Arial"/>
                <w:b/>
                <w:sz w:val="20"/>
                <w:szCs w:val="20"/>
              </w:rPr>
            </w:pPr>
            <w:r w:rsidRPr="00111912">
              <w:rPr>
                <w:rFonts w:ascii="Arial" w:hAnsi="Arial" w:cs="Arial"/>
                <w:b/>
                <w:sz w:val="20"/>
                <w:szCs w:val="20"/>
              </w:rPr>
              <w:t>-</w:t>
            </w:r>
          </w:p>
        </w:tc>
        <w:tc>
          <w:tcPr>
            <w:tcW w:w="754" w:type="dxa"/>
            <w:shd w:val="clear" w:color="auto" w:fill="auto"/>
            <w:tcMar>
              <w:top w:w="0" w:type="dxa"/>
              <w:left w:w="108" w:type="dxa"/>
              <w:bottom w:w="0" w:type="dxa"/>
              <w:right w:w="108" w:type="dxa"/>
            </w:tcMar>
            <w:vAlign w:val="center"/>
          </w:tcPr>
          <w:p w:rsidR="00111912" w:rsidRPr="00111912" w:rsidRDefault="00111912" w:rsidP="00111912">
            <w:pPr>
              <w:spacing w:before="0" w:line="240" w:lineRule="auto"/>
              <w:jc w:val="center"/>
              <w:rPr>
                <w:rFonts w:ascii="Arial" w:hAnsi="Arial" w:cs="Arial"/>
                <w:b/>
                <w:sz w:val="20"/>
                <w:szCs w:val="20"/>
              </w:rPr>
            </w:pPr>
            <w:r w:rsidRPr="00111912">
              <w:rPr>
                <w:rFonts w:ascii="Arial" w:hAnsi="Arial" w:cs="Arial"/>
                <w:b/>
                <w:sz w:val="20"/>
                <w:szCs w:val="20"/>
              </w:rPr>
              <w:t>-</w:t>
            </w:r>
          </w:p>
        </w:tc>
        <w:tc>
          <w:tcPr>
            <w:tcW w:w="725" w:type="dxa"/>
            <w:shd w:val="clear" w:color="auto" w:fill="auto"/>
            <w:tcMar>
              <w:top w:w="0" w:type="dxa"/>
              <w:left w:w="108" w:type="dxa"/>
              <w:bottom w:w="0" w:type="dxa"/>
              <w:right w:w="108" w:type="dxa"/>
            </w:tcMar>
            <w:vAlign w:val="center"/>
          </w:tcPr>
          <w:p w:rsidR="00111912" w:rsidRPr="00111912" w:rsidRDefault="00111912" w:rsidP="00111912">
            <w:pPr>
              <w:spacing w:before="0" w:line="240" w:lineRule="auto"/>
              <w:jc w:val="center"/>
              <w:rPr>
                <w:rFonts w:ascii="Arial" w:hAnsi="Arial" w:cs="Arial"/>
                <w:b/>
                <w:sz w:val="20"/>
                <w:szCs w:val="20"/>
              </w:rPr>
            </w:pPr>
            <w:r w:rsidRPr="00111912">
              <w:rPr>
                <w:rFonts w:ascii="Arial" w:hAnsi="Arial" w:cs="Arial"/>
                <w:b/>
                <w:sz w:val="20"/>
                <w:szCs w:val="20"/>
              </w:rPr>
              <w:t>-</w:t>
            </w:r>
          </w:p>
        </w:tc>
        <w:tc>
          <w:tcPr>
            <w:tcW w:w="1101" w:type="dxa"/>
            <w:shd w:val="clear" w:color="auto" w:fill="auto"/>
            <w:tcMar>
              <w:top w:w="0" w:type="dxa"/>
              <w:left w:w="108" w:type="dxa"/>
              <w:bottom w:w="0" w:type="dxa"/>
              <w:right w:w="108" w:type="dxa"/>
            </w:tcMar>
            <w:vAlign w:val="center"/>
          </w:tcPr>
          <w:p w:rsidR="00111912" w:rsidRPr="00111912" w:rsidRDefault="00111912" w:rsidP="00111912">
            <w:pPr>
              <w:spacing w:before="0" w:line="240" w:lineRule="auto"/>
              <w:jc w:val="center"/>
              <w:rPr>
                <w:rFonts w:ascii="Arial" w:hAnsi="Arial" w:cs="Arial"/>
                <w:b/>
                <w:sz w:val="20"/>
                <w:szCs w:val="20"/>
              </w:rPr>
            </w:pPr>
            <w:r w:rsidRPr="00111912">
              <w:rPr>
                <w:rFonts w:ascii="Arial" w:hAnsi="Arial" w:cs="Arial"/>
                <w:b/>
                <w:sz w:val="20"/>
                <w:szCs w:val="20"/>
              </w:rPr>
              <w:t>-</w:t>
            </w:r>
          </w:p>
        </w:tc>
        <w:tc>
          <w:tcPr>
            <w:tcW w:w="790" w:type="dxa"/>
            <w:shd w:val="clear" w:color="auto" w:fill="auto"/>
            <w:tcMar>
              <w:top w:w="0" w:type="dxa"/>
              <w:left w:w="108" w:type="dxa"/>
              <w:bottom w:w="0" w:type="dxa"/>
              <w:right w:w="108" w:type="dxa"/>
            </w:tcMar>
            <w:vAlign w:val="center"/>
          </w:tcPr>
          <w:p w:rsidR="00111912" w:rsidRPr="00111912" w:rsidRDefault="00111912" w:rsidP="00111912">
            <w:pPr>
              <w:spacing w:before="0" w:line="240" w:lineRule="auto"/>
              <w:jc w:val="center"/>
              <w:rPr>
                <w:rFonts w:ascii="Arial" w:hAnsi="Arial" w:cs="Arial"/>
                <w:b/>
                <w:sz w:val="20"/>
                <w:szCs w:val="20"/>
              </w:rPr>
            </w:pPr>
            <w:r w:rsidRPr="00111912">
              <w:rPr>
                <w:rFonts w:ascii="Arial" w:hAnsi="Arial" w:cs="Arial"/>
                <w:b/>
                <w:sz w:val="20"/>
                <w:szCs w:val="20"/>
              </w:rPr>
              <w:t>-</w:t>
            </w:r>
          </w:p>
        </w:tc>
        <w:tc>
          <w:tcPr>
            <w:tcW w:w="771" w:type="dxa"/>
            <w:shd w:val="clear" w:color="auto" w:fill="auto"/>
            <w:tcMar>
              <w:top w:w="0" w:type="dxa"/>
              <w:left w:w="108" w:type="dxa"/>
              <w:bottom w:w="0" w:type="dxa"/>
              <w:right w:w="108" w:type="dxa"/>
            </w:tcMar>
            <w:vAlign w:val="center"/>
          </w:tcPr>
          <w:p w:rsidR="00111912" w:rsidRPr="00111912" w:rsidRDefault="00111912" w:rsidP="00111912">
            <w:pPr>
              <w:spacing w:before="0" w:line="240" w:lineRule="auto"/>
              <w:jc w:val="center"/>
              <w:rPr>
                <w:rFonts w:ascii="Arial" w:hAnsi="Arial" w:cs="Arial"/>
                <w:b/>
                <w:sz w:val="20"/>
                <w:szCs w:val="20"/>
              </w:rPr>
            </w:pPr>
            <w:r w:rsidRPr="00111912">
              <w:rPr>
                <w:rFonts w:ascii="Arial" w:hAnsi="Arial" w:cs="Arial"/>
                <w:b/>
                <w:sz w:val="20"/>
                <w:szCs w:val="20"/>
              </w:rPr>
              <w:t>-</w:t>
            </w:r>
          </w:p>
        </w:tc>
        <w:tc>
          <w:tcPr>
            <w:tcW w:w="716" w:type="dxa"/>
            <w:shd w:val="clear" w:color="auto" w:fill="auto"/>
            <w:tcMar>
              <w:top w:w="0" w:type="dxa"/>
              <w:left w:w="108" w:type="dxa"/>
              <w:bottom w:w="0" w:type="dxa"/>
              <w:right w:w="108" w:type="dxa"/>
            </w:tcMar>
            <w:vAlign w:val="center"/>
          </w:tcPr>
          <w:p w:rsidR="00111912" w:rsidRPr="00111912" w:rsidRDefault="00111912" w:rsidP="00111912">
            <w:pPr>
              <w:spacing w:before="0" w:line="240" w:lineRule="auto"/>
              <w:jc w:val="center"/>
              <w:rPr>
                <w:rFonts w:ascii="Arial" w:hAnsi="Arial" w:cs="Arial"/>
                <w:b/>
                <w:sz w:val="20"/>
                <w:szCs w:val="20"/>
              </w:rPr>
            </w:pPr>
            <w:r w:rsidRPr="00111912">
              <w:rPr>
                <w:rFonts w:ascii="Arial" w:hAnsi="Arial" w:cs="Arial"/>
                <w:b/>
                <w:sz w:val="20"/>
                <w:szCs w:val="20"/>
              </w:rPr>
              <w:t>-</w:t>
            </w:r>
          </w:p>
        </w:tc>
        <w:tc>
          <w:tcPr>
            <w:tcW w:w="1100" w:type="dxa"/>
            <w:shd w:val="clear" w:color="auto" w:fill="auto"/>
            <w:tcMar>
              <w:top w:w="0" w:type="dxa"/>
              <w:left w:w="108" w:type="dxa"/>
              <w:bottom w:w="0" w:type="dxa"/>
              <w:right w:w="108" w:type="dxa"/>
            </w:tcMar>
            <w:vAlign w:val="center"/>
          </w:tcPr>
          <w:p w:rsidR="00111912" w:rsidRPr="00111912" w:rsidRDefault="00111912" w:rsidP="00111912">
            <w:pPr>
              <w:spacing w:before="0" w:line="240" w:lineRule="auto"/>
              <w:jc w:val="center"/>
              <w:rPr>
                <w:rFonts w:ascii="Arial" w:hAnsi="Arial" w:cs="Arial"/>
                <w:b/>
                <w:sz w:val="20"/>
                <w:szCs w:val="20"/>
              </w:rPr>
            </w:pPr>
            <w:r w:rsidRPr="00111912">
              <w:rPr>
                <w:rFonts w:ascii="Arial" w:hAnsi="Arial" w:cs="Arial"/>
                <w:b/>
                <w:sz w:val="20"/>
                <w:szCs w:val="20"/>
              </w:rPr>
              <w:t>-</w:t>
            </w:r>
          </w:p>
        </w:tc>
      </w:tr>
    </w:tbl>
    <w:p w:rsidR="00711B14" w:rsidRDefault="00711B14" w:rsidP="004E0E4A">
      <w:pPr>
        <w:spacing w:before="60" w:line="240" w:lineRule="auto"/>
        <w:ind w:left="426"/>
        <w:jc w:val="left"/>
        <w:rPr>
          <w:rFonts w:ascii="Arial" w:hAnsi="Arial" w:cs="Arial"/>
          <w:sz w:val="18"/>
          <w:szCs w:val="18"/>
        </w:rPr>
      </w:pPr>
      <w:r w:rsidRPr="00711B14">
        <w:rPr>
          <w:rFonts w:ascii="Arial" w:hAnsi="Arial" w:cs="Arial"/>
          <w:sz w:val="18"/>
          <w:szCs w:val="18"/>
        </w:rPr>
        <w:t xml:space="preserve">Zdroj: </w:t>
      </w:r>
      <w:r w:rsidR="00B756AE">
        <w:rPr>
          <w:rFonts w:ascii="Arial" w:hAnsi="Arial" w:cs="Arial"/>
          <w:sz w:val="18"/>
          <w:szCs w:val="18"/>
        </w:rPr>
        <w:t>Š</w:t>
      </w:r>
      <w:r w:rsidRPr="00711B14">
        <w:rPr>
          <w:rFonts w:ascii="Arial" w:hAnsi="Arial" w:cs="Arial"/>
          <w:sz w:val="18"/>
          <w:szCs w:val="18"/>
        </w:rPr>
        <w:t>etření mezi jednotlivými členskými státy, uvedeny jsou jen státy, které na zaslané dotazy odpověděly.</w:t>
      </w:r>
    </w:p>
    <w:p w:rsidR="00BA1B31" w:rsidRDefault="00BA1B31" w:rsidP="000D51EA">
      <w:pPr>
        <w:spacing w:before="0" w:line="240" w:lineRule="auto"/>
        <w:ind w:left="425"/>
        <w:jc w:val="left"/>
        <w:rPr>
          <w:rFonts w:ascii="Arial" w:hAnsi="Arial" w:cs="Arial"/>
          <w:sz w:val="18"/>
          <w:szCs w:val="18"/>
        </w:rPr>
      </w:pPr>
      <w:r>
        <w:rPr>
          <w:rFonts w:ascii="Arial" w:hAnsi="Arial" w:cs="Arial"/>
          <w:sz w:val="18"/>
          <w:szCs w:val="18"/>
        </w:rPr>
        <w:t xml:space="preserve">Pozn. DE </w:t>
      </w:r>
      <w:r w:rsidR="00F770F2">
        <w:rPr>
          <w:rFonts w:ascii="Arial" w:hAnsi="Arial" w:cs="Arial"/>
          <w:sz w:val="18"/>
          <w:szCs w:val="18"/>
        </w:rPr>
        <w:t>- Německo, HU -</w:t>
      </w:r>
      <w:r>
        <w:rPr>
          <w:rFonts w:ascii="Arial" w:hAnsi="Arial" w:cs="Arial"/>
          <w:sz w:val="18"/>
          <w:szCs w:val="18"/>
        </w:rPr>
        <w:t xml:space="preserve"> Maďarsko, SI </w:t>
      </w:r>
      <w:r w:rsidR="00F770F2">
        <w:rPr>
          <w:rFonts w:ascii="Arial" w:hAnsi="Arial" w:cs="Arial"/>
          <w:sz w:val="18"/>
          <w:szCs w:val="18"/>
        </w:rPr>
        <w:t>-</w:t>
      </w:r>
      <w:r>
        <w:rPr>
          <w:rFonts w:ascii="Arial" w:hAnsi="Arial" w:cs="Arial"/>
          <w:sz w:val="18"/>
          <w:szCs w:val="18"/>
        </w:rPr>
        <w:t xml:space="preserve"> Slovinsko, UK </w:t>
      </w:r>
      <w:r w:rsidR="00F770F2">
        <w:rPr>
          <w:rFonts w:ascii="Arial" w:hAnsi="Arial" w:cs="Arial"/>
          <w:sz w:val="18"/>
          <w:szCs w:val="18"/>
        </w:rPr>
        <w:t>-</w:t>
      </w:r>
      <w:r>
        <w:rPr>
          <w:rFonts w:ascii="Arial" w:hAnsi="Arial" w:cs="Arial"/>
          <w:sz w:val="18"/>
          <w:szCs w:val="18"/>
        </w:rPr>
        <w:t xml:space="preserve"> Velká Británie, CZ </w:t>
      </w:r>
      <w:r w:rsidR="00F770F2">
        <w:rPr>
          <w:rFonts w:ascii="Arial" w:hAnsi="Arial" w:cs="Arial"/>
          <w:sz w:val="18"/>
          <w:szCs w:val="18"/>
        </w:rPr>
        <w:t>-</w:t>
      </w:r>
      <w:r>
        <w:rPr>
          <w:rFonts w:ascii="Arial" w:hAnsi="Arial" w:cs="Arial"/>
          <w:sz w:val="18"/>
          <w:szCs w:val="18"/>
        </w:rPr>
        <w:t xml:space="preserve"> Česká republika, RO </w:t>
      </w:r>
      <w:r w:rsidR="00F770F2">
        <w:rPr>
          <w:rFonts w:ascii="Arial" w:hAnsi="Arial" w:cs="Arial"/>
          <w:sz w:val="18"/>
          <w:szCs w:val="18"/>
        </w:rPr>
        <w:t>-</w:t>
      </w:r>
      <w:r>
        <w:rPr>
          <w:rFonts w:ascii="Arial" w:hAnsi="Arial" w:cs="Arial"/>
          <w:sz w:val="18"/>
          <w:szCs w:val="18"/>
        </w:rPr>
        <w:t xml:space="preserve"> Rumunsko, </w:t>
      </w:r>
      <w:r w:rsidR="0029785B">
        <w:rPr>
          <w:rFonts w:ascii="Arial" w:hAnsi="Arial" w:cs="Arial"/>
          <w:sz w:val="18"/>
          <w:szCs w:val="18"/>
        </w:rPr>
        <w:t xml:space="preserve">EL </w:t>
      </w:r>
      <w:r w:rsidR="00B756AE">
        <w:rPr>
          <w:rFonts w:ascii="Arial" w:hAnsi="Arial" w:cs="Arial"/>
          <w:sz w:val="18"/>
          <w:szCs w:val="18"/>
        </w:rPr>
        <w:t>-</w:t>
      </w:r>
      <w:r w:rsidR="00F770F2">
        <w:rPr>
          <w:rFonts w:ascii="Arial" w:hAnsi="Arial" w:cs="Arial"/>
          <w:sz w:val="18"/>
          <w:szCs w:val="18"/>
        </w:rPr>
        <w:t xml:space="preserve"> Řecko</w:t>
      </w:r>
      <w:r w:rsidR="00B756AE">
        <w:rPr>
          <w:rFonts w:ascii="Arial" w:hAnsi="Arial" w:cs="Arial"/>
          <w:sz w:val="18"/>
          <w:szCs w:val="18"/>
        </w:rPr>
        <w:t>, PL - Polsko, SK - Slovensko</w:t>
      </w:r>
      <w:r w:rsidR="000D51EA">
        <w:rPr>
          <w:rFonts w:ascii="Arial" w:hAnsi="Arial" w:cs="Arial"/>
          <w:sz w:val="18"/>
          <w:szCs w:val="18"/>
        </w:rPr>
        <w:t>.</w:t>
      </w:r>
    </w:p>
    <w:p w:rsidR="009377B8" w:rsidRPr="009377B8" w:rsidRDefault="009377B8" w:rsidP="000D51EA">
      <w:pPr>
        <w:spacing w:before="240"/>
        <w:rPr>
          <w:rFonts w:ascii="Arial" w:hAnsi="Arial" w:cs="Arial"/>
          <w:bCs/>
          <w:sz w:val="20"/>
          <w:szCs w:val="20"/>
        </w:rPr>
      </w:pPr>
      <w:r w:rsidRPr="009377B8">
        <w:rPr>
          <w:rFonts w:ascii="Arial" w:hAnsi="Arial" w:cs="Arial"/>
          <w:bCs/>
          <w:sz w:val="20"/>
          <w:szCs w:val="20"/>
        </w:rPr>
        <w:t>Pokud jde o programy financované z ERDF a CF, bylo k 31. prosinci 2014 schváleno 148 operačních programů. Jedná se o programy Francie, Německa, Polska, Lucemburska, Slovinska, Nizozemí, Kypru, Řecka, Estonska, Finska, Lotyšska, Velké Británie, Slovenska, Litvy, Dánska, Malty, Chorvatska a Irska.</w:t>
      </w:r>
    </w:p>
    <w:p w:rsidR="009377B8" w:rsidRPr="009377B8" w:rsidRDefault="009377B8" w:rsidP="009377B8">
      <w:pPr>
        <w:rPr>
          <w:rFonts w:ascii="Arial" w:hAnsi="Arial" w:cs="Arial"/>
          <w:bCs/>
          <w:sz w:val="20"/>
          <w:szCs w:val="20"/>
        </w:rPr>
      </w:pPr>
      <w:r w:rsidRPr="009377B8">
        <w:rPr>
          <w:rFonts w:ascii="Arial" w:hAnsi="Arial" w:cs="Arial"/>
          <w:bCs/>
          <w:sz w:val="20"/>
          <w:szCs w:val="20"/>
        </w:rPr>
        <w:t>Česká republika předložila</w:t>
      </w:r>
      <w:r w:rsidR="005B0305">
        <w:rPr>
          <w:rFonts w:ascii="Arial" w:hAnsi="Arial" w:cs="Arial"/>
          <w:bCs/>
          <w:sz w:val="20"/>
          <w:szCs w:val="20"/>
        </w:rPr>
        <w:t xml:space="preserve"> znovu po vypořádání připomínek</w:t>
      </w:r>
      <w:r w:rsidRPr="009377B8">
        <w:rPr>
          <w:rFonts w:ascii="Arial" w:hAnsi="Arial" w:cs="Arial"/>
          <w:bCs/>
          <w:sz w:val="20"/>
          <w:szCs w:val="20"/>
        </w:rPr>
        <w:t xml:space="preserve"> k 31. prosinci 2014 </w:t>
      </w:r>
      <w:r w:rsidR="005B0305">
        <w:rPr>
          <w:rFonts w:ascii="Arial" w:hAnsi="Arial" w:cs="Arial"/>
          <w:bCs/>
          <w:sz w:val="20"/>
          <w:szCs w:val="20"/>
        </w:rPr>
        <w:t xml:space="preserve">Operační program </w:t>
      </w:r>
      <w:r w:rsidR="00B22CAB">
        <w:rPr>
          <w:rFonts w:ascii="Arial" w:hAnsi="Arial" w:cs="Arial"/>
          <w:bCs/>
          <w:sz w:val="20"/>
          <w:szCs w:val="20"/>
        </w:rPr>
        <w:t>Ž</w:t>
      </w:r>
      <w:r w:rsidR="005B0305">
        <w:rPr>
          <w:rFonts w:ascii="Arial" w:hAnsi="Arial" w:cs="Arial"/>
          <w:bCs/>
          <w:sz w:val="20"/>
          <w:szCs w:val="20"/>
        </w:rPr>
        <w:t>ivotní prostředí, Operační prog</w:t>
      </w:r>
      <w:r w:rsidR="00B22CAB">
        <w:rPr>
          <w:rFonts w:ascii="Arial" w:hAnsi="Arial" w:cs="Arial"/>
          <w:bCs/>
          <w:sz w:val="20"/>
          <w:szCs w:val="20"/>
        </w:rPr>
        <w:t>r</w:t>
      </w:r>
      <w:r w:rsidR="00D06609">
        <w:rPr>
          <w:rFonts w:ascii="Arial" w:hAnsi="Arial" w:cs="Arial"/>
          <w:bCs/>
          <w:sz w:val="20"/>
          <w:szCs w:val="20"/>
        </w:rPr>
        <w:t>am Podnikání a inovace</w:t>
      </w:r>
      <w:r w:rsidR="005B0305">
        <w:rPr>
          <w:rFonts w:ascii="Arial" w:hAnsi="Arial" w:cs="Arial"/>
          <w:bCs/>
          <w:sz w:val="20"/>
          <w:szCs w:val="20"/>
        </w:rPr>
        <w:t xml:space="preserve"> pro konkurenceschopnost, Integrovaný regionální operační program, Operační program Rybářství a Operační program </w:t>
      </w:r>
      <w:r w:rsidR="00305EF5">
        <w:rPr>
          <w:rFonts w:ascii="Arial" w:hAnsi="Arial" w:cs="Arial"/>
          <w:bCs/>
          <w:sz w:val="20"/>
          <w:szCs w:val="20"/>
        </w:rPr>
        <w:t>P</w:t>
      </w:r>
      <w:r w:rsidR="005B0305">
        <w:rPr>
          <w:rFonts w:ascii="Arial" w:hAnsi="Arial" w:cs="Arial"/>
          <w:bCs/>
          <w:sz w:val="20"/>
          <w:szCs w:val="20"/>
        </w:rPr>
        <w:t>řeshraniční spolupráce Česká republika – Polsk</w:t>
      </w:r>
      <w:r w:rsidR="00305EF5">
        <w:rPr>
          <w:rFonts w:ascii="Arial" w:hAnsi="Arial" w:cs="Arial"/>
          <w:bCs/>
          <w:sz w:val="20"/>
          <w:szCs w:val="20"/>
        </w:rPr>
        <w:t>á republika</w:t>
      </w:r>
      <w:r w:rsidR="005B0305">
        <w:rPr>
          <w:rFonts w:ascii="Arial" w:hAnsi="Arial" w:cs="Arial"/>
          <w:bCs/>
          <w:sz w:val="20"/>
          <w:szCs w:val="20"/>
        </w:rPr>
        <w:t>.</w:t>
      </w:r>
      <w:r w:rsidRPr="009377B8">
        <w:rPr>
          <w:rFonts w:ascii="Arial" w:hAnsi="Arial" w:cs="Arial"/>
          <w:bCs/>
          <w:sz w:val="20"/>
          <w:szCs w:val="20"/>
        </w:rPr>
        <w:t xml:space="preserve"> </w:t>
      </w:r>
    </w:p>
    <w:p w:rsidR="009377B8" w:rsidRPr="009377B8" w:rsidRDefault="009377B8" w:rsidP="000D51EA">
      <w:pPr>
        <w:keepNext/>
        <w:rPr>
          <w:rFonts w:ascii="Arial" w:hAnsi="Arial" w:cs="Arial"/>
          <w:bCs/>
          <w:sz w:val="20"/>
          <w:szCs w:val="20"/>
        </w:rPr>
      </w:pPr>
      <w:r w:rsidRPr="009377B8">
        <w:rPr>
          <w:rFonts w:ascii="Arial" w:hAnsi="Arial" w:cs="Arial"/>
          <w:bCs/>
          <w:sz w:val="20"/>
          <w:szCs w:val="20"/>
        </w:rPr>
        <w:lastRenderedPageBreak/>
        <w:t>Tabulka č. 2 zachycuje počet schválených programů nebo programů, které jsou připraveny ke schválení</w:t>
      </w:r>
      <w:r w:rsidR="000D51EA">
        <w:rPr>
          <w:rFonts w:ascii="Arial" w:hAnsi="Arial" w:cs="Arial"/>
          <w:bCs/>
          <w:sz w:val="20"/>
          <w:szCs w:val="20"/>
        </w:rPr>
        <w:t>,</w:t>
      </w:r>
      <w:r w:rsidRPr="009377B8">
        <w:rPr>
          <w:rFonts w:ascii="Arial" w:hAnsi="Arial" w:cs="Arial"/>
          <w:bCs/>
          <w:sz w:val="20"/>
          <w:szCs w:val="20"/>
        </w:rPr>
        <w:t xml:space="preserve"> za ty členské země, které v rámci zjišťování zaslaly informace. Jedná se však o programy, které jsou v přímé kompetenci DG REGIO a dále o multifondové programy, které jsou částečně financovány z ESF. Níže uvedená tabulka je zpracována z dostupných dat na stránkách DG REGIO</w:t>
      </w:r>
      <w:r>
        <w:rPr>
          <w:rStyle w:val="Znakapoznpodarou"/>
          <w:rFonts w:ascii="Arial" w:hAnsi="Arial"/>
          <w:sz w:val="20"/>
          <w:szCs w:val="20"/>
        </w:rPr>
        <w:footnoteReference w:id="12"/>
      </w:r>
      <w:r w:rsidRPr="009377B8">
        <w:rPr>
          <w:rFonts w:ascii="Arial" w:hAnsi="Arial" w:cs="Arial"/>
          <w:bCs/>
          <w:sz w:val="20"/>
          <w:szCs w:val="20"/>
        </w:rPr>
        <w:t>.</w:t>
      </w:r>
    </w:p>
    <w:p w:rsidR="009377B8" w:rsidRPr="009377B8" w:rsidRDefault="009377B8" w:rsidP="000D51EA">
      <w:pPr>
        <w:pStyle w:val="Titulek"/>
        <w:spacing w:before="240"/>
        <w:ind w:left="284" w:right="397"/>
        <w:rPr>
          <w:rFonts w:ascii="Arial" w:hAnsi="Arial" w:cs="Arial"/>
          <w:sz w:val="20"/>
          <w:szCs w:val="20"/>
        </w:rPr>
      </w:pPr>
      <w:r w:rsidRPr="009377B8">
        <w:rPr>
          <w:rFonts w:ascii="Arial" w:hAnsi="Arial" w:cs="Arial"/>
          <w:sz w:val="20"/>
          <w:szCs w:val="20"/>
        </w:rPr>
        <w:t xml:space="preserve">Tabulka č. </w:t>
      </w:r>
      <w:r w:rsidRPr="009377B8">
        <w:rPr>
          <w:rFonts w:ascii="Arial" w:hAnsi="Arial" w:cs="Arial"/>
          <w:sz w:val="20"/>
          <w:szCs w:val="20"/>
        </w:rPr>
        <w:fldChar w:fldCharType="begin"/>
      </w:r>
      <w:r w:rsidRPr="009377B8">
        <w:rPr>
          <w:rFonts w:ascii="Arial" w:hAnsi="Arial" w:cs="Arial"/>
          <w:sz w:val="20"/>
          <w:szCs w:val="20"/>
        </w:rPr>
        <w:instrText xml:space="preserve"> SEQ Tabulka \* ARABIC </w:instrText>
      </w:r>
      <w:r w:rsidRPr="009377B8">
        <w:rPr>
          <w:rFonts w:ascii="Arial" w:hAnsi="Arial" w:cs="Arial"/>
          <w:sz w:val="20"/>
          <w:szCs w:val="20"/>
        </w:rPr>
        <w:fldChar w:fldCharType="separate"/>
      </w:r>
      <w:r w:rsidR="000C3E5B">
        <w:rPr>
          <w:rFonts w:ascii="Arial" w:hAnsi="Arial" w:cs="Arial"/>
          <w:noProof/>
          <w:sz w:val="20"/>
          <w:szCs w:val="20"/>
        </w:rPr>
        <w:t>2</w:t>
      </w:r>
      <w:r w:rsidRPr="009377B8">
        <w:rPr>
          <w:rFonts w:ascii="Arial" w:hAnsi="Arial" w:cs="Arial"/>
          <w:sz w:val="20"/>
          <w:szCs w:val="20"/>
        </w:rPr>
        <w:fldChar w:fldCharType="end"/>
      </w:r>
      <w:r w:rsidRPr="009377B8">
        <w:rPr>
          <w:rFonts w:ascii="Arial" w:hAnsi="Arial" w:cs="Arial"/>
          <w:sz w:val="20"/>
          <w:szCs w:val="20"/>
        </w:rPr>
        <w:t xml:space="preserve"> - Schválené </w:t>
      </w:r>
      <w:r>
        <w:rPr>
          <w:rFonts w:ascii="Arial" w:hAnsi="Arial" w:cs="Arial"/>
          <w:sz w:val="20"/>
          <w:szCs w:val="20"/>
        </w:rPr>
        <w:t>programy</w:t>
      </w:r>
      <w:r w:rsidRPr="009377B8">
        <w:rPr>
          <w:rFonts w:ascii="Arial" w:hAnsi="Arial" w:cs="Arial"/>
          <w:sz w:val="20"/>
          <w:szCs w:val="20"/>
        </w:rPr>
        <w:t xml:space="preserve"> nebo </w:t>
      </w:r>
      <w:r>
        <w:rPr>
          <w:rFonts w:ascii="Arial" w:hAnsi="Arial" w:cs="Arial"/>
          <w:sz w:val="20"/>
          <w:szCs w:val="20"/>
        </w:rPr>
        <w:t>programy</w:t>
      </w:r>
      <w:r w:rsidRPr="009377B8">
        <w:rPr>
          <w:rFonts w:ascii="Arial" w:hAnsi="Arial" w:cs="Arial"/>
          <w:sz w:val="20"/>
          <w:szCs w:val="20"/>
        </w:rPr>
        <w:t xml:space="preserve"> připravené ke schválení, financované z ERDF či multifondové, za jednotlivé členské země k 31. prosinci 2014</w:t>
      </w:r>
      <w:r>
        <w:rPr>
          <w:rFonts w:ascii="Arial" w:hAnsi="Arial" w:cs="Arial"/>
          <w:sz w:val="20"/>
          <w:szCs w:val="20"/>
        </w:rPr>
        <w:t>*</w:t>
      </w:r>
    </w:p>
    <w:tbl>
      <w:tblPr>
        <w:tblStyle w:val="Mkatabulky"/>
        <w:tblW w:w="13451" w:type="dxa"/>
        <w:jc w:val="center"/>
        <w:tblLook w:val="04A0" w:firstRow="1" w:lastRow="0" w:firstColumn="1" w:lastColumn="0" w:noHBand="0" w:noVBand="1"/>
      </w:tblPr>
      <w:tblGrid>
        <w:gridCol w:w="1134"/>
        <w:gridCol w:w="3410"/>
        <w:gridCol w:w="1077"/>
        <w:gridCol w:w="3411"/>
        <w:gridCol w:w="1077"/>
        <w:gridCol w:w="3342"/>
      </w:tblGrid>
      <w:tr w:rsidR="009377B8" w:rsidRPr="009377B8" w:rsidTr="009377B8">
        <w:trPr>
          <w:trHeight w:val="624"/>
          <w:tblHeader/>
          <w:jc w:val="center"/>
        </w:trPr>
        <w:tc>
          <w:tcPr>
            <w:tcW w:w="1134" w:type="dxa"/>
            <w:shd w:val="clear" w:color="auto" w:fill="A6A6A6" w:themeFill="background1" w:themeFillShade="A6"/>
            <w:vAlign w:val="center"/>
          </w:tcPr>
          <w:p w:rsidR="009377B8" w:rsidRPr="009377B8" w:rsidRDefault="009377B8" w:rsidP="009377B8">
            <w:pPr>
              <w:spacing w:before="0" w:line="240" w:lineRule="auto"/>
              <w:jc w:val="center"/>
              <w:rPr>
                <w:rFonts w:ascii="Arial" w:hAnsi="Arial" w:cs="Arial"/>
                <w:b/>
                <w:bCs/>
                <w:color w:val="FFFFFF" w:themeColor="background1"/>
                <w:sz w:val="20"/>
                <w:szCs w:val="20"/>
              </w:rPr>
            </w:pPr>
            <w:r w:rsidRPr="009377B8">
              <w:rPr>
                <w:rFonts w:ascii="Arial" w:hAnsi="Arial" w:cs="Arial"/>
                <w:b/>
                <w:bCs/>
                <w:color w:val="FFFFFF" w:themeColor="background1"/>
                <w:sz w:val="20"/>
                <w:szCs w:val="20"/>
              </w:rPr>
              <w:t>Členský stát</w:t>
            </w:r>
          </w:p>
        </w:tc>
        <w:tc>
          <w:tcPr>
            <w:tcW w:w="3410" w:type="dxa"/>
            <w:shd w:val="clear" w:color="auto" w:fill="A6A6A6" w:themeFill="background1" w:themeFillShade="A6"/>
            <w:vAlign w:val="center"/>
          </w:tcPr>
          <w:p w:rsidR="009377B8" w:rsidRPr="009377B8" w:rsidRDefault="009377B8" w:rsidP="00FA39C8">
            <w:pPr>
              <w:spacing w:before="0" w:line="240" w:lineRule="auto"/>
              <w:jc w:val="center"/>
              <w:rPr>
                <w:rFonts w:ascii="Arial" w:hAnsi="Arial" w:cs="Arial"/>
                <w:b/>
                <w:bCs/>
                <w:color w:val="FFFFFF" w:themeColor="background1"/>
                <w:sz w:val="20"/>
                <w:szCs w:val="20"/>
              </w:rPr>
            </w:pPr>
            <w:r w:rsidRPr="009377B8">
              <w:rPr>
                <w:rFonts w:ascii="Arial" w:hAnsi="Arial" w:cs="Arial"/>
                <w:b/>
                <w:bCs/>
                <w:color w:val="FFFFFF" w:themeColor="background1"/>
                <w:sz w:val="20"/>
                <w:szCs w:val="20"/>
              </w:rPr>
              <w:t>Počet schválených programů / programů postupujících dle varianty č. 1</w:t>
            </w:r>
          </w:p>
        </w:tc>
        <w:tc>
          <w:tcPr>
            <w:tcW w:w="1077" w:type="dxa"/>
            <w:shd w:val="clear" w:color="auto" w:fill="A6A6A6" w:themeFill="background1" w:themeFillShade="A6"/>
            <w:vAlign w:val="center"/>
          </w:tcPr>
          <w:p w:rsidR="009377B8" w:rsidRPr="009377B8" w:rsidRDefault="009377B8" w:rsidP="009377B8">
            <w:pPr>
              <w:spacing w:before="0" w:line="240" w:lineRule="auto"/>
              <w:jc w:val="center"/>
              <w:rPr>
                <w:rFonts w:ascii="Arial" w:hAnsi="Arial" w:cs="Arial"/>
                <w:b/>
                <w:bCs/>
                <w:color w:val="FFFFFF" w:themeColor="background1"/>
                <w:sz w:val="20"/>
                <w:szCs w:val="20"/>
              </w:rPr>
            </w:pPr>
            <w:r w:rsidRPr="009377B8">
              <w:rPr>
                <w:rFonts w:ascii="Arial" w:hAnsi="Arial" w:cs="Arial"/>
                <w:b/>
                <w:bCs/>
                <w:color w:val="FFFFFF" w:themeColor="background1"/>
                <w:sz w:val="20"/>
                <w:szCs w:val="20"/>
              </w:rPr>
              <w:t>Členský stát</w:t>
            </w:r>
          </w:p>
        </w:tc>
        <w:tc>
          <w:tcPr>
            <w:tcW w:w="3411" w:type="dxa"/>
            <w:shd w:val="clear" w:color="auto" w:fill="A6A6A6" w:themeFill="background1" w:themeFillShade="A6"/>
            <w:vAlign w:val="center"/>
          </w:tcPr>
          <w:p w:rsidR="009377B8" w:rsidRPr="009377B8" w:rsidRDefault="009377B8" w:rsidP="00FA39C8">
            <w:pPr>
              <w:spacing w:before="0" w:line="240" w:lineRule="auto"/>
              <w:jc w:val="center"/>
              <w:rPr>
                <w:rFonts w:ascii="Arial" w:hAnsi="Arial" w:cs="Arial"/>
                <w:b/>
                <w:bCs/>
                <w:color w:val="FFFFFF" w:themeColor="background1"/>
                <w:sz w:val="20"/>
                <w:szCs w:val="20"/>
              </w:rPr>
            </w:pPr>
            <w:r w:rsidRPr="009377B8">
              <w:rPr>
                <w:rFonts w:ascii="Arial" w:hAnsi="Arial" w:cs="Arial"/>
                <w:b/>
                <w:bCs/>
                <w:color w:val="FFFFFF" w:themeColor="background1"/>
                <w:sz w:val="20"/>
                <w:szCs w:val="20"/>
              </w:rPr>
              <w:t>Počet schválených programů / programů postupujících dle varianty č. 1</w:t>
            </w:r>
          </w:p>
        </w:tc>
        <w:tc>
          <w:tcPr>
            <w:tcW w:w="1077" w:type="dxa"/>
            <w:shd w:val="clear" w:color="auto" w:fill="A6A6A6" w:themeFill="background1" w:themeFillShade="A6"/>
            <w:vAlign w:val="center"/>
          </w:tcPr>
          <w:p w:rsidR="009377B8" w:rsidRPr="009377B8" w:rsidRDefault="009377B8" w:rsidP="009377B8">
            <w:pPr>
              <w:spacing w:before="0" w:line="240" w:lineRule="auto"/>
              <w:jc w:val="center"/>
              <w:rPr>
                <w:rFonts w:ascii="Arial" w:hAnsi="Arial" w:cs="Arial"/>
                <w:b/>
                <w:bCs/>
                <w:color w:val="FFFFFF" w:themeColor="background1"/>
                <w:sz w:val="20"/>
                <w:szCs w:val="20"/>
              </w:rPr>
            </w:pPr>
            <w:r w:rsidRPr="009377B8">
              <w:rPr>
                <w:rFonts w:ascii="Arial" w:hAnsi="Arial" w:cs="Arial"/>
                <w:b/>
                <w:bCs/>
                <w:color w:val="FFFFFF" w:themeColor="background1"/>
                <w:sz w:val="20"/>
                <w:szCs w:val="20"/>
              </w:rPr>
              <w:t>Členský stát</w:t>
            </w:r>
          </w:p>
        </w:tc>
        <w:tc>
          <w:tcPr>
            <w:tcW w:w="3342" w:type="dxa"/>
            <w:shd w:val="clear" w:color="auto" w:fill="A6A6A6" w:themeFill="background1" w:themeFillShade="A6"/>
            <w:vAlign w:val="center"/>
          </w:tcPr>
          <w:p w:rsidR="009377B8" w:rsidRPr="009377B8" w:rsidRDefault="009377B8" w:rsidP="00FA39C8">
            <w:pPr>
              <w:spacing w:before="0" w:line="240" w:lineRule="auto"/>
              <w:jc w:val="center"/>
              <w:rPr>
                <w:rFonts w:ascii="Arial" w:hAnsi="Arial" w:cs="Arial"/>
                <w:b/>
                <w:bCs/>
                <w:color w:val="FFFFFF" w:themeColor="background1"/>
                <w:sz w:val="20"/>
                <w:szCs w:val="20"/>
              </w:rPr>
            </w:pPr>
            <w:r w:rsidRPr="009377B8">
              <w:rPr>
                <w:rFonts w:ascii="Arial" w:hAnsi="Arial" w:cs="Arial"/>
                <w:b/>
                <w:bCs/>
                <w:color w:val="FFFFFF" w:themeColor="background1"/>
                <w:sz w:val="20"/>
                <w:szCs w:val="20"/>
              </w:rPr>
              <w:t>Počet schválených programů / programů postupujících dle varianty č. 1</w:t>
            </w:r>
          </w:p>
        </w:tc>
      </w:tr>
      <w:tr w:rsidR="009377B8" w:rsidRPr="009377B8" w:rsidTr="009377B8">
        <w:trPr>
          <w:trHeight w:val="624"/>
          <w:jc w:val="center"/>
        </w:trPr>
        <w:tc>
          <w:tcPr>
            <w:tcW w:w="1134" w:type="dxa"/>
            <w:vAlign w:val="center"/>
          </w:tcPr>
          <w:p w:rsidR="009377B8" w:rsidRPr="009377B8" w:rsidRDefault="009377B8" w:rsidP="009377B8">
            <w:pPr>
              <w:spacing w:before="0" w:line="240" w:lineRule="auto"/>
              <w:jc w:val="center"/>
              <w:rPr>
                <w:rFonts w:ascii="Arial" w:hAnsi="Arial" w:cs="Arial"/>
                <w:sz w:val="20"/>
              </w:rPr>
            </w:pPr>
            <w:r w:rsidRPr="009377B8">
              <w:rPr>
                <w:rFonts w:ascii="Arial" w:hAnsi="Arial" w:cs="Arial"/>
                <w:sz w:val="20"/>
              </w:rPr>
              <w:t>AT</w:t>
            </w:r>
          </w:p>
        </w:tc>
        <w:tc>
          <w:tcPr>
            <w:tcW w:w="3410" w:type="dxa"/>
            <w:vAlign w:val="center"/>
          </w:tcPr>
          <w:p w:rsidR="009377B8" w:rsidRPr="009377B8" w:rsidRDefault="009377B8" w:rsidP="000D51EA">
            <w:pPr>
              <w:spacing w:before="0" w:line="240" w:lineRule="auto"/>
              <w:rPr>
                <w:rFonts w:ascii="Arial" w:hAnsi="Arial" w:cs="Arial"/>
                <w:sz w:val="20"/>
              </w:rPr>
            </w:pPr>
            <w:r w:rsidRPr="009377B8">
              <w:rPr>
                <w:rFonts w:ascii="Arial" w:hAnsi="Arial" w:cs="Arial"/>
                <w:sz w:val="20"/>
              </w:rPr>
              <w:t>1</w:t>
            </w:r>
          </w:p>
        </w:tc>
        <w:tc>
          <w:tcPr>
            <w:tcW w:w="1077" w:type="dxa"/>
            <w:vAlign w:val="center"/>
          </w:tcPr>
          <w:p w:rsidR="009377B8" w:rsidRPr="009377B8" w:rsidRDefault="009377B8" w:rsidP="009377B8">
            <w:pPr>
              <w:spacing w:before="0" w:line="240" w:lineRule="auto"/>
              <w:jc w:val="center"/>
              <w:rPr>
                <w:rFonts w:ascii="Arial" w:hAnsi="Arial" w:cs="Arial"/>
                <w:sz w:val="20"/>
              </w:rPr>
            </w:pPr>
            <w:r w:rsidRPr="009377B8">
              <w:rPr>
                <w:rFonts w:ascii="Arial" w:hAnsi="Arial" w:cs="Arial"/>
                <w:sz w:val="20"/>
              </w:rPr>
              <w:t>BG</w:t>
            </w:r>
          </w:p>
        </w:tc>
        <w:tc>
          <w:tcPr>
            <w:tcW w:w="3411" w:type="dxa"/>
            <w:vAlign w:val="center"/>
          </w:tcPr>
          <w:p w:rsidR="009377B8" w:rsidRPr="009377B8" w:rsidRDefault="009377B8" w:rsidP="009377B8">
            <w:pPr>
              <w:spacing w:before="0" w:line="240" w:lineRule="auto"/>
              <w:rPr>
                <w:rFonts w:ascii="Arial" w:hAnsi="Arial" w:cs="Arial"/>
                <w:sz w:val="20"/>
              </w:rPr>
            </w:pPr>
            <w:r w:rsidRPr="009377B8">
              <w:rPr>
                <w:rFonts w:ascii="Arial" w:hAnsi="Arial" w:cs="Arial"/>
                <w:sz w:val="20"/>
              </w:rPr>
              <w:t>1 (CF+ERDF)</w:t>
            </w:r>
          </w:p>
        </w:tc>
        <w:tc>
          <w:tcPr>
            <w:tcW w:w="1077" w:type="dxa"/>
            <w:vAlign w:val="center"/>
          </w:tcPr>
          <w:p w:rsidR="009377B8" w:rsidRPr="009377B8" w:rsidRDefault="009377B8" w:rsidP="009377B8">
            <w:pPr>
              <w:spacing w:before="0" w:line="240" w:lineRule="auto"/>
              <w:jc w:val="center"/>
              <w:rPr>
                <w:rFonts w:ascii="Arial" w:hAnsi="Arial" w:cs="Arial"/>
                <w:sz w:val="20"/>
              </w:rPr>
            </w:pPr>
            <w:r w:rsidRPr="009377B8">
              <w:rPr>
                <w:rFonts w:ascii="Arial" w:hAnsi="Arial" w:cs="Arial"/>
                <w:sz w:val="20"/>
              </w:rPr>
              <w:t>BE</w:t>
            </w:r>
          </w:p>
        </w:tc>
        <w:tc>
          <w:tcPr>
            <w:tcW w:w="3342" w:type="dxa"/>
            <w:vAlign w:val="center"/>
          </w:tcPr>
          <w:p w:rsidR="009377B8" w:rsidRPr="009377B8" w:rsidRDefault="009377B8" w:rsidP="009377B8">
            <w:pPr>
              <w:spacing w:before="0" w:line="240" w:lineRule="auto"/>
              <w:rPr>
                <w:rFonts w:ascii="Arial" w:hAnsi="Arial" w:cs="Arial"/>
                <w:sz w:val="20"/>
              </w:rPr>
            </w:pPr>
            <w:r w:rsidRPr="009377B8">
              <w:rPr>
                <w:rFonts w:ascii="Arial" w:hAnsi="Arial" w:cs="Arial"/>
                <w:sz w:val="20"/>
              </w:rPr>
              <w:t>3</w:t>
            </w:r>
          </w:p>
        </w:tc>
      </w:tr>
      <w:tr w:rsidR="009377B8" w:rsidRPr="009377B8" w:rsidTr="009377B8">
        <w:trPr>
          <w:trHeight w:val="624"/>
          <w:jc w:val="center"/>
        </w:trPr>
        <w:tc>
          <w:tcPr>
            <w:tcW w:w="1134" w:type="dxa"/>
            <w:shd w:val="clear" w:color="auto" w:fill="D9D9D9" w:themeFill="background1" w:themeFillShade="D9"/>
            <w:vAlign w:val="center"/>
          </w:tcPr>
          <w:p w:rsidR="009377B8" w:rsidRPr="009377B8" w:rsidRDefault="009377B8" w:rsidP="009377B8">
            <w:pPr>
              <w:spacing w:before="0" w:line="240" w:lineRule="auto"/>
              <w:jc w:val="center"/>
              <w:rPr>
                <w:rFonts w:ascii="Arial" w:hAnsi="Arial" w:cs="Arial"/>
                <w:sz w:val="20"/>
              </w:rPr>
            </w:pPr>
            <w:r w:rsidRPr="009377B8">
              <w:rPr>
                <w:rFonts w:ascii="Arial" w:hAnsi="Arial" w:cs="Arial"/>
                <w:sz w:val="20"/>
              </w:rPr>
              <w:t>CY</w:t>
            </w:r>
          </w:p>
        </w:tc>
        <w:tc>
          <w:tcPr>
            <w:tcW w:w="3410" w:type="dxa"/>
            <w:shd w:val="clear" w:color="auto" w:fill="D9D9D9" w:themeFill="background1" w:themeFillShade="D9"/>
            <w:vAlign w:val="center"/>
          </w:tcPr>
          <w:p w:rsidR="009377B8" w:rsidRPr="009377B8" w:rsidRDefault="009377B8" w:rsidP="009377B8">
            <w:pPr>
              <w:spacing w:before="0" w:line="240" w:lineRule="auto"/>
              <w:rPr>
                <w:rFonts w:ascii="Arial" w:hAnsi="Arial" w:cs="Arial"/>
                <w:sz w:val="20"/>
              </w:rPr>
            </w:pPr>
            <w:r w:rsidRPr="009377B8">
              <w:rPr>
                <w:rFonts w:ascii="Arial" w:hAnsi="Arial" w:cs="Arial"/>
                <w:sz w:val="20"/>
              </w:rPr>
              <w:t>1 (ERDF+CF)</w:t>
            </w:r>
          </w:p>
        </w:tc>
        <w:tc>
          <w:tcPr>
            <w:tcW w:w="1077" w:type="dxa"/>
            <w:shd w:val="clear" w:color="auto" w:fill="D9D9D9" w:themeFill="background1" w:themeFillShade="D9"/>
            <w:vAlign w:val="center"/>
          </w:tcPr>
          <w:p w:rsidR="009377B8" w:rsidRPr="009377B8" w:rsidRDefault="009377B8" w:rsidP="009377B8">
            <w:pPr>
              <w:spacing w:before="0" w:line="240" w:lineRule="auto"/>
              <w:jc w:val="center"/>
              <w:rPr>
                <w:rFonts w:ascii="Arial" w:hAnsi="Arial" w:cs="Arial"/>
                <w:sz w:val="20"/>
              </w:rPr>
            </w:pPr>
            <w:r w:rsidRPr="009377B8">
              <w:rPr>
                <w:rFonts w:ascii="Arial" w:hAnsi="Arial" w:cs="Arial"/>
                <w:sz w:val="20"/>
              </w:rPr>
              <w:t>DA</w:t>
            </w:r>
          </w:p>
        </w:tc>
        <w:tc>
          <w:tcPr>
            <w:tcW w:w="3411" w:type="dxa"/>
            <w:shd w:val="clear" w:color="auto" w:fill="D9D9D9" w:themeFill="background1" w:themeFillShade="D9"/>
            <w:vAlign w:val="center"/>
          </w:tcPr>
          <w:p w:rsidR="009377B8" w:rsidRPr="009377B8" w:rsidRDefault="009377B8" w:rsidP="009377B8">
            <w:pPr>
              <w:spacing w:before="0" w:line="240" w:lineRule="auto"/>
              <w:rPr>
                <w:rFonts w:ascii="Arial" w:hAnsi="Arial" w:cs="Arial"/>
                <w:sz w:val="20"/>
              </w:rPr>
            </w:pPr>
            <w:r w:rsidRPr="009377B8">
              <w:rPr>
                <w:rFonts w:ascii="Arial" w:hAnsi="Arial" w:cs="Arial"/>
                <w:sz w:val="20"/>
              </w:rPr>
              <w:t>1</w:t>
            </w:r>
          </w:p>
        </w:tc>
        <w:tc>
          <w:tcPr>
            <w:tcW w:w="1077" w:type="dxa"/>
            <w:shd w:val="clear" w:color="auto" w:fill="D9D9D9" w:themeFill="background1" w:themeFillShade="D9"/>
            <w:vAlign w:val="center"/>
          </w:tcPr>
          <w:p w:rsidR="009377B8" w:rsidRPr="009377B8" w:rsidRDefault="009377B8" w:rsidP="009377B8">
            <w:pPr>
              <w:spacing w:before="0" w:line="240" w:lineRule="auto"/>
              <w:jc w:val="center"/>
              <w:rPr>
                <w:rFonts w:ascii="Arial" w:hAnsi="Arial" w:cs="Arial"/>
                <w:sz w:val="20"/>
              </w:rPr>
            </w:pPr>
            <w:r w:rsidRPr="009377B8">
              <w:rPr>
                <w:rFonts w:ascii="Arial" w:hAnsi="Arial" w:cs="Arial"/>
                <w:sz w:val="20"/>
              </w:rPr>
              <w:t>FI</w:t>
            </w:r>
          </w:p>
        </w:tc>
        <w:tc>
          <w:tcPr>
            <w:tcW w:w="3342" w:type="dxa"/>
            <w:shd w:val="clear" w:color="auto" w:fill="D9D9D9" w:themeFill="background1" w:themeFillShade="D9"/>
            <w:vAlign w:val="center"/>
          </w:tcPr>
          <w:p w:rsidR="009377B8" w:rsidRPr="009377B8" w:rsidRDefault="009377B8" w:rsidP="009377B8">
            <w:pPr>
              <w:spacing w:before="0" w:line="240" w:lineRule="auto"/>
              <w:rPr>
                <w:rFonts w:ascii="Arial" w:hAnsi="Arial" w:cs="Arial"/>
                <w:sz w:val="20"/>
              </w:rPr>
            </w:pPr>
            <w:r w:rsidRPr="009377B8">
              <w:rPr>
                <w:rFonts w:ascii="Arial" w:hAnsi="Arial" w:cs="Arial"/>
                <w:sz w:val="20"/>
              </w:rPr>
              <w:t>2 (ERDF+ESF)</w:t>
            </w:r>
          </w:p>
        </w:tc>
      </w:tr>
      <w:tr w:rsidR="009377B8" w:rsidRPr="009377B8" w:rsidTr="009377B8">
        <w:trPr>
          <w:trHeight w:val="624"/>
          <w:jc w:val="center"/>
        </w:trPr>
        <w:tc>
          <w:tcPr>
            <w:tcW w:w="1134" w:type="dxa"/>
            <w:vAlign w:val="center"/>
          </w:tcPr>
          <w:p w:rsidR="009377B8" w:rsidRPr="009377B8" w:rsidRDefault="009377B8" w:rsidP="009377B8">
            <w:pPr>
              <w:spacing w:before="0" w:line="240" w:lineRule="auto"/>
              <w:jc w:val="center"/>
              <w:rPr>
                <w:rFonts w:ascii="Arial" w:hAnsi="Arial" w:cs="Arial"/>
                <w:sz w:val="20"/>
              </w:rPr>
            </w:pPr>
            <w:r w:rsidRPr="009377B8">
              <w:rPr>
                <w:rFonts w:ascii="Arial" w:hAnsi="Arial" w:cs="Arial"/>
                <w:sz w:val="20"/>
              </w:rPr>
              <w:t>FR</w:t>
            </w:r>
          </w:p>
        </w:tc>
        <w:tc>
          <w:tcPr>
            <w:tcW w:w="3410" w:type="dxa"/>
            <w:vAlign w:val="center"/>
          </w:tcPr>
          <w:p w:rsidR="009377B8" w:rsidRPr="009377B8" w:rsidRDefault="009377B8" w:rsidP="009377B8">
            <w:pPr>
              <w:spacing w:before="0" w:line="240" w:lineRule="auto"/>
              <w:rPr>
                <w:rFonts w:ascii="Arial" w:hAnsi="Arial" w:cs="Arial"/>
                <w:sz w:val="20"/>
              </w:rPr>
            </w:pPr>
            <w:r w:rsidRPr="009377B8">
              <w:rPr>
                <w:rFonts w:ascii="Arial" w:hAnsi="Arial" w:cs="Arial"/>
                <w:sz w:val="20"/>
              </w:rPr>
              <w:t>34 (8 ERDF, 26 ERDF+ESF+YEI)</w:t>
            </w:r>
          </w:p>
        </w:tc>
        <w:tc>
          <w:tcPr>
            <w:tcW w:w="1077" w:type="dxa"/>
            <w:vAlign w:val="center"/>
          </w:tcPr>
          <w:p w:rsidR="009377B8" w:rsidRPr="009377B8" w:rsidRDefault="009377B8" w:rsidP="009377B8">
            <w:pPr>
              <w:spacing w:before="0" w:line="240" w:lineRule="auto"/>
              <w:jc w:val="center"/>
              <w:rPr>
                <w:rFonts w:ascii="Arial" w:hAnsi="Arial" w:cs="Arial"/>
                <w:sz w:val="20"/>
              </w:rPr>
            </w:pPr>
            <w:r w:rsidRPr="00F770F2">
              <w:rPr>
                <w:rFonts w:ascii="Arial" w:hAnsi="Arial" w:cs="Arial"/>
                <w:sz w:val="20"/>
              </w:rPr>
              <w:t>E</w:t>
            </w:r>
            <w:r w:rsidR="00895EE9" w:rsidRPr="004072F1">
              <w:rPr>
                <w:rFonts w:ascii="Arial" w:hAnsi="Arial" w:cs="Arial"/>
                <w:sz w:val="20"/>
              </w:rPr>
              <w:t>L</w:t>
            </w:r>
          </w:p>
        </w:tc>
        <w:tc>
          <w:tcPr>
            <w:tcW w:w="3411" w:type="dxa"/>
            <w:vAlign w:val="center"/>
          </w:tcPr>
          <w:p w:rsidR="009377B8" w:rsidRPr="009377B8" w:rsidRDefault="009377B8" w:rsidP="009377B8">
            <w:pPr>
              <w:spacing w:before="0" w:line="240" w:lineRule="auto"/>
              <w:rPr>
                <w:rFonts w:ascii="Arial" w:hAnsi="Arial" w:cs="Arial"/>
                <w:sz w:val="20"/>
              </w:rPr>
            </w:pPr>
            <w:r w:rsidRPr="009377B8">
              <w:rPr>
                <w:rFonts w:ascii="Arial" w:hAnsi="Arial" w:cs="Arial"/>
                <w:sz w:val="20"/>
              </w:rPr>
              <w:t>2</w:t>
            </w:r>
          </w:p>
        </w:tc>
        <w:tc>
          <w:tcPr>
            <w:tcW w:w="1077" w:type="dxa"/>
            <w:vAlign w:val="center"/>
          </w:tcPr>
          <w:p w:rsidR="009377B8" w:rsidRPr="009377B8" w:rsidRDefault="009377B8" w:rsidP="009377B8">
            <w:pPr>
              <w:spacing w:before="0" w:line="240" w:lineRule="auto"/>
              <w:jc w:val="center"/>
              <w:rPr>
                <w:rFonts w:ascii="Arial" w:hAnsi="Arial" w:cs="Arial"/>
                <w:sz w:val="20"/>
              </w:rPr>
            </w:pPr>
            <w:r w:rsidRPr="009377B8">
              <w:rPr>
                <w:rFonts w:ascii="Arial" w:hAnsi="Arial" w:cs="Arial"/>
                <w:sz w:val="20"/>
              </w:rPr>
              <w:t>IT</w:t>
            </w:r>
          </w:p>
        </w:tc>
        <w:tc>
          <w:tcPr>
            <w:tcW w:w="3342" w:type="dxa"/>
            <w:vAlign w:val="center"/>
          </w:tcPr>
          <w:p w:rsidR="009377B8" w:rsidRPr="009377B8" w:rsidRDefault="009377B8" w:rsidP="009377B8">
            <w:pPr>
              <w:spacing w:before="0" w:line="240" w:lineRule="auto"/>
              <w:rPr>
                <w:rFonts w:ascii="Arial" w:hAnsi="Arial" w:cs="Arial"/>
                <w:sz w:val="20"/>
              </w:rPr>
            </w:pPr>
            <w:r w:rsidRPr="009377B8">
              <w:rPr>
                <w:rFonts w:ascii="Arial" w:hAnsi="Arial" w:cs="Arial"/>
                <w:sz w:val="20"/>
              </w:rPr>
              <w:t>1 (ERDF+ESF)</w:t>
            </w:r>
          </w:p>
        </w:tc>
      </w:tr>
      <w:tr w:rsidR="009377B8" w:rsidRPr="009377B8" w:rsidTr="009377B8">
        <w:trPr>
          <w:trHeight w:val="624"/>
          <w:jc w:val="center"/>
        </w:trPr>
        <w:tc>
          <w:tcPr>
            <w:tcW w:w="1134" w:type="dxa"/>
            <w:shd w:val="clear" w:color="auto" w:fill="D9D9D9" w:themeFill="background1" w:themeFillShade="D9"/>
            <w:vAlign w:val="center"/>
          </w:tcPr>
          <w:p w:rsidR="009377B8" w:rsidRPr="009377B8" w:rsidRDefault="009377B8" w:rsidP="009377B8">
            <w:pPr>
              <w:spacing w:before="0" w:line="240" w:lineRule="auto"/>
              <w:jc w:val="center"/>
              <w:rPr>
                <w:rFonts w:ascii="Arial" w:hAnsi="Arial" w:cs="Arial"/>
                <w:sz w:val="20"/>
              </w:rPr>
            </w:pPr>
            <w:r w:rsidRPr="009377B8">
              <w:rPr>
                <w:rFonts w:ascii="Arial" w:hAnsi="Arial" w:cs="Arial"/>
                <w:sz w:val="20"/>
              </w:rPr>
              <w:t>LV</w:t>
            </w:r>
          </w:p>
        </w:tc>
        <w:tc>
          <w:tcPr>
            <w:tcW w:w="3410" w:type="dxa"/>
            <w:shd w:val="clear" w:color="auto" w:fill="D9D9D9" w:themeFill="background1" w:themeFillShade="D9"/>
            <w:vAlign w:val="center"/>
          </w:tcPr>
          <w:p w:rsidR="009377B8" w:rsidRPr="009377B8" w:rsidRDefault="009377B8" w:rsidP="009377B8">
            <w:pPr>
              <w:spacing w:before="0" w:line="240" w:lineRule="auto"/>
              <w:rPr>
                <w:rFonts w:ascii="Arial" w:hAnsi="Arial" w:cs="Arial"/>
                <w:sz w:val="20"/>
              </w:rPr>
            </w:pPr>
            <w:r w:rsidRPr="009377B8">
              <w:rPr>
                <w:rFonts w:ascii="Arial" w:hAnsi="Arial" w:cs="Arial"/>
                <w:sz w:val="20"/>
              </w:rPr>
              <w:t>1 (ERDF+ESF+YEI+CF)</w:t>
            </w:r>
          </w:p>
        </w:tc>
        <w:tc>
          <w:tcPr>
            <w:tcW w:w="1077" w:type="dxa"/>
            <w:shd w:val="clear" w:color="auto" w:fill="D9D9D9" w:themeFill="background1" w:themeFillShade="D9"/>
            <w:vAlign w:val="center"/>
          </w:tcPr>
          <w:p w:rsidR="009377B8" w:rsidRPr="009377B8" w:rsidRDefault="009377B8" w:rsidP="009377B8">
            <w:pPr>
              <w:spacing w:before="0" w:line="240" w:lineRule="auto"/>
              <w:jc w:val="center"/>
              <w:rPr>
                <w:rFonts w:ascii="Arial" w:hAnsi="Arial" w:cs="Arial"/>
                <w:sz w:val="20"/>
              </w:rPr>
            </w:pPr>
            <w:r w:rsidRPr="009377B8">
              <w:rPr>
                <w:rFonts w:ascii="Arial" w:hAnsi="Arial" w:cs="Arial"/>
                <w:sz w:val="20"/>
              </w:rPr>
              <w:t>LT</w:t>
            </w:r>
          </w:p>
        </w:tc>
        <w:tc>
          <w:tcPr>
            <w:tcW w:w="3411" w:type="dxa"/>
            <w:shd w:val="clear" w:color="auto" w:fill="D9D9D9" w:themeFill="background1" w:themeFillShade="D9"/>
            <w:vAlign w:val="center"/>
          </w:tcPr>
          <w:p w:rsidR="009377B8" w:rsidRPr="009377B8" w:rsidRDefault="009377B8" w:rsidP="009377B8">
            <w:pPr>
              <w:spacing w:before="0" w:line="240" w:lineRule="auto"/>
              <w:rPr>
                <w:rFonts w:ascii="Arial" w:hAnsi="Arial" w:cs="Arial"/>
                <w:sz w:val="20"/>
              </w:rPr>
            </w:pPr>
            <w:r w:rsidRPr="009377B8">
              <w:rPr>
                <w:rFonts w:ascii="Arial" w:hAnsi="Arial" w:cs="Arial"/>
                <w:sz w:val="20"/>
              </w:rPr>
              <w:t>1 (ERDF+ESF+YEI+CF)</w:t>
            </w:r>
          </w:p>
        </w:tc>
        <w:tc>
          <w:tcPr>
            <w:tcW w:w="1077" w:type="dxa"/>
            <w:shd w:val="clear" w:color="auto" w:fill="D9D9D9" w:themeFill="background1" w:themeFillShade="D9"/>
            <w:vAlign w:val="center"/>
          </w:tcPr>
          <w:p w:rsidR="009377B8" w:rsidRPr="009377B8" w:rsidRDefault="009377B8" w:rsidP="009377B8">
            <w:pPr>
              <w:spacing w:before="0" w:line="240" w:lineRule="auto"/>
              <w:jc w:val="center"/>
              <w:rPr>
                <w:rFonts w:ascii="Arial" w:hAnsi="Arial" w:cs="Arial"/>
                <w:sz w:val="20"/>
              </w:rPr>
            </w:pPr>
            <w:r w:rsidRPr="009377B8">
              <w:rPr>
                <w:rFonts w:ascii="Arial" w:hAnsi="Arial" w:cs="Arial"/>
                <w:sz w:val="20"/>
              </w:rPr>
              <w:t>LU</w:t>
            </w:r>
          </w:p>
        </w:tc>
        <w:tc>
          <w:tcPr>
            <w:tcW w:w="3342" w:type="dxa"/>
            <w:shd w:val="clear" w:color="auto" w:fill="D9D9D9" w:themeFill="background1" w:themeFillShade="D9"/>
            <w:vAlign w:val="center"/>
          </w:tcPr>
          <w:p w:rsidR="009377B8" w:rsidRPr="009377B8" w:rsidRDefault="009377B8" w:rsidP="009377B8">
            <w:pPr>
              <w:spacing w:before="0" w:line="240" w:lineRule="auto"/>
              <w:rPr>
                <w:rFonts w:ascii="Arial" w:hAnsi="Arial" w:cs="Arial"/>
                <w:sz w:val="20"/>
              </w:rPr>
            </w:pPr>
            <w:r w:rsidRPr="009377B8">
              <w:rPr>
                <w:rFonts w:ascii="Arial" w:hAnsi="Arial" w:cs="Arial"/>
                <w:sz w:val="20"/>
              </w:rPr>
              <w:t>1</w:t>
            </w:r>
          </w:p>
        </w:tc>
      </w:tr>
      <w:tr w:rsidR="009377B8" w:rsidRPr="009377B8" w:rsidTr="009377B8">
        <w:trPr>
          <w:trHeight w:val="624"/>
          <w:jc w:val="center"/>
        </w:trPr>
        <w:tc>
          <w:tcPr>
            <w:tcW w:w="1134" w:type="dxa"/>
            <w:vAlign w:val="center"/>
          </w:tcPr>
          <w:p w:rsidR="009377B8" w:rsidRPr="009377B8" w:rsidRDefault="009377B8" w:rsidP="009377B8">
            <w:pPr>
              <w:spacing w:before="0" w:line="240" w:lineRule="auto"/>
              <w:jc w:val="center"/>
              <w:rPr>
                <w:rFonts w:ascii="Arial" w:hAnsi="Arial" w:cs="Arial"/>
                <w:sz w:val="20"/>
              </w:rPr>
            </w:pPr>
            <w:r w:rsidRPr="009377B8">
              <w:rPr>
                <w:rFonts w:ascii="Arial" w:hAnsi="Arial" w:cs="Arial"/>
                <w:sz w:val="20"/>
              </w:rPr>
              <w:t>NL</w:t>
            </w:r>
          </w:p>
        </w:tc>
        <w:tc>
          <w:tcPr>
            <w:tcW w:w="3410" w:type="dxa"/>
            <w:vAlign w:val="center"/>
          </w:tcPr>
          <w:p w:rsidR="009377B8" w:rsidRPr="009377B8" w:rsidRDefault="009377B8" w:rsidP="009377B8">
            <w:pPr>
              <w:spacing w:before="0" w:line="240" w:lineRule="auto"/>
              <w:rPr>
                <w:rFonts w:ascii="Arial" w:hAnsi="Arial" w:cs="Arial"/>
                <w:sz w:val="20"/>
              </w:rPr>
            </w:pPr>
            <w:r w:rsidRPr="009377B8">
              <w:rPr>
                <w:rFonts w:ascii="Arial" w:hAnsi="Arial" w:cs="Arial"/>
                <w:sz w:val="20"/>
              </w:rPr>
              <w:t>4</w:t>
            </w:r>
          </w:p>
        </w:tc>
        <w:tc>
          <w:tcPr>
            <w:tcW w:w="1077" w:type="dxa"/>
            <w:vAlign w:val="center"/>
          </w:tcPr>
          <w:p w:rsidR="009377B8" w:rsidRPr="009377B8" w:rsidRDefault="009377B8" w:rsidP="009377B8">
            <w:pPr>
              <w:spacing w:before="0" w:line="240" w:lineRule="auto"/>
              <w:jc w:val="center"/>
              <w:rPr>
                <w:rFonts w:ascii="Arial" w:hAnsi="Arial" w:cs="Arial"/>
                <w:sz w:val="20"/>
              </w:rPr>
            </w:pPr>
            <w:r w:rsidRPr="004072F1">
              <w:rPr>
                <w:rFonts w:ascii="Arial" w:hAnsi="Arial" w:cs="Arial"/>
                <w:sz w:val="20"/>
              </w:rPr>
              <w:t>P</w:t>
            </w:r>
            <w:r w:rsidR="00895EE9" w:rsidRPr="004072F1">
              <w:rPr>
                <w:rFonts w:ascii="Arial" w:hAnsi="Arial" w:cs="Arial"/>
                <w:sz w:val="20"/>
              </w:rPr>
              <w:t>T</w:t>
            </w:r>
          </w:p>
        </w:tc>
        <w:tc>
          <w:tcPr>
            <w:tcW w:w="3411" w:type="dxa"/>
            <w:vAlign w:val="center"/>
          </w:tcPr>
          <w:p w:rsidR="009377B8" w:rsidRPr="009377B8" w:rsidRDefault="009377B8" w:rsidP="009377B8">
            <w:pPr>
              <w:spacing w:before="0" w:line="240" w:lineRule="auto"/>
              <w:rPr>
                <w:rFonts w:ascii="Arial" w:hAnsi="Arial" w:cs="Arial"/>
                <w:sz w:val="20"/>
              </w:rPr>
            </w:pPr>
            <w:r w:rsidRPr="009377B8">
              <w:rPr>
                <w:rFonts w:ascii="Arial" w:hAnsi="Arial" w:cs="Arial"/>
                <w:sz w:val="20"/>
              </w:rPr>
              <w:t>1 (ERDF), 2 (ERDF+CF+ESF), 7 (ERDF+ESF)</w:t>
            </w:r>
          </w:p>
        </w:tc>
        <w:tc>
          <w:tcPr>
            <w:tcW w:w="1077" w:type="dxa"/>
            <w:vAlign w:val="center"/>
          </w:tcPr>
          <w:p w:rsidR="009377B8" w:rsidRPr="009377B8" w:rsidRDefault="009377B8" w:rsidP="009377B8">
            <w:pPr>
              <w:spacing w:before="0" w:line="240" w:lineRule="auto"/>
              <w:jc w:val="center"/>
              <w:rPr>
                <w:rFonts w:ascii="Arial" w:hAnsi="Arial" w:cs="Arial"/>
                <w:sz w:val="20"/>
              </w:rPr>
            </w:pPr>
            <w:r w:rsidRPr="009377B8">
              <w:rPr>
                <w:rFonts w:ascii="Arial" w:hAnsi="Arial" w:cs="Arial"/>
                <w:sz w:val="20"/>
              </w:rPr>
              <w:t>HR</w:t>
            </w:r>
          </w:p>
        </w:tc>
        <w:tc>
          <w:tcPr>
            <w:tcW w:w="3342" w:type="dxa"/>
            <w:vAlign w:val="center"/>
          </w:tcPr>
          <w:p w:rsidR="009377B8" w:rsidRPr="009377B8" w:rsidRDefault="009377B8" w:rsidP="009377B8">
            <w:pPr>
              <w:spacing w:before="0" w:line="240" w:lineRule="auto"/>
              <w:rPr>
                <w:rFonts w:ascii="Arial" w:hAnsi="Arial" w:cs="Arial"/>
                <w:sz w:val="20"/>
              </w:rPr>
            </w:pPr>
            <w:r w:rsidRPr="009377B8">
              <w:rPr>
                <w:rFonts w:ascii="Arial" w:hAnsi="Arial" w:cs="Arial"/>
                <w:sz w:val="20"/>
              </w:rPr>
              <w:t>1 (CF+ERDF)</w:t>
            </w:r>
          </w:p>
        </w:tc>
      </w:tr>
      <w:tr w:rsidR="009377B8" w:rsidRPr="009377B8" w:rsidTr="009377B8">
        <w:trPr>
          <w:trHeight w:val="624"/>
          <w:jc w:val="center"/>
        </w:trPr>
        <w:tc>
          <w:tcPr>
            <w:tcW w:w="1134" w:type="dxa"/>
            <w:shd w:val="clear" w:color="auto" w:fill="D9D9D9" w:themeFill="background1" w:themeFillShade="D9"/>
            <w:vAlign w:val="center"/>
          </w:tcPr>
          <w:p w:rsidR="009377B8" w:rsidRPr="009377B8" w:rsidRDefault="009377B8" w:rsidP="009377B8">
            <w:pPr>
              <w:spacing w:before="0" w:line="240" w:lineRule="auto"/>
              <w:jc w:val="center"/>
              <w:rPr>
                <w:rFonts w:ascii="Arial" w:hAnsi="Arial" w:cs="Arial"/>
                <w:sz w:val="20"/>
              </w:rPr>
            </w:pPr>
            <w:r w:rsidRPr="009377B8">
              <w:rPr>
                <w:rFonts w:ascii="Arial" w:hAnsi="Arial" w:cs="Arial"/>
                <w:sz w:val="20"/>
              </w:rPr>
              <w:t>ES</w:t>
            </w:r>
          </w:p>
        </w:tc>
        <w:tc>
          <w:tcPr>
            <w:tcW w:w="3410" w:type="dxa"/>
            <w:shd w:val="clear" w:color="auto" w:fill="D9D9D9" w:themeFill="background1" w:themeFillShade="D9"/>
            <w:vAlign w:val="center"/>
          </w:tcPr>
          <w:p w:rsidR="009377B8" w:rsidRPr="009377B8" w:rsidRDefault="009377B8" w:rsidP="009377B8">
            <w:pPr>
              <w:spacing w:before="0" w:line="240" w:lineRule="auto"/>
              <w:rPr>
                <w:rFonts w:ascii="Arial" w:hAnsi="Arial" w:cs="Arial"/>
                <w:sz w:val="20"/>
              </w:rPr>
            </w:pPr>
            <w:r w:rsidRPr="009377B8">
              <w:rPr>
                <w:rFonts w:ascii="Arial" w:hAnsi="Arial" w:cs="Arial"/>
                <w:sz w:val="20"/>
              </w:rPr>
              <w:t>1</w:t>
            </w:r>
          </w:p>
        </w:tc>
        <w:tc>
          <w:tcPr>
            <w:tcW w:w="1077" w:type="dxa"/>
            <w:shd w:val="clear" w:color="auto" w:fill="D9D9D9" w:themeFill="background1" w:themeFillShade="D9"/>
            <w:vAlign w:val="center"/>
          </w:tcPr>
          <w:p w:rsidR="009377B8" w:rsidRPr="009377B8" w:rsidRDefault="009377B8" w:rsidP="009377B8">
            <w:pPr>
              <w:spacing w:before="0" w:line="240" w:lineRule="auto"/>
              <w:jc w:val="center"/>
              <w:rPr>
                <w:rFonts w:ascii="Arial" w:hAnsi="Arial" w:cs="Arial"/>
                <w:sz w:val="20"/>
              </w:rPr>
            </w:pPr>
            <w:r w:rsidRPr="009377B8">
              <w:rPr>
                <w:rFonts w:ascii="Arial" w:hAnsi="Arial" w:cs="Arial"/>
                <w:sz w:val="20"/>
              </w:rPr>
              <w:t>SE</w:t>
            </w:r>
          </w:p>
        </w:tc>
        <w:tc>
          <w:tcPr>
            <w:tcW w:w="3411" w:type="dxa"/>
            <w:shd w:val="clear" w:color="auto" w:fill="D9D9D9" w:themeFill="background1" w:themeFillShade="D9"/>
            <w:vAlign w:val="center"/>
          </w:tcPr>
          <w:p w:rsidR="009377B8" w:rsidRPr="009377B8" w:rsidRDefault="009377B8" w:rsidP="009377B8">
            <w:pPr>
              <w:spacing w:before="0" w:line="240" w:lineRule="auto"/>
              <w:rPr>
                <w:rFonts w:ascii="Arial" w:hAnsi="Arial" w:cs="Arial"/>
                <w:sz w:val="20"/>
              </w:rPr>
            </w:pPr>
            <w:r w:rsidRPr="009377B8">
              <w:rPr>
                <w:rFonts w:ascii="Arial" w:hAnsi="Arial" w:cs="Arial"/>
                <w:sz w:val="20"/>
              </w:rPr>
              <w:t>9</w:t>
            </w:r>
          </w:p>
        </w:tc>
        <w:tc>
          <w:tcPr>
            <w:tcW w:w="1077" w:type="dxa"/>
            <w:shd w:val="clear" w:color="auto" w:fill="D9D9D9" w:themeFill="background1" w:themeFillShade="D9"/>
            <w:vAlign w:val="center"/>
          </w:tcPr>
          <w:p w:rsidR="009377B8" w:rsidRPr="009377B8" w:rsidRDefault="009377B8" w:rsidP="009377B8">
            <w:pPr>
              <w:spacing w:before="0" w:line="240" w:lineRule="auto"/>
              <w:jc w:val="center"/>
              <w:rPr>
                <w:rFonts w:ascii="Arial" w:hAnsi="Arial" w:cs="Arial"/>
                <w:sz w:val="20"/>
              </w:rPr>
            </w:pPr>
            <w:r w:rsidRPr="009377B8">
              <w:rPr>
                <w:rFonts w:ascii="Arial" w:hAnsi="Arial" w:cs="Arial"/>
                <w:sz w:val="20"/>
              </w:rPr>
              <w:t>ETC</w:t>
            </w:r>
          </w:p>
        </w:tc>
        <w:tc>
          <w:tcPr>
            <w:tcW w:w="3342" w:type="dxa"/>
            <w:shd w:val="clear" w:color="auto" w:fill="D9D9D9" w:themeFill="background1" w:themeFillShade="D9"/>
            <w:vAlign w:val="center"/>
          </w:tcPr>
          <w:p w:rsidR="009377B8" w:rsidRPr="009377B8" w:rsidRDefault="009377B8" w:rsidP="009377B8">
            <w:pPr>
              <w:spacing w:before="0" w:line="240" w:lineRule="auto"/>
              <w:rPr>
                <w:rFonts w:ascii="Arial" w:hAnsi="Arial" w:cs="Arial"/>
                <w:sz w:val="20"/>
              </w:rPr>
            </w:pPr>
            <w:r w:rsidRPr="009377B8">
              <w:rPr>
                <w:rFonts w:ascii="Arial" w:hAnsi="Arial" w:cs="Arial"/>
                <w:sz w:val="20"/>
              </w:rPr>
              <w:t>9</w:t>
            </w:r>
          </w:p>
        </w:tc>
      </w:tr>
    </w:tbl>
    <w:p w:rsidR="009377B8" w:rsidRPr="009377B8" w:rsidRDefault="009377B8" w:rsidP="004E0E4A">
      <w:pPr>
        <w:spacing w:before="60" w:line="240" w:lineRule="auto"/>
        <w:ind w:left="284"/>
        <w:rPr>
          <w:rFonts w:ascii="Arial" w:hAnsi="Arial" w:cs="Arial"/>
          <w:sz w:val="18"/>
          <w:szCs w:val="18"/>
        </w:rPr>
      </w:pPr>
      <w:r w:rsidRPr="009377B8">
        <w:rPr>
          <w:rFonts w:ascii="Arial" w:hAnsi="Arial" w:cs="Arial"/>
          <w:sz w:val="18"/>
          <w:szCs w:val="18"/>
        </w:rPr>
        <w:t>Zdroj: http://ec.europa.eu/regional_policy/country/prordn/search.cfm?gv_pay=ALL&amp;gv_reg=ALL&amp;gv_obj=ALL&amp;gv_the=ALL&amp;LAN=EN&amp;gv_theobj=ALL&amp;gv_per=3</w:t>
      </w:r>
    </w:p>
    <w:p w:rsidR="0029785B" w:rsidRDefault="009377B8" w:rsidP="0029785B">
      <w:pPr>
        <w:spacing w:before="0" w:line="240" w:lineRule="auto"/>
        <w:ind w:left="284"/>
        <w:jc w:val="left"/>
        <w:rPr>
          <w:rFonts w:ascii="Arial" w:hAnsi="Arial" w:cs="Arial"/>
          <w:sz w:val="18"/>
          <w:szCs w:val="20"/>
        </w:rPr>
      </w:pPr>
      <w:r w:rsidRPr="009377B8">
        <w:rPr>
          <w:rFonts w:ascii="Arial" w:hAnsi="Arial" w:cs="Arial"/>
          <w:sz w:val="18"/>
          <w:szCs w:val="18"/>
        </w:rPr>
        <w:t>Pozn.</w:t>
      </w:r>
      <w:r>
        <w:rPr>
          <w:rFonts w:ascii="Arial" w:hAnsi="Arial" w:cs="Arial"/>
          <w:sz w:val="18"/>
          <w:szCs w:val="18"/>
        </w:rPr>
        <w:t xml:space="preserve"> *</w:t>
      </w:r>
      <w:r w:rsidRPr="009377B8">
        <w:rPr>
          <w:rFonts w:ascii="Arial" w:hAnsi="Arial" w:cs="Arial"/>
          <w:sz w:val="18"/>
          <w:szCs w:val="20"/>
        </w:rPr>
        <w:t xml:space="preserve"> Pokud není uvedeno jinak, jedná se o program financovaný </w:t>
      </w:r>
      <w:r w:rsidR="00111912">
        <w:rPr>
          <w:rFonts w:ascii="Arial" w:hAnsi="Arial" w:cs="Arial"/>
          <w:sz w:val="18"/>
          <w:szCs w:val="20"/>
        </w:rPr>
        <w:t xml:space="preserve">pouze </w:t>
      </w:r>
      <w:r w:rsidRPr="009377B8">
        <w:rPr>
          <w:rFonts w:ascii="Arial" w:hAnsi="Arial" w:cs="Arial"/>
          <w:sz w:val="18"/>
          <w:szCs w:val="20"/>
        </w:rPr>
        <w:t>z ERDF.</w:t>
      </w:r>
    </w:p>
    <w:p w:rsidR="0029785B" w:rsidRPr="0029785B" w:rsidRDefault="00F770F2" w:rsidP="000D51EA">
      <w:pPr>
        <w:spacing w:before="0" w:line="240" w:lineRule="auto"/>
        <w:ind w:left="794" w:right="254"/>
        <w:rPr>
          <w:rFonts w:ascii="Arial" w:hAnsi="Arial" w:cs="Arial"/>
          <w:sz w:val="18"/>
          <w:szCs w:val="20"/>
        </w:rPr>
        <w:sectPr w:rsidR="0029785B" w:rsidRPr="0029785B" w:rsidSect="00711B14">
          <w:pgSz w:w="16838" w:h="11906" w:orient="landscape"/>
          <w:pgMar w:top="1417" w:right="1417" w:bottom="1417" w:left="1417" w:header="708" w:footer="708" w:gutter="0"/>
          <w:cols w:space="708"/>
          <w:docGrid w:linePitch="360"/>
        </w:sectPr>
      </w:pPr>
      <w:r>
        <w:rPr>
          <w:rFonts w:ascii="Arial" w:hAnsi="Arial" w:cs="Arial"/>
          <w:sz w:val="18"/>
          <w:szCs w:val="20"/>
        </w:rPr>
        <w:t>AT -</w:t>
      </w:r>
      <w:r w:rsidR="0029785B">
        <w:rPr>
          <w:rFonts w:ascii="Arial" w:hAnsi="Arial" w:cs="Arial"/>
          <w:sz w:val="18"/>
          <w:szCs w:val="20"/>
        </w:rPr>
        <w:t xml:space="preserve"> Rakousko, CY </w:t>
      </w:r>
      <w:r>
        <w:rPr>
          <w:rFonts w:ascii="Arial" w:hAnsi="Arial" w:cs="Arial"/>
          <w:sz w:val="18"/>
          <w:szCs w:val="20"/>
        </w:rPr>
        <w:t>- Kypr, FR - Francie, LV -</w:t>
      </w:r>
      <w:r w:rsidR="0029785B">
        <w:rPr>
          <w:rFonts w:ascii="Arial" w:hAnsi="Arial" w:cs="Arial"/>
          <w:sz w:val="18"/>
          <w:szCs w:val="20"/>
        </w:rPr>
        <w:t xml:space="preserve"> Lotyšsko, NL </w:t>
      </w:r>
      <w:r>
        <w:rPr>
          <w:rFonts w:ascii="Arial" w:hAnsi="Arial" w:cs="Arial"/>
          <w:sz w:val="18"/>
          <w:szCs w:val="20"/>
        </w:rPr>
        <w:t>-</w:t>
      </w:r>
      <w:r w:rsidR="0029785B">
        <w:rPr>
          <w:rFonts w:ascii="Arial" w:hAnsi="Arial" w:cs="Arial"/>
          <w:sz w:val="18"/>
          <w:szCs w:val="20"/>
        </w:rPr>
        <w:t xml:space="preserve"> Nizozemsko, ES </w:t>
      </w:r>
      <w:r>
        <w:rPr>
          <w:rFonts w:ascii="Arial" w:hAnsi="Arial" w:cs="Arial"/>
          <w:sz w:val="18"/>
          <w:szCs w:val="20"/>
        </w:rPr>
        <w:t>-</w:t>
      </w:r>
      <w:r w:rsidR="0029785B">
        <w:rPr>
          <w:rFonts w:ascii="Arial" w:hAnsi="Arial" w:cs="Arial"/>
          <w:sz w:val="18"/>
          <w:szCs w:val="20"/>
        </w:rPr>
        <w:t xml:space="preserve"> Španělsko,</w:t>
      </w:r>
      <w:r w:rsidR="00895EE9">
        <w:rPr>
          <w:rFonts w:ascii="Arial" w:hAnsi="Arial" w:cs="Arial"/>
          <w:sz w:val="18"/>
          <w:szCs w:val="20"/>
        </w:rPr>
        <w:t xml:space="preserve"> BG </w:t>
      </w:r>
      <w:r>
        <w:rPr>
          <w:rFonts w:ascii="Arial" w:hAnsi="Arial" w:cs="Arial"/>
          <w:sz w:val="18"/>
          <w:szCs w:val="20"/>
        </w:rPr>
        <w:t>-</w:t>
      </w:r>
      <w:r w:rsidR="00895EE9">
        <w:rPr>
          <w:rFonts w:ascii="Arial" w:hAnsi="Arial" w:cs="Arial"/>
          <w:sz w:val="18"/>
          <w:szCs w:val="20"/>
        </w:rPr>
        <w:t xml:space="preserve"> Bulharsko, DA </w:t>
      </w:r>
      <w:r>
        <w:rPr>
          <w:rFonts w:ascii="Arial" w:hAnsi="Arial" w:cs="Arial"/>
          <w:sz w:val="18"/>
          <w:szCs w:val="20"/>
        </w:rPr>
        <w:t>-</w:t>
      </w:r>
      <w:r w:rsidR="00895EE9">
        <w:rPr>
          <w:rFonts w:ascii="Arial" w:hAnsi="Arial" w:cs="Arial"/>
          <w:sz w:val="18"/>
          <w:szCs w:val="20"/>
        </w:rPr>
        <w:t xml:space="preserve"> Dánsko, EL</w:t>
      </w:r>
      <w:r w:rsidR="0029785B">
        <w:rPr>
          <w:rFonts w:ascii="Arial" w:hAnsi="Arial" w:cs="Arial"/>
          <w:sz w:val="18"/>
          <w:szCs w:val="20"/>
        </w:rPr>
        <w:t xml:space="preserve"> </w:t>
      </w:r>
      <w:r>
        <w:rPr>
          <w:rFonts w:ascii="Arial" w:hAnsi="Arial" w:cs="Arial"/>
          <w:sz w:val="18"/>
          <w:szCs w:val="20"/>
        </w:rPr>
        <w:t>-</w:t>
      </w:r>
      <w:r w:rsidR="0029785B">
        <w:rPr>
          <w:rFonts w:ascii="Arial" w:hAnsi="Arial" w:cs="Arial"/>
          <w:sz w:val="18"/>
          <w:szCs w:val="20"/>
        </w:rPr>
        <w:t xml:space="preserve"> </w:t>
      </w:r>
      <w:r w:rsidR="00895EE9">
        <w:rPr>
          <w:rFonts w:ascii="Arial" w:hAnsi="Arial" w:cs="Arial"/>
          <w:sz w:val="18"/>
          <w:szCs w:val="20"/>
        </w:rPr>
        <w:t xml:space="preserve">Řecko, </w:t>
      </w:r>
      <w:r w:rsidR="0029785B">
        <w:rPr>
          <w:rFonts w:ascii="Arial" w:hAnsi="Arial" w:cs="Arial"/>
          <w:sz w:val="18"/>
          <w:szCs w:val="20"/>
        </w:rPr>
        <w:t xml:space="preserve">LT </w:t>
      </w:r>
      <w:r>
        <w:rPr>
          <w:rFonts w:ascii="Arial" w:hAnsi="Arial" w:cs="Arial"/>
          <w:sz w:val="18"/>
          <w:szCs w:val="20"/>
        </w:rPr>
        <w:t>-</w:t>
      </w:r>
      <w:r w:rsidR="0029785B">
        <w:rPr>
          <w:rFonts w:ascii="Arial" w:hAnsi="Arial" w:cs="Arial"/>
          <w:sz w:val="18"/>
          <w:szCs w:val="20"/>
        </w:rPr>
        <w:t xml:space="preserve"> Litva, P</w:t>
      </w:r>
      <w:r>
        <w:rPr>
          <w:rFonts w:ascii="Arial" w:hAnsi="Arial" w:cs="Arial"/>
          <w:sz w:val="18"/>
          <w:szCs w:val="20"/>
        </w:rPr>
        <w:t>T</w:t>
      </w:r>
      <w:r w:rsidR="0029785B">
        <w:rPr>
          <w:rFonts w:ascii="Arial" w:hAnsi="Arial" w:cs="Arial"/>
          <w:sz w:val="18"/>
          <w:szCs w:val="20"/>
        </w:rPr>
        <w:t xml:space="preserve"> </w:t>
      </w:r>
      <w:r>
        <w:rPr>
          <w:rFonts w:ascii="Arial" w:hAnsi="Arial" w:cs="Arial"/>
          <w:sz w:val="18"/>
          <w:szCs w:val="20"/>
        </w:rPr>
        <w:t>-</w:t>
      </w:r>
      <w:r w:rsidR="0029785B">
        <w:rPr>
          <w:rFonts w:ascii="Arial" w:hAnsi="Arial" w:cs="Arial"/>
          <w:sz w:val="18"/>
          <w:szCs w:val="20"/>
        </w:rPr>
        <w:t xml:space="preserve"> </w:t>
      </w:r>
      <w:r>
        <w:rPr>
          <w:rFonts w:ascii="Arial" w:hAnsi="Arial" w:cs="Arial"/>
          <w:sz w:val="18"/>
          <w:szCs w:val="20"/>
        </w:rPr>
        <w:t xml:space="preserve">Portugalsko, </w:t>
      </w:r>
      <w:r w:rsidR="0029785B">
        <w:rPr>
          <w:rFonts w:ascii="Arial" w:hAnsi="Arial" w:cs="Arial"/>
          <w:sz w:val="18"/>
          <w:szCs w:val="20"/>
        </w:rPr>
        <w:t xml:space="preserve">SE </w:t>
      </w:r>
      <w:r>
        <w:rPr>
          <w:rFonts w:ascii="Arial" w:hAnsi="Arial" w:cs="Arial"/>
          <w:sz w:val="18"/>
          <w:szCs w:val="20"/>
        </w:rPr>
        <w:t>-</w:t>
      </w:r>
      <w:r w:rsidR="0029785B">
        <w:rPr>
          <w:rFonts w:ascii="Arial" w:hAnsi="Arial" w:cs="Arial"/>
          <w:sz w:val="18"/>
          <w:szCs w:val="20"/>
        </w:rPr>
        <w:t xml:space="preserve"> Švédsko, BE </w:t>
      </w:r>
      <w:r>
        <w:rPr>
          <w:rFonts w:ascii="Arial" w:hAnsi="Arial" w:cs="Arial"/>
          <w:sz w:val="18"/>
          <w:szCs w:val="20"/>
        </w:rPr>
        <w:t>-</w:t>
      </w:r>
      <w:r w:rsidR="0029785B">
        <w:rPr>
          <w:rFonts w:ascii="Arial" w:hAnsi="Arial" w:cs="Arial"/>
          <w:sz w:val="18"/>
          <w:szCs w:val="20"/>
        </w:rPr>
        <w:t xml:space="preserve"> Belgie, FI </w:t>
      </w:r>
      <w:r>
        <w:rPr>
          <w:rFonts w:ascii="Arial" w:hAnsi="Arial" w:cs="Arial"/>
          <w:sz w:val="18"/>
          <w:szCs w:val="20"/>
        </w:rPr>
        <w:t>-</w:t>
      </w:r>
      <w:r w:rsidR="0029785B">
        <w:rPr>
          <w:rFonts w:ascii="Arial" w:hAnsi="Arial" w:cs="Arial"/>
          <w:sz w:val="18"/>
          <w:szCs w:val="20"/>
        </w:rPr>
        <w:t xml:space="preserve"> Finsko, IT </w:t>
      </w:r>
      <w:r>
        <w:rPr>
          <w:rFonts w:ascii="Arial" w:hAnsi="Arial" w:cs="Arial"/>
          <w:sz w:val="18"/>
          <w:szCs w:val="20"/>
        </w:rPr>
        <w:t>-</w:t>
      </w:r>
      <w:r w:rsidR="0029785B">
        <w:rPr>
          <w:rFonts w:ascii="Arial" w:hAnsi="Arial" w:cs="Arial"/>
          <w:sz w:val="18"/>
          <w:szCs w:val="20"/>
        </w:rPr>
        <w:t xml:space="preserve"> Itálie, LU </w:t>
      </w:r>
      <w:r>
        <w:rPr>
          <w:rFonts w:ascii="Arial" w:hAnsi="Arial" w:cs="Arial"/>
          <w:sz w:val="18"/>
          <w:szCs w:val="20"/>
        </w:rPr>
        <w:t>-</w:t>
      </w:r>
      <w:r w:rsidR="0029785B">
        <w:rPr>
          <w:rFonts w:ascii="Arial" w:hAnsi="Arial" w:cs="Arial"/>
          <w:sz w:val="18"/>
          <w:szCs w:val="20"/>
        </w:rPr>
        <w:t xml:space="preserve"> Lucembursko, HR </w:t>
      </w:r>
      <w:r>
        <w:rPr>
          <w:rFonts w:ascii="Arial" w:hAnsi="Arial" w:cs="Arial"/>
          <w:sz w:val="18"/>
          <w:szCs w:val="20"/>
        </w:rPr>
        <w:t>-</w:t>
      </w:r>
      <w:r w:rsidR="0029785B">
        <w:rPr>
          <w:rFonts w:ascii="Arial" w:hAnsi="Arial" w:cs="Arial"/>
          <w:sz w:val="18"/>
          <w:szCs w:val="20"/>
        </w:rPr>
        <w:t xml:space="preserve"> Chorvatsko, ETC </w:t>
      </w:r>
      <w:r>
        <w:rPr>
          <w:rFonts w:ascii="Arial" w:hAnsi="Arial" w:cs="Arial"/>
          <w:sz w:val="18"/>
          <w:szCs w:val="20"/>
        </w:rPr>
        <w:t>-</w:t>
      </w:r>
      <w:r w:rsidR="0029785B">
        <w:rPr>
          <w:rFonts w:ascii="Arial" w:hAnsi="Arial" w:cs="Arial"/>
          <w:sz w:val="18"/>
          <w:szCs w:val="20"/>
        </w:rPr>
        <w:t xml:space="preserve"> European Territorial Cooperation (Evropská územní spolupráce)</w:t>
      </w:r>
      <w:r w:rsidR="00D06609">
        <w:rPr>
          <w:rFonts w:ascii="Arial" w:hAnsi="Arial" w:cs="Arial"/>
          <w:sz w:val="18"/>
          <w:szCs w:val="20"/>
        </w:rPr>
        <w:t>.</w:t>
      </w:r>
    </w:p>
    <w:p w:rsidR="009377B8" w:rsidRPr="009C2D1C" w:rsidRDefault="009377B8" w:rsidP="009377B8">
      <w:pPr>
        <w:spacing w:line="240" w:lineRule="auto"/>
        <w:rPr>
          <w:rFonts w:ascii="Arial" w:hAnsi="Arial" w:cs="Arial"/>
          <w:sz w:val="20"/>
          <w:szCs w:val="20"/>
        </w:rPr>
      </w:pPr>
      <w:r w:rsidRPr="009C2D1C">
        <w:rPr>
          <w:rFonts w:ascii="Arial" w:hAnsi="Arial" w:cs="Arial"/>
          <w:sz w:val="20"/>
          <w:szCs w:val="20"/>
        </w:rPr>
        <w:lastRenderedPageBreak/>
        <w:t>Tabulka č. 3 zachycuje stav k současnému datu ve schvalování programů financovaných z ESF (</w:t>
      </w:r>
      <w:r>
        <w:rPr>
          <w:rFonts w:ascii="Arial" w:hAnsi="Arial" w:cs="Arial"/>
          <w:sz w:val="20"/>
          <w:szCs w:val="20"/>
        </w:rPr>
        <w:t>včetně nástroje pro zaměstnávání mladých – Youth Emloyment Initiative, YEI</w:t>
      </w:r>
      <w:r w:rsidRPr="009C2D1C">
        <w:rPr>
          <w:rFonts w:ascii="Arial" w:hAnsi="Arial" w:cs="Arial"/>
          <w:sz w:val="20"/>
          <w:szCs w:val="20"/>
        </w:rPr>
        <w:t xml:space="preserve">). </w:t>
      </w:r>
    </w:p>
    <w:p w:rsidR="009377B8" w:rsidRPr="009377B8" w:rsidRDefault="009377B8" w:rsidP="000D51EA">
      <w:pPr>
        <w:pStyle w:val="Titulek"/>
        <w:spacing w:before="240"/>
        <w:ind w:right="255"/>
        <w:rPr>
          <w:rFonts w:ascii="Arial" w:hAnsi="Arial" w:cs="Arial"/>
          <w:sz w:val="20"/>
          <w:szCs w:val="20"/>
        </w:rPr>
      </w:pPr>
      <w:r w:rsidRPr="009377B8">
        <w:rPr>
          <w:rFonts w:ascii="Arial" w:hAnsi="Arial" w:cs="Arial"/>
          <w:sz w:val="20"/>
          <w:szCs w:val="20"/>
        </w:rPr>
        <w:t xml:space="preserve">Tabulka č. 3 - Schválené </w:t>
      </w:r>
      <w:r>
        <w:rPr>
          <w:rFonts w:ascii="Arial" w:hAnsi="Arial" w:cs="Arial"/>
          <w:sz w:val="20"/>
          <w:szCs w:val="20"/>
        </w:rPr>
        <w:t>programy</w:t>
      </w:r>
      <w:r w:rsidRPr="009377B8">
        <w:rPr>
          <w:rFonts w:ascii="Arial" w:hAnsi="Arial" w:cs="Arial"/>
          <w:sz w:val="20"/>
          <w:szCs w:val="20"/>
        </w:rPr>
        <w:t xml:space="preserve"> nebo </w:t>
      </w:r>
      <w:r>
        <w:rPr>
          <w:rFonts w:ascii="Arial" w:hAnsi="Arial" w:cs="Arial"/>
          <w:sz w:val="20"/>
          <w:szCs w:val="20"/>
        </w:rPr>
        <w:t>programy</w:t>
      </w:r>
      <w:r w:rsidRPr="009377B8">
        <w:rPr>
          <w:rFonts w:ascii="Arial" w:hAnsi="Arial" w:cs="Arial"/>
          <w:sz w:val="20"/>
          <w:szCs w:val="20"/>
        </w:rPr>
        <w:t xml:space="preserve"> připravené ke schválení, financované z ESF, za jednotlivé členské země k 31. prosinci 2014</w:t>
      </w:r>
      <w:r w:rsidR="00CC5D9C">
        <w:rPr>
          <w:rFonts w:ascii="Arial" w:hAnsi="Arial" w:cs="Arial"/>
          <w:sz w:val="20"/>
          <w:szCs w:val="20"/>
        </w:rPr>
        <w:t>*</w:t>
      </w:r>
      <w:r w:rsidRPr="009377B8">
        <w:rPr>
          <w:rFonts w:ascii="Arial" w:hAnsi="Arial" w:cs="Arial"/>
          <w:sz w:val="20"/>
          <w:szCs w:val="20"/>
        </w:rPr>
        <w:t xml:space="preserve"> </w:t>
      </w:r>
    </w:p>
    <w:tbl>
      <w:tblPr>
        <w:tblStyle w:val="Mkatabulky"/>
        <w:tblW w:w="13776" w:type="dxa"/>
        <w:jc w:val="center"/>
        <w:tblLook w:val="04A0" w:firstRow="1" w:lastRow="0" w:firstColumn="1" w:lastColumn="0" w:noHBand="0" w:noVBand="1"/>
      </w:tblPr>
      <w:tblGrid>
        <w:gridCol w:w="1134"/>
        <w:gridCol w:w="3458"/>
        <w:gridCol w:w="1134"/>
        <w:gridCol w:w="3458"/>
        <w:gridCol w:w="1134"/>
        <w:gridCol w:w="3458"/>
      </w:tblGrid>
      <w:tr w:rsidR="009377B8" w:rsidRPr="009377B8" w:rsidTr="00305EF5">
        <w:trPr>
          <w:trHeight w:val="680"/>
          <w:tblHeader/>
          <w:jc w:val="center"/>
        </w:trPr>
        <w:tc>
          <w:tcPr>
            <w:tcW w:w="1134" w:type="dxa"/>
            <w:shd w:val="clear" w:color="auto" w:fill="A6A6A6" w:themeFill="background1" w:themeFillShade="A6"/>
            <w:vAlign w:val="center"/>
          </w:tcPr>
          <w:p w:rsidR="009377B8" w:rsidRPr="009377B8" w:rsidRDefault="009377B8" w:rsidP="00305EF5">
            <w:pPr>
              <w:spacing w:before="0" w:line="240" w:lineRule="auto"/>
              <w:jc w:val="center"/>
              <w:rPr>
                <w:rFonts w:ascii="Arial" w:hAnsi="Arial" w:cs="Arial"/>
                <w:b/>
                <w:bCs/>
                <w:color w:val="FFFFFF" w:themeColor="background1"/>
                <w:sz w:val="20"/>
                <w:szCs w:val="20"/>
              </w:rPr>
            </w:pPr>
            <w:r w:rsidRPr="009377B8">
              <w:rPr>
                <w:rFonts w:ascii="Arial" w:hAnsi="Arial" w:cs="Arial"/>
                <w:b/>
                <w:bCs/>
                <w:color w:val="FFFFFF" w:themeColor="background1"/>
                <w:sz w:val="20"/>
                <w:szCs w:val="20"/>
              </w:rPr>
              <w:t xml:space="preserve">Členský stát </w:t>
            </w:r>
          </w:p>
        </w:tc>
        <w:tc>
          <w:tcPr>
            <w:tcW w:w="3458" w:type="dxa"/>
            <w:shd w:val="clear" w:color="auto" w:fill="A6A6A6" w:themeFill="background1" w:themeFillShade="A6"/>
            <w:vAlign w:val="center"/>
          </w:tcPr>
          <w:p w:rsidR="009377B8" w:rsidRPr="009377B8" w:rsidRDefault="009377B8" w:rsidP="00305EF5">
            <w:pPr>
              <w:spacing w:before="0" w:line="240" w:lineRule="auto"/>
              <w:jc w:val="center"/>
              <w:rPr>
                <w:rFonts w:ascii="Arial" w:hAnsi="Arial" w:cs="Arial"/>
                <w:b/>
                <w:bCs/>
                <w:color w:val="FFFFFF" w:themeColor="background1"/>
                <w:sz w:val="20"/>
                <w:szCs w:val="20"/>
              </w:rPr>
            </w:pPr>
            <w:r w:rsidRPr="009377B8">
              <w:rPr>
                <w:rFonts w:ascii="Arial" w:hAnsi="Arial" w:cs="Arial"/>
                <w:b/>
                <w:bCs/>
                <w:color w:val="FFFFFF" w:themeColor="background1"/>
                <w:sz w:val="20"/>
                <w:szCs w:val="20"/>
              </w:rPr>
              <w:t>Počet schválených programů / programů postupujících dle varianty č. 1</w:t>
            </w:r>
          </w:p>
        </w:tc>
        <w:tc>
          <w:tcPr>
            <w:tcW w:w="1134" w:type="dxa"/>
            <w:shd w:val="clear" w:color="auto" w:fill="A6A6A6" w:themeFill="background1" w:themeFillShade="A6"/>
            <w:vAlign w:val="center"/>
          </w:tcPr>
          <w:p w:rsidR="009377B8" w:rsidRPr="009377B8" w:rsidRDefault="009377B8" w:rsidP="00305EF5">
            <w:pPr>
              <w:spacing w:before="0" w:line="240" w:lineRule="auto"/>
              <w:jc w:val="center"/>
              <w:rPr>
                <w:rFonts w:ascii="Arial" w:hAnsi="Arial" w:cs="Arial"/>
                <w:b/>
                <w:bCs/>
                <w:color w:val="FFFFFF" w:themeColor="background1"/>
                <w:sz w:val="20"/>
                <w:szCs w:val="20"/>
              </w:rPr>
            </w:pPr>
            <w:r w:rsidRPr="009377B8">
              <w:rPr>
                <w:rFonts w:ascii="Arial" w:hAnsi="Arial" w:cs="Arial"/>
                <w:b/>
                <w:bCs/>
                <w:color w:val="FFFFFF" w:themeColor="background1"/>
                <w:sz w:val="20"/>
                <w:szCs w:val="20"/>
              </w:rPr>
              <w:t>Členský stát</w:t>
            </w:r>
          </w:p>
        </w:tc>
        <w:tc>
          <w:tcPr>
            <w:tcW w:w="3458" w:type="dxa"/>
            <w:shd w:val="clear" w:color="auto" w:fill="A6A6A6" w:themeFill="background1" w:themeFillShade="A6"/>
            <w:vAlign w:val="center"/>
          </w:tcPr>
          <w:p w:rsidR="009377B8" w:rsidRPr="009377B8" w:rsidRDefault="009377B8" w:rsidP="00305EF5">
            <w:pPr>
              <w:spacing w:before="0" w:line="240" w:lineRule="auto"/>
              <w:jc w:val="center"/>
              <w:rPr>
                <w:rFonts w:ascii="Arial" w:hAnsi="Arial" w:cs="Arial"/>
                <w:b/>
                <w:bCs/>
                <w:color w:val="FFFFFF" w:themeColor="background1"/>
                <w:sz w:val="20"/>
                <w:szCs w:val="20"/>
              </w:rPr>
            </w:pPr>
            <w:r w:rsidRPr="009377B8">
              <w:rPr>
                <w:rFonts w:ascii="Arial" w:hAnsi="Arial" w:cs="Arial"/>
                <w:b/>
                <w:bCs/>
                <w:color w:val="FFFFFF" w:themeColor="background1"/>
                <w:sz w:val="20"/>
                <w:szCs w:val="20"/>
              </w:rPr>
              <w:t>Počet schválených programů / programů postupujících dle varianty č. 1</w:t>
            </w:r>
          </w:p>
        </w:tc>
        <w:tc>
          <w:tcPr>
            <w:tcW w:w="1134" w:type="dxa"/>
            <w:shd w:val="clear" w:color="auto" w:fill="A6A6A6" w:themeFill="background1" w:themeFillShade="A6"/>
            <w:vAlign w:val="center"/>
          </w:tcPr>
          <w:p w:rsidR="009377B8" w:rsidRPr="009377B8" w:rsidRDefault="009377B8" w:rsidP="00305EF5">
            <w:pPr>
              <w:spacing w:before="0" w:line="240" w:lineRule="auto"/>
              <w:jc w:val="center"/>
              <w:rPr>
                <w:rFonts w:ascii="Arial" w:hAnsi="Arial" w:cs="Arial"/>
                <w:b/>
                <w:bCs/>
                <w:color w:val="FFFFFF" w:themeColor="background1"/>
                <w:sz w:val="20"/>
                <w:szCs w:val="20"/>
              </w:rPr>
            </w:pPr>
            <w:r w:rsidRPr="009377B8">
              <w:rPr>
                <w:rFonts w:ascii="Arial" w:hAnsi="Arial" w:cs="Arial"/>
                <w:b/>
                <w:bCs/>
                <w:color w:val="FFFFFF" w:themeColor="background1"/>
                <w:sz w:val="20"/>
                <w:szCs w:val="20"/>
              </w:rPr>
              <w:t>Členský stát</w:t>
            </w:r>
          </w:p>
        </w:tc>
        <w:tc>
          <w:tcPr>
            <w:tcW w:w="3458" w:type="dxa"/>
            <w:shd w:val="clear" w:color="auto" w:fill="A6A6A6" w:themeFill="background1" w:themeFillShade="A6"/>
            <w:vAlign w:val="center"/>
          </w:tcPr>
          <w:p w:rsidR="009377B8" w:rsidRPr="009377B8" w:rsidRDefault="009377B8" w:rsidP="00305EF5">
            <w:pPr>
              <w:spacing w:before="0" w:line="240" w:lineRule="auto"/>
              <w:jc w:val="center"/>
              <w:rPr>
                <w:rFonts w:ascii="Arial" w:hAnsi="Arial" w:cs="Arial"/>
                <w:b/>
                <w:bCs/>
                <w:color w:val="FFFFFF" w:themeColor="background1"/>
                <w:sz w:val="20"/>
                <w:szCs w:val="20"/>
              </w:rPr>
            </w:pPr>
            <w:r w:rsidRPr="009377B8">
              <w:rPr>
                <w:rFonts w:ascii="Arial" w:hAnsi="Arial" w:cs="Arial"/>
                <w:b/>
                <w:bCs/>
                <w:color w:val="FFFFFF" w:themeColor="background1"/>
                <w:sz w:val="20"/>
                <w:szCs w:val="20"/>
              </w:rPr>
              <w:t>Počet schválených programů / programů postupujících dle varianty č. 1</w:t>
            </w:r>
          </w:p>
        </w:tc>
      </w:tr>
      <w:tr w:rsidR="009377B8" w:rsidRPr="009377B8" w:rsidTr="00305EF5">
        <w:trPr>
          <w:trHeight w:val="510"/>
          <w:jc w:val="center"/>
        </w:trPr>
        <w:tc>
          <w:tcPr>
            <w:tcW w:w="1134" w:type="dxa"/>
            <w:vAlign w:val="center"/>
          </w:tcPr>
          <w:p w:rsidR="009377B8" w:rsidRPr="009377B8" w:rsidRDefault="009377B8" w:rsidP="00305EF5">
            <w:pPr>
              <w:spacing w:before="0" w:line="240" w:lineRule="auto"/>
              <w:jc w:val="center"/>
              <w:rPr>
                <w:rFonts w:ascii="Arial" w:hAnsi="Arial" w:cs="Arial"/>
                <w:sz w:val="20"/>
              </w:rPr>
            </w:pPr>
            <w:r w:rsidRPr="009377B8">
              <w:rPr>
                <w:rFonts w:ascii="Arial" w:hAnsi="Arial" w:cs="Arial"/>
                <w:sz w:val="20"/>
              </w:rPr>
              <w:t>AT</w:t>
            </w:r>
          </w:p>
        </w:tc>
        <w:tc>
          <w:tcPr>
            <w:tcW w:w="3458" w:type="dxa"/>
            <w:vAlign w:val="center"/>
          </w:tcPr>
          <w:p w:rsidR="009377B8" w:rsidRPr="009377B8" w:rsidRDefault="009377B8" w:rsidP="00305EF5">
            <w:pPr>
              <w:spacing w:before="0" w:line="240" w:lineRule="auto"/>
              <w:rPr>
                <w:rFonts w:ascii="Arial" w:hAnsi="Arial" w:cs="Arial"/>
                <w:sz w:val="20"/>
              </w:rPr>
            </w:pPr>
            <w:r w:rsidRPr="009377B8">
              <w:rPr>
                <w:rFonts w:ascii="Arial" w:hAnsi="Arial" w:cs="Arial"/>
                <w:sz w:val="20"/>
              </w:rPr>
              <w:t>1</w:t>
            </w:r>
          </w:p>
        </w:tc>
        <w:tc>
          <w:tcPr>
            <w:tcW w:w="1134" w:type="dxa"/>
            <w:vAlign w:val="center"/>
          </w:tcPr>
          <w:p w:rsidR="009377B8" w:rsidRPr="009377B8" w:rsidRDefault="009377B8" w:rsidP="00305EF5">
            <w:pPr>
              <w:spacing w:before="0" w:line="240" w:lineRule="auto"/>
              <w:jc w:val="center"/>
              <w:rPr>
                <w:rFonts w:ascii="Arial" w:hAnsi="Arial" w:cs="Arial"/>
                <w:sz w:val="20"/>
              </w:rPr>
            </w:pPr>
            <w:r w:rsidRPr="009377B8">
              <w:rPr>
                <w:rFonts w:ascii="Arial" w:hAnsi="Arial" w:cs="Arial"/>
                <w:sz w:val="20"/>
              </w:rPr>
              <w:t>BG</w:t>
            </w:r>
          </w:p>
        </w:tc>
        <w:tc>
          <w:tcPr>
            <w:tcW w:w="3458" w:type="dxa"/>
            <w:vAlign w:val="center"/>
          </w:tcPr>
          <w:p w:rsidR="009377B8" w:rsidRPr="009377B8" w:rsidRDefault="009377B8" w:rsidP="00305EF5">
            <w:pPr>
              <w:spacing w:before="0" w:line="240" w:lineRule="auto"/>
              <w:rPr>
                <w:rFonts w:ascii="Arial" w:hAnsi="Arial" w:cs="Arial"/>
                <w:sz w:val="20"/>
              </w:rPr>
            </w:pPr>
            <w:r w:rsidRPr="009377B8">
              <w:rPr>
                <w:rFonts w:ascii="Arial" w:hAnsi="Arial" w:cs="Arial"/>
                <w:sz w:val="20"/>
              </w:rPr>
              <w:t>1</w:t>
            </w:r>
          </w:p>
        </w:tc>
        <w:tc>
          <w:tcPr>
            <w:tcW w:w="1134" w:type="dxa"/>
            <w:vAlign w:val="center"/>
          </w:tcPr>
          <w:p w:rsidR="009377B8" w:rsidRPr="009377B8" w:rsidRDefault="009377B8" w:rsidP="00305EF5">
            <w:pPr>
              <w:spacing w:before="0" w:line="240" w:lineRule="auto"/>
              <w:jc w:val="center"/>
              <w:rPr>
                <w:rFonts w:ascii="Arial" w:hAnsi="Arial" w:cs="Arial"/>
                <w:sz w:val="20"/>
              </w:rPr>
            </w:pPr>
            <w:r w:rsidRPr="009377B8">
              <w:rPr>
                <w:rFonts w:ascii="Arial" w:hAnsi="Arial" w:cs="Arial"/>
                <w:sz w:val="20"/>
              </w:rPr>
              <w:t>BE</w:t>
            </w:r>
          </w:p>
        </w:tc>
        <w:tc>
          <w:tcPr>
            <w:tcW w:w="3458" w:type="dxa"/>
            <w:vAlign w:val="center"/>
          </w:tcPr>
          <w:p w:rsidR="009377B8" w:rsidRPr="009377B8" w:rsidRDefault="009377B8" w:rsidP="00305EF5">
            <w:pPr>
              <w:spacing w:before="0" w:line="240" w:lineRule="auto"/>
              <w:rPr>
                <w:rFonts w:ascii="Arial" w:hAnsi="Arial" w:cs="Arial"/>
                <w:sz w:val="20"/>
              </w:rPr>
            </w:pPr>
            <w:r w:rsidRPr="009377B8">
              <w:rPr>
                <w:rFonts w:ascii="Arial" w:hAnsi="Arial" w:cs="Arial"/>
                <w:sz w:val="20"/>
              </w:rPr>
              <w:t>4</w:t>
            </w:r>
          </w:p>
        </w:tc>
      </w:tr>
      <w:tr w:rsidR="009377B8" w:rsidRPr="009377B8" w:rsidTr="00305EF5">
        <w:trPr>
          <w:trHeight w:val="510"/>
          <w:jc w:val="center"/>
        </w:trPr>
        <w:tc>
          <w:tcPr>
            <w:tcW w:w="1134" w:type="dxa"/>
            <w:shd w:val="clear" w:color="auto" w:fill="D9D9D9" w:themeFill="background1" w:themeFillShade="D9"/>
            <w:vAlign w:val="center"/>
          </w:tcPr>
          <w:p w:rsidR="009377B8" w:rsidRPr="009377B8" w:rsidRDefault="009377B8" w:rsidP="00305EF5">
            <w:pPr>
              <w:spacing w:before="0" w:line="240" w:lineRule="auto"/>
              <w:jc w:val="center"/>
              <w:rPr>
                <w:rFonts w:ascii="Arial" w:hAnsi="Arial" w:cs="Arial"/>
                <w:sz w:val="20"/>
              </w:rPr>
            </w:pPr>
            <w:r w:rsidRPr="009377B8">
              <w:rPr>
                <w:rFonts w:ascii="Arial" w:hAnsi="Arial" w:cs="Arial"/>
                <w:sz w:val="20"/>
              </w:rPr>
              <w:t>DA</w:t>
            </w:r>
          </w:p>
        </w:tc>
        <w:tc>
          <w:tcPr>
            <w:tcW w:w="3458" w:type="dxa"/>
            <w:shd w:val="clear" w:color="auto" w:fill="D9D9D9" w:themeFill="background1" w:themeFillShade="D9"/>
            <w:vAlign w:val="center"/>
          </w:tcPr>
          <w:p w:rsidR="009377B8" w:rsidRPr="009377B8" w:rsidRDefault="009377B8" w:rsidP="00305EF5">
            <w:pPr>
              <w:spacing w:before="0" w:line="240" w:lineRule="auto"/>
              <w:rPr>
                <w:rFonts w:ascii="Arial" w:hAnsi="Arial" w:cs="Arial"/>
                <w:sz w:val="20"/>
              </w:rPr>
            </w:pPr>
            <w:r w:rsidRPr="009377B8">
              <w:rPr>
                <w:rFonts w:ascii="Arial" w:hAnsi="Arial" w:cs="Arial"/>
                <w:sz w:val="20"/>
              </w:rPr>
              <w:t>1</w:t>
            </w:r>
          </w:p>
        </w:tc>
        <w:tc>
          <w:tcPr>
            <w:tcW w:w="1134" w:type="dxa"/>
            <w:shd w:val="clear" w:color="auto" w:fill="D9D9D9" w:themeFill="background1" w:themeFillShade="D9"/>
            <w:vAlign w:val="center"/>
          </w:tcPr>
          <w:p w:rsidR="009377B8" w:rsidRPr="009377B8" w:rsidRDefault="009377B8" w:rsidP="00305EF5">
            <w:pPr>
              <w:spacing w:before="0" w:line="240" w:lineRule="auto"/>
              <w:jc w:val="center"/>
              <w:rPr>
                <w:rFonts w:ascii="Arial" w:hAnsi="Arial" w:cs="Arial"/>
                <w:sz w:val="20"/>
              </w:rPr>
            </w:pPr>
            <w:r w:rsidRPr="009377B8">
              <w:rPr>
                <w:rFonts w:ascii="Arial" w:hAnsi="Arial" w:cs="Arial"/>
                <w:sz w:val="20"/>
              </w:rPr>
              <w:t>EE</w:t>
            </w:r>
          </w:p>
        </w:tc>
        <w:tc>
          <w:tcPr>
            <w:tcW w:w="3458" w:type="dxa"/>
            <w:shd w:val="clear" w:color="auto" w:fill="D9D9D9" w:themeFill="background1" w:themeFillShade="D9"/>
            <w:vAlign w:val="center"/>
          </w:tcPr>
          <w:p w:rsidR="009377B8" w:rsidRPr="009377B8" w:rsidRDefault="009377B8" w:rsidP="00305EF5">
            <w:pPr>
              <w:spacing w:before="0" w:line="240" w:lineRule="auto"/>
              <w:rPr>
                <w:rFonts w:ascii="Arial" w:hAnsi="Arial" w:cs="Arial"/>
                <w:sz w:val="20"/>
              </w:rPr>
            </w:pPr>
            <w:r w:rsidRPr="009377B8">
              <w:rPr>
                <w:rFonts w:ascii="Arial" w:hAnsi="Arial" w:cs="Arial"/>
                <w:sz w:val="20"/>
              </w:rPr>
              <w:t>1</w:t>
            </w:r>
          </w:p>
        </w:tc>
        <w:tc>
          <w:tcPr>
            <w:tcW w:w="1134" w:type="dxa"/>
            <w:shd w:val="clear" w:color="auto" w:fill="D9D9D9" w:themeFill="background1" w:themeFillShade="D9"/>
            <w:vAlign w:val="center"/>
          </w:tcPr>
          <w:p w:rsidR="009377B8" w:rsidRPr="009377B8" w:rsidRDefault="009377B8" w:rsidP="00305EF5">
            <w:pPr>
              <w:spacing w:before="0" w:line="240" w:lineRule="auto"/>
              <w:jc w:val="center"/>
              <w:rPr>
                <w:rFonts w:ascii="Arial" w:hAnsi="Arial" w:cs="Arial"/>
                <w:sz w:val="20"/>
              </w:rPr>
            </w:pPr>
            <w:r w:rsidRPr="009377B8">
              <w:rPr>
                <w:rFonts w:ascii="Arial" w:hAnsi="Arial" w:cs="Arial"/>
                <w:sz w:val="20"/>
              </w:rPr>
              <w:t>FI</w:t>
            </w:r>
          </w:p>
        </w:tc>
        <w:tc>
          <w:tcPr>
            <w:tcW w:w="3458" w:type="dxa"/>
            <w:shd w:val="clear" w:color="auto" w:fill="D9D9D9" w:themeFill="background1" w:themeFillShade="D9"/>
            <w:vAlign w:val="center"/>
          </w:tcPr>
          <w:p w:rsidR="009377B8" w:rsidRPr="009377B8" w:rsidRDefault="009377B8" w:rsidP="00305EF5">
            <w:pPr>
              <w:spacing w:before="0" w:line="240" w:lineRule="auto"/>
              <w:rPr>
                <w:rFonts w:ascii="Arial" w:hAnsi="Arial" w:cs="Arial"/>
                <w:sz w:val="20"/>
              </w:rPr>
            </w:pPr>
            <w:r w:rsidRPr="009377B8">
              <w:rPr>
                <w:rFonts w:ascii="Arial" w:hAnsi="Arial" w:cs="Arial"/>
                <w:sz w:val="20"/>
              </w:rPr>
              <w:t>2 (ERDF+ESF)</w:t>
            </w:r>
          </w:p>
        </w:tc>
      </w:tr>
      <w:tr w:rsidR="009377B8" w:rsidRPr="009377B8" w:rsidTr="00305EF5">
        <w:trPr>
          <w:trHeight w:val="510"/>
          <w:jc w:val="center"/>
        </w:trPr>
        <w:tc>
          <w:tcPr>
            <w:tcW w:w="1134" w:type="dxa"/>
            <w:vAlign w:val="center"/>
          </w:tcPr>
          <w:p w:rsidR="009377B8" w:rsidRPr="009377B8" w:rsidRDefault="009377B8" w:rsidP="00305EF5">
            <w:pPr>
              <w:spacing w:before="0" w:line="240" w:lineRule="auto"/>
              <w:jc w:val="center"/>
              <w:rPr>
                <w:rFonts w:ascii="Arial" w:hAnsi="Arial" w:cs="Arial"/>
                <w:sz w:val="20"/>
              </w:rPr>
            </w:pPr>
            <w:r w:rsidRPr="009377B8">
              <w:rPr>
                <w:rFonts w:ascii="Arial" w:hAnsi="Arial" w:cs="Arial"/>
                <w:sz w:val="20"/>
              </w:rPr>
              <w:t>FR</w:t>
            </w:r>
          </w:p>
        </w:tc>
        <w:tc>
          <w:tcPr>
            <w:tcW w:w="3458" w:type="dxa"/>
            <w:vAlign w:val="center"/>
          </w:tcPr>
          <w:p w:rsidR="009377B8" w:rsidRPr="009377B8" w:rsidRDefault="009377B8" w:rsidP="00305EF5">
            <w:pPr>
              <w:spacing w:before="0" w:line="240" w:lineRule="auto"/>
              <w:rPr>
                <w:rFonts w:ascii="Arial" w:hAnsi="Arial" w:cs="Arial"/>
                <w:sz w:val="20"/>
              </w:rPr>
            </w:pPr>
            <w:r w:rsidRPr="009377B8">
              <w:rPr>
                <w:rFonts w:ascii="Arial" w:hAnsi="Arial" w:cs="Arial"/>
                <w:sz w:val="20"/>
              </w:rPr>
              <w:t>6 (5 ESF, 1 ESF+YEI)</w:t>
            </w:r>
          </w:p>
        </w:tc>
        <w:tc>
          <w:tcPr>
            <w:tcW w:w="1134" w:type="dxa"/>
            <w:vAlign w:val="center"/>
          </w:tcPr>
          <w:p w:rsidR="009377B8" w:rsidRPr="009377B8" w:rsidRDefault="009377B8" w:rsidP="00305EF5">
            <w:pPr>
              <w:spacing w:before="0" w:line="240" w:lineRule="auto"/>
              <w:jc w:val="center"/>
              <w:rPr>
                <w:rFonts w:ascii="Arial" w:hAnsi="Arial" w:cs="Arial"/>
                <w:sz w:val="20"/>
              </w:rPr>
            </w:pPr>
            <w:r w:rsidRPr="009377B8">
              <w:rPr>
                <w:rFonts w:ascii="Arial" w:hAnsi="Arial" w:cs="Arial"/>
                <w:sz w:val="20"/>
              </w:rPr>
              <w:t>IT</w:t>
            </w:r>
          </w:p>
        </w:tc>
        <w:tc>
          <w:tcPr>
            <w:tcW w:w="3458" w:type="dxa"/>
            <w:vAlign w:val="center"/>
          </w:tcPr>
          <w:p w:rsidR="009377B8" w:rsidRPr="009377B8" w:rsidRDefault="009377B8" w:rsidP="00305EF5">
            <w:pPr>
              <w:spacing w:before="0" w:line="240" w:lineRule="auto"/>
              <w:rPr>
                <w:rFonts w:ascii="Arial" w:hAnsi="Arial" w:cs="Arial"/>
                <w:sz w:val="20"/>
              </w:rPr>
            </w:pPr>
            <w:r w:rsidRPr="009377B8">
              <w:rPr>
                <w:rFonts w:ascii="Arial" w:hAnsi="Arial" w:cs="Arial"/>
                <w:sz w:val="20"/>
              </w:rPr>
              <w:t>18 (17 ESF, 1 ESF+YEI)</w:t>
            </w:r>
          </w:p>
        </w:tc>
        <w:tc>
          <w:tcPr>
            <w:tcW w:w="1134" w:type="dxa"/>
            <w:vAlign w:val="center"/>
          </w:tcPr>
          <w:p w:rsidR="009377B8" w:rsidRPr="009377B8" w:rsidRDefault="009377B8" w:rsidP="00305EF5">
            <w:pPr>
              <w:spacing w:before="0" w:line="240" w:lineRule="auto"/>
              <w:jc w:val="center"/>
              <w:rPr>
                <w:rFonts w:ascii="Arial" w:hAnsi="Arial" w:cs="Arial"/>
                <w:sz w:val="20"/>
              </w:rPr>
            </w:pPr>
            <w:r w:rsidRPr="009377B8">
              <w:rPr>
                <w:rFonts w:ascii="Arial" w:hAnsi="Arial" w:cs="Arial"/>
                <w:sz w:val="20"/>
              </w:rPr>
              <w:t>LU</w:t>
            </w:r>
          </w:p>
        </w:tc>
        <w:tc>
          <w:tcPr>
            <w:tcW w:w="3458" w:type="dxa"/>
            <w:vAlign w:val="center"/>
          </w:tcPr>
          <w:p w:rsidR="009377B8" w:rsidRPr="009377B8" w:rsidRDefault="009377B8" w:rsidP="00305EF5">
            <w:pPr>
              <w:spacing w:before="0" w:line="240" w:lineRule="auto"/>
              <w:rPr>
                <w:rFonts w:ascii="Arial" w:hAnsi="Arial" w:cs="Arial"/>
                <w:sz w:val="20"/>
              </w:rPr>
            </w:pPr>
            <w:r w:rsidRPr="009377B8">
              <w:rPr>
                <w:rFonts w:ascii="Arial" w:hAnsi="Arial" w:cs="Arial"/>
                <w:sz w:val="20"/>
              </w:rPr>
              <w:t>1</w:t>
            </w:r>
          </w:p>
        </w:tc>
      </w:tr>
      <w:tr w:rsidR="009377B8" w:rsidRPr="009377B8" w:rsidTr="00305EF5">
        <w:trPr>
          <w:trHeight w:val="510"/>
          <w:jc w:val="center"/>
        </w:trPr>
        <w:tc>
          <w:tcPr>
            <w:tcW w:w="1134" w:type="dxa"/>
            <w:shd w:val="clear" w:color="auto" w:fill="D9D9D9" w:themeFill="background1" w:themeFillShade="D9"/>
            <w:vAlign w:val="center"/>
          </w:tcPr>
          <w:p w:rsidR="009377B8" w:rsidRPr="009377B8" w:rsidRDefault="009377B8" w:rsidP="00305EF5">
            <w:pPr>
              <w:spacing w:before="0" w:line="240" w:lineRule="auto"/>
              <w:jc w:val="center"/>
              <w:rPr>
                <w:rFonts w:ascii="Arial" w:hAnsi="Arial" w:cs="Arial"/>
                <w:sz w:val="20"/>
              </w:rPr>
            </w:pPr>
            <w:r w:rsidRPr="009377B8">
              <w:rPr>
                <w:rFonts w:ascii="Arial" w:hAnsi="Arial" w:cs="Arial"/>
                <w:sz w:val="20"/>
              </w:rPr>
              <w:t>NL</w:t>
            </w:r>
          </w:p>
        </w:tc>
        <w:tc>
          <w:tcPr>
            <w:tcW w:w="3458" w:type="dxa"/>
            <w:shd w:val="clear" w:color="auto" w:fill="D9D9D9" w:themeFill="background1" w:themeFillShade="D9"/>
            <w:vAlign w:val="center"/>
          </w:tcPr>
          <w:p w:rsidR="009377B8" w:rsidRPr="009377B8" w:rsidRDefault="009377B8" w:rsidP="00305EF5">
            <w:pPr>
              <w:spacing w:before="0" w:line="240" w:lineRule="auto"/>
              <w:rPr>
                <w:rFonts w:ascii="Arial" w:hAnsi="Arial" w:cs="Arial"/>
                <w:sz w:val="20"/>
              </w:rPr>
            </w:pPr>
            <w:r w:rsidRPr="009377B8">
              <w:rPr>
                <w:rFonts w:ascii="Arial" w:hAnsi="Arial" w:cs="Arial"/>
                <w:sz w:val="20"/>
              </w:rPr>
              <w:t>1</w:t>
            </w:r>
          </w:p>
        </w:tc>
        <w:tc>
          <w:tcPr>
            <w:tcW w:w="1134" w:type="dxa"/>
            <w:shd w:val="clear" w:color="auto" w:fill="D9D9D9" w:themeFill="background1" w:themeFillShade="D9"/>
            <w:vAlign w:val="center"/>
          </w:tcPr>
          <w:p w:rsidR="009377B8" w:rsidRPr="009377B8" w:rsidRDefault="009377B8" w:rsidP="00305EF5">
            <w:pPr>
              <w:spacing w:before="0" w:line="240" w:lineRule="auto"/>
              <w:jc w:val="center"/>
              <w:rPr>
                <w:rFonts w:ascii="Arial" w:hAnsi="Arial" w:cs="Arial"/>
                <w:sz w:val="20"/>
              </w:rPr>
            </w:pPr>
            <w:r w:rsidRPr="009377B8">
              <w:rPr>
                <w:rFonts w:ascii="Arial" w:hAnsi="Arial" w:cs="Arial"/>
                <w:sz w:val="20"/>
              </w:rPr>
              <w:t>PT</w:t>
            </w:r>
          </w:p>
        </w:tc>
        <w:tc>
          <w:tcPr>
            <w:tcW w:w="3458" w:type="dxa"/>
            <w:shd w:val="clear" w:color="auto" w:fill="D9D9D9" w:themeFill="background1" w:themeFillShade="D9"/>
            <w:vAlign w:val="center"/>
          </w:tcPr>
          <w:p w:rsidR="009377B8" w:rsidRPr="009377B8" w:rsidRDefault="009377B8" w:rsidP="00305EF5">
            <w:pPr>
              <w:spacing w:before="0" w:line="240" w:lineRule="auto"/>
              <w:rPr>
                <w:rFonts w:ascii="Arial" w:hAnsi="Arial" w:cs="Arial"/>
                <w:sz w:val="20"/>
              </w:rPr>
            </w:pPr>
            <w:r w:rsidRPr="009377B8">
              <w:rPr>
                <w:rFonts w:ascii="Arial" w:hAnsi="Arial" w:cs="Arial"/>
                <w:sz w:val="20"/>
              </w:rPr>
              <w:t>3 (1 ESF, 2 ESF+YEI)</w:t>
            </w:r>
          </w:p>
        </w:tc>
        <w:tc>
          <w:tcPr>
            <w:tcW w:w="1134" w:type="dxa"/>
            <w:shd w:val="clear" w:color="auto" w:fill="D9D9D9" w:themeFill="background1" w:themeFillShade="D9"/>
            <w:vAlign w:val="center"/>
          </w:tcPr>
          <w:p w:rsidR="009377B8" w:rsidRPr="009377B8" w:rsidRDefault="009377B8" w:rsidP="00305EF5">
            <w:pPr>
              <w:spacing w:before="0" w:line="240" w:lineRule="auto"/>
              <w:jc w:val="center"/>
              <w:rPr>
                <w:rFonts w:ascii="Arial" w:hAnsi="Arial" w:cs="Arial"/>
                <w:sz w:val="20"/>
              </w:rPr>
            </w:pPr>
            <w:r w:rsidRPr="009377B8">
              <w:rPr>
                <w:rFonts w:ascii="Arial" w:hAnsi="Arial" w:cs="Arial"/>
                <w:sz w:val="20"/>
              </w:rPr>
              <w:t>HR</w:t>
            </w:r>
          </w:p>
        </w:tc>
        <w:tc>
          <w:tcPr>
            <w:tcW w:w="3458" w:type="dxa"/>
            <w:shd w:val="clear" w:color="auto" w:fill="D9D9D9" w:themeFill="background1" w:themeFillShade="D9"/>
            <w:vAlign w:val="center"/>
          </w:tcPr>
          <w:p w:rsidR="009377B8" w:rsidRPr="009377B8" w:rsidRDefault="009377B8" w:rsidP="00305EF5">
            <w:pPr>
              <w:spacing w:before="0" w:line="240" w:lineRule="auto"/>
              <w:rPr>
                <w:rFonts w:ascii="Arial" w:hAnsi="Arial" w:cs="Arial"/>
                <w:sz w:val="20"/>
              </w:rPr>
            </w:pPr>
            <w:r w:rsidRPr="009377B8">
              <w:rPr>
                <w:rFonts w:ascii="Arial" w:hAnsi="Arial" w:cs="Arial"/>
                <w:sz w:val="20"/>
              </w:rPr>
              <w:t>1 (ESF+YEI)</w:t>
            </w:r>
          </w:p>
        </w:tc>
      </w:tr>
      <w:tr w:rsidR="009377B8" w:rsidRPr="009377B8" w:rsidTr="00305EF5">
        <w:trPr>
          <w:trHeight w:val="510"/>
          <w:jc w:val="center"/>
        </w:trPr>
        <w:tc>
          <w:tcPr>
            <w:tcW w:w="1134" w:type="dxa"/>
            <w:vAlign w:val="center"/>
          </w:tcPr>
          <w:p w:rsidR="009377B8" w:rsidRPr="009377B8" w:rsidRDefault="009377B8" w:rsidP="00305EF5">
            <w:pPr>
              <w:spacing w:before="0" w:line="240" w:lineRule="auto"/>
              <w:jc w:val="center"/>
              <w:rPr>
                <w:rFonts w:ascii="Arial" w:hAnsi="Arial" w:cs="Arial"/>
                <w:sz w:val="20"/>
              </w:rPr>
            </w:pPr>
            <w:r w:rsidRPr="009377B8">
              <w:rPr>
                <w:rFonts w:ascii="Arial" w:hAnsi="Arial" w:cs="Arial"/>
                <w:sz w:val="20"/>
              </w:rPr>
              <w:t>ES</w:t>
            </w:r>
          </w:p>
        </w:tc>
        <w:tc>
          <w:tcPr>
            <w:tcW w:w="3458" w:type="dxa"/>
            <w:vAlign w:val="center"/>
          </w:tcPr>
          <w:p w:rsidR="009377B8" w:rsidRPr="009377B8" w:rsidRDefault="009377B8" w:rsidP="00305EF5">
            <w:pPr>
              <w:spacing w:before="0" w:line="240" w:lineRule="auto"/>
              <w:rPr>
                <w:rFonts w:ascii="Arial" w:hAnsi="Arial" w:cs="Arial"/>
                <w:sz w:val="20"/>
              </w:rPr>
            </w:pPr>
            <w:r w:rsidRPr="009377B8">
              <w:rPr>
                <w:rFonts w:ascii="Arial" w:hAnsi="Arial" w:cs="Arial"/>
                <w:sz w:val="20"/>
              </w:rPr>
              <w:t>1 (ESF+YEI)</w:t>
            </w:r>
          </w:p>
        </w:tc>
        <w:tc>
          <w:tcPr>
            <w:tcW w:w="1134" w:type="dxa"/>
            <w:vAlign w:val="center"/>
          </w:tcPr>
          <w:p w:rsidR="009377B8" w:rsidRPr="009377B8" w:rsidRDefault="009377B8" w:rsidP="00305EF5">
            <w:pPr>
              <w:spacing w:before="0" w:line="240" w:lineRule="auto"/>
              <w:jc w:val="center"/>
              <w:rPr>
                <w:rFonts w:ascii="Arial" w:hAnsi="Arial" w:cs="Arial"/>
                <w:sz w:val="20"/>
              </w:rPr>
            </w:pPr>
            <w:r w:rsidRPr="009377B8">
              <w:rPr>
                <w:rFonts w:ascii="Arial" w:hAnsi="Arial" w:cs="Arial"/>
                <w:sz w:val="20"/>
              </w:rPr>
              <w:t>SE</w:t>
            </w:r>
          </w:p>
        </w:tc>
        <w:tc>
          <w:tcPr>
            <w:tcW w:w="3458" w:type="dxa"/>
            <w:vAlign w:val="center"/>
          </w:tcPr>
          <w:p w:rsidR="009377B8" w:rsidRPr="009377B8" w:rsidRDefault="009377B8" w:rsidP="00305EF5">
            <w:pPr>
              <w:spacing w:before="0" w:line="240" w:lineRule="auto"/>
              <w:rPr>
                <w:rFonts w:ascii="Arial" w:hAnsi="Arial" w:cs="Arial"/>
                <w:sz w:val="20"/>
              </w:rPr>
            </w:pPr>
            <w:r w:rsidRPr="009377B8">
              <w:rPr>
                <w:rFonts w:ascii="Arial" w:hAnsi="Arial" w:cs="Arial"/>
                <w:sz w:val="20"/>
              </w:rPr>
              <w:t>1 (ESF+YEI)</w:t>
            </w:r>
          </w:p>
        </w:tc>
        <w:tc>
          <w:tcPr>
            <w:tcW w:w="1134" w:type="dxa"/>
            <w:vAlign w:val="center"/>
          </w:tcPr>
          <w:p w:rsidR="009377B8" w:rsidRPr="009377B8" w:rsidRDefault="009377B8" w:rsidP="00305EF5">
            <w:pPr>
              <w:spacing w:before="0" w:line="240" w:lineRule="auto"/>
              <w:jc w:val="center"/>
              <w:rPr>
                <w:rFonts w:ascii="Arial" w:hAnsi="Arial" w:cs="Arial"/>
                <w:sz w:val="20"/>
              </w:rPr>
            </w:pPr>
            <w:r w:rsidRPr="009377B8">
              <w:rPr>
                <w:rFonts w:ascii="Arial" w:hAnsi="Arial" w:cs="Arial"/>
                <w:sz w:val="20"/>
              </w:rPr>
              <w:t>UK</w:t>
            </w:r>
          </w:p>
        </w:tc>
        <w:tc>
          <w:tcPr>
            <w:tcW w:w="3458" w:type="dxa"/>
            <w:vAlign w:val="center"/>
          </w:tcPr>
          <w:p w:rsidR="009377B8" w:rsidRPr="009377B8" w:rsidRDefault="009377B8" w:rsidP="00305EF5">
            <w:pPr>
              <w:spacing w:before="0" w:line="240" w:lineRule="auto"/>
              <w:rPr>
                <w:rFonts w:ascii="Arial" w:hAnsi="Arial" w:cs="Arial"/>
                <w:sz w:val="20"/>
              </w:rPr>
            </w:pPr>
            <w:r w:rsidRPr="009377B8">
              <w:rPr>
                <w:rFonts w:ascii="Arial" w:hAnsi="Arial" w:cs="Arial"/>
                <w:sz w:val="20"/>
              </w:rPr>
              <w:t>4 (1 ESF+YEI, 3 ESF)</w:t>
            </w:r>
          </w:p>
        </w:tc>
      </w:tr>
    </w:tbl>
    <w:p w:rsidR="009377B8" w:rsidRPr="009377B8" w:rsidRDefault="009377B8" w:rsidP="004E0E4A">
      <w:pPr>
        <w:spacing w:before="60" w:line="240" w:lineRule="auto"/>
        <w:ind w:left="142"/>
        <w:rPr>
          <w:rFonts w:ascii="Arial" w:hAnsi="Arial" w:cs="Arial"/>
          <w:sz w:val="18"/>
          <w:szCs w:val="18"/>
        </w:rPr>
      </w:pPr>
      <w:r w:rsidRPr="009377B8">
        <w:rPr>
          <w:rFonts w:ascii="Arial" w:hAnsi="Arial" w:cs="Arial"/>
          <w:sz w:val="18"/>
          <w:szCs w:val="18"/>
        </w:rPr>
        <w:t>Zdroj: http://ec.europa.eu/esf/main.jsp?catId=576&amp;langId=en</w:t>
      </w:r>
    </w:p>
    <w:p w:rsidR="00CC5D9C" w:rsidRDefault="00CC5D9C" w:rsidP="00CC5D9C">
      <w:pPr>
        <w:spacing w:before="0" w:line="240" w:lineRule="auto"/>
        <w:ind w:left="142"/>
        <w:jc w:val="left"/>
        <w:rPr>
          <w:rFonts w:ascii="Arial" w:hAnsi="Arial" w:cs="Arial"/>
          <w:sz w:val="18"/>
          <w:szCs w:val="20"/>
        </w:rPr>
      </w:pPr>
      <w:r w:rsidRPr="009377B8">
        <w:rPr>
          <w:rFonts w:ascii="Arial" w:hAnsi="Arial" w:cs="Arial"/>
          <w:sz w:val="18"/>
          <w:szCs w:val="18"/>
        </w:rPr>
        <w:t>Pozn.</w:t>
      </w:r>
      <w:r>
        <w:rPr>
          <w:rFonts w:ascii="Arial" w:hAnsi="Arial" w:cs="Arial"/>
          <w:sz w:val="18"/>
          <w:szCs w:val="18"/>
        </w:rPr>
        <w:t xml:space="preserve"> *</w:t>
      </w:r>
      <w:r w:rsidRPr="009377B8">
        <w:rPr>
          <w:rFonts w:ascii="Arial" w:hAnsi="Arial" w:cs="Arial"/>
          <w:sz w:val="18"/>
          <w:szCs w:val="20"/>
        </w:rPr>
        <w:t xml:space="preserve"> Pokud není uvedeno jinak, </w:t>
      </w:r>
      <w:r w:rsidR="002D4271">
        <w:rPr>
          <w:rFonts w:ascii="Arial" w:hAnsi="Arial" w:cs="Arial"/>
          <w:sz w:val="18"/>
          <w:szCs w:val="20"/>
        </w:rPr>
        <w:t>je program financován</w:t>
      </w:r>
      <w:r w:rsidRPr="009377B8">
        <w:rPr>
          <w:rFonts w:ascii="Arial" w:hAnsi="Arial" w:cs="Arial"/>
          <w:sz w:val="18"/>
          <w:szCs w:val="20"/>
        </w:rPr>
        <w:t xml:space="preserve"> </w:t>
      </w:r>
      <w:r w:rsidR="00111912">
        <w:rPr>
          <w:rFonts w:ascii="Arial" w:hAnsi="Arial" w:cs="Arial"/>
          <w:sz w:val="18"/>
          <w:szCs w:val="20"/>
        </w:rPr>
        <w:t xml:space="preserve">pouze </w:t>
      </w:r>
      <w:r w:rsidRPr="009377B8">
        <w:rPr>
          <w:rFonts w:ascii="Arial" w:hAnsi="Arial" w:cs="Arial"/>
          <w:sz w:val="18"/>
          <w:szCs w:val="20"/>
        </w:rPr>
        <w:t>z E</w:t>
      </w:r>
      <w:r w:rsidR="002D4271">
        <w:rPr>
          <w:rFonts w:ascii="Arial" w:hAnsi="Arial" w:cs="Arial"/>
          <w:sz w:val="18"/>
          <w:szCs w:val="20"/>
        </w:rPr>
        <w:t>S</w:t>
      </w:r>
      <w:r w:rsidRPr="009377B8">
        <w:rPr>
          <w:rFonts w:ascii="Arial" w:hAnsi="Arial" w:cs="Arial"/>
          <w:sz w:val="18"/>
          <w:szCs w:val="20"/>
        </w:rPr>
        <w:t>F.</w:t>
      </w:r>
    </w:p>
    <w:p w:rsidR="0029785B" w:rsidRDefault="0029785B" w:rsidP="0029785B">
      <w:pPr>
        <w:spacing w:before="0" w:line="240" w:lineRule="auto"/>
        <w:ind w:left="652"/>
        <w:jc w:val="left"/>
        <w:rPr>
          <w:rFonts w:ascii="Arial" w:hAnsi="Arial" w:cs="Arial"/>
          <w:sz w:val="18"/>
          <w:szCs w:val="20"/>
        </w:rPr>
      </w:pPr>
      <w:r>
        <w:rPr>
          <w:rFonts w:ascii="Arial" w:hAnsi="Arial" w:cs="Arial"/>
          <w:sz w:val="18"/>
          <w:szCs w:val="20"/>
        </w:rPr>
        <w:t xml:space="preserve">AT </w:t>
      </w:r>
      <w:r w:rsidR="00F770F2">
        <w:rPr>
          <w:rFonts w:ascii="Arial" w:hAnsi="Arial" w:cs="Arial"/>
          <w:sz w:val="18"/>
          <w:szCs w:val="20"/>
        </w:rPr>
        <w:t>-</w:t>
      </w:r>
      <w:r>
        <w:rPr>
          <w:rFonts w:ascii="Arial" w:hAnsi="Arial" w:cs="Arial"/>
          <w:sz w:val="18"/>
          <w:szCs w:val="20"/>
        </w:rPr>
        <w:t xml:space="preserve"> Rakousko, DA </w:t>
      </w:r>
      <w:r w:rsidR="00F770F2">
        <w:rPr>
          <w:rFonts w:ascii="Arial" w:hAnsi="Arial" w:cs="Arial"/>
          <w:sz w:val="18"/>
          <w:szCs w:val="20"/>
        </w:rPr>
        <w:t>-</w:t>
      </w:r>
      <w:r>
        <w:rPr>
          <w:rFonts w:ascii="Arial" w:hAnsi="Arial" w:cs="Arial"/>
          <w:sz w:val="18"/>
          <w:szCs w:val="20"/>
        </w:rPr>
        <w:t xml:space="preserve"> Dánsko, FR </w:t>
      </w:r>
      <w:r w:rsidR="00F770F2">
        <w:rPr>
          <w:rFonts w:ascii="Arial" w:hAnsi="Arial" w:cs="Arial"/>
          <w:sz w:val="18"/>
          <w:szCs w:val="20"/>
        </w:rPr>
        <w:t>-</w:t>
      </w:r>
      <w:r>
        <w:rPr>
          <w:rFonts w:ascii="Arial" w:hAnsi="Arial" w:cs="Arial"/>
          <w:sz w:val="18"/>
          <w:szCs w:val="20"/>
        </w:rPr>
        <w:t xml:space="preserve"> Francie, NL </w:t>
      </w:r>
      <w:r w:rsidR="00F770F2">
        <w:rPr>
          <w:rFonts w:ascii="Arial" w:hAnsi="Arial" w:cs="Arial"/>
          <w:sz w:val="18"/>
          <w:szCs w:val="20"/>
        </w:rPr>
        <w:t>-</w:t>
      </w:r>
      <w:r>
        <w:rPr>
          <w:rFonts w:ascii="Arial" w:hAnsi="Arial" w:cs="Arial"/>
          <w:sz w:val="18"/>
          <w:szCs w:val="20"/>
        </w:rPr>
        <w:t xml:space="preserve"> Nizozemsko, ES </w:t>
      </w:r>
      <w:r w:rsidR="00F770F2">
        <w:rPr>
          <w:rFonts w:ascii="Arial" w:hAnsi="Arial" w:cs="Arial"/>
          <w:sz w:val="18"/>
          <w:szCs w:val="20"/>
        </w:rPr>
        <w:t>-</w:t>
      </w:r>
      <w:r>
        <w:rPr>
          <w:rFonts w:ascii="Arial" w:hAnsi="Arial" w:cs="Arial"/>
          <w:sz w:val="18"/>
          <w:szCs w:val="20"/>
        </w:rPr>
        <w:t xml:space="preserve"> Španělsko, BG </w:t>
      </w:r>
      <w:r w:rsidR="00F770F2">
        <w:rPr>
          <w:rFonts w:ascii="Arial" w:hAnsi="Arial" w:cs="Arial"/>
          <w:sz w:val="18"/>
          <w:szCs w:val="20"/>
        </w:rPr>
        <w:t>-</w:t>
      </w:r>
      <w:r>
        <w:rPr>
          <w:rFonts w:ascii="Arial" w:hAnsi="Arial" w:cs="Arial"/>
          <w:sz w:val="18"/>
          <w:szCs w:val="20"/>
        </w:rPr>
        <w:t xml:space="preserve"> Bulharsko, EE </w:t>
      </w:r>
      <w:r w:rsidR="00F770F2">
        <w:rPr>
          <w:rFonts w:ascii="Arial" w:hAnsi="Arial" w:cs="Arial"/>
          <w:sz w:val="18"/>
          <w:szCs w:val="20"/>
        </w:rPr>
        <w:t>-</w:t>
      </w:r>
      <w:r>
        <w:rPr>
          <w:rFonts w:ascii="Arial" w:hAnsi="Arial" w:cs="Arial"/>
          <w:sz w:val="18"/>
          <w:szCs w:val="20"/>
        </w:rPr>
        <w:t xml:space="preserve"> Estonsko, IT </w:t>
      </w:r>
      <w:r w:rsidR="00F770F2">
        <w:rPr>
          <w:rFonts w:ascii="Arial" w:hAnsi="Arial" w:cs="Arial"/>
          <w:sz w:val="18"/>
          <w:szCs w:val="20"/>
        </w:rPr>
        <w:t>-</w:t>
      </w:r>
      <w:r>
        <w:rPr>
          <w:rFonts w:ascii="Arial" w:hAnsi="Arial" w:cs="Arial"/>
          <w:sz w:val="18"/>
          <w:szCs w:val="20"/>
        </w:rPr>
        <w:t xml:space="preserve"> Itálie, PT - Portugalsko, SE </w:t>
      </w:r>
      <w:r w:rsidR="00F770F2">
        <w:rPr>
          <w:rFonts w:ascii="Arial" w:hAnsi="Arial" w:cs="Arial"/>
          <w:sz w:val="18"/>
          <w:szCs w:val="20"/>
        </w:rPr>
        <w:t>-</w:t>
      </w:r>
      <w:r>
        <w:rPr>
          <w:rFonts w:ascii="Arial" w:hAnsi="Arial" w:cs="Arial"/>
          <w:sz w:val="18"/>
          <w:szCs w:val="20"/>
        </w:rPr>
        <w:t xml:space="preserve"> Švédsko, BE </w:t>
      </w:r>
      <w:r w:rsidR="00F770F2">
        <w:rPr>
          <w:rFonts w:ascii="Arial" w:hAnsi="Arial" w:cs="Arial"/>
          <w:sz w:val="18"/>
          <w:szCs w:val="20"/>
        </w:rPr>
        <w:t>-</w:t>
      </w:r>
      <w:r>
        <w:rPr>
          <w:rFonts w:ascii="Arial" w:hAnsi="Arial" w:cs="Arial"/>
          <w:sz w:val="18"/>
          <w:szCs w:val="20"/>
        </w:rPr>
        <w:t xml:space="preserve"> Belgie, FI </w:t>
      </w:r>
      <w:r w:rsidR="00F770F2">
        <w:rPr>
          <w:rFonts w:ascii="Arial" w:hAnsi="Arial" w:cs="Arial"/>
          <w:sz w:val="18"/>
          <w:szCs w:val="20"/>
        </w:rPr>
        <w:t>- Finsko, LU -</w:t>
      </w:r>
      <w:r>
        <w:rPr>
          <w:rFonts w:ascii="Arial" w:hAnsi="Arial" w:cs="Arial"/>
          <w:sz w:val="18"/>
          <w:szCs w:val="20"/>
        </w:rPr>
        <w:t xml:space="preserve"> Lucembursko, HR - Chorvatsko, UK </w:t>
      </w:r>
      <w:r w:rsidR="00F770F2">
        <w:rPr>
          <w:rFonts w:ascii="Arial" w:hAnsi="Arial" w:cs="Arial"/>
          <w:sz w:val="18"/>
          <w:szCs w:val="20"/>
        </w:rPr>
        <w:t>-</w:t>
      </w:r>
      <w:r>
        <w:rPr>
          <w:rFonts w:ascii="Arial" w:hAnsi="Arial" w:cs="Arial"/>
          <w:sz w:val="18"/>
          <w:szCs w:val="20"/>
        </w:rPr>
        <w:t xml:space="preserve"> Velká Británie</w:t>
      </w:r>
      <w:r w:rsidR="00D06609">
        <w:rPr>
          <w:rFonts w:ascii="Arial" w:hAnsi="Arial" w:cs="Arial"/>
          <w:sz w:val="18"/>
          <w:szCs w:val="20"/>
        </w:rPr>
        <w:t>.</w:t>
      </w:r>
    </w:p>
    <w:p w:rsidR="009A42DD" w:rsidRPr="00305EF5" w:rsidRDefault="00305EF5" w:rsidP="00D06609">
      <w:pPr>
        <w:pStyle w:val="Titulek"/>
        <w:spacing w:before="360"/>
        <w:ind w:left="0" w:right="255"/>
        <w:rPr>
          <w:rFonts w:ascii="Arial" w:hAnsi="Arial" w:cs="Arial"/>
          <w:b w:val="0"/>
          <w:sz w:val="20"/>
          <w:szCs w:val="20"/>
        </w:rPr>
      </w:pPr>
      <w:r w:rsidRPr="00305EF5">
        <w:rPr>
          <w:rFonts w:ascii="Arial" w:hAnsi="Arial" w:cs="Arial"/>
          <w:b w:val="0"/>
          <w:sz w:val="20"/>
          <w:szCs w:val="20"/>
        </w:rPr>
        <w:t>Tabulka č. 4 znázorňuje počet programů schválených a jdoucí postupem bez změny víceletého finančního rámce či se změnou v rozdělení dle jednotlivých Generálních ředitelství EK a procentní zastoupení jednotlivých variant.</w:t>
      </w:r>
    </w:p>
    <w:p w:rsidR="006E690E" w:rsidRPr="009377B8" w:rsidRDefault="006E690E" w:rsidP="006E690E">
      <w:pPr>
        <w:pStyle w:val="Titulek"/>
        <w:spacing w:before="240"/>
        <w:ind w:right="255"/>
        <w:rPr>
          <w:rFonts w:ascii="Arial" w:hAnsi="Arial" w:cs="Arial"/>
          <w:sz w:val="20"/>
          <w:szCs w:val="20"/>
        </w:rPr>
      </w:pPr>
      <w:r>
        <w:rPr>
          <w:rFonts w:ascii="Arial" w:hAnsi="Arial" w:cs="Arial"/>
          <w:sz w:val="20"/>
          <w:szCs w:val="20"/>
        </w:rPr>
        <w:t>Tabulka č. 4</w:t>
      </w:r>
      <w:r w:rsidRPr="009377B8">
        <w:rPr>
          <w:rFonts w:ascii="Arial" w:hAnsi="Arial" w:cs="Arial"/>
          <w:sz w:val="20"/>
          <w:szCs w:val="20"/>
        </w:rPr>
        <w:t xml:space="preserve"> - Schválené </w:t>
      </w:r>
      <w:r>
        <w:rPr>
          <w:rFonts w:ascii="Arial" w:hAnsi="Arial" w:cs="Arial"/>
          <w:sz w:val="20"/>
          <w:szCs w:val="20"/>
        </w:rPr>
        <w:t>programy</w:t>
      </w:r>
      <w:r w:rsidRPr="009377B8">
        <w:rPr>
          <w:rFonts w:ascii="Arial" w:hAnsi="Arial" w:cs="Arial"/>
          <w:sz w:val="20"/>
          <w:szCs w:val="20"/>
        </w:rPr>
        <w:t xml:space="preserve"> </w:t>
      </w:r>
      <w:r w:rsidR="009A42DD">
        <w:rPr>
          <w:rFonts w:ascii="Arial" w:hAnsi="Arial" w:cs="Arial"/>
          <w:sz w:val="20"/>
          <w:szCs w:val="20"/>
        </w:rPr>
        <w:t>a</w:t>
      </w:r>
      <w:r w:rsidRPr="009377B8">
        <w:rPr>
          <w:rFonts w:ascii="Arial" w:hAnsi="Arial" w:cs="Arial"/>
          <w:sz w:val="20"/>
          <w:szCs w:val="20"/>
        </w:rPr>
        <w:t xml:space="preserve"> </w:t>
      </w:r>
      <w:r>
        <w:rPr>
          <w:rFonts w:ascii="Arial" w:hAnsi="Arial" w:cs="Arial"/>
          <w:sz w:val="20"/>
          <w:szCs w:val="20"/>
        </w:rPr>
        <w:t>programy</w:t>
      </w:r>
      <w:r w:rsidRPr="009377B8">
        <w:rPr>
          <w:rFonts w:ascii="Arial" w:hAnsi="Arial" w:cs="Arial"/>
          <w:sz w:val="20"/>
          <w:szCs w:val="20"/>
        </w:rPr>
        <w:t xml:space="preserve"> </w:t>
      </w:r>
      <w:r w:rsidR="009A42DD">
        <w:rPr>
          <w:rFonts w:ascii="Arial" w:hAnsi="Arial" w:cs="Arial"/>
          <w:sz w:val="20"/>
          <w:szCs w:val="20"/>
        </w:rPr>
        <w:t>postupující dle varianty č. 1 a č. 2 v členění dle Generálních ředitelství EK</w:t>
      </w:r>
      <w:r w:rsidRPr="009377B8">
        <w:rPr>
          <w:rFonts w:ascii="Arial" w:hAnsi="Arial" w:cs="Arial"/>
          <w:sz w:val="20"/>
          <w:szCs w:val="20"/>
        </w:rPr>
        <w:t xml:space="preserve"> </w:t>
      </w:r>
    </w:p>
    <w:tbl>
      <w:tblPr>
        <w:tblStyle w:val="Stednmka1"/>
        <w:tblW w:w="12357" w:type="dxa"/>
        <w:tblInd w:w="250" w:type="dxa"/>
        <w:tblLayout w:type="fixed"/>
        <w:tblLook w:val="04A0" w:firstRow="1" w:lastRow="0" w:firstColumn="1" w:lastColumn="0" w:noHBand="0" w:noVBand="1"/>
      </w:tblPr>
      <w:tblGrid>
        <w:gridCol w:w="2324"/>
        <w:gridCol w:w="1417"/>
        <w:gridCol w:w="1077"/>
        <w:gridCol w:w="1077"/>
        <w:gridCol w:w="1077"/>
        <w:gridCol w:w="1077"/>
        <w:gridCol w:w="1077"/>
        <w:gridCol w:w="1077"/>
        <w:gridCol w:w="1077"/>
        <w:gridCol w:w="1077"/>
      </w:tblGrid>
      <w:tr w:rsidR="00D06609" w:rsidRPr="00305EF5" w:rsidTr="00035F32">
        <w:trPr>
          <w:cnfStyle w:val="100000000000" w:firstRow="1" w:lastRow="0" w:firstColumn="0" w:lastColumn="0" w:oddVBand="0" w:evenVBand="0" w:oddHBand="0"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32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9A42DD" w:rsidRPr="00305EF5" w:rsidRDefault="009A42DD" w:rsidP="00305EF5">
            <w:pPr>
              <w:spacing w:before="0" w:line="240" w:lineRule="auto"/>
              <w:jc w:val="center"/>
              <w:rPr>
                <w:rFonts w:ascii="Arial" w:hAnsi="Arial" w:cs="Arial"/>
                <w:bCs w:val="0"/>
                <w:color w:val="FFFFFF" w:themeColor="background1"/>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9A42DD" w:rsidRPr="00305EF5" w:rsidRDefault="009A42DD" w:rsidP="00305EF5">
            <w:pPr>
              <w:spacing w:before="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Cs w:val="0"/>
                <w:color w:val="FFFFFF" w:themeColor="background1"/>
                <w:sz w:val="20"/>
                <w:szCs w:val="20"/>
              </w:rPr>
            </w:pPr>
            <w:r w:rsidRPr="00305EF5">
              <w:rPr>
                <w:rFonts w:ascii="Arial" w:hAnsi="Arial" w:cs="Arial"/>
                <w:bCs w:val="0"/>
                <w:color w:val="FFFFFF" w:themeColor="background1"/>
                <w:sz w:val="20"/>
                <w:szCs w:val="20"/>
              </w:rPr>
              <w:t>REGIO ETC</w:t>
            </w:r>
          </w:p>
        </w:tc>
        <w:tc>
          <w:tcPr>
            <w:tcW w:w="107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9A42DD" w:rsidRPr="00305EF5" w:rsidRDefault="009A42DD" w:rsidP="00305EF5">
            <w:pPr>
              <w:spacing w:before="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Cs w:val="0"/>
                <w:color w:val="FFFFFF" w:themeColor="background1"/>
                <w:sz w:val="20"/>
                <w:szCs w:val="20"/>
              </w:rPr>
            </w:pPr>
            <w:r w:rsidRPr="00305EF5">
              <w:rPr>
                <w:rFonts w:ascii="Arial" w:hAnsi="Arial" w:cs="Arial"/>
                <w:bCs w:val="0"/>
                <w:color w:val="FFFFFF" w:themeColor="background1"/>
                <w:sz w:val="20"/>
                <w:szCs w:val="20"/>
              </w:rPr>
              <w:t>REGIO</w:t>
            </w:r>
          </w:p>
        </w:tc>
        <w:tc>
          <w:tcPr>
            <w:tcW w:w="107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9A42DD" w:rsidRPr="00305EF5" w:rsidRDefault="009A42DD" w:rsidP="00305EF5">
            <w:pPr>
              <w:spacing w:before="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Cs w:val="0"/>
                <w:color w:val="FFFFFF" w:themeColor="background1"/>
                <w:sz w:val="20"/>
                <w:szCs w:val="20"/>
              </w:rPr>
            </w:pPr>
            <w:r w:rsidRPr="00305EF5">
              <w:rPr>
                <w:rFonts w:ascii="Arial" w:hAnsi="Arial" w:cs="Arial"/>
                <w:bCs w:val="0"/>
                <w:color w:val="FFFFFF" w:themeColor="background1"/>
                <w:sz w:val="20"/>
                <w:szCs w:val="20"/>
              </w:rPr>
              <w:t>%</w:t>
            </w:r>
          </w:p>
        </w:tc>
        <w:tc>
          <w:tcPr>
            <w:tcW w:w="107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9A42DD" w:rsidRPr="00305EF5" w:rsidRDefault="009A42DD" w:rsidP="00305EF5">
            <w:pPr>
              <w:spacing w:before="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Cs w:val="0"/>
                <w:color w:val="FFFFFF" w:themeColor="background1"/>
                <w:sz w:val="20"/>
                <w:szCs w:val="20"/>
              </w:rPr>
            </w:pPr>
            <w:r w:rsidRPr="00305EF5">
              <w:rPr>
                <w:rFonts w:ascii="Arial" w:hAnsi="Arial" w:cs="Arial"/>
                <w:bCs w:val="0"/>
                <w:color w:val="FFFFFF" w:themeColor="background1"/>
                <w:sz w:val="20"/>
                <w:szCs w:val="20"/>
              </w:rPr>
              <w:t>EMPL</w:t>
            </w:r>
          </w:p>
        </w:tc>
        <w:tc>
          <w:tcPr>
            <w:tcW w:w="107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9A42DD" w:rsidRPr="00305EF5" w:rsidRDefault="009A42DD" w:rsidP="00305EF5">
            <w:pPr>
              <w:spacing w:before="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Cs w:val="0"/>
                <w:color w:val="FFFFFF" w:themeColor="background1"/>
                <w:sz w:val="20"/>
                <w:szCs w:val="20"/>
              </w:rPr>
            </w:pPr>
            <w:r w:rsidRPr="00305EF5">
              <w:rPr>
                <w:rFonts w:ascii="Arial" w:hAnsi="Arial" w:cs="Arial"/>
                <w:bCs w:val="0"/>
                <w:color w:val="FFFFFF" w:themeColor="background1"/>
                <w:sz w:val="20"/>
                <w:szCs w:val="20"/>
              </w:rPr>
              <w:t>%</w:t>
            </w:r>
          </w:p>
        </w:tc>
        <w:tc>
          <w:tcPr>
            <w:tcW w:w="107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9A42DD" w:rsidRPr="00305EF5" w:rsidRDefault="009A42DD" w:rsidP="00305EF5">
            <w:pPr>
              <w:spacing w:before="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Cs w:val="0"/>
                <w:color w:val="FFFFFF" w:themeColor="background1"/>
                <w:sz w:val="20"/>
                <w:szCs w:val="20"/>
              </w:rPr>
            </w:pPr>
            <w:r w:rsidRPr="00305EF5">
              <w:rPr>
                <w:rFonts w:ascii="Arial" w:hAnsi="Arial" w:cs="Arial"/>
                <w:bCs w:val="0"/>
                <w:color w:val="FFFFFF" w:themeColor="background1"/>
                <w:sz w:val="20"/>
                <w:szCs w:val="20"/>
              </w:rPr>
              <w:t>AGRI</w:t>
            </w:r>
          </w:p>
        </w:tc>
        <w:tc>
          <w:tcPr>
            <w:tcW w:w="107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9A42DD" w:rsidRPr="00305EF5" w:rsidRDefault="009A42DD" w:rsidP="00305EF5">
            <w:pPr>
              <w:spacing w:before="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Cs w:val="0"/>
                <w:color w:val="FFFFFF" w:themeColor="background1"/>
                <w:sz w:val="20"/>
                <w:szCs w:val="20"/>
              </w:rPr>
            </w:pPr>
            <w:r w:rsidRPr="00305EF5">
              <w:rPr>
                <w:rFonts w:ascii="Arial" w:hAnsi="Arial" w:cs="Arial"/>
                <w:bCs w:val="0"/>
                <w:color w:val="FFFFFF" w:themeColor="background1"/>
                <w:sz w:val="20"/>
                <w:szCs w:val="20"/>
              </w:rPr>
              <w:t>%</w:t>
            </w:r>
          </w:p>
        </w:tc>
        <w:tc>
          <w:tcPr>
            <w:tcW w:w="107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9A42DD" w:rsidRPr="00305EF5" w:rsidRDefault="009A42DD" w:rsidP="00305EF5">
            <w:pPr>
              <w:spacing w:before="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Cs w:val="0"/>
                <w:color w:val="FFFFFF" w:themeColor="background1"/>
                <w:sz w:val="20"/>
                <w:szCs w:val="20"/>
              </w:rPr>
            </w:pPr>
            <w:r w:rsidRPr="00305EF5">
              <w:rPr>
                <w:rFonts w:ascii="Arial" w:hAnsi="Arial" w:cs="Arial"/>
                <w:bCs w:val="0"/>
                <w:color w:val="FFFFFF" w:themeColor="background1"/>
                <w:sz w:val="20"/>
                <w:szCs w:val="20"/>
              </w:rPr>
              <w:t>MARE</w:t>
            </w:r>
          </w:p>
        </w:tc>
        <w:tc>
          <w:tcPr>
            <w:tcW w:w="107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9A42DD" w:rsidRPr="00305EF5" w:rsidRDefault="009A42DD" w:rsidP="00305EF5">
            <w:pPr>
              <w:spacing w:before="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Cs w:val="0"/>
                <w:color w:val="FFFFFF" w:themeColor="background1"/>
                <w:sz w:val="20"/>
                <w:szCs w:val="20"/>
              </w:rPr>
            </w:pPr>
            <w:r w:rsidRPr="00305EF5">
              <w:rPr>
                <w:rFonts w:ascii="Arial" w:hAnsi="Arial" w:cs="Arial"/>
                <w:bCs w:val="0"/>
                <w:color w:val="FFFFFF" w:themeColor="background1"/>
                <w:sz w:val="20"/>
                <w:szCs w:val="20"/>
              </w:rPr>
              <w:t>%</w:t>
            </w:r>
          </w:p>
        </w:tc>
      </w:tr>
      <w:tr w:rsidR="00305EF5" w:rsidRPr="00305EF5" w:rsidTr="00035F32">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3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42DD" w:rsidRPr="00305EF5" w:rsidRDefault="00DF71F1" w:rsidP="00B6013C">
            <w:pPr>
              <w:spacing w:before="0" w:line="240" w:lineRule="auto"/>
              <w:jc w:val="left"/>
              <w:rPr>
                <w:rFonts w:ascii="Arial" w:hAnsi="Arial" w:cs="Arial"/>
                <w:sz w:val="20"/>
              </w:rPr>
            </w:pPr>
            <w:r w:rsidRPr="00305EF5">
              <w:rPr>
                <w:rFonts w:ascii="Arial" w:hAnsi="Arial" w:cs="Arial"/>
                <w:sz w:val="20"/>
              </w:rPr>
              <w:t xml:space="preserve">Schválené </w:t>
            </w:r>
            <w:r w:rsidR="00B6013C">
              <w:rPr>
                <w:rFonts w:ascii="Arial" w:hAnsi="Arial" w:cs="Arial"/>
                <w:sz w:val="20"/>
              </w:rPr>
              <w:t>programy</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42DD" w:rsidRPr="00305EF5" w:rsidRDefault="009A42DD" w:rsidP="00305EF5">
            <w:pPr>
              <w:spacing w:before="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0"/>
              </w:rPr>
            </w:pPr>
            <w:r w:rsidRPr="00305EF5">
              <w:rPr>
                <w:rFonts w:ascii="Arial" w:hAnsi="Arial" w:cs="Arial"/>
                <w:sz w:val="20"/>
              </w:rPr>
              <w:t>18</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42DD" w:rsidRPr="00305EF5" w:rsidRDefault="009A42DD" w:rsidP="00305EF5">
            <w:pPr>
              <w:spacing w:before="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0"/>
              </w:rPr>
            </w:pPr>
            <w:r w:rsidRPr="00305EF5">
              <w:rPr>
                <w:rFonts w:ascii="Arial" w:hAnsi="Arial" w:cs="Arial"/>
                <w:sz w:val="20"/>
              </w:rPr>
              <w:t>130</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42DD" w:rsidRPr="00305EF5" w:rsidRDefault="009A42DD" w:rsidP="00305EF5">
            <w:pPr>
              <w:spacing w:before="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0"/>
              </w:rPr>
            </w:pPr>
            <w:r w:rsidRPr="00305EF5">
              <w:rPr>
                <w:rFonts w:ascii="Arial" w:hAnsi="Arial" w:cs="Arial"/>
                <w:sz w:val="20"/>
              </w:rPr>
              <w:t>63.4</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42DD" w:rsidRPr="00305EF5" w:rsidRDefault="009A42DD" w:rsidP="00305EF5">
            <w:pPr>
              <w:spacing w:before="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0"/>
              </w:rPr>
            </w:pPr>
            <w:r w:rsidRPr="00305EF5">
              <w:rPr>
                <w:rFonts w:ascii="Arial" w:hAnsi="Arial" w:cs="Arial"/>
                <w:sz w:val="20"/>
              </w:rPr>
              <w:t>68</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42DD" w:rsidRPr="00305EF5" w:rsidRDefault="009A42DD" w:rsidP="00305EF5">
            <w:pPr>
              <w:spacing w:before="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0"/>
              </w:rPr>
            </w:pPr>
            <w:r w:rsidRPr="00305EF5">
              <w:rPr>
                <w:rFonts w:ascii="Arial" w:hAnsi="Arial" w:cs="Arial"/>
                <w:sz w:val="20"/>
              </w:rPr>
              <w:t>64.15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42DD" w:rsidRPr="00305EF5" w:rsidRDefault="009A42DD" w:rsidP="00305EF5">
            <w:pPr>
              <w:spacing w:before="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0"/>
              </w:rPr>
            </w:pPr>
            <w:r w:rsidRPr="00305EF5">
              <w:rPr>
                <w:rFonts w:ascii="Arial" w:hAnsi="Arial" w:cs="Arial"/>
                <w:sz w:val="20"/>
              </w:rPr>
              <w:t>9</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42DD" w:rsidRPr="00305EF5" w:rsidRDefault="009A42DD" w:rsidP="00305EF5">
            <w:pPr>
              <w:spacing w:before="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0"/>
              </w:rPr>
            </w:pPr>
            <w:r w:rsidRPr="00305EF5">
              <w:rPr>
                <w:rFonts w:ascii="Arial" w:hAnsi="Arial" w:cs="Arial"/>
                <w:sz w:val="20"/>
              </w:rPr>
              <w:t>7.6</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42DD" w:rsidRPr="00305EF5" w:rsidRDefault="009A42DD" w:rsidP="00305EF5">
            <w:pPr>
              <w:spacing w:before="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0"/>
              </w:rPr>
            </w:pPr>
            <w:r w:rsidRPr="00305EF5">
              <w:rPr>
                <w:rFonts w:ascii="Arial" w:hAnsi="Arial" w:cs="Arial"/>
                <w:sz w:val="20"/>
              </w:rPr>
              <w:t>1</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42DD" w:rsidRPr="00305EF5" w:rsidRDefault="009A42DD" w:rsidP="00305EF5">
            <w:pPr>
              <w:spacing w:before="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0"/>
              </w:rPr>
            </w:pPr>
            <w:r w:rsidRPr="00305EF5">
              <w:rPr>
                <w:rFonts w:ascii="Arial" w:hAnsi="Arial" w:cs="Arial"/>
                <w:sz w:val="20"/>
              </w:rPr>
              <w:t>3.7</w:t>
            </w:r>
          </w:p>
        </w:tc>
      </w:tr>
      <w:tr w:rsidR="00D06609" w:rsidRPr="00305EF5" w:rsidTr="00035F32">
        <w:trPr>
          <w:trHeight w:val="397"/>
        </w:trPr>
        <w:tc>
          <w:tcPr>
            <w:cnfStyle w:val="001000000000" w:firstRow="0" w:lastRow="0" w:firstColumn="1" w:lastColumn="0" w:oddVBand="0" w:evenVBand="0" w:oddHBand="0" w:evenHBand="0" w:firstRowFirstColumn="0" w:firstRowLastColumn="0" w:lastRowFirstColumn="0" w:lastRowLastColumn="0"/>
            <w:tcW w:w="232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9A42DD" w:rsidRPr="00305EF5" w:rsidRDefault="00DF71F1" w:rsidP="00305EF5">
            <w:pPr>
              <w:spacing w:before="0" w:line="240" w:lineRule="auto"/>
              <w:jc w:val="left"/>
              <w:rPr>
                <w:rFonts w:ascii="Arial" w:hAnsi="Arial" w:cs="Arial"/>
                <w:sz w:val="20"/>
              </w:rPr>
            </w:pPr>
            <w:r w:rsidRPr="00305EF5">
              <w:rPr>
                <w:rFonts w:ascii="Arial" w:hAnsi="Arial" w:cs="Arial"/>
                <w:sz w:val="20"/>
              </w:rPr>
              <w:t>Varianta č. 1</w:t>
            </w:r>
          </w:p>
        </w:tc>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9A42DD" w:rsidRPr="00305EF5" w:rsidRDefault="009A42DD" w:rsidP="00305EF5">
            <w:pPr>
              <w:spacing w:before="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305EF5">
              <w:rPr>
                <w:rFonts w:ascii="Arial" w:hAnsi="Arial" w:cs="Arial"/>
                <w:sz w:val="20"/>
              </w:rPr>
              <w:t>6</w:t>
            </w:r>
          </w:p>
        </w:tc>
        <w:tc>
          <w:tcPr>
            <w:tcW w:w="10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9A42DD" w:rsidRPr="00305EF5" w:rsidRDefault="009A42DD" w:rsidP="00305EF5">
            <w:pPr>
              <w:spacing w:before="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305EF5">
              <w:rPr>
                <w:rFonts w:ascii="Arial" w:hAnsi="Arial" w:cs="Arial"/>
                <w:sz w:val="20"/>
              </w:rPr>
              <w:t>35</w:t>
            </w:r>
          </w:p>
        </w:tc>
        <w:tc>
          <w:tcPr>
            <w:tcW w:w="10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9A42DD" w:rsidRPr="00305EF5" w:rsidRDefault="009A42DD" w:rsidP="00305EF5">
            <w:pPr>
              <w:spacing w:before="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305EF5">
              <w:rPr>
                <w:rFonts w:ascii="Arial" w:hAnsi="Arial" w:cs="Arial"/>
                <w:sz w:val="20"/>
              </w:rPr>
              <w:t>17.1</w:t>
            </w:r>
          </w:p>
        </w:tc>
        <w:tc>
          <w:tcPr>
            <w:tcW w:w="10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9A42DD" w:rsidRPr="00305EF5" w:rsidRDefault="009A42DD" w:rsidP="00305EF5">
            <w:pPr>
              <w:spacing w:before="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305EF5">
              <w:rPr>
                <w:rFonts w:ascii="Arial" w:hAnsi="Arial" w:cs="Arial"/>
                <w:sz w:val="20"/>
              </w:rPr>
              <w:t>9</w:t>
            </w:r>
          </w:p>
        </w:tc>
        <w:tc>
          <w:tcPr>
            <w:tcW w:w="10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9A42DD" w:rsidRPr="00305EF5" w:rsidRDefault="009A42DD" w:rsidP="00305EF5">
            <w:pPr>
              <w:spacing w:before="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305EF5">
              <w:rPr>
                <w:rFonts w:ascii="Arial" w:hAnsi="Arial" w:cs="Arial"/>
                <w:sz w:val="20"/>
              </w:rPr>
              <w:t>8.5</w:t>
            </w:r>
          </w:p>
        </w:tc>
        <w:tc>
          <w:tcPr>
            <w:tcW w:w="10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9A42DD" w:rsidRPr="00305EF5" w:rsidRDefault="009A42DD" w:rsidP="00305EF5">
            <w:pPr>
              <w:spacing w:before="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305EF5">
              <w:rPr>
                <w:rFonts w:ascii="Arial" w:hAnsi="Arial" w:cs="Arial"/>
                <w:sz w:val="20"/>
              </w:rPr>
              <w:t>18</w:t>
            </w:r>
          </w:p>
        </w:tc>
        <w:tc>
          <w:tcPr>
            <w:tcW w:w="10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9A42DD" w:rsidRPr="00305EF5" w:rsidRDefault="009A42DD" w:rsidP="00305EF5">
            <w:pPr>
              <w:spacing w:before="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305EF5">
              <w:rPr>
                <w:rFonts w:ascii="Arial" w:hAnsi="Arial" w:cs="Arial"/>
                <w:sz w:val="20"/>
              </w:rPr>
              <w:t>15.2</w:t>
            </w:r>
          </w:p>
        </w:tc>
        <w:tc>
          <w:tcPr>
            <w:tcW w:w="10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9A42DD" w:rsidRPr="00305EF5" w:rsidRDefault="009A42DD" w:rsidP="00305EF5">
            <w:pPr>
              <w:spacing w:before="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305EF5">
              <w:rPr>
                <w:rFonts w:ascii="Arial" w:hAnsi="Arial" w:cs="Arial"/>
                <w:sz w:val="20"/>
              </w:rPr>
              <w:t>4</w:t>
            </w:r>
          </w:p>
        </w:tc>
        <w:tc>
          <w:tcPr>
            <w:tcW w:w="10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9A42DD" w:rsidRPr="00305EF5" w:rsidRDefault="009A42DD" w:rsidP="00305EF5">
            <w:pPr>
              <w:spacing w:before="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305EF5">
              <w:rPr>
                <w:rFonts w:ascii="Arial" w:hAnsi="Arial" w:cs="Arial"/>
                <w:sz w:val="20"/>
              </w:rPr>
              <w:t>14.8</w:t>
            </w:r>
          </w:p>
        </w:tc>
      </w:tr>
      <w:tr w:rsidR="00305EF5" w:rsidRPr="00305EF5" w:rsidTr="00035F32">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3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42DD" w:rsidRPr="00305EF5" w:rsidRDefault="00DF71F1" w:rsidP="00305EF5">
            <w:pPr>
              <w:spacing w:before="0" w:line="240" w:lineRule="auto"/>
              <w:jc w:val="left"/>
              <w:rPr>
                <w:rFonts w:ascii="Arial" w:hAnsi="Arial" w:cs="Arial"/>
                <w:sz w:val="20"/>
              </w:rPr>
            </w:pPr>
            <w:r w:rsidRPr="00305EF5">
              <w:rPr>
                <w:rFonts w:ascii="Arial" w:hAnsi="Arial" w:cs="Arial"/>
                <w:sz w:val="20"/>
              </w:rPr>
              <w:t>Varianta č. 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42DD" w:rsidRPr="001E7597" w:rsidRDefault="009A42DD" w:rsidP="00305EF5">
            <w:pPr>
              <w:spacing w:before="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20"/>
              </w:rPr>
            </w:pPr>
            <w:r w:rsidRPr="001E7597">
              <w:rPr>
                <w:rFonts w:ascii="Arial" w:hAnsi="Arial" w:cs="Arial"/>
                <w:bCs/>
                <w:sz w:val="20"/>
              </w:rPr>
              <w:t>52</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42DD" w:rsidRPr="001E7597" w:rsidRDefault="009A42DD" w:rsidP="00305EF5">
            <w:pPr>
              <w:spacing w:before="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20"/>
              </w:rPr>
            </w:pPr>
            <w:r w:rsidRPr="001E7597">
              <w:rPr>
                <w:rFonts w:ascii="Arial" w:hAnsi="Arial" w:cs="Arial"/>
                <w:bCs/>
                <w:sz w:val="20"/>
              </w:rPr>
              <w:t>40</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42DD" w:rsidRPr="001E7597" w:rsidRDefault="009A42DD" w:rsidP="00305EF5">
            <w:pPr>
              <w:spacing w:before="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20"/>
              </w:rPr>
            </w:pPr>
            <w:r w:rsidRPr="001E7597">
              <w:rPr>
                <w:rFonts w:ascii="Arial" w:hAnsi="Arial" w:cs="Arial"/>
                <w:bCs/>
                <w:sz w:val="20"/>
              </w:rPr>
              <w:t>19.5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42DD" w:rsidRPr="001E7597" w:rsidRDefault="009A42DD" w:rsidP="00305EF5">
            <w:pPr>
              <w:spacing w:before="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20"/>
              </w:rPr>
            </w:pPr>
            <w:r w:rsidRPr="001E7597">
              <w:rPr>
                <w:rFonts w:ascii="Arial" w:hAnsi="Arial" w:cs="Arial"/>
                <w:bCs/>
                <w:sz w:val="20"/>
              </w:rPr>
              <w:t>29</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42DD" w:rsidRPr="001E7597" w:rsidRDefault="009A42DD" w:rsidP="00305EF5">
            <w:pPr>
              <w:spacing w:before="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20"/>
              </w:rPr>
            </w:pPr>
            <w:r w:rsidRPr="001E7597">
              <w:rPr>
                <w:rFonts w:ascii="Arial" w:hAnsi="Arial" w:cs="Arial"/>
                <w:bCs/>
                <w:sz w:val="20"/>
              </w:rPr>
              <w:t>27.35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42DD" w:rsidRPr="001E7597" w:rsidRDefault="009A42DD" w:rsidP="00305EF5">
            <w:pPr>
              <w:spacing w:before="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20"/>
              </w:rPr>
            </w:pPr>
            <w:r w:rsidRPr="001E7597">
              <w:rPr>
                <w:rFonts w:ascii="Arial" w:hAnsi="Arial" w:cs="Arial"/>
                <w:bCs/>
                <w:sz w:val="20"/>
              </w:rPr>
              <w:t>91</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42DD" w:rsidRPr="001E7597" w:rsidRDefault="009A42DD" w:rsidP="00305EF5">
            <w:pPr>
              <w:spacing w:before="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20"/>
              </w:rPr>
            </w:pPr>
            <w:r w:rsidRPr="001E7597">
              <w:rPr>
                <w:rFonts w:ascii="Arial" w:hAnsi="Arial" w:cs="Arial"/>
                <w:bCs/>
                <w:sz w:val="20"/>
              </w:rPr>
              <w:t>77.1</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42DD" w:rsidRPr="001E7597" w:rsidRDefault="009A42DD" w:rsidP="00305EF5">
            <w:pPr>
              <w:spacing w:before="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20"/>
              </w:rPr>
            </w:pPr>
            <w:r w:rsidRPr="001E7597">
              <w:rPr>
                <w:rFonts w:ascii="Arial" w:hAnsi="Arial" w:cs="Arial"/>
                <w:bCs/>
                <w:sz w:val="20"/>
              </w:rPr>
              <w:t>22</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42DD" w:rsidRPr="001E7597" w:rsidRDefault="009A42DD" w:rsidP="00305EF5">
            <w:pPr>
              <w:spacing w:before="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20"/>
              </w:rPr>
            </w:pPr>
            <w:r w:rsidRPr="001E7597">
              <w:rPr>
                <w:rFonts w:ascii="Arial" w:hAnsi="Arial" w:cs="Arial"/>
                <w:bCs/>
                <w:sz w:val="20"/>
              </w:rPr>
              <w:t>81.5</w:t>
            </w:r>
          </w:p>
        </w:tc>
      </w:tr>
      <w:tr w:rsidR="00D06609" w:rsidRPr="00305EF5" w:rsidTr="00035F32">
        <w:trPr>
          <w:trHeight w:val="397"/>
        </w:trPr>
        <w:tc>
          <w:tcPr>
            <w:cnfStyle w:val="001000000000" w:firstRow="0" w:lastRow="0" w:firstColumn="1" w:lastColumn="0" w:oddVBand="0" w:evenVBand="0" w:oddHBand="0" w:evenHBand="0" w:firstRowFirstColumn="0" w:firstRowLastColumn="0" w:lastRowFirstColumn="0" w:lastRowLastColumn="0"/>
            <w:tcW w:w="232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9A42DD" w:rsidRPr="00305EF5" w:rsidRDefault="007D5026" w:rsidP="00305EF5">
            <w:pPr>
              <w:spacing w:before="0" w:line="240" w:lineRule="auto"/>
              <w:jc w:val="left"/>
              <w:rPr>
                <w:rFonts w:ascii="Arial" w:hAnsi="Arial" w:cs="Arial"/>
                <w:sz w:val="20"/>
              </w:rPr>
            </w:pPr>
            <w:r w:rsidRPr="00305EF5">
              <w:rPr>
                <w:rFonts w:ascii="Arial" w:hAnsi="Arial" w:cs="Arial"/>
                <w:sz w:val="20"/>
              </w:rPr>
              <w:t>Celkem</w:t>
            </w:r>
          </w:p>
        </w:tc>
        <w:tc>
          <w:tcPr>
            <w:tcW w:w="141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9A42DD" w:rsidRPr="00305EF5" w:rsidRDefault="009A42DD" w:rsidP="00305EF5">
            <w:pPr>
              <w:spacing w:before="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305EF5">
              <w:rPr>
                <w:rFonts w:ascii="Arial" w:hAnsi="Arial" w:cs="Arial"/>
                <w:sz w:val="20"/>
              </w:rPr>
              <w:t>76</w:t>
            </w:r>
          </w:p>
        </w:tc>
        <w:tc>
          <w:tcPr>
            <w:tcW w:w="107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9A42DD" w:rsidRPr="00305EF5" w:rsidRDefault="009A42DD" w:rsidP="00305EF5">
            <w:pPr>
              <w:spacing w:before="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305EF5">
              <w:rPr>
                <w:rFonts w:ascii="Arial" w:hAnsi="Arial" w:cs="Arial"/>
                <w:sz w:val="20"/>
              </w:rPr>
              <w:t>205</w:t>
            </w:r>
          </w:p>
        </w:tc>
        <w:tc>
          <w:tcPr>
            <w:tcW w:w="107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9A42DD" w:rsidRPr="00305EF5" w:rsidRDefault="009A42DD" w:rsidP="00305EF5">
            <w:pPr>
              <w:spacing w:before="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0"/>
              </w:rPr>
            </w:pPr>
          </w:p>
        </w:tc>
        <w:tc>
          <w:tcPr>
            <w:tcW w:w="107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9A42DD" w:rsidRPr="00305EF5" w:rsidRDefault="009A42DD" w:rsidP="00305EF5">
            <w:pPr>
              <w:spacing w:before="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305EF5">
              <w:rPr>
                <w:rFonts w:ascii="Arial" w:hAnsi="Arial" w:cs="Arial"/>
                <w:sz w:val="20"/>
              </w:rPr>
              <w:t>106</w:t>
            </w:r>
          </w:p>
        </w:tc>
        <w:tc>
          <w:tcPr>
            <w:tcW w:w="107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9A42DD" w:rsidRPr="00305EF5" w:rsidRDefault="009A42DD" w:rsidP="00305EF5">
            <w:pPr>
              <w:spacing w:before="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0"/>
              </w:rPr>
            </w:pPr>
          </w:p>
        </w:tc>
        <w:tc>
          <w:tcPr>
            <w:tcW w:w="107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9A42DD" w:rsidRPr="00305EF5" w:rsidRDefault="009A42DD" w:rsidP="00305EF5">
            <w:pPr>
              <w:spacing w:before="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305EF5">
              <w:rPr>
                <w:rFonts w:ascii="Arial" w:hAnsi="Arial" w:cs="Arial"/>
                <w:sz w:val="20"/>
              </w:rPr>
              <w:t>118</w:t>
            </w:r>
          </w:p>
        </w:tc>
        <w:tc>
          <w:tcPr>
            <w:tcW w:w="107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9A42DD" w:rsidRPr="00305EF5" w:rsidRDefault="009A42DD" w:rsidP="00305EF5">
            <w:pPr>
              <w:spacing w:before="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0"/>
              </w:rPr>
            </w:pPr>
          </w:p>
        </w:tc>
        <w:tc>
          <w:tcPr>
            <w:tcW w:w="107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9A42DD" w:rsidRPr="00305EF5" w:rsidRDefault="009A42DD" w:rsidP="00305EF5">
            <w:pPr>
              <w:spacing w:before="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305EF5">
              <w:rPr>
                <w:rFonts w:ascii="Arial" w:hAnsi="Arial" w:cs="Arial"/>
                <w:sz w:val="20"/>
              </w:rPr>
              <w:t>27</w:t>
            </w:r>
          </w:p>
        </w:tc>
        <w:tc>
          <w:tcPr>
            <w:tcW w:w="107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9A42DD" w:rsidRPr="00305EF5" w:rsidRDefault="009A42DD" w:rsidP="00305EF5">
            <w:pPr>
              <w:spacing w:before="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0"/>
              </w:rPr>
            </w:pPr>
          </w:p>
        </w:tc>
      </w:tr>
    </w:tbl>
    <w:p w:rsidR="004E0E4A" w:rsidRPr="009377B8" w:rsidRDefault="004E0E4A" w:rsidP="004E0E4A">
      <w:pPr>
        <w:spacing w:before="60" w:line="240" w:lineRule="auto"/>
        <w:ind w:left="142"/>
        <w:rPr>
          <w:rFonts w:ascii="Arial" w:hAnsi="Arial" w:cs="Arial"/>
          <w:sz w:val="18"/>
          <w:szCs w:val="18"/>
        </w:rPr>
      </w:pPr>
      <w:r w:rsidRPr="009377B8">
        <w:rPr>
          <w:rFonts w:ascii="Arial" w:hAnsi="Arial" w:cs="Arial"/>
          <w:sz w:val="18"/>
          <w:szCs w:val="18"/>
        </w:rPr>
        <w:t xml:space="preserve">Zdroj: </w:t>
      </w:r>
      <w:r>
        <w:rPr>
          <w:rFonts w:ascii="Arial" w:hAnsi="Arial" w:cs="Arial"/>
          <w:sz w:val="18"/>
          <w:szCs w:val="18"/>
        </w:rPr>
        <w:t>Evropská komise</w:t>
      </w:r>
    </w:p>
    <w:p w:rsidR="00B22CAB" w:rsidRPr="00D06609" w:rsidRDefault="00B22CAB" w:rsidP="004E0E4A">
      <w:pPr>
        <w:spacing w:before="60" w:line="240" w:lineRule="auto"/>
        <w:ind w:left="652" w:hanging="652"/>
        <w:jc w:val="left"/>
        <w:rPr>
          <w:rFonts w:ascii="Arial" w:hAnsi="Arial" w:cs="Arial"/>
          <w:sz w:val="20"/>
          <w:szCs w:val="20"/>
        </w:rPr>
        <w:sectPr w:rsidR="00B22CAB" w:rsidRPr="00D06609" w:rsidSect="00711B14">
          <w:pgSz w:w="16838" w:h="11906" w:orient="landscape"/>
          <w:pgMar w:top="1417" w:right="1417" w:bottom="1417" w:left="1417" w:header="708" w:footer="708" w:gutter="0"/>
          <w:cols w:space="708"/>
          <w:docGrid w:linePitch="360"/>
        </w:sectPr>
      </w:pPr>
    </w:p>
    <w:p w:rsidR="00E80EED" w:rsidRPr="00CC5D9C" w:rsidRDefault="00445836" w:rsidP="00CC5D9C">
      <w:pPr>
        <w:pStyle w:val="Nadpis1"/>
      </w:pPr>
      <w:bookmarkStart w:id="28" w:name="_Toc401148477"/>
      <w:bookmarkStart w:id="29" w:name="_Toc409196601"/>
      <w:r w:rsidRPr="00CC5D9C">
        <w:lastRenderedPageBreak/>
        <w:t>Předběžné podmínky</w:t>
      </w:r>
      <w:bookmarkEnd w:id="28"/>
      <w:bookmarkEnd w:id="29"/>
    </w:p>
    <w:p w:rsidR="000871A9" w:rsidRPr="00912902" w:rsidRDefault="000871A9" w:rsidP="005165B7">
      <w:pPr>
        <w:keepNext/>
        <w:keepLines/>
        <w:pBdr>
          <w:top w:val="nil"/>
          <w:left w:val="nil"/>
          <w:bottom w:val="nil"/>
          <w:right w:val="nil"/>
          <w:between w:val="nil"/>
          <w:bar w:val="nil"/>
        </w:pBdr>
        <w:spacing w:before="240"/>
        <w:outlineLvl w:val="2"/>
        <w:rPr>
          <w:rFonts w:ascii="Arial" w:eastAsia="Times New Roman" w:hAnsi="Arial" w:cs="Arial"/>
          <w:b/>
          <w:bCs/>
          <w:sz w:val="20"/>
          <w:szCs w:val="20"/>
          <w:bdr w:val="nil"/>
        </w:rPr>
      </w:pPr>
      <w:bookmarkStart w:id="30" w:name="_Toc401823958"/>
      <w:bookmarkStart w:id="31" w:name="_Toc401839063"/>
      <w:bookmarkStart w:id="32" w:name="_Toc401842246"/>
      <w:bookmarkStart w:id="33" w:name="_Toc409196602"/>
      <w:bookmarkStart w:id="34" w:name="_Toc401148478"/>
      <w:r w:rsidRPr="00660488">
        <w:rPr>
          <w:rFonts w:ascii="Arial" w:eastAsia="Times New Roman" w:hAnsi="Arial" w:cs="Arial"/>
          <w:b/>
          <w:bCs/>
          <w:u w:val="single"/>
          <w:bdr w:val="nil"/>
        </w:rPr>
        <w:t>Veřejné zakázky</w:t>
      </w:r>
      <w:bookmarkEnd w:id="30"/>
      <w:bookmarkEnd w:id="31"/>
      <w:bookmarkEnd w:id="32"/>
      <w:r w:rsidRPr="00C70C95">
        <w:rPr>
          <w:rFonts w:ascii="Arial" w:eastAsia="Times New Roman" w:hAnsi="Arial" w:cs="Arial"/>
          <w:b/>
          <w:bCs/>
          <w:bdr w:val="nil"/>
        </w:rPr>
        <w:t xml:space="preserve"> </w:t>
      </w:r>
      <w:r w:rsidR="00C70C95" w:rsidRPr="001D1225">
        <w:rPr>
          <w:rFonts w:ascii="Arial" w:eastAsia="Times New Roman" w:hAnsi="Arial" w:cs="Arial"/>
        </w:rPr>
        <w:t xml:space="preserve">– </w:t>
      </w:r>
      <w:r w:rsidRPr="00B10571">
        <w:rPr>
          <w:rFonts w:ascii="Arial" w:eastAsia="Times New Roman" w:hAnsi="Arial" w:cs="Arial"/>
          <w:b/>
          <w:bCs/>
          <w:bdr w:val="nil"/>
        </w:rPr>
        <w:t>O4</w:t>
      </w:r>
      <w:r>
        <w:rPr>
          <w:rFonts w:ascii="Arial" w:eastAsia="Times New Roman" w:hAnsi="Arial" w:cs="Arial"/>
          <w:b/>
          <w:bCs/>
          <w:sz w:val="20"/>
          <w:szCs w:val="20"/>
          <w:bdr w:val="nil"/>
        </w:rPr>
        <w:t xml:space="preserve"> </w:t>
      </w:r>
      <w:r>
        <w:rPr>
          <w:rFonts w:ascii="Arial" w:eastAsia="Times New Roman" w:hAnsi="Arial" w:cs="Arial"/>
          <w:bCs/>
          <w:sz w:val="20"/>
          <w:szCs w:val="20"/>
          <w:bdr w:val="nil"/>
        </w:rPr>
        <w:t xml:space="preserve">(gestor: </w:t>
      </w:r>
      <w:r w:rsidRPr="00660488">
        <w:rPr>
          <w:rFonts w:ascii="Arial" w:eastAsia="Times New Roman" w:hAnsi="Arial" w:cs="Arial"/>
          <w:bCs/>
          <w:sz w:val="20"/>
          <w:szCs w:val="20"/>
          <w:bdr w:val="nil"/>
        </w:rPr>
        <w:t>ministerstvo pro místní rozvoj)</w:t>
      </w:r>
      <w:bookmarkEnd w:id="33"/>
    </w:p>
    <w:p w:rsidR="00243DE3" w:rsidRDefault="00243DE3" w:rsidP="00243DE3">
      <w:pPr>
        <w:numPr>
          <w:ilvl w:val="0"/>
          <w:numId w:val="6"/>
        </w:numPr>
        <w:pBdr>
          <w:top w:val="nil"/>
          <w:left w:val="nil"/>
          <w:bottom w:val="nil"/>
          <w:right w:val="nil"/>
          <w:between w:val="nil"/>
          <w:bar w:val="nil"/>
        </w:pBdr>
        <w:spacing w:before="0"/>
        <w:ind w:left="426" w:hanging="357"/>
        <w:rPr>
          <w:rFonts w:ascii="Arial" w:eastAsia="Times New Roman" w:hAnsi="Arial" w:cs="Arial"/>
          <w:sz w:val="20"/>
          <w:szCs w:val="20"/>
          <w:bdr w:val="nil"/>
        </w:rPr>
      </w:pPr>
      <w:bookmarkStart w:id="35" w:name="_Toc401823959"/>
      <w:bookmarkStart w:id="36" w:name="_Toc401839064"/>
      <w:bookmarkStart w:id="37" w:name="_Toc401842247"/>
      <w:r>
        <w:rPr>
          <w:rFonts w:ascii="Arial" w:eastAsia="Times New Roman" w:hAnsi="Arial" w:cs="Arial"/>
          <w:sz w:val="20"/>
          <w:szCs w:val="20"/>
          <w:bdr w:val="nil"/>
        </w:rPr>
        <w:t xml:space="preserve">V návaznosti na videokonferenci </w:t>
      </w:r>
      <w:r w:rsidRPr="0035085A">
        <w:rPr>
          <w:rFonts w:ascii="Arial" w:eastAsia="Times New Roman" w:hAnsi="Arial" w:cs="Arial"/>
          <w:sz w:val="20"/>
          <w:szCs w:val="20"/>
          <w:bdr w:val="nil"/>
        </w:rPr>
        <w:t>zástupců EK a MMR</w:t>
      </w:r>
      <w:r>
        <w:rPr>
          <w:rFonts w:ascii="Arial" w:eastAsia="Times New Roman" w:hAnsi="Arial" w:cs="Arial"/>
          <w:sz w:val="20"/>
          <w:szCs w:val="20"/>
          <w:bdr w:val="nil"/>
        </w:rPr>
        <w:t xml:space="preserve">, která </w:t>
      </w:r>
      <w:r w:rsidRPr="0035085A">
        <w:rPr>
          <w:rFonts w:ascii="Arial" w:eastAsia="Times New Roman" w:hAnsi="Arial" w:cs="Arial"/>
          <w:sz w:val="20"/>
          <w:szCs w:val="20"/>
          <w:bdr w:val="nil"/>
        </w:rPr>
        <w:t>se uskutečnila</w:t>
      </w:r>
      <w:r w:rsidRPr="001032EB">
        <w:rPr>
          <w:rFonts w:ascii="Arial" w:eastAsia="Times New Roman" w:hAnsi="Arial" w:cs="Arial"/>
          <w:sz w:val="20"/>
          <w:szCs w:val="20"/>
          <w:bdr w:val="nil"/>
        </w:rPr>
        <w:t xml:space="preserve"> </w:t>
      </w:r>
      <w:r>
        <w:rPr>
          <w:rFonts w:ascii="Arial" w:eastAsia="Times New Roman" w:hAnsi="Arial" w:cs="Arial"/>
          <w:sz w:val="20"/>
          <w:szCs w:val="20"/>
          <w:bdr w:val="nil"/>
        </w:rPr>
        <w:t>d</w:t>
      </w:r>
      <w:r w:rsidRPr="0035085A">
        <w:rPr>
          <w:rFonts w:ascii="Arial" w:eastAsia="Times New Roman" w:hAnsi="Arial" w:cs="Arial"/>
          <w:sz w:val="20"/>
          <w:szCs w:val="20"/>
          <w:bdr w:val="nil"/>
        </w:rPr>
        <w:t>ne 10. prosince 2014</w:t>
      </w:r>
      <w:r>
        <w:rPr>
          <w:rFonts w:ascii="Arial" w:eastAsia="Times New Roman" w:hAnsi="Arial" w:cs="Arial"/>
          <w:sz w:val="20"/>
          <w:szCs w:val="20"/>
          <w:bdr w:val="nil"/>
        </w:rPr>
        <w:t xml:space="preserve"> a jejímž cílem bylo </w:t>
      </w:r>
      <w:r w:rsidRPr="0035085A">
        <w:rPr>
          <w:rFonts w:ascii="Arial" w:eastAsia="Times New Roman" w:hAnsi="Arial" w:cs="Arial"/>
          <w:sz w:val="20"/>
          <w:szCs w:val="20"/>
          <w:bdr w:val="nil"/>
        </w:rPr>
        <w:t>dospět k finální verzi Akčního plánu</w:t>
      </w:r>
      <w:r>
        <w:rPr>
          <w:rFonts w:ascii="Arial" w:eastAsia="Times New Roman" w:hAnsi="Arial" w:cs="Arial"/>
          <w:sz w:val="20"/>
          <w:szCs w:val="20"/>
          <w:bdr w:val="nil"/>
        </w:rPr>
        <w:t>, došlo k finalizaci úprav Akčního plánu plnění této předběžné podmínky. EK nicméně nadále požaduje, aby byla do Akčního plánu doplněna povinnost ČR zavést centrální registr smluv.</w:t>
      </w:r>
    </w:p>
    <w:p w:rsidR="006D7C2E" w:rsidRPr="006D7C2E" w:rsidRDefault="00243DE3" w:rsidP="006D7C2E">
      <w:pPr>
        <w:numPr>
          <w:ilvl w:val="0"/>
          <w:numId w:val="6"/>
        </w:numPr>
        <w:pBdr>
          <w:top w:val="nil"/>
          <w:left w:val="nil"/>
          <w:bottom w:val="nil"/>
          <w:right w:val="nil"/>
          <w:between w:val="nil"/>
          <w:bar w:val="nil"/>
        </w:pBdr>
        <w:spacing w:before="0"/>
        <w:ind w:left="426" w:hanging="357"/>
        <w:rPr>
          <w:rFonts w:ascii="Arial" w:eastAsia="Times New Roman" w:hAnsi="Arial" w:cs="Arial"/>
          <w:sz w:val="18"/>
          <w:szCs w:val="20"/>
          <w:bdr w:val="nil"/>
        </w:rPr>
      </w:pPr>
      <w:r w:rsidRPr="00C70C95">
        <w:rPr>
          <w:rFonts w:ascii="Arial" w:hAnsi="Arial"/>
          <w:color w:val="000000"/>
          <w:sz w:val="20"/>
        </w:rPr>
        <w:t xml:space="preserve">Dne </w:t>
      </w:r>
      <w:r w:rsidR="006D7C2E" w:rsidRPr="008B2D30">
        <w:rPr>
          <w:rFonts w:ascii="Arial" w:eastAsia="Times New Roman" w:hAnsi="Arial" w:cs="Arial"/>
          <w:color w:val="000000"/>
          <w:sz w:val="20"/>
        </w:rPr>
        <w:t>1</w:t>
      </w:r>
      <w:r w:rsidR="006D7C2E">
        <w:rPr>
          <w:rFonts w:ascii="Arial" w:eastAsia="Times New Roman" w:hAnsi="Arial" w:cs="Arial"/>
          <w:color w:val="000000"/>
          <w:sz w:val="20"/>
        </w:rPr>
        <w:t>6</w:t>
      </w:r>
      <w:r w:rsidR="006D7C2E" w:rsidRPr="008B2D30">
        <w:rPr>
          <w:rFonts w:ascii="Arial" w:eastAsia="Times New Roman" w:hAnsi="Arial" w:cs="Arial"/>
          <w:color w:val="000000"/>
          <w:sz w:val="20"/>
        </w:rPr>
        <w:t>. prosince 2014</w:t>
      </w:r>
      <w:r w:rsidR="006D7C2E">
        <w:rPr>
          <w:rFonts w:ascii="Arial" w:eastAsia="Times New Roman" w:hAnsi="Arial" w:cs="Arial"/>
          <w:color w:val="000000"/>
          <w:sz w:val="20"/>
        </w:rPr>
        <w:t xml:space="preserve"> se konalo 2. jednání Pracovní skupiny Veřejné zakázky, na kterém byly uvedeny informace o technické novele zákona č. 137/2006 Sb., o veřejných zakázkách (dále „ZVZ“), ale i o přípravě nové legislativy – v návaznosti na zadávací směrnice EU. Gestor zákona prezentoval právní rozbor tzv. broadcasting výjimky ze ZVZ a informoval o postoji EK. Součástí jednání byla i prezentace stanovisek k aktuálním výkladovým a aplikačním otázkám ZVZ. </w:t>
      </w:r>
    </w:p>
    <w:p w:rsidR="00243DE3" w:rsidRDefault="006D7C2E" w:rsidP="00243DE3">
      <w:pPr>
        <w:numPr>
          <w:ilvl w:val="0"/>
          <w:numId w:val="6"/>
        </w:numPr>
        <w:pBdr>
          <w:top w:val="nil"/>
          <w:left w:val="nil"/>
          <w:bottom w:val="nil"/>
          <w:right w:val="nil"/>
          <w:between w:val="nil"/>
          <w:bar w:val="nil"/>
        </w:pBdr>
        <w:spacing w:before="0"/>
        <w:ind w:left="426" w:hanging="357"/>
        <w:rPr>
          <w:rFonts w:ascii="Arial" w:eastAsia="Times New Roman" w:hAnsi="Arial" w:cs="Arial"/>
          <w:sz w:val="20"/>
          <w:szCs w:val="20"/>
          <w:bdr w:val="nil"/>
        </w:rPr>
      </w:pPr>
      <w:r>
        <w:rPr>
          <w:rFonts w:ascii="Arial" w:eastAsia="Times New Roman" w:hAnsi="Arial" w:cs="Arial"/>
          <w:sz w:val="20"/>
          <w:szCs w:val="20"/>
          <w:bdr w:val="nil"/>
        </w:rPr>
        <w:t xml:space="preserve">Dne </w:t>
      </w:r>
      <w:r w:rsidR="00243DE3">
        <w:rPr>
          <w:rFonts w:ascii="Arial" w:eastAsia="Times New Roman" w:hAnsi="Arial" w:cs="Arial"/>
          <w:sz w:val="20"/>
          <w:szCs w:val="20"/>
          <w:bdr w:val="nil"/>
        </w:rPr>
        <w:t xml:space="preserve">5. ledna 2015 se </w:t>
      </w:r>
      <w:r>
        <w:rPr>
          <w:rFonts w:ascii="Arial" w:eastAsia="Times New Roman" w:hAnsi="Arial" w:cs="Arial"/>
          <w:sz w:val="20"/>
          <w:szCs w:val="20"/>
          <w:bdr w:val="nil"/>
        </w:rPr>
        <w:t>uskutečnilo</w:t>
      </w:r>
      <w:r w:rsidR="00243DE3">
        <w:rPr>
          <w:rFonts w:ascii="Arial" w:eastAsia="Times New Roman" w:hAnsi="Arial" w:cs="Arial"/>
          <w:sz w:val="20"/>
          <w:szCs w:val="20"/>
          <w:bdr w:val="nil"/>
        </w:rPr>
        <w:t xml:space="preserve"> společné jednání zástupců MMR, ministerstva vnitra a Úřadu vlády (jako garanta protikorupční strategie), s cílem naleznout uspokojivé řešení</w:t>
      </w:r>
      <w:r>
        <w:rPr>
          <w:rFonts w:ascii="Arial" w:eastAsia="Times New Roman" w:hAnsi="Arial" w:cs="Arial"/>
          <w:sz w:val="20"/>
          <w:szCs w:val="20"/>
          <w:bdr w:val="nil"/>
        </w:rPr>
        <w:t xml:space="preserve"> k problematice zavedení centrálního registru smluv</w:t>
      </w:r>
      <w:r w:rsidR="002C07D5">
        <w:rPr>
          <w:rFonts w:ascii="Arial" w:eastAsia="Times New Roman" w:hAnsi="Arial" w:cs="Arial"/>
          <w:sz w:val="20"/>
          <w:szCs w:val="20"/>
          <w:bdr w:val="nil"/>
        </w:rPr>
        <w:t xml:space="preserve">. Na tomto jednání bylo dohodnuto, že požadavek </w:t>
      </w:r>
      <w:r w:rsidR="002D4271">
        <w:rPr>
          <w:rFonts w:ascii="Arial" w:eastAsia="Times New Roman" w:hAnsi="Arial" w:cs="Arial"/>
          <w:sz w:val="20"/>
          <w:szCs w:val="20"/>
          <w:bdr w:val="nil"/>
        </w:rPr>
        <w:t>EK</w:t>
      </w:r>
      <w:r w:rsidR="002C07D5">
        <w:rPr>
          <w:rFonts w:ascii="Arial" w:eastAsia="Times New Roman" w:hAnsi="Arial" w:cs="Arial"/>
          <w:sz w:val="20"/>
          <w:szCs w:val="20"/>
          <w:bdr w:val="nil"/>
        </w:rPr>
        <w:t xml:space="preserve"> bude v této fázi odmítnut s ohledem zejména na irelevanci ve vztahu k předběžným podmínkám. Momentálně je očekávána reakce ze strany EK.</w:t>
      </w:r>
    </w:p>
    <w:p w:rsidR="000871A9" w:rsidRPr="00912902" w:rsidRDefault="000871A9" w:rsidP="005165B7">
      <w:pPr>
        <w:keepNext/>
        <w:keepLines/>
        <w:pBdr>
          <w:top w:val="nil"/>
          <w:left w:val="nil"/>
          <w:bottom w:val="nil"/>
          <w:right w:val="nil"/>
          <w:between w:val="nil"/>
          <w:bar w:val="nil"/>
        </w:pBdr>
        <w:spacing w:before="240"/>
        <w:outlineLvl w:val="2"/>
        <w:rPr>
          <w:rFonts w:ascii="Arial" w:eastAsia="Times New Roman" w:hAnsi="Arial" w:cs="Arial"/>
          <w:b/>
          <w:bCs/>
          <w:sz w:val="20"/>
          <w:szCs w:val="20"/>
          <w:bdr w:val="nil"/>
        </w:rPr>
      </w:pPr>
      <w:bookmarkStart w:id="38" w:name="_Toc409196603"/>
      <w:r w:rsidRPr="00660488">
        <w:rPr>
          <w:rFonts w:ascii="Arial" w:eastAsia="Times New Roman" w:hAnsi="Arial" w:cs="Arial"/>
          <w:b/>
          <w:bCs/>
          <w:u w:val="single"/>
          <w:bdr w:val="nil"/>
        </w:rPr>
        <w:t>Veřejná podpora</w:t>
      </w:r>
      <w:bookmarkEnd w:id="35"/>
      <w:bookmarkEnd w:id="36"/>
      <w:bookmarkEnd w:id="37"/>
      <w:r w:rsidRPr="00B10571">
        <w:rPr>
          <w:rFonts w:ascii="Arial" w:eastAsia="Times New Roman" w:hAnsi="Arial" w:cs="Arial"/>
          <w:b/>
          <w:bCs/>
          <w:bdr w:val="nil"/>
        </w:rPr>
        <w:t xml:space="preserve"> </w:t>
      </w:r>
      <w:r w:rsidR="00C70C95" w:rsidRPr="001D1225">
        <w:rPr>
          <w:rFonts w:ascii="Arial" w:eastAsia="Times New Roman" w:hAnsi="Arial" w:cs="Arial"/>
        </w:rPr>
        <w:t xml:space="preserve">– </w:t>
      </w:r>
      <w:r w:rsidRPr="00B10571">
        <w:rPr>
          <w:rFonts w:ascii="Arial" w:eastAsia="Times New Roman" w:hAnsi="Arial" w:cs="Arial"/>
          <w:b/>
          <w:bCs/>
          <w:bdr w:val="nil"/>
        </w:rPr>
        <w:t>O5</w:t>
      </w:r>
      <w:r w:rsidRPr="00B10571">
        <w:rPr>
          <w:rFonts w:ascii="Arial" w:eastAsia="Times New Roman" w:hAnsi="Arial" w:cs="Arial"/>
          <w:b/>
          <w:bCs/>
          <w:sz w:val="20"/>
          <w:szCs w:val="20"/>
          <w:bdr w:val="nil"/>
        </w:rPr>
        <w:t xml:space="preserve"> </w:t>
      </w:r>
      <w:r>
        <w:rPr>
          <w:rFonts w:ascii="Arial" w:eastAsia="Times New Roman" w:hAnsi="Arial" w:cs="Arial"/>
          <w:bCs/>
          <w:sz w:val="20"/>
          <w:szCs w:val="20"/>
          <w:bdr w:val="nil"/>
        </w:rPr>
        <w:t xml:space="preserve">(gestor: </w:t>
      </w:r>
      <w:r w:rsidRPr="00660488">
        <w:rPr>
          <w:rFonts w:ascii="Arial" w:eastAsia="Times New Roman" w:hAnsi="Arial" w:cs="Arial"/>
          <w:bCs/>
          <w:sz w:val="20"/>
          <w:szCs w:val="20"/>
          <w:bdr w:val="nil"/>
        </w:rPr>
        <w:t>ministerstvo pro místní rozvoj)</w:t>
      </w:r>
      <w:bookmarkEnd w:id="38"/>
    </w:p>
    <w:p w:rsidR="00243DE3" w:rsidRPr="003626A9" w:rsidRDefault="00243DE3" w:rsidP="00243DE3">
      <w:pPr>
        <w:numPr>
          <w:ilvl w:val="0"/>
          <w:numId w:val="6"/>
        </w:numPr>
        <w:pBdr>
          <w:top w:val="nil"/>
          <w:left w:val="nil"/>
          <w:bottom w:val="nil"/>
          <w:right w:val="nil"/>
          <w:between w:val="nil"/>
          <w:bar w:val="nil"/>
        </w:pBdr>
        <w:spacing w:before="0"/>
        <w:ind w:left="426" w:hanging="357"/>
        <w:rPr>
          <w:rFonts w:ascii="Arial" w:eastAsia="Times New Roman" w:hAnsi="Arial" w:cs="Arial"/>
          <w:sz w:val="20"/>
          <w:szCs w:val="20"/>
          <w:bdr w:val="nil"/>
        </w:rPr>
      </w:pPr>
      <w:bookmarkStart w:id="39" w:name="_Toc401823960"/>
      <w:bookmarkStart w:id="40" w:name="_Toc401839065"/>
      <w:bookmarkStart w:id="41" w:name="_Toc401842248"/>
      <w:r>
        <w:rPr>
          <w:rFonts w:ascii="Arial" w:eastAsia="Times New Roman" w:hAnsi="Arial" w:cs="Arial"/>
          <w:sz w:val="20"/>
          <w:szCs w:val="20"/>
          <w:bdr w:val="nil"/>
        </w:rPr>
        <w:t>V návaznosti na připomínky EK, došlo k dalšímu rozpracování této oblasti</w:t>
      </w:r>
      <w:r w:rsidR="00C70C95">
        <w:rPr>
          <w:rFonts w:ascii="Arial" w:eastAsia="Times New Roman" w:hAnsi="Arial" w:cs="Arial"/>
          <w:sz w:val="20"/>
          <w:szCs w:val="20"/>
          <w:bdr w:val="nil"/>
        </w:rPr>
        <w:t>,</w:t>
      </w:r>
      <w:r>
        <w:rPr>
          <w:rFonts w:ascii="Arial" w:eastAsia="Times New Roman" w:hAnsi="Arial" w:cs="Arial"/>
          <w:sz w:val="20"/>
          <w:szCs w:val="20"/>
          <w:bdr w:val="nil"/>
        </w:rPr>
        <w:t xml:space="preserve"> a to zejména na</w:t>
      </w:r>
      <w:r w:rsidR="00C70C95">
        <w:rPr>
          <w:rFonts w:ascii="Arial" w:eastAsia="Times New Roman" w:hAnsi="Arial" w:cs="Arial"/>
          <w:sz w:val="20"/>
          <w:szCs w:val="20"/>
          <w:bdr w:val="nil"/>
        </w:rPr>
        <w:t> </w:t>
      </w:r>
      <w:r>
        <w:rPr>
          <w:rFonts w:ascii="Arial" w:eastAsia="Times New Roman" w:hAnsi="Arial" w:cs="Arial"/>
          <w:sz w:val="20"/>
          <w:szCs w:val="20"/>
          <w:bdr w:val="nil"/>
        </w:rPr>
        <w:t>úrovni programů, což potvrzují proběhnuvší jednání gestora veřejné podpory se zástupci řídicích orgánů.</w:t>
      </w:r>
    </w:p>
    <w:p w:rsidR="000871A9" w:rsidRPr="00912902" w:rsidRDefault="000871A9" w:rsidP="005165B7">
      <w:pPr>
        <w:keepNext/>
        <w:keepLines/>
        <w:pBdr>
          <w:top w:val="nil"/>
          <w:left w:val="nil"/>
          <w:bottom w:val="nil"/>
          <w:right w:val="nil"/>
          <w:between w:val="nil"/>
          <w:bar w:val="nil"/>
        </w:pBdr>
        <w:spacing w:before="240"/>
        <w:outlineLvl w:val="2"/>
        <w:rPr>
          <w:rFonts w:ascii="Arial" w:eastAsia="Times New Roman" w:hAnsi="Arial" w:cs="Arial"/>
          <w:b/>
          <w:bCs/>
          <w:sz w:val="20"/>
          <w:szCs w:val="20"/>
          <w:bdr w:val="nil"/>
        </w:rPr>
      </w:pPr>
      <w:bookmarkStart w:id="42" w:name="_Toc409196604"/>
      <w:r w:rsidRPr="00660488">
        <w:rPr>
          <w:rFonts w:ascii="Arial" w:eastAsia="Times New Roman" w:hAnsi="Arial" w:cs="Arial"/>
          <w:b/>
          <w:bCs/>
          <w:u w:val="single"/>
          <w:bdr w:val="nil"/>
        </w:rPr>
        <w:t>EIA</w:t>
      </w:r>
      <w:bookmarkEnd w:id="39"/>
      <w:bookmarkEnd w:id="40"/>
      <w:bookmarkEnd w:id="41"/>
      <w:r w:rsidRPr="00C70C95">
        <w:rPr>
          <w:rFonts w:ascii="Arial" w:eastAsia="Times New Roman" w:hAnsi="Arial" w:cs="Arial"/>
          <w:b/>
          <w:bCs/>
          <w:bdr w:val="nil"/>
        </w:rPr>
        <w:t xml:space="preserve"> </w:t>
      </w:r>
      <w:r w:rsidR="00C70C95" w:rsidRPr="001D1225">
        <w:rPr>
          <w:rFonts w:ascii="Arial" w:eastAsia="Times New Roman" w:hAnsi="Arial" w:cs="Arial"/>
        </w:rPr>
        <w:t xml:space="preserve">– </w:t>
      </w:r>
      <w:r w:rsidRPr="00B10571">
        <w:rPr>
          <w:rFonts w:ascii="Arial" w:eastAsia="Times New Roman" w:hAnsi="Arial" w:cs="Arial"/>
          <w:b/>
          <w:bCs/>
          <w:bdr w:val="nil"/>
        </w:rPr>
        <w:t>O6</w:t>
      </w:r>
      <w:r>
        <w:rPr>
          <w:rFonts w:ascii="Arial" w:eastAsia="Times New Roman" w:hAnsi="Arial" w:cs="Arial"/>
          <w:b/>
          <w:bCs/>
          <w:sz w:val="20"/>
          <w:szCs w:val="20"/>
          <w:bdr w:val="nil"/>
        </w:rPr>
        <w:t xml:space="preserve"> </w:t>
      </w:r>
      <w:r>
        <w:rPr>
          <w:rFonts w:ascii="Arial" w:eastAsia="Times New Roman" w:hAnsi="Arial" w:cs="Arial"/>
          <w:bCs/>
          <w:sz w:val="20"/>
          <w:szCs w:val="20"/>
          <w:bdr w:val="nil"/>
        </w:rPr>
        <w:t xml:space="preserve">(gestor: </w:t>
      </w:r>
      <w:r w:rsidRPr="00660488">
        <w:rPr>
          <w:rFonts w:ascii="Arial" w:eastAsia="Times New Roman" w:hAnsi="Arial" w:cs="Arial"/>
          <w:bCs/>
          <w:sz w:val="20"/>
          <w:szCs w:val="20"/>
          <w:bdr w:val="nil"/>
        </w:rPr>
        <w:t>ministerstvo životního prostředí)</w:t>
      </w:r>
      <w:bookmarkEnd w:id="42"/>
    </w:p>
    <w:p w:rsidR="00243DE3" w:rsidRPr="006B1886" w:rsidRDefault="00243DE3" w:rsidP="00243DE3">
      <w:pPr>
        <w:pStyle w:val="Odstavecseseznamem"/>
        <w:numPr>
          <w:ilvl w:val="0"/>
          <w:numId w:val="6"/>
        </w:numPr>
        <w:ind w:left="426" w:hanging="426"/>
        <w:rPr>
          <w:rFonts w:ascii="Arial" w:hAnsi="Arial" w:cs="Arial"/>
          <w:sz w:val="20"/>
          <w:szCs w:val="20"/>
        </w:rPr>
      </w:pPr>
      <w:r>
        <w:rPr>
          <w:rFonts w:ascii="Arial" w:hAnsi="Arial" w:cs="Arial"/>
          <w:sz w:val="20"/>
          <w:szCs w:val="20"/>
        </w:rPr>
        <w:t xml:space="preserve">Vláda ČR dne 15. prosince 2014 schválila postupy pro posuzování projektů z hlediska jejich souladu se směrnicí EIA. Na základě tohoto usnesení a schválených postupů </w:t>
      </w:r>
      <w:r w:rsidR="005E5D99">
        <w:rPr>
          <w:rFonts w:ascii="Arial" w:hAnsi="Arial" w:cs="Arial"/>
          <w:sz w:val="20"/>
          <w:szCs w:val="20"/>
        </w:rPr>
        <w:t xml:space="preserve">byla </w:t>
      </w:r>
      <w:r>
        <w:rPr>
          <w:rFonts w:ascii="Arial" w:hAnsi="Arial" w:cs="Arial"/>
          <w:sz w:val="20"/>
          <w:szCs w:val="20"/>
        </w:rPr>
        <w:t xml:space="preserve">zřízena meziresortní pracovní skupina, která bude posuzovat u vybraných projektů jejich soulad s požadavky směrnice EIA a v případě zjištění nesouladu navrhne nápravná </w:t>
      </w:r>
      <w:r w:rsidRPr="006B1886">
        <w:rPr>
          <w:rFonts w:ascii="Arial" w:hAnsi="Arial" w:cs="Arial"/>
          <w:sz w:val="20"/>
          <w:szCs w:val="20"/>
        </w:rPr>
        <w:t>opatření.</w:t>
      </w:r>
    </w:p>
    <w:p w:rsidR="00243DE3" w:rsidRPr="006B1886" w:rsidRDefault="00243DE3" w:rsidP="00243DE3">
      <w:pPr>
        <w:pStyle w:val="Odstavecseseznamem"/>
        <w:numPr>
          <w:ilvl w:val="0"/>
          <w:numId w:val="6"/>
        </w:numPr>
        <w:ind w:left="426" w:hanging="426"/>
        <w:rPr>
          <w:rFonts w:ascii="Arial" w:hAnsi="Arial" w:cs="Arial"/>
          <w:sz w:val="20"/>
          <w:szCs w:val="20"/>
        </w:rPr>
      </w:pPr>
      <w:r w:rsidRPr="006B1886">
        <w:rPr>
          <w:rFonts w:ascii="Arial" w:hAnsi="Arial" w:cs="Arial"/>
          <w:sz w:val="20"/>
          <w:szCs w:val="20"/>
        </w:rPr>
        <w:t xml:space="preserve">Poslanecká sněmovna Parlamentu ČR </w:t>
      </w:r>
      <w:r w:rsidR="00702392">
        <w:rPr>
          <w:rFonts w:ascii="Arial" w:hAnsi="Arial" w:cs="Arial"/>
          <w:sz w:val="20"/>
          <w:szCs w:val="20"/>
        </w:rPr>
        <w:t>(dále jen „PSP“)</w:t>
      </w:r>
      <w:r w:rsidRPr="006B1886">
        <w:rPr>
          <w:rFonts w:ascii="Arial" w:hAnsi="Arial" w:cs="Arial"/>
          <w:sz w:val="20"/>
          <w:szCs w:val="20"/>
        </w:rPr>
        <w:t xml:space="preserve"> schválila v prosinci </w:t>
      </w:r>
      <w:r w:rsidR="00C70C95">
        <w:rPr>
          <w:rFonts w:ascii="Arial" w:hAnsi="Arial" w:cs="Arial"/>
          <w:sz w:val="20"/>
          <w:szCs w:val="20"/>
        </w:rPr>
        <w:t xml:space="preserve">2014 </w:t>
      </w:r>
      <w:r w:rsidRPr="006B1886">
        <w:rPr>
          <w:rFonts w:ascii="Arial" w:hAnsi="Arial" w:cs="Arial"/>
          <w:sz w:val="20"/>
          <w:szCs w:val="20"/>
        </w:rPr>
        <w:t>novelu zákona o posuzování vlivů na životní prostředí a souvisejících zákonů. Návrh zákona byl schválen ve</w:t>
      </w:r>
      <w:r w:rsidR="00C70C95">
        <w:rPr>
          <w:rFonts w:ascii="Arial" w:hAnsi="Arial" w:cs="Arial"/>
          <w:sz w:val="20"/>
          <w:szCs w:val="20"/>
        </w:rPr>
        <w:t> </w:t>
      </w:r>
      <w:r w:rsidRPr="006B1886">
        <w:rPr>
          <w:rFonts w:ascii="Arial" w:hAnsi="Arial" w:cs="Arial"/>
          <w:sz w:val="20"/>
          <w:szCs w:val="20"/>
        </w:rPr>
        <w:t xml:space="preserve">3. čtení a následně byl postoupen k projednání Senátu ČR. Návrh zákona, senátní tisk č. 19, byl zařazen jako bod č. 4 na pořad 5. schůze, </w:t>
      </w:r>
      <w:r w:rsidR="00702392" w:rsidRPr="00702392">
        <w:rPr>
          <w:rFonts w:ascii="Arial" w:hAnsi="Arial" w:cs="Arial"/>
          <w:sz w:val="20"/>
          <w:szCs w:val="20"/>
        </w:rPr>
        <w:t>která se konala dne 14. ledna 2015. Návrh zákona byl vrácen zpět do PSP a další projednání je plánováno v únoru 2015.</w:t>
      </w:r>
      <w:r w:rsidRPr="006B1886">
        <w:rPr>
          <w:rFonts w:ascii="Arial" w:hAnsi="Arial" w:cs="Arial"/>
          <w:sz w:val="20"/>
          <w:szCs w:val="20"/>
        </w:rPr>
        <w:t xml:space="preserve"> </w:t>
      </w:r>
    </w:p>
    <w:p w:rsidR="00243DE3" w:rsidRDefault="00243DE3" w:rsidP="00243DE3">
      <w:pPr>
        <w:pStyle w:val="Odstavecseseznamem"/>
        <w:numPr>
          <w:ilvl w:val="0"/>
          <w:numId w:val="6"/>
        </w:numPr>
        <w:ind w:left="426" w:hanging="426"/>
        <w:rPr>
          <w:rFonts w:ascii="Arial" w:hAnsi="Arial" w:cs="Arial"/>
          <w:sz w:val="20"/>
          <w:szCs w:val="20"/>
        </w:rPr>
      </w:pPr>
      <w:r w:rsidRPr="006B1886">
        <w:rPr>
          <w:rFonts w:ascii="Arial" w:hAnsi="Arial" w:cs="Arial"/>
          <w:sz w:val="20"/>
          <w:szCs w:val="20"/>
        </w:rPr>
        <w:t xml:space="preserve">Původně se počítalo s kompletním schválením novely v listopadu 2014 a účinností k 1. lednu 2015, ale tento termín se </w:t>
      </w:r>
      <w:r w:rsidRPr="00907CA6">
        <w:rPr>
          <w:rFonts w:ascii="Arial" w:hAnsi="Arial" w:cs="Arial"/>
          <w:sz w:val="20"/>
          <w:szCs w:val="20"/>
        </w:rPr>
        <w:t>nepodař</w:t>
      </w:r>
      <w:r w:rsidR="006D7C2E" w:rsidRPr="00907CA6">
        <w:rPr>
          <w:rFonts w:ascii="Arial" w:hAnsi="Arial" w:cs="Arial"/>
          <w:sz w:val="20"/>
          <w:szCs w:val="20"/>
        </w:rPr>
        <w:t>ilo</w:t>
      </w:r>
      <w:r w:rsidRPr="00907CA6">
        <w:rPr>
          <w:rFonts w:ascii="Arial" w:hAnsi="Arial" w:cs="Arial"/>
          <w:sz w:val="20"/>
          <w:szCs w:val="20"/>
        </w:rPr>
        <w:t xml:space="preserve"> dodržet.</w:t>
      </w:r>
      <w:r w:rsidR="00AD78FB" w:rsidRPr="00907CA6">
        <w:rPr>
          <w:rFonts w:ascii="Arial" w:hAnsi="Arial" w:cs="Arial"/>
          <w:sz w:val="20"/>
          <w:szCs w:val="20"/>
        </w:rPr>
        <w:t xml:space="preserve"> Účinnost balíčku novelizovaných zákonů se předpokládá během jarních měsíců 2015. </w:t>
      </w:r>
    </w:p>
    <w:p w:rsidR="000871A9" w:rsidRPr="00C70C95" w:rsidRDefault="000871A9" w:rsidP="000871A9">
      <w:pPr>
        <w:keepNext/>
        <w:spacing w:before="240"/>
        <w:rPr>
          <w:rFonts w:ascii="Arial" w:hAnsi="Arial"/>
          <w:sz w:val="20"/>
        </w:rPr>
      </w:pPr>
      <w:r w:rsidRPr="00B35DC4">
        <w:rPr>
          <w:rFonts w:ascii="Arial" w:hAnsi="Arial" w:cs="Arial"/>
          <w:b/>
          <w:u w:val="single"/>
        </w:rPr>
        <w:t>Inteligentní specializace</w:t>
      </w:r>
      <w:r w:rsidRPr="00C70C95">
        <w:rPr>
          <w:rFonts w:ascii="Arial" w:hAnsi="Arial"/>
          <w:b/>
        </w:rPr>
        <w:t xml:space="preserve"> </w:t>
      </w:r>
      <w:r w:rsidR="00C70C95" w:rsidRPr="001D1225">
        <w:rPr>
          <w:rFonts w:ascii="Arial" w:eastAsia="Times New Roman" w:hAnsi="Arial" w:cs="Arial"/>
        </w:rPr>
        <w:t xml:space="preserve">– </w:t>
      </w:r>
      <w:r w:rsidRPr="00B35DC4">
        <w:rPr>
          <w:rFonts w:ascii="Arial" w:eastAsia="Times New Roman" w:hAnsi="Arial" w:cs="Arial"/>
          <w:b/>
        </w:rPr>
        <w:t>T 1.1</w:t>
      </w:r>
      <w:r w:rsidRPr="00B35DC4">
        <w:rPr>
          <w:rFonts w:ascii="Arial" w:eastAsia="Times New Roman" w:hAnsi="Arial" w:cs="Arial"/>
        </w:rPr>
        <w:t xml:space="preserve"> </w:t>
      </w:r>
      <w:r w:rsidRPr="00B35DC4">
        <w:rPr>
          <w:rFonts w:ascii="Arial" w:hAnsi="Arial" w:cs="Arial"/>
          <w:sz w:val="20"/>
          <w:szCs w:val="20"/>
        </w:rPr>
        <w:t>(gestor: ministerstvo školství, tělovýchovy a mládeže)</w:t>
      </w:r>
    </w:p>
    <w:p w:rsidR="00243DE3" w:rsidRDefault="00243DE3" w:rsidP="00C70C95">
      <w:pPr>
        <w:numPr>
          <w:ilvl w:val="0"/>
          <w:numId w:val="15"/>
        </w:numPr>
        <w:pBdr>
          <w:top w:val="nil"/>
          <w:left w:val="nil"/>
          <w:bottom w:val="nil"/>
          <w:right w:val="nil"/>
          <w:between w:val="nil"/>
          <w:bar w:val="nil"/>
        </w:pBdr>
        <w:spacing w:before="0"/>
        <w:ind w:left="425" w:hanging="425"/>
        <w:contextualSpacing/>
        <w:rPr>
          <w:rFonts w:ascii="Arial" w:hAnsi="Arial" w:cs="Arial"/>
          <w:sz w:val="20"/>
        </w:rPr>
      </w:pPr>
      <w:r w:rsidRPr="00B35DC4">
        <w:rPr>
          <w:rFonts w:ascii="Arial" w:hAnsi="Arial" w:cs="Arial"/>
          <w:sz w:val="20"/>
        </w:rPr>
        <w:t xml:space="preserve">Strategie inteligentní specializace (RIS3) byla </w:t>
      </w:r>
      <w:r w:rsidRPr="005165B7">
        <w:rPr>
          <w:rFonts w:ascii="Arial" w:hAnsi="Arial" w:cs="Arial"/>
          <w:sz w:val="20"/>
        </w:rPr>
        <w:t xml:space="preserve">dne 8. </w:t>
      </w:r>
      <w:r>
        <w:rPr>
          <w:rFonts w:ascii="Arial" w:hAnsi="Arial" w:cs="Arial"/>
          <w:sz w:val="20"/>
        </w:rPr>
        <w:t>prosince</w:t>
      </w:r>
      <w:r w:rsidRPr="005165B7">
        <w:rPr>
          <w:rFonts w:ascii="Arial" w:hAnsi="Arial" w:cs="Arial"/>
          <w:sz w:val="20"/>
        </w:rPr>
        <w:t xml:space="preserve"> 2014 schválena vládou</w:t>
      </w:r>
      <w:r>
        <w:rPr>
          <w:rFonts w:ascii="Arial" w:hAnsi="Arial" w:cs="Arial"/>
          <w:sz w:val="20"/>
        </w:rPr>
        <w:t>. D</w:t>
      </w:r>
      <w:r w:rsidRPr="00B35DC4">
        <w:rPr>
          <w:rFonts w:ascii="Arial" w:hAnsi="Arial" w:cs="Arial"/>
          <w:sz w:val="20"/>
        </w:rPr>
        <w:t xml:space="preserve">okument </w:t>
      </w:r>
      <w:r w:rsidR="006055B0">
        <w:rPr>
          <w:rFonts w:ascii="Arial" w:hAnsi="Arial" w:cs="Arial"/>
          <w:sz w:val="20"/>
        </w:rPr>
        <w:t>by měl být</w:t>
      </w:r>
      <w:r>
        <w:rPr>
          <w:rFonts w:ascii="Arial" w:hAnsi="Arial" w:cs="Arial"/>
          <w:sz w:val="20"/>
        </w:rPr>
        <w:t xml:space="preserve"> </w:t>
      </w:r>
      <w:r w:rsidRPr="00B35DC4">
        <w:rPr>
          <w:rFonts w:ascii="Arial" w:hAnsi="Arial" w:cs="Arial"/>
          <w:sz w:val="20"/>
        </w:rPr>
        <w:t>předložen k posouzení EK.</w:t>
      </w:r>
      <w:r>
        <w:rPr>
          <w:rFonts w:ascii="Arial" w:hAnsi="Arial" w:cs="Arial"/>
          <w:sz w:val="20"/>
        </w:rPr>
        <w:t xml:space="preserve"> Toto hodnocení bude klíčové pro </w:t>
      </w:r>
      <w:r w:rsidR="006055B0">
        <w:rPr>
          <w:rFonts w:ascii="Arial" w:hAnsi="Arial" w:cs="Arial"/>
          <w:sz w:val="20"/>
        </w:rPr>
        <w:t>validaci</w:t>
      </w:r>
      <w:r>
        <w:rPr>
          <w:rFonts w:ascii="Arial" w:hAnsi="Arial" w:cs="Arial"/>
          <w:sz w:val="20"/>
        </w:rPr>
        <w:t xml:space="preserve"> splnění dané předběžné podmínky (pro OP VVV, OP PIK, OP PPR). V rámci tohoto procesu je nutné s EK intenzivně spolupracovat, reagovat na doplňující připomínky a také zvážit, jaký </w:t>
      </w:r>
      <w:r w:rsidRPr="00B208C4">
        <w:rPr>
          <w:rFonts w:ascii="Arial" w:hAnsi="Arial" w:cs="Arial"/>
          <w:sz w:val="20"/>
        </w:rPr>
        <w:t>bude zvolen postup v případě, že bude dokument ze strany EK neakceptovatelný či bude vznesen požadavek na dopracování</w:t>
      </w:r>
      <w:r>
        <w:rPr>
          <w:rFonts w:ascii="Arial" w:hAnsi="Arial" w:cs="Arial"/>
          <w:sz w:val="20"/>
        </w:rPr>
        <w:t>.</w:t>
      </w:r>
      <w:r w:rsidR="006055B0">
        <w:rPr>
          <w:rFonts w:ascii="Arial" w:hAnsi="Arial" w:cs="Arial"/>
          <w:sz w:val="20"/>
        </w:rPr>
        <w:t xml:space="preserve"> </w:t>
      </w:r>
      <w:r w:rsidR="006055B0">
        <w:rPr>
          <w:rFonts w:ascii="Arial" w:hAnsi="Arial" w:cs="Arial"/>
          <w:sz w:val="20"/>
          <w:lang w:eastAsia="en-US"/>
        </w:rPr>
        <w:t>Do tohoto procesu je nezbytné zapojit i MMR jakožto národního koordinátora předběžných podmínek.</w:t>
      </w:r>
    </w:p>
    <w:p w:rsidR="00243DE3" w:rsidRDefault="00243DE3" w:rsidP="00C70C95">
      <w:pPr>
        <w:pStyle w:val="Odstavecseseznamem"/>
        <w:numPr>
          <w:ilvl w:val="0"/>
          <w:numId w:val="15"/>
        </w:numPr>
        <w:pBdr>
          <w:top w:val="nil"/>
          <w:left w:val="nil"/>
          <w:bottom w:val="nil"/>
          <w:right w:val="nil"/>
          <w:between w:val="nil"/>
          <w:bar w:val="nil"/>
        </w:pBdr>
        <w:spacing w:before="0" w:after="0"/>
        <w:ind w:left="426" w:hanging="426"/>
        <w:rPr>
          <w:rFonts w:ascii="Arial" w:hAnsi="Arial" w:cs="Arial"/>
          <w:sz w:val="20"/>
        </w:rPr>
      </w:pPr>
      <w:r>
        <w:rPr>
          <w:rFonts w:ascii="Arial" w:hAnsi="Arial" w:cs="Arial"/>
          <w:sz w:val="20"/>
        </w:rPr>
        <w:t xml:space="preserve">Implementaci Národní RIS3 strategie bude podle usnesení vlády zajišťovat místopředseda vlády pro </w:t>
      </w:r>
      <w:r w:rsidRPr="005165B7">
        <w:rPr>
          <w:rFonts w:ascii="Arial" w:hAnsi="Arial" w:cs="Arial"/>
          <w:sz w:val="20"/>
        </w:rPr>
        <w:t>vědu, výzkum a inovace</w:t>
      </w:r>
      <w:r>
        <w:rPr>
          <w:rFonts w:ascii="Arial" w:hAnsi="Arial" w:cs="Arial"/>
          <w:sz w:val="20"/>
        </w:rPr>
        <w:t>.</w:t>
      </w:r>
    </w:p>
    <w:p w:rsidR="000871A9" w:rsidRPr="001D1225" w:rsidRDefault="000871A9" w:rsidP="00C70C95">
      <w:pPr>
        <w:keepNext/>
        <w:keepLines/>
        <w:spacing w:before="240"/>
        <w:rPr>
          <w:rFonts w:ascii="Arial" w:eastAsia="Times New Roman" w:hAnsi="Arial" w:cs="Arial"/>
          <w:b/>
          <w:u w:val="single"/>
        </w:rPr>
      </w:pPr>
      <w:r w:rsidRPr="003626A9">
        <w:rPr>
          <w:rFonts w:ascii="Arial" w:eastAsia="Times New Roman" w:hAnsi="Arial" w:cs="Arial"/>
          <w:b/>
          <w:u w:val="single"/>
        </w:rPr>
        <w:lastRenderedPageBreak/>
        <w:t>Digitální Česko, Sítě</w:t>
      </w:r>
      <w:r w:rsidRPr="001D1225">
        <w:rPr>
          <w:rFonts w:ascii="Arial" w:eastAsia="Times New Roman" w:hAnsi="Arial" w:cs="Arial"/>
          <w:b/>
          <w:u w:val="single"/>
        </w:rPr>
        <w:t xml:space="preserve"> nové generace</w:t>
      </w:r>
      <w:r w:rsidRPr="001D1225">
        <w:rPr>
          <w:rFonts w:ascii="Arial" w:eastAsia="Times New Roman" w:hAnsi="Arial" w:cs="Arial"/>
        </w:rPr>
        <w:t xml:space="preserve"> – </w:t>
      </w:r>
      <w:r w:rsidRPr="001D1225">
        <w:rPr>
          <w:rFonts w:ascii="Arial" w:eastAsia="Times New Roman" w:hAnsi="Arial" w:cs="Arial"/>
          <w:b/>
        </w:rPr>
        <w:t>T 2.1–2.2</w:t>
      </w:r>
      <w:r w:rsidRPr="001D1225">
        <w:rPr>
          <w:rFonts w:ascii="Arial" w:eastAsia="Times New Roman" w:hAnsi="Arial" w:cs="Arial"/>
        </w:rPr>
        <w:t xml:space="preserve"> </w:t>
      </w:r>
      <w:r w:rsidRPr="001D1225">
        <w:rPr>
          <w:rFonts w:ascii="Arial" w:eastAsia="Times New Roman" w:hAnsi="Arial" w:cs="Arial"/>
          <w:sz w:val="20"/>
          <w:szCs w:val="20"/>
        </w:rPr>
        <w:t>(gestor: ministerstvo průmyslu a obchodu)</w:t>
      </w:r>
    </w:p>
    <w:p w:rsidR="00243DE3" w:rsidRDefault="00243DE3" w:rsidP="00C70C95">
      <w:pPr>
        <w:pStyle w:val="Odstavecseseznamem"/>
        <w:keepNext/>
        <w:keepLines/>
        <w:numPr>
          <w:ilvl w:val="0"/>
          <w:numId w:val="9"/>
        </w:numPr>
        <w:spacing w:before="40"/>
        <w:ind w:left="426" w:hanging="426"/>
        <w:rPr>
          <w:rFonts w:ascii="Arial" w:hAnsi="Arial" w:cs="Arial"/>
          <w:sz w:val="20"/>
        </w:rPr>
      </w:pPr>
      <w:r w:rsidRPr="001D1225">
        <w:rPr>
          <w:rFonts w:ascii="Arial" w:hAnsi="Arial" w:cs="Arial"/>
          <w:sz w:val="20"/>
        </w:rPr>
        <w:t xml:space="preserve">K </w:t>
      </w:r>
      <w:r>
        <w:rPr>
          <w:rFonts w:ascii="Arial" w:hAnsi="Arial" w:cs="Arial"/>
          <w:sz w:val="20"/>
        </w:rPr>
        <w:t>předběžné podmínce</w:t>
      </w:r>
      <w:r w:rsidRPr="001D1225">
        <w:rPr>
          <w:rFonts w:ascii="Arial" w:hAnsi="Arial" w:cs="Arial"/>
          <w:sz w:val="20"/>
        </w:rPr>
        <w:t xml:space="preserve"> 2.1 byl zpracován Akční plán. EK v rámci formálních připomínek </w:t>
      </w:r>
      <w:r>
        <w:rPr>
          <w:rFonts w:ascii="Arial" w:hAnsi="Arial" w:cs="Arial"/>
          <w:sz w:val="20"/>
        </w:rPr>
        <w:t>po</w:t>
      </w:r>
      <w:r w:rsidRPr="001D1225">
        <w:rPr>
          <w:rFonts w:ascii="Arial" w:hAnsi="Arial" w:cs="Arial"/>
          <w:sz w:val="20"/>
        </w:rPr>
        <w:t>žád</w:t>
      </w:r>
      <w:r>
        <w:rPr>
          <w:rFonts w:ascii="Arial" w:hAnsi="Arial" w:cs="Arial"/>
          <w:sz w:val="20"/>
        </w:rPr>
        <w:t>al</w:t>
      </w:r>
      <w:r w:rsidR="00C70C95">
        <w:rPr>
          <w:rFonts w:ascii="Arial" w:hAnsi="Arial" w:cs="Arial"/>
          <w:sz w:val="20"/>
        </w:rPr>
        <w:t>a</w:t>
      </w:r>
      <w:r>
        <w:rPr>
          <w:rFonts w:ascii="Arial" w:hAnsi="Arial" w:cs="Arial"/>
          <w:sz w:val="20"/>
        </w:rPr>
        <w:t xml:space="preserve"> o</w:t>
      </w:r>
      <w:r w:rsidRPr="001D1225">
        <w:rPr>
          <w:rFonts w:ascii="Arial" w:hAnsi="Arial" w:cs="Arial"/>
          <w:sz w:val="20"/>
        </w:rPr>
        <w:t xml:space="preserve"> zaslání detailních informací k struktuře strategických dokumentů, které jsou předmětem naplňování </w:t>
      </w:r>
      <w:r>
        <w:rPr>
          <w:rFonts w:ascii="Arial" w:hAnsi="Arial" w:cs="Arial"/>
          <w:sz w:val="20"/>
        </w:rPr>
        <w:t>předběžné podmínky</w:t>
      </w:r>
      <w:r w:rsidRPr="001D1225">
        <w:rPr>
          <w:rFonts w:ascii="Arial" w:hAnsi="Arial" w:cs="Arial"/>
          <w:sz w:val="20"/>
        </w:rPr>
        <w:t xml:space="preserve">, a jejich věcné zaměření </w:t>
      </w:r>
      <w:r>
        <w:rPr>
          <w:rFonts w:ascii="Arial" w:hAnsi="Arial" w:cs="Arial"/>
          <w:sz w:val="20"/>
        </w:rPr>
        <w:t xml:space="preserve">(jedná se o </w:t>
      </w:r>
      <w:r w:rsidRPr="001D1225">
        <w:rPr>
          <w:rFonts w:ascii="Arial" w:hAnsi="Arial" w:cs="Arial"/>
          <w:sz w:val="20"/>
        </w:rPr>
        <w:t xml:space="preserve">DigiČesko 2, Strategický rámec rozvoje veřejné správy České republiky pro </w:t>
      </w:r>
      <w:r>
        <w:rPr>
          <w:rFonts w:ascii="Arial" w:hAnsi="Arial" w:cs="Arial"/>
          <w:sz w:val="20"/>
        </w:rPr>
        <w:t>období 2014–2020, Strategie pro </w:t>
      </w:r>
      <w:r w:rsidRPr="001D1225">
        <w:rPr>
          <w:rFonts w:ascii="Arial" w:hAnsi="Arial" w:cs="Arial"/>
          <w:sz w:val="20"/>
        </w:rPr>
        <w:t>zvýšení digitální gramotnosti a rozvoj elektronických dovedností občanů 2015–2020</w:t>
      </w:r>
      <w:r>
        <w:rPr>
          <w:rFonts w:ascii="Arial" w:hAnsi="Arial" w:cs="Arial"/>
          <w:sz w:val="20"/>
        </w:rPr>
        <w:t>)</w:t>
      </w:r>
      <w:r w:rsidRPr="001D1225">
        <w:rPr>
          <w:rFonts w:ascii="Arial" w:hAnsi="Arial" w:cs="Arial"/>
          <w:sz w:val="20"/>
        </w:rPr>
        <w:t xml:space="preserve">. </w:t>
      </w:r>
      <w:r>
        <w:rPr>
          <w:rFonts w:ascii="Arial" w:hAnsi="Arial" w:cs="Arial"/>
          <w:sz w:val="20"/>
        </w:rPr>
        <w:t xml:space="preserve">Ministerstvo průmyslu a obchodu (MPO) </w:t>
      </w:r>
      <w:r w:rsidRPr="005165B7">
        <w:rPr>
          <w:rFonts w:ascii="Arial" w:hAnsi="Arial" w:cs="Arial"/>
          <w:sz w:val="20"/>
        </w:rPr>
        <w:t xml:space="preserve">jako gestor dané </w:t>
      </w:r>
      <w:r>
        <w:rPr>
          <w:rFonts w:ascii="Arial" w:hAnsi="Arial" w:cs="Arial"/>
          <w:sz w:val="20"/>
        </w:rPr>
        <w:t>předběžné podmínky</w:t>
      </w:r>
      <w:r w:rsidRPr="005165B7">
        <w:rPr>
          <w:rFonts w:ascii="Arial" w:hAnsi="Arial" w:cs="Arial"/>
          <w:sz w:val="20"/>
        </w:rPr>
        <w:t xml:space="preserve"> těmto požadavkům vyhověl</w:t>
      </w:r>
      <w:r>
        <w:rPr>
          <w:rFonts w:ascii="Arial" w:hAnsi="Arial" w:cs="Arial"/>
          <w:sz w:val="20"/>
        </w:rPr>
        <w:t>o</w:t>
      </w:r>
      <w:r w:rsidRPr="005165B7">
        <w:rPr>
          <w:rFonts w:ascii="Arial" w:hAnsi="Arial" w:cs="Arial"/>
          <w:sz w:val="20"/>
        </w:rPr>
        <w:t xml:space="preserve"> zasláním dílčích informací</w:t>
      </w:r>
      <w:r>
        <w:rPr>
          <w:rFonts w:ascii="Arial" w:hAnsi="Arial" w:cs="Arial"/>
          <w:sz w:val="20"/>
        </w:rPr>
        <w:t xml:space="preserve"> a</w:t>
      </w:r>
      <w:r w:rsidRPr="005165B7">
        <w:rPr>
          <w:rFonts w:ascii="Arial" w:hAnsi="Arial" w:cs="Arial"/>
          <w:sz w:val="20"/>
        </w:rPr>
        <w:t xml:space="preserve"> podpůrn</w:t>
      </w:r>
      <w:r>
        <w:rPr>
          <w:rFonts w:ascii="Arial" w:hAnsi="Arial" w:cs="Arial"/>
          <w:sz w:val="20"/>
        </w:rPr>
        <w:t>ého</w:t>
      </w:r>
      <w:r w:rsidRPr="005165B7">
        <w:rPr>
          <w:rFonts w:ascii="Arial" w:hAnsi="Arial" w:cs="Arial"/>
          <w:sz w:val="20"/>
        </w:rPr>
        <w:t xml:space="preserve"> dokument</w:t>
      </w:r>
      <w:r>
        <w:rPr>
          <w:rFonts w:ascii="Arial" w:hAnsi="Arial" w:cs="Arial"/>
          <w:sz w:val="20"/>
        </w:rPr>
        <w:t>u</w:t>
      </w:r>
      <w:r w:rsidRPr="005165B7">
        <w:rPr>
          <w:rFonts w:ascii="Arial" w:hAnsi="Arial" w:cs="Arial"/>
          <w:sz w:val="20"/>
        </w:rPr>
        <w:t xml:space="preserve"> s přehledem dokumentů.</w:t>
      </w:r>
      <w:r>
        <w:rPr>
          <w:rFonts w:ascii="Arial" w:hAnsi="Arial" w:cs="Arial"/>
          <w:sz w:val="20"/>
        </w:rPr>
        <w:t xml:space="preserve"> Očekává se případná reakce EK.</w:t>
      </w:r>
    </w:p>
    <w:p w:rsidR="00243DE3" w:rsidRPr="00B35DC4" w:rsidRDefault="00243DE3" w:rsidP="00C70C95">
      <w:pPr>
        <w:pStyle w:val="Odstavecseseznamem"/>
        <w:keepNext/>
        <w:keepLines/>
        <w:numPr>
          <w:ilvl w:val="0"/>
          <w:numId w:val="9"/>
        </w:numPr>
        <w:spacing w:before="40"/>
        <w:ind w:left="426" w:hanging="426"/>
        <w:rPr>
          <w:rFonts w:ascii="Arial" w:hAnsi="Arial" w:cs="Arial"/>
          <w:sz w:val="20"/>
        </w:rPr>
      </w:pPr>
      <w:r>
        <w:rPr>
          <w:rFonts w:ascii="Arial" w:hAnsi="Arial" w:cs="Arial"/>
          <w:sz w:val="20"/>
        </w:rPr>
        <w:t>Ke</w:t>
      </w:r>
      <w:r w:rsidRPr="00B35DC4">
        <w:rPr>
          <w:rFonts w:ascii="Arial" w:hAnsi="Arial" w:cs="Arial"/>
          <w:sz w:val="20"/>
        </w:rPr>
        <w:t xml:space="preserve"> splnění předběžné podmínky 2.2 </w:t>
      </w:r>
      <w:r>
        <w:rPr>
          <w:rFonts w:ascii="Arial" w:hAnsi="Arial" w:cs="Arial"/>
          <w:sz w:val="20"/>
        </w:rPr>
        <w:t xml:space="preserve">dojde schválením </w:t>
      </w:r>
      <w:r w:rsidRPr="00B35DC4">
        <w:rPr>
          <w:rFonts w:ascii="Arial" w:hAnsi="Arial" w:cs="Arial"/>
          <w:sz w:val="20"/>
        </w:rPr>
        <w:t>Národní</w:t>
      </w:r>
      <w:r>
        <w:rPr>
          <w:rFonts w:ascii="Arial" w:hAnsi="Arial" w:cs="Arial"/>
          <w:sz w:val="20"/>
        </w:rPr>
        <w:t>ho</w:t>
      </w:r>
      <w:r w:rsidRPr="00B35DC4">
        <w:rPr>
          <w:rFonts w:ascii="Arial" w:hAnsi="Arial" w:cs="Arial"/>
          <w:sz w:val="20"/>
        </w:rPr>
        <w:t xml:space="preserve"> plán</w:t>
      </w:r>
      <w:r>
        <w:rPr>
          <w:rFonts w:ascii="Arial" w:hAnsi="Arial" w:cs="Arial"/>
          <w:sz w:val="20"/>
        </w:rPr>
        <w:t>u</w:t>
      </w:r>
      <w:r w:rsidRPr="00B35DC4">
        <w:rPr>
          <w:rFonts w:ascii="Arial" w:hAnsi="Arial" w:cs="Arial"/>
          <w:sz w:val="20"/>
        </w:rPr>
        <w:t xml:space="preserve"> rozvoje sítí nové generace</w:t>
      </w:r>
      <w:r>
        <w:rPr>
          <w:rFonts w:ascii="Arial" w:hAnsi="Arial" w:cs="Arial"/>
          <w:sz w:val="20"/>
        </w:rPr>
        <w:t xml:space="preserve">, u něhož byla k dílčí verzi </w:t>
      </w:r>
      <w:r w:rsidRPr="005165B7">
        <w:rPr>
          <w:rFonts w:ascii="Arial" w:hAnsi="Arial" w:cs="Arial"/>
          <w:sz w:val="20"/>
        </w:rPr>
        <w:t xml:space="preserve">MPO </w:t>
      </w:r>
      <w:r>
        <w:rPr>
          <w:rFonts w:ascii="Arial" w:hAnsi="Arial" w:cs="Arial"/>
          <w:sz w:val="20"/>
        </w:rPr>
        <w:t xml:space="preserve">v prosinci 2014 </w:t>
      </w:r>
      <w:r w:rsidRPr="005165B7">
        <w:rPr>
          <w:rFonts w:ascii="Arial" w:hAnsi="Arial" w:cs="Arial"/>
          <w:sz w:val="20"/>
        </w:rPr>
        <w:t>vyhlá</w:t>
      </w:r>
      <w:r>
        <w:rPr>
          <w:rFonts w:ascii="Arial" w:hAnsi="Arial" w:cs="Arial"/>
          <w:sz w:val="20"/>
        </w:rPr>
        <w:t>šena</w:t>
      </w:r>
      <w:r w:rsidRPr="005165B7">
        <w:rPr>
          <w:rFonts w:ascii="Arial" w:hAnsi="Arial" w:cs="Arial"/>
          <w:sz w:val="20"/>
        </w:rPr>
        <w:t xml:space="preserve"> veřejn</w:t>
      </w:r>
      <w:r>
        <w:rPr>
          <w:rFonts w:ascii="Arial" w:hAnsi="Arial" w:cs="Arial"/>
          <w:sz w:val="20"/>
        </w:rPr>
        <w:t>á</w:t>
      </w:r>
      <w:r w:rsidRPr="005165B7">
        <w:rPr>
          <w:rFonts w:ascii="Arial" w:hAnsi="Arial" w:cs="Arial"/>
          <w:sz w:val="20"/>
        </w:rPr>
        <w:t xml:space="preserve"> konzultac</w:t>
      </w:r>
      <w:r>
        <w:rPr>
          <w:rFonts w:ascii="Arial" w:hAnsi="Arial" w:cs="Arial"/>
          <w:sz w:val="20"/>
        </w:rPr>
        <w:t>e</w:t>
      </w:r>
      <w:r w:rsidRPr="005165B7">
        <w:rPr>
          <w:rFonts w:ascii="Arial" w:hAnsi="Arial" w:cs="Arial"/>
          <w:sz w:val="20"/>
        </w:rPr>
        <w:t>.</w:t>
      </w:r>
      <w:r w:rsidRPr="00B35DC4">
        <w:rPr>
          <w:rFonts w:ascii="Arial" w:hAnsi="Arial" w:cs="Arial"/>
          <w:sz w:val="20"/>
        </w:rPr>
        <w:t xml:space="preserve"> </w:t>
      </w:r>
      <w:r>
        <w:rPr>
          <w:rFonts w:ascii="Arial" w:hAnsi="Arial" w:cs="Arial"/>
          <w:sz w:val="20"/>
        </w:rPr>
        <w:t>P</w:t>
      </w:r>
      <w:r w:rsidRPr="005165B7">
        <w:rPr>
          <w:rFonts w:ascii="Arial" w:hAnsi="Arial" w:cs="Arial"/>
          <w:sz w:val="20"/>
        </w:rPr>
        <w:t xml:space="preserve">ředložení </w:t>
      </w:r>
      <w:r w:rsidR="006055B0">
        <w:rPr>
          <w:rFonts w:ascii="Arial" w:hAnsi="Arial" w:cs="Arial"/>
          <w:sz w:val="20"/>
        </w:rPr>
        <w:t>a schválení vládou</w:t>
      </w:r>
      <w:r w:rsidRPr="005165B7">
        <w:rPr>
          <w:rFonts w:ascii="Arial" w:hAnsi="Arial" w:cs="Arial"/>
          <w:sz w:val="20"/>
        </w:rPr>
        <w:t xml:space="preserve"> se plánuje v březnu 2015</w:t>
      </w:r>
      <w:r>
        <w:rPr>
          <w:rFonts w:ascii="Arial" w:hAnsi="Arial" w:cs="Arial"/>
          <w:sz w:val="20"/>
        </w:rPr>
        <w:t>.</w:t>
      </w:r>
    </w:p>
    <w:p w:rsidR="000871A9" w:rsidRPr="00B35DC4" w:rsidRDefault="000871A9" w:rsidP="0091545F">
      <w:pPr>
        <w:spacing w:before="240"/>
        <w:rPr>
          <w:rFonts w:ascii="Arial" w:eastAsia="Times New Roman" w:hAnsi="Arial" w:cs="Arial"/>
        </w:rPr>
      </w:pPr>
      <w:r w:rsidRPr="00B35DC4">
        <w:rPr>
          <w:rFonts w:ascii="Arial" w:eastAsia="Times New Roman" w:hAnsi="Arial" w:cs="Arial"/>
          <w:b/>
          <w:u w:val="single"/>
        </w:rPr>
        <w:t>Oblast malého a středního podnikání</w:t>
      </w:r>
      <w:r w:rsidRPr="00B35DC4">
        <w:rPr>
          <w:rFonts w:ascii="Arial" w:eastAsia="Times New Roman" w:hAnsi="Arial" w:cs="Arial"/>
          <w:b/>
        </w:rPr>
        <w:t xml:space="preserve"> </w:t>
      </w:r>
      <w:r w:rsidRPr="00B35DC4">
        <w:rPr>
          <w:rFonts w:ascii="Arial" w:eastAsia="Times New Roman" w:hAnsi="Arial" w:cs="Arial"/>
        </w:rPr>
        <w:t xml:space="preserve">– </w:t>
      </w:r>
      <w:r w:rsidRPr="00B35DC4">
        <w:rPr>
          <w:rFonts w:ascii="Arial" w:eastAsia="Times New Roman" w:hAnsi="Arial" w:cs="Arial"/>
          <w:b/>
        </w:rPr>
        <w:t>T 3.1</w:t>
      </w:r>
      <w:r w:rsidRPr="00B35DC4">
        <w:rPr>
          <w:rFonts w:ascii="Arial" w:eastAsia="Times New Roman" w:hAnsi="Arial" w:cs="Arial"/>
        </w:rPr>
        <w:t xml:space="preserve"> </w:t>
      </w:r>
      <w:r w:rsidRPr="00B35DC4">
        <w:rPr>
          <w:rFonts w:ascii="Arial" w:eastAsia="Times New Roman" w:hAnsi="Arial" w:cs="Arial"/>
          <w:sz w:val="20"/>
          <w:szCs w:val="20"/>
        </w:rPr>
        <w:t>(gestor: ministerstvo spravedlnosti)</w:t>
      </w:r>
    </w:p>
    <w:p w:rsidR="00243DE3" w:rsidRPr="005165B7" w:rsidRDefault="00243DE3" w:rsidP="00243DE3">
      <w:pPr>
        <w:pStyle w:val="Odstavecseseznamem"/>
        <w:numPr>
          <w:ilvl w:val="0"/>
          <w:numId w:val="9"/>
        </w:numPr>
        <w:spacing w:before="40"/>
        <w:ind w:left="426" w:hanging="426"/>
        <w:rPr>
          <w:rFonts w:ascii="Arial" w:hAnsi="Arial" w:cs="Arial"/>
          <w:sz w:val="20"/>
        </w:rPr>
      </w:pPr>
      <w:r w:rsidRPr="005165B7">
        <w:rPr>
          <w:rFonts w:ascii="Arial" w:hAnsi="Arial" w:cs="Arial"/>
          <w:sz w:val="20"/>
        </w:rPr>
        <w:t xml:space="preserve">Ministerstvo spravedlnosti vytvořilo v pořadí již třetí akční plán (datován k 24. </w:t>
      </w:r>
      <w:r>
        <w:rPr>
          <w:rFonts w:ascii="Arial" w:hAnsi="Arial" w:cs="Arial"/>
          <w:sz w:val="20"/>
        </w:rPr>
        <w:t>říjnu</w:t>
      </w:r>
      <w:r w:rsidRPr="005165B7">
        <w:rPr>
          <w:rFonts w:ascii="Arial" w:hAnsi="Arial" w:cs="Arial"/>
          <w:sz w:val="20"/>
        </w:rPr>
        <w:t xml:space="preserve"> 2014), včetně aktualizovaného harmonogramu. Byl vytvořen vzor formuláře, který by notář využíval pro sepsání notářského zápisu, avšak pouze v těch případech, kdy by tak bylo vhodné, tj. když by zakladatel požadoval uvést do společenské smlouvy či zakladatelské listiny pouze základní údaje. V případě využití tohoto formuláře a provedení zápisu do obchodního rejstříku notářem, by byl zápis osvobozen od soudních poplatků, čímž dojde ke snížení nákladů. Odměna notáře by tak odpovída</w:t>
      </w:r>
      <w:r>
        <w:rPr>
          <w:rFonts w:ascii="Arial" w:hAnsi="Arial" w:cs="Arial"/>
          <w:sz w:val="20"/>
        </w:rPr>
        <w:t>la částce 100 EUR, která je poža</w:t>
      </w:r>
      <w:r w:rsidRPr="005165B7">
        <w:rPr>
          <w:rFonts w:ascii="Arial" w:hAnsi="Arial" w:cs="Arial"/>
          <w:sz w:val="20"/>
        </w:rPr>
        <w:t>d</w:t>
      </w:r>
      <w:r>
        <w:rPr>
          <w:rFonts w:ascii="Arial" w:hAnsi="Arial" w:cs="Arial"/>
          <w:sz w:val="20"/>
        </w:rPr>
        <w:t>ov</w:t>
      </w:r>
      <w:r w:rsidRPr="005165B7">
        <w:rPr>
          <w:rFonts w:ascii="Arial" w:hAnsi="Arial" w:cs="Arial"/>
          <w:sz w:val="20"/>
        </w:rPr>
        <w:t xml:space="preserve">ána EK. </w:t>
      </w:r>
    </w:p>
    <w:p w:rsidR="00243DE3" w:rsidRDefault="00243DE3" w:rsidP="00243DE3">
      <w:pPr>
        <w:pStyle w:val="Odstavecseseznamem"/>
        <w:numPr>
          <w:ilvl w:val="0"/>
          <w:numId w:val="9"/>
        </w:numPr>
        <w:spacing w:before="40"/>
        <w:ind w:left="426" w:hanging="426"/>
        <w:rPr>
          <w:rFonts w:ascii="Arial" w:hAnsi="Arial" w:cs="Arial"/>
          <w:sz w:val="20"/>
        </w:rPr>
      </w:pPr>
      <w:r>
        <w:rPr>
          <w:rFonts w:ascii="Arial" w:hAnsi="Arial" w:cs="Arial"/>
          <w:sz w:val="20"/>
        </w:rPr>
        <w:t xml:space="preserve">Po vypořádání </w:t>
      </w:r>
      <w:r w:rsidRPr="005165B7">
        <w:rPr>
          <w:rFonts w:ascii="Arial" w:hAnsi="Arial" w:cs="Arial"/>
          <w:sz w:val="20"/>
        </w:rPr>
        <w:t>meziresortní</w:t>
      </w:r>
      <w:r>
        <w:rPr>
          <w:rFonts w:ascii="Arial" w:hAnsi="Arial" w:cs="Arial"/>
          <w:sz w:val="20"/>
        </w:rPr>
        <w:t>ho</w:t>
      </w:r>
      <w:r w:rsidRPr="005165B7">
        <w:rPr>
          <w:rFonts w:ascii="Arial" w:hAnsi="Arial" w:cs="Arial"/>
          <w:sz w:val="20"/>
        </w:rPr>
        <w:t xml:space="preserve"> připomí</w:t>
      </w:r>
      <w:r>
        <w:rPr>
          <w:rFonts w:ascii="Arial" w:hAnsi="Arial" w:cs="Arial"/>
          <w:sz w:val="20"/>
        </w:rPr>
        <w:t>nkového řízení k novele zákona č. 549/1991 Sb., o </w:t>
      </w:r>
      <w:r w:rsidRPr="005165B7">
        <w:rPr>
          <w:rFonts w:ascii="Arial" w:hAnsi="Arial" w:cs="Arial"/>
          <w:sz w:val="20"/>
        </w:rPr>
        <w:t>soudních poplatcích, ve znění pozdějších předpisů a na něj navazující prováděcí legislativ</w:t>
      </w:r>
      <w:r>
        <w:rPr>
          <w:rFonts w:ascii="Arial" w:hAnsi="Arial" w:cs="Arial"/>
          <w:sz w:val="20"/>
        </w:rPr>
        <w:t xml:space="preserve">y, které bylo </w:t>
      </w:r>
      <w:r w:rsidRPr="005165B7">
        <w:rPr>
          <w:rFonts w:ascii="Arial" w:hAnsi="Arial" w:cs="Arial"/>
          <w:sz w:val="20"/>
        </w:rPr>
        <w:t xml:space="preserve">ukončeno </w:t>
      </w:r>
      <w:r>
        <w:rPr>
          <w:rFonts w:ascii="Arial" w:hAnsi="Arial" w:cs="Arial"/>
          <w:sz w:val="20"/>
        </w:rPr>
        <w:t>d</w:t>
      </w:r>
      <w:r w:rsidRPr="005165B7">
        <w:rPr>
          <w:rFonts w:ascii="Arial" w:hAnsi="Arial" w:cs="Arial"/>
          <w:sz w:val="20"/>
        </w:rPr>
        <w:t xml:space="preserve">ne 8. </w:t>
      </w:r>
      <w:r>
        <w:rPr>
          <w:rFonts w:ascii="Arial" w:hAnsi="Arial" w:cs="Arial"/>
          <w:sz w:val="20"/>
        </w:rPr>
        <w:t>prosince</w:t>
      </w:r>
      <w:r w:rsidRPr="005165B7">
        <w:rPr>
          <w:rFonts w:ascii="Arial" w:hAnsi="Arial" w:cs="Arial"/>
          <w:sz w:val="20"/>
        </w:rPr>
        <w:t xml:space="preserve"> 2014</w:t>
      </w:r>
      <w:r>
        <w:rPr>
          <w:rFonts w:ascii="Arial" w:hAnsi="Arial" w:cs="Arial"/>
          <w:sz w:val="20"/>
        </w:rPr>
        <w:t>,</w:t>
      </w:r>
      <w:r w:rsidRPr="005165B7">
        <w:rPr>
          <w:rFonts w:ascii="Arial" w:hAnsi="Arial" w:cs="Arial"/>
          <w:sz w:val="20"/>
        </w:rPr>
        <w:t xml:space="preserve"> byl</w:t>
      </w:r>
      <w:r>
        <w:rPr>
          <w:rFonts w:ascii="Arial" w:hAnsi="Arial" w:cs="Arial"/>
          <w:sz w:val="20"/>
        </w:rPr>
        <w:t xml:space="preserve"> materiál odeslán na Úřad vlády</w:t>
      </w:r>
      <w:r w:rsidRPr="005165B7">
        <w:rPr>
          <w:rFonts w:ascii="Arial" w:hAnsi="Arial" w:cs="Arial"/>
          <w:sz w:val="20"/>
        </w:rPr>
        <w:t xml:space="preserve">. Dle aktuálního harmonogramu by novelizace relevantní legislativy měla nabýt účinnosti již v 2. polovině roku 2015. </w:t>
      </w:r>
    </w:p>
    <w:p w:rsidR="00243DE3" w:rsidRPr="005165B7" w:rsidRDefault="00243DE3" w:rsidP="00243DE3">
      <w:pPr>
        <w:pStyle w:val="Odstavecseseznamem"/>
        <w:numPr>
          <w:ilvl w:val="0"/>
          <w:numId w:val="9"/>
        </w:numPr>
        <w:spacing w:before="40"/>
        <w:ind w:left="426" w:hanging="426"/>
        <w:rPr>
          <w:rFonts w:ascii="Arial" w:hAnsi="Arial" w:cs="Arial"/>
          <w:sz w:val="20"/>
        </w:rPr>
      </w:pPr>
      <w:r>
        <w:rPr>
          <w:rFonts w:ascii="Arial" w:hAnsi="Arial" w:cs="Arial"/>
          <w:sz w:val="20"/>
        </w:rPr>
        <w:t>Ministerstvo pro místní rozvoj však nesouhlasí s </w:t>
      </w:r>
      <w:r w:rsidR="002C07D5" w:rsidRPr="00907CA6">
        <w:rPr>
          <w:rFonts w:ascii="Arial" w:hAnsi="Arial" w:cs="Arial"/>
          <w:sz w:val="20"/>
        </w:rPr>
        <w:t xml:space="preserve">konečným obsahem </w:t>
      </w:r>
      <w:r>
        <w:rPr>
          <w:rFonts w:ascii="Arial" w:hAnsi="Arial" w:cs="Arial"/>
          <w:sz w:val="20"/>
        </w:rPr>
        <w:t>materiálu</w:t>
      </w:r>
      <w:r w:rsidR="002C07D5" w:rsidRPr="00907CA6">
        <w:rPr>
          <w:rFonts w:ascii="Arial" w:hAnsi="Arial" w:cs="Arial"/>
          <w:sz w:val="20"/>
        </w:rPr>
        <w:t>, ze kterého byla vyňata celá oblast snižování nákladů</w:t>
      </w:r>
      <w:r>
        <w:rPr>
          <w:rFonts w:ascii="Arial" w:hAnsi="Arial" w:cs="Arial"/>
          <w:sz w:val="20"/>
        </w:rPr>
        <w:t xml:space="preserve"> a požaduje jeho opětovné doplnění v podobě odsouhlaseného znění </w:t>
      </w:r>
      <w:r>
        <w:rPr>
          <w:rFonts w:ascii="Arial" w:hAnsi="Arial" w:cs="Arial"/>
          <w:sz w:val="20"/>
          <w:szCs w:val="20"/>
        </w:rPr>
        <w:t xml:space="preserve">v rámci prosincového meziresortního připomínkového řízení, které zcela přesně odráželo závazky učiněné vůči </w:t>
      </w:r>
      <w:r w:rsidR="002D4271">
        <w:rPr>
          <w:rFonts w:ascii="Arial" w:hAnsi="Arial" w:cs="Arial"/>
          <w:sz w:val="20"/>
          <w:szCs w:val="20"/>
        </w:rPr>
        <w:t>EK</w:t>
      </w:r>
      <w:r>
        <w:rPr>
          <w:rFonts w:ascii="Arial" w:hAnsi="Arial" w:cs="Arial"/>
          <w:sz w:val="20"/>
          <w:szCs w:val="20"/>
        </w:rPr>
        <w:t>. Obsah materiálu je momentálně v řešení.</w:t>
      </w:r>
    </w:p>
    <w:p w:rsidR="00907CA6" w:rsidRPr="00907CA6" w:rsidRDefault="00907CA6" w:rsidP="00C70C95">
      <w:pPr>
        <w:keepNext/>
        <w:spacing w:before="240"/>
        <w:rPr>
          <w:rFonts w:ascii="Arial" w:hAnsi="Arial" w:cs="Arial"/>
          <w:b/>
          <w:sz w:val="20"/>
          <w:szCs w:val="20"/>
        </w:rPr>
      </w:pPr>
      <w:r>
        <w:rPr>
          <w:rFonts w:ascii="Arial" w:hAnsi="Arial" w:cs="Arial"/>
          <w:b/>
          <w:u w:val="single"/>
        </w:rPr>
        <w:t>Řízení a prevence rizik</w:t>
      </w:r>
      <w:r>
        <w:rPr>
          <w:rFonts w:ascii="Arial" w:hAnsi="Arial" w:cs="Arial"/>
          <w:b/>
        </w:rPr>
        <w:t xml:space="preserve"> </w:t>
      </w:r>
      <w:r>
        <w:rPr>
          <w:rFonts w:ascii="Arial" w:eastAsia="Times New Roman" w:hAnsi="Arial" w:cs="Arial"/>
        </w:rPr>
        <w:t xml:space="preserve">– </w:t>
      </w:r>
      <w:r>
        <w:rPr>
          <w:rFonts w:ascii="Arial" w:eastAsia="Times New Roman" w:hAnsi="Arial" w:cs="Arial"/>
          <w:b/>
        </w:rPr>
        <w:t>T 5.1</w:t>
      </w:r>
      <w:r>
        <w:rPr>
          <w:rFonts w:ascii="Arial" w:eastAsia="Times New Roman" w:hAnsi="Arial" w:cs="Arial"/>
        </w:rPr>
        <w:t xml:space="preserve"> </w:t>
      </w:r>
      <w:r w:rsidRPr="00907CA6">
        <w:rPr>
          <w:rFonts w:ascii="Arial" w:hAnsi="Arial" w:cs="Arial"/>
          <w:sz w:val="20"/>
          <w:szCs w:val="20"/>
        </w:rPr>
        <w:t>(gestor: ministerstvo životního prostředí, ministerstvo zemědělství)</w:t>
      </w:r>
    </w:p>
    <w:p w:rsidR="00907CA6" w:rsidRPr="00907CA6" w:rsidRDefault="00907CA6" w:rsidP="00907CA6">
      <w:pPr>
        <w:pStyle w:val="Odstavecseseznamem"/>
        <w:numPr>
          <w:ilvl w:val="0"/>
          <w:numId w:val="9"/>
        </w:numPr>
        <w:spacing w:before="40"/>
        <w:ind w:left="426" w:hanging="426"/>
        <w:rPr>
          <w:rFonts w:ascii="Arial" w:hAnsi="Arial" w:cs="Arial"/>
          <w:sz w:val="20"/>
        </w:rPr>
      </w:pPr>
      <w:r w:rsidRPr="00907CA6">
        <w:rPr>
          <w:rFonts w:ascii="Arial" w:hAnsi="Arial" w:cs="Arial"/>
          <w:sz w:val="20"/>
        </w:rPr>
        <w:t>Součástí naplňování předběžné podmínky je Strategie přizpůsobení se změně klimatu v</w:t>
      </w:r>
      <w:r w:rsidR="00CF0A5D">
        <w:rPr>
          <w:rFonts w:ascii="Arial" w:hAnsi="Arial" w:cs="Arial"/>
          <w:sz w:val="20"/>
        </w:rPr>
        <w:t> </w:t>
      </w:r>
      <w:r w:rsidRPr="00907CA6">
        <w:rPr>
          <w:rFonts w:ascii="Arial" w:hAnsi="Arial" w:cs="Arial"/>
          <w:sz w:val="20"/>
        </w:rPr>
        <w:t xml:space="preserve">podmínkách ČR (Adaptační strategie). </w:t>
      </w:r>
      <w:r w:rsidR="00CF0A5D">
        <w:rPr>
          <w:rFonts w:ascii="Arial" w:hAnsi="Arial" w:cs="Arial"/>
          <w:sz w:val="20"/>
        </w:rPr>
        <w:t>V případě t</w:t>
      </w:r>
      <w:r w:rsidRPr="00907CA6">
        <w:rPr>
          <w:rFonts w:ascii="Arial" w:hAnsi="Arial" w:cs="Arial"/>
          <w:sz w:val="20"/>
        </w:rPr>
        <w:t>éto strategie aktuálně dochází k posunu termínu na kone</w:t>
      </w:r>
      <w:r w:rsidR="00CF0A5D">
        <w:rPr>
          <w:rFonts w:ascii="Arial" w:hAnsi="Arial" w:cs="Arial"/>
          <w:sz w:val="20"/>
        </w:rPr>
        <w:t>c</w:t>
      </w:r>
      <w:r w:rsidRPr="00907CA6">
        <w:rPr>
          <w:rFonts w:ascii="Arial" w:hAnsi="Arial" w:cs="Arial"/>
          <w:sz w:val="20"/>
        </w:rPr>
        <w:t xml:space="preserve"> roku 2015 z důvodů posunu přípravy SEA</w:t>
      </w:r>
      <w:r w:rsidR="00CF0A5D">
        <w:rPr>
          <w:rFonts w:ascii="Arial" w:hAnsi="Arial" w:cs="Arial"/>
          <w:sz w:val="20"/>
        </w:rPr>
        <w:t xml:space="preserve"> hodnocení</w:t>
      </w:r>
      <w:r w:rsidRPr="00907CA6">
        <w:rPr>
          <w:rFonts w:ascii="Arial" w:hAnsi="Arial" w:cs="Arial"/>
          <w:sz w:val="20"/>
        </w:rPr>
        <w:t>.</w:t>
      </w:r>
    </w:p>
    <w:p w:rsidR="00907CA6" w:rsidRPr="00907CA6" w:rsidRDefault="00907CA6" w:rsidP="00907CA6">
      <w:pPr>
        <w:pStyle w:val="Odstavecseseznamem"/>
        <w:numPr>
          <w:ilvl w:val="0"/>
          <w:numId w:val="9"/>
        </w:numPr>
        <w:spacing w:before="40"/>
        <w:ind w:left="426" w:hanging="426"/>
        <w:rPr>
          <w:rFonts w:ascii="Arial" w:hAnsi="Arial" w:cs="Arial"/>
          <w:sz w:val="20"/>
        </w:rPr>
      </w:pPr>
      <w:r w:rsidRPr="00907CA6">
        <w:rPr>
          <w:rFonts w:ascii="Arial" w:hAnsi="Arial" w:cs="Arial"/>
          <w:sz w:val="20"/>
        </w:rPr>
        <w:t>Součástí předběžné podmínky jsou i další dokumenty a podklad, a to např. Plány pro zvládání povodňových rizik, Plány povodí, Koncepce environmentální bezpečnosti 2015–2020 s výhledem do roku 2030, Zpracování studie dopadů, zranitelnosti a zdrojů rizik souvisejících se změnou klimatu pro nejohroženější sektory a Definování kritérií pro stanovování investičních priorit v závislosti na riziku – strategie a podklady by měly být k dispozici do konce roku 2015.</w:t>
      </w:r>
    </w:p>
    <w:p w:rsidR="000871A9" w:rsidRDefault="000871A9" w:rsidP="000871A9">
      <w:pPr>
        <w:widowControl w:val="0"/>
        <w:spacing w:before="240"/>
        <w:rPr>
          <w:rFonts w:ascii="Arial" w:eastAsia="Times New Roman" w:hAnsi="Arial" w:cs="Arial"/>
        </w:rPr>
      </w:pPr>
      <w:r w:rsidRPr="00390D59">
        <w:rPr>
          <w:rFonts w:ascii="Arial" w:eastAsia="Times New Roman" w:hAnsi="Arial" w:cs="Arial"/>
          <w:b/>
          <w:u w:val="single"/>
        </w:rPr>
        <w:t>Regulace vodohospodářského trhu</w:t>
      </w:r>
      <w:r w:rsidRPr="00390D59">
        <w:rPr>
          <w:rFonts w:ascii="Arial" w:eastAsia="Times New Roman" w:hAnsi="Arial" w:cs="Arial"/>
        </w:rPr>
        <w:t xml:space="preserve"> – </w:t>
      </w:r>
      <w:r w:rsidRPr="00390D59">
        <w:rPr>
          <w:rFonts w:ascii="Arial" w:eastAsia="Times New Roman" w:hAnsi="Arial" w:cs="Arial"/>
          <w:b/>
        </w:rPr>
        <w:t>T 6.1</w:t>
      </w:r>
      <w:r>
        <w:rPr>
          <w:rFonts w:ascii="Arial" w:eastAsia="Times New Roman" w:hAnsi="Arial" w:cs="Arial"/>
        </w:rPr>
        <w:t xml:space="preserve"> </w:t>
      </w:r>
    </w:p>
    <w:p w:rsidR="000871A9" w:rsidRPr="00900B19" w:rsidRDefault="000871A9" w:rsidP="000871A9">
      <w:pPr>
        <w:widowControl w:val="0"/>
        <w:spacing w:before="0"/>
        <w:rPr>
          <w:rFonts w:ascii="Arial" w:eastAsia="Times New Roman" w:hAnsi="Arial" w:cs="Arial"/>
        </w:rPr>
      </w:pPr>
      <w:r w:rsidRPr="00900B19">
        <w:rPr>
          <w:rFonts w:ascii="Arial" w:eastAsia="Times New Roman" w:hAnsi="Arial" w:cs="Arial"/>
          <w:sz w:val="20"/>
          <w:szCs w:val="20"/>
        </w:rPr>
        <w:t>(gestor: ministerstvo životního prostředí a zemědělství, spolugestor: ministerstvo financí)</w:t>
      </w:r>
    </w:p>
    <w:p w:rsidR="00243DE3" w:rsidRDefault="00243DE3" w:rsidP="00243DE3">
      <w:pPr>
        <w:pStyle w:val="Odstavecseseznamem"/>
        <w:numPr>
          <w:ilvl w:val="0"/>
          <w:numId w:val="16"/>
        </w:numPr>
        <w:spacing w:before="0"/>
        <w:ind w:left="425" w:hanging="425"/>
        <w:rPr>
          <w:rFonts w:ascii="Arial" w:eastAsia="Times New Roman" w:hAnsi="Arial" w:cs="Arial"/>
          <w:sz w:val="20"/>
          <w:szCs w:val="20"/>
          <w:bdr w:val="nil"/>
        </w:rPr>
      </w:pPr>
      <w:r w:rsidRPr="00C123D4">
        <w:rPr>
          <w:rFonts w:ascii="Arial" w:eastAsia="Times New Roman" w:hAnsi="Arial" w:cs="Arial"/>
          <w:sz w:val="20"/>
          <w:szCs w:val="20"/>
          <w:bdr w:val="nil"/>
        </w:rPr>
        <w:t>Ministerstvo průmyslu a obchodu (MPO) předložilo ve spolupráci s Ministerstvem financí, Ministerstvem zemědělství a Ministerstv</w:t>
      </w:r>
      <w:r>
        <w:rPr>
          <w:rFonts w:ascii="Arial" w:eastAsia="Times New Roman" w:hAnsi="Arial" w:cs="Arial"/>
          <w:sz w:val="20"/>
          <w:szCs w:val="20"/>
          <w:bdr w:val="nil"/>
        </w:rPr>
        <w:t>em</w:t>
      </w:r>
      <w:r w:rsidRPr="00C123D4">
        <w:rPr>
          <w:rFonts w:ascii="Arial" w:eastAsia="Times New Roman" w:hAnsi="Arial" w:cs="Arial"/>
          <w:sz w:val="20"/>
          <w:szCs w:val="20"/>
          <w:bdr w:val="nil"/>
        </w:rPr>
        <w:t xml:space="preserve"> životního prostředí</w:t>
      </w:r>
      <w:r>
        <w:rPr>
          <w:rFonts w:ascii="Arial" w:eastAsia="Times New Roman" w:hAnsi="Arial" w:cs="Arial"/>
          <w:sz w:val="20"/>
          <w:szCs w:val="20"/>
          <w:bdr w:val="nil"/>
        </w:rPr>
        <w:t xml:space="preserve"> (MŽP)</w:t>
      </w:r>
      <w:r w:rsidRPr="00C123D4">
        <w:rPr>
          <w:rFonts w:ascii="Arial" w:eastAsia="Times New Roman" w:hAnsi="Arial" w:cs="Arial"/>
          <w:sz w:val="20"/>
          <w:szCs w:val="20"/>
          <w:bdr w:val="nil"/>
        </w:rPr>
        <w:t xml:space="preserve"> </w:t>
      </w:r>
      <w:r w:rsidRPr="00002A3E">
        <w:rPr>
          <w:rFonts w:ascii="Arial" w:eastAsia="Times New Roman" w:hAnsi="Arial" w:cs="Arial"/>
          <w:sz w:val="20"/>
          <w:szCs w:val="20"/>
          <w:bdr w:val="nil"/>
        </w:rPr>
        <w:t>dne 22. prosince 2014 do</w:t>
      </w:r>
      <w:r>
        <w:rPr>
          <w:rFonts w:ascii="Arial" w:eastAsia="Times New Roman" w:hAnsi="Arial" w:cs="Arial"/>
          <w:sz w:val="20"/>
          <w:szCs w:val="20"/>
          <w:bdr w:val="nil"/>
        </w:rPr>
        <w:t> </w:t>
      </w:r>
      <w:r w:rsidRPr="00002A3E">
        <w:rPr>
          <w:rFonts w:ascii="Arial" w:eastAsia="Times New Roman" w:hAnsi="Arial" w:cs="Arial"/>
          <w:sz w:val="20"/>
          <w:szCs w:val="20"/>
          <w:bdr w:val="nil"/>
        </w:rPr>
        <w:t xml:space="preserve">mezirezortního připomínkového řízení (č. j.: MPO </w:t>
      </w:r>
      <w:sdt>
        <w:sdtPr>
          <w:rPr>
            <w:rFonts w:ascii="Arial" w:eastAsia="Times New Roman" w:hAnsi="Arial" w:cs="Arial"/>
            <w:sz w:val="20"/>
            <w:szCs w:val="20"/>
            <w:bdr w:val="nil"/>
          </w:rPr>
          <w:id w:val="1583492768"/>
        </w:sdtPr>
        <w:sdtEndPr/>
        <w:sdtContent>
          <w:sdt>
            <w:sdtPr>
              <w:rPr>
                <w:rFonts w:ascii="Arial" w:eastAsia="Times New Roman" w:hAnsi="Arial" w:cs="Arial"/>
                <w:sz w:val="20"/>
                <w:szCs w:val="20"/>
                <w:bdr w:val="nil"/>
              </w:rPr>
              <w:id w:val="-506900998"/>
            </w:sdtPr>
            <w:sdtEndPr/>
            <w:sdtContent>
              <w:r w:rsidRPr="00002A3E">
                <w:rPr>
                  <w:rFonts w:ascii="Arial" w:eastAsia="Times New Roman" w:hAnsi="Arial" w:cs="Arial"/>
                  <w:sz w:val="20"/>
                  <w:szCs w:val="20"/>
                  <w:bdr w:val="nil"/>
                </w:rPr>
                <w:t>50060/14/31200/01000)</w:t>
              </w:r>
            </w:sdtContent>
          </w:sdt>
        </w:sdtContent>
      </w:sdt>
      <w:r w:rsidRPr="00002A3E">
        <w:rPr>
          <w:rFonts w:ascii="Arial" w:eastAsia="Times New Roman" w:hAnsi="Arial" w:cs="Arial"/>
          <w:sz w:val="20"/>
          <w:szCs w:val="20"/>
          <w:bdr w:val="nil"/>
        </w:rPr>
        <w:t xml:space="preserve"> materiál s názvem „Návrh koncepčního řešení regulace cen ve vodárenství“, který byl připraven na základě usnesení vlády ze dne 4. června 2014 č. 417 ke Koncepčnímu řešení regulace cen ve</w:t>
      </w:r>
      <w:r>
        <w:rPr>
          <w:rFonts w:ascii="Arial" w:eastAsia="Times New Roman" w:hAnsi="Arial" w:cs="Arial"/>
          <w:sz w:val="20"/>
          <w:szCs w:val="20"/>
          <w:bdr w:val="nil"/>
        </w:rPr>
        <w:t> </w:t>
      </w:r>
      <w:r w:rsidRPr="00002A3E">
        <w:rPr>
          <w:rFonts w:ascii="Arial" w:eastAsia="Times New Roman" w:hAnsi="Arial" w:cs="Arial"/>
          <w:sz w:val="20"/>
          <w:szCs w:val="20"/>
          <w:bdr w:val="nil"/>
        </w:rPr>
        <w:t>vodárenství</w:t>
      </w:r>
      <w:r w:rsidR="00CF0A5D">
        <w:rPr>
          <w:rFonts w:ascii="Arial" w:eastAsia="Times New Roman" w:hAnsi="Arial" w:cs="Arial"/>
          <w:sz w:val="20"/>
          <w:szCs w:val="20"/>
          <w:bdr w:val="nil"/>
        </w:rPr>
        <w:t>.</w:t>
      </w:r>
      <w:r>
        <w:rPr>
          <w:rFonts w:ascii="Arial" w:eastAsia="Times New Roman" w:hAnsi="Arial" w:cs="Arial"/>
          <w:sz w:val="20"/>
          <w:szCs w:val="20"/>
          <w:bdr w:val="nil"/>
        </w:rPr>
        <w:t xml:space="preserve"> </w:t>
      </w:r>
      <w:r w:rsidR="00CF0A5D">
        <w:rPr>
          <w:rFonts w:ascii="Arial" w:eastAsia="Times New Roman" w:hAnsi="Arial" w:cs="Arial"/>
          <w:sz w:val="20"/>
          <w:szCs w:val="20"/>
          <w:bdr w:val="nil"/>
        </w:rPr>
        <w:t>D</w:t>
      </w:r>
      <w:r>
        <w:rPr>
          <w:rFonts w:ascii="Arial" w:eastAsia="Times New Roman" w:hAnsi="Arial" w:cs="Arial"/>
          <w:sz w:val="20"/>
          <w:szCs w:val="20"/>
          <w:bdr w:val="nil"/>
        </w:rPr>
        <w:t xml:space="preserve">ošlo </w:t>
      </w:r>
      <w:r w:rsidR="00CF0A5D">
        <w:rPr>
          <w:rFonts w:ascii="Arial" w:eastAsia="Times New Roman" w:hAnsi="Arial" w:cs="Arial"/>
          <w:sz w:val="20"/>
          <w:szCs w:val="20"/>
          <w:bdr w:val="nil"/>
        </w:rPr>
        <w:t xml:space="preserve">tedy </w:t>
      </w:r>
      <w:r>
        <w:rPr>
          <w:rFonts w:ascii="Arial" w:eastAsia="Times New Roman" w:hAnsi="Arial" w:cs="Arial"/>
          <w:sz w:val="20"/>
          <w:szCs w:val="20"/>
          <w:bdr w:val="nil"/>
        </w:rPr>
        <w:t>k rozpracování dvou možných variant dalšího postupu v oblasti vodohospodářské regulace, a to: varianty s cílem zachování stávajícího stavu se zřízením koordinačního subjektu a varianty s cílem vzniku regulátora na platformě Energetického regulačního úřadu.</w:t>
      </w:r>
    </w:p>
    <w:p w:rsidR="00243DE3" w:rsidRPr="00002A3E" w:rsidRDefault="00243DE3" w:rsidP="00243DE3">
      <w:pPr>
        <w:pStyle w:val="Odstavecseseznamem"/>
        <w:numPr>
          <w:ilvl w:val="0"/>
          <w:numId w:val="16"/>
        </w:numPr>
        <w:spacing w:before="0"/>
        <w:ind w:left="425" w:hanging="425"/>
        <w:rPr>
          <w:rFonts w:ascii="Arial" w:eastAsia="Times New Roman" w:hAnsi="Arial" w:cs="Arial"/>
          <w:sz w:val="20"/>
          <w:szCs w:val="20"/>
          <w:bdr w:val="nil"/>
        </w:rPr>
      </w:pPr>
      <w:r>
        <w:rPr>
          <w:rFonts w:ascii="Arial" w:eastAsia="Times New Roman" w:hAnsi="Arial" w:cs="Arial"/>
          <w:sz w:val="20"/>
          <w:szCs w:val="20"/>
          <w:bdr w:val="nil"/>
        </w:rPr>
        <w:lastRenderedPageBreak/>
        <w:t xml:space="preserve">Po ukončení mezirezortního připomínkového řízení dne 9. </w:t>
      </w:r>
      <w:r w:rsidR="00CF0A5D">
        <w:rPr>
          <w:rFonts w:ascii="Arial" w:eastAsia="Times New Roman" w:hAnsi="Arial" w:cs="Arial"/>
          <w:sz w:val="20"/>
          <w:szCs w:val="20"/>
          <w:bdr w:val="nil"/>
        </w:rPr>
        <w:t>ledna</w:t>
      </w:r>
      <w:r>
        <w:rPr>
          <w:rFonts w:ascii="Arial" w:eastAsia="Times New Roman" w:hAnsi="Arial" w:cs="Arial"/>
          <w:sz w:val="20"/>
          <w:szCs w:val="20"/>
          <w:bdr w:val="nil"/>
        </w:rPr>
        <w:t xml:space="preserve"> 2015 by měl být materiál předložen vládě ČR k</w:t>
      </w:r>
      <w:r w:rsidR="00F36CC4">
        <w:rPr>
          <w:rFonts w:ascii="Arial" w:eastAsia="Times New Roman" w:hAnsi="Arial" w:cs="Arial"/>
          <w:sz w:val="20"/>
          <w:szCs w:val="20"/>
          <w:bdr w:val="nil"/>
        </w:rPr>
        <w:t> </w:t>
      </w:r>
      <w:r>
        <w:rPr>
          <w:rFonts w:ascii="Arial" w:eastAsia="Times New Roman" w:hAnsi="Arial" w:cs="Arial"/>
          <w:sz w:val="20"/>
          <w:szCs w:val="20"/>
          <w:bdr w:val="nil"/>
        </w:rPr>
        <w:t>rozhodnutí</w:t>
      </w:r>
      <w:r w:rsidR="00F36CC4">
        <w:rPr>
          <w:rFonts w:ascii="Arial" w:eastAsia="Times New Roman" w:hAnsi="Arial" w:cs="Arial"/>
          <w:sz w:val="20"/>
          <w:szCs w:val="20"/>
          <w:bdr w:val="nil"/>
        </w:rPr>
        <w:t>, a to do 31. ledna 2015</w:t>
      </w:r>
      <w:r>
        <w:rPr>
          <w:rFonts w:ascii="Arial" w:eastAsia="Times New Roman" w:hAnsi="Arial" w:cs="Arial"/>
          <w:sz w:val="20"/>
          <w:szCs w:val="20"/>
          <w:bdr w:val="nil"/>
        </w:rPr>
        <w:t>. Další vývoj včetně milníků bude aktualizován v návaznosti na rozhodnutí vlády ČR.</w:t>
      </w:r>
    </w:p>
    <w:p w:rsidR="000871A9" w:rsidRPr="00900B19" w:rsidRDefault="000871A9" w:rsidP="000871A9">
      <w:pPr>
        <w:spacing w:before="240"/>
        <w:rPr>
          <w:rFonts w:ascii="Arial" w:hAnsi="Arial" w:cs="Arial"/>
          <w:b/>
          <w:sz w:val="20"/>
          <w:szCs w:val="20"/>
          <w:u w:val="single"/>
        </w:rPr>
      </w:pPr>
      <w:r>
        <w:rPr>
          <w:rFonts w:ascii="Arial" w:hAnsi="Arial" w:cs="Arial"/>
          <w:b/>
          <w:u w:val="single"/>
        </w:rPr>
        <w:t>Odpady</w:t>
      </w:r>
      <w:r w:rsidRPr="00A47781">
        <w:rPr>
          <w:rFonts w:ascii="Arial" w:hAnsi="Arial" w:cs="Arial"/>
        </w:rPr>
        <w:t xml:space="preserve"> –</w:t>
      </w:r>
      <w:r w:rsidRPr="00A47781">
        <w:rPr>
          <w:rFonts w:ascii="Arial" w:hAnsi="Arial" w:cs="Arial"/>
          <w:b/>
        </w:rPr>
        <w:t xml:space="preserve"> T 6.2 </w:t>
      </w:r>
      <w:r>
        <w:rPr>
          <w:rFonts w:ascii="Arial" w:hAnsi="Arial" w:cs="Arial"/>
          <w:sz w:val="20"/>
          <w:szCs w:val="20"/>
        </w:rPr>
        <w:t>(gestor: m</w:t>
      </w:r>
      <w:r w:rsidRPr="00900B19">
        <w:rPr>
          <w:rFonts w:ascii="Arial" w:hAnsi="Arial" w:cs="Arial"/>
          <w:sz w:val="20"/>
          <w:szCs w:val="20"/>
        </w:rPr>
        <w:t>inisterstvo životního prostředí)</w:t>
      </w:r>
    </w:p>
    <w:p w:rsidR="00243DE3" w:rsidRPr="001A7D1B" w:rsidRDefault="00243DE3" w:rsidP="00243DE3">
      <w:pPr>
        <w:pStyle w:val="Odstavecseseznamem"/>
        <w:numPr>
          <w:ilvl w:val="0"/>
          <w:numId w:val="6"/>
        </w:numPr>
        <w:spacing w:before="0"/>
        <w:ind w:left="425" w:hanging="425"/>
        <w:rPr>
          <w:rFonts w:ascii="Arial" w:hAnsi="Arial" w:cs="Arial"/>
        </w:rPr>
      </w:pPr>
      <w:r w:rsidRPr="00FF403D">
        <w:rPr>
          <w:rFonts w:ascii="Arial" w:hAnsi="Arial" w:cs="Arial"/>
          <w:sz w:val="20"/>
        </w:rPr>
        <w:t>EK kritizuje naplňování předběžné podmínky resp. kritéria k </w:t>
      </w:r>
      <w:r>
        <w:rPr>
          <w:rFonts w:ascii="Arial" w:hAnsi="Arial" w:cs="Arial"/>
          <w:sz w:val="20"/>
        </w:rPr>
        <w:t>p</w:t>
      </w:r>
      <w:r w:rsidRPr="00FF403D">
        <w:rPr>
          <w:rFonts w:ascii="Arial" w:hAnsi="Arial" w:cs="Arial"/>
          <w:sz w:val="20"/>
        </w:rPr>
        <w:t>lánu odpadového hospodářství ČR (POH) a opětovného použití recyklace odpadů. Připomínky se týkají přístupu ČR k výstavbě další kapacity odpadů ve vazbě na energetiku, a také nejasný vztah mezi Plánem odpadového hospodářství ČR a regionálními plány odpadového hospodářství</w:t>
      </w:r>
      <w:r>
        <w:rPr>
          <w:rFonts w:ascii="Arial" w:hAnsi="Arial" w:cs="Arial"/>
          <w:sz w:val="20"/>
        </w:rPr>
        <w:t xml:space="preserve">. </w:t>
      </w:r>
    </w:p>
    <w:p w:rsidR="00243DE3" w:rsidRPr="00282133" w:rsidRDefault="00243DE3" w:rsidP="00243DE3">
      <w:pPr>
        <w:pStyle w:val="Odstavecseseznamem"/>
        <w:numPr>
          <w:ilvl w:val="0"/>
          <w:numId w:val="6"/>
        </w:numPr>
        <w:spacing w:before="0"/>
        <w:ind w:left="425" w:hanging="425"/>
        <w:rPr>
          <w:rFonts w:ascii="Arial" w:hAnsi="Arial" w:cs="Arial"/>
          <w:sz w:val="20"/>
        </w:rPr>
      </w:pPr>
      <w:r w:rsidRPr="00282133">
        <w:rPr>
          <w:rFonts w:ascii="Arial" w:hAnsi="Arial" w:cs="Arial"/>
          <w:sz w:val="20"/>
        </w:rPr>
        <w:t xml:space="preserve">Vláda dne 22. prosince 2014 schválila Plán odpadového hospodářství České republiky na období 2015–2024 (návrh nařízení vlády) předložený </w:t>
      </w:r>
      <w:r>
        <w:rPr>
          <w:rFonts w:ascii="Arial" w:hAnsi="Arial" w:cs="Arial"/>
          <w:sz w:val="20"/>
        </w:rPr>
        <w:t>ministerstvem životního prostředí (</w:t>
      </w:r>
      <w:r w:rsidRPr="00282133">
        <w:rPr>
          <w:rFonts w:ascii="Arial" w:hAnsi="Arial" w:cs="Arial"/>
          <w:sz w:val="20"/>
        </w:rPr>
        <w:t>MŽP</w:t>
      </w:r>
      <w:r>
        <w:rPr>
          <w:rFonts w:ascii="Arial" w:hAnsi="Arial" w:cs="Arial"/>
          <w:sz w:val="20"/>
        </w:rPr>
        <w:t>)</w:t>
      </w:r>
      <w:r w:rsidRPr="00282133">
        <w:rPr>
          <w:rFonts w:ascii="Arial" w:hAnsi="Arial" w:cs="Arial"/>
          <w:sz w:val="20"/>
        </w:rPr>
        <w:t>. Hlavními cíli POH je jednoznačně předcházení vzniku odpadů a zvýšení recyklace a materiálového využití odpadů. Plán představuje klíčový dokument pro realizaci d</w:t>
      </w:r>
      <w:r>
        <w:rPr>
          <w:rFonts w:ascii="Arial" w:hAnsi="Arial" w:cs="Arial"/>
          <w:sz w:val="20"/>
        </w:rPr>
        <w:t>louhodobé strategie nakládání s </w:t>
      </w:r>
      <w:r w:rsidRPr="00282133">
        <w:rPr>
          <w:rFonts w:ascii="Arial" w:hAnsi="Arial" w:cs="Arial"/>
          <w:sz w:val="20"/>
        </w:rPr>
        <w:t>odpady, obaly a výrobky s ukončenou životností. Poprvé</w:t>
      </w:r>
      <w:r>
        <w:rPr>
          <w:rFonts w:ascii="Arial" w:hAnsi="Arial" w:cs="Arial"/>
          <w:sz w:val="20"/>
        </w:rPr>
        <w:t xml:space="preserve"> je součástí tohoto dokumentu i </w:t>
      </w:r>
      <w:r w:rsidRPr="00282133">
        <w:rPr>
          <w:rFonts w:ascii="Arial" w:hAnsi="Arial" w:cs="Arial"/>
          <w:sz w:val="20"/>
        </w:rPr>
        <w:t>Program předcházení vzniku odpadů. Novou odpadovou legislativou se M</w:t>
      </w:r>
      <w:r>
        <w:rPr>
          <w:rFonts w:ascii="Arial" w:hAnsi="Arial" w:cs="Arial"/>
          <w:sz w:val="20"/>
        </w:rPr>
        <w:t>ŽP zaměřuje na </w:t>
      </w:r>
      <w:r w:rsidRPr="00282133">
        <w:rPr>
          <w:rFonts w:ascii="Arial" w:hAnsi="Arial" w:cs="Arial"/>
          <w:sz w:val="20"/>
        </w:rPr>
        <w:t>upřednostnění způsobů nakládání s odpady podle celoevropské odpadové hierarchie.</w:t>
      </w:r>
    </w:p>
    <w:p w:rsidR="00243DE3" w:rsidRPr="001C1811" w:rsidRDefault="00243DE3" w:rsidP="00243DE3">
      <w:pPr>
        <w:pStyle w:val="Odstavecseseznamem"/>
        <w:numPr>
          <w:ilvl w:val="0"/>
          <w:numId w:val="6"/>
        </w:numPr>
        <w:spacing w:before="240"/>
        <w:ind w:left="426" w:hanging="426"/>
        <w:rPr>
          <w:rFonts w:ascii="Arial" w:hAnsi="Arial" w:cs="Arial"/>
        </w:rPr>
      </w:pPr>
      <w:r w:rsidRPr="001C1811">
        <w:rPr>
          <w:rFonts w:ascii="Arial" w:eastAsia="Calibri" w:hAnsi="Arial" w:cs="Arial"/>
          <w:sz w:val="20"/>
          <w:szCs w:val="20"/>
        </w:rPr>
        <w:t xml:space="preserve">MMR-NOK k tomuto materiálu konstatuje, že České republice se nepodařilo doposud nalézt řešení pro využívání pouze jednoho zdroje dat pro oblast odpadů, který by jako jediný zdroj dat byl odsouhlasen EK a použit jako výchozí pro zpracování POH 2015–2024, navazujících krajských POH a OP ŽP pro období 2014–2020. </w:t>
      </w:r>
      <w:r>
        <w:rPr>
          <w:rFonts w:ascii="Arial" w:eastAsia="Calibri" w:hAnsi="Arial" w:cs="Arial"/>
          <w:sz w:val="20"/>
          <w:szCs w:val="20"/>
        </w:rPr>
        <w:t xml:space="preserve">MŽP použilo pro zpracování POH 2015–2024 a OP ŽP 2014–2020 svá vlastní data, kdežto EK upřednostňuje data DG EUROSTAT, tedy Českého statistického úřadu. </w:t>
      </w:r>
      <w:r w:rsidRPr="001C1811">
        <w:rPr>
          <w:rFonts w:ascii="Arial" w:eastAsia="Calibri" w:hAnsi="Arial" w:cs="Arial"/>
          <w:sz w:val="20"/>
          <w:szCs w:val="20"/>
        </w:rPr>
        <w:t>Na tento problém EK dlouhodobě upozorňuje, avšak její pozice není v tomto dlouhodobě zcela jednoznačná. Není tak v</w:t>
      </w:r>
      <w:r>
        <w:rPr>
          <w:rFonts w:ascii="Arial" w:eastAsia="Calibri" w:hAnsi="Arial" w:cs="Arial"/>
          <w:sz w:val="20"/>
          <w:szCs w:val="20"/>
        </w:rPr>
        <w:t>yloučeno negativní hodnocení ze </w:t>
      </w:r>
      <w:r w:rsidRPr="001C1811">
        <w:rPr>
          <w:rFonts w:ascii="Arial" w:eastAsia="Calibri" w:hAnsi="Arial" w:cs="Arial"/>
          <w:sz w:val="20"/>
          <w:szCs w:val="20"/>
        </w:rPr>
        <w:t>strany EK, nejen ve smyslu obecné nutnosti použití jednoznačné „metriky“</w:t>
      </w:r>
      <w:r w:rsidR="0091545F">
        <w:rPr>
          <w:rFonts w:ascii="Arial" w:eastAsia="Calibri" w:hAnsi="Arial" w:cs="Arial"/>
          <w:sz w:val="20"/>
          <w:szCs w:val="20"/>
        </w:rPr>
        <w:t xml:space="preserve"> dat a jejich vykazování, ale i </w:t>
      </w:r>
      <w:r w:rsidRPr="001C1811">
        <w:rPr>
          <w:rFonts w:ascii="Arial" w:eastAsia="Calibri" w:hAnsi="Arial" w:cs="Arial"/>
          <w:sz w:val="20"/>
          <w:szCs w:val="20"/>
        </w:rPr>
        <w:t xml:space="preserve">ve smyslu toho, že nebude vnímat předběžnou podmínku </w:t>
      </w:r>
      <w:r>
        <w:rPr>
          <w:rFonts w:ascii="Arial" w:eastAsia="Calibri" w:hAnsi="Arial" w:cs="Arial"/>
          <w:sz w:val="20"/>
          <w:szCs w:val="20"/>
        </w:rPr>
        <w:t xml:space="preserve">za </w:t>
      </w:r>
      <w:r w:rsidRPr="001C1811">
        <w:rPr>
          <w:rFonts w:ascii="Arial" w:eastAsia="Calibri" w:hAnsi="Arial" w:cs="Arial"/>
          <w:sz w:val="20"/>
          <w:szCs w:val="20"/>
        </w:rPr>
        <w:t>zcela splněnou</w:t>
      </w:r>
      <w:r>
        <w:rPr>
          <w:rFonts w:ascii="Arial" w:eastAsia="Calibri" w:hAnsi="Arial" w:cs="Arial"/>
          <w:sz w:val="20"/>
          <w:szCs w:val="20"/>
        </w:rPr>
        <w:t xml:space="preserve"> (c</w:t>
      </w:r>
      <w:r w:rsidRPr="001C1811">
        <w:rPr>
          <w:rFonts w:ascii="Arial" w:eastAsia="Calibri" w:hAnsi="Arial" w:cs="Arial"/>
          <w:sz w:val="20"/>
          <w:szCs w:val="20"/>
        </w:rPr>
        <w:t xml:space="preserve">ož </w:t>
      </w:r>
      <w:r>
        <w:rPr>
          <w:rFonts w:ascii="Arial" w:eastAsia="Calibri" w:hAnsi="Arial" w:cs="Arial"/>
          <w:sz w:val="20"/>
          <w:szCs w:val="20"/>
        </w:rPr>
        <w:t xml:space="preserve">může </w:t>
      </w:r>
      <w:r w:rsidRPr="001C1811">
        <w:rPr>
          <w:rFonts w:ascii="Arial" w:eastAsia="Calibri" w:hAnsi="Arial" w:cs="Arial"/>
          <w:sz w:val="20"/>
          <w:szCs w:val="20"/>
        </w:rPr>
        <w:t xml:space="preserve">znamenat komplikace pro čerpání </w:t>
      </w:r>
      <w:r>
        <w:rPr>
          <w:rFonts w:ascii="Arial" w:eastAsia="Calibri" w:hAnsi="Arial" w:cs="Arial"/>
          <w:sz w:val="20"/>
          <w:szCs w:val="20"/>
        </w:rPr>
        <w:t xml:space="preserve">prostředků </w:t>
      </w:r>
      <w:r w:rsidRPr="001C1811">
        <w:rPr>
          <w:rFonts w:ascii="Arial" w:eastAsia="Calibri" w:hAnsi="Arial" w:cs="Arial"/>
          <w:sz w:val="20"/>
          <w:szCs w:val="20"/>
        </w:rPr>
        <w:t>v rámci prioritní osy 3 OP ŽP</w:t>
      </w:r>
      <w:r>
        <w:rPr>
          <w:rFonts w:ascii="Arial" w:eastAsia="Calibri" w:hAnsi="Arial" w:cs="Arial"/>
          <w:sz w:val="20"/>
          <w:szCs w:val="20"/>
        </w:rPr>
        <w:t>)</w:t>
      </w:r>
      <w:r w:rsidRPr="001C1811">
        <w:rPr>
          <w:rFonts w:ascii="Arial" w:eastAsia="Calibri" w:hAnsi="Arial" w:cs="Arial"/>
          <w:sz w:val="20"/>
          <w:szCs w:val="20"/>
        </w:rPr>
        <w:t>.</w:t>
      </w:r>
    </w:p>
    <w:p w:rsidR="000871A9" w:rsidRPr="00B35DC4" w:rsidRDefault="000871A9" w:rsidP="000871A9">
      <w:pPr>
        <w:spacing w:before="240"/>
        <w:rPr>
          <w:rFonts w:ascii="Arial" w:hAnsi="Arial" w:cs="Arial"/>
        </w:rPr>
      </w:pPr>
      <w:r w:rsidRPr="00B35DC4">
        <w:rPr>
          <w:rFonts w:ascii="Arial" w:hAnsi="Arial" w:cs="Arial"/>
          <w:b/>
          <w:u w:val="single"/>
        </w:rPr>
        <w:t>Doprava</w:t>
      </w:r>
      <w:r w:rsidRPr="00B35DC4">
        <w:rPr>
          <w:rFonts w:ascii="Arial" w:hAnsi="Arial" w:cs="Arial"/>
        </w:rPr>
        <w:t xml:space="preserve"> </w:t>
      </w:r>
      <w:r w:rsidRPr="00B35DC4">
        <w:rPr>
          <w:rFonts w:ascii="Arial" w:eastAsia="Times New Roman" w:hAnsi="Arial" w:cs="Arial"/>
        </w:rPr>
        <w:t xml:space="preserve">– </w:t>
      </w:r>
      <w:r w:rsidRPr="00B35DC4">
        <w:rPr>
          <w:rFonts w:ascii="Arial" w:eastAsia="Times New Roman" w:hAnsi="Arial" w:cs="Arial"/>
          <w:b/>
        </w:rPr>
        <w:t>T 7.1–7.3</w:t>
      </w:r>
      <w:r w:rsidRPr="00B35DC4">
        <w:rPr>
          <w:rFonts w:ascii="Arial" w:eastAsia="Times New Roman" w:hAnsi="Arial" w:cs="Arial"/>
        </w:rPr>
        <w:t xml:space="preserve"> </w:t>
      </w:r>
      <w:r w:rsidRPr="00B35DC4">
        <w:rPr>
          <w:rFonts w:ascii="Arial" w:hAnsi="Arial" w:cs="Arial"/>
          <w:sz w:val="20"/>
          <w:szCs w:val="20"/>
        </w:rPr>
        <w:t>(gestor: ministerstvo dopravy)</w:t>
      </w:r>
    </w:p>
    <w:p w:rsidR="006055B0" w:rsidRDefault="00243DE3" w:rsidP="00243DE3">
      <w:pPr>
        <w:pStyle w:val="Odstavecseseznamem"/>
        <w:numPr>
          <w:ilvl w:val="0"/>
          <w:numId w:val="6"/>
        </w:numPr>
        <w:spacing w:before="40"/>
        <w:ind w:left="426" w:hanging="426"/>
        <w:rPr>
          <w:rFonts w:ascii="Arial" w:hAnsi="Arial" w:cs="Arial"/>
          <w:sz w:val="20"/>
        </w:rPr>
      </w:pPr>
      <w:r w:rsidRPr="00900B19">
        <w:rPr>
          <w:rFonts w:ascii="Arial" w:hAnsi="Arial" w:cs="Arial"/>
          <w:sz w:val="20"/>
        </w:rPr>
        <w:t xml:space="preserve">Ministerstvo dopravy </w:t>
      </w:r>
      <w:r w:rsidR="00CF0A5D">
        <w:rPr>
          <w:rFonts w:ascii="Arial" w:hAnsi="Arial" w:cs="Arial"/>
          <w:sz w:val="20"/>
        </w:rPr>
        <w:t xml:space="preserve">(MD) </w:t>
      </w:r>
      <w:r w:rsidRPr="00900B19">
        <w:rPr>
          <w:rFonts w:ascii="Arial" w:hAnsi="Arial" w:cs="Arial"/>
          <w:sz w:val="20"/>
        </w:rPr>
        <w:t>aktuálně připravuje Akční plán k Dopr</w:t>
      </w:r>
      <w:r w:rsidR="0091545F">
        <w:rPr>
          <w:rFonts w:ascii="Arial" w:hAnsi="Arial" w:cs="Arial"/>
          <w:sz w:val="20"/>
        </w:rPr>
        <w:t>avním sektorovým strategiím, 2. </w:t>
      </w:r>
      <w:r w:rsidRPr="00900B19">
        <w:rPr>
          <w:rFonts w:ascii="Arial" w:hAnsi="Arial" w:cs="Arial"/>
          <w:sz w:val="20"/>
        </w:rPr>
        <w:t xml:space="preserve">fáze, za asistence JASPERS. </w:t>
      </w:r>
    </w:p>
    <w:p w:rsidR="006055B0" w:rsidRDefault="00243DE3" w:rsidP="006055B0">
      <w:pPr>
        <w:pStyle w:val="Odstavecseseznamem"/>
        <w:spacing w:before="40"/>
        <w:ind w:left="426" w:firstLine="0"/>
        <w:rPr>
          <w:rFonts w:ascii="Arial" w:hAnsi="Arial" w:cs="Arial"/>
          <w:sz w:val="20"/>
        </w:rPr>
      </w:pPr>
      <w:r w:rsidRPr="00900B19">
        <w:rPr>
          <w:rFonts w:ascii="Arial" w:hAnsi="Arial" w:cs="Arial"/>
          <w:sz w:val="20"/>
        </w:rPr>
        <w:t xml:space="preserve">Termín schválení byl </w:t>
      </w:r>
      <w:r>
        <w:rPr>
          <w:rFonts w:ascii="Arial" w:hAnsi="Arial" w:cs="Arial"/>
          <w:sz w:val="20"/>
        </w:rPr>
        <w:t xml:space="preserve">původně </w:t>
      </w:r>
      <w:r w:rsidRPr="00900B19">
        <w:rPr>
          <w:rFonts w:ascii="Arial" w:hAnsi="Arial" w:cs="Arial"/>
          <w:sz w:val="20"/>
        </w:rPr>
        <w:t>deklarován na říjen 2014</w:t>
      </w:r>
      <w:r w:rsidR="006055B0">
        <w:rPr>
          <w:rFonts w:ascii="Arial" w:hAnsi="Arial" w:cs="Arial"/>
          <w:sz w:val="20"/>
        </w:rPr>
        <w:t>, aktuálně je dopracování dokumentu stanoveno na konec ledna 2015</w:t>
      </w:r>
      <w:r w:rsidRPr="00900B19">
        <w:rPr>
          <w:rFonts w:ascii="Arial" w:hAnsi="Arial" w:cs="Arial"/>
          <w:sz w:val="20"/>
        </w:rPr>
        <w:t xml:space="preserve"> </w:t>
      </w:r>
      <w:r>
        <w:rPr>
          <w:rFonts w:ascii="Arial" w:hAnsi="Arial" w:cs="Arial"/>
          <w:sz w:val="20"/>
        </w:rPr>
        <w:t xml:space="preserve">a v únoru </w:t>
      </w:r>
      <w:r w:rsidR="00CF0A5D">
        <w:rPr>
          <w:rFonts w:ascii="Arial" w:hAnsi="Arial" w:cs="Arial"/>
          <w:sz w:val="20"/>
        </w:rPr>
        <w:t xml:space="preserve">je plánováno </w:t>
      </w:r>
      <w:r w:rsidRPr="006055B0">
        <w:rPr>
          <w:rFonts w:ascii="Arial" w:hAnsi="Arial" w:cs="Arial"/>
          <w:sz w:val="20"/>
        </w:rPr>
        <w:t>předložen</w:t>
      </w:r>
      <w:r w:rsidR="006055B0">
        <w:rPr>
          <w:rFonts w:ascii="Arial" w:hAnsi="Arial" w:cs="Arial"/>
          <w:sz w:val="20"/>
        </w:rPr>
        <w:t>í</w:t>
      </w:r>
      <w:r>
        <w:rPr>
          <w:rFonts w:ascii="Arial" w:hAnsi="Arial" w:cs="Arial"/>
          <w:sz w:val="20"/>
        </w:rPr>
        <w:t xml:space="preserve"> vládě a EK. </w:t>
      </w:r>
      <w:r w:rsidR="006055B0">
        <w:rPr>
          <w:rFonts w:ascii="Arial" w:hAnsi="Arial" w:cs="Arial"/>
          <w:sz w:val="20"/>
        </w:rPr>
        <w:t>N</w:t>
      </w:r>
      <w:r w:rsidR="006055B0" w:rsidRPr="00543C99">
        <w:rPr>
          <w:rFonts w:ascii="Arial" w:hAnsi="Arial" w:cs="Arial"/>
          <w:sz w:val="20"/>
        </w:rPr>
        <w:t xml:space="preserve">ávrh Akčního plánu bude poslán ke konzultaci </w:t>
      </w:r>
      <w:r w:rsidR="00CF0A5D">
        <w:rPr>
          <w:rFonts w:ascii="Arial" w:hAnsi="Arial" w:cs="Arial"/>
          <w:sz w:val="20"/>
        </w:rPr>
        <w:t>JASPERS</w:t>
      </w:r>
      <w:r w:rsidR="00CF0A5D" w:rsidRPr="00543C99">
        <w:rPr>
          <w:rFonts w:ascii="Arial" w:hAnsi="Arial" w:cs="Arial"/>
          <w:sz w:val="20"/>
        </w:rPr>
        <w:t xml:space="preserve"> </w:t>
      </w:r>
      <w:r w:rsidR="006055B0" w:rsidRPr="00543C99">
        <w:rPr>
          <w:rFonts w:ascii="Arial" w:hAnsi="Arial" w:cs="Arial"/>
          <w:sz w:val="20"/>
        </w:rPr>
        <w:t xml:space="preserve">a </w:t>
      </w:r>
      <w:r w:rsidR="006055B0">
        <w:rPr>
          <w:rFonts w:ascii="Arial" w:hAnsi="Arial" w:cs="Arial"/>
          <w:sz w:val="20"/>
        </w:rPr>
        <w:t>ná</w:t>
      </w:r>
      <w:r w:rsidR="006055B0" w:rsidRPr="00543C99">
        <w:rPr>
          <w:rFonts w:ascii="Arial" w:hAnsi="Arial" w:cs="Arial"/>
          <w:sz w:val="20"/>
        </w:rPr>
        <w:t>sledně EK</w:t>
      </w:r>
      <w:r w:rsidR="006055B0">
        <w:rPr>
          <w:rFonts w:ascii="Arial" w:hAnsi="Arial" w:cs="Arial"/>
          <w:sz w:val="20"/>
        </w:rPr>
        <w:t>.</w:t>
      </w:r>
      <w:r w:rsidRPr="006055B0">
        <w:rPr>
          <w:rFonts w:ascii="Arial" w:hAnsi="Arial" w:cs="Arial"/>
          <w:sz w:val="20"/>
        </w:rPr>
        <w:t xml:space="preserve"> </w:t>
      </w:r>
    </w:p>
    <w:p w:rsidR="00243DE3" w:rsidRPr="00900B19" w:rsidRDefault="00243DE3" w:rsidP="00243DE3">
      <w:pPr>
        <w:pStyle w:val="Odstavecseseznamem"/>
        <w:numPr>
          <w:ilvl w:val="0"/>
          <w:numId w:val="6"/>
        </w:numPr>
        <w:spacing w:before="40"/>
        <w:ind w:left="426" w:hanging="426"/>
        <w:rPr>
          <w:rFonts w:ascii="Arial" w:hAnsi="Arial" w:cs="Arial"/>
          <w:sz w:val="20"/>
        </w:rPr>
      </w:pPr>
      <w:r>
        <w:rPr>
          <w:rFonts w:ascii="Arial" w:hAnsi="Arial" w:cs="Arial"/>
          <w:sz w:val="20"/>
        </w:rPr>
        <w:t>Je nutno podotknout, že EK má k akčnímu plánu specifický přístup, a to napříč členskými státy obecně.</w:t>
      </w:r>
      <w:r w:rsidRPr="006055B0">
        <w:rPr>
          <w:rFonts w:ascii="Arial" w:hAnsi="Arial" w:cs="Arial"/>
          <w:sz w:val="20"/>
        </w:rPr>
        <w:t xml:space="preserve"> </w:t>
      </w:r>
      <w:r w:rsidR="006055B0" w:rsidRPr="00543C99">
        <w:rPr>
          <w:rFonts w:ascii="Arial" w:hAnsi="Arial" w:cs="Arial"/>
          <w:sz w:val="20"/>
        </w:rPr>
        <w:t xml:space="preserve">I proto bylo nutné při přípravě vyjasnit některé metodické aspekty se zástupci </w:t>
      </w:r>
      <w:r w:rsidR="00CF0A5D">
        <w:rPr>
          <w:rFonts w:ascii="Arial" w:hAnsi="Arial" w:cs="Arial"/>
          <w:sz w:val="20"/>
        </w:rPr>
        <w:t>JASPERS</w:t>
      </w:r>
      <w:r w:rsidR="00CF0A5D" w:rsidRPr="00543C99">
        <w:rPr>
          <w:rFonts w:ascii="Arial" w:hAnsi="Arial" w:cs="Arial"/>
          <w:sz w:val="20"/>
        </w:rPr>
        <w:t xml:space="preserve"> </w:t>
      </w:r>
      <w:r w:rsidR="006055B0" w:rsidRPr="00543C99">
        <w:rPr>
          <w:rFonts w:ascii="Arial" w:hAnsi="Arial" w:cs="Arial"/>
          <w:sz w:val="20"/>
        </w:rPr>
        <w:t xml:space="preserve">a zajistit sběr potřebných údajů v rámci MD, </w:t>
      </w:r>
      <w:r w:rsidR="00CF0A5D">
        <w:rPr>
          <w:rFonts w:ascii="Arial" w:hAnsi="Arial" w:cs="Arial"/>
          <w:sz w:val="20"/>
        </w:rPr>
        <w:t>Státního fondu dopravní infrastruktury</w:t>
      </w:r>
      <w:r w:rsidR="00CF0A5D" w:rsidRPr="00543C99">
        <w:rPr>
          <w:rFonts w:ascii="Arial" w:hAnsi="Arial" w:cs="Arial"/>
          <w:sz w:val="20"/>
        </w:rPr>
        <w:t xml:space="preserve"> </w:t>
      </w:r>
      <w:r w:rsidR="006055B0" w:rsidRPr="00543C99">
        <w:rPr>
          <w:rFonts w:ascii="Arial" w:hAnsi="Arial" w:cs="Arial"/>
          <w:sz w:val="20"/>
        </w:rPr>
        <w:t xml:space="preserve">i u majoritních příjemců. </w:t>
      </w:r>
      <w:r w:rsidR="006055B0">
        <w:rPr>
          <w:rFonts w:ascii="Arial" w:hAnsi="Arial" w:cs="Arial"/>
          <w:sz w:val="20"/>
        </w:rPr>
        <w:t>A</w:t>
      </w:r>
      <w:r w:rsidR="006055B0" w:rsidRPr="00543C99">
        <w:rPr>
          <w:rFonts w:ascii="Arial" w:hAnsi="Arial" w:cs="Arial"/>
          <w:sz w:val="20"/>
        </w:rPr>
        <w:t xml:space="preserve">kční plán nebyl při dosavadních jednáních zástupců </w:t>
      </w:r>
      <w:r w:rsidR="00CF0A5D">
        <w:rPr>
          <w:rFonts w:ascii="Arial" w:hAnsi="Arial" w:cs="Arial"/>
          <w:sz w:val="20"/>
        </w:rPr>
        <w:t>řídicího orgánu</w:t>
      </w:r>
      <w:r w:rsidR="006055B0" w:rsidRPr="00543C99">
        <w:rPr>
          <w:rFonts w:ascii="Arial" w:hAnsi="Arial" w:cs="Arial"/>
          <w:sz w:val="20"/>
        </w:rPr>
        <w:t xml:space="preserve"> OP</w:t>
      </w:r>
      <w:r w:rsidR="006055B0">
        <w:rPr>
          <w:rFonts w:ascii="Arial" w:hAnsi="Arial" w:cs="Arial"/>
          <w:sz w:val="20"/>
        </w:rPr>
        <w:t xml:space="preserve"> </w:t>
      </w:r>
      <w:r w:rsidR="006055B0" w:rsidRPr="00543C99">
        <w:rPr>
          <w:rFonts w:ascii="Arial" w:hAnsi="Arial" w:cs="Arial"/>
          <w:sz w:val="20"/>
        </w:rPr>
        <w:t>D s EK řešena.</w:t>
      </w:r>
      <w:r>
        <w:rPr>
          <w:rFonts w:ascii="Arial" w:hAnsi="Arial" w:cs="Arial"/>
          <w:sz w:val="20"/>
        </w:rPr>
        <w:t xml:space="preserve"> I přesto lze konstatovat, že posouváním termínu dopracování vzrůstá </w:t>
      </w:r>
      <w:r w:rsidRPr="00900B19">
        <w:rPr>
          <w:rFonts w:ascii="Arial" w:hAnsi="Arial" w:cs="Arial"/>
          <w:sz w:val="20"/>
        </w:rPr>
        <w:t>riziko pozdního schválení a předložení EK k</w:t>
      </w:r>
      <w:r>
        <w:rPr>
          <w:rFonts w:ascii="Arial" w:hAnsi="Arial" w:cs="Arial"/>
          <w:sz w:val="20"/>
        </w:rPr>
        <w:t> </w:t>
      </w:r>
      <w:r w:rsidRPr="00900B19">
        <w:rPr>
          <w:rFonts w:ascii="Arial" w:hAnsi="Arial" w:cs="Arial"/>
          <w:sz w:val="20"/>
        </w:rPr>
        <w:t>posouzení</w:t>
      </w:r>
      <w:r>
        <w:rPr>
          <w:rFonts w:ascii="Arial" w:hAnsi="Arial" w:cs="Arial"/>
          <w:sz w:val="20"/>
        </w:rPr>
        <w:t xml:space="preserve">. </w:t>
      </w:r>
    </w:p>
    <w:p w:rsidR="000871A9" w:rsidRPr="00FB189D" w:rsidRDefault="000871A9" w:rsidP="000871A9">
      <w:pPr>
        <w:spacing w:before="240"/>
        <w:rPr>
          <w:rFonts w:ascii="Arial" w:eastAsia="Times New Roman" w:hAnsi="Arial" w:cs="Arial"/>
          <w:b/>
          <w:u w:val="single"/>
        </w:rPr>
      </w:pPr>
      <w:r w:rsidRPr="00FB189D">
        <w:rPr>
          <w:rFonts w:ascii="Arial" w:eastAsia="Times New Roman" w:hAnsi="Arial" w:cs="Arial"/>
          <w:b/>
          <w:u w:val="single"/>
        </w:rPr>
        <w:t>Zaměstnanost</w:t>
      </w:r>
      <w:r>
        <w:rPr>
          <w:rFonts w:ascii="Arial" w:eastAsia="Times New Roman" w:hAnsi="Arial" w:cs="Arial"/>
        </w:rPr>
        <w:t xml:space="preserve"> – </w:t>
      </w:r>
      <w:r>
        <w:rPr>
          <w:rFonts w:ascii="Arial" w:eastAsia="Times New Roman" w:hAnsi="Arial" w:cs="Arial"/>
          <w:b/>
        </w:rPr>
        <w:t>T</w:t>
      </w:r>
      <w:r w:rsidRPr="00FB3130">
        <w:rPr>
          <w:rFonts w:ascii="Arial" w:eastAsia="Times New Roman" w:hAnsi="Arial" w:cs="Arial"/>
          <w:b/>
        </w:rPr>
        <w:t xml:space="preserve"> </w:t>
      </w:r>
      <w:r>
        <w:rPr>
          <w:rFonts w:ascii="Arial" w:eastAsia="Times New Roman" w:hAnsi="Arial" w:cs="Arial"/>
          <w:b/>
        </w:rPr>
        <w:t>8</w:t>
      </w:r>
      <w:r w:rsidRPr="00FB3130">
        <w:rPr>
          <w:rFonts w:ascii="Arial" w:eastAsia="Times New Roman" w:hAnsi="Arial" w:cs="Arial"/>
          <w:b/>
        </w:rPr>
        <w:t>.1</w:t>
      </w:r>
      <w:r>
        <w:rPr>
          <w:rFonts w:ascii="Arial" w:eastAsia="Times New Roman" w:hAnsi="Arial" w:cs="Arial"/>
          <w:b/>
        </w:rPr>
        <w:t xml:space="preserve"> - 8.6</w:t>
      </w:r>
      <w:r>
        <w:rPr>
          <w:rFonts w:ascii="Arial" w:eastAsia="Times New Roman" w:hAnsi="Arial" w:cs="Arial"/>
        </w:rPr>
        <w:t xml:space="preserve"> </w:t>
      </w:r>
      <w:r w:rsidRPr="006705AA">
        <w:rPr>
          <w:rFonts w:ascii="Arial" w:eastAsia="Times New Roman" w:hAnsi="Arial" w:cs="Arial"/>
          <w:sz w:val="20"/>
          <w:szCs w:val="20"/>
        </w:rPr>
        <w:t>(gestor: ministerstvo práce a sociálních věcí)</w:t>
      </w:r>
    </w:p>
    <w:p w:rsidR="00243DE3" w:rsidRDefault="00243DE3" w:rsidP="00243DE3">
      <w:pPr>
        <w:pStyle w:val="Odstavecseseznamem"/>
        <w:numPr>
          <w:ilvl w:val="0"/>
          <w:numId w:val="11"/>
        </w:numPr>
        <w:spacing w:before="40"/>
        <w:ind w:left="426" w:hanging="426"/>
        <w:rPr>
          <w:rFonts w:ascii="Arial" w:hAnsi="Arial" w:cs="Arial"/>
          <w:sz w:val="20"/>
        </w:rPr>
      </w:pPr>
      <w:r w:rsidRPr="006705AA">
        <w:rPr>
          <w:rFonts w:ascii="Arial" w:hAnsi="Arial"/>
          <w:sz w:val="20"/>
        </w:rPr>
        <w:t xml:space="preserve">Strategie politiky zaměstnanosti byla vládou schválena, stejně tak i jeden z jejích implementačních plánů - </w:t>
      </w:r>
      <w:r w:rsidRPr="006705AA">
        <w:rPr>
          <w:rFonts w:ascii="Arial" w:hAnsi="Arial" w:cs="Arial"/>
          <w:sz w:val="20"/>
        </w:rPr>
        <w:t>Aktivizační opatření k řešení nepříznivé situace na trhu práce.</w:t>
      </w:r>
      <w:r>
        <w:rPr>
          <w:rFonts w:ascii="Arial" w:hAnsi="Arial" w:cs="Arial"/>
          <w:sz w:val="20"/>
        </w:rPr>
        <w:t xml:space="preserve"> </w:t>
      </w:r>
    </w:p>
    <w:p w:rsidR="00243DE3" w:rsidRPr="005B78E8" w:rsidRDefault="00243DE3" w:rsidP="00243DE3">
      <w:pPr>
        <w:pStyle w:val="Odstavecseseznamem"/>
        <w:numPr>
          <w:ilvl w:val="0"/>
          <w:numId w:val="11"/>
        </w:numPr>
        <w:spacing w:before="40"/>
        <w:ind w:left="426" w:hanging="426"/>
        <w:rPr>
          <w:rFonts w:ascii="Arial" w:hAnsi="Arial" w:cs="Arial"/>
          <w:sz w:val="20"/>
        </w:rPr>
      </w:pPr>
      <w:r w:rsidRPr="005B78E8">
        <w:rPr>
          <w:rFonts w:ascii="Arial" w:hAnsi="Arial" w:cs="Arial"/>
          <w:sz w:val="20"/>
        </w:rPr>
        <w:t>EK ve svých připomínkách postrád</w:t>
      </w:r>
      <w:r>
        <w:rPr>
          <w:rFonts w:ascii="Arial" w:hAnsi="Arial" w:cs="Arial"/>
          <w:sz w:val="20"/>
        </w:rPr>
        <w:t xml:space="preserve">ala více </w:t>
      </w:r>
      <w:r w:rsidRPr="005B78E8">
        <w:rPr>
          <w:rFonts w:ascii="Arial" w:hAnsi="Arial" w:cs="Arial"/>
          <w:sz w:val="20"/>
        </w:rPr>
        <w:t>informací k </w:t>
      </w:r>
      <w:r>
        <w:rPr>
          <w:rFonts w:ascii="Arial" w:hAnsi="Arial" w:cs="Arial"/>
          <w:sz w:val="20"/>
        </w:rPr>
        <w:t>předběžným podmínkám</w:t>
      </w:r>
      <w:r w:rsidRPr="005B78E8">
        <w:rPr>
          <w:rFonts w:ascii="Arial" w:hAnsi="Arial" w:cs="Arial"/>
          <w:sz w:val="20"/>
        </w:rPr>
        <w:t xml:space="preserve"> 8.1 a 8.3</w:t>
      </w:r>
      <w:r>
        <w:rPr>
          <w:rFonts w:ascii="Arial" w:hAnsi="Arial" w:cs="Arial"/>
          <w:sz w:val="20"/>
        </w:rPr>
        <w:t xml:space="preserve"> (např. </w:t>
      </w:r>
      <w:r w:rsidRPr="005B78E8">
        <w:rPr>
          <w:rFonts w:ascii="Arial" w:hAnsi="Arial" w:cs="Arial"/>
          <w:sz w:val="20"/>
        </w:rPr>
        <w:t>v oblasti služeb a reformy zaměstnanosti, nabídky nových pracovních míst, posílení spolupráce mezi úřady práce a hospodářskou komorou</w:t>
      </w:r>
      <w:r>
        <w:rPr>
          <w:rFonts w:ascii="Arial" w:hAnsi="Arial" w:cs="Arial"/>
          <w:sz w:val="20"/>
        </w:rPr>
        <w:t>,</w:t>
      </w:r>
      <w:r w:rsidRPr="005B78E8">
        <w:rPr>
          <w:rFonts w:ascii="Arial" w:hAnsi="Arial" w:cs="Arial"/>
          <w:sz w:val="20"/>
        </w:rPr>
        <w:t xml:space="preserve"> </w:t>
      </w:r>
      <w:r>
        <w:rPr>
          <w:rFonts w:ascii="Arial" w:hAnsi="Arial" w:cs="Arial"/>
          <w:sz w:val="20"/>
        </w:rPr>
        <w:t>zejména s ohledem na </w:t>
      </w:r>
      <w:r w:rsidRPr="005B78E8">
        <w:rPr>
          <w:rFonts w:ascii="Arial" w:hAnsi="Arial" w:cs="Arial"/>
          <w:sz w:val="20"/>
        </w:rPr>
        <w:t>doplnění analýzy potřeb znevýhodněných skupin</w:t>
      </w:r>
      <w:r>
        <w:rPr>
          <w:rFonts w:ascii="Arial" w:hAnsi="Arial" w:cs="Arial"/>
          <w:sz w:val="20"/>
        </w:rPr>
        <w:t xml:space="preserve">, </w:t>
      </w:r>
      <w:r w:rsidRPr="005B78E8">
        <w:rPr>
          <w:rFonts w:ascii="Arial" w:hAnsi="Arial" w:cs="Arial"/>
          <w:sz w:val="20"/>
        </w:rPr>
        <w:t>rozpracování datové základny, opatření zaměřená n</w:t>
      </w:r>
      <w:r>
        <w:rPr>
          <w:rFonts w:ascii="Arial" w:hAnsi="Arial" w:cs="Arial"/>
          <w:sz w:val="20"/>
        </w:rPr>
        <w:t>a</w:t>
      </w:r>
      <w:r w:rsidR="00202F86">
        <w:rPr>
          <w:rFonts w:ascii="Arial" w:hAnsi="Arial" w:cs="Arial"/>
          <w:sz w:val="20"/>
        </w:rPr>
        <w:t> </w:t>
      </w:r>
      <w:r>
        <w:rPr>
          <w:rFonts w:ascii="Arial" w:hAnsi="Arial" w:cs="Arial"/>
          <w:sz w:val="20"/>
        </w:rPr>
        <w:t xml:space="preserve">znevýhodnění skupiny obyvatel). MMR-NOK </w:t>
      </w:r>
      <w:r w:rsidR="00FC2FB4">
        <w:rPr>
          <w:rFonts w:ascii="Arial" w:hAnsi="Arial" w:cs="Arial"/>
          <w:sz w:val="20"/>
        </w:rPr>
        <w:t>také</w:t>
      </w:r>
      <w:r>
        <w:rPr>
          <w:rFonts w:ascii="Arial" w:hAnsi="Arial" w:cs="Arial"/>
          <w:sz w:val="20"/>
        </w:rPr>
        <w:t xml:space="preserve"> požádalo o zpřesnění těchto textů, neboť informace uváděné v naplňování předběžných podmínek </w:t>
      </w:r>
      <w:r w:rsidR="00FC2FB4">
        <w:rPr>
          <w:rFonts w:ascii="Arial" w:hAnsi="Arial" w:cs="Arial"/>
          <w:sz w:val="20"/>
        </w:rPr>
        <w:t xml:space="preserve">nebyly </w:t>
      </w:r>
      <w:r>
        <w:rPr>
          <w:rFonts w:ascii="Arial" w:hAnsi="Arial" w:cs="Arial"/>
          <w:sz w:val="20"/>
        </w:rPr>
        <w:t>zcela evidentní (např. u</w:t>
      </w:r>
      <w:r w:rsidR="00202F86">
        <w:rPr>
          <w:rFonts w:ascii="Arial" w:hAnsi="Arial" w:cs="Arial"/>
          <w:sz w:val="20"/>
        </w:rPr>
        <w:t> </w:t>
      </w:r>
      <w:r>
        <w:rPr>
          <w:rFonts w:ascii="Arial" w:hAnsi="Arial" w:cs="Arial"/>
          <w:sz w:val="20"/>
        </w:rPr>
        <w:t xml:space="preserve">nesplněných předběžných podmínek </w:t>
      </w:r>
      <w:r w:rsidR="00202F86">
        <w:rPr>
          <w:rFonts w:ascii="Arial" w:hAnsi="Arial" w:cs="Arial"/>
          <w:sz w:val="20"/>
        </w:rPr>
        <w:t xml:space="preserve">(PP) </w:t>
      </w:r>
      <w:r>
        <w:rPr>
          <w:rFonts w:ascii="Arial" w:hAnsi="Arial" w:cs="Arial"/>
          <w:sz w:val="20"/>
        </w:rPr>
        <w:t>nejsou jasně stanoveny opatření směřující k naplnění apod.).</w:t>
      </w:r>
      <w:r w:rsidR="00FC2FB4">
        <w:rPr>
          <w:rFonts w:ascii="Arial" w:hAnsi="Arial" w:cs="Arial"/>
          <w:sz w:val="20"/>
        </w:rPr>
        <w:t xml:space="preserve"> </w:t>
      </w:r>
      <w:r w:rsidR="00FC2FB4" w:rsidRPr="00FC2FB4">
        <w:rPr>
          <w:rFonts w:ascii="Arial" w:hAnsi="Arial" w:cs="Arial"/>
          <w:sz w:val="20"/>
        </w:rPr>
        <w:t>MPSV zpracovalo revidovanou verzi naplňování předběžných podmínek, stejně tak i</w:t>
      </w:r>
      <w:r w:rsidR="00202F86">
        <w:rPr>
          <w:rFonts w:ascii="Arial" w:hAnsi="Arial" w:cs="Arial"/>
          <w:sz w:val="20"/>
        </w:rPr>
        <w:t> </w:t>
      </w:r>
      <w:r w:rsidR="00FC2FB4" w:rsidRPr="00FC2FB4">
        <w:rPr>
          <w:rFonts w:ascii="Arial" w:hAnsi="Arial" w:cs="Arial"/>
          <w:sz w:val="20"/>
        </w:rPr>
        <w:t xml:space="preserve">doplnilo tzv. hodnotící tabulky. </w:t>
      </w:r>
    </w:p>
    <w:p w:rsidR="00243DE3" w:rsidRPr="00202F86" w:rsidRDefault="00FC2FB4" w:rsidP="00202F86">
      <w:pPr>
        <w:pStyle w:val="Odstavecseseznamem"/>
        <w:numPr>
          <w:ilvl w:val="0"/>
          <w:numId w:val="11"/>
        </w:numPr>
        <w:spacing w:before="40"/>
        <w:ind w:left="426" w:hanging="426"/>
        <w:rPr>
          <w:rFonts w:ascii="Arial" w:hAnsi="Arial" w:cs="Arial"/>
          <w:sz w:val="20"/>
        </w:rPr>
      </w:pPr>
      <w:r w:rsidRPr="00202F86">
        <w:rPr>
          <w:rFonts w:ascii="Arial" w:hAnsi="Arial" w:cs="Arial"/>
          <w:sz w:val="20"/>
        </w:rPr>
        <w:lastRenderedPageBreak/>
        <w:t>EK následně v rámci formálního vyjednávání k OP Zaměstnanost požádala o doplnění zejména k</w:t>
      </w:r>
      <w:r w:rsidR="00202F86" w:rsidRPr="00202F86">
        <w:rPr>
          <w:rFonts w:ascii="Arial" w:hAnsi="Arial" w:cs="Arial"/>
          <w:sz w:val="20"/>
        </w:rPr>
        <w:t> </w:t>
      </w:r>
      <w:r w:rsidRPr="00202F86">
        <w:rPr>
          <w:rFonts w:ascii="Arial" w:hAnsi="Arial" w:cs="Arial"/>
          <w:sz w:val="20"/>
        </w:rPr>
        <w:t>PP 8.1 (znevýhodněné skupiny obyvatel) a po doplnění konstatovala, že jak PP 8.3, tak i PP 8.1 jsou z jejich strany považovány v tuto chvíli za uzavřené. EK také uvedla, že naplňování PP 8.4 a 8.6 bere na vědomí, ale zároveň upozornila, že bude situaci sledovat v rámci Evropského semestru.</w:t>
      </w:r>
      <w:r w:rsidR="00243DE3" w:rsidRPr="00202F86">
        <w:rPr>
          <w:rFonts w:ascii="Arial" w:hAnsi="Arial" w:cs="Arial"/>
          <w:sz w:val="20"/>
        </w:rPr>
        <w:t xml:space="preserve"> </w:t>
      </w:r>
    </w:p>
    <w:p w:rsidR="000871A9" w:rsidRPr="006705AA" w:rsidRDefault="000871A9" w:rsidP="000871A9">
      <w:pPr>
        <w:keepNext/>
        <w:spacing w:before="240"/>
        <w:rPr>
          <w:rFonts w:ascii="Arial" w:eastAsia="Times New Roman" w:hAnsi="Arial" w:cs="Arial"/>
          <w:b/>
          <w:sz w:val="20"/>
          <w:szCs w:val="20"/>
          <w:u w:val="single"/>
        </w:rPr>
      </w:pPr>
      <w:r w:rsidRPr="007A0B86">
        <w:rPr>
          <w:rFonts w:ascii="Arial" w:eastAsia="Times New Roman" w:hAnsi="Arial" w:cs="Arial"/>
          <w:b/>
          <w:u w:val="single"/>
        </w:rPr>
        <w:t>Sociální začleňování</w:t>
      </w:r>
      <w:r w:rsidRPr="007A0B86">
        <w:rPr>
          <w:rFonts w:ascii="Arial" w:eastAsia="Times New Roman" w:hAnsi="Arial" w:cs="Arial"/>
        </w:rPr>
        <w:t xml:space="preserve"> – </w:t>
      </w:r>
      <w:r w:rsidRPr="007A0B86">
        <w:rPr>
          <w:rFonts w:ascii="Arial" w:eastAsia="Times New Roman" w:hAnsi="Arial" w:cs="Arial"/>
          <w:b/>
        </w:rPr>
        <w:t>T 9.1</w:t>
      </w:r>
      <w:r w:rsidRPr="007A0B86">
        <w:rPr>
          <w:rFonts w:ascii="Arial" w:eastAsia="Times New Roman" w:hAnsi="Arial" w:cs="Arial"/>
        </w:rPr>
        <w:t xml:space="preserve"> </w:t>
      </w:r>
      <w:r w:rsidRPr="006705AA">
        <w:rPr>
          <w:rFonts w:ascii="Arial" w:eastAsia="Times New Roman" w:hAnsi="Arial" w:cs="Arial"/>
          <w:sz w:val="20"/>
          <w:szCs w:val="20"/>
        </w:rPr>
        <w:t>(gestor: ministerstvo práce a sociálních věcí)</w:t>
      </w:r>
    </w:p>
    <w:p w:rsidR="00243DE3" w:rsidRPr="006705AA" w:rsidRDefault="00243DE3" w:rsidP="00243DE3">
      <w:pPr>
        <w:pStyle w:val="Odstavecseseznamem"/>
        <w:numPr>
          <w:ilvl w:val="0"/>
          <w:numId w:val="12"/>
        </w:numPr>
        <w:spacing w:before="40"/>
        <w:ind w:left="426" w:hanging="426"/>
        <w:rPr>
          <w:rFonts w:ascii="Arial" w:hAnsi="Arial"/>
          <w:sz w:val="20"/>
        </w:rPr>
      </w:pPr>
      <w:r w:rsidRPr="006705AA">
        <w:rPr>
          <w:rFonts w:ascii="Arial" w:hAnsi="Arial"/>
          <w:sz w:val="20"/>
        </w:rPr>
        <w:t xml:space="preserve">EK </w:t>
      </w:r>
      <w:r>
        <w:rPr>
          <w:rFonts w:ascii="Arial" w:hAnsi="Arial"/>
          <w:sz w:val="20"/>
        </w:rPr>
        <w:t xml:space="preserve">ve svých připomínkách </w:t>
      </w:r>
      <w:r w:rsidRPr="006705AA">
        <w:rPr>
          <w:rFonts w:ascii="Arial" w:hAnsi="Arial"/>
          <w:sz w:val="20"/>
        </w:rPr>
        <w:t>poptáv</w:t>
      </w:r>
      <w:r>
        <w:rPr>
          <w:rFonts w:ascii="Arial" w:hAnsi="Arial"/>
          <w:sz w:val="20"/>
        </w:rPr>
        <w:t>ala</w:t>
      </w:r>
      <w:r w:rsidRPr="006705AA">
        <w:rPr>
          <w:rFonts w:ascii="Arial" w:hAnsi="Arial"/>
          <w:sz w:val="20"/>
        </w:rPr>
        <w:t xml:space="preserve"> více informací k </w:t>
      </w:r>
      <w:r>
        <w:rPr>
          <w:rFonts w:ascii="Arial" w:hAnsi="Arial"/>
          <w:sz w:val="20"/>
        </w:rPr>
        <w:t>předběžné podmínce</w:t>
      </w:r>
      <w:r w:rsidRPr="006705AA">
        <w:rPr>
          <w:rFonts w:ascii="Arial" w:hAnsi="Arial"/>
          <w:sz w:val="20"/>
        </w:rPr>
        <w:t xml:space="preserve"> 9.1, přičemž však souhlasí se splněním. </w:t>
      </w:r>
      <w:r w:rsidR="00FC2FB4" w:rsidRPr="00907CA6">
        <w:rPr>
          <w:rFonts w:ascii="Arial" w:hAnsi="Arial" w:cs="Arial"/>
          <w:sz w:val="20"/>
          <w:szCs w:val="20"/>
        </w:rPr>
        <w:t xml:space="preserve"> V rámci formálního vyjednávání k OP Zaměstnanost nebylo naplňování dané PP rozporováno.</w:t>
      </w:r>
    </w:p>
    <w:p w:rsidR="000871A9" w:rsidRPr="00FB189D" w:rsidRDefault="000871A9" w:rsidP="00202F86">
      <w:pPr>
        <w:keepNext/>
        <w:spacing w:before="240"/>
        <w:rPr>
          <w:rFonts w:ascii="Arial" w:eastAsia="Times New Roman" w:hAnsi="Arial" w:cs="Arial"/>
          <w:b/>
          <w:u w:val="single"/>
        </w:rPr>
      </w:pPr>
      <w:r w:rsidRPr="00FB189D">
        <w:rPr>
          <w:rFonts w:ascii="Arial" w:eastAsia="Times New Roman" w:hAnsi="Arial" w:cs="Arial"/>
          <w:b/>
          <w:u w:val="single"/>
        </w:rPr>
        <w:t>Začleňování Romů</w:t>
      </w:r>
      <w:r>
        <w:rPr>
          <w:rFonts w:ascii="Arial" w:eastAsia="Times New Roman" w:hAnsi="Arial" w:cs="Arial"/>
        </w:rPr>
        <w:t xml:space="preserve"> –</w:t>
      </w:r>
      <w:r w:rsidRPr="00202F86">
        <w:rPr>
          <w:rFonts w:ascii="Arial" w:hAnsi="Arial"/>
          <w:b/>
        </w:rPr>
        <w:t xml:space="preserve"> </w:t>
      </w:r>
      <w:r>
        <w:rPr>
          <w:rFonts w:ascii="Arial" w:eastAsia="Times New Roman" w:hAnsi="Arial" w:cs="Arial"/>
          <w:b/>
        </w:rPr>
        <w:t>T</w:t>
      </w:r>
      <w:r w:rsidRPr="00FB3130">
        <w:rPr>
          <w:rFonts w:ascii="Arial" w:eastAsia="Times New Roman" w:hAnsi="Arial" w:cs="Arial"/>
          <w:b/>
        </w:rPr>
        <w:t xml:space="preserve"> </w:t>
      </w:r>
      <w:r>
        <w:rPr>
          <w:rFonts w:ascii="Arial" w:eastAsia="Times New Roman" w:hAnsi="Arial" w:cs="Arial"/>
          <w:b/>
        </w:rPr>
        <w:t>9.2</w:t>
      </w:r>
      <w:r w:rsidRPr="00202F86">
        <w:rPr>
          <w:rFonts w:ascii="Arial" w:hAnsi="Arial"/>
          <w:b/>
        </w:rPr>
        <w:t xml:space="preserve"> </w:t>
      </w:r>
      <w:r w:rsidRPr="006705AA">
        <w:rPr>
          <w:rFonts w:ascii="Arial" w:eastAsia="Times New Roman" w:hAnsi="Arial" w:cs="Arial"/>
          <w:sz w:val="20"/>
          <w:szCs w:val="20"/>
        </w:rPr>
        <w:t>(gestor: Úřad vlády ČR)</w:t>
      </w:r>
    </w:p>
    <w:p w:rsidR="00243DE3" w:rsidRDefault="00243DE3" w:rsidP="00243DE3">
      <w:pPr>
        <w:pStyle w:val="Odstavecseseznamem"/>
        <w:numPr>
          <w:ilvl w:val="0"/>
          <w:numId w:val="12"/>
        </w:numPr>
        <w:spacing w:before="40"/>
        <w:ind w:left="426" w:hanging="426"/>
        <w:rPr>
          <w:rFonts w:ascii="Arial" w:hAnsi="Arial" w:cs="Arial"/>
          <w:sz w:val="20"/>
          <w:szCs w:val="20"/>
        </w:rPr>
      </w:pPr>
      <w:r w:rsidRPr="006705AA">
        <w:rPr>
          <w:rFonts w:ascii="Arial" w:hAnsi="Arial" w:cs="Arial"/>
          <w:sz w:val="20"/>
          <w:szCs w:val="20"/>
        </w:rPr>
        <w:t>Klíčovým dokumentem pro předběžnou podmínku je Strategie romské integrace do roku 2020.</w:t>
      </w:r>
      <w:r w:rsidRPr="006705AA">
        <w:rPr>
          <w:rFonts w:ascii="Arial" w:eastAsia="Times New Roman" w:hAnsi="Arial" w:cs="Arial"/>
          <w:sz w:val="20"/>
          <w:szCs w:val="20"/>
        </w:rPr>
        <w:t xml:space="preserve"> Strategie bude </w:t>
      </w:r>
      <w:r w:rsidRPr="006705AA">
        <w:rPr>
          <w:rFonts w:ascii="Arial" w:hAnsi="Arial" w:cs="Arial"/>
          <w:sz w:val="20"/>
          <w:szCs w:val="20"/>
        </w:rPr>
        <w:t>určovat vnitrostátní cíle integrace Romů při překonávání rozdílů romské menšiny oproti ostatní populaci, které budou mj. řešit čtyři záměry EU</w:t>
      </w:r>
      <w:r>
        <w:rPr>
          <w:rFonts w:ascii="Arial" w:hAnsi="Arial" w:cs="Arial"/>
          <w:sz w:val="20"/>
          <w:szCs w:val="20"/>
        </w:rPr>
        <w:t xml:space="preserve"> pro integraci Romů (přístup ke </w:t>
      </w:r>
      <w:r w:rsidRPr="006705AA">
        <w:rPr>
          <w:rFonts w:ascii="Arial" w:hAnsi="Arial" w:cs="Arial"/>
          <w:sz w:val="20"/>
          <w:szCs w:val="20"/>
        </w:rPr>
        <w:t xml:space="preserve">vzdělání, zaměstnání, zdravotní péči, sociálnímu zabezpečení a bydlení). </w:t>
      </w:r>
    </w:p>
    <w:p w:rsidR="00243DE3" w:rsidRPr="00A25467" w:rsidRDefault="00243DE3" w:rsidP="00243DE3">
      <w:pPr>
        <w:pStyle w:val="Odstavecseseznamem"/>
        <w:numPr>
          <w:ilvl w:val="0"/>
          <w:numId w:val="12"/>
        </w:numPr>
        <w:spacing w:before="40"/>
        <w:ind w:left="426" w:hanging="426"/>
        <w:rPr>
          <w:rFonts w:ascii="Arial" w:hAnsi="Arial" w:cs="Arial"/>
          <w:sz w:val="20"/>
          <w:szCs w:val="20"/>
        </w:rPr>
      </w:pPr>
      <w:r w:rsidRPr="00A25467">
        <w:rPr>
          <w:rFonts w:ascii="Arial" w:hAnsi="Arial" w:cs="Arial"/>
          <w:sz w:val="20"/>
          <w:szCs w:val="20"/>
        </w:rPr>
        <w:t xml:space="preserve">Dokument byl neformálně konzultován s členy Rady a dalšími partnery (např. vč. Poslanecké sněmovny a </w:t>
      </w:r>
      <w:r>
        <w:rPr>
          <w:rFonts w:ascii="Arial" w:hAnsi="Arial" w:cs="Arial"/>
          <w:sz w:val="20"/>
          <w:szCs w:val="20"/>
        </w:rPr>
        <w:t>řídicích orgánů</w:t>
      </w:r>
      <w:r w:rsidRPr="00A25467">
        <w:rPr>
          <w:rFonts w:ascii="Arial" w:hAnsi="Arial" w:cs="Arial"/>
          <w:sz w:val="20"/>
          <w:szCs w:val="20"/>
        </w:rPr>
        <w:t xml:space="preserve"> jednotlivých programů), stejně ta</w:t>
      </w:r>
      <w:r>
        <w:rPr>
          <w:rFonts w:ascii="Arial" w:hAnsi="Arial" w:cs="Arial"/>
          <w:sz w:val="20"/>
          <w:szCs w:val="20"/>
        </w:rPr>
        <w:t>k byl dokument diskutován se </w:t>
      </w:r>
      <w:r w:rsidRPr="00A25467">
        <w:rPr>
          <w:rFonts w:ascii="Arial" w:hAnsi="Arial" w:cs="Arial"/>
          <w:sz w:val="20"/>
          <w:szCs w:val="20"/>
        </w:rPr>
        <w:t xml:space="preserve">zástupci EK během listopadu 2014. Materiál byl předložen do </w:t>
      </w:r>
      <w:r>
        <w:rPr>
          <w:rFonts w:ascii="Arial" w:hAnsi="Arial" w:cs="Arial"/>
          <w:sz w:val="20"/>
          <w:szCs w:val="20"/>
        </w:rPr>
        <w:t>meziresortního připomínkového řízení</w:t>
      </w:r>
      <w:r w:rsidRPr="00A25467">
        <w:rPr>
          <w:rFonts w:ascii="Arial" w:hAnsi="Arial" w:cs="Arial"/>
          <w:sz w:val="20"/>
          <w:szCs w:val="20"/>
        </w:rPr>
        <w:t xml:space="preserve"> </w:t>
      </w:r>
      <w:r>
        <w:rPr>
          <w:rFonts w:ascii="Arial" w:hAnsi="Arial" w:cs="Arial"/>
          <w:sz w:val="20"/>
          <w:szCs w:val="20"/>
        </w:rPr>
        <w:t xml:space="preserve">(MPŘ) </w:t>
      </w:r>
      <w:r w:rsidRPr="00A25467">
        <w:rPr>
          <w:rFonts w:ascii="Arial" w:hAnsi="Arial" w:cs="Arial"/>
          <w:sz w:val="20"/>
          <w:szCs w:val="20"/>
        </w:rPr>
        <w:t>dne 15.</w:t>
      </w:r>
      <w:r>
        <w:rPr>
          <w:rFonts w:ascii="Arial" w:hAnsi="Arial" w:cs="Arial"/>
          <w:sz w:val="20"/>
          <w:szCs w:val="20"/>
        </w:rPr>
        <w:t> prosince</w:t>
      </w:r>
      <w:r w:rsidRPr="00A25467">
        <w:rPr>
          <w:rFonts w:ascii="Arial" w:hAnsi="Arial" w:cs="Arial"/>
          <w:sz w:val="20"/>
          <w:szCs w:val="20"/>
        </w:rPr>
        <w:t xml:space="preserve"> 2014. V průběhu měsíce ledna 2015 by měl být materiál </w:t>
      </w:r>
      <w:r>
        <w:rPr>
          <w:rFonts w:ascii="Arial" w:hAnsi="Arial" w:cs="Arial"/>
          <w:sz w:val="20"/>
          <w:szCs w:val="20"/>
        </w:rPr>
        <w:t xml:space="preserve">na základě výsledků z MPŘ dopracován, předložen a </w:t>
      </w:r>
      <w:r w:rsidRPr="00A25467">
        <w:rPr>
          <w:rFonts w:ascii="Arial" w:hAnsi="Arial" w:cs="Arial"/>
          <w:sz w:val="20"/>
          <w:szCs w:val="20"/>
        </w:rPr>
        <w:t xml:space="preserve">projednán vládou. </w:t>
      </w:r>
    </w:p>
    <w:p w:rsidR="000871A9" w:rsidRPr="005A6DC1" w:rsidRDefault="000871A9" w:rsidP="005A6DC1">
      <w:pPr>
        <w:keepNext/>
        <w:keepLines/>
        <w:spacing w:before="240"/>
        <w:rPr>
          <w:rFonts w:ascii="Arial" w:hAnsi="Arial" w:cs="Arial"/>
          <w:sz w:val="20"/>
          <w:szCs w:val="20"/>
        </w:rPr>
      </w:pPr>
      <w:r w:rsidRPr="005A6DC1">
        <w:rPr>
          <w:rFonts w:ascii="Arial" w:eastAsia="Times New Roman" w:hAnsi="Arial" w:cs="Arial"/>
          <w:b/>
          <w:u w:val="single"/>
        </w:rPr>
        <w:t>Zdraví</w:t>
      </w:r>
      <w:r w:rsidRPr="005A6DC1">
        <w:rPr>
          <w:rFonts w:ascii="Arial" w:eastAsia="Times New Roman" w:hAnsi="Arial" w:cs="Arial"/>
        </w:rPr>
        <w:t xml:space="preserve"> – </w:t>
      </w:r>
      <w:r w:rsidRPr="005A6DC1">
        <w:rPr>
          <w:rFonts w:ascii="Arial" w:eastAsia="Times New Roman" w:hAnsi="Arial" w:cs="Arial"/>
          <w:b/>
        </w:rPr>
        <w:t>T 9.3</w:t>
      </w:r>
      <w:r w:rsidRPr="005A6DC1">
        <w:rPr>
          <w:rFonts w:ascii="Arial" w:eastAsia="Times New Roman" w:hAnsi="Arial" w:cs="Arial"/>
        </w:rPr>
        <w:t xml:space="preserve"> </w:t>
      </w:r>
      <w:r w:rsidRPr="005A6DC1">
        <w:rPr>
          <w:rFonts w:ascii="Arial" w:eastAsia="Times New Roman" w:hAnsi="Arial" w:cs="Arial"/>
          <w:sz w:val="20"/>
          <w:szCs w:val="20"/>
        </w:rPr>
        <w:t>(gestor: ministerstvo zdravotnictví)</w:t>
      </w:r>
    </w:p>
    <w:p w:rsidR="00243DE3" w:rsidRPr="00A82797" w:rsidRDefault="00243DE3" w:rsidP="00243DE3">
      <w:pPr>
        <w:pStyle w:val="Odstavecseseznamem"/>
        <w:keepNext/>
        <w:keepLines/>
        <w:numPr>
          <w:ilvl w:val="0"/>
          <w:numId w:val="13"/>
        </w:numPr>
        <w:spacing w:before="40"/>
        <w:ind w:left="426" w:hanging="426"/>
        <w:rPr>
          <w:rFonts w:ascii="Arial" w:hAnsi="Arial" w:cs="Arial"/>
          <w:sz w:val="20"/>
        </w:rPr>
      </w:pPr>
      <w:r w:rsidRPr="00A82797">
        <w:rPr>
          <w:rFonts w:ascii="Arial" w:hAnsi="Arial" w:cs="Arial"/>
          <w:sz w:val="20"/>
          <w:szCs w:val="20"/>
        </w:rPr>
        <w:t xml:space="preserve">Aktuálně jsou zpracovávány akční plány ke schválené strategii Zdraví 2020. Do 31. </w:t>
      </w:r>
      <w:r>
        <w:rPr>
          <w:rFonts w:ascii="Arial" w:hAnsi="Arial" w:cs="Arial"/>
          <w:sz w:val="20"/>
          <w:szCs w:val="20"/>
        </w:rPr>
        <w:t>prosince</w:t>
      </w:r>
      <w:r w:rsidRPr="00A82797">
        <w:rPr>
          <w:rFonts w:ascii="Arial" w:hAnsi="Arial" w:cs="Arial"/>
          <w:sz w:val="20"/>
          <w:szCs w:val="20"/>
        </w:rPr>
        <w:t xml:space="preserve"> 2015 by mělo dojít ke </w:t>
      </w:r>
      <w:r w:rsidRPr="0087089E">
        <w:rPr>
          <w:rFonts w:ascii="Arial" w:hAnsi="Arial" w:cs="Arial"/>
          <w:sz w:val="20"/>
          <w:szCs w:val="20"/>
        </w:rPr>
        <w:t>schválení akčních plánů</w:t>
      </w:r>
      <w:r w:rsidRPr="00C9714E">
        <w:rPr>
          <w:rFonts w:ascii="Arial" w:hAnsi="Arial" w:cs="Arial"/>
          <w:sz w:val="20"/>
          <w:szCs w:val="20"/>
        </w:rPr>
        <w:t xml:space="preserve">, tudíž </w:t>
      </w:r>
      <w:r w:rsidRPr="00D44155">
        <w:rPr>
          <w:rFonts w:ascii="Arial" w:hAnsi="Arial" w:cs="Arial"/>
          <w:sz w:val="20"/>
          <w:szCs w:val="20"/>
        </w:rPr>
        <w:t>i ke s</w:t>
      </w:r>
      <w:r w:rsidRPr="00A82797">
        <w:rPr>
          <w:rFonts w:ascii="Arial" w:hAnsi="Arial" w:cs="Arial"/>
          <w:sz w:val="20"/>
          <w:szCs w:val="20"/>
        </w:rPr>
        <w:t>plnění předběžné podmínky.</w:t>
      </w:r>
    </w:p>
    <w:p w:rsidR="00FC2FB4" w:rsidRPr="00202F86" w:rsidRDefault="00243DE3" w:rsidP="00202F86">
      <w:pPr>
        <w:pStyle w:val="Odstavecseseznamem"/>
        <w:keepNext/>
        <w:keepLines/>
        <w:numPr>
          <w:ilvl w:val="0"/>
          <w:numId w:val="13"/>
        </w:numPr>
        <w:spacing w:before="40"/>
        <w:ind w:left="426" w:hanging="426"/>
        <w:rPr>
          <w:rFonts w:ascii="Arial" w:hAnsi="Arial" w:cs="Arial"/>
          <w:sz w:val="20"/>
        </w:rPr>
      </w:pPr>
      <w:r w:rsidRPr="006705AA">
        <w:rPr>
          <w:rFonts w:ascii="Arial" w:hAnsi="Arial" w:cs="Arial"/>
          <w:sz w:val="20"/>
        </w:rPr>
        <w:t xml:space="preserve">EK </w:t>
      </w:r>
      <w:r>
        <w:rPr>
          <w:rFonts w:ascii="Arial" w:hAnsi="Arial" w:cs="Arial"/>
          <w:sz w:val="20"/>
        </w:rPr>
        <w:t xml:space="preserve">ve svých připomínkách k programům </w:t>
      </w:r>
      <w:r w:rsidR="00FC2FB4">
        <w:rPr>
          <w:rFonts w:ascii="Arial" w:hAnsi="Arial" w:cs="Arial"/>
          <w:sz w:val="20"/>
        </w:rPr>
        <w:t>poptávala</w:t>
      </w:r>
      <w:r w:rsidRPr="006705AA">
        <w:rPr>
          <w:rFonts w:ascii="Arial" w:hAnsi="Arial" w:cs="Arial"/>
          <w:sz w:val="20"/>
        </w:rPr>
        <w:t xml:space="preserve"> další informace a upřesnění způsobu naplňování</w:t>
      </w:r>
      <w:r>
        <w:rPr>
          <w:rFonts w:ascii="Arial" w:hAnsi="Arial" w:cs="Arial"/>
          <w:sz w:val="20"/>
        </w:rPr>
        <w:t>. Rozpracované informace byly v rámci formálního dialogu s EK komunikovány</w:t>
      </w:r>
      <w:r w:rsidR="00FC2FB4">
        <w:rPr>
          <w:rFonts w:ascii="Arial" w:hAnsi="Arial" w:cs="Arial"/>
          <w:sz w:val="20"/>
        </w:rPr>
        <w:t>, byly j</w:t>
      </w:r>
      <w:r w:rsidR="00202F86">
        <w:rPr>
          <w:rFonts w:ascii="Arial" w:hAnsi="Arial" w:cs="Arial"/>
          <w:sz w:val="20"/>
        </w:rPr>
        <w:t>í</w:t>
      </w:r>
      <w:r w:rsidR="00FC2FB4">
        <w:rPr>
          <w:rFonts w:ascii="Arial" w:hAnsi="Arial" w:cs="Arial"/>
          <w:sz w:val="20"/>
        </w:rPr>
        <w:t xml:space="preserve"> dodány průběžné výstupy z přípravy akčních plánů a informace o milnících v další přípravě</w:t>
      </w:r>
      <w:r w:rsidR="00FC2FB4" w:rsidRPr="00CD42CF">
        <w:rPr>
          <w:rFonts w:ascii="Arial" w:hAnsi="Arial" w:cs="Arial"/>
          <w:sz w:val="20"/>
        </w:rPr>
        <w:t>.</w:t>
      </w:r>
      <w:r w:rsidR="0091545F">
        <w:rPr>
          <w:rFonts w:ascii="Arial" w:hAnsi="Arial" w:cs="Arial"/>
          <w:sz w:val="20"/>
        </w:rPr>
        <w:t xml:space="preserve"> Po </w:t>
      </w:r>
      <w:r w:rsidR="00FC2FB4">
        <w:rPr>
          <w:rFonts w:ascii="Arial" w:hAnsi="Arial" w:cs="Arial"/>
          <w:sz w:val="20"/>
        </w:rPr>
        <w:t xml:space="preserve">doplnění dané PP není EK zcela komfortní s termínem dokončení akčních plánů a doporučuje ČR, aby bylo dopracování urychleno. U této PP nevyloučila konstatování significant prejudice, což by znamenalo pozastavení plateb na příslušnou část </w:t>
      </w:r>
      <w:r w:rsidR="00202F86">
        <w:rPr>
          <w:rFonts w:ascii="Arial" w:hAnsi="Arial" w:cs="Arial"/>
          <w:sz w:val="20"/>
        </w:rPr>
        <w:t>programu</w:t>
      </w:r>
      <w:r w:rsidR="00FC2FB4">
        <w:rPr>
          <w:rFonts w:ascii="Arial" w:hAnsi="Arial" w:cs="Arial"/>
          <w:sz w:val="20"/>
        </w:rPr>
        <w:t>.</w:t>
      </w:r>
    </w:p>
    <w:p w:rsidR="000871A9" w:rsidRPr="00FB189D" w:rsidRDefault="000871A9" w:rsidP="000871A9">
      <w:pPr>
        <w:spacing w:before="240"/>
        <w:rPr>
          <w:rFonts w:ascii="Arial" w:eastAsia="Times New Roman" w:hAnsi="Arial" w:cs="Arial"/>
          <w:b/>
          <w:u w:val="single"/>
        </w:rPr>
      </w:pPr>
      <w:r w:rsidRPr="00FB189D">
        <w:rPr>
          <w:rFonts w:ascii="Arial" w:eastAsia="Times New Roman" w:hAnsi="Arial" w:cs="Arial"/>
          <w:b/>
          <w:u w:val="single"/>
        </w:rPr>
        <w:t xml:space="preserve">Vzdělávání </w:t>
      </w:r>
      <w:r>
        <w:rPr>
          <w:rFonts w:ascii="Arial" w:eastAsia="Times New Roman" w:hAnsi="Arial" w:cs="Arial"/>
        </w:rPr>
        <w:t xml:space="preserve">– </w:t>
      </w:r>
      <w:r>
        <w:rPr>
          <w:rFonts w:ascii="Arial" w:eastAsia="Times New Roman" w:hAnsi="Arial" w:cs="Arial"/>
          <w:b/>
        </w:rPr>
        <w:t>T</w:t>
      </w:r>
      <w:r w:rsidRPr="00FB3130">
        <w:rPr>
          <w:rFonts w:ascii="Arial" w:eastAsia="Times New Roman" w:hAnsi="Arial" w:cs="Arial"/>
          <w:b/>
        </w:rPr>
        <w:t xml:space="preserve"> </w:t>
      </w:r>
      <w:r>
        <w:rPr>
          <w:rFonts w:ascii="Arial" w:eastAsia="Times New Roman" w:hAnsi="Arial" w:cs="Arial"/>
          <w:b/>
        </w:rPr>
        <w:t>10.</w:t>
      </w:r>
      <w:r w:rsidRPr="00FB3130">
        <w:rPr>
          <w:rFonts w:ascii="Arial" w:eastAsia="Times New Roman" w:hAnsi="Arial" w:cs="Arial"/>
          <w:b/>
        </w:rPr>
        <w:t>1</w:t>
      </w:r>
      <w:r>
        <w:rPr>
          <w:rFonts w:ascii="Arial" w:eastAsia="Times New Roman" w:hAnsi="Arial" w:cs="Arial"/>
          <w:b/>
        </w:rPr>
        <w:t>–10.4</w:t>
      </w:r>
      <w:r>
        <w:rPr>
          <w:rFonts w:ascii="Arial" w:eastAsia="Times New Roman" w:hAnsi="Arial" w:cs="Arial"/>
        </w:rPr>
        <w:t xml:space="preserve"> </w:t>
      </w:r>
      <w:r w:rsidRPr="006705AA">
        <w:rPr>
          <w:rFonts w:ascii="Arial" w:eastAsia="Times New Roman" w:hAnsi="Arial" w:cs="Arial"/>
          <w:sz w:val="20"/>
          <w:szCs w:val="20"/>
        </w:rPr>
        <w:t>(gestor: Ministerstvo školství, mládeže a tělovýchovy)</w:t>
      </w:r>
    </w:p>
    <w:p w:rsidR="00243DE3" w:rsidRDefault="00243DE3" w:rsidP="00243DE3">
      <w:pPr>
        <w:pStyle w:val="Odstavecseseznamem"/>
        <w:numPr>
          <w:ilvl w:val="0"/>
          <w:numId w:val="13"/>
        </w:numPr>
        <w:spacing w:before="40"/>
        <w:ind w:left="426" w:hanging="426"/>
        <w:rPr>
          <w:rFonts w:ascii="Arial" w:hAnsi="Arial" w:cs="Arial"/>
          <w:sz w:val="20"/>
        </w:rPr>
      </w:pPr>
      <w:r w:rsidRPr="006705AA">
        <w:rPr>
          <w:rFonts w:ascii="Arial" w:hAnsi="Arial" w:cs="Arial"/>
          <w:sz w:val="20"/>
        </w:rPr>
        <w:t>Ke splnění relevantních předběžných podmínek dojde po schválení implementačních dokumentů v oblasti vzdělávání, které by měly být schváleny v polovině roku 2015.</w:t>
      </w:r>
      <w:r w:rsidRPr="006F2702">
        <w:rPr>
          <w:rFonts w:ascii="Arial" w:hAnsi="Arial" w:cs="Arial"/>
          <w:sz w:val="20"/>
        </w:rPr>
        <w:t xml:space="preserve"> </w:t>
      </w:r>
      <w:r>
        <w:rPr>
          <w:rFonts w:ascii="Arial" w:hAnsi="Arial" w:cs="Arial"/>
          <w:sz w:val="20"/>
        </w:rPr>
        <w:t>Zejména jde o </w:t>
      </w:r>
      <w:r w:rsidRPr="00B35DC4">
        <w:rPr>
          <w:rFonts w:ascii="Arial" w:hAnsi="Arial" w:cs="Arial"/>
          <w:sz w:val="20"/>
        </w:rPr>
        <w:t>Dlouhodobý záměr vzdělávání a rozvoje vzdělávací soustavy v ČR na období 2015</w:t>
      </w:r>
      <w:r>
        <w:rPr>
          <w:rFonts w:ascii="Arial" w:hAnsi="Arial" w:cs="Arial"/>
          <w:sz w:val="20"/>
        </w:rPr>
        <w:t>–</w:t>
      </w:r>
      <w:r w:rsidRPr="00B35DC4">
        <w:rPr>
          <w:rFonts w:ascii="Arial" w:hAnsi="Arial" w:cs="Arial"/>
          <w:sz w:val="20"/>
        </w:rPr>
        <w:t xml:space="preserve">2020, který by měl být do 31. </w:t>
      </w:r>
      <w:r>
        <w:rPr>
          <w:rFonts w:ascii="Arial" w:hAnsi="Arial" w:cs="Arial"/>
          <w:sz w:val="20"/>
        </w:rPr>
        <w:t>března</w:t>
      </w:r>
      <w:r w:rsidRPr="00B35DC4">
        <w:rPr>
          <w:rFonts w:ascii="Arial" w:hAnsi="Arial" w:cs="Arial"/>
          <w:sz w:val="20"/>
        </w:rPr>
        <w:t xml:space="preserve"> 2015 předložen vládě ke schválení</w:t>
      </w:r>
      <w:r>
        <w:rPr>
          <w:rFonts w:ascii="Arial" w:hAnsi="Arial" w:cs="Arial"/>
          <w:sz w:val="20"/>
        </w:rPr>
        <w:t xml:space="preserve">. </w:t>
      </w:r>
      <w:r w:rsidRPr="00B35DC4">
        <w:rPr>
          <w:rFonts w:ascii="Arial" w:hAnsi="Arial" w:cs="Arial"/>
          <w:sz w:val="20"/>
        </w:rPr>
        <w:t>Dále by měly být zpracovány Akční plány (implementační plány) pro inkluzivní vzdělávání na roky 2016</w:t>
      </w:r>
      <w:r>
        <w:rPr>
          <w:rFonts w:ascii="Arial" w:hAnsi="Arial" w:cs="Arial"/>
          <w:sz w:val="20"/>
        </w:rPr>
        <w:t>–</w:t>
      </w:r>
      <w:r w:rsidRPr="00B35DC4">
        <w:rPr>
          <w:rFonts w:ascii="Arial" w:hAnsi="Arial" w:cs="Arial"/>
          <w:sz w:val="20"/>
        </w:rPr>
        <w:t>2018 (který by měl být zveřejněn v dubnu 2015) a 2019</w:t>
      </w:r>
      <w:r>
        <w:rPr>
          <w:rFonts w:ascii="Arial" w:hAnsi="Arial" w:cs="Arial"/>
          <w:sz w:val="20"/>
        </w:rPr>
        <w:t>–</w:t>
      </w:r>
      <w:r w:rsidRPr="00B35DC4">
        <w:rPr>
          <w:rFonts w:ascii="Arial" w:hAnsi="Arial" w:cs="Arial"/>
          <w:sz w:val="20"/>
        </w:rPr>
        <w:t>2021, které navazují na Plán opatření k výkonu rozsudku Evropského soudu pro lidská práva ve věci D. H. proti České republice</w:t>
      </w:r>
      <w:r>
        <w:rPr>
          <w:rFonts w:ascii="Arial" w:hAnsi="Arial" w:cs="Arial"/>
          <w:sz w:val="20"/>
        </w:rPr>
        <w:t>.</w:t>
      </w:r>
    </w:p>
    <w:p w:rsidR="00243DE3" w:rsidRDefault="00243DE3" w:rsidP="00243DE3">
      <w:pPr>
        <w:pStyle w:val="Odstavecseseznamem"/>
        <w:numPr>
          <w:ilvl w:val="0"/>
          <w:numId w:val="13"/>
        </w:numPr>
        <w:spacing w:before="40"/>
        <w:ind w:left="426" w:hanging="426"/>
        <w:rPr>
          <w:rFonts w:ascii="Arial" w:hAnsi="Arial" w:cs="Arial"/>
          <w:sz w:val="20"/>
        </w:rPr>
      </w:pPr>
      <w:r>
        <w:rPr>
          <w:rFonts w:ascii="Arial" w:hAnsi="Arial" w:cs="Arial"/>
          <w:sz w:val="20"/>
        </w:rPr>
        <w:t>Aktuálně budou s EK diskutovány doplněné informace u předběžných podmínek pro tematický cíl (</w:t>
      </w:r>
      <w:r w:rsidRPr="006705AA">
        <w:rPr>
          <w:rFonts w:ascii="Arial" w:hAnsi="Arial" w:cs="Arial"/>
          <w:sz w:val="20"/>
        </w:rPr>
        <w:t>informac</w:t>
      </w:r>
      <w:r>
        <w:rPr>
          <w:rFonts w:ascii="Arial" w:hAnsi="Arial" w:cs="Arial"/>
          <w:sz w:val="20"/>
        </w:rPr>
        <w:t>e</w:t>
      </w:r>
      <w:r w:rsidRPr="006705AA">
        <w:rPr>
          <w:rFonts w:ascii="Arial" w:hAnsi="Arial" w:cs="Arial"/>
          <w:sz w:val="20"/>
        </w:rPr>
        <w:t xml:space="preserve"> k systému sběru a analýzy informací o předčasném ukončování školní docházky, konkretizac</w:t>
      </w:r>
      <w:r>
        <w:rPr>
          <w:rFonts w:ascii="Arial" w:hAnsi="Arial" w:cs="Arial"/>
          <w:sz w:val="20"/>
        </w:rPr>
        <w:t>e</w:t>
      </w:r>
      <w:r w:rsidRPr="006705AA">
        <w:rPr>
          <w:rFonts w:ascii="Arial" w:hAnsi="Arial" w:cs="Arial"/>
          <w:sz w:val="20"/>
        </w:rPr>
        <w:t xml:space="preserve"> opatření v oblasti vysokoškolského vzdělávání u jednotlivých kritérií</w:t>
      </w:r>
      <w:r>
        <w:rPr>
          <w:rFonts w:ascii="Arial" w:hAnsi="Arial" w:cs="Arial"/>
          <w:sz w:val="20"/>
        </w:rPr>
        <w:t xml:space="preserve">, </w:t>
      </w:r>
      <w:r w:rsidRPr="006705AA">
        <w:rPr>
          <w:rFonts w:ascii="Arial" w:hAnsi="Arial" w:cs="Arial"/>
          <w:sz w:val="20"/>
        </w:rPr>
        <w:t>rozpracování systému předvídání dovedností, metodik, způsobu monitorování a hodnocení v rámci odborného vzdělávání</w:t>
      </w:r>
      <w:r>
        <w:rPr>
          <w:rFonts w:ascii="Arial" w:hAnsi="Arial" w:cs="Arial"/>
          <w:sz w:val="20"/>
        </w:rPr>
        <w:t xml:space="preserve"> apod.)</w:t>
      </w:r>
      <w:r w:rsidRPr="006705AA">
        <w:rPr>
          <w:rFonts w:ascii="Arial" w:hAnsi="Arial" w:cs="Arial"/>
          <w:sz w:val="20"/>
        </w:rPr>
        <w:t>.</w:t>
      </w:r>
    </w:p>
    <w:p w:rsidR="000871A9" w:rsidRPr="00FB189D" w:rsidRDefault="000871A9" w:rsidP="000871A9">
      <w:pPr>
        <w:spacing w:before="240"/>
        <w:rPr>
          <w:rFonts w:ascii="Arial" w:eastAsia="Times New Roman" w:hAnsi="Arial" w:cs="Arial"/>
          <w:b/>
          <w:u w:val="single"/>
        </w:rPr>
      </w:pPr>
      <w:r>
        <w:rPr>
          <w:rFonts w:ascii="Arial" w:eastAsia="Times New Roman" w:hAnsi="Arial" w:cs="Arial"/>
          <w:b/>
          <w:u w:val="single"/>
        </w:rPr>
        <w:t>Veřejná správa / strategie</w:t>
      </w:r>
      <w:r>
        <w:rPr>
          <w:rFonts w:ascii="Arial" w:eastAsia="Times New Roman" w:hAnsi="Arial" w:cs="Arial"/>
        </w:rPr>
        <w:t xml:space="preserve"> – </w:t>
      </w:r>
      <w:r>
        <w:rPr>
          <w:rFonts w:ascii="Arial" w:eastAsia="Times New Roman" w:hAnsi="Arial" w:cs="Arial"/>
          <w:b/>
        </w:rPr>
        <w:t>T 11</w:t>
      </w:r>
      <w:r w:rsidRPr="00FB3130">
        <w:rPr>
          <w:rFonts w:ascii="Arial" w:eastAsia="Times New Roman" w:hAnsi="Arial" w:cs="Arial"/>
          <w:b/>
        </w:rPr>
        <w:t>.1</w:t>
      </w:r>
      <w:r>
        <w:rPr>
          <w:rFonts w:ascii="Arial" w:eastAsia="Times New Roman" w:hAnsi="Arial" w:cs="Arial"/>
        </w:rPr>
        <w:t xml:space="preserve"> </w:t>
      </w:r>
      <w:r w:rsidRPr="006705AA">
        <w:rPr>
          <w:rFonts w:ascii="Arial" w:eastAsia="Times New Roman" w:hAnsi="Arial" w:cs="Arial"/>
          <w:sz w:val="20"/>
          <w:szCs w:val="20"/>
        </w:rPr>
        <w:t>(gestor: ministerstvo vnitra)</w:t>
      </w:r>
    </w:p>
    <w:p w:rsidR="00243DE3" w:rsidRDefault="00243DE3" w:rsidP="00243DE3">
      <w:pPr>
        <w:pStyle w:val="Odstavecseseznamem"/>
        <w:numPr>
          <w:ilvl w:val="0"/>
          <w:numId w:val="14"/>
        </w:numPr>
        <w:spacing w:before="40"/>
        <w:ind w:left="426" w:hanging="426"/>
        <w:rPr>
          <w:rFonts w:ascii="Arial" w:hAnsi="Arial" w:cs="Arial"/>
          <w:sz w:val="20"/>
        </w:rPr>
      </w:pPr>
      <w:r w:rsidRPr="00A92E49">
        <w:rPr>
          <w:rFonts w:ascii="Arial" w:hAnsi="Arial" w:cs="Arial"/>
          <w:sz w:val="20"/>
        </w:rPr>
        <w:t>Ministerstvo vnitra připravilo dle úkolu, který mu byl uložen us</w:t>
      </w:r>
      <w:r>
        <w:rPr>
          <w:rFonts w:ascii="Arial" w:hAnsi="Arial" w:cs="Arial"/>
          <w:sz w:val="20"/>
        </w:rPr>
        <w:t>nesením vlády č. 680 ze dne 27. </w:t>
      </w:r>
      <w:r w:rsidRPr="00A92E49">
        <w:rPr>
          <w:rFonts w:ascii="Arial" w:hAnsi="Arial" w:cs="Arial"/>
          <w:sz w:val="20"/>
        </w:rPr>
        <w:t>srpna 2014, Implementační plány Strategického rámce rozvoje veřejné správy ČR pro období 2014</w:t>
      </w:r>
      <w:r>
        <w:rPr>
          <w:rFonts w:ascii="Arial" w:hAnsi="Arial" w:cs="Arial"/>
          <w:sz w:val="20"/>
        </w:rPr>
        <w:t>–</w:t>
      </w:r>
      <w:r w:rsidRPr="00A92E49">
        <w:rPr>
          <w:rFonts w:ascii="Arial" w:hAnsi="Arial" w:cs="Arial"/>
          <w:sz w:val="20"/>
        </w:rPr>
        <w:t>2020 (</w:t>
      </w:r>
      <w:r>
        <w:rPr>
          <w:rFonts w:ascii="Arial" w:hAnsi="Arial" w:cs="Arial"/>
          <w:sz w:val="20"/>
        </w:rPr>
        <w:t>SR VS</w:t>
      </w:r>
      <w:r w:rsidRPr="00A92E49">
        <w:rPr>
          <w:rFonts w:ascii="Arial" w:hAnsi="Arial" w:cs="Arial"/>
          <w:sz w:val="20"/>
        </w:rPr>
        <w:t>).</w:t>
      </w:r>
      <w:r>
        <w:rPr>
          <w:rFonts w:ascii="Arial" w:hAnsi="Arial" w:cs="Arial"/>
          <w:sz w:val="20"/>
        </w:rPr>
        <w:t xml:space="preserve"> </w:t>
      </w:r>
      <w:r w:rsidRPr="00A92E49">
        <w:rPr>
          <w:rFonts w:ascii="Arial" w:hAnsi="Arial" w:cs="Arial"/>
          <w:sz w:val="20"/>
        </w:rPr>
        <w:t xml:space="preserve">Meziresortní připomínkové řízení </w:t>
      </w:r>
      <w:r>
        <w:rPr>
          <w:rFonts w:ascii="Arial" w:hAnsi="Arial" w:cs="Arial"/>
          <w:sz w:val="20"/>
        </w:rPr>
        <w:t xml:space="preserve">proběhlo v průběhu prosince 2014. </w:t>
      </w:r>
      <w:r w:rsidR="00FC2FB4">
        <w:rPr>
          <w:rFonts w:ascii="Arial" w:hAnsi="Arial" w:cs="Arial"/>
          <w:sz w:val="20"/>
        </w:rPr>
        <w:t>P</w:t>
      </w:r>
      <w:r>
        <w:rPr>
          <w:rFonts w:ascii="Arial" w:hAnsi="Arial" w:cs="Arial"/>
          <w:sz w:val="20"/>
        </w:rPr>
        <w:t xml:space="preserve">rojednání a schválení </w:t>
      </w:r>
      <w:r w:rsidR="00FC2FB4">
        <w:rPr>
          <w:rFonts w:ascii="Arial" w:hAnsi="Arial" w:cs="Arial"/>
          <w:sz w:val="20"/>
        </w:rPr>
        <w:t xml:space="preserve">proběhne </w:t>
      </w:r>
      <w:r>
        <w:rPr>
          <w:rFonts w:ascii="Arial" w:hAnsi="Arial" w:cs="Arial"/>
          <w:sz w:val="20"/>
        </w:rPr>
        <w:t xml:space="preserve">v lednu 2015. Implementace dokumentu by měla započít ihned </w:t>
      </w:r>
      <w:r>
        <w:rPr>
          <w:rFonts w:ascii="Arial" w:hAnsi="Arial" w:cs="Arial"/>
          <w:sz w:val="20"/>
        </w:rPr>
        <w:lastRenderedPageBreak/>
        <w:t xml:space="preserve">na počátku roku 2015, taktéž jsou plánovány platformy/skupiny k jednotlivým strategickým cílům implementačních plánů, stejně tak v lednu </w:t>
      </w:r>
      <w:r w:rsidR="00202F86">
        <w:rPr>
          <w:rFonts w:ascii="Arial" w:hAnsi="Arial" w:cs="Arial"/>
          <w:sz w:val="20"/>
        </w:rPr>
        <w:t xml:space="preserve">2015 </w:t>
      </w:r>
      <w:r>
        <w:rPr>
          <w:rFonts w:ascii="Arial" w:hAnsi="Arial" w:cs="Arial"/>
          <w:sz w:val="20"/>
        </w:rPr>
        <w:t>proběhne zasedání Rady vlády pro veřejnou správu.</w:t>
      </w:r>
    </w:p>
    <w:p w:rsidR="00243DE3" w:rsidRPr="006705AA" w:rsidRDefault="00243DE3" w:rsidP="00243DE3">
      <w:pPr>
        <w:pStyle w:val="Odstavecseseznamem"/>
        <w:numPr>
          <w:ilvl w:val="0"/>
          <w:numId w:val="14"/>
        </w:numPr>
        <w:spacing w:before="40"/>
        <w:ind w:left="426" w:hanging="426"/>
        <w:rPr>
          <w:rFonts w:ascii="Arial" w:hAnsi="Arial" w:cs="Arial"/>
          <w:sz w:val="20"/>
        </w:rPr>
      </w:pPr>
      <w:r w:rsidRPr="006705AA">
        <w:rPr>
          <w:rFonts w:ascii="Arial" w:hAnsi="Arial" w:cs="Arial"/>
          <w:sz w:val="20"/>
        </w:rPr>
        <w:t xml:space="preserve">Některá kritéria předběžné podmínky nebudou ani po schválení implementačních plánů SR VS splněna, čemuž musí být věnována značná pozornost v rámci prvního běhu implementace (jde např. o zpracování aktuální analýzy veřejné správy). </w:t>
      </w:r>
    </w:p>
    <w:p w:rsidR="00243DE3" w:rsidRPr="006705AA" w:rsidRDefault="00243DE3" w:rsidP="00202F86">
      <w:pPr>
        <w:pStyle w:val="Odstavecseseznamem"/>
        <w:numPr>
          <w:ilvl w:val="0"/>
          <w:numId w:val="14"/>
        </w:numPr>
        <w:spacing w:before="40"/>
        <w:ind w:left="426" w:hanging="426"/>
        <w:rPr>
          <w:rFonts w:ascii="Arial" w:hAnsi="Arial" w:cs="Arial"/>
          <w:sz w:val="20"/>
        </w:rPr>
      </w:pPr>
      <w:r>
        <w:rPr>
          <w:rFonts w:ascii="Arial" w:hAnsi="Arial" w:cs="Arial"/>
          <w:sz w:val="20"/>
        </w:rPr>
        <w:t>V návaznosti na připomínky EK (např. ke</w:t>
      </w:r>
      <w:r w:rsidRPr="006705AA">
        <w:rPr>
          <w:rFonts w:ascii="Arial" w:hAnsi="Arial" w:cs="Arial"/>
          <w:sz w:val="20"/>
        </w:rPr>
        <w:t xml:space="preserve"> specifikaci k veřejným službám, systém</w:t>
      </w:r>
      <w:r>
        <w:rPr>
          <w:rFonts w:ascii="Arial" w:hAnsi="Arial" w:cs="Arial"/>
          <w:sz w:val="20"/>
        </w:rPr>
        <w:t>u</w:t>
      </w:r>
      <w:r w:rsidRPr="006705AA">
        <w:rPr>
          <w:rFonts w:ascii="Arial" w:hAnsi="Arial" w:cs="Arial"/>
          <w:sz w:val="20"/>
        </w:rPr>
        <w:t xml:space="preserve"> kvality řízení, zjednodušení a racionalizaci správních postupů, proces</w:t>
      </w:r>
      <w:r>
        <w:rPr>
          <w:rFonts w:ascii="Arial" w:hAnsi="Arial" w:cs="Arial"/>
          <w:sz w:val="20"/>
        </w:rPr>
        <w:t>ů</w:t>
      </w:r>
      <w:r w:rsidRPr="006705AA">
        <w:rPr>
          <w:rFonts w:ascii="Arial" w:hAnsi="Arial" w:cs="Arial"/>
          <w:sz w:val="20"/>
        </w:rPr>
        <w:t xml:space="preserve"> a nástroj</w:t>
      </w:r>
      <w:r>
        <w:rPr>
          <w:rFonts w:ascii="Arial" w:hAnsi="Arial" w:cs="Arial"/>
          <w:sz w:val="20"/>
        </w:rPr>
        <w:t>ů</w:t>
      </w:r>
      <w:r w:rsidRPr="006705AA">
        <w:rPr>
          <w:rFonts w:ascii="Arial" w:hAnsi="Arial" w:cs="Arial"/>
          <w:sz w:val="20"/>
        </w:rPr>
        <w:t xml:space="preserve"> pro sledování a hodnocení</w:t>
      </w:r>
      <w:r>
        <w:rPr>
          <w:rFonts w:ascii="Arial" w:hAnsi="Arial" w:cs="Arial"/>
          <w:sz w:val="20"/>
        </w:rPr>
        <w:t xml:space="preserve"> nebo doplnění </w:t>
      </w:r>
      <w:r w:rsidRPr="006705AA">
        <w:rPr>
          <w:rFonts w:ascii="Arial" w:hAnsi="Arial" w:cs="Arial"/>
          <w:sz w:val="20"/>
        </w:rPr>
        <w:t>milníků, termínů</w:t>
      </w:r>
      <w:r>
        <w:rPr>
          <w:rFonts w:ascii="Arial" w:hAnsi="Arial" w:cs="Arial"/>
          <w:sz w:val="20"/>
        </w:rPr>
        <w:t>), byly upraveny příslušné části programů, akční plán či hodnotící tabulky.</w:t>
      </w:r>
      <w:r w:rsidR="00FC2FB4">
        <w:rPr>
          <w:rFonts w:ascii="Arial" w:hAnsi="Arial" w:cs="Arial"/>
          <w:sz w:val="20"/>
        </w:rPr>
        <w:t xml:space="preserve"> </w:t>
      </w:r>
      <w:r w:rsidR="00FC2FB4" w:rsidRPr="00045DE5">
        <w:rPr>
          <w:rFonts w:ascii="Arial" w:hAnsi="Arial" w:cs="Arial"/>
          <w:sz w:val="20"/>
        </w:rPr>
        <w:t>Tyto úpravy byly diskutovány se zástupci EK a je při</w:t>
      </w:r>
      <w:r w:rsidR="00FC2FB4" w:rsidRPr="005954CE">
        <w:rPr>
          <w:rFonts w:ascii="Arial" w:hAnsi="Arial" w:cs="Arial"/>
          <w:sz w:val="20"/>
        </w:rPr>
        <w:t xml:space="preserve">pravována další verze naplňování PP tak, aby odpovídala požadavkům EK. V rámci formálního vyjednávání EK </w:t>
      </w:r>
      <w:r w:rsidR="00FC2FB4">
        <w:rPr>
          <w:rFonts w:ascii="Arial" w:hAnsi="Arial" w:cs="Arial"/>
          <w:sz w:val="20"/>
        </w:rPr>
        <w:t xml:space="preserve">deklarovala </w:t>
      </w:r>
      <w:r w:rsidR="00FC2FB4" w:rsidRPr="005954CE">
        <w:rPr>
          <w:rFonts w:ascii="Arial" w:hAnsi="Arial" w:cs="Arial"/>
          <w:sz w:val="20"/>
        </w:rPr>
        <w:t xml:space="preserve">riziko stanovení significant prejudice, což by znamenalo pozastavení plateb na příslušnou část </w:t>
      </w:r>
      <w:r w:rsidR="00202F86">
        <w:rPr>
          <w:rFonts w:ascii="Arial" w:hAnsi="Arial" w:cs="Arial"/>
          <w:sz w:val="20"/>
        </w:rPr>
        <w:t>programu</w:t>
      </w:r>
      <w:r w:rsidR="00FC2FB4" w:rsidRPr="005954CE">
        <w:rPr>
          <w:rFonts w:ascii="Arial" w:hAnsi="Arial" w:cs="Arial"/>
          <w:sz w:val="20"/>
        </w:rPr>
        <w:t>.</w:t>
      </w:r>
    </w:p>
    <w:p w:rsidR="000871A9" w:rsidRPr="00912902" w:rsidRDefault="000871A9" w:rsidP="000871A9">
      <w:pPr>
        <w:keepNext/>
        <w:keepLines/>
        <w:pBdr>
          <w:top w:val="nil"/>
          <w:left w:val="nil"/>
          <w:bottom w:val="nil"/>
          <w:right w:val="nil"/>
          <w:between w:val="nil"/>
          <w:bar w:val="nil"/>
        </w:pBdr>
        <w:spacing w:before="240" w:after="120" w:line="240" w:lineRule="auto"/>
        <w:outlineLvl w:val="2"/>
        <w:rPr>
          <w:rFonts w:ascii="Arial" w:eastAsia="Times New Roman" w:hAnsi="Arial" w:cs="Arial"/>
          <w:b/>
          <w:bCs/>
          <w:sz w:val="20"/>
          <w:szCs w:val="20"/>
          <w:bdr w:val="nil"/>
        </w:rPr>
      </w:pPr>
      <w:bookmarkStart w:id="43" w:name="_Toc409196605"/>
      <w:r w:rsidRPr="006705AA">
        <w:rPr>
          <w:rFonts w:ascii="Arial" w:eastAsia="Times New Roman" w:hAnsi="Arial" w:cs="Arial"/>
          <w:b/>
          <w:bCs/>
          <w:u w:val="single"/>
          <w:bdr w:val="nil"/>
        </w:rPr>
        <w:t>Služební zákon</w:t>
      </w:r>
      <w:r w:rsidRPr="006705AA">
        <w:rPr>
          <w:rFonts w:ascii="Arial" w:eastAsia="Times New Roman" w:hAnsi="Arial" w:cs="Arial"/>
          <w:b/>
          <w:bCs/>
          <w:bdr w:val="nil"/>
        </w:rPr>
        <w:t xml:space="preserve"> – T 11</w:t>
      </w:r>
      <w:r w:rsidRPr="006705AA">
        <w:rPr>
          <w:rFonts w:ascii="Arial" w:eastAsia="Times New Roman" w:hAnsi="Arial" w:cs="Arial"/>
          <w:b/>
          <w:bCs/>
          <w:sz w:val="20"/>
          <w:szCs w:val="20"/>
          <w:bdr w:val="nil"/>
        </w:rPr>
        <w:t xml:space="preserve"> </w:t>
      </w:r>
      <w:r w:rsidRPr="006705AA">
        <w:rPr>
          <w:rFonts w:ascii="Arial" w:eastAsia="Times New Roman" w:hAnsi="Arial" w:cs="Arial"/>
          <w:bCs/>
          <w:sz w:val="20"/>
          <w:szCs w:val="20"/>
          <w:bdr w:val="nil"/>
        </w:rPr>
        <w:t>(gestor ministerstvo vnitra)</w:t>
      </w:r>
      <w:bookmarkEnd w:id="43"/>
    </w:p>
    <w:p w:rsidR="002C07D5" w:rsidRDefault="00243DE3" w:rsidP="002C07D5">
      <w:pPr>
        <w:numPr>
          <w:ilvl w:val="0"/>
          <w:numId w:val="6"/>
        </w:numPr>
        <w:pBdr>
          <w:top w:val="nil"/>
          <w:left w:val="nil"/>
          <w:bottom w:val="nil"/>
          <w:right w:val="nil"/>
          <w:between w:val="nil"/>
          <w:bar w:val="nil"/>
        </w:pBdr>
        <w:spacing w:before="0"/>
        <w:ind w:left="426" w:hanging="357"/>
        <w:rPr>
          <w:rFonts w:ascii="Arial" w:eastAsia="Times New Roman" w:hAnsi="Arial" w:cs="Arial"/>
          <w:sz w:val="20"/>
          <w:szCs w:val="20"/>
          <w:bdr w:val="nil"/>
        </w:rPr>
      </w:pPr>
      <w:r w:rsidRPr="00002A3E">
        <w:rPr>
          <w:rFonts w:ascii="Arial" w:eastAsia="Times New Roman" w:hAnsi="Arial" w:cs="Arial"/>
          <w:sz w:val="20"/>
          <w:szCs w:val="20"/>
          <w:bdr w:val="nil"/>
        </w:rPr>
        <w:t xml:space="preserve">V prosinci 2014 byl ustanoven tým složený ze zástupců MV, MMR, MPSV a MF pověřených k vyjednávání s EK. Cílem bilaterálních jednání je zajistit </w:t>
      </w:r>
      <w:r>
        <w:rPr>
          <w:rFonts w:ascii="Arial" w:eastAsia="Times New Roman" w:hAnsi="Arial" w:cs="Arial"/>
          <w:sz w:val="20"/>
          <w:szCs w:val="20"/>
          <w:bdr w:val="nil"/>
        </w:rPr>
        <w:t>maximální informovanost EK a </w:t>
      </w:r>
      <w:r w:rsidRPr="00002A3E">
        <w:rPr>
          <w:rFonts w:ascii="Arial" w:eastAsia="Times New Roman" w:hAnsi="Arial" w:cs="Arial"/>
          <w:sz w:val="20"/>
          <w:szCs w:val="20"/>
          <w:bdr w:val="nil"/>
        </w:rPr>
        <w:t>deklarovat přesvědčení vlády České republiky, že služební zákon naplňuje klíčové požadavky na vybudování stabilní, efektivní a profesionální státní</w:t>
      </w:r>
      <w:r>
        <w:rPr>
          <w:rFonts w:ascii="Arial" w:eastAsia="Times New Roman" w:hAnsi="Arial" w:cs="Arial"/>
          <w:sz w:val="20"/>
          <w:szCs w:val="20"/>
          <w:bdr w:val="nil"/>
        </w:rPr>
        <w:t xml:space="preserve"> správy, jak bylo požadováno ve </w:t>
      </w:r>
      <w:r w:rsidRPr="00002A3E">
        <w:rPr>
          <w:rFonts w:ascii="Arial" w:eastAsia="Times New Roman" w:hAnsi="Arial" w:cs="Arial"/>
          <w:sz w:val="20"/>
          <w:szCs w:val="20"/>
          <w:bdr w:val="nil"/>
        </w:rPr>
        <w:t xml:space="preserve">Specifických doporučeních </w:t>
      </w:r>
      <w:r>
        <w:rPr>
          <w:rFonts w:ascii="Arial" w:eastAsia="Times New Roman" w:hAnsi="Arial" w:cs="Arial"/>
          <w:sz w:val="20"/>
          <w:szCs w:val="20"/>
          <w:bdr w:val="nil"/>
        </w:rPr>
        <w:t xml:space="preserve">Rady </w:t>
      </w:r>
      <w:r w:rsidRPr="00002A3E">
        <w:rPr>
          <w:rFonts w:ascii="Arial" w:eastAsia="Times New Roman" w:hAnsi="Arial" w:cs="Arial"/>
          <w:sz w:val="20"/>
          <w:szCs w:val="20"/>
          <w:bdr w:val="nil"/>
        </w:rPr>
        <w:t xml:space="preserve">pro ČR a jak se zavázala ČR v Dohodě o partnerství. Jednání se zástupci Generálního ředitelství pro zaměstnanost, sociální věci a sociální začleňování </w:t>
      </w:r>
      <w:r w:rsidR="002D4271">
        <w:rPr>
          <w:rFonts w:ascii="Arial" w:eastAsia="Times New Roman" w:hAnsi="Arial" w:cs="Arial"/>
          <w:sz w:val="20"/>
          <w:szCs w:val="20"/>
          <w:bdr w:val="nil"/>
        </w:rPr>
        <w:t>EK</w:t>
      </w:r>
      <w:r w:rsidRPr="00002A3E">
        <w:rPr>
          <w:rFonts w:ascii="Arial" w:eastAsia="Times New Roman" w:hAnsi="Arial" w:cs="Arial"/>
          <w:sz w:val="20"/>
          <w:szCs w:val="20"/>
          <w:bdr w:val="nil"/>
        </w:rPr>
        <w:t xml:space="preserve"> </w:t>
      </w:r>
      <w:r>
        <w:rPr>
          <w:rFonts w:ascii="Arial" w:eastAsia="Times New Roman" w:hAnsi="Arial" w:cs="Arial"/>
          <w:sz w:val="20"/>
          <w:szCs w:val="20"/>
          <w:bdr w:val="nil"/>
        </w:rPr>
        <w:t>se uskutečn</w:t>
      </w:r>
      <w:r w:rsidR="00F36CC4">
        <w:rPr>
          <w:rFonts w:ascii="Arial" w:eastAsia="Times New Roman" w:hAnsi="Arial" w:cs="Arial"/>
          <w:sz w:val="20"/>
          <w:szCs w:val="20"/>
          <w:bdr w:val="nil"/>
        </w:rPr>
        <w:t>ilo</w:t>
      </w:r>
      <w:r>
        <w:rPr>
          <w:rFonts w:ascii="Arial" w:eastAsia="Times New Roman" w:hAnsi="Arial" w:cs="Arial"/>
          <w:sz w:val="20"/>
          <w:szCs w:val="20"/>
          <w:bdr w:val="nil"/>
        </w:rPr>
        <w:t xml:space="preserve"> dne 9. ledna 2015.</w:t>
      </w:r>
      <w:r w:rsidR="00F36CC4">
        <w:rPr>
          <w:rFonts w:ascii="Arial" w:eastAsia="Times New Roman" w:hAnsi="Arial" w:cs="Arial"/>
          <w:sz w:val="20"/>
          <w:szCs w:val="20"/>
          <w:bdr w:val="nil"/>
        </w:rPr>
        <w:t xml:space="preserve"> Další jednání proběhnou na</w:t>
      </w:r>
      <w:r w:rsidR="00202F86">
        <w:rPr>
          <w:rFonts w:ascii="Arial" w:eastAsia="Times New Roman" w:hAnsi="Arial" w:cs="Arial"/>
          <w:sz w:val="20"/>
          <w:szCs w:val="20"/>
          <w:bdr w:val="nil"/>
        </w:rPr>
        <w:t> </w:t>
      </w:r>
      <w:r w:rsidR="0091545F">
        <w:rPr>
          <w:rFonts w:ascii="Arial" w:eastAsia="Times New Roman" w:hAnsi="Arial" w:cs="Arial"/>
          <w:sz w:val="20"/>
          <w:szCs w:val="20"/>
          <w:bdr w:val="nil"/>
        </w:rPr>
        <w:t>přelomu ledna a </w:t>
      </w:r>
      <w:r w:rsidR="00F36CC4">
        <w:rPr>
          <w:rFonts w:ascii="Arial" w:eastAsia="Times New Roman" w:hAnsi="Arial" w:cs="Arial"/>
          <w:sz w:val="20"/>
          <w:szCs w:val="20"/>
          <w:bdr w:val="nil"/>
        </w:rPr>
        <w:t>února</w:t>
      </w:r>
      <w:r w:rsidR="004807D8">
        <w:rPr>
          <w:rFonts w:ascii="Arial" w:eastAsia="Times New Roman" w:hAnsi="Arial" w:cs="Arial"/>
          <w:sz w:val="20"/>
          <w:szCs w:val="20"/>
          <w:bdr w:val="nil"/>
        </w:rPr>
        <w:t xml:space="preserve"> 2015</w:t>
      </w:r>
      <w:r w:rsidR="00F36CC4">
        <w:rPr>
          <w:rFonts w:ascii="Arial" w:eastAsia="Times New Roman" w:hAnsi="Arial" w:cs="Arial"/>
          <w:sz w:val="20"/>
          <w:szCs w:val="20"/>
          <w:bdr w:val="nil"/>
        </w:rPr>
        <w:t>.</w:t>
      </w:r>
      <w:r w:rsidR="002C07D5">
        <w:rPr>
          <w:rFonts w:ascii="Arial" w:eastAsia="Times New Roman" w:hAnsi="Arial" w:cs="Arial"/>
          <w:sz w:val="20"/>
          <w:szCs w:val="20"/>
          <w:bdr w:val="nil"/>
        </w:rPr>
        <w:t xml:space="preserve"> </w:t>
      </w:r>
    </w:p>
    <w:p w:rsidR="00202F86" w:rsidRDefault="002C07D5" w:rsidP="00202F86">
      <w:pPr>
        <w:numPr>
          <w:ilvl w:val="0"/>
          <w:numId w:val="6"/>
        </w:numPr>
        <w:pBdr>
          <w:top w:val="nil"/>
          <w:left w:val="nil"/>
          <w:bottom w:val="nil"/>
          <w:right w:val="nil"/>
          <w:between w:val="nil"/>
          <w:bar w:val="nil"/>
        </w:pBdr>
        <w:spacing w:before="0"/>
        <w:ind w:left="426" w:hanging="357"/>
        <w:rPr>
          <w:rFonts w:ascii="Arial" w:eastAsia="Times New Roman" w:hAnsi="Arial" w:cs="Arial"/>
          <w:sz w:val="20"/>
          <w:szCs w:val="20"/>
          <w:bdr w:val="nil"/>
        </w:rPr>
      </w:pPr>
      <w:r>
        <w:rPr>
          <w:rFonts w:ascii="Arial" w:eastAsia="Times New Roman" w:hAnsi="Arial" w:cs="Arial"/>
          <w:sz w:val="20"/>
          <w:szCs w:val="20"/>
          <w:bdr w:val="nil"/>
        </w:rPr>
        <w:t>Na tomto jednání byly učiněny následující závěry:</w:t>
      </w:r>
    </w:p>
    <w:p w:rsidR="00202F86" w:rsidRDefault="002C07D5" w:rsidP="00202F86">
      <w:pPr>
        <w:numPr>
          <w:ilvl w:val="1"/>
          <w:numId w:val="6"/>
        </w:numPr>
        <w:pBdr>
          <w:top w:val="nil"/>
          <w:left w:val="nil"/>
          <w:bottom w:val="nil"/>
          <w:right w:val="nil"/>
          <w:between w:val="nil"/>
          <w:bar w:val="nil"/>
        </w:pBdr>
        <w:spacing w:before="0"/>
        <w:ind w:left="1134"/>
        <w:rPr>
          <w:rFonts w:ascii="Arial" w:eastAsia="Times New Roman" w:hAnsi="Arial" w:cs="Arial"/>
          <w:sz w:val="20"/>
          <w:szCs w:val="20"/>
          <w:bdr w:val="nil"/>
        </w:rPr>
      </w:pPr>
      <w:r w:rsidRPr="00202F86">
        <w:rPr>
          <w:rFonts w:ascii="Arial" w:eastAsia="Times New Roman" w:hAnsi="Arial" w:cs="Arial"/>
          <w:sz w:val="20"/>
          <w:szCs w:val="20"/>
          <w:bdr w:val="nil"/>
        </w:rPr>
        <w:t>ČR zašle EK v co nejkratším termínu seznam všech prováděcích předpisů, včetně upraveného harmonogramu.</w:t>
      </w:r>
    </w:p>
    <w:p w:rsidR="00202F86" w:rsidRDefault="002C07D5" w:rsidP="00202F86">
      <w:pPr>
        <w:numPr>
          <w:ilvl w:val="1"/>
          <w:numId w:val="6"/>
        </w:numPr>
        <w:pBdr>
          <w:top w:val="nil"/>
          <w:left w:val="nil"/>
          <w:bottom w:val="nil"/>
          <w:right w:val="nil"/>
          <w:between w:val="nil"/>
          <w:bar w:val="nil"/>
        </w:pBdr>
        <w:spacing w:before="0"/>
        <w:ind w:left="1134"/>
        <w:rPr>
          <w:rFonts w:ascii="Arial" w:eastAsia="Times New Roman" w:hAnsi="Arial" w:cs="Arial"/>
          <w:sz w:val="20"/>
          <w:szCs w:val="20"/>
          <w:bdr w:val="nil"/>
        </w:rPr>
      </w:pPr>
      <w:r w:rsidRPr="00202F86">
        <w:rPr>
          <w:rFonts w:ascii="Arial" w:eastAsia="Times New Roman" w:hAnsi="Arial" w:cs="Arial"/>
          <w:sz w:val="20"/>
          <w:szCs w:val="20"/>
          <w:bdr w:val="nil"/>
        </w:rPr>
        <w:t>Akční plán k předběžné podmínce bude aktualizován v souvislosti s bodem 1) a bude odrážet průběh jednání.</w:t>
      </w:r>
    </w:p>
    <w:p w:rsidR="00202F86" w:rsidRDefault="002C07D5" w:rsidP="00202F86">
      <w:pPr>
        <w:numPr>
          <w:ilvl w:val="1"/>
          <w:numId w:val="6"/>
        </w:numPr>
        <w:pBdr>
          <w:top w:val="nil"/>
          <w:left w:val="nil"/>
          <w:bottom w:val="nil"/>
          <w:right w:val="nil"/>
          <w:between w:val="nil"/>
          <w:bar w:val="nil"/>
        </w:pBdr>
        <w:spacing w:before="0"/>
        <w:ind w:left="1134"/>
        <w:rPr>
          <w:rFonts w:ascii="Arial" w:eastAsia="Times New Roman" w:hAnsi="Arial" w:cs="Arial"/>
          <w:sz w:val="20"/>
          <w:szCs w:val="20"/>
          <w:bdr w:val="nil"/>
        </w:rPr>
      </w:pPr>
      <w:r w:rsidRPr="00202F86">
        <w:rPr>
          <w:rFonts w:ascii="Arial" w:eastAsia="Times New Roman" w:hAnsi="Arial" w:cs="Arial"/>
          <w:sz w:val="20"/>
          <w:szCs w:val="20"/>
          <w:bdr w:val="nil"/>
        </w:rPr>
        <w:t>Institucionální působnost služebního zákona v rá</w:t>
      </w:r>
      <w:r w:rsidR="00202F86">
        <w:rPr>
          <w:rFonts w:ascii="Arial" w:eastAsia="Times New Roman" w:hAnsi="Arial" w:cs="Arial"/>
          <w:sz w:val="20"/>
          <w:szCs w:val="20"/>
          <w:bdr w:val="nil"/>
        </w:rPr>
        <w:t>mci subjektů podílejících se na </w:t>
      </w:r>
      <w:r w:rsidRPr="00202F86">
        <w:rPr>
          <w:rFonts w:ascii="Arial" w:eastAsia="Times New Roman" w:hAnsi="Arial" w:cs="Arial"/>
          <w:sz w:val="20"/>
          <w:szCs w:val="20"/>
          <w:bdr w:val="nil"/>
        </w:rPr>
        <w:t>přerozdělování prostředků z</w:t>
      </w:r>
      <w:r w:rsidR="00202F86">
        <w:rPr>
          <w:rFonts w:ascii="Arial" w:eastAsia="Times New Roman" w:hAnsi="Arial" w:cs="Arial"/>
          <w:sz w:val="20"/>
          <w:szCs w:val="20"/>
          <w:bdr w:val="nil"/>
        </w:rPr>
        <w:t xml:space="preserve"> ESI </w:t>
      </w:r>
      <w:r w:rsidRPr="00202F86">
        <w:rPr>
          <w:rFonts w:ascii="Arial" w:eastAsia="Times New Roman" w:hAnsi="Arial" w:cs="Arial"/>
          <w:sz w:val="20"/>
          <w:szCs w:val="20"/>
          <w:bdr w:val="nil"/>
        </w:rPr>
        <w:t>fondů:</w:t>
      </w:r>
      <w:r w:rsidR="00202F86">
        <w:rPr>
          <w:rFonts w:ascii="Arial" w:eastAsia="Times New Roman" w:hAnsi="Arial" w:cs="Arial"/>
          <w:sz w:val="20"/>
          <w:szCs w:val="20"/>
          <w:bdr w:val="nil"/>
        </w:rPr>
        <w:t xml:space="preserve"> </w:t>
      </w:r>
      <w:r w:rsidRPr="00202F86">
        <w:rPr>
          <w:rFonts w:ascii="Arial" w:eastAsia="Times New Roman" w:hAnsi="Arial" w:cs="Arial"/>
          <w:sz w:val="20"/>
          <w:szCs w:val="20"/>
          <w:bdr w:val="nil"/>
        </w:rPr>
        <w:t xml:space="preserve">Všechny </w:t>
      </w:r>
      <w:r w:rsidR="00202F86">
        <w:rPr>
          <w:rFonts w:ascii="Arial" w:eastAsia="Times New Roman" w:hAnsi="Arial" w:cs="Arial"/>
          <w:sz w:val="20"/>
          <w:szCs w:val="20"/>
          <w:bdr w:val="nil"/>
        </w:rPr>
        <w:t>relevantní subjekty budou buď v </w:t>
      </w:r>
      <w:r w:rsidRPr="00202F86">
        <w:rPr>
          <w:rFonts w:ascii="Arial" w:eastAsia="Times New Roman" w:hAnsi="Arial" w:cs="Arial"/>
          <w:sz w:val="20"/>
          <w:szCs w:val="20"/>
          <w:bdr w:val="nil"/>
        </w:rPr>
        <w:t>přímé působnosti zákona o státní službě</w:t>
      </w:r>
      <w:r w:rsidR="00202F86">
        <w:rPr>
          <w:rFonts w:ascii="Arial" w:eastAsia="Times New Roman" w:hAnsi="Arial" w:cs="Arial"/>
          <w:sz w:val="20"/>
          <w:szCs w:val="20"/>
          <w:bdr w:val="nil"/>
        </w:rPr>
        <w:t>,</w:t>
      </w:r>
      <w:r w:rsidRPr="00202F86">
        <w:rPr>
          <w:rFonts w:ascii="Arial" w:eastAsia="Times New Roman" w:hAnsi="Arial" w:cs="Arial"/>
          <w:sz w:val="20"/>
          <w:szCs w:val="20"/>
          <w:bdr w:val="nil"/>
        </w:rPr>
        <w:t xml:space="preserve"> nebo bude za</w:t>
      </w:r>
      <w:r w:rsidR="0091545F">
        <w:rPr>
          <w:rFonts w:ascii="Arial" w:eastAsia="Times New Roman" w:hAnsi="Arial" w:cs="Arial"/>
          <w:sz w:val="20"/>
          <w:szCs w:val="20"/>
          <w:bdr w:val="nil"/>
        </w:rPr>
        <w:t>jištěn jinými legislativními či </w:t>
      </w:r>
      <w:r w:rsidRPr="00202F86">
        <w:rPr>
          <w:rFonts w:ascii="Arial" w:eastAsia="Times New Roman" w:hAnsi="Arial" w:cs="Arial"/>
          <w:sz w:val="20"/>
          <w:szCs w:val="20"/>
          <w:bdr w:val="nil"/>
        </w:rPr>
        <w:t>nelegislativními předpisy obdobný režim jako ve služebním zákoně.</w:t>
      </w:r>
    </w:p>
    <w:p w:rsidR="00202F86" w:rsidRDefault="002C07D5" w:rsidP="00202F86">
      <w:pPr>
        <w:numPr>
          <w:ilvl w:val="1"/>
          <w:numId w:val="6"/>
        </w:numPr>
        <w:pBdr>
          <w:top w:val="nil"/>
          <w:left w:val="nil"/>
          <w:bottom w:val="nil"/>
          <w:right w:val="nil"/>
          <w:between w:val="nil"/>
          <w:bar w:val="nil"/>
        </w:pBdr>
        <w:spacing w:before="0"/>
        <w:ind w:left="1134"/>
        <w:rPr>
          <w:rFonts w:ascii="Arial" w:eastAsia="Times New Roman" w:hAnsi="Arial" w:cs="Arial"/>
          <w:sz w:val="20"/>
          <w:szCs w:val="20"/>
          <w:bdr w:val="nil"/>
        </w:rPr>
      </w:pPr>
      <w:r w:rsidRPr="00202F86">
        <w:rPr>
          <w:rFonts w:ascii="Arial" w:eastAsia="Times New Roman" w:hAnsi="Arial" w:cs="Arial"/>
          <w:sz w:val="20"/>
          <w:szCs w:val="20"/>
          <w:bdr w:val="nil"/>
        </w:rPr>
        <w:t>Další schůzka Task Force se uskuteční na přelomu ledna a února</w:t>
      </w:r>
      <w:r w:rsidR="00202F86">
        <w:rPr>
          <w:rFonts w:ascii="Arial" w:eastAsia="Times New Roman" w:hAnsi="Arial" w:cs="Arial"/>
          <w:sz w:val="20"/>
          <w:szCs w:val="20"/>
          <w:bdr w:val="nil"/>
        </w:rPr>
        <w:t xml:space="preserve"> 2015</w:t>
      </w:r>
      <w:r w:rsidRPr="00202F86">
        <w:rPr>
          <w:rFonts w:ascii="Arial" w:eastAsia="Times New Roman" w:hAnsi="Arial" w:cs="Arial"/>
          <w:sz w:val="20"/>
          <w:szCs w:val="20"/>
          <w:bdr w:val="nil"/>
        </w:rPr>
        <w:t>.</w:t>
      </w:r>
    </w:p>
    <w:p w:rsidR="002C07D5" w:rsidRPr="00202F86" w:rsidRDefault="002C07D5" w:rsidP="00202F86">
      <w:pPr>
        <w:numPr>
          <w:ilvl w:val="1"/>
          <w:numId w:val="6"/>
        </w:numPr>
        <w:pBdr>
          <w:top w:val="nil"/>
          <w:left w:val="nil"/>
          <w:bottom w:val="nil"/>
          <w:right w:val="nil"/>
          <w:between w:val="nil"/>
          <w:bar w:val="nil"/>
        </w:pBdr>
        <w:spacing w:before="0"/>
        <w:ind w:left="1134"/>
        <w:rPr>
          <w:rFonts w:ascii="Arial" w:eastAsia="Times New Roman" w:hAnsi="Arial" w:cs="Arial"/>
          <w:sz w:val="20"/>
          <w:szCs w:val="20"/>
          <w:bdr w:val="nil"/>
        </w:rPr>
      </w:pPr>
      <w:r w:rsidRPr="00202F86">
        <w:rPr>
          <w:rFonts w:ascii="Arial" w:eastAsia="Times New Roman" w:hAnsi="Arial" w:cs="Arial"/>
          <w:sz w:val="20"/>
          <w:szCs w:val="20"/>
          <w:bdr w:val="nil"/>
        </w:rPr>
        <w:t>EK chce, aby v nastavení systému odměňování byly jasně nastaveny i kritéria v rámci výkonu, na které bude vázáno konkrétní finanční ohodnocení zaměstnance</w:t>
      </w:r>
      <w:r w:rsidR="002E4FB5">
        <w:rPr>
          <w:rFonts w:ascii="Arial" w:eastAsia="Times New Roman" w:hAnsi="Arial" w:cs="Arial"/>
          <w:sz w:val="20"/>
          <w:szCs w:val="20"/>
          <w:bdr w:val="nil"/>
        </w:rPr>
        <w:t>.</w:t>
      </w:r>
    </w:p>
    <w:p w:rsidR="00E23752" w:rsidRDefault="00E23752" w:rsidP="002C07D5">
      <w:pPr>
        <w:numPr>
          <w:ilvl w:val="0"/>
          <w:numId w:val="6"/>
        </w:numPr>
        <w:pBdr>
          <w:top w:val="nil"/>
          <w:left w:val="nil"/>
          <w:bottom w:val="nil"/>
          <w:right w:val="nil"/>
          <w:between w:val="nil"/>
          <w:bar w:val="nil"/>
        </w:pBdr>
        <w:spacing w:before="0"/>
        <w:ind w:left="426" w:hanging="357"/>
        <w:rPr>
          <w:rFonts w:ascii="Arial" w:eastAsia="Times New Roman" w:hAnsi="Arial" w:cs="Arial"/>
          <w:sz w:val="20"/>
          <w:szCs w:val="20"/>
          <w:bdr w:val="nil"/>
        </w:rPr>
      </w:pPr>
      <w:r>
        <w:rPr>
          <w:rFonts w:ascii="Arial" w:eastAsia="Times New Roman" w:hAnsi="Arial" w:cs="Arial"/>
          <w:sz w:val="20"/>
          <w:szCs w:val="20"/>
          <w:bdr w:val="nil"/>
        </w:rPr>
        <w:t>Další je</w:t>
      </w:r>
      <w:r w:rsidR="002E4FB5">
        <w:rPr>
          <w:rFonts w:ascii="Arial" w:eastAsia="Times New Roman" w:hAnsi="Arial" w:cs="Arial"/>
          <w:sz w:val="20"/>
          <w:szCs w:val="20"/>
          <w:bdr w:val="nil"/>
        </w:rPr>
        <w:t>d</w:t>
      </w:r>
      <w:r>
        <w:rPr>
          <w:rFonts w:ascii="Arial" w:eastAsia="Times New Roman" w:hAnsi="Arial" w:cs="Arial"/>
          <w:sz w:val="20"/>
          <w:szCs w:val="20"/>
          <w:bdr w:val="nil"/>
        </w:rPr>
        <w:t xml:space="preserve">nání proběhnou na přelomu ledna a února 2015. </w:t>
      </w:r>
      <w:r w:rsidR="002C07D5">
        <w:rPr>
          <w:rFonts w:ascii="Arial" w:eastAsia="Times New Roman" w:hAnsi="Arial" w:cs="Arial"/>
          <w:sz w:val="20"/>
          <w:szCs w:val="20"/>
          <w:bdr w:val="nil"/>
        </w:rPr>
        <w:t>EK nicméně vyjádřila s odvoláním na</w:t>
      </w:r>
      <w:r w:rsidR="002E4FB5">
        <w:rPr>
          <w:rFonts w:ascii="Arial" w:eastAsia="Times New Roman" w:hAnsi="Arial" w:cs="Arial"/>
          <w:sz w:val="20"/>
          <w:szCs w:val="20"/>
          <w:bdr w:val="nil"/>
        </w:rPr>
        <w:t> </w:t>
      </w:r>
      <w:r w:rsidR="002C07D5">
        <w:rPr>
          <w:rFonts w:ascii="Arial" w:eastAsia="Times New Roman" w:hAnsi="Arial" w:cs="Arial"/>
          <w:sz w:val="20"/>
          <w:szCs w:val="20"/>
          <w:bdr w:val="nil"/>
        </w:rPr>
        <w:t>prosincový dopis komisařky</w:t>
      </w:r>
      <w:r w:rsidR="002E4FB5" w:rsidRPr="002E4FB5">
        <w:rPr>
          <w:rFonts w:ascii="Arial" w:hAnsi="Arial" w:cs="Arial"/>
          <w:sz w:val="20"/>
          <w:szCs w:val="20"/>
        </w:rPr>
        <w:t xml:space="preserve"> </w:t>
      </w:r>
      <w:r w:rsidR="002E4FB5" w:rsidRPr="00024A60">
        <w:rPr>
          <w:rFonts w:ascii="Arial" w:hAnsi="Arial" w:cs="Arial"/>
          <w:sz w:val="20"/>
          <w:szCs w:val="20"/>
        </w:rPr>
        <w:t>pro zaměstnanost, sociální záležitosti a inkluzi Marianne</w:t>
      </w:r>
      <w:r w:rsidR="002C07D5">
        <w:rPr>
          <w:rFonts w:ascii="Arial" w:eastAsia="Times New Roman" w:hAnsi="Arial" w:cs="Arial"/>
          <w:sz w:val="20"/>
          <w:szCs w:val="20"/>
          <w:bdr w:val="nil"/>
        </w:rPr>
        <w:t xml:space="preserve"> Thyssen neochotu k pokračování schvalovacího procesu v rámci OP PIK.</w:t>
      </w:r>
    </w:p>
    <w:p w:rsidR="00243DE3" w:rsidRPr="00002A3E" w:rsidRDefault="00E23752" w:rsidP="00243DE3">
      <w:pPr>
        <w:numPr>
          <w:ilvl w:val="0"/>
          <w:numId w:val="6"/>
        </w:numPr>
        <w:pBdr>
          <w:top w:val="nil"/>
          <w:left w:val="nil"/>
          <w:bottom w:val="nil"/>
          <w:right w:val="nil"/>
          <w:between w:val="nil"/>
          <w:bar w:val="nil"/>
        </w:pBdr>
        <w:spacing w:before="0"/>
        <w:ind w:left="426" w:hanging="357"/>
        <w:rPr>
          <w:rFonts w:ascii="Arial" w:eastAsia="Times New Roman" w:hAnsi="Arial" w:cs="Arial"/>
          <w:sz w:val="20"/>
          <w:szCs w:val="20"/>
          <w:bdr w:val="nil"/>
        </w:rPr>
      </w:pPr>
      <w:r>
        <w:rPr>
          <w:rFonts w:ascii="Arial" w:eastAsia="Times New Roman" w:hAnsi="Arial" w:cs="Arial"/>
          <w:sz w:val="20"/>
          <w:szCs w:val="20"/>
          <w:bdr w:val="nil"/>
        </w:rPr>
        <w:t xml:space="preserve">Na národní úrovni bylo dohodnuto, že oblast odměňování bude předmětem jednání koaliční rady dne 19. </w:t>
      </w:r>
      <w:r w:rsidR="002E4FB5">
        <w:rPr>
          <w:rFonts w:ascii="Arial" w:eastAsia="Times New Roman" w:hAnsi="Arial" w:cs="Arial"/>
          <w:sz w:val="20"/>
          <w:szCs w:val="20"/>
          <w:bdr w:val="nil"/>
        </w:rPr>
        <w:t>ledna</w:t>
      </w:r>
      <w:r>
        <w:rPr>
          <w:rFonts w:ascii="Arial" w:eastAsia="Times New Roman" w:hAnsi="Arial" w:cs="Arial"/>
          <w:sz w:val="20"/>
          <w:szCs w:val="20"/>
          <w:bdr w:val="nil"/>
        </w:rPr>
        <w:t xml:space="preserve"> 2015. Následně by měl být tento materiál projednán na Výboru pro Evropskou unii 28. </w:t>
      </w:r>
      <w:r w:rsidR="002E4FB5">
        <w:rPr>
          <w:rFonts w:ascii="Arial" w:eastAsia="Times New Roman" w:hAnsi="Arial" w:cs="Arial"/>
          <w:sz w:val="20"/>
          <w:szCs w:val="20"/>
          <w:bdr w:val="nil"/>
        </w:rPr>
        <w:t>ledna</w:t>
      </w:r>
      <w:r w:rsidR="00243DE3">
        <w:rPr>
          <w:rFonts w:ascii="Arial" w:eastAsia="Times New Roman" w:hAnsi="Arial" w:cs="Arial"/>
          <w:sz w:val="20"/>
          <w:szCs w:val="20"/>
          <w:bdr w:val="nil"/>
        </w:rPr>
        <w:t xml:space="preserve"> 2015.</w:t>
      </w:r>
      <w:r w:rsidR="00243DE3" w:rsidRPr="00002A3E">
        <w:rPr>
          <w:rFonts w:ascii="Arial" w:eastAsia="Times New Roman" w:hAnsi="Arial" w:cs="Arial"/>
          <w:sz w:val="20"/>
          <w:szCs w:val="20"/>
          <w:bdr w:val="nil"/>
        </w:rPr>
        <w:t xml:space="preserve"> </w:t>
      </w:r>
    </w:p>
    <w:p w:rsidR="00F9454B" w:rsidRDefault="00F9454B">
      <w:pPr>
        <w:spacing w:before="0" w:line="240" w:lineRule="auto"/>
        <w:jc w:val="left"/>
      </w:pPr>
      <w:r>
        <w:br w:type="page"/>
      </w:r>
    </w:p>
    <w:p w:rsidR="00F9454B" w:rsidRPr="00CE0788" w:rsidRDefault="00F9454B" w:rsidP="00F9454B">
      <w:pPr>
        <w:pStyle w:val="Nadpis1"/>
      </w:pPr>
      <w:bookmarkStart w:id="44" w:name="_Toc409196606"/>
      <w:r>
        <w:lastRenderedPageBreak/>
        <w:t xml:space="preserve">Další </w:t>
      </w:r>
      <w:r w:rsidR="00FD74C0">
        <w:t xml:space="preserve">aktuální </w:t>
      </w:r>
      <w:r>
        <w:t>oblasti v rámci přípravy 2014–2020</w:t>
      </w:r>
      <w:bookmarkEnd w:id="44"/>
    </w:p>
    <w:p w:rsidR="00F9454B" w:rsidRDefault="00F9454B" w:rsidP="00F9454B">
      <w:pPr>
        <w:keepNext/>
        <w:keepLines/>
        <w:pBdr>
          <w:top w:val="nil"/>
          <w:left w:val="nil"/>
          <w:bottom w:val="nil"/>
          <w:right w:val="nil"/>
          <w:between w:val="nil"/>
          <w:bar w:val="nil"/>
        </w:pBdr>
        <w:spacing w:before="240" w:after="120" w:line="240" w:lineRule="auto"/>
        <w:outlineLvl w:val="2"/>
        <w:rPr>
          <w:rFonts w:ascii="Arial" w:eastAsia="Times New Roman" w:hAnsi="Arial" w:cs="Arial"/>
          <w:b/>
          <w:bCs/>
          <w:u w:val="single"/>
          <w:bdr w:val="nil"/>
        </w:rPr>
      </w:pPr>
      <w:bookmarkStart w:id="45" w:name="_Toc409196607"/>
      <w:r w:rsidRPr="009939B5">
        <w:rPr>
          <w:rFonts w:ascii="Arial" w:eastAsia="Times New Roman" w:hAnsi="Arial" w:cs="Arial"/>
          <w:b/>
          <w:bCs/>
          <w:u w:val="single"/>
          <w:bdr w:val="nil"/>
        </w:rPr>
        <w:t>Převod prostředků mezi kategoriemi regionů</w:t>
      </w:r>
      <w:bookmarkEnd w:id="45"/>
    </w:p>
    <w:p w:rsidR="00F9454B" w:rsidRDefault="00F9454B" w:rsidP="00F9454B">
      <w:pPr>
        <w:pBdr>
          <w:top w:val="nil"/>
          <w:left w:val="nil"/>
          <w:bottom w:val="nil"/>
          <w:right w:val="nil"/>
          <w:between w:val="nil"/>
          <w:bar w:val="nil"/>
        </w:pBdr>
        <w:spacing w:before="0" w:after="120"/>
        <w:rPr>
          <w:rFonts w:ascii="Arial" w:eastAsia="Times New Roman" w:hAnsi="Arial" w:cs="Arial"/>
          <w:sz w:val="20"/>
          <w:szCs w:val="20"/>
          <w:bdr w:val="nil"/>
        </w:rPr>
      </w:pPr>
      <w:r w:rsidRPr="009939B5">
        <w:rPr>
          <w:rFonts w:ascii="Arial" w:eastAsia="Times New Roman" w:hAnsi="Arial" w:cs="Arial"/>
          <w:sz w:val="20"/>
          <w:szCs w:val="20"/>
          <w:bdr w:val="nil"/>
        </w:rPr>
        <w:t xml:space="preserve">Otázka převodu prostředků mezi kategoriemi regionů je jednou z řešených problematik v rámci </w:t>
      </w:r>
      <w:r>
        <w:rPr>
          <w:rFonts w:ascii="Arial" w:eastAsia="Times New Roman" w:hAnsi="Arial" w:cs="Arial"/>
          <w:sz w:val="20"/>
          <w:szCs w:val="20"/>
          <w:bdr w:val="nil"/>
        </w:rPr>
        <w:t>zpracování programů a jejich</w:t>
      </w:r>
      <w:r w:rsidRPr="009939B5">
        <w:rPr>
          <w:rFonts w:ascii="Arial" w:eastAsia="Times New Roman" w:hAnsi="Arial" w:cs="Arial"/>
          <w:sz w:val="20"/>
          <w:szCs w:val="20"/>
          <w:bdr w:val="nil"/>
        </w:rPr>
        <w:t xml:space="preserve"> probíhajícího formálního vyjednávání s EK. </w:t>
      </w:r>
      <w:r w:rsidRPr="009939B5">
        <w:rPr>
          <w:rFonts w:ascii="Arial" w:eastAsia="Times New Roman" w:hAnsi="Arial" w:cs="Arial"/>
          <w:b/>
          <w:sz w:val="20"/>
          <w:szCs w:val="20"/>
          <w:bdr w:val="nil"/>
        </w:rPr>
        <w:t xml:space="preserve">Legislativa EU umožňuje za určitých podmínek převést nad rámec prostředků přímo </w:t>
      </w:r>
      <w:r w:rsidR="0091545F">
        <w:rPr>
          <w:rFonts w:ascii="Arial" w:eastAsia="Times New Roman" w:hAnsi="Arial" w:cs="Arial"/>
          <w:b/>
          <w:sz w:val="20"/>
          <w:szCs w:val="20"/>
          <w:bdr w:val="nil"/>
        </w:rPr>
        <w:t>určených pro region Prahy (88,2 </w:t>
      </w:r>
      <w:r w:rsidRPr="009939B5">
        <w:rPr>
          <w:rFonts w:ascii="Arial" w:eastAsia="Times New Roman" w:hAnsi="Arial" w:cs="Arial"/>
          <w:b/>
          <w:sz w:val="20"/>
          <w:szCs w:val="20"/>
          <w:bdr w:val="nil"/>
        </w:rPr>
        <w:t>mil. EUR) do</w:t>
      </w:r>
      <w:r>
        <w:rPr>
          <w:rFonts w:ascii="Arial" w:eastAsia="Times New Roman" w:hAnsi="Arial" w:cs="Arial"/>
          <w:b/>
          <w:sz w:val="20"/>
          <w:szCs w:val="20"/>
          <w:bdr w:val="nil"/>
        </w:rPr>
        <w:t> </w:t>
      </w:r>
      <w:r w:rsidRPr="009939B5">
        <w:rPr>
          <w:rFonts w:ascii="Arial" w:eastAsia="Times New Roman" w:hAnsi="Arial" w:cs="Arial"/>
          <w:b/>
          <w:sz w:val="20"/>
          <w:szCs w:val="20"/>
          <w:bdr w:val="nil"/>
        </w:rPr>
        <w:t>tohoto regionu prostředky ve výši maximálně 3 % z alokace méně rozvinutých regionů (tj.</w:t>
      </w:r>
      <w:r>
        <w:rPr>
          <w:rFonts w:ascii="Arial" w:eastAsia="Times New Roman" w:hAnsi="Arial" w:cs="Arial"/>
          <w:b/>
          <w:sz w:val="20"/>
          <w:szCs w:val="20"/>
          <w:bdr w:val="nil"/>
        </w:rPr>
        <w:t> </w:t>
      </w:r>
      <w:r w:rsidRPr="009939B5">
        <w:rPr>
          <w:rFonts w:ascii="Arial" w:eastAsia="Times New Roman" w:hAnsi="Arial" w:cs="Arial"/>
          <w:b/>
          <w:sz w:val="20"/>
          <w:szCs w:val="20"/>
          <w:bdr w:val="nil"/>
        </w:rPr>
        <w:t xml:space="preserve">458,5 mil. </w:t>
      </w:r>
      <w:r w:rsidRPr="00C653DF">
        <w:rPr>
          <w:rFonts w:ascii="Arial" w:eastAsia="Times New Roman" w:hAnsi="Arial" w:cs="Arial"/>
          <w:b/>
          <w:sz w:val="20"/>
          <w:szCs w:val="20"/>
          <w:bdr w:val="nil"/>
        </w:rPr>
        <w:t>EUR), přičemž tuto možn</w:t>
      </w:r>
      <w:r w:rsidR="0091545F">
        <w:rPr>
          <w:rFonts w:ascii="Arial" w:eastAsia="Times New Roman" w:hAnsi="Arial" w:cs="Arial"/>
          <w:b/>
          <w:sz w:val="20"/>
          <w:szCs w:val="20"/>
          <w:bdr w:val="nil"/>
        </w:rPr>
        <w:t>ost plné 3% výše převodu ČR dle </w:t>
      </w:r>
      <w:r w:rsidRPr="00C653DF">
        <w:rPr>
          <w:rFonts w:ascii="Arial" w:eastAsia="Times New Roman" w:hAnsi="Arial" w:cs="Arial"/>
          <w:b/>
          <w:sz w:val="20"/>
          <w:szCs w:val="20"/>
          <w:bdr w:val="nil"/>
        </w:rPr>
        <w:t>schválené Dohody o</w:t>
      </w:r>
      <w:r>
        <w:rPr>
          <w:rFonts w:ascii="Arial" w:eastAsia="Times New Roman" w:hAnsi="Arial" w:cs="Arial"/>
          <w:b/>
          <w:sz w:val="20"/>
          <w:szCs w:val="20"/>
          <w:bdr w:val="nil"/>
        </w:rPr>
        <w:t> </w:t>
      </w:r>
      <w:r w:rsidRPr="00C653DF">
        <w:rPr>
          <w:rFonts w:ascii="Arial" w:eastAsia="Times New Roman" w:hAnsi="Arial" w:cs="Arial"/>
          <w:b/>
          <w:sz w:val="20"/>
          <w:szCs w:val="20"/>
          <w:bdr w:val="nil"/>
        </w:rPr>
        <w:t>partnerství využívá.</w:t>
      </w:r>
      <w:r w:rsidRPr="009939B5">
        <w:rPr>
          <w:rFonts w:ascii="Arial" w:eastAsia="Times New Roman" w:hAnsi="Arial" w:cs="Arial"/>
          <w:sz w:val="20"/>
          <w:szCs w:val="20"/>
          <w:bdr w:val="nil"/>
        </w:rPr>
        <w:t xml:space="preserve"> </w:t>
      </w:r>
    </w:p>
    <w:p w:rsidR="00F9454B" w:rsidRDefault="00F9454B" w:rsidP="00F9454B">
      <w:pPr>
        <w:pBdr>
          <w:top w:val="nil"/>
          <w:left w:val="nil"/>
          <w:bottom w:val="nil"/>
          <w:right w:val="nil"/>
          <w:between w:val="nil"/>
          <w:bar w:val="nil"/>
        </w:pBdr>
        <w:spacing w:before="0" w:after="120"/>
        <w:rPr>
          <w:rFonts w:ascii="Arial" w:eastAsia="Times New Roman" w:hAnsi="Arial" w:cs="Arial"/>
          <w:sz w:val="20"/>
          <w:szCs w:val="20"/>
          <w:bdr w:val="nil"/>
        </w:rPr>
      </w:pPr>
      <w:r>
        <w:rPr>
          <w:rFonts w:ascii="Arial" w:eastAsia="Times New Roman" w:hAnsi="Arial" w:cs="Arial"/>
          <w:sz w:val="20"/>
          <w:szCs w:val="20"/>
          <w:bdr w:val="nil"/>
        </w:rPr>
        <w:t xml:space="preserve">Pro pokrok směrem k dopracování programů a uzavření jejich vyjednávání s EK bylo potřeba mimo jiné rozhodnout o </w:t>
      </w:r>
      <w:r w:rsidRPr="0091545F">
        <w:rPr>
          <w:rFonts w:ascii="Arial" w:eastAsia="Times New Roman" w:hAnsi="Arial" w:cs="Arial"/>
          <w:b/>
          <w:sz w:val="20"/>
          <w:szCs w:val="20"/>
          <w:bdr w:val="nil"/>
        </w:rPr>
        <w:t>rozdělení disponibilní výše převodu mezi dotčené programy, kterými j</w:t>
      </w:r>
      <w:r w:rsidR="0091545F" w:rsidRPr="0091545F">
        <w:rPr>
          <w:rFonts w:ascii="Arial" w:eastAsia="Times New Roman" w:hAnsi="Arial" w:cs="Arial"/>
          <w:b/>
          <w:sz w:val="20"/>
          <w:szCs w:val="20"/>
          <w:bdr w:val="nil"/>
        </w:rPr>
        <w:t>sou</w:t>
      </w:r>
      <w:r w:rsidRPr="0091545F">
        <w:rPr>
          <w:rFonts w:ascii="Arial" w:eastAsia="Times New Roman" w:hAnsi="Arial" w:cs="Arial"/>
          <w:b/>
          <w:sz w:val="20"/>
          <w:szCs w:val="20"/>
          <w:bdr w:val="nil"/>
        </w:rPr>
        <w:t xml:space="preserve"> OP</w:t>
      </w:r>
      <w:r w:rsidR="0091545F" w:rsidRPr="0091545F">
        <w:rPr>
          <w:rFonts w:ascii="Arial" w:eastAsia="Times New Roman" w:hAnsi="Arial" w:cs="Arial"/>
          <w:b/>
          <w:sz w:val="20"/>
          <w:szCs w:val="20"/>
          <w:bdr w:val="nil"/>
        </w:rPr>
        <w:t> </w:t>
      </w:r>
      <w:r w:rsidRPr="0091545F">
        <w:rPr>
          <w:rFonts w:ascii="Arial" w:eastAsia="Times New Roman" w:hAnsi="Arial" w:cs="Arial"/>
          <w:b/>
          <w:sz w:val="20"/>
          <w:szCs w:val="20"/>
          <w:bdr w:val="nil"/>
        </w:rPr>
        <w:t>VVV, OP Z, OP PPR a IROP</w:t>
      </w:r>
      <w:r>
        <w:rPr>
          <w:rFonts w:ascii="Arial" w:eastAsia="Times New Roman" w:hAnsi="Arial" w:cs="Arial"/>
          <w:sz w:val="20"/>
          <w:szCs w:val="20"/>
          <w:bdr w:val="nil"/>
        </w:rPr>
        <w:t>. Rozhodnutí o rozdělení učinil</w:t>
      </w:r>
      <w:r w:rsidR="0091545F">
        <w:rPr>
          <w:rFonts w:ascii="Arial" w:eastAsia="Times New Roman" w:hAnsi="Arial" w:cs="Arial"/>
          <w:sz w:val="20"/>
          <w:szCs w:val="20"/>
          <w:bdr w:val="nil"/>
        </w:rPr>
        <w:t>a vláda na svém jednání dne 22. </w:t>
      </w:r>
      <w:r>
        <w:rPr>
          <w:rFonts w:ascii="Arial" w:eastAsia="Times New Roman" w:hAnsi="Arial" w:cs="Arial"/>
          <w:sz w:val="20"/>
          <w:szCs w:val="20"/>
          <w:bdr w:val="nil"/>
        </w:rPr>
        <w:t>prosince 2014 usnesením č. 1103/2014. Výsledné rozdělení převáděných prostředků (</w:t>
      </w:r>
      <w:r w:rsidR="0091545F">
        <w:rPr>
          <w:rFonts w:ascii="Arial" w:hAnsi="Arial" w:cs="Arial"/>
          <w:bCs/>
          <w:sz w:val="20"/>
          <w:szCs w:val="20"/>
        </w:rPr>
        <w:t>458,5 </w:t>
      </w:r>
      <w:r w:rsidRPr="002E4FB5">
        <w:rPr>
          <w:rFonts w:ascii="Arial" w:hAnsi="Arial" w:cs="Arial"/>
          <w:bCs/>
          <w:sz w:val="20"/>
          <w:szCs w:val="20"/>
        </w:rPr>
        <w:t>mil. EUR</w:t>
      </w:r>
      <w:r>
        <w:rPr>
          <w:rFonts w:ascii="Arial" w:eastAsia="Times New Roman" w:hAnsi="Arial" w:cs="Arial"/>
          <w:sz w:val="20"/>
          <w:szCs w:val="20"/>
          <w:bdr w:val="nil"/>
        </w:rPr>
        <w:t>) je následující:</w:t>
      </w:r>
    </w:p>
    <w:p w:rsidR="00F9454B" w:rsidRPr="00181810" w:rsidRDefault="00F9454B" w:rsidP="00F9454B">
      <w:pPr>
        <w:pStyle w:val="Odstavecseseznamem"/>
        <w:numPr>
          <w:ilvl w:val="1"/>
          <w:numId w:val="17"/>
        </w:numPr>
        <w:spacing w:before="0" w:after="0"/>
        <w:ind w:left="709" w:hanging="425"/>
        <w:contextualSpacing w:val="0"/>
        <w:jc w:val="left"/>
        <w:rPr>
          <w:rFonts w:ascii="Arial" w:hAnsi="Arial" w:cs="Arial"/>
          <w:sz w:val="20"/>
          <w:szCs w:val="20"/>
        </w:rPr>
      </w:pPr>
      <w:r>
        <w:rPr>
          <w:rFonts w:ascii="Arial" w:hAnsi="Arial" w:cs="Arial"/>
          <w:sz w:val="20"/>
          <w:szCs w:val="20"/>
        </w:rPr>
        <w:t>OP Praha – pól růstu ČR</w:t>
      </w:r>
      <w:r w:rsidRPr="00181810">
        <w:rPr>
          <w:rFonts w:ascii="Arial" w:hAnsi="Arial" w:cs="Arial"/>
          <w:sz w:val="20"/>
          <w:szCs w:val="20"/>
        </w:rPr>
        <w:t>: 113,4 mil. EUR,</w:t>
      </w:r>
    </w:p>
    <w:p w:rsidR="00F9454B" w:rsidRPr="00181810" w:rsidRDefault="00F9454B" w:rsidP="00F9454B">
      <w:pPr>
        <w:pStyle w:val="Odstavecseseznamem"/>
        <w:numPr>
          <w:ilvl w:val="1"/>
          <w:numId w:val="17"/>
        </w:numPr>
        <w:spacing w:before="0" w:after="0"/>
        <w:ind w:left="709" w:hanging="425"/>
        <w:contextualSpacing w:val="0"/>
        <w:jc w:val="left"/>
        <w:rPr>
          <w:rFonts w:ascii="Arial" w:hAnsi="Arial" w:cs="Arial"/>
          <w:sz w:val="20"/>
          <w:szCs w:val="20"/>
        </w:rPr>
      </w:pPr>
      <w:r w:rsidRPr="00181810">
        <w:rPr>
          <w:rFonts w:ascii="Arial" w:hAnsi="Arial" w:cs="Arial"/>
          <w:sz w:val="20"/>
          <w:szCs w:val="20"/>
        </w:rPr>
        <w:t>OP Z</w:t>
      </w:r>
      <w:r>
        <w:rPr>
          <w:rFonts w:ascii="Arial" w:hAnsi="Arial" w:cs="Arial"/>
          <w:sz w:val="20"/>
          <w:szCs w:val="20"/>
        </w:rPr>
        <w:t>aměstnanost</w:t>
      </w:r>
      <w:r w:rsidRPr="00181810">
        <w:rPr>
          <w:rFonts w:ascii="Arial" w:hAnsi="Arial" w:cs="Arial"/>
          <w:sz w:val="20"/>
          <w:szCs w:val="20"/>
        </w:rPr>
        <w:t>: 1</w:t>
      </w:r>
      <w:r>
        <w:rPr>
          <w:rFonts w:ascii="Arial" w:hAnsi="Arial" w:cs="Arial"/>
          <w:sz w:val="20"/>
          <w:szCs w:val="20"/>
        </w:rPr>
        <w:t>00,0</w:t>
      </w:r>
      <w:r w:rsidRPr="00181810">
        <w:rPr>
          <w:rFonts w:ascii="Arial" w:hAnsi="Arial" w:cs="Arial"/>
          <w:sz w:val="20"/>
          <w:szCs w:val="20"/>
        </w:rPr>
        <w:t xml:space="preserve"> mil. EUR,</w:t>
      </w:r>
    </w:p>
    <w:p w:rsidR="00F9454B" w:rsidRPr="00181810" w:rsidRDefault="00F9454B" w:rsidP="00F9454B">
      <w:pPr>
        <w:pStyle w:val="Odstavecseseznamem"/>
        <w:numPr>
          <w:ilvl w:val="1"/>
          <w:numId w:val="17"/>
        </w:numPr>
        <w:spacing w:before="0" w:after="0"/>
        <w:ind w:left="709" w:hanging="425"/>
        <w:contextualSpacing w:val="0"/>
        <w:jc w:val="left"/>
        <w:rPr>
          <w:rFonts w:ascii="Arial" w:hAnsi="Arial" w:cs="Arial"/>
          <w:sz w:val="20"/>
          <w:szCs w:val="20"/>
        </w:rPr>
      </w:pPr>
      <w:r>
        <w:rPr>
          <w:rFonts w:ascii="Arial" w:hAnsi="Arial" w:cs="Arial"/>
          <w:sz w:val="20"/>
          <w:szCs w:val="20"/>
        </w:rPr>
        <w:t xml:space="preserve">Integrovaný regionální </w:t>
      </w:r>
      <w:r w:rsidRPr="00181810">
        <w:rPr>
          <w:rFonts w:ascii="Arial" w:hAnsi="Arial" w:cs="Arial"/>
          <w:sz w:val="20"/>
          <w:szCs w:val="20"/>
        </w:rPr>
        <w:t>OP: 24,1 mil. EUR,</w:t>
      </w:r>
    </w:p>
    <w:p w:rsidR="00F9454B" w:rsidRPr="00181810" w:rsidRDefault="00F9454B" w:rsidP="00F9454B">
      <w:pPr>
        <w:pStyle w:val="Odstavecseseznamem"/>
        <w:numPr>
          <w:ilvl w:val="1"/>
          <w:numId w:val="17"/>
        </w:numPr>
        <w:spacing w:before="0"/>
        <w:ind w:left="709" w:hanging="425"/>
        <w:contextualSpacing w:val="0"/>
        <w:jc w:val="left"/>
        <w:rPr>
          <w:rFonts w:ascii="Arial" w:hAnsi="Arial" w:cs="Arial"/>
          <w:bCs/>
          <w:sz w:val="20"/>
          <w:szCs w:val="20"/>
        </w:rPr>
      </w:pPr>
      <w:r>
        <w:rPr>
          <w:rFonts w:ascii="Arial" w:hAnsi="Arial" w:cs="Arial"/>
          <w:bCs/>
          <w:sz w:val="20"/>
          <w:szCs w:val="20"/>
        </w:rPr>
        <w:t>OP Výzkum, vývoj a vzdělávání</w:t>
      </w:r>
      <w:r w:rsidRPr="00181810">
        <w:rPr>
          <w:rFonts w:ascii="Arial" w:hAnsi="Arial" w:cs="Arial"/>
          <w:bCs/>
          <w:sz w:val="20"/>
          <w:szCs w:val="20"/>
        </w:rPr>
        <w:t>: 2</w:t>
      </w:r>
      <w:r>
        <w:rPr>
          <w:rFonts w:ascii="Arial" w:hAnsi="Arial" w:cs="Arial"/>
          <w:bCs/>
          <w:sz w:val="20"/>
          <w:szCs w:val="20"/>
        </w:rPr>
        <w:t>20,9</w:t>
      </w:r>
      <w:r w:rsidRPr="00181810">
        <w:rPr>
          <w:rFonts w:ascii="Arial" w:hAnsi="Arial" w:cs="Arial"/>
          <w:bCs/>
          <w:sz w:val="20"/>
          <w:szCs w:val="20"/>
        </w:rPr>
        <w:t xml:space="preserve"> mil. EUR.</w:t>
      </w:r>
    </w:p>
    <w:p w:rsidR="001115EB" w:rsidRDefault="001115EB" w:rsidP="00F9454B">
      <w:pPr>
        <w:keepNext/>
        <w:keepLines/>
        <w:pBdr>
          <w:top w:val="nil"/>
          <w:left w:val="nil"/>
          <w:bottom w:val="nil"/>
          <w:right w:val="nil"/>
          <w:between w:val="nil"/>
          <w:bar w:val="nil"/>
        </w:pBdr>
        <w:spacing w:before="240" w:after="120" w:line="240" w:lineRule="auto"/>
        <w:outlineLvl w:val="2"/>
        <w:rPr>
          <w:rFonts w:ascii="Arial" w:eastAsia="Times New Roman" w:hAnsi="Arial" w:cs="Arial"/>
          <w:b/>
          <w:bCs/>
          <w:u w:val="single"/>
          <w:bdr w:val="nil"/>
        </w:rPr>
      </w:pPr>
      <w:bookmarkStart w:id="46" w:name="_Toc409196608"/>
    </w:p>
    <w:p w:rsidR="00F9454B" w:rsidRDefault="00F9454B" w:rsidP="00F9454B">
      <w:pPr>
        <w:keepNext/>
        <w:keepLines/>
        <w:pBdr>
          <w:top w:val="nil"/>
          <w:left w:val="nil"/>
          <w:bottom w:val="nil"/>
          <w:right w:val="nil"/>
          <w:between w:val="nil"/>
          <w:bar w:val="nil"/>
        </w:pBdr>
        <w:spacing w:before="240" w:after="120" w:line="240" w:lineRule="auto"/>
        <w:outlineLvl w:val="2"/>
        <w:rPr>
          <w:rFonts w:ascii="Arial" w:hAnsi="Arial" w:cs="Arial"/>
          <w:sz w:val="20"/>
        </w:rPr>
      </w:pPr>
      <w:r>
        <w:rPr>
          <w:rFonts w:ascii="Arial" w:eastAsia="Times New Roman" w:hAnsi="Arial" w:cs="Arial"/>
          <w:b/>
          <w:bCs/>
          <w:u w:val="single"/>
          <w:bdr w:val="nil"/>
        </w:rPr>
        <w:t>Jednotné metodické prostředí</w:t>
      </w:r>
      <w:bookmarkEnd w:id="46"/>
    </w:p>
    <w:p w:rsidR="00F9454B" w:rsidRDefault="00F9454B" w:rsidP="00F9454B">
      <w:pPr>
        <w:tabs>
          <w:tab w:val="left" w:pos="2694"/>
        </w:tabs>
        <w:outlineLvl w:val="0"/>
        <w:rPr>
          <w:rFonts w:ascii="Arial" w:hAnsi="Arial" w:cs="Arial"/>
          <w:sz w:val="20"/>
        </w:rPr>
      </w:pPr>
      <w:bookmarkStart w:id="47" w:name="_Toc409196609"/>
      <w:r>
        <w:rPr>
          <w:rFonts w:ascii="Arial" w:hAnsi="Arial" w:cs="Arial"/>
          <w:sz w:val="20"/>
        </w:rPr>
        <w:t>Nadále p</w:t>
      </w:r>
      <w:r w:rsidRPr="00F026D0">
        <w:rPr>
          <w:rFonts w:ascii="Arial" w:hAnsi="Arial" w:cs="Arial"/>
          <w:sz w:val="20"/>
        </w:rPr>
        <w:t xml:space="preserve">robíhá </w:t>
      </w:r>
      <w:r w:rsidRPr="00CC21CD">
        <w:rPr>
          <w:rFonts w:ascii="Arial" w:hAnsi="Arial" w:cs="Arial"/>
          <w:b/>
          <w:sz w:val="20"/>
        </w:rPr>
        <w:t>aktualizace metodick</w:t>
      </w:r>
      <w:r>
        <w:rPr>
          <w:rFonts w:ascii="Arial" w:hAnsi="Arial" w:cs="Arial"/>
          <w:b/>
          <w:sz w:val="20"/>
        </w:rPr>
        <w:t>ého</w:t>
      </w:r>
      <w:r w:rsidRPr="00CC21CD">
        <w:rPr>
          <w:rFonts w:ascii="Arial" w:hAnsi="Arial" w:cs="Arial"/>
          <w:b/>
          <w:sz w:val="20"/>
        </w:rPr>
        <w:t xml:space="preserve"> pokyn</w:t>
      </w:r>
      <w:r>
        <w:rPr>
          <w:rFonts w:ascii="Arial" w:hAnsi="Arial" w:cs="Arial"/>
          <w:b/>
          <w:sz w:val="20"/>
        </w:rPr>
        <w:t>u</w:t>
      </w:r>
      <w:r>
        <w:rPr>
          <w:rFonts w:ascii="Arial" w:hAnsi="Arial" w:cs="Arial"/>
          <w:sz w:val="20"/>
        </w:rPr>
        <w:t xml:space="preserve"> k oblasti monitorování. Aktualizovaný Metodický pokyn k oblasti </w:t>
      </w:r>
      <w:r w:rsidRPr="00F026D0">
        <w:rPr>
          <w:rFonts w:ascii="Arial" w:hAnsi="Arial" w:cs="Arial"/>
          <w:sz w:val="20"/>
        </w:rPr>
        <w:t>publicity a informovanosti</w:t>
      </w:r>
      <w:r>
        <w:rPr>
          <w:rFonts w:ascii="Arial" w:hAnsi="Arial" w:cs="Arial"/>
          <w:b/>
          <w:sz w:val="20"/>
        </w:rPr>
        <w:t xml:space="preserve"> </w:t>
      </w:r>
      <w:r>
        <w:rPr>
          <w:rFonts w:ascii="Arial" w:hAnsi="Arial" w:cs="Arial"/>
          <w:sz w:val="20"/>
        </w:rPr>
        <w:t>byl vydán 8. ledna 2015, s účinností od 1. února 2015.</w:t>
      </w:r>
      <w:bookmarkEnd w:id="47"/>
      <w:r>
        <w:rPr>
          <w:rFonts w:ascii="Arial" w:hAnsi="Arial" w:cs="Arial"/>
          <w:sz w:val="20"/>
        </w:rPr>
        <w:t xml:space="preserve"> </w:t>
      </w:r>
    </w:p>
    <w:p w:rsidR="00F9454B" w:rsidRPr="00164349" w:rsidRDefault="00F9454B" w:rsidP="00F9454B">
      <w:pPr>
        <w:rPr>
          <w:rFonts w:ascii="Arial" w:hAnsi="Arial" w:cs="Arial"/>
          <w:b/>
          <w:bCs/>
          <w:sz w:val="20"/>
          <w:szCs w:val="20"/>
        </w:rPr>
      </w:pPr>
      <w:r w:rsidRPr="00CC21CD">
        <w:rPr>
          <w:rFonts w:ascii="Arial" w:hAnsi="Arial" w:cs="Arial"/>
          <w:b/>
          <w:sz w:val="20"/>
        </w:rPr>
        <w:t>Do konce ledna 2015</w:t>
      </w:r>
      <w:r w:rsidRPr="00F026D0">
        <w:rPr>
          <w:rFonts w:ascii="Arial" w:hAnsi="Arial" w:cs="Arial"/>
          <w:sz w:val="20"/>
        </w:rPr>
        <w:t xml:space="preserve"> bude následně vydána </w:t>
      </w:r>
      <w:r w:rsidRPr="00CC21CD">
        <w:rPr>
          <w:rFonts w:ascii="Arial" w:hAnsi="Arial" w:cs="Arial"/>
          <w:b/>
          <w:sz w:val="20"/>
        </w:rPr>
        <w:t>zastřešující Metodika řízení programů</w:t>
      </w:r>
      <w:r w:rsidRPr="00F026D0">
        <w:rPr>
          <w:rFonts w:ascii="Arial" w:hAnsi="Arial" w:cs="Arial"/>
          <w:sz w:val="20"/>
        </w:rPr>
        <w:t>, která bude zahrnovat všechny dosud vydané metodické pokyny a doporučení v gesci ministerstva pro místní rozvoj</w:t>
      </w:r>
      <w:r>
        <w:rPr>
          <w:rFonts w:ascii="Arial" w:hAnsi="Arial" w:cs="Arial"/>
          <w:sz w:val="20"/>
        </w:rPr>
        <w:t xml:space="preserve"> a ministerstva financí</w:t>
      </w:r>
      <w:r w:rsidRPr="00F026D0">
        <w:rPr>
          <w:rFonts w:ascii="Arial" w:hAnsi="Arial" w:cs="Arial"/>
          <w:sz w:val="20"/>
        </w:rPr>
        <w:t>.</w:t>
      </w:r>
      <w:r>
        <w:rPr>
          <w:rFonts w:ascii="Arial" w:hAnsi="Arial" w:cs="Arial"/>
          <w:sz w:val="20"/>
        </w:rPr>
        <w:t xml:space="preserve"> V prvním čtvrtletí roku 2015 bude také předloženo vládě pro informaci </w:t>
      </w:r>
      <w:r w:rsidRPr="00CC21CD">
        <w:rPr>
          <w:rFonts w:ascii="Arial" w:hAnsi="Arial" w:cs="Arial"/>
          <w:b/>
          <w:sz w:val="20"/>
        </w:rPr>
        <w:t>Metodické doporučení pro oblast veřejné podpory</w:t>
      </w:r>
      <w:r w:rsidRPr="00F026D0">
        <w:rPr>
          <w:rFonts w:ascii="Arial" w:hAnsi="Arial" w:cs="Arial"/>
          <w:sz w:val="20"/>
        </w:rPr>
        <w:t>.</w:t>
      </w:r>
    </w:p>
    <w:p w:rsidR="00F9454B" w:rsidRDefault="00F9454B">
      <w:pPr>
        <w:spacing w:before="0" w:line="240" w:lineRule="auto"/>
        <w:jc w:val="left"/>
      </w:pPr>
      <w:r>
        <w:br w:type="page"/>
      </w:r>
    </w:p>
    <w:p w:rsidR="00CC5D9C" w:rsidRDefault="00CC5D9C" w:rsidP="00713F99">
      <w:pPr>
        <w:spacing w:before="80"/>
        <w:sectPr w:rsidR="00CC5D9C" w:rsidSect="00417B12">
          <w:headerReference w:type="default" r:id="rId12"/>
          <w:footerReference w:type="default" r:id="rId13"/>
          <w:pgSz w:w="11906" w:h="16838"/>
          <w:pgMar w:top="1418" w:right="1418" w:bottom="1418" w:left="1418" w:header="709" w:footer="709" w:gutter="0"/>
          <w:cols w:space="708"/>
          <w:titlePg/>
          <w:docGrid w:linePitch="360"/>
        </w:sectPr>
      </w:pPr>
    </w:p>
    <w:p w:rsidR="00CC5D9C" w:rsidRPr="009C2D1C" w:rsidRDefault="00CC5D9C" w:rsidP="00CC5D9C">
      <w:pPr>
        <w:pStyle w:val="Nadpis1"/>
        <w:rPr>
          <w:bdr w:val="nil"/>
        </w:rPr>
      </w:pPr>
      <w:bookmarkStart w:id="48" w:name="_Toc409191122"/>
      <w:bookmarkStart w:id="49" w:name="_Toc409196610"/>
      <w:r w:rsidRPr="009C2D1C">
        <w:rPr>
          <w:bdr w:val="nil"/>
        </w:rPr>
        <w:lastRenderedPageBreak/>
        <w:t xml:space="preserve">Oblasti nejednotného přístupu </w:t>
      </w:r>
      <w:r>
        <w:rPr>
          <w:bdr w:val="nil"/>
        </w:rPr>
        <w:t>EK</w:t>
      </w:r>
      <w:r w:rsidRPr="009C2D1C">
        <w:rPr>
          <w:bdr w:val="nil"/>
        </w:rPr>
        <w:t xml:space="preserve"> k jednotlivým členským státům</w:t>
      </w:r>
      <w:bookmarkEnd w:id="48"/>
      <w:bookmarkEnd w:id="49"/>
    </w:p>
    <w:p w:rsidR="00CC5D9C" w:rsidRPr="00FD74C0" w:rsidRDefault="00CC5D9C" w:rsidP="00FD74C0">
      <w:pPr>
        <w:pStyle w:val="Nadpis2"/>
      </w:pPr>
      <w:bookmarkStart w:id="50" w:name="_Toc409191123"/>
      <w:bookmarkStart w:id="51" w:name="_Toc409196611"/>
      <w:r w:rsidRPr="00FD74C0">
        <w:t xml:space="preserve">Předběžná podmínka Služební zákon </w:t>
      </w:r>
      <w:r w:rsidR="00AA5E27" w:rsidRPr="00FD74C0">
        <w:t>(</w:t>
      </w:r>
      <w:r w:rsidRPr="00FD74C0">
        <w:t>T 11</w:t>
      </w:r>
      <w:r w:rsidR="00AA5E27" w:rsidRPr="00FD74C0">
        <w:t>)</w:t>
      </w:r>
      <w:r w:rsidRPr="00FD74C0">
        <w:t xml:space="preserve"> </w:t>
      </w:r>
      <w:r w:rsidR="00AA5E27" w:rsidRPr="00FD74C0">
        <w:t xml:space="preserve">– </w:t>
      </w:r>
      <w:r w:rsidRPr="00FD74C0">
        <w:t>Srovnání zákona o státní službě v České republice a</w:t>
      </w:r>
      <w:r w:rsidR="00AA5E27" w:rsidRPr="00FD74C0">
        <w:t> </w:t>
      </w:r>
      <w:r w:rsidRPr="00FD74C0">
        <w:t xml:space="preserve">Slovenské republice </w:t>
      </w:r>
      <w:r w:rsidR="00AA5E27" w:rsidRPr="00FD74C0">
        <w:t xml:space="preserve">– </w:t>
      </w:r>
      <w:r w:rsidRPr="00FD74C0">
        <w:t>hlavní body, shrnutí</w:t>
      </w:r>
      <w:bookmarkEnd w:id="50"/>
      <w:bookmarkEnd w:id="51"/>
    </w:p>
    <w:p w:rsidR="00CC5D9C" w:rsidRPr="00CC5D9C" w:rsidRDefault="00CC5D9C" w:rsidP="00CC5D9C">
      <w:pPr>
        <w:tabs>
          <w:tab w:val="left" w:pos="2694"/>
        </w:tabs>
        <w:outlineLvl w:val="0"/>
        <w:rPr>
          <w:rFonts w:ascii="Arial" w:hAnsi="Arial" w:cs="Arial"/>
          <w:sz w:val="20"/>
        </w:rPr>
      </w:pPr>
      <w:bookmarkStart w:id="52" w:name="_Toc409196612"/>
      <w:r w:rsidRPr="00CC5D9C">
        <w:rPr>
          <w:rFonts w:ascii="Arial" w:hAnsi="Arial" w:cs="Arial"/>
          <w:sz w:val="20"/>
        </w:rPr>
        <w:t xml:space="preserve">Byť Slovensko má na rozdíl od České republiky již dlouhodobě účinný služební zákon, lze konstatovat, že jeho obsah naprosto nenaplňuje žádný z parametrů moderního služebního zákona. V tomto smyslu byla Slovenská republika kritizována i </w:t>
      </w:r>
      <w:r w:rsidR="002D4271">
        <w:rPr>
          <w:rFonts w:ascii="Arial" w:hAnsi="Arial" w:cs="Arial"/>
          <w:sz w:val="20"/>
        </w:rPr>
        <w:t>ze strany EK</w:t>
      </w:r>
      <w:r w:rsidRPr="00CC5D9C">
        <w:rPr>
          <w:rFonts w:ascii="Arial" w:hAnsi="Arial" w:cs="Arial"/>
          <w:sz w:val="20"/>
        </w:rPr>
        <w:t xml:space="preserve"> a v návaznosti na tuto k</w:t>
      </w:r>
      <w:r>
        <w:rPr>
          <w:rFonts w:ascii="Arial" w:hAnsi="Arial" w:cs="Arial"/>
          <w:sz w:val="20"/>
        </w:rPr>
        <w:t>ritiku přislíbila novelizaci. I </w:t>
      </w:r>
      <w:r w:rsidR="0091545F">
        <w:rPr>
          <w:rFonts w:ascii="Arial" w:hAnsi="Arial" w:cs="Arial"/>
          <w:sz w:val="20"/>
        </w:rPr>
        <w:t>přes </w:t>
      </w:r>
      <w:r w:rsidRPr="00CC5D9C">
        <w:rPr>
          <w:rFonts w:ascii="Arial" w:hAnsi="Arial" w:cs="Arial"/>
          <w:sz w:val="20"/>
        </w:rPr>
        <w:t xml:space="preserve">skutečnost, že tento příslib nebyl až do současného momentu dodržen, jsou na Slovensku schváleny všechny programy. Přístup </w:t>
      </w:r>
      <w:r w:rsidR="002D4271">
        <w:rPr>
          <w:rFonts w:ascii="Arial" w:hAnsi="Arial" w:cs="Arial"/>
          <w:sz w:val="20"/>
        </w:rPr>
        <w:t>EK</w:t>
      </w:r>
      <w:r w:rsidRPr="00CC5D9C">
        <w:rPr>
          <w:rFonts w:ascii="Arial" w:hAnsi="Arial" w:cs="Arial"/>
          <w:sz w:val="20"/>
        </w:rPr>
        <w:t xml:space="preserve"> je tak vůči České republice výrazně přísnější. Níže v tabulce č. 4 uvádíme srovnání nejpodstatnějších prvků úpravy služebního poměru. </w:t>
      </w:r>
      <w:r>
        <w:rPr>
          <w:rFonts w:ascii="Arial" w:hAnsi="Arial" w:cs="Arial"/>
          <w:sz w:val="20"/>
        </w:rPr>
        <w:t>MMR</w:t>
      </w:r>
      <w:r w:rsidR="0091545F">
        <w:rPr>
          <w:rFonts w:ascii="Arial" w:hAnsi="Arial" w:cs="Arial"/>
          <w:sz w:val="20"/>
        </w:rPr>
        <w:t>-NOK</w:t>
      </w:r>
      <w:r>
        <w:rPr>
          <w:rFonts w:ascii="Arial" w:hAnsi="Arial" w:cs="Arial"/>
          <w:sz w:val="20"/>
        </w:rPr>
        <w:t xml:space="preserve"> ve spolupráci se </w:t>
      </w:r>
      <w:r w:rsidRPr="00CC5D9C">
        <w:rPr>
          <w:rFonts w:ascii="Arial" w:hAnsi="Arial" w:cs="Arial"/>
          <w:sz w:val="20"/>
        </w:rPr>
        <w:t>Stálým zastoupením ČR v Bruselu provedlo screening situace v několika členských státech, výstupy jsou opět obsahem tabulky.</w:t>
      </w:r>
      <w:bookmarkEnd w:id="52"/>
    </w:p>
    <w:p w:rsidR="00CC5D9C" w:rsidRPr="00C41761" w:rsidRDefault="00CC5D9C" w:rsidP="00CC5D9C">
      <w:pPr>
        <w:spacing w:before="240" w:after="40" w:line="240" w:lineRule="auto"/>
        <w:rPr>
          <w:rFonts w:ascii="Arial" w:hAnsi="Arial" w:cs="Arial"/>
          <w:b/>
          <w:sz w:val="20"/>
          <w:szCs w:val="20"/>
        </w:rPr>
      </w:pPr>
      <w:r w:rsidRPr="00C41761">
        <w:rPr>
          <w:rFonts w:ascii="Arial" w:hAnsi="Arial" w:cs="Arial"/>
          <w:b/>
          <w:sz w:val="20"/>
          <w:szCs w:val="20"/>
        </w:rPr>
        <w:t>Tabulka č. 4 -  Porovnání přístupu EK v oblasti služebního zákona</w:t>
      </w:r>
    </w:p>
    <w:tbl>
      <w:tblPr>
        <w:tblStyle w:val="Mkatabulky"/>
        <w:tblW w:w="14283" w:type="dxa"/>
        <w:tblLook w:val="0480" w:firstRow="0" w:lastRow="0" w:firstColumn="1" w:lastColumn="0" w:noHBand="0" w:noVBand="1"/>
      </w:tblPr>
      <w:tblGrid>
        <w:gridCol w:w="1568"/>
        <w:gridCol w:w="4216"/>
        <w:gridCol w:w="4248"/>
        <w:gridCol w:w="4251"/>
      </w:tblGrid>
      <w:tr w:rsidR="00CC5D9C" w:rsidRPr="00CC5D9C" w:rsidTr="00CC5D9C">
        <w:trPr>
          <w:tblHeader/>
        </w:trPr>
        <w:tc>
          <w:tcPr>
            <w:tcW w:w="1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C5D9C" w:rsidRPr="00CC5D9C" w:rsidRDefault="00CC5D9C" w:rsidP="00CC5D9C">
            <w:pPr>
              <w:spacing w:before="40" w:after="40" w:line="264" w:lineRule="auto"/>
              <w:rPr>
                <w:rFonts w:ascii="Arial" w:hAnsi="Arial" w:cs="Arial"/>
                <w:b/>
                <w:sz w:val="18"/>
                <w:szCs w:val="18"/>
              </w:rPr>
            </w:pPr>
            <w:r w:rsidRPr="00CC5D9C">
              <w:rPr>
                <w:rFonts w:ascii="Arial" w:hAnsi="Arial" w:cs="Arial"/>
                <w:b/>
                <w:sz w:val="18"/>
                <w:szCs w:val="18"/>
              </w:rPr>
              <w:t>Oblast</w:t>
            </w:r>
          </w:p>
        </w:tc>
        <w:tc>
          <w:tcPr>
            <w:tcW w:w="421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C5D9C" w:rsidRPr="00CC5D9C" w:rsidRDefault="00CC5D9C" w:rsidP="00CC5D9C">
            <w:pPr>
              <w:spacing w:before="40" w:after="40" w:line="264" w:lineRule="auto"/>
              <w:rPr>
                <w:rFonts w:ascii="Arial" w:hAnsi="Arial" w:cs="Arial"/>
                <w:b/>
                <w:sz w:val="18"/>
                <w:szCs w:val="18"/>
              </w:rPr>
            </w:pPr>
            <w:r w:rsidRPr="00CC5D9C">
              <w:rPr>
                <w:rFonts w:ascii="Arial" w:hAnsi="Arial" w:cs="Arial"/>
                <w:b/>
                <w:sz w:val="18"/>
                <w:szCs w:val="18"/>
              </w:rPr>
              <w:t>ČR</w:t>
            </w:r>
          </w:p>
        </w:tc>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C5D9C" w:rsidRPr="00CC5D9C" w:rsidRDefault="00CC5D9C" w:rsidP="00CC5D9C">
            <w:pPr>
              <w:spacing w:before="40" w:after="40" w:line="264" w:lineRule="auto"/>
              <w:rPr>
                <w:rFonts w:ascii="Arial" w:hAnsi="Arial" w:cs="Arial"/>
                <w:b/>
                <w:sz w:val="18"/>
                <w:szCs w:val="18"/>
              </w:rPr>
            </w:pPr>
            <w:r w:rsidRPr="00CC5D9C">
              <w:rPr>
                <w:rFonts w:ascii="Arial" w:hAnsi="Arial" w:cs="Arial"/>
                <w:b/>
                <w:sz w:val="18"/>
                <w:szCs w:val="18"/>
              </w:rPr>
              <w:t>SR</w:t>
            </w:r>
          </w:p>
        </w:tc>
        <w:tc>
          <w:tcPr>
            <w:tcW w:w="425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C5D9C" w:rsidRPr="00CC5D9C" w:rsidRDefault="00CC5D9C" w:rsidP="00CC5D9C">
            <w:pPr>
              <w:spacing w:before="40" w:after="40" w:line="264" w:lineRule="auto"/>
              <w:rPr>
                <w:rFonts w:ascii="Arial" w:hAnsi="Arial" w:cs="Arial"/>
                <w:b/>
                <w:sz w:val="18"/>
                <w:szCs w:val="18"/>
              </w:rPr>
            </w:pPr>
            <w:r w:rsidRPr="00CC5D9C">
              <w:rPr>
                <w:rFonts w:ascii="Arial" w:hAnsi="Arial" w:cs="Arial"/>
                <w:b/>
                <w:sz w:val="18"/>
                <w:szCs w:val="18"/>
              </w:rPr>
              <w:t>Poznámka</w:t>
            </w:r>
          </w:p>
        </w:tc>
      </w:tr>
      <w:tr w:rsidR="00CC5D9C" w:rsidRPr="00CC5D9C" w:rsidTr="00CC5D9C">
        <w:tc>
          <w:tcPr>
            <w:tcW w:w="1568" w:type="dxa"/>
            <w:tcBorders>
              <w:top w:val="single" w:sz="4" w:space="0" w:color="auto"/>
              <w:left w:val="single" w:sz="4" w:space="0" w:color="auto"/>
              <w:bottom w:val="single" w:sz="4" w:space="0" w:color="auto"/>
              <w:right w:val="single" w:sz="4" w:space="0" w:color="auto"/>
            </w:tcBorders>
            <w:hideMark/>
          </w:tcPr>
          <w:p w:rsidR="00CC5D9C" w:rsidRPr="00CC5D9C" w:rsidRDefault="00CC5D9C" w:rsidP="00CC5D9C">
            <w:pPr>
              <w:spacing w:before="40" w:after="40" w:line="264" w:lineRule="auto"/>
              <w:rPr>
                <w:rFonts w:ascii="Arial" w:hAnsi="Arial" w:cs="Arial"/>
                <w:b/>
                <w:sz w:val="18"/>
                <w:szCs w:val="18"/>
              </w:rPr>
            </w:pPr>
            <w:r w:rsidRPr="00CC5D9C">
              <w:rPr>
                <w:rFonts w:ascii="Arial" w:hAnsi="Arial" w:cs="Arial"/>
                <w:b/>
                <w:sz w:val="18"/>
                <w:szCs w:val="18"/>
              </w:rPr>
              <w:t>Obecně</w:t>
            </w:r>
          </w:p>
        </w:tc>
        <w:tc>
          <w:tcPr>
            <w:tcW w:w="4216" w:type="dxa"/>
            <w:tcBorders>
              <w:top w:val="single" w:sz="4" w:space="0" w:color="auto"/>
              <w:left w:val="single" w:sz="4" w:space="0" w:color="auto"/>
              <w:bottom w:val="single" w:sz="4" w:space="0" w:color="auto"/>
              <w:right w:val="single" w:sz="4" w:space="0" w:color="auto"/>
            </w:tcBorders>
            <w:hideMark/>
          </w:tcPr>
          <w:p w:rsidR="00CC5D9C" w:rsidRPr="00CC5D9C" w:rsidRDefault="00CC5D9C" w:rsidP="00CC5D9C">
            <w:pPr>
              <w:spacing w:before="40" w:after="40" w:line="264" w:lineRule="auto"/>
              <w:rPr>
                <w:rFonts w:ascii="Arial" w:hAnsi="Arial" w:cs="Arial"/>
                <w:sz w:val="18"/>
                <w:szCs w:val="18"/>
              </w:rPr>
            </w:pPr>
            <w:r w:rsidRPr="00CC5D9C">
              <w:rPr>
                <w:rFonts w:ascii="Arial" w:hAnsi="Arial" w:cs="Arial"/>
                <w:sz w:val="18"/>
                <w:szCs w:val="18"/>
              </w:rPr>
              <w:t>Zákon o stát</w:t>
            </w:r>
            <w:r>
              <w:rPr>
                <w:rFonts w:ascii="Arial" w:hAnsi="Arial" w:cs="Arial"/>
                <w:sz w:val="18"/>
                <w:szCs w:val="18"/>
              </w:rPr>
              <w:t>ní služně byl schválen Vládou a </w:t>
            </w:r>
            <w:r w:rsidRPr="00CC5D9C">
              <w:rPr>
                <w:rFonts w:ascii="Arial" w:hAnsi="Arial" w:cs="Arial"/>
                <w:sz w:val="18"/>
                <w:szCs w:val="18"/>
              </w:rPr>
              <w:t>Parlamentem ČR a byl uveřejněn ve sbírce zákonů dne 6. 11. 2014 s účinností od 1. 1. 2015 (1. 7. 2015).</w:t>
            </w:r>
          </w:p>
        </w:tc>
        <w:tc>
          <w:tcPr>
            <w:tcW w:w="4248" w:type="dxa"/>
            <w:tcBorders>
              <w:top w:val="single" w:sz="4" w:space="0" w:color="auto"/>
              <w:left w:val="single" w:sz="4" w:space="0" w:color="auto"/>
              <w:bottom w:val="single" w:sz="4" w:space="0" w:color="auto"/>
              <w:right w:val="single" w:sz="4" w:space="0" w:color="auto"/>
            </w:tcBorders>
            <w:hideMark/>
          </w:tcPr>
          <w:p w:rsidR="00CC5D9C" w:rsidRPr="00CC5D9C" w:rsidRDefault="00CC5D9C" w:rsidP="00CC5D9C">
            <w:pPr>
              <w:spacing w:before="40" w:after="40" w:line="264" w:lineRule="auto"/>
              <w:rPr>
                <w:rFonts w:ascii="Arial" w:hAnsi="Arial" w:cs="Arial"/>
                <w:sz w:val="18"/>
                <w:szCs w:val="18"/>
              </w:rPr>
            </w:pPr>
            <w:r w:rsidRPr="00CC5D9C">
              <w:rPr>
                <w:rFonts w:ascii="Arial" w:hAnsi="Arial" w:cs="Arial"/>
                <w:sz w:val="18"/>
                <w:szCs w:val="18"/>
              </w:rPr>
              <w:t>Závazek z Dohody o partnerství SR:</w:t>
            </w:r>
          </w:p>
          <w:p w:rsidR="00CC5D9C" w:rsidRPr="00CC5D9C" w:rsidRDefault="00CC5D9C" w:rsidP="00CC5D9C">
            <w:pPr>
              <w:spacing w:before="40" w:after="40" w:line="264" w:lineRule="auto"/>
              <w:rPr>
                <w:rFonts w:ascii="Arial" w:hAnsi="Arial" w:cs="Arial"/>
                <w:sz w:val="18"/>
                <w:szCs w:val="18"/>
              </w:rPr>
            </w:pPr>
            <w:r w:rsidRPr="00CC5D9C">
              <w:rPr>
                <w:rFonts w:ascii="Arial" w:hAnsi="Arial" w:cs="Arial"/>
                <w:sz w:val="18"/>
                <w:szCs w:val="18"/>
              </w:rPr>
              <w:t>„Obmedzen</w:t>
            </w:r>
            <w:r>
              <w:rPr>
                <w:rFonts w:ascii="Arial" w:hAnsi="Arial" w:cs="Arial"/>
                <w:sz w:val="18"/>
                <w:szCs w:val="18"/>
              </w:rPr>
              <w:t>ie vplyvu politických cyklov na </w:t>
            </w:r>
            <w:r w:rsidRPr="00CC5D9C">
              <w:rPr>
                <w:rFonts w:ascii="Arial" w:hAnsi="Arial" w:cs="Arial"/>
                <w:sz w:val="18"/>
                <w:szCs w:val="18"/>
              </w:rPr>
              <w:t>personálne zmeny bude do 31. 12. 2014 zabezpečené prijatím nového zákona o štátnej službe. Tento zákon bude upravovať legislatívno-právne normy a postupy výberu a preraďovania štátnych zamestnancov a ukončovania štátnozamestnaneckého pomeru smerom k objektívnosti a transparentnosti riadenia AK.“</w:t>
            </w:r>
          </w:p>
          <w:p w:rsidR="00CC5D9C" w:rsidRPr="00CC5D9C" w:rsidRDefault="00CC5D9C" w:rsidP="00CC5D9C">
            <w:pPr>
              <w:spacing w:before="40" w:after="40" w:line="264" w:lineRule="auto"/>
              <w:rPr>
                <w:rFonts w:ascii="Arial" w:hAnsi="Arial" w:cs="Arial"/>
                <w:sz w:val="18"/>
                <w:szCs w:val="18"/>
              </w:rPr>
            </w:pPr>
            <w:r w:rsidRPr="00CC5D9C">
              <w:rPr>
                <w:rFonts w:ascii="Arial" w:hAnsi="Arial" w:cs="Arial"/>
                <w:sz w:val="18"/>
                <w:szCs w:val="18"/>
              </w:rPr>
              <w:t>Zákon nebyl doposud schválen ani přijat.</w:t>
            </w:r>
            <w:r w:rsidRPr="00CC5D9C">
              <w:rPr>
                <w:rFonts w:ascii="Arial" w:hAnsi="Arial" w:cs="Arial"/>
                <w:i/>
                <w:sz w:val="18"/>
                <w:szCs w:val="18"/>
              </w:rPr>
              <w:t xml:space="preserve"> </w:t>
            </w:r>
            <w:r w:rsidRPr="00CC5D9C">
              <w:rPr>
                <w:rFonts w:ascii="Arial" w:hAnsi="Arial" w:cs="Arial"/>
                <w:b/>
                <w:i/>
                <w:sz w:val="18"/>
                <w:szCs w:val="18"/>
              </w:rPr>
              <w:t>V účinn</w:t>
            </w:r>
            <w:r>
              <w:rPr>
                <w:rFonts w:ascii="Arial" w:hAnsi="Arial" w:cs="Arial"/>
                <w:b/>
                <w:i/>
                <w:sz w:val="18"/>
                <w:szCs w:val="18"/>
              </w:rPr>
              <w:t>osti je doposud platný zákon č. </w:t>
            </w:r>
            <w:r w:rsidRPr="00CC5D9C">
              <w:rPr>
                <w:rFonts w:ascii="Arial" w:hAnsi="Arial" w:cs="Arial"/>
                <w:b/>
                <w:i/>
                <w:sz w:val="18"/>
                <w:szCs w:val="18"/>
              </w:rPr>
              <w:t>400/2009 Z.z.</w:t>
            </w:r>
          </w:p>
        </w:tc>
        <w:tc>
          <w:tcPr>
            <w:tcW w:w="4251" w:type="dxa"/>
            <w:tcBorders>
              <w:top w:val="single" w:sz="4" w:space="0" w:color="auto"/>
              <w:left w:val="single" w:sz="4" w:space="0" w:color="auto"/>
              <w:bottom w:val="single" w:sz="4" w:space="0" w:color="auto"/>
              <w:right w:val="single" w:sz="4" w:space="0" w:color="auto"/>
            </w:tcBorders>
            <w:hideMark/>
          </w:tcPr>
          <w:p w:rsidR="00CC5D9C" w:rsidRPr="00CC5D9C" w:rsidRDefault="00CC5D9C" w:rsidP="00CC5D9C">
            <w:pPr>
              <w:spacing w:before="40" w:after="40" w:line="264" w:lineRule="auto"/>
              <w:rPr>
                <w:rFonts w:ascii="Arial" w:hAnsi="Arial" w:cs="Arial"/>
                <w:sz w:val="18"/>
                <w:szCs w:val="18"/>
              </w:rPr>
            </w:pPr>
            <w:r w:rsidRPr="00CC5D9C">
              <w:rPr>
                <w:rFonts w:ascii="Arial" w:hAnsi="Arial" w:cs="Arial"/>
                <w:sz w:val="18"/>
                <w:szCs w:val="18"/>
              </w:rPr>
              <w:t>ČR má platný a účinný zákon o státní službě na</w:t>
            </w:r>
            <w:r>
              <w:rPr>
                <w:rFonts w:ascii="Arial" w:hAnsi="Arial" w:cs="Arial"/>
                <w:sz w:val="18"/>
                <w:szCs w:val="18"/>
              </w:rPr>
              <w:t> </w:t>
            </w:r>
            <w:r w:rsidRPr="00CC5D9C">
              <w:rPr>
                <w:rFonts w:ascii="Arial" w:hAnsi="Arial" w:cs="Arial"/>
                <w:sz w:val="18"/>
                <w:szCs w:val="18"/>
              </w:rPr>
              <w:t>rozdíl od Slovenské republiky, která až do</w:t>
            </w:r>
            <w:r>
              <w:rPr>
                <w:rFonts w:ascii="Arial" w:hAnsi="Arial" w:cs="Arial"/>
                <w:sz w:val="18"/>
                <w:szCs w:val="18"/>
              </w:rPr>
              <w:t> </w:t>
            </w:r>
            <w:r w:rsidRPr="00CC5D9C">
              <w:rPr>
                <w:rFonts w:ascii="Arial" w:hAnsi="Arial" w:cs="Arial"/>
                <w:sz w:val="18"/>
                <w:szCs w:val="18"/>
              </w:rPr>
              <w:t xml:space="preserve">současného momentu nenaplnila příslib novelizovat stávající zákon o státní službě. </w:t>
            </w:r>
          </w:p>
        </w:tc>
      </w:tr>
      <w:tr w:rsidR="00CC5D9C" w:rsidRPr="00CC5D9C" w:rsidTr="00CC5D9C">
        <w:tc>
          <w:tcPr>
            <w:tcW w:w="1568" w:type="dxa"/>
            <w:tcBorders>
              <w:top w:val="single" w:sz="4" w:space="0" w:color="auto"/>
              <w:left w:val="single" w:sz="4" w:space="0" w:color="auto"/>
              <w:bottom w:val="single" w:sz="4" w:space="0" w:color="auto"/>
              <w:right w:val="single" w:sz="4" w:space="0" w:color="auto"/>
            </w:tcBorders>
            <w:hideMark/>
          </w:tcPr>
          <w:p w:rsidR="00CC5D9C" w:rsidRPr="00CC5D9C" w:rsidRDefault="00CC5D9C" w:rsidP="00CC5D9C">
            <w:pPr>
              <w:spacing w:before="40" w:after="40" w:line="264" w:lineRule="auto"/>
              <w:rPr>
                <w:rFonts w:ascii="Arial" w:hAnsi="Arial" w:cs="Arial"/>
                <w:b/>
                <w:sz w:val="18"/>
                <w:szCs w:val="18"/>
              </w:rPr>
            </w:pPr>
            <w:r w:rsidRPr="00CC5D9C">
              <w:rPr>
                <w:rFonts w:ascii="Arial" w:hAnsi="Arial" w:cs="Arial"/>
                <w:b/>
                <w:sz w:val="18"/>
                <w:szCs w:val="18"/>
              </w:rPr>
              <w:t>Dočasná státní služba</w:t>
            </w:r>
          </w:p>
        </w:tc>
        <w:tc>
          <w:tcPr>
            <w:tcW w:w="4216" w:type="dxa"/>
            <w:tcBorders>
              <w:top w:val="single" w:sz="4" w:space="0" w:color="auto"/>
              <w:left w:val="single" w:sz="4" w:space="0" w:color="auto"/>
              <w:bottom w:val="single" w:sz="4" w:space="0" w:color="auto"/>
              <w:right w:val="single" w:sz="4" w:space="0" w:color="auto"/>
            </w:tcBorders>
          </w:tcPr>
          <w:p w:rsidR="00CC5D9C" w:rsidRPr="00CC5D9C" w:rsidRDefault="00CC5D9C" w:rsidP="00CC5D9C">
            <w:pPr>
              <w:spacing w:before="40" w:after="40" w:line="264" w:lineRule="auto"/>
              <w:rPr>
                <w:rFonts w:ascii="Arial" w:hAnsi="Arial" w:cs="Arial"/>
                <w:sz w:val="18"/>
                <w:szCs w:val="18"/>
              </w:rPr>
            </w:pPr>
            <w:r w:rsidRPr="00CC5D9C">
              <w:rPr>
                <w:rFonts w:ascii="Arial" w:hAnsi="Arial" w:cs="Arial"/>
                <w:sz w:val="18"/>
                <w:szCs w:val="18"/>
              </w:rPr>
              <w:t xml:space="preserve">Státní služba je prioritně na dobu neurčitou. Zastupování státního zaměstnance občanem (tedy ne státním úředníkem) bez výběrového řízení není možné. </w:t>
            </w:r>
          </w:p>
          <w:p w:rsidR="00CC5D9C" w:rsidRPr="00CC5D9C" w:rsidRDefault="00CC5D9C" w:rsidP="00CC5D9C">
            <w:pPr>
              <w:spacing w:before="40" w:after="40" w:line="264" w:lineRule="auto"/>
              <w:rPr>
                <w:rFonts w:ascii="Arial" w:hAnsi="Arial" w:cs="Arial"/>
                <w:sz w:val="18"/>
                <w:szCs w:val="18"/>
              </w:rPr>
            </w:pPr>
          </w:p>
        </w:tc>
        <w:tc>
          <w:tcPr>
            <w:tcW w:w="4248" w:type="dxa"/>
            <w:tcBorders>
              <w:top w:val="single" w:sz="4" w:space="0" w:color="auto"/>
              <w:left w:val="single" w:sz="4" w:space="0" w:color="auto"/>
              <w:bottom w:val="single" w:sz="4" w:space="0" w:color="auto"/>
              <w:right w:val="single" w:sz="4" w:space="0" w:color="auto"/>
            </w:tcBorders>
            <w:hideMark/>
          </w:tcPr>
          <w:p w:rsidR="00CC5D9C" w:rsidRPr="00CC5D9C" w:rsidRDefault="00CC5D9C" w:rsidP="00CC5D9C">
            <w:pPr>
              <w:spacing w:before="40" w:after="40" w:line="264" w:lineRule="auto"/>
              <w:rPr>
                <w:rFonts w:ascii="Arial" w:hAnsi="Arial" w:cs="Arial"/>
                <w:sz w:val="18"/>
                <w:szCs w:val="18"/>
              </w:rPr>
            </w:pPr>
            <w:r w:rsidRPr="00CC5D9C">
              <w:rPr>
                <w:rFonts w:ascii="Arial" w:hAnsi="Arial" w:cs="Arial"/>
                <w:sz w:val="18"/>
                <w:szCs w:val="18"/>
              </w:rPr>
              <w:t xml:space="preserve">Do dočasnej štátnej služby možno prijať občana, ktorý sa uchádza o štátnu službu, </w:t>
            </w:r>
          </w:p>
          <w:p w:rsidR="00CC5D9C" w:rsidRPr="00CC5D9C" w:rsidRDefault="00CC5D9C" w:rsidP="00CC5D9C">
            <w:pPr>
              <w:spacing w:before="40" w:after="40" w:line="264" w:lineRule="auto"/>
              <w:rPr>
                <w:rFonts w:ascii="Arial" w:hAnsi="Arial" w:cs="Arial"/>
                <w:b/>
                <w:sz w:val="18"/>
                <w:szCs w:val="18"/>
              </w:rPr>
            </w:pPr>
            <w:r w:rsidRPr="00CC5D9C">
              <w:rPr>
                <w:rFonts w:ascii="Arial" w:hAnsi="Arial" w:cs="Arial"/>
                <w:sz w:val="18"/>
                <w:szCs w:val="18"/>
              </w:rPr>
              <w:t xml:space="preserve">a) </w:t>
            </w:r>
            <w:r w:rsidRPr="00CC5D9C">
              <w:rPr>
                <w:rFonts w:ascii="Arial" w:hAnsi="Arial" w:cs="Arial"/>
                <w:b/>
                <w:sz w:val="18"/>
                <w:szCs w:val="18"/>
              </w:rPr>
              <w:t>bez výberového konania</w:t>
            </w:r>
            <w:r w:rsidR="0091545F">
              <w:rPr>
                <w:rFonts w:ascii="Arial" w:hAnsi="Arial" w:cs="Arial"/>
                <w:sz w:val="18"/>
                <w:szCs w:val="18"/>
              </w:rPr>
              <w:t xml:space="preserve"> alebo bez výberu na </w:t>
            </w:r>
            <w:r w:rsidRPr="00CC5D9C">
              <w:rPr>
                <w:rFonts w:ascii="Arial" w:hAnsi="Arial" w:cs="Arial"/>
                <w:sz w:val="18"/>
                <w:szCs w:val="18"/>
              </w:rPr>
              <w:t>zastupovanie štátneho zamestnanca, ktorý (…)</w:t>
            </w:r>
          </w:p>
        </w:tc>
        <w:tc>
          <w:tcPr>
            <w:tcW w:w="4251" w:type="dxa"/>
            <w:tcBorders>
              <w:top w:val="single" w:sz="4" w:space="0" w:color="auto"/>
              <w:left w:val="single" w:sz="4" w:space="0" w:color="auto"/>
              <w:bottom w:val="single" w:sz="4" w:space="0" w:color="auto"/>
              <w:right w:val="single" w:sz="4" w:space="0" w:color="auto"/>
            </w:tcBorders>
            <w:hideMark/>
          </w:tcPr>
          <w:p w:rsidR="00CC5D9C" w:rsidRPr="00CC5D9C" w:rsidRDefault="00CC5D9C" w:rsidP="00CC5D9C">
            <w:pPr>
              <w:spacing w:before="40" w:after="40" w:line="264" w:lineRule="auto"/>
              <w:rPr>
                <w:rFonts w:ascii="Arial" w:hAnsi="Arial" w:cs="Arial"/>
                <w:sz w:val="18"/>
                <w:szCs w:val="18"/>
              </w:rPr>
            </w:pPr>
            <w:r w:rsidRPr="00CC5D9C">
              <w:rPr>
                <w:rFonts w:ascii="Arial" w:hAnsi="Arial" w:cs="Arial"/>
                <w:sz w:val="18"/>
                <w:szCs w:val="18"/>
              </w:rPr>
              <w:t>Mírný protiklad vůči ČR, kde je státní služba prioritně na dobu neurčitou.</w:t>
            </w:r>
          </w:p>
          <w:p w:rsidR="00CC5D9C" w:rsidRPr="00CC5D9C" w:rsidRDefault="00CC5D9C" w:rsidP="00CC5D9C">
            <w:pPr>
              <w:spacing w:before="40" w:after="40" w:line="264" w:lineRule="auto"/>
              <w:rPr>
                <w:rFonts w:ascii="Arial" w:hAnsi="Arial" w:cs="Arial"/>
                <w:sz w:val="18"/>
                <w:szCs w:val="18"/>
              </w:rPr>
            </w:pPr>
            <w:r w:rsidRPr="00CC5D9C">
              <w:rPr>
                <w:rFonts w:ascii="Arial" w:hAnsi="Arial" w:cs="Arial"/>
                <w:i/>
                <w:sz w:val="18"/>
                <w:szCs w:val="18"/>
              </w:rPr>
              <w:t>Dočasná štátna služba</w:t>
            </w:r>
            <w:r w:rsidRPr="00CC5D9C">
              <w:rPr>
                <w:rFonts w:ascii="Arial" w:hAnsi="Arial" w:cs="Arial"/>
                <w:sz w:val="18"/>
                <w:szCs w:val="18"/>
              </w:rPr>
              <w:t xml:space="preserve"> na </w:t>
            </w:r>
            <w:r>
              <w:rPr>
                <w:rFonts w:ascii="Arial" w:hAnsi="Arial" w:cs="Arial"/>
                <w:sz w:val="18"/>
                <w:szCs w:val="18"/>
              </w:rPr>
              <w:t>Slovensku</w:t>
            </w:r>
            <w:r w:rsidRPr="00CC5D9C">
              <w:rPr>
                <w:rFonts w:ascii="Arial" w:hAnsi="Arial" w:cs="Arial"/>
                <w:sz w:val="18"/>
                <w:szCs w:val="18"/>
              </w:rPr>
              <w:t xml:space="preserve"> je upravena detailněji a je patrné, že se jedná o účelový institut.</w:t>
            </w:r>
          </w:p>
        </w:tc>
      </w:tr>
      <w:tr w:rsidR="00CC5D9C" w:rsidRPr="00CC5D9C" w:rsidTr="00CC5D9C">
        <w:tc>
          <w:tcPr>
            <w:tcW w:w="1568" w:type="dxa"/>
            <w:tcBorders>
              <w:top w:val="single" w:sz="4" w:space="0" w:color="auto"/>
              <w:left w:val="single" w:sz="4" w:space="0" w:color="auto"/>
              <w:bottom w:val="single" w:sz="4" w:space="0" w:color="auto"/>
              <w:right w:val="single" w:sz="4" w:space="0" w:color="auto"/>
            </w:tcBorders>
            <w:hideMark/>
          </w:tcPr>
          <w:p w:rsidR="00CC5D9C" w:rsidRPr="00CC5D9C" w:rsidRDefault="00CC5D9C" w:rsidP="00CC5D9C">
            <w:pPr>
              <w:keepNext/>
              <w:spacing w:before="40" w:after="40" w:line="264" w:lineRule="auto"/>
              <w:rPr>
                <w:rFonts w:ascii="Arial" w:hAnsi="Arial" w:cs="Arial"/>
                <w:b/>
                <w:sz w:val="18"/>
                <w:szCs w:val="18"/>
              </w:rPr>
            </w:pPr>
            <w:r w:rsidRPr="00CC5D9C">
              <w:rPr>
                <w:rFonts w:ascii="Arial" w:hAnsi="Arial" w:cs="Arial"/>
                <w:b/>
                <w:sz w:val="18"/>
                <w:szCs w:val="18"/>
              </w:rPr>
              <w:lastRenderedPageBreak/>
              <w:t>Řídící úroveň</w:t>
            </w:r>
          </w:p>
        </w:tc>
        <w:tc>
          <w:tcPr>
            <w:tcW w:w="4216" w:type="dxa"/>
            <w:tcBorders>
              <w:top w:val="single" w:sz="4" w:space="0" w:color="auto"/>
              <w:left w:val="single" w:sz="4" w:space="0" w:color="auto"/>
              <w:bottom w:val="single" w:sz="4" w:space="0" w:color="auto"/>
              <w:right w:val="single" w:sz="4" w:space="0" w:color="auto"/>
            </w:tcBorders>
            <w:hideMark/>
          </w:tcPr>
          <w:p w:rsidR="00CC5D9C" w:rsidRPr="00CC5D9C" w:rsidRDefault="00CC5D9C" w:rsidP="00CC5D9C">
            <w:pPr>
              <w:keepNext/>
              <w:spacing w:before="40" w:after="40" w:line="264" w:lineRule="auto"/>
              <w:rPr>
                <w:rFonts w:ascii="Arial" w:hAnsi="Arial" w:cs="Arial"/>
                <w:sz w:val="18"/>
                <w:szCs w:val="18"/>
              </w:rPr>
            </w:pPr>
            <w:r w:rsidRPr="00CC5D9C">
              <w:rPr>
                <w:rFonts w:ascii="Arial" w:hAnsi="Arial" w:cs="Arial"/>
                <w:sz w:val="18"/>
                <w:szCs w:val="18"/>
              </w:rPr>
              <w:t>§ 23: Do slu</w:t>
            </w:r>
            <w:r>
              <w:rPr>
                <w:rFonts w:ascii="Arial" w:hAnsi="Arial" w:cs="Arial"/>
                <w:sz w:val="18"/>
                <w:szCs w:val="18"/>
              </w:rPr>
              <w:t xml:space="preserve">žebního poměru se osoba přijímá </w:t>
            </w:r>
            <w:r w:rsidRPr="00CC5D9C">
              <w:rPr>
                <w:rFonts w:ascii="Arial" w:hAnsi="Arial" w:cs="Arial"/>
                <w:sz w:val="18"/>
                <w:szCs w:val="18"/>
              </w:rPr>
              <w:t>rozhodnutím služebního orgánu. Spolu s rozhodnutím o přijetí do služebního poměru rozhodne služební orgán o zařazení státního zaměstnance na služební místo nebo o</w:t>
            </w:r>
            <w:r>
              <w:rPr>
                <w:rFonts w:ascii="Arial" w:hAnsi="Arial" w:cs="Arial"/>
                <w:sz w:val="18"/>
                <w:szCs w:val="18"/>
              </w:rPr>
              <w:t> </w:t>
            </w:r>
            <w:r w:rsidRPr="00CC5D9C">
              <w:rPr>
                <w:rFonts w:ascii="Arial" w:hAnsi="Arial" w:cs="Arial"/>
                <w:sz w:val="18"/>
                <w:szCs w:val="18"/>
              </w:rPr>
              <w:t>jmenování státního zaměstnance na služební místo představeného.</w:t>
            </w:r>
          </w:p>
        </w:tc>
        <w:tc>
          <w:tcPr>
            <w:tcW w:w="4248" w:type="dxa"/>
            <w:tcBorders>
              <w:top w:val="single" w:sz="4" w:space="0" w:color="auto"/>
              <w:left w:val="single" w:sz="4" w:space="0" w:color="auto"/>
              <w:bottom w:val="single" w:sz="4" w:space="0" w:color="auto"/>
              <w:right w:val="single" w:sz="4" w:space="0" w:color="auto"/>
            </w:tcBorders>
            <w:hideMark/>
          </w:tcPr>
          <w:p w:rsidR="00CC5D9C" w:rsidRPr="00CC5D9C" w:rsidRDefault="00CC5D9C" w:rsidP="00CC5D9C">
            <w:pPr>
              <w:keepNext/>
              <w:spacing w:before="40" w:after="40" w:line="264" w:lineRule="auto"/>
              <w:rPr>
                <w:rFonts w:ascii="Arial" w:hAnsi="Arial" w:cs="Arial"/>
                <w:sz w:val="18"/>
                <w:szCs w:val="18"/>
              </w:rPr>
            </w:pPr>
            <w:r w:rsidRPr="00CC5D9C">
              <w:rPr>
                <w:rFonts w:ascii="Arial" w:hAnsi="Arial" w:cs="Arial"/>
                <w:b/>
                <w:sz w:val="18"/>
                <w:szCs w:val="18"/>
              </w:rPr>
              <w:t>Zákon o státní službě (400/2009 Z. z.) výběrová řízení nespecifikuje</w:t>
            </w:r>
            <w:r w:rsidRPr="00CC5D9C">
              <w:rPr>
                <w:rFonts w:ascii="Arial" w:hAnsi="Arial" w:cs="Arial"/>
                <w:sz w:val="18"/>
                <w:szCs w:val="18"/>
              </w:rPr>
              <w:t xml:space="preserve">, pouze určuje rámcové podmínky (trestní rejstřík, vzdělání apod.). </w:t>
            </w:r>
          </w:p>
        </w:tc>
        <w:tc>
          <w:tcPr>
            <w:tcW w:w="4251" w:type="dxa"/>
            <w:tcBorders>
              <w:top w:val="single" w:sz="4" w:space="0" w:color="auto"/>
              <w:left w:val="single" w:sz="4" w:space="0" w:color="auto"/>
              <w:bottom w:val="single" w:sz="4" w:space="0" w:color="auto"/>
              <w:right w:val="single" w:sz="4" w:space="0" w:color="auto"/>
            </w:tcBorders>
          </w:tcPr>
          <w:p w:rsidR="00CC5D9C" w:rsidRPr="00CC5D9C" w:rsidRDefault="00CC5D9C" w:rsidP="00CC5D9C">
            <w:pPr>
              <w:keepNext/>
              <w:spacing w:before="40" w:after="40" w:line="264" w:lineRule="auto"/>
              <w:rPr>
                <w:rFonts w:ascii="Arial" w:hAnsi="Arial" w:cs="Arial"/>
                <w:sz w:val="18"/>
                <w:szCs w:val="18"/>
              </w:rPr>
            </w:pPr>
            <w:r w:rsidRPr="00CC5D9C">
              <w:rPr>
                <w:rFonts w:ascii="Arial" w:hAnsi="Arial" w:cs="Arial"/>
                <w:sz w:val="18"/>
                <w:szCs w:val="18"/>
              </w:rPr>
              <w:t>ČR má na rozdíl od SR, kde výběrové řízení realizuje každý služební úřad sám podle vnitřních předpisů, jednotný systém pro výběrové řízení. V praxi situace na Slovensku vede k politizaci státní správy a je rovněž předmětem kritiky ze</w:t>
            </w:r>
            <w:r>
              <w:rPr>
                <w:rFonts w:ascii="Arial" w:hAnsi="Arial" w:cs="Arial"/>
                <w:sz w:val="18"/>
                <w:szCs w:val="18"/>
              </w:rPr>
              <w:t> </w:t>
            </w:r>
            <w:r w:rsidRPr="00CC5D9C">
              <w:rPr>
                <w:rFonts w:ascii="Arial" w:hAnsi="Arial" w:cs="Arial"/>
                <w:sz w:val="18"/>
                <w:szCs w:val="18"/>
              </w:rPr>
              <w:t>strany EK.</w:t>
            </w:r>
          </w:p>
          <w:p w:rsidR="00CC5D9C" w:rsidRPr="00CC5D9C" w:rsidRDefault="00CC5D9C" w:rsidP="00CC5D9C">
            <w:pPr>
              <w:keepNext/>
              <w:spacing w:before="40" w:after="40" w:line="264" w:lineRule="auto"/>
              <w:rPr>
                <w:rFonts w:ascii="Arial" w:hAnsi="Arial" w:cs="Arial"/>
                <w:sz w:val="18"/>
                <w:szCs w:val="18"/>
              </w:rPr>
            </w:pPr>
          </w:p>
        </w:tc>
      </w:tr>
      <w:tr w:rsidR="00CC5D9C" w:rsidRPr="00CC5D9C" w:rsidTr="00CC5D9C">
        <w:tc>
          <w:tcPr>
            <w:tcW w:w="1568" w:type="dxa"/>
            <w:tcBorders>
              <w:top w:val="single" w:sz="4" w:space="0" w:color="auto"/>
              <w:left w:val="single" w:sz="4" w:space="0" w:color="auto"/>
              <w:bottom w:val="single" w:sz="4" w:space="0" w:color="auto"/>
              <w:right w:val="single" w:sz="4" w:space="0" w:color="auto"/>
            </w:tcBorders>
            <w:hideMark/>
          </w:tcPr>
          <w:p w:rsidR="00CC5D9C" w:rsidRPr="00CC5D9C" w:rsidRDefault="00CC5D9C" w:rsidP="00CC5D9C">
            <w:pPr>
              <w:spacing w:before="40" w:after="40" w:line="264" w:lineRule="auto"/>
              <w:rPr>
                <w:rFonts w:ascii="Arial" w:hAnsi="Arial" w:cs="Arial"/>
                <w:b/>
                <w:sz w:val="18"/>
                <w:szCs w:val="18"/>
              </w:rPr>
            </w:pPr>
            <w:r w:rsidRPr="00CC5D9C">
              <w:rPr>
                <w:rFonts w:ascii="Arial" w:hAnsi="Arial" w:cs="Arial"/>
                <w:b/>
                <w:sz w:val="18"/>
                <w:szCs w:val="18"/>
              </w:rPr>
              <w:t>Výběrová řízení</w:t>
            </w:r>
          </w:p>
        </w:tc>
        <w:tc>
          <w:tcPr>
            <w:tcW w:w="4216" w:type="dxa"/>
            <w:tcBorders>
              <w:top w:val="single" w:sz="4" w:space="0" w:color="auto"/>
              <w:left w:val="single" w:sz="4" w:space="0" w:color="auto"/>
              <w:bottom w:val="single" w:sz="4" w:space="0" w:color="auto"/>
              <w:right w:val="single" w:sz="4" w:space="0" w:color="auto"/>
            </w:tcBorders>
          </w:tcPr>
          <w:p w:rsidR="00CC5D9C" w:rsidRPr="00CC5D9C" w:rsidRDefault="00CC5D9C" w:rsidP="00CC5D9C">
            <w:pPr>
              <w:spacing w:before="40" w:after="40" w:line="264" w:lineRule="auto"/>
              <w:rPr>
                <w:rFonts w:ascii="Arial" w:hAnsi="Arial" w:cs="Arial"/>
                <w:sz w:val="18"/>
                <w:szCs w:val="18"/>
              </w:rPr>
            </w:pPr>
            <w:r w:rsidRPr="00CC5D9C">
              <w:rPr>
                <w:rFonts w:ascii="Arial" w:hAnsi="Arial" w:cs="Arial"/>
                <w:sz w:val="18"/>
                <w:szCs w:val="18"/>
              </w:rPr>
              <w:t>§</w:t>
            </w:r>
            <w:r w:rsidR="00DE6A60">
              <w:rPr>
                <w:rFonts w:ascii="Arial" w:hAnsi="Arial" w:cs="Arial"/>
                <w:sz w:val="18"/>
                <w:szCs w:val="18"/>
              </w:rPr>
              <w:t xml:space="preserve"> </w:t>
            </w:r>
            <w:r w:rsidRPr="00CC5D9C">
              <w:rPr>
                <w:rFonts w:ascii="Arial" w:hAnsi="Arial" w:cs="Arial"/>
                <w:sz w:val="18"/>
                <w:szCs w:val="18"/>
              </w:rPr>
              <w:t>24 - §</w:t>
            </w:r>
            <w:r w:rsidR="00DE6A60">
              <w:rPr>
                <w:rFonts w:ascii="Arial" w:hAnsi="Arial" w:cs="Arial"/>
                <w:sz w:val="18"/>
                <w:szCs w:val="18"/>
              </w:rPr>
              <w:t xml:space="preserve"> </w:t>
            </w:r>
            <w:r w:rsidRPr="00CC5D9C">
              <w:rPr>
                <w:rFonts w:ascii="Arial" w:hAnsi="Arial" w:cs="Arial"/>
                <w:sz w:val="18"/>
                <w:szCs w:val="18"/>
              </w:rPr>
              <w:t>29</w:t>
            </w:r>
          </w:p>
          <w:p w:rsidR="00CC5D9C" w:rsidRPr="00CC5D9C" w:rsidRDefault="00CC5D9C" w:rsidP="00CC5D9C">
            <w:pPr>
              <w:spacing w:before="40" w:after="40" w:line="264" w:lineRule="auto"/>
              <w:rPr>
                <w:rFonts w:ascii="Arial" w:hAnsi="Arial" w:cs="Arial"/>
                <w:sz w:val="18"/>
                <w:szCs w:val="18"/>
              </w:rPr>
            </w:pPr>
            <w:r w:rsidRPr="00CC5D9C">
              <w:rPr>
                <w:rFonts w:ascii="Arial" w:hAnsi="Arial" w:cs="Arial"/>
                <w:sz w:val="18"/>
                <w:szCs w:val="18"/>
              </w:rPr>
              <w:t>Do státní služby je osoba přijímána vždy na</w:t>
            </w:r>
            <w:r>
              <w:rPr>
                <w:rFonts w:ascii="Arial" w:hAnsi="Arial" w:cs="Arial"/>
                <w:sz w:val="18"/>
                <w:szCs w:val="18"/>
              </w:rPr>
              <w:t> </w:t>
            </w:r>
            <w:r w:rsidRPr="00CC5D9C">
              <w:rPr>
                <w:rFonts w:ascii="Arial" w:hAnsi="Arial" w:cs="Arial"/>
                <w:sz w:val="18"/>
                <w:szCs w:val="18"/>
              </w:rPr>
              <w:t>základě výsledků výběrového řízení, konaného před výb</w:t>
            </w:r>
            <w:r w:rsidR="0091545F">
              <w:rPr>
                <w:rFonts w:ascii="Arial" w:hAnsi="Arial" w:cs="Arial"/>
                <w:sz w:val="18"/>
                <w:szCs w:val="18"/>
              </w:rPr>
              <w:t>ěrovou komisí, která doporučí 3 </w:t>
            </w:r>
            <w:r w:rsidRPr="00CC5D9C">
              <w:rPr>
                <w:rFonts w:ascii="Arial" w:hAnsi="Arial" w:cs="Arial"/>
                <w:sz w:val="18"/>
                <w:szCs w:val="18"/>
              </w:rPr>
              <w:t xml:space="preserve">nejvhodnější uchazeče, z nichž se uskuteční výběr, a pouze nebylo by možné z nich vybrat, jde se na dalšího v pořadí. </w:t>
            </w:r>
          </w:p>
          <w:p w:rsidR="00CC5D9C" w:rsidRPr="00CC5D9C" w:rsidRDefault="00CC5D9C" w:rsidP="00CC5D9C">
            <w:pPr>
              <w:spacing w:before="40" w:after="40" w:line="264" w:lineRule="auto"/>
              <w:rPr>
                <w:rFonts w:ascii="Arial" w:hAnsi="Arial" w:cs="Arial"/>
                <w:sz w:val="18"/>
                <w:szCs w:val="18"/>
              </w:rPr>
            </w:pPr>
            <w:r w:rsidRPr="00CC5D9C">
              <w:rPr>
                <w:rFonts w:ascii="Arial" w:hAnsi="Arial" w:cs="Arial"/>
                <w:sz w:val="18"/>
                <w:szCs w:val="18"/>
              </w:rPr>
              <w:t>Výběrové řízení musí být veřejně vyhlášeno na</w:t>
            </w:r>
            <w:r>
              <w:rPr>
                <w:rFonts w:ascii="Arial" w:hAnsi="Arial" w:cs="Arial"/>
                <w:sz w:val="18"/>
                <w:szCs w:val="18"/>
              </w:rPr>
              <w:t> </w:t>
            </w:r>
            <w:r w:rsidRPr="00CC5D9C">
              <w:rPr>
                <w:rFonts w:ascii="Arial" w:hAnsi="Arial" w:cs="Arial"/>
                <w:sz w:val="18"/>
                <w:szCs w:val="18"/>
              </w:rPr>
              <w:t>úřední desce úřadu a na internetu. Z pohovoru před výběrovou komisí nelze vyřadit žádného uchazeče,</w:t>
            </w:r>
            <w:r w:rsidR="0091545F">
              <w:rPr>
                <w:rFonts w:ascii="Arial" w:hAnsi="Arial" w:cs="Arial"/>
                <w:sz w:val="18"/>
                <w:szCs w:val="18"/>
              </w:rPr>
              <w:t xml:space="preserve"> který podal bezvadnou žádost a </w:t>
            </w:r>
            <w:r w:rsidRPr="00CC5D9C">
              <w:rPr>
                <w:rFonts w:ascii="Arial" w:hAnsi="Arial" w:cs="Arial"/>
                <w:sz w:val="18"/>
                <w:szCs w:val="18"/>
              </w:rPr>
              <w:t>splňuje podmínky přijetí do služby (věk, občanství, bezúhonnost apod.). Součástí pohovoru může být i písemný test uchazeče.</w:t>
            </w:r>
          </w:p>
          <w:p w:rsidR="00CC5D9C" w:rsidRPr="00CC5D9C" w:rsidRDefault="00CC5D9C" w:rsidP="00CC5D9C">
            <w:pPr>
              <w:spacing w:before="40" w:after="40" w:line="264" w:lineRule="auto"/>
              <w:rPr>
                <w:rFonts w:ascii="Arial" w:hAnsi="Arial" w:cs="Arial"/>
                <w:sz w:val="18"/>
                <w:szCs w:val="18"/>
              </w:rPr>
            </w:pPr>
          </w:p>
          <w:p w:rsidR="00CC5D9C" w:rsidRPr="00CC5D9C" w:rsidRDefault="00CC5D9C" w:rsidP="00CC5D9C">
            <w:pPr>
              <w:spacing w:before="40" w:after="40" w:line="264" w:lineRule="auto"/>
              <w:rPr>
                <w:rFonts w:ascii="Arial" w:hAnsi="Arial" w:cs="Arial"/>
                <w:sz w:val="18"/>
                <w:szCs w:val="18"/>
              </w:rPr>
            </w:pPr>
          </w:p>
        </w:tc>
        <w:tc>
          <w:tcPr>
            <w:tcW w:w="4248" w:type="dxa"/>
            <w:tcBorders>
              <w:top w:val="single" w:sz="4" w:space="0" w:color="auto"/>
              <w:left w:val="single" w:sz="4" w:space="0" w:color="auto"/>
              <w:bottom w:val="single" w:sz="4" w:space="0" w:color="auto"/>
              <w:right w:val="single" w:sz="4" w:space="0" w:color="auto"/>
            </w:tcBorders>
            <w:hideMark/>
          </w:tcPr>
          <w:p w:rsidR="00CC5D9C" w:rsidRPr="00CC5D9C" w:rsidRDefault="00CC5D9C" w:rsidP="00CC5D9C">
            <w:pPr>
              <w:spacing w:before="40" w:after="40" w:line="264" w:lineRule="auto"/>
              <w:rPr>
                <w:rFonts w:ascii="Arial" w:hAnsi="Arial" w:cs="Arial"/>
                <w:sz w:val="18"/>
                <w:szCs w:val="18"/>
              </w:rPr>
            </w:pPr>
            <w:r w:rsidRPr="00CC5D9C">
              <w:rPr>
                <w:rFonts w:ascii="Arial" w:hAnsi="Arial" w:cs="Arial"/>
                <w:sz w:val="18"/>
                <w:szCs w:val="18"/>
              </w:rPr>
              <w:t>§ 20 zák. č. 400/2009 Z.z</w:t>
            </w:r>
          </w:p>
          <w:p w:rsidR="00CC5D9C" w:rsidRPr="00CC5D9C" w:rsidRDefault="00CC5D9C" w:rsidP="00CC5D9C">
            <w:pPr>
              <w:pStyle w:val="Default"/>
              <w:spacing w:before="40" w:after="40" w:line="264" w:lineRule="auto"/>
              <w:jc w:val="both"/>
              <w:rPr>
                <w:rFonts w:ascii="Arial" w:hAnsi="Arial" w:cs="Arial"/>
                <w:sz w:val="18"/>
                <w:szCs w:val="18"/>
                <w:lang w:val="cs-CZ"/>
              </w:rPr>
            </w:pPr>
            <w:r w:rsidRPr="00CC5D9C">
              <w:rPr>
                <w:rFonts w:ascii="Arial" w:hAnsi="Arial" w:cs="Arial"/>
                <w:sz w:val="18"/>
                <w:szCs w:val="18"/>
                <w:lang w:val="cs-CZ"/>
              </w:rPr>
              <w:t xml:space="preserve">(1) Štátnozamestnanecké miesto moţno obsadiť prijatím občana, ktorý sa uchádza o štátnu sluţbu, alebo preloţením štátneho zamestnanca. </w:t>
            </w:r>
          </w:p>
          <w:p w:rsidR="00CC5D9C" w:rsidRPr="00CC5D9C" w:rsidRDefault="00CC5D9C" w:rsidP="00CC5D9C">
            <w:pPr>
              <w:pStyle w:val="Default"/>
              <w:spacing w:before="40" w:after="40" w:line="264" w:lineRule="auto"/>
              <w:jc w:val="both"/>
              <w:rPr>
                <w:rFonts w:ascii="Arial" w:hAnsi="Arial" w:cs="Arial"/>
                <w:sz w:val="18"/>
                <w:szCs w:val="18"/>
                <w:lang w:val="cs-CZ"/>
              </w:rPr>
            </w:pPr>
            <w:r w:rsidRPr="00CC5D9C">
              <w:rPr>
                <w:rFonts w:ascii="Arial" w:hAnsi="Arial" w:cs="Arial"/>
                <w:sz w:val="18"/>
                <w:szCs w:val="18"/>
                <w:lang w:val="cs-CZ"/>
              </w:rPr>
              <w:t xml:space="preserve">(2) Na štátnozamestnanecké miesto moţno prijať občana, ktorý sa uchádza o štátnu sluţbu, </w:t>
            </w:r>
          </w:p>
          <w:p w:rsidR="00CC5D9C" w:rsidRPr="00CC5D9C" w:rsidRDefault="00CC5D9C" w:rsidP="00CC5D9C">
            <w:pPr>
              <w:pStyle w:val="Default"/>
              <w:spacing w:before="40" w:after="40" w:line="264" w:lineRule="auto"/>
              <w:jc w:val="both"/>
              <w:rPr>
                <w:rFonts w:ascii="Arial" w:hAnsi="Arial" w:cs="Arial"/>
                <w:sz w:val="18"/>
                <w:szCs w:val="18"/>
                <w:lang w:val="cs-CZ"/>
              </w:rPr>
            </w:pPr>
            <w:r w:rsidRPr="00CC5D9C">
              <w:rPr>
                <w:rFonts w:ascii="Arial" w:hAnsi="Arial" w:cs="Arial"/>
                <w:sz w:val="18"/>
                <w:szCs w:val="18"/>
                <w:lang w:val="cs-CZ"/>
              </w:rPr>
              <w:t>a) na základe výberového konania, ak sa obsadzuje štátnozamestnanecké miesto vedúceho zamestnanca alebo ak sa obsadzuje štátnozamestnanecké miesto v sluţobnom úrade, ktorým je minister</w:t>
            </w:r>
            <w:r w:rsidR="0091545F">
              <w:rPr>
                <w:rFonts w:ascii="Arial" w:hAnsi="Arial" w:cs="Arial"/>
                <w:sz w:val="18"/>
                <w:szCs w:val="18"/>
                <w:lang w:val="cs-CZ"/>
              </w:rPr>
              <w:t>stvo zahraničných vecí, alebo v </w:t>
            </w:r>
            <w:r w:rsidRPr="00CC5D9C">
              <w:rPr>
                <w:rFonts w:ascii="Arial" w:hAnsi="Arial" w:cs="Arial"/>
                <w:sz w:val="18"/>
                <w:szCs w:val="18"/>
                <w:lang w:val="cs-CZ"/>
              </w:rPr>
              <w:t xml:space="preserve">sluţobnom úrade uvedenom v § 9 ods. 1 písm. e) a § 9 ods. 2 písm. i), alebo ak to ustanovuje osobitný predpis, </w:t>
            </w:r>
          </w:p>
          <w:p w:rsidR="00CC5D9C" w:rsidRPr="00CC5D9C" w:rsidRDefault="00CC5D9C" w:rsidP="00CC5D9C">
            <w:pPr>
              <w:pStyle w:val="Default"/>
              <w:spacing w:before="40" w:after="40" w:line="264" w:lineRule="auto"/>
              <w:jc w:val="both"/>
              <w:rPr>
                <w:rFonts w:ascii="Arial" w:hAnsi="Arial" w:cs="Arial"/>
                <w:sz w:val="18"/>
                <w:szCs w:val="18"/>
                <w:lang w:val="cs-CZ"/>
              </w:rPr>
            </w:pPr>
            <w:r w:rsidRPr="00CC5D9C">
              <w:rPr>
                <w:rFonts w:ascii="Arial" w:hAnsi="Arial" w:cs="Arial"/>
                <w:sz w:val="18"/>
                <w:szCs w:val="18"/>
                <w:lang w:val="cs-CZ"/>
              </w:rPr>
              <w:t xml:space="preserve">b) na základe výberu, </w:t>
            </w:r>
          </w:p>
          <w:p w:rsidR="00CC5D9C" w:rsidRPr="00CC5D9C" w:rsidRDefault="00CC5D9C" w:rsidP="00CC5D9C">
            <w:pPr>
              <w:spacing w:before="40" w:after="40" w:line="264" w:lineRule="auto"/>
              <w:rPr>
                <w:rFonts w:ascii="Arial" w:hAnsi="Arial" w:cs="Arial"/>
                <w:sz w:val="18"/>
                <w:szCs w:val="18"/>
              </w:rPr>
            </w:pPr>
            <w:r w:rsidRPr="00CC5D9C">
              <w:rPr>
                <w:rFonts w:ascii="Arial" w:hAnsi="Arial" w:cs="Arial"/>
                <w:sz w:val="18"/>
                <w:szCs w:val="18"/>
              </w:rPr>
              <w:t>c) bez výberového konania alebo bez výberu</w:t>
            </w:r>
          </w:p>
        </w:tc>
        <w:tc>
          <w:tcPr>
            <w:tcW w:w="4251" w:type="dxa"/>
            <w:tcBorders>
              <w:top w:val="single" w:sz="4" w:space="0" w:color="auto"/>
              <w:left w:val="single" w:sz="4" w:space="0" w:color="auto"/>
              <w:bottom w:val="single" w:sz="4" w:space="0" w:color="auto"/>
              <w:right w:val="single" w:sz="4" w:space="0" w:color="auto"/>
            </w:tcBorders>
          </w:tcPr>
          <w:p w:rsidR="00CC5D9C" w:rsidRPr="00CC5D9C" w:rsidRDefault="00CC5D9C" w:rsidP="00CC5D9C">
            <w:pPr>
              <w:spacing w:before="40" w:after="40" w:line="264" w:lineRule="auto"/>
              <w:rPr>
                <w:rFonts w:ascii="Arial" w:hAnsi="Arial" w:cs="Arial"/>
                <w:sz w:val="18"/>
                <w:szCs w:val="18"/>
              </w:rPr>
            </w:pPr>
            <w:r w:rsidRPr="00CC5D9C">
              <w:rPr>
                <w:rFonts w:ascii="Arial" w:hAnsi="Arial" w:cs="Arial"/>
                <w:sz w:val="18"/>
                <w:szCs w:val="18"/>
              </w:rPr>
              <w:t>Výběrové řízení na Slovensku je povinné vyhlásit pouze u vedoucích zaměstnanců nebo MZV.</w:t>
            </w:r>
          </w:p>
          <w:p w:rsidR="00CC5D9C" w:rsidRPr="00CC5D9C" w:rsidRDefault="00CC5D9C" w:rsidP="00CC5D9C">
            <w:pPr>
              <w:spacing w:before="40" w:after="40" w:line="264" w:lineRule="auto"/>
              <w:rPr>
                <w:rFonts w:ascii="Arial" w:hAnsi="Arial" w:cs="Arial"/>
                <w:sz w:val="18"/>
                <w:szCs w:val="18"/>
              </w:rPr>
            </w:pPr>
            <w:r w:rsidRPr="00CC5D9C">
              <w:rPr>
                <w:rFonts w:ascii="Arial" w:hAnsi="Arial" w:cs="Arial"/>
                <w:sz w:val="18"/>
                <w:szCs w:val="18"/>
              </w:rPr>
              <w:t>V ĆR lze proti výsledku výběrového řízení podat jako opravný prostředek námitky. Proti zamítnutí žádosti o přijetí do služebního poměru se lze odvolat k nadřízenému služebnímu úřadu. Je možná taktéž přezkum nezávislým soudem ve</w:t>
            </w:r>
            <w:r w:rsidR="00DE6A60">
              <w:rPr>
                <w:rFonts w:ascii="Arial" w:hAnsi="Arial" w:cs="Arial"/>
                <w:sz w:val="18"/>
                <w:szCs w:val="18"/>
              </w:rPr>
              <w:t> </w:t>
            </w:r>
            <w:r w:rsidRPr="00CC5D9C">
              <w:rPr>
                <w:rFonts w:ascii="Arial" w:hAnsi="Arial" w:cs="Arial"/>
                <w:sz w:val="18"/>
                <w:szCs w:val="18"/>
              </w:rPr>
              <w:t>správním soudnictví.</w:t>
            </w:r>
          </w:p>
          <w:p w:rsidR="00CC5D9C" w:rsidRPr="00CC5D9C" w:rsidRDefault="00CC5D9C" w:rsidP="00CC5D9C">
            <w:pPr>
              <w:spacing w:before="40" w:after="40" w:line="264" w:lineRule="auto"/>
              <w:rPr>
                <w:rFonts w:ascii="Arial" w:hAnsi="Arial" w:cs="Arial"/>
                <w:sz w:val="18"/>
                <w:szCs w:val="18"/>
              </w:rPr>
            </w:pPr>
            <w:r w:rsidRPr="00CC5D9C">
              <w:rPr>
                <w:rFonts w:ascii="Arial" w:hAnsi="Arial" w:cs="Arial"/>
                <w:sz w:val="18"/>
                <w:szCs w:val="18"/>
              </w:rPr>
              <w:t>Přístup u dotazovaných zemí je stejný a to takový, že výběrová řízení jsou povinná pro všechny zaměstnance.</w:t>
            </w:r>
          </w:p>
        </w:tc>
      </w:tr>
      <w:tr w:rsidR="00CC5D9C" w:rsidRPr="00CC5D9C" w:rsidTr="00CC5D9C">
        <w:tc>
          <w:tcPr>
            <w:tcW w:w="1568" w:type="dxa"/>
            <w:tcBorders>
              <w:top w:val="single" w:sz="4" w:space="0" w:color="auto"/>
              <w:left w:val="single" w:sz="4" w:space="0" w:color="auto"/>
              <w:bottom w:val="single" w:sz="4" w:space="0" w:color="auto"/>
              <w:right w:val="single" w:sz="4" w:space="0" w:color="auto"/>
            </w:tcBorders>
            <w:hideMark/>
          </w:tcPr>
          <w:p w:rsidR="00CC5D9C" w:rsidRPr="00CC5D9C" w:rsidRDefault="00CC5D9C" w:rsidP="00CC5D9C">
            <w:pPr>
              <w:spacing w:before="40" w:after="40" w:line="264" w:lineRule="auto"/>
              <w:rPr>
                <w:rFonts w:ascii="Arial" w:hAnsi="Arial" w:cs="Arial"/>
                <w:b/>
                <w:sz w:val="18"/>
                <w:szCs w:val="18"/>
              </w:rPr>
            </w:pPr>
            <w:r w:rsidRPr="00CC5D9C">
              <w:rPr>
                <w:rFonts w:ascii="Arial" w:hAnsi="Arial" w:cs="Arial"/>
                <w:b/>
                <w:sz w:val="18"/>
                <w:szCs w:val="18"/>
              </w:rPr>
              <w:t>Změna služebního poměru – postavení mimo výkon služby z organizačních důvodů</w:t>
            </w:r>
          </w:p>
        </w:tc>
        <w:tc>
          <w:tcPr>
            <w:tcW w:w="4216" w:type="dxa"/>
            <w:tcBorders>
              <w:top w:val="single" w:sz="4" w:space="0" w:color="auto"/>
              <w:left w:val="single" w:sz="4" w:space="0" w:color="auto"/>
              <w:bottom w:val="single" w:sz="4" w:space="0" w:color="auto"/>
              <w:right w:val="single" w:sz="4" w:space="0" w:color="auto"/>
            </w:tcBorders>
            <w:hideMark/>
          </w:tcPr>
          <w:p w:rsidR="00CC5D9C" w:rsidRPr="00DE6A60" w:rsidRDefault="00DE6A60" w:rsidP="00DE6A60">
            <w:pPr>
              <w:spacing w:before="40" w:after="40" w:line="264" w:lineRule="auto"/>
              <w:jc w:val="left"/>
              <w:rPr>
                <w:rFonts w:ascii="Arial" w:hAnsi="Arial" w:cs="Arial"/>
                <w:bCs/>
                <w:sz w:val="18"/>
                <w:szCs w:val="18"/>
              </w:rPr>
            </w:pPr>
            <w:r>
              <w:rPr>
                <w:rFonts w:ascii="Arial" w:hAnsi="Arial" w:cs="Arial"/>
                <w:bCs/>
                <w:sz w:val="18"/>
                <w:szCs w:val="18"/>
              </w:rPr>
              <w:t xml:space="preserve">§ 62: </w:t>
            </w:r>
            <w:r w:rsidR="00CC5D9C" w:rsidRPr="00CC5D9C">
              <w:rPr>
                <w:rFonts w:ascii="Arial" w:hAnsi="Arial" w:cs="Arial"/>
                <w:b/>
                <w:bCs/>
                <w:sz w:val="18"/>
                <w:szCs w:val="18"/>
              </w:rPr>
              <w:t>Zařazení mimo výkon služby</w:t>
            </w:r>
            <w:r>
              <w:rPr>
                <w:rFonts w:ascii="Arial" w:hAnsi="Arial" w:cs="Arial"/>
                <w:bCs/>
                <w:sz w:val="18"/>
                <w:szCs w:val="18"/>
              </w:rPr>
              <w:t xml:space="preserve"> </w:t>
            </w:r>
            <w:r w:rsidR="00CC5D9C" w:rsidRPr="00CC5D9C">
              <w:rPr>
                <w:rFonts w:ascii="Arial" w:hAnsi="Arial" w:cs="Arial"/>
                <w:b/>
                <w:bCs/>
                <w:sz w:val="18"/>
                <w:szCs w:val="18"/>
              </w:rPr>
              <w:t>z</w:t>
            </w:r>
            <w:r>
              <w:rPr>
                <w:rFonts w:ascii="Arial" w:hAnsi="Arial" w:cs="Arial"/>
                <w:b/>
                <w:bCs/>
                <w:sz w:val="18"/>
                <w:szCs w:val="18"/>
              </w:rPr>
              <w:t> </w:t>
            </w:r>
            <w:r w:rsidR="00CC5D9C" w:rsidRPr="00CC5D9C">
              <w:rPr>
                <w:rFonts w:ascii="Arial" w:hAnsi="Arial" w:cs="Arial"/>
                <w:b/>
                <w:bCs/>
                <w:sz w:val="18"/>
                <w:szCs w:val="18"/>
              </w:rPr>
              <w:t>organizačních důvodů</w:t>
            </w:r>
          </w:p>
          <w:p w:rsidR="00CC5D9C" w:rsidRPr="00CC5D9C" w:rsidRDefault="00CC5D9C" w:rsidP="00CC5D9C">
            <w:pPr>
              <w:spacing w:before="40" w:after="40" w:line="264" w:lineRule="auto"/>
              <w:rPr>
                <w:rFonts w:ascii="Arial" w:hAnsi="Arial" w:cs="Arial"/>
                <w:sz w:val="18"/>
                <w:szCs w:val="18"/>
              </w:rPr>
            </w:pPr>
            <w:r w:rsidRPr="00CC5D9C">
              <w:rPr>
                <w:rFonts w:ascii="Arial" w:hAnsi="Arial" w:cs="Arial"/>
                <w:sz w:val="18"/>
                <w:szCs w:val="18"/>
              </w:rPr>
              <w:t>(1) Nemůže-li být</w:t>
            </w:r>
            <w:r w:rsidR="00DE6A60">
              <w:rPr>
                <w:rFonts w:ascii="Arial" w:hAnsi="Arial" w:cs="Arial"/>
                <w:sz w:val="18"/>
                <w:szCs w:val="18"/>
              </w:rPr>
              <w:t xml:space="preserve"> státní zaměstnanec v případech </w:t>
            </w:r>
            <w:r w:rsidRPr="00CC5D9C">
              <w:rPr>
                <w:rFonts w:ascii="Arial" w:hAnsi="Arial" w:cs="Arial"/>
                <w:sz w:val="18"/>
                <w:szCs w:val="18"/>
              </w:rPr>
              <w:t>uvedených v §</w:t>
            </w:r>
            <w:r w:rsidR="00DE6A60">
              <w:rPr>
                <w:rFonts w:ascii="Arial" w:hAnsi="Arial" w:cs="Arial"/>
                <w:sz w:val="18"/>
                <w:szCs w:val="18"/>
              </w:rPr>
              <w:t xml:space="preserve"> 61 odst. 1 písm. b) až g) nebo </w:t>
            </w:r>
            <w:r w:rsidRPr="00CC5D9C">
              <w:rPr>
                <w:rFonts w:ascii="Arial" w:hAnsi="Arial" w:cs="Arial"/>
                <w:sz w:val="18"/>
                <w:szCs w:val="18"/>
              </w:rPr>
              <w:t>§</w:t>
            </w:r>
            <w:r w:rsidR="00DE6A60">
              <w:rPr>
                <w:rFonts w:ascii="Arial" w:hAnsi="Arial" w:cs="Arial"/>
                <w:sz w:val="18"/>
                <w:szCs w:val="18"/>
              </w:rPr>
              <w:t> </w:t>
            </w:r>
            <w:r w:rsidRPr="00CC5D9C">
              <w:rPr>
                <w:rFonts w:ascii="Arial" w:hAnsi="Arial" w:cs="Arial"/>
                <w:sz w:val="18"/>
                <w:szCs w:val="18"/>
              </w:rPr>
              <w:t>61 odst. 2 písm. a) převeden na jiné služební místo, protože žádné vhodné není volné, nebo nemůže-li být v případech uvedených v § 70 odst. 3 zařazen na volné služební místo, zařadí se mimo výkon služby, nejdéle však na 6 měsíců.</w:t>
            </w:r>
          </w:p>
          <w:p w:rsidR="00CC5D9C" w:rsidRPr="00CC5D9C" w:rsidRDefault="00CC5D9C" w:rsidP="00CC5D9C">
            <w:pPr>
              <w:spacing w:before="40" w:after="40" w:line="264" w:lineRule="auto"/>
              <w:rPr>
                <w:rFonts w:ascii="Arial" w:hAnsi="Arial" w:cs="Arial"/>
                <w:sz w:val="18"/>
                <w:szCs w:val="18"/>
              </w:rPr>
            </w:pPr>
            <w:r w:rsidRPr="00CC5D9C">
              <w:rPr>
                <w:rFonts w:ascii="Arial" w:hAnsi="Arial" w:cs="Arial"/>
                <w:sz w:val="18"/>
                <w:szCs w:val="18"/>
              </w:rPr>
              <w:t>(2) Ode dne zařazení mimo výkon služby podle odstavce 1 činí plat státního zaměstnance 80 % měsíčního platu.</w:t>
            </w:r>
          </w:p>
        </w:tc>
        <w:tc>
          <w:tcPr>
            <w:tcW w:w="4248" w:type="dxa"/>
            <w:tcBorders>
              <w:top w:val="single" w:sz="4" w:space="0" w:color="auto"/>
              <w:left w:val="single" w:sz="4" w:space="0" w:color="auto"/>
              <w:bottom w:val="single" w:sz="4" w:space="0" w:color="auto"/>
              <w:right w:val="single" w:sz="4" w:space="0" w:color="auto"/>
            </w:tcBorders>
          </w:tcPr>
          <w:p w:rsidR="00CC5D9C" w:rsidRPr="00CC5D9C" w:rsidRDefault="00CC5D9C" w:rsidP="00CC5D9C">
            <w:pPr>
              <w:spacing w:before="40" w:after="40" w:line="264" w:lineRule="auto"/>
              <w:rPr>
                <w:rFonts w:ascii="Arial" w:hAnsi="Arial" w:cs="Arial"/>
                <w:sz w:val="18"/>
                <w:szCs w:val="18"/>
              </w:rPr>
            </w:pPr>
            <w:r w:rsidRPr="00CC5D9C">
              <w:rPr>
                <w:rFonts w:ascii="Arial" w:hAnsi="Arial" w:cs="Arial"/>
                <w:sz w:val="18"/>
                <w:szCs w:val="18"/>
              </w:rPr>
              <w:t>§</w:t>
            </w:r>
            <w:r w:rsidR="00DE6A60">
              <w:rPr>
                <w:rFonts w:ascii="Arial" w:hAnsi="Arial" w:cs="Arial"/>
                <w:sz w:val="18"/>
                <w:szCs w:val="18"/>
              </w:rPr>
              <w:t xml:space="preserve"> </w:t>
            </w:r>
            <w:r w:rsidRPr="00CC5D9C">
              <w:rPr>
                <w:rFonts w:ascii="Arial" w:hAnsi="Arial" w:cs="Arial"/>
                <w:sz w:val="18"/>
                <w:szCs w:val="18"/>
              </w:rPr>
              <w:t xml:space="preserve">39 zák. č. 400/2009 Z.z: </w:t>
            </w:r>
          </w:p>
          <w:p w:rsidR="00CC5D9C" w:rsidRPr="00CC5D9C" w:rsidRDefault="00CC5D9C" w:rsidP="00CC5D9C">
            <w:pPr>
              <w:spacing w:before="40" w:after="40" w:line="264" w:lineRule="auto"/>
              <w:rPr>
                <w:rFonts w:ascii="Arial" w:hAnsi="Arial" w:cs="Arial"/>
                <w:sz w:val="18"/>
                <w:szCs w:val="18"/>
              </w:rPr>
            </w:pPr>
            <w:r w:rsidRPr="00CC5D9C">
              <w:rPr>
                <w:rFonts w:ascii="Arial" w:hAnsi="Arial" w:cs="Arial"/>
                <w:sz w:val="18"/>
                <w:szCs w:val="18"/>
              </w:rPr>
              <w:t>Štátneho zamestnanca, ktorý</w:t>
            </w:r>
            <w:r w:rsidR="00DE6A60">
              <w:rPr>
                <w:rFonts w:ascii="Arial" w:hAnsi="Arial" w:cs="Arial"/>
                <w:sz w:val="18"/>
                <w:szCs w:val="18"/>
              </w:rPr>
              <w:t xml:space="preserve"> bol odvolaný z </w:t>
            </w:r>
            <w:r w:rsidRPr="00CC5D9C">
              <w:rPr>
                <w:rFonts w:ascii="Arial" w:hAnsi="Arial" w:cs="Arial"/>
                <w:sz w:val="18"/>
                <w:szCs w:val="18"/>
              </w:rPr>
              <w:t>funkcie vedúc</w:t>
            </w:r>
            <w:r w:rsidR="00DE6A60">
              <w:rPr>
                <w:rFonts w:ascii="Arial" w:hAnsi="Arial" w:cs="Arial"/>
                <w:sz w:val="18"/>
                <w:szCs w:val="18"/>
              </w:rPr>
              <w:t>eho zamestnanca podľa § 37 ods. </w:t>
            </w:r>
            <w:r w:rsidRPr="00CC5D9C">
              <w:rPr>
                <w:rFonts w:ascii="Arial" w:hAnsi="Arial" w:cs="Arial"/>
                <w:sz w:val="18"/>
                <w:szCs w:val="18"/>
              </w:rPr>
              <w:t>2, nemožno zaradiť na vykonávanie štátnej sluţby na štátnozamestnanecké miesto v tom istom odbore štátnej</w:t>
            </w:r>
            <w:r w:rsidR="0091545F">
              <w:rPr>
                <w:rFonts w:ascii="Arial" w:hAnsi="Arial" w:cs="Arial"/>
                <w:sz w:val="18"/>
                <w:szCs w:val="18"/>
              </w:rPr>
              <w:t xml:space="preserve"> služby a na tú istú funkciu (§ </w:t>
            </w:r>
            <w:r w:rsidRPr="00CC5D9C">
              <w:rPr>
                <w:rFonts w:ascii="Arial" w:hAnsi="Arial" w:cs="Arial"/>
                <w:sz w:val="18"/>
                <w:szCs w:val="18"/>
              </w:rPr>
              <w:t xml:space="preserve">29), pretože služobný úrad takéto štátnozamestnanecké miesto nemá, a štátny zamestnanec sa nedohodne so služobným úradom inak, </w:t>
            </w:r>
          </w:p>
          <w:p w:rsidR="00CC5D9C" w:rsidRPr="00CC5D9C" w:rsidRDefault="00CC5D9C" w:rsidP="00CC5D9C">
            <w:pPr>
              <w:spacing w:before="40" w:after="40" w:line="264" w:lineRule="auto"/>
              <w:rPr>
                <w:rFonts w:ascii="Arial" w:hAnsi="Arial" w:cs="Arial"/>
                <w:sz w:val="18"/>
                <w:szCs w:val="18"/>
              </w:rPr>
            </w:pPr>
          </w:p>
        </w:tc>
        <w:tc>
          <w:tcPr>
            <w:tcW w:w="4251" w:type="dxa"/>
            <w:tcBorders>
              <w:top w:val="single" w:sz="4" w:space="0" w:color="auto"/>
              <w:left w:val="single" w:sz="4" w:space="0" w:color="auto"/>
              <w:bottom w:val="single" w:sz="4" w:space="0" w:color="auto"/>
              <w:right w:val="single" w:sz="4" w:space="0" w:color="auto"/>
            </w:tcBorders>
            <w:hideMark/>
          </w:tcPr>
          <w:p w:rsidR="00CC5D9C" w:rsidRPr="00CC5D9C" w:rsidRDefault="00CC5D9C" w:rsidP="00CC5D9C">
            <w:pPr>
              <w:spacing w:before="40" w:after="40" w:line="264" w:lineRule="auto"/>
              <w:rPr>
                <w:rFonts w:ascii="Arial" w:hAnsi="Arial" w:cs="Arial"/>
                <w:sz w:val="18"/>
                <w:szCs w:val="18"/>
              </w:rPr>
            </w:pPr>
            <w:r w:rsidRPr="00CC5D9C">
              <w:rPr>
                <w:rFonts w:ascii="Arial" w:hAnsi="Arial" w:cs="Arial"/>
                <w:sz w:val="18"/>
                <w:szCs w:val="18"/>
              </w:rPr>
              <w:t>Ať už v ČR dojde k zařazení státního zaměstnance mimo výkon služby z organizačních důvodů nebo o</w:t>
            </w:r>
            <w:r w:rsidR="00DE6A60">
              <w:rPr>
                <w:rFonts w:ascii="Arial" w:hAnsi="Arial" w:cs="Arial"/>
                <w:sz w:val="18"/>
                <w:szCs w:val="18"/>
              </w:rPr>
              <w:t>dvolání vedoucího pracovníka ze </w:t>
            </w:r>
            <w:r w:rsidRPr="00CC5D9C">
              <w:rPr>
                <w:rFonts w:ascii="Arial" w:hAnsi="Arial" w:cs="Arial"/>
                <w:sz w:val="18"/>
                <w:szCs w:val="18"/>
              </w:rPr>
              <w:t>služebního místa, v obou případech náleží státnímu zaměst</w:t>
            </w:r>
            <w:r w:rsidR="00DE6A60">
              <w:rPr>
                <w:rFonts w:ascii="Arial" w:hAnsi="Arial" w:cs="Arial"/>
                <w:sz w:val="18"/>
                <w:szCs w:val="18"/>
              </w:rPr>
              <w:t>nanci 80% měsíčního platu po </w:t>
            </w:r>
            <w:r w:rsidRPr="00CC5D9C">
              <w:rPr>
                <w:rFonts w:ascii="Arial" w:hAnsi="Arial" w:cs="Arial"/>
                <w:sz w:val="18"/>
                <w:szCs w:val="18"/>
              </w:rPr>
              <w:t xml:space="preserve">dobu 6 měsíců. </w:t>
            </w:r>
          </w:p>
          <w:p w:rsidR="00CC5D9C" w:rsidRPr="00CC5D9C" w:rsidRDefault="00CC5D9C" w:rsidP="00CC5D9C">
            <w:pPr>
              <w:spacing w:before="40" w:after="40" w:line="264" w:lineRule="auto"/>
              <w:rPr>
                <w:rFonts w:ascii="Arial" w:hAnsi="Arial" w:cs="Arial"/>
                <w:sz w:val="18"/>
                <w:szCs w:val="18"/>
              </w:rPr>
            </w:pPr>
            <w:r w:rsidRPr="00CC5D9C">
              <w:rPr>
                <w:rFonts w:ascii="Arial" w:hAnsi="Arial" w:cs="Arial"/>
                <w:sz w:val="18"/>
                <w:szCs w:val="18"/>
              </w:rPr>
              <w:t xml:space="preserve">V SR tato situace není ošetřena. </w:t>
            </w:r>
          </w:p>
        </w:tc>
      </w:tr>
      <w:tr w:rsidR="00CC5D9C" w:rsidRPr="00CC5D9C" w:rsidTr="00CC5D9C">
        <w:tc>
          <w:tcPr>
            <w:tcW w:w="1568" w:type="dxa"/>
            <w:tcBorders>
              <w:top w:val="single" w:sz="4" w:space="0" w:color="auto"/>
              <w:left w:val="single" w:sz="4" w:space="0" w:color="auto"/>
              <w:bottom w:val="single" w:sz="4" w:space="0" w:color="auto"/>
              <w:right w:val="single" w:sz="4" w:space="0" w:color="auto"/>
            </w:tcBorders>
            <w:hideMark/>
          </w:tcPr>
          <w:p w:rsidR="00CC5D9C" w:rsidRPr="00CC5D9C" w:rsidRDefault="00CC5D9C" w:rsidP="00CC5D9C">
            <w:pPr>
              <w:spacing w:before="40" w:after="40" w:line="264" w:lineRule="auto"/>
              <w:rPr>
                <w:rFonts w:ascii="Arial" w:hAnsi="Arial" w:cs="Arial"/>
                <w:b/>
                <w:sz w:val="18"/>
                <w:szCs w:val="18"/>
              </w:rPr>
            </w:pPr>
            <w:r w:rsidRPr="00CC5D9C">
              <w:rPr>
                <w:rFonts w:ascii="Arial" w:hAnsi="Arial" w:cs="Arial"/>
                <w:b/>
                <w:sz w:val="18"/>
                <w:szCs w:val="18"/>
              </w:rPr>
              <w:lastRenderedPageBreak/>
              <w:t>Ukončení</w:t>
            </w:r>
          </w:p>
        </w:tc>
        <w:tc>
          <w:tcPr>
            <w:tcW w:w="4216" w:type="dxa"/>
            <w:tcBorders>
              <w:top w:val="single" w:sz="4" w:space="0" w:color="auto"/>
              <w:left w:val="single" w:sz="4" w:space="0" w:color="auto"/>
              <w:bottom w:val="single" w:sz="4" w:space="0" w:color="auto"/>
              <w:right w:val="single" w:sz="4" w:space="0" w:color="auto"/>
            </w:tcBorders>
            <w:hideMark/>
          </w:tcPr>
          <w:p w:rsidR="00CC5D9C" w:rsidRPr="00CC5D9C" w:rsidRDefault="00CC5D9C" w:rsidP="00CC5D9C">
            <w:pPr>
              <w:spacing w:before="40" w:after="40" w:line="264" w:lineRule="auto"/>
              <w:rPr>
                <w:rFonts w:ascii="Arial" w:hAnsi="Arial" w:cs="Arial"/>
                <w:sz w:val="18"/>
                <w:szCs w:val="18"/>
              </w:rPr>
            </w:pPr>
            <w:r w:rsidRPr="00CC5D9C">
              <w:rPr>
                <w:rFonts w:ascii="Arial" w:hAnsi="Arial" w:cs="Arial"/>
                <w:sz w:val="18"/>
                <w:szCs w:val="18"/>
              </w:rPr>
              <w:t>§74</w:t>
            </w:r>
          </w:p>
          <w:p w:rsidR="00CC5D9C" w:rsidRPr="00CC5D9C" w:rsidRDefault="00CC5D9C" w:rsidP="00CC5D9C">
            <w:pPr>
              <w:spacing w:before="40" w:after="40" w:line="264" w:lineRule="auto"/>
              <w:rPr>
                <w:rFonts w:ascii="Arial" w:hAnsi="Arial" w:cs="Arial"/>
                <w:sz w:val="18"/>
                <w:szCs w:val="18"/>
              </w:rPr>
            </w:pPr>
            <w:r w:rsidRPr="00CC5D9C">
              <w:rPr>
                <w:rFonts w:ascii="Arial" w:hAnsi="Arial" w:cs="Arial"/>
                <w:sz w:val="18"/>
                <w:szCs w:val="18"/>
              </w:rPr>
              <w:t>Služební poměr skončí ze zákona:</w:t>
            </w:r>
          </w:p>
          <w:p w:rsidR="00CC5D9C" w:rsidRPr="00DE6A60" w:rsidRDefault="00CC5D9C" w:rsidP="00CC5D9C">
            <w:pPr>
              <w:spacing w:before="40" w:after="40" w:line="264" w:lineRule="auto"/>
              <w:rPr>
                <w:rFonts w:ascii="Arial" w:hAnsi="Arial" w:cs="Arial"/>
                <w:b/>
                <w:sz w:val="18"/>
                <w:szCs w:val="18"/>
              </w:rPr>
            </w:pPr>
            <w:r w:rsidRPr="00CC5D9C">
              <w:rPr>
                <w:rFonts w:ascii="Arial" w:hAnsi="Arial" w:cs="Arial"/>
                <w:sz w:val="18"/>
                <w:szCs w:val="18"/>
              </w:rPr>
              <w:t xml:space="preserve">- zrušením služebního poměru služebním orgánem nebo státním zaměstnancem </w:t>
            </w:r>
            <w:r w:rsidR="00DE6A60">
              <w:rPr>
                <w:rFonts w:ascii="Arial" w:hAnsi="Arial" w:cs="Arial"/>
                <w:b/>
                <w:sz w:val="18"/>
                <w:szCs w:val="18"/>
              </w:rPr>
              <w:t>ve </w:t>
            </w:r>
            <w:r w:rsidRPr="00CC5D9C">
              <w:rPr>
                <w:rFonts w:ascii="Arial" w:hAnsi="Arial" w:cs="Arial"/>
                <w:b/>
                <w:sz w:val="18"/>
                <w:szCs w:val="18"/>
              </w:rPr>
              <w:t xml:space="preserve">zkušební době </w:t>
            </w:r>
            <w:r w:rsidRPr="00CC5D9C">
              <w:rPr>
                <w:rFonts w:ascii="Arial" w:hAnsi="Arial" w:cs="Arial"/>
                <w:sz w:val="18"/>
                <w:szCs w:val="18"/>
              </w:rPr>
              <w:t>z jakéhokoliv důvodu nebo bez uvedení</w:t>
            </w:r>
            <w:r w:rsidR="00DE6A60">
              <w:rPr>
                <w:rFonts w:ascii="Arial" w:hAnsi="Arial" w:cs="Arial"/>
                <w:b/>
                <w:sz w:val="18"/>
                <w:szCs w:val="18"/>
              </w:rPr>
              <w:t xml:space="preserve"> </w:t>
            </w:r>
            <w:r w:rsidRPr="00CC5D9C">
              <w:rPr>
                <w:rFonts w:ascii="Arial" w:hAnsi="Arial" w:cs="Arial"/>
                <w:sz w:val="18"/>
                <w:szCs w:val="18"/>
              </w:rPr>
              <w:t>důvodu,</w:t>
            </w:r>
          </w:p>
        </w:tc>
        <w:tc>
          <w:tcPr>
            <w:tcW w:w="4248" w:type="dxa"/>
            <w:tcBorders>
              <w:top w:val="single" w:sz="4" w:space="0" w:color="auto"/>
              <w:left w:val="single" w:sz="4" w:space="0" w:color="auto"/>
              <w:bottom w:val="single" w:sz="4" w:space="0" w:color="auto"/>
              <w:right w:val="single" w:sz="4" w:space="0" w:color="auto"/>
            </w:tcBorders>
          </w:tcPr>
          <w:p w:rsidR="00CC5D9C" w:rsidRPr="00CC5D9C" w:rsidRDefault="00CC5D9C" w:rsidP="00CC5D9C">
            <w:pPr>
              <w:spacing w:before="40" w:after="40" w:line="264" w:lineRule="auto"/>
              <w:rPr>
                <w:rFonts w:ascii="Arial" w:hAnsi="Arial" w:cs="Arial"/>
                <w:sz w:val="18"/>
                <w:szCs w:val="18"/>
              </w:rPr>
            </w:pPr>
            <w:r w:rsidRPr="00CC5D9C">
              <w:rPr>
                <w:rFonts w:ascii="Arial" w:hAnsi="Arial" w:cs="Arial"/>
                <w:sz w:val="18"/>
                <w:szCs w:val="18"/>
              </w:rPr>
              <w:t>§ 47 a nasl. zák. č. 400/2009 Z.z</w:t>
            </w:r>
          </w:p>
          <w:p w:rsidR="00CC5D9C" w:rsidRPr="00CC5D9C" w:rsidRDefault="00CC5D9C" w:rsidP="00CC5D9C">
            <w:pPr>
              <w:spacing w:before="40" w:after="40" w:line="264" w:lineRule="auto"/>
              <w:rPr>
                <w:rFonts w:ascii="Arial" w:hAnsi="Arial" w:cs="Arial"/>
                <w:sz w:val="18"/>
                <w:szCs w:val="18"/>
              </w:rPr>
            </w:pPr>
            <w:r w:rsidRPr="00CC5D9C">
              <w:rPr>
                <w:rFonts w:ascii="Arial" w:hAnsi="Arial" w:cs="Arial"/>
                <w:sz w:val="18"/>
                <w:szCs w:val="18"/>
              </w:rPr>
              <w:t xml:space="preserve">Služobný úrad môže dať štátnemu zamestnancovi výpoveď, </w:t>
            </w:r>
          </w:p>
          <w:p w:rsidR="00CC5D9C" w:rsidRPr="00CC5D9C" w:rsidRDefault="00CC5D9C" w:rsidP="00DE6A60">
            <w:pPr>
              <w:pStyle w:val="Odstavecseseznamem"/>
              <w:numPr>
                <w:ilvl w:val="0"/>
                <w:numId w:val="24"/>
              </w:numPr>
              <w:spacing w:before="40" w:after="40" w:line="264" w:lineRule="auto"/>
              <w:ind w:left="28" w:firstLine="32"/>
              <w:rPr>
                <w:rFonts w:ascii="Arial" w:hAnsi="Arial" w:cs="Arial"/>
                <w:sz w:val="18"/>
                <w:szCs w:val="18"/>
              </w:rPr>
            </w:pPr>
            <w:r w:rsidRPr="00CC5D9C">
              <w:rPr>
                <w:rFonts w:ascii="Arial" w:hAnsi="Arial" w:cs="Arial"/>
                <w:b/>
                <w:sz w:val="18"/>
                <w:szCs w:val="18"/>
              </w:rPr>
              <w:t>ak sa zrušuje alebo zrušilo štátnozamestnanecké miesto</w:t>
            </w:r>
            <w:r w:rsidRPr="00CC5D9C">
              <w:rPr>
                <w:rFonts w:ascii="Arial" w:hAnsi="Arial" w:cs="Arial"/>
                <w:sz w:val="18"/>
                <w:szCs w:val="18"/>
              </w:rPr>
              <w:t>, služobný úrad nemá pre štátneho zamestnanca iné vhodné štátnozamestnanecké miesto alebo štátny zamestnanec n</w:t>
            </w:r>
            <w:r w:rsidR="00DE6A60">
              <w:rPr>
                <w:rFonts w:ascii="Arial" w:hAnsi="Arial" w:cs="Arial"/>
                <w:sz w:val="18"/>
                <w:szCs w:val="18"/>
              </w:rPr>
              <w:t>esúhlasí s trvalým preložením v </w:t>
            </w:r>
            <w:r w:rsidRPr="00CC5D9C">
              <w:rPr>
                <w:rFonts w:ascii="Arial" w:hAnsi="Arial" w:cs="Arial"/>
                <w:sz w:val="18"/>
                <w:szCs w:val="18"/>
              </w:rPr>
              <w:t>sl</w:t>
            </w:r>
            <w:r w:rsidR="00DE6A60">
              <w:rPr>
                <w:rFonts w:ascii="Arial" w:hAnsi="Arial" w:cs="Arial"/>
                <w:sz w:val="18"/>
                <w:szCs w:val="18"/>
              </w:rPr>
              <w:t>užobnom úrade a nedohodne sa so </w:t>
            </w:r>
            <w:r w:rsidRPr="00CC5D9C">
              <w:rPr>
                <w:rFonts w:ascii="Arial" w:hAnsi="Arial" w:cs="Arial"/>
                <w:sz w:val="18"/>
                <w:szCs w:val="18"/>
              </w:rPr>
              <w:t xml:space="preserve">služobným úradom inak, </w:t>
            </w:r>
          </w:p>
          <w:p w:rsidR="00CC5D9C" w:rsidRPr="00CC5D9C" w:rsidRDefault="00CC5D9C" w:rsidP="00CC5D9C">
            <w:pPr>
              <w:autoSpaceDE w:val="0"/>
              <w:autoSpaceDN w:val="0"/>
              <w:adjustRightInd w:val="0"/>
              <w:spacing w:before="40" w:after="40" w:line="264" w:lineRule="auto"/>
              <w:rPr>
                <w:rFonts w:ascii="Arial" w:hAnsi="Arial" w:cs="Arial"/>
                <w:color w:val="000000"/>
                <w:sz w:val="18"/>
                <w:szCs w:val="18"/>
              </w:rPr>
            </w:pPr>
          </w:p>
          <w:p w:rsidR="00CC5D9C" w:rsidRPr="00CC5D9C" w:rsidRDefault="00CC5D9C" w:rsidP="00CC5D9C">
            <w:pPr>
              <w:autoSpaceDE w:val="0"/>
              <w:autoSpaceDN w:val="0"/>
              <w:adjustRightInd w:val="0"/>
              <w:spacing w:before="40" w:after="40" w:line="264" w:lineRule="auto"/>
              <w:rPr>
                <w:rFonts w:ascii="Arial" w:hAnsi="Arial" w:cs="Arial"/>
                <w:sz w:val="18"/>
                <w:szCs w:val="18"/>
              </w:rPr>
            </w:pPr>
          </w:p>
        </w:tc>
        <w:tc>
          <w:tcPr>
            <w:tcW w:w="4251" w:type="dxa"/>
            <w:tcBorders>
              <w:top w:val="single" w:sz="4" w:space="0" w:color="auto"/>
              <w:left w:val="single" w:sz="4" w:space="0" w:color="auto"/>
              <w:bottom w:val="single" w:sz="4" w:space="0" w:color="auto"/>
              <w:right w:val="single" w:sz="4" w:space="0" w:color="auto"/>
            </w:tcBorders>
            <w:hideMark/>
          </w:tcPr>
          <w:p w:rsidR="00CC5D9C" w:rsidRPr="00CC5D9C" w:rsidRDefault="00CC5D9C" w:rsidP="00CC5D9C">
            <w:pPr>
              <w:spacing w:before="40" w:after="40" w:line="264" w:lineRule="auto"/>
              <w:rPr>
                <w:rFonts w:ascii="Arial" w:hAnsi="Arial" w:cs="Arial"/>
                <w:sz w:val="18"/>
                <w:szCs w:val="18"/>
              </w:rPr>
            </w:pPr>
            <w:r w:rsidRPr="00CC5D9C">
              <w:rPr>
                <w:rFonts w:ascii="Arial" w:hAnsi="Arial" w:cs="Arial"/>
                <w:sz w:val="18"/>
                <w:szCs w:val="18"/>
              </w:rPr>
              <w:t>ČR na rozdíl od SR nezná skončení pracovního poměru vzhl</w:t>
            </w:r>
            <w:r w:rsidR="00DE6A60">
              <w:rPr>
                <w:rFonts w:ascii="Arial" w:hAnsi="Arial" w:cs="Arial"/>
                <w:sz w:val="18"/>
                <w:szCs w:val="18"/>
              </w:rPr>
              <w:t>edem ke zrušení místa (pouze ve </w:t>
            </w:r>
            <w:r w:rsidRPr="00CC5D9C">
              <w:rPr>
                <w:rFonts w:ascii="Arial" w:hAnsi="Arial" w:cs="Arial"/>
                <w:sz w:val="18"/>
                <w:szCs w:val="18"/>
              </w:rPr>
              <w:t xml:space="preserve">zkušební době). V ČR následuje zařazení mimo službu po dobu 6 měsíců a až následně může být dána zaměstnanci výpověď.  </w:t>
            </w:r>
          </w:p>
        </w:tc>
      </w:tr>
      <w:tr w:rsidR="00CC5D9C" w:rsidRPr="00CC5D9C" w:rsidTr="00CC5D9C">
        <w:tc>
          <w:tcPr>
            <w:tcW w:w="1568" w:type="dxa"/>
            <w:tcBorders>
              <w:top w:val="single" w:sz="4" w:space="0" w:color="auto"/>
              <w:left w:val="single" w:sz="4" w:space="0" w:color="auto"/>
              <w:bottom w:val="single" w:sz="4" w:space="0" w:color="auto"/>
              <w:right w:val="single" w:sz="4" w:space="0" w:color="auto"/>
            </w:tcBorders>
            <w:hideMark/>
          </w:tcPr>
          <w:p w:rsidR="00CC5D9C" w:rsidRPr="00CC5D9C" w:rsidRDefault="00CC5D9C" w:rsidP="00CC5D9C">
            <w:pPr>
              <w:spacing w:before="40" w:after="40" w:line="264" w:lineRule="auto"/>
              <w:rPr>
                <w:rFonts w:ascii="Arial" w:hAnsi="Arial" w:cs="Arial"/>
                <w:b/>
                <w:sz w:val="18"/>
                <w:szCs w:val="18"/>
              </w:rPr>
            </w:pPr>
            <w:r w:rsidRPr="00CC5D9C">
              <w:rPr>
                <w:rFonts w:ascii="Arial" w:hAnsi="Arial" w:cs="Arial"/>
                <w:b/>
                <w:sz w:val="18"/>
                <w:szCs w:val="18"/>
              </w:rPr>
              <w:t>Důsledky negativního hodnocení zaměstnance hodnocení</w:t>
            </w:r>
          </w:p>
        </w:tc>
        <w:tc>
          <w:tcPr>
            <w:tcW w:w="4216" w:type="dxa"/>
            <w:tcBorders>
              <w:top w:val="single" w:sz="4" w:space="0" w:color="auto"/>
              <w:left w:val="single" w:sz="4" w:space="0" w:color="auto"/>
              <w:bottom w:val="single" w:sz="4" w:space="0" w:color="auto"/>
              <w:right w:val="single" w:sz="4" w:space="0" w:color="auto"/>
            </w:tcBorders>
          </w:tcPr>
          <w:p w:rsidR="00CC5D9C" w:rsidRPr="00CC5D9C" w:rsidRDefault="00CC5D9C" w:rsidP="00CC5D9C">
            <w:pPr>
              <w:spacing w:before="40" w:after="40" w:line="264" w:lineRule="auto"/>
              <w:rPr>
                <w:rFonts w:ascii="Arial" w:hAnsi="Arial" w:cs="Arial"/>
                <w:sz w:val="18"/>
                <w:szCs w:val="18"/>
              </w:rPr>
            </w:pPr>
            <w:r w:rsidRPr="00CC5D9C">
              <w:rPr>
                <w:rFonts w:ascii="Arial" w:hAnsi="Arial" w:cs="Arial"/>
                <w:sz w:val="18"/>
                <w:szCs w:val="18"/>
              </w:rPr>
              <w:t>Zaměstnanci může být ukončen služební poměr, pokud nevyhoví ve dvou po sobě následujících hodnoceních.</w:t>
            </w:r>
          </w:p>
          <w:p w:rsidR="00CC5D9C" w:rsidRPr="00CC5D9C" w:rsidRDefault="00CC5D9C" w:rsidP="00CC5D9C">
            <w:pPr>
              <w:spacing w:before="40" w:after="40" w:line="264" w:lineRule="auto"/>
              <w:rPr>
                <w:rFonts w:ascii="Arial" w:hAnsi="Arial" w:cs="Arial"/>
                <w:sz w:val="18"/>
                <w:szCs w:val="18"/>
              </w:rPr>
            </w:pPr>
          </w:p>
        </w:tc>
        <w:tc>
          <w:tcPr>
            <w:tcW w:w="4248" w:type="dxa"/>
            <w:tcBorders>
              <w:top w:val="single" w:sz="4" w:space="0" w:color="auto"/>
              <w:left w:val="single" w:sz="4" w:space="0" w:color="auto"/>
              <w:bottom w:val="single" w:sz="4" w:space="0" w:color="auto"/>
              <w:right w:val="single" w:sz="4" w:space="0" w:color="auto"/>
            </w:tcBorders>
          </w:tcPr>
          <w:p w:rsidR="00CC5D9C" w:rsidRPr="00CC5D9C" w:rsidRDefault="00CC5D9C" w:rsidP="00CC5D9C">
            <w:pPr>
              <w:spacing w:before="40" w:after="40" w:line="264" w:lineRule="auto"/>
              <w:rPr>
                <w:rFonts w:ascii="Arial" w:hAnsi="Arial" w:cs="Arial"/>
                <w:sz w:val="18"/>
                <w:szCs w:val="18"/>
              </w:rPr>
            </w:pPr>
            <w:r w:rsidRPr="00CC5D9C">
              <w:rPr>
                <w:rFonts w:ascii="Arial" w:hAnsi="Arial" w:cs="Arial"/>
                <w:color w:val="000000"/>
                <w:sz w:val="18"/>
                <w:szCs w:val="18"/>
              </w:rPr>
              <w:t>§ 47</w:t>
            </w:r>
            <w:r w:rsidRPr="00CC5D9C">
              <w:rPr>
                <w:rFonts w:ascii="Arial" w:hAnsi="Arial" w:cs="Arial"/>
                <w:sz w:val="18"/>
                <w:szCs w:val="18"/>
              </w:rPr>
              <w:t xml:space="preserve"> zák. č. 400/2009 Z.z</w:t>
            </w:r>
            <w:r w:rsidRPr="00CC5D9C">
              <w:rPr>
                <w:rFonts w:ascii="Arial" w:hAnsi="Arial" w:cs="Arial"/>
                <w:color w:val="000000"/>
                <w:sz w:val="18"/>
                <w:szCs w:val="18"/>
              </w:rPr>
              <w:t>:</w:t>
            </w:r>
          </w:p>
          <w:p w:rsidR="00CC5D9C" w:rsidRPr="00CC5D9C" w:rsidRDefault="00CC5D9C" w:rsidP="00CC5D9C">
            <w:pPr>
              <w:autoSpaceDE w:val="0"/>
              <w:autoSpaceDN w:val="0"/>
              <w:adjustRightInd w:val="0"/>
              <w:spacing w:before="40" w:after="40" w:line="264" w:lineRule="auto"/>
              <w:rPr>
                <w:rFonts w:ascii="Arial" w:hAnsi="Arial" w:cs="Arial"/>
                <w:color w:val="000000"/>
                <w:sz w:val="18"/>
                <w:szCs w:val="18"/>
              </w:rPr>
            </w:pPr>
            <w:r w:rsidRPr="00CC5D9C">
              <w:rPr>
                <w:rFonts w:ascii="Arial" w:hAnsi="Arial" w:cs="Arial"/>
                <w:color w:val="000000"/>
                <w:sz w:val="18"/>
                <w:szCs w:val="18"/>
              </w:rPr>
              <w:t>Služobný úrad môže dať štátnemu zamestnancovi výpoveď, ak</w:t>
            </w:r>
          </w:p>
          <w:p w:rsidR="00CC5D9C" w:rsidRPr="00CC5D9C" w:rsidRDefault="00CC5D9C" w:rsidP="00CC5D9C">
            <w:pPr>
              <w:autoSpaceDE w:val="0"/>
              <w:autoSpaceDN w:val="0"/>
              <w:adjustRightInd w:val="0"/>
              <w:spacing w:before="40" w:after="40" w:line="264" w:lineRule="auto"/>
              <w:rPr>
                <w:rFonts w:ascii="Arial" w:hAnsi="Arial" w:cs="Arial"/>
                <w:color w:val="000000"/>
                <w:sz w:val="18"/>
                <w:szCs w:val="18"/>
              </w:rPr>
            </w:pPr>
            <w:r w:rsidRPr="00CC5D9C">
              <w:rPr>
                <w:rFonts w:ascii="Arial" w:hAnsi="Arial" w:cs="Arial"/>
                <w:color w:val="000000"/>
                <w:sz w:val="18"/>
                <w:szCs w:val="18"/>
              </w:rPr>
              <w:t>g) štátny zamestnanec neuspokojivo plní služobné úlohy a služobný úrad ho v posledných šiestich mesiacoch písomne vyzval na odstránenie nedosta</w:t>
            </w:r>
            <w:r w:rsidR="00DE6A60">
              <w:rPr>
                <w:rFonts w:ascii="Arial" w:hAnsi="Arial" w:cs="Arial"/>
                <w:color w:val="000000"/>
                <w:sz w:val="18"/>
                <w:szCs w:val="18"/>
              </w:rPr>
              <w:t>tkov a štátny zamestnanec ich v </w:t>
            </w:r>
            <w:r w:rsidRPr="00CC5D9C">
              <w:rPr>
                <w:rFonts w:ascii="Arial" w:hAnsi="Arial" w:cs="Arial"/>
                <w:color w:val="000000"/>
                <w:sz w:val="18"/>
                <w:szCs w:val="18"/>
              </w:rPr>
              <w:t xml:space="preserve">primerane určenej lehote neodstránil, </w:t>
            </w:r>
          </w:p>
          <w:p w:rsidR="00CC5D9C" w:rsidRPr="00CC5D9C" w:rsidRDefault="00CC5D9C" w:rsidP="00CC5D9C">
            <w:pPr>
              <w:autoSpaceDE w:val="0"/>
              <w:autoSpaceDN w:val="0"/>
              <w:adjustRightInd w:val="0"/>
              <w:spacing w:before="40" w:after="40" w:line="264" w:lineRule="auto"/>
              <w:rPr>
                <w:rFonts w:ascii="Arial" w:hAnsi="Arial" w:cs="Arial"/>
                <w:color w:val="000000"/>
                <w:sz w:val="18"/>
                <w:szCs w:val="18"/>
              </w:rPr>
            </w:pPr>
            <w:r w:rsidRPr="00CC5D9C">
              <w:rPr>
                <w:rFonts w:ascii="Arial" w:hAnsi="Arial" w:cs="Arial"/>
                <w:color w:val="000000"/>
                <w:sz w:val="18"/>
                <w:szCs w:val="18"/>
              </w:rPr>
              <w:t>h) štátny zamestnanec opakovane porušil služobnú disci</w:t>
            </w:r>
            <w:r w:rsidR="00DE6A60">
              <w:rPr>
                <w:rFonts w:ascii="Arial" w:hAnsi="Arial" w:cs="Arial"/>
                <w:color w:val="000000"/>
                <w:sz w:val="18"/>
                <w:szCs w:val="18"/>
              </w:rPr>
              <w:t>plínu menej závažným spôsobom a </w:t>
            </w:r>
            <w:r w:rsidRPr="00CC5D9C">
              <w:rPr>
                <w:rFonts w:ascii="Arial" w:hAnsi="Arial" w:cs="Arial"/>
                <w:color w:val="000000"/>
                <w:sz w:val="18"/>
                <w:szCs w:val="18"/>
              </w:rPr>
              <w:t xml:space="preserve">bol v posledných šiestich mesiacoch v súvislosti s porušením sluţobnej disciplíny písomne upozornený na moţnosť skončenia štátnozamestnaneckého pomeru výpoveďou, </w:t>
            </w:r>
          </w:p>
          <w:p w:rsidR="00CC5D9C" w:rsidRPr="00CC5D9C" w:rsidRDefault="00CC5D9C" w:rsidP="00CC5D9C">
            <w:pPr>
              <w:spacing w:before="40" w:after="40" w:line="264" w:lineRule="auto"/>
              <w:rPr>
                <w:rFonts w:ascii="Arial" w:hAnsi="Arial" w:cs="Arial"/>
                <w:sz w:val="18"/>
                <w:szCs w:val="18"/>
              </w:rPr>
            </w:pPr>
          </w:p>
        </w:tc>
        <w:tc>
          <w:tcPr>
            <w:tcW w:w="4251" w:type="dxa"/>
            <w:tcBorders>
              <w:top w:val="single" w:sz="4" w:space="0" w:color="auto"/>
              <w:left w:val="single" w:sz="4" w:space="0" w:color="auto"/>
              <w:bottom w:val="single" w:sz="4" w:space="0" w:color="auto"/>
              <w:right w:val="single" w:sz="4" w:space="0" w:color="auto"/>
            </w:tcBorders>
          </w:tcPr>
          <w:p w:rsidR="00CC5D9C" w:rsidRPr="00CC5D9C" w:rsidRDefault="00CC5D9C" w:rsidP="00CC5D9C">
            <w:pPr>
              <w:spacing w:before="40" w:after="40" w:line="264" w:lineRule="auto"/>
              <w:rPr>
                <w:rFonts w:ascii="Arial" w:hAnsi="Arial" w:cs="Arial"/>
                <w:sz w:val="18"/>
                <w:szCs w:val="18"/>
              </w:rPr>
            </w:pPr>
            <w:r w:rsidRPr="00CC5D9C">
              <w:rPr>
                <w:rFonts w:ascii="Arial" w:hAnsi="Arial" w:cs="Arial"/>
                <w:sz w:val="18"/>
                <w:szCs w:val="18"/>
              </w:rPr>
              <w:t>V ČR bude probíhat pravidelné služební hodnocení státních zaměstnanců z hlediska toho, jak vykonávají službu (provádí ho přímo nadřízený představený v součinnosti se služebním orgánem, tj. v ministerstvu se státním tajemníkem)</w:t>
            </w:r>
          </w:p>
          <w:p w:rsidR="00CC5D9C" w:rsidRPr="00CC5D9C" w:rsidRDefault="00CC5D9C" w:rsidP="00DE6A60">
            <w:pPr>
              <w:numPr>
                <w:ilvl w:val="0"/>
                <w:numId w:val="25"/>
              </w:numPr>
              <w:spacing w:before="40" w:after="40" w:line="264" w:lineRule="auto"/>
              <w:ind w:left="316" w:hanging="283"/>
              <w:rPr>
                <w:rFonts w:ascii="Arial" w:hAnsi="Arial" w:cs="Arial"/>
                <w:sz w:val="18"/>
                <w:szCs w:val="18"/>
              </w:rPr>
            </w:pPr>
            <w:r w:rsidRPr="00CC5D9C">
              <w:rPr>
                <w:rFonts w:ascii="Arial" w:hAnsi="Arial" w:cs="Arial"/>
                <w:sz w:val="18"/>
                <w:szCs w:val="18"/>
              </w:rPr>
              <w:t>možnost stížnosti proti služebnímu hodnocení ze strany hodnoceného státního zaměstnance</w:t>
            </w:r>
          </w:p>
          <w:p w:rsidR="00CC5D9C" w:rsidRPr="00CC5D9C" w:rsidRDefault="00CC5D9C" w:rsidP="00DE6A60">
            <w:pPr>
              <w:numPr>
                <w:ilvl w:val="0"/>
                <w:numId w:val="25"/>
              </w:numPr>
              <w:spacing w:before="40" w:after="40" w:line="264" w:lineRule="auto"/>
              <w:ind w:left="316" w:hanging="283"/>
              <w:rPr>
                <w:rFonts w:ascii="Arial" w:hAnsi="Arial" w:cs="Arial"/>
                <w:sz w:val="18"/>
                <w:szCs w:val="18"/>
              </w:rPr>
            </w:pPr>
            <w:r w:rsidRPr="00CC5D9C">
              <w:rPr>
                <w:rFonts w:ascii="Arial" w:hAnsi="Arial" w:cs="Arial"/>
                <w:sz w:val="18"/>
                <w:szCs w:val="18"/>
              </w:rPr>
              <w:t>pokud bude mít služební hodnocení negativní dopad na plat či na služební poměr (odvolání představeného, skončení služebního poměru), vede se o tom vždy povinné dvojinstanční řízení, součástí přezkumu je v odvolacím řízení i samotné služební hodnocení, možnost soudního přezkumu ve správn</w:t>
            </w:r>
            <w:r w:rsidR="00DE6A60">
              <w:rPr>
                <w:rFonts w:ascii="Arial" w:hAnsi="Arial" w:cs="Arial"/>
                <w:sz w:val="18"/>
                <w:szCs w:val="18"/>
              </w:rPr>
              <w:t>ím soudnictví nezávislým soudem.</w:t>
            </w:r>
            <w:r w:rsidRPr="00CC5D9C">
              <w:rPr>
                <w:rFonts w:ascii="Arial" w:hAnsi="Arial" w:cs="Arial"/>
                <w:sz w:val="18"/>
                <w:szCs w:val="18"/>
              </w:rPr>
              <w:t xml:space="preserve"> </w:t>
            </w:r>
          </w:p>
          <w:p w:rsidR="00A52B4C" w:rsidRDefault="00A52B4C" w:rsidP="00A52B4C">
            <w:pPr>
              <w:spacing w:line="240" w:lineRule="auto"/>
              <w:rPr>
                <w:rFonts w:ascii="Arial" w:hAnsi="Arial" w:cs="Arial"/>
                <w:sz w:val="18"/>
                <w:szCs w:val="18"/>
              </w:rPr>
            </w:pPr>
            <w:r w:rsidRPr="00A52B4C">
              <w:rPr>
                <w:rFonts w:ascii="Arial" w:hAnsi="Arial" w:cs="Arial"/>
                <w:sz w:val="18"/>
                <w:szCs w:val="18"/>
              </w:rPr>
              <w:t>Na Slovensku možnost pro ukončení služebního poměru z důvodu „neuspokojivých výsledků“ je formulována velmi</w:t>
            </w:r>
            <w:r w:rsidR="0091545F">
              <w:rPr>
                <w:rFonts w:ascii="Arial" w:hAnsi="Arial" w:cs="Arial"/>
                <w:sz w:val="18"/>
                <w:szCs w:val="18"/>
              </w:rPr>
              <w:t xml:space="preserve"> vágně a dává široký prostor ke </w:t>
            </w:r>
            <w:r w:rsidRPr="00A52B4C">
              <w:rPr>
                <w:rFonts w:ascii="Arial" w:hAnsi="Arial" w:cs="Arial"/>
                <w:sz w:val="18"/>
                <w:szCs w:val="18"/>
              </w:rPr>
              <w:t>zneužití.</w:t>
            </w:r>
          </w:p>
          <w:p w:rsidR="00CC5D9C" w:rsidRPr="00CC5D9C" w:rsidRDefault="00CC5D9C" w:rsidP="00DE6A60">
            <w:pPr>
              <w:spacing w:before="40" w:after="40" w:line="264" w:lineRule="auto"/>
              <w:rPr>
                <w:rFonts w:ascii="Arial" w:hAnsi="Arial" w:cs="Arial"/>
                <w:sz w:val="18"/>
                <w:szCs w:val="18"/>
              </w:rPr>
            </w:pPr>
          </w:p>
        </w:tc>
      </w:tr>
      <w:tr w:rsidR="00CC5D9C" w:rsidRPr="00CC5D9C" w:rsidTr="00CC5D9C">
        <w:tc>
          <w:tcPr>
            <w:tcW w:w="1568" w:type="dxa"/>
            <w:tcBorders>
              <w:top w:val="single" w:sz="4" w:space="0" w:color="auto"/>
              <w:left w:val="single" w:sz="4" w:space="0" w:color="auto"/>
              <w:bottom w:val="single" w:sz="4" w:space="0" w:color="auto"/>
              <w:right w:val="single" w:sz="4" w:space="0" w:color="auto"/>
            </w:tcBorders>
            <w:hideMark/>
          </w:tcPr>
          <w:p w:rsidR="00CC5D9C" w:rsidRPr="00CC5D9C" w:rsidRDefault="00CC5D9C" w:rsidP="00DE6A60">
            <w:pPr>
              <w:keepNext/>
              <w:spacing w:before="40" w:after="40" w:line="264" w:lineRule="auto"/>
              <w:rPr>
                <w:rFonts w:ascii="Arial" w:hAnsi="Arial" w:cs="Arial"/>
                <w:b/>
                <w:sz w:val="18"/>
                <w:szCs w:val="18"/>
              </w:rPr>
            </w:pPr>
            <w:r w:rsidRPr="00CC5D9C">
              <w:rPr>
                <w:rFonts w:ascii="Arial" w:hAnsi="Arial" w:cs="Arial"/>
                <w:b/>
                <w:sz w:val="18"/>
                <w:szCs w:val="18"/>
              </w:rPr>
              <w:lastRenderedPageBreak/>
              <w:t xml:space="preserve">Odvolání vedoucího zaměstnance </w:t>
            </w:r>
          </w:p>
        </w:tc>
        <w:tc>
          <w:tcPr>
            <w:tcW w:w="4216" w:type="dxa"/>
            <w:tcBorders>
              <w:top w:val="single" w:sz="4" w:space="0" w:color="auto"/>
              <w:left w:val="single" w:sz="4" w:space="0" w:color="auto"/>
              <w:bottom w:val="single" w:sz="4" w:space="0" w:color="auto"/>
              <w:right w:val="single" w:sz="4" w:space="0" w:color="auto"/>
            </w:tcBorders>
            <w:hideMark/>
          </w:tcPr>
          <w:p w:rsidR="00CC5D9C" w:rsidRPr="00CC5D9C" w:rsidRDefault="00DE6A60" w:rsidP="00DE6A60">
            <w:pPr>
              <w:keepNext/>
              <w:spacing w:before="40" w:line="264" w:lineRule="auto"/>
              <w:rPr>
                <w:rFonts w:ascii="Arial" w:hAnsi="Arial" w:cs="Arial"/>
                <w:sz w:val="18"/>
                <w:szCs w:val="18"/>
              </w:rPr>
            </w:pPr>
            <w:r>
              <w:rPr>
                <w:rFonts w:ascii="Arial" w:hAnsi="Arial" w:cs="Arial"/>
                <w:sz w:val="18"/>
                <w:szCs w:val="18"/>
              </w:rPr>
              <w:t xml:space="preserve">§60 </w:t>
            </w:r>
            <w:r w:rsidR="00CC5D9C" w:rsidRPr="00CC5D9C">
              <w:rPr>
                <w:rFonts w:ascii="Arial" w:hAnsi="Arial" w:cs="Arial"/>
                <w:sz w:val="18"/>
                <w:szCs w:val="18"/>
              </w:rPr>
              <w:t>Odvolání ze služebního místa představeného</w:t>
            </w:r>
          </w:p>
          <w:p w:rsidR="00CC5D9C" w:rsidRPr="00CC5D9C" w:rsidRDefault="00CC5D9C" w:rsidP="00DE6A60">
            <w:pPr>
              <w:keepNext/>
              <w:spacing w:before="0" w:line="264" w:lineRule="auto"/>
              <w:rPr>
                <w:rFonts w:ascii="Arial" w:hAnsi="Arial" w:cs="Arial"/>
                <w:sz w:val="18"/>
                <w:szCs w:val="18"/>
              </w:rPr>
            </w:pPr>
            <w:r w:rsidRPr="00CC5D9C">
              <w:rPr>
                <w:rFonts w:ascii="Arial" w:hAnsi="Arial" w:cs="Arial"/>
                <w:sz w:val="18"/>
                <w:szCs w:val="18"/>
              </w:rPr>
              <w:t>(1) Ten, kdo představeného na dané služební</w:t>
            </w:r>
            <w:r w:rsidR="00DE6A60">
              <w:rPr>
                <w:rFonts w:ascii="Arial" w:hAnsi="Arial" w:cs="Arial"/>
                <w:sz w:val="18"/>
                <w:szCs w:val="18"/>
              </w:rPr>
              <w:t xml:space="preserve"> </w:t>
            </w:r>
            <w:r w:rsidRPr="00CC5D9C">
              <w:rPr>
                <w:rFonts w:ascii="Arial" w:hAnsi="Arial" w:cs="Arial"/>
                <w:sz w:val="18"/>
                <w:szCs w:val="18"/>
              </w:rPr>
              <w:t>místo jmenoval, jej z tohoto služebního místa odvolá, jen pokud</w:t>
            </w:r>
          </w:p>
          <w:p w:rsidR="00CC5D9C" w:rsidRPr="00CC5D9C" w:rsidRDefault="00DE6A60" w:rsidP="00DE6A60">
            <w:pPr>
              <w:keepNext/>
              <w:spacing w:before="0" w:line="264" w:lineRule="auto"/>
              <w:rPr>
                <w:rFonts w:ascii="Arial" w:hAnsi="Arial" w:cs="Arial"/>
                <w:sz w:val="18"/>
                <w:szCs w:val="18"/>
              </w:rPr>
            </w:pPr>
            <w:r>
              <w:rPr>
                <w:rFonts w:ascii="Arial" w:hAnsi="Arial" w:cs="Arial"/>
                <w:sz w:val="18"/>
                <w:szCs w:val="18"/>
              </w:rPr>
              <w:t xml:space="preserve">a) </w:t>
            </w:r>
            <w:r w:rsidR="00CC5D9C" w:rsidRPr="00CC5D9C">
              <w:rPr>
                <w:rFonts w:ascii="Arial" w:hAnsi="Arial" w:cs="Arial"/>
                <w:sz w:val="18"/>
                <w:szCs w:val="18"/>
              </w:rPr>
              <w:t>došlo ke zrušení služebního místa představeného</w:t>
            </w:r>
            <w:r>
              <w:rPr>
                <w:rFonts w:ascii="Arial" w:hAnsi="Arial" w:cs="Arial"/>
                <w:sz w:val="18"/>
                <w:szCs w:val="18"/>
              </w:rPr>
              <w:t>,</w:t>
            </w:r>
          </w:p>
          <w:p w:rsidR="00CC5D9C" w:rsidRPr="00CC5D9C" w:rsidRDefault="00CC5D9C" w:rsidP="00DE6A60">
            <w:pPr>
              <w:keepNext/>
              <w:spacing w:before="0" w:line="264" w:lineRule="auto"/>
              <w:rPr>
                <w:rFonts w:ascii="Arial" w:hAnsi="Arial" w:cs="Arial"/>
                <w:sz w:val="18"/>
                <w:szCs w:val="18"/>
              </w:rPr>
            </w:pPr>
            <w:r w:rsidRPr="00CC5D9C">
              <w:rPr>
                <w:rFonts w:ascii="Arial" w:hAnsi="Arial" w:cs="Arial"/>
                <w:sz w:val="18"/>
                <w:szCs w:val="18"/>
              </w:rPr>
              <w:t>b) služební hodnocení obsahuje závěr o tom, že ve službě dosahoval nevyhovujících výsledků,</w:t>
            </w:r>
          </w:p>
          <w:p w:rsidR="00CC5D9C" w:rsidRPr="00CC5D9C" w:rsidRDefault="00CC5D9C" w:rsidP="00DE6A60">
            <w:pPr>
              <w:keepNext/>
              <w:spacing w:before="0" w:line="264" w:lineRule="auto"/>
              <w:rPr>
                <w:rFonts w:ascii="Arial" w:hAnsi="Arial" w:cs="Arial"/>
                <w:sz w:val="18"/>
                <w:szCs w:val="18"/>
              </w:rPr>
            </w:pPr>
            <w:r w:rsidRPr="00CC5D9C">
              <w:rPr>
                <w:rFonts w:ascii="Arial" w:hAnsi="Arial" w:cs="Arial"/>
                <w:sz w:val="18"/>
                <w:szCs w:val="18"/>
              </w:rPr>
              <w:t>c) přestal splňovat předpoklad zdravotní způsobilosti,</w:t>
            </w:r>
          </w:p>
          <w:p w:rsidR="00CC5D9C" w:rsidRPr="00CC5D9C" w:rsidRDefault="00CC5D9C" w:rsidP="00DE6A60">
            <w:pPr>
              <w:keepNext/>
              <w:spacing w:before="0" w:line="264" w:lineRule="auto"/>
              <w:rPr>
                <w:rFonts w:ascii="Arial" w:hAnsi="Arial" w:cs="Arial"/>
                <w:sz w:val="18"/>
                <w:szCs w:val="18"/>
              </w:rPr>
            </w:pPr>
            <w:r w:rsidRPr="00CC5D9C">
              <w:rPr>
                <w:rFonts w:ascii="Arial" w:hAnsi="Arial" w:cs="Arial"/>
                <w:sz w:val="18"/>
                <w:szCs w:val="18"/>
              </w:rPr>
              <w:t>d) přestal sp</w:t>
            </w:r>
            <w:r w:rsidR="00DE6A60">
              <w:rPr>
                <w:rFonts w:ascii="Arial" w:hAnsi="Arial" w:cs="Arial"/>
                <w:sz w:val="18"/>
                <w:szCs w:val="18"/>
              </w:rPr>
              <w:t>lňovat požadavek spočívající ve </w:t>
            </w:r>
            <w:r w:rsidRPr="00CC5D9C">
              <w:rPr>
                <w:rFonts w:ascii="Arial" w:hAnsi="Arial" w:cs="Arial"/>
                <w:sz w:val="18"/>
                <w:szCs w:val="18"/>
              </w:rPr>
              <w:t>způsobilosti seznamovat se s utajovanými informacemi, nebo</w:t>
            </w:r>
          </w:p>
          <w:p w:rsidR="00CC5D9C" w:rsidRPr="00CC5D9C" w:rsidRDefault="00CC5D9C" w:rsidP="00DE6A60">
            <w:pPr>
              <w:keepNext/>
              <w:spacing w:before="40" w:after="40" w:line="264" w:lineRule="auto"/>
              <w:rPr>
                <w:rFonts w:ascii="Arial" w:hAnsi="Arial" w:cs="Arial"/>
                <w:sz w:val="18"/>
                <w:szCs w:val="18"/>
              </w:rPr>
            </w:pPr>
            <w:r w:rsidRPr="00CC5D9C">
              <w:rPr>
                <w:rFonts w:ascii="Arial" w:hAnsi="Arial" w:cs="Arial"/>
                <w:sz w:val="18"/>
                <w:szCs w:val="18"/>
              </w:rPr>
              <w:t>e) byl zproštěn výkonu služby z důvodu vazby.</w:t>
            </w:r>
          </w:p>
        </w:tc>
        <w:tc>
          <w:tcPr>
            <w:tcW w:w="4248" w:type="dxa"/>
            <w:tcBorders>
              <w:top w:val="single" w:sz="4" w:space="0" w:color="auto"/>
              <w:left w:val="single" w:sz="4" w:space="0" w:color="auto"/>
              <w:bottom w:val="single" w:sz="4" w:space="0" w:color="auto"/>
              <w:right w:val="single" w:sz="4" w:space="0" w:color="auto"/>
            </w:tcBorders>
          </w:tcPr>
          <w:p w:rsidR="00CC5D9C" w:rsidRPr="00CC5D9C" w:rsidRDefault="00CC5D9C" w:rsidP="00DE6A60">
            <w:pPr>
              <w:keepNext/>
              <w:spacing w:before="40" w:after="40" w:line="264" w:lineRule="auto"/>
              <w:rPr>
                <w:rFonts w:ascii="Arial" w:hAnsi="Arial" w:cs="Arial"/>
                <w:sz w:val="18"/>
                <w:szCs w:val="18"/>
              </w:rPr>
            </w:pPr>
            <w:r w:rsidRPr="00CC5D9C">
              <w:rPr>
                <w:rFonts w:ascii="Arial" w:hAnsi="Arial" w:cs="Arial"/>
                <w:sz w:val="18"/>
                <w:szCs w:val="18"/>
              </w:rPr>
              <w:t>§ 37  a nasl. zák. č. 400/2009 Z.z</w:t>
            </w:r>
          </w:p>
          <w:p w:rsidR="00CC5D9C" w:rsidRPr="00CC5D9C" w:rsidRDefault="00CC5D9C" w:rsidP="00DE6A60">
            <w:pPr>
              <w:keepNext/>
              <w:spacing w:before="40" w:after="40" w:line="264" w:lineRule="auto"/>
              <w:rPr>
                <w:rFonts w:ascii="Arial" w:hAnsi="Arial" w:cs="Arial"/>
                <w:sz w:val="18"/>
                <w:szCs w:val="18"/>
              </w:rPr>
            </w:pPr>
            <w:r w:rsidRPr="00CC5D9C">
              <w:rPr>
                <w:rFonts w:ascii="Arial" w:hAnsi="Arial" w:cs="Arial"/>
                <w:sz w:val="18"/>
                <w:szCs w:val="18"/>
              </w:rPr>
              <w:t xml:space="preserve"> – odvolání vedoucího zaměstnance</w:t>
            </w:r>
          </w:p>
          <w:p w:rsidR="00CC5D9C" w:rsidRPr="00CC5D9C" w:rsidRDefault="00CC5D9C" w:rsidP="00DE6A60">
            <w:pPr>
              <w:keepNext/>
              <w:spacing w:before="40" w:after="40" w:line="264" w:lineRule="auto"/>
              <w:rPr>
                <w:rFonts w:ascii="Arial" w:hAnsi="Arial" w:cs="Arial"/>
                <w:sz w:val="18"/>
                <w:szCs w:val="18"/>
              </w:rPr>
            </w:pPr>
            <w:r w:rsidRPr="00CC5D9C">
              <w:rPr>
                <w:rFonts w:ascii="Arial" w:hAnsi="Arial" w:cs="Arial"/>
                <w:b/>
                <w:sz w:val="18"/>
                <w:szCs w:val="18"/>
              </w:rPr>
              <w:t>Vedúci úradu môže so súhlasom štatutárneho orgánu odvolať z funkcie vedúceho zamestnanca, ktorého pr</w:t>
            </w:r>
            <w:r w:rsidR="00DE6A60">
              <w:rPr>
                <w:rFonts w:ascii="Arial" w:hAnsi="Arial" w:cs="Arial"/>
                <w:b/>
                <w:sz w:val="18"/>
                <w:szCs w:val="18"/>
              </w:rPr>
              <w:t>iamo riadi, aj bez </w:t>
            </w:r>
            <w:r w:rsidRPr="00CC5D9C">
              <w:rPr>
                <w:rFonts w:ascii="Arial" w:hAnsi="Arial" w:cs="Arial"/>
                <w:b/>
                <w:sz w:val="18"/>
                <w:szCs w:val="18"/>
              </w:rPr>
              <w:t>uvedenia dôvodu</w:t>
            </w:r>
            <w:r w:rsidRPr="00CC5D9C">
              <w:rPr>
                <w:rFonts w:ascii="Arial" w:hAnsi="Arial" w:cs="Arial"/>
                <w:sz w:val="18"/>
                <w:szCs w:val="18"/>
              </w:rPr>
              <w:t>, ak osobitný predpis neustanovuje inak.</w:t>
            </w:r>
          </w:p>
          <w:p w:rsidR="00CC5D9C" w:rsidRPr="00CC5D9C" w:rsidRDefault="00CC5D9C" w:rsidP="00DE6A60">
            <w:pPr>
              <w:keepNext/>
              <w:spacing w:before="40" w:after="40" w:line="264" w:lineRule="auto"/>
              <w:rPr>
                <w:rFonts w:ascii="Arial" w:hAnsi="Arial" w:cs="Arial"/>
                <w:sz w:val="18"/>
                <w:szCs w:val="18"/>
              </w:rPr>
            </w:pPr>
          </w:p>
        </w:tc>
        <w:tc>
          <w:tcPr>
            <w:tcW w:w="4251" w:type="dxa"/>
            <w:tcBorders>
              <w:top w:val="single" w:sz="4" w:space="0" w:color="auto"/>
              <w:left w:val="single" w:sz="4" w:space="0" w:color="auto"/>
              <w:bottom w:val="single" w:sz="4" w:space="0" w:color="auto"/>
              <w:right w:val="single" w:sz="4" w:space="0" w:color="auto"/>
            </w:tcBorders>
          </w:tcPr>
          <w:p w:rsidR="00CC5D9C" w:rsidRPr="00CC5D9C" w:rsidRDefault="00CC5D9C" w:rsidP="00DE6A60">
            <w:pPr>
              <w:keepNext/>
              <w:spacing w:before="40" w:after="40" w:line="264" w:lineRule="auto"/>
              <w:rPr>
                <w:rFonts w:ascii="Arial" w:hAnsi="Arial" w:cs="Arial"/>
                <w:sz w:val="18"/>
                <w:szCs w:val="18"/>
              </w:rPr>
            </w:pPr>
            <w:r w:rsidRPr="00CC5D9C">
              <w:rPr>
                <w:rFonts w:ascii="Arial" w:hAnsi="Arial" w:cs="Arial"/>
                <w:sz w:val="18"/>
                <w:szCs w:val="18"/>
              </w:rPr>
              <w:t>V ČR nelze o</w:t>
            </w:r>
            <w:r w:rsidR="00DE6A60">
              <w:rPr>
                <w:rFonts w:ascii="Arial" w:hAnsi="Arial" w:cs="Arial"/>
                <w:sz w:val="18"/>
                <w:szCs w:val="18"/>
              </w:rPr>
              <w:t>dvolat vedoucího pracovníka bez </w:t>
            </w:r>
            <w:r w:rsidRPr="00CC5D9C">
              <w:rPr>
                <w:rFonts w:ascii="Arial" w:hAnsi="Arial" w:cs="Arial"/>
                <w:sz w:val="18"/>
                <w:szCs w:val="18"/>
              </w:rPr>
              <w:t>udání důvodu, na Slovensku ano. Zároveň v ČR se vedoucí zaměstnanec může v tomto smyslu odvolat, viz výše.</w:t>
            </w:r>
          </w:p>
          <w:p w:rsidR="00CC5D9C" w:rsidRPr="00CC5D9C" w:rsidRDefault="00CC5D9C" w:rsidP="00DE6A60">
            <w:pPr>
              <w:keepNext/>
              <w:spacing w:before="40" w:after="40" w:line="264" w:lineRule="auto"/>
              <w:rPr>
                <w:rFonts w:ascii="Arial" w:hAnsi="Arial" w:cs="Arial"/>
                <w:sz w:val="18"/>
                <w:szCs w:val="18"/>
              </w:rPr>
            </w:pPr>
            <w:r w:rsidRPr="00CC5D9C">
              <w:rPr>
                <w:rFonts w:ascii="Arial" w:hAnsi="Arial" w:cs="Arial"/>
                <w:sz w:val="18"/>
                <w:szCs w:val="18"/>
              </w:rPr>
              <w:t>Rovněž v případě Lotyšska, Estonska, Rumunska, Maďarska a Slovinska není možné odvolat pracovníka bez udání důvodu.</w:t>
            </w:r>
          </w:p>
        </w:tc>
      </w:tr>
      <w:tr w:rsidR="00CC5D9C" w:rsidRPr="00CC5D9C" w:rsidTr="00CC5D9C">
        <w:tc>
          <w:tcPr>
            <w:tcW w:w="1568" w:type="dxa"/>
            <w:tcBorders>
              <w:top w:val="single" w:sz="4" w:space="0" w:color="auto"/>
              <w:left w:val="single" w:sz="4" w:space="0" w:color="auto"/>
              <w:bottom w:val="single" w:sz="4" w:space="0" w:color="auto"/>
              <w:right w:val="single" w:sz="4" w:space="0" w:color="auto"/>
            </w:tcBorders>
            <w:hideMark/>
          </w:tcPr>
          <w:p w:rsidR="00CC5D9C" w:rsidRPr="00CC5D9C" w:rsidRDefault="00CC5D9C" w:rsidP="00CC5D9C">
            <w:pPr>
              <w:spacing w:before="40" w:after="40" w:line="264" w:lineRule="auto"/>
              <w:rPr>
                <w:rFonts w:ascii="Arial" w:hAnsi="Arial" w:cs="Arial"/>
                <w:b/>
                <w:sz w:val="18"/>
                <w:szCs w:val="18"/>
              </w:rPr>
            </w:pPr>
            <w:r w:rsidRPr="00CC5D9C">
              <w:rPr>
                <w:rFonts w:ascii="Arial" w:hAnsi="Arial" w:cs="Arial"/>
                <w:b/>
                <w:sz w:val="18"/>
                <w:szCs w:val="18"/>
              </w:rPr>
              <w:t>Nadresortní řídící orgán</w:t>
            </w:r>
          </w:p>
        </w:tc>
        <w:tc>
          <w:tcPr>
            <w:tcW w:w="4216" w:type="dxa"/>
            <w:tcBorders>
              <w:top w:val="single" w:sz="4" w:space="0" w:color="auto"/>
              <w:left w:val="single" w:sz="4" w:space="0" w:color="auto"/>
              <w:bottom w:val="single" w:sz="4" w:space="0" w:color="auto"/>
              <w:right w:val="single" w:sz="4" w:space="0" w:color="auto"/>
            </w:tcBorders>
            <w:hideMark/>
          </w:tcPr>
          <w:p w:rsidR="00CC5D9C" w:rsidRPr="00CC5D9C" w:rsidRDefault="00CC5D9C" w:rsidP="00CC5D9C">
            <w:pPr>
              <w:spacing w:before="40" w:after="40" w:line="264" w:lineRule="auto"/>
              <w:rPr>
                <w:rFonts w:ascii="Arial" w:hAnsi="Arial" w:cs="Arial"/>
                <w:sz w:val="18"/>
                <w:szCs w:val="18"/>
              </w:rPr>
            </w:pPr>
            <w:r w:rsidRPr="00CC5D9C">
              <w:rPr>
                <w:rFonts w:ascii="Arial" w:hAnsi="Arial" w:cs="Arial"/>
                <w:sz w:val="18"/>
                <w:szCs w:val="18"/>
              </w:rPr>
              <w:t>ČR má dle §13 organizační věci služby vykonává Ministerstvo vnitra, resp. Sekce pro státní službu,</w:t>
            </w:r>
            <w:r w:rsidR="00DE6A60">
              <w:rPr>
                <w:rFonts w:ascii="Arial" w:hAnsi="Arial" w:cs="Arial"/>
                <w:sz w:val="18"/>
                <w:szCs w:val="18"/>
              </w:rPr>
              <w:t xml:space="preserve"> která je organizační jednotkou </w:t>
            </w:r>
            <w:r w:rsidRPr="00CC5D9C">
              <w:rPr>
                <w:rFonts w:ascii="Arial" w:hAnsi="Arial" w:cs="Arial"/>
                <w:sz w:val="18"/>
                <w:szCs w:val="18"/>
              </w:rPr>
              <w:t>Ministerstva vnitra.</w:t>
            </w:r>
          </w:p>
        </w:tc>
        <w:tc>
          <w:tcPr>
            <w:tcW w:w="4248" w:type="dxa"/>
            <w:tcBorders>
              <w:top w:val="single" w:sz="4" w:space="0" w:color="auto"/>
              <w:left w:val="single" w:sz="4" w:space="0" w:color="auto"/>
              <w:bottom w:val="single" w:sz="4" w:space="0" w:color="auto"/>
              <w:right w:val="single" w:sz="4" w:space="0" w:color="auto"/>
            </w:tcBorders>
          </w:tcPr>
          <w:p w:rsidR="00CC5D9C" w:rsidRPr="00CC5D9C" w:rsidRDefault="00CC5D9C" w:rsidP="00CC5D9C">
            <w:pPr>
              <w:spacing w:before="40" w:after="40" w:line="264" w:lineRule="auto"/>
              <w:rPr>
                <w:rFonts w:ascii="Arial" w:hAnsi="Arial" w:cs="Arial"/>
                <w:sz w:val="18"/>
                <w:szCs w:val="18"/>
              </w:rPr>
            </w:pPr>
            <w:r w:rsidRPr="00CC5D9C">
              <w:rPr>
                <w:rFonts w:ascii="Arial" w:hAnsi="Arial" w:cs="Arial"/>
                <w:sz w:val="18"/>
                <w:szCs w:val="18"/>
              </w:rPr>
              <w:t>Zákonem č. 31</w:t>
            </w:r>
            <w:r w:rsidR="00DE6A60">
              <w:rPr>
                <w:rFonts w:ascii="Arial" w:hAnsi="Arial" w:cs="Arial"/>
                <w:sz w:val="18"/>
                <w:szCs w:val="18"/>
              </w:rPr>
              <w:t>2/2001 Z.z. byl zřízen Úřad pro </w:t>
            </w:r>
            <w:r w:rsidRPr="00CC5D9C">
              <w:rPr>
                <w:rFonts w:ascii="Arial" w:hAnsi="Arial" w:cs="Arial"/>
                <w:sz w:val="18"/>
                <w:szCs w:val="18"/>
              </w:rPr>
              <w:t xml:space="preserve">státní službu, který fungoval od března 2002 do května 2006. Jeho úkolem bylo zabezpečovat rozvoj státní služby na Slovensku. Úřad byl zrušený k 1. červnu 2006 poslaneckým návrhem novely zákona z roku 2006. </w:t>
            </w:r>
          </w:p>
          <w:p w:rsidR="00CC5D9C" w:rsidRPr="00CC5D9C" w:rsidRDefault="00CC5D9C" w:rsidP="00DE6A60">
            <w:pPr>
              <w:spacing w:before="0" w:line="264" w:lineRule="auto"/>
              <w:rPr>
                <w:rFonts w:ascii="Arial" w:hAnsi="Arial" w:cs="Arial"/>
                <w:sz w:val="18"/>
                <w:szCs w:val="18"/>
              </w:rPr>
            </w:pPr>
            <w:r w:rsidRPr="00CC5D9C">
              <w:rPr>
                <w:rFonts w:ascii="Arial" w:hAnsi="Arial" w:cs="Arial"/>
                <w:sz w:val="18"/>
                <w:szCs w:val="18"/>
              </w:rPr>
              <w:t xml:space="preserve">Média tvrdila, že nezávislý Úřad pro státní službu byl trnem v oku politikům, kteří měli pouze omezenou možnost ovlivňovat personální obsazení svých ministerstev. </w:t>
            </w:r>
          </w:p>
          <w:p w:rsidR="00CC5D9C" w:rsidRPr="00CC5D9C" w:rsidRDefault="00CC5D9C" w:rsidP="00DE6A60">
            <w:pPr>
              <w:spacing w:before="0" w:line="264" w:lineRule="auto"/>
              <w:rPr>
                <w:rFonts w:ascii="Arial" w:hAnsi="Arial" w:cs="Arial"/>
                <w:sz w:val="18"/>
                <w:szCs w:val="18"/>
              </w:rPr>
            </w:pPr>
            <w:r w:rsidRPr="00CC5D9C">
              <w:rPr>
                <w:rFonts w:ascii="Arial" w:hAnsi="Arial" w:cs="Arial"/>
                <w:sz w:val="18"/>
                <w:szCs w:val="18"/>
              </w:rPr>
              <w:t>Zrušení Úřadu formou poslaneckého návrhu bylo nestandardní a do značné míry překvapivé. Krok vyvolal kritiku EK. Agenda Úřadu pro státní službu byla rozdě</w:t>
            </w:r>
            <w:r w:rsidR="0091545F">
              <w:rPr>
                <w:rFonts w:ascii="Arial" w:hAnsi="Arial" w:cs="Arial"/>
                <w:sz w:val="18"/>
                <w:szCs w:val="18"/>
              </w:rPr>
              <w:t>lena mezi Ministerstvo vnitra a </w:t>
            </w:r>
            <w:r w:rsidRPr="00CC5D9C">
              <w:rPr>
                <w:rFonts w:ascii="Arial" w:hAnsi="Arial" w:cs="Arial"/>
                <w:sz w:val="18"/>
                <w:szCs w:val="18"/>
              </w:rPr>
              <w:t>Ministe</w:t>
            </w:r>
            <w:r w:rsidR="00DE6A60">
              <w:rPr>
                <w:rFonts w:ascii="Arial" w:hAnsi="Arial" w:cs="Arial"/>
                <w:sz w:val="18"/>
                <w:szCs w:val="18"/>
              </w:rPr>
              <w:t>rstvo práce a </w:t>
            </w:r>
            <w:r w:rsidRPr="00CC5D9C">
              <w:rPr>
                <w:rFonts w:ascii="Arial" w:hAnsi="Arial" w:cs="Arial"/>
                <w:sz w:val="18"/>
                <w:szCs w:val="18"/>
              </w:rPr>
              <w:t>sociálních věcí</w:t>
            </w:r>
            <w:r w:rsidR="00DE6A60">
              <w:rPr>
                <w:rFonts w:ascii="Arial" w:hAnsi="Arial" w:cs="Arial"/>
                <w:sz w:val="18"/>
                <w:szCs w:val="18"/>
              </w:rPr>
              <w:t xml:space="preserve"> (MPSV)</w:t>
            </w:r>
            <w:r w:rsidRPr="00CC5D9C">
              <w:rPr>
                <w:rFonts w:ascii="Arial" w:hAnsi="Arial" w:cs="Arial"/>
                <w:sz w:val="18"/>
                <w:szCs w:val="18"/>
              </w:rPr>
              <w:t xml:space="preserve">. </w:t>
            </w:r>
          </w:p>
          <w:p w:rsidR="00CC5D9C" w:rsidRPr="00CC5D9C" w:rsidRDefault="00CC5D9C" w:rsidP="00CC5D9C">
            <w:pPr>
              <w:spacing w:before="40" w:after="40" w:line="264" w:lineRule="auto"/>
              <w:rPr>
                <w:rFonts w:ascii="Arial" w:hAnsi="Arial" w:cs="Arial"/>
                <w:sz w:val="18"/>
                <w:szCs w:val="18"/>
              </w:rPr>
            </w:pPr>
            <w:r w:rsidRPr="00CC5D9C">
              <w:rPr>
                <w:rFonts w:ascii="Arial" w:hAnsi="Arial" w:cs="Arial"/>
                <w:sz w:val="18"/>
                <w:szCs w:val="18"/>
              </w:rPr>
              <w:t>Zaměstnávání ve státní službě bylo plně decentralizováno, MPSV plnilo pouze roli hlavního gestora oblasti. Po nástupu</w:t>
            </w:r>
            <w:r w:rsidR="00DE6A60">
              <w:rPr>
                <w:rFonts w:ascii="Arial" w:hAnsi="Arial" w:cs="Arial"/>
                <w:sz w:val="18"/>
                <w:szCs w:val="18"/>
              </w:rPr>
              <w:t xml:space="preserve"> vlády Roberta Fica k </w:t>
            </w:r>
            <w:r w:rsidRPr="00CC5D9C">
              <w:rPr>
                <w:rFonts w:ascii="Arial" w:hAnsi="Arial" w:cs="Arial"/>
                <w:sz w:val="18"/>
                <w:szCs w:val="18"/>
              </w:rPr>
              <w:t>moci v roce 2012 byla v roce 2013 - po sílící kritice a výhradách EK (Country Specific Recommendations) - agenda státní služby sjednocena pod Úřadem vlády SR a začaly práce na návrhu zcela nového zákona o státní službě.</w:t>
            </w:r>
          </w:p>
        </w:tc>
        <w:tc>
          <w:tcPr>
            <w:tcW w:w="4251" w:type="dxa"/>
            <w:tcBorders>
              <w:top w:val="single" w:sz="4" w:space="0" w:color="auto"/>
              <w:left w:val="single" w:sz="4" w:space="0" w:color="auto"/>
              <w:bottom w:val="single" w:sz="4" w:space="0" w:color="auto"/>
              <w:right w:val="single" w:sz="4" w:space="0" w:color="auto"/>
            </w:tcBorders>
            <w:hideMark/>
          </w:tcPr>
          <w:p w:rsidR="00CC5D9C" w:rsidRPr="00CC5D9C" w:rsidRDefault="00CC5D9C" w:rsidP="00CC5D9C">
            <w:pPr>
              <w:spacing w:before="40" w:after="40" w:line="264" w:lineRule="auto"/>
              <w:rPr>
                <w:rFonts w:ascii="Arial" w:hAnsi="Arial" w:cs="Arial"/>
                <w:sz w:val="18"/>
                <w:szCs w:val="18"/>
              </w:rPr>
            </w:pPr>
            <w:r w:rsidRPr="00CC5D9C">
              <w:rPr>
                <w:rFonts w:ascii="Arial" w:hAnsi="Arial" w:cs="Arial"/>
                <w:sz w:val="18"/>
                <w:szCs w:val="18"/>
              </w:rPr>
              <w:t xml:space="preserve">ČR v souvislosti se zákonem o státní službě nezřídila nadresortní řídící orgán, nicméně je pochopitelně otázkou debaty, zda lze v tomto smyslu za takový orgán považovat Sekci náměstka pro státní službu. </w:t>
            </w:r>
          </w:p>
          <w:p w:rsidR="00CC5D9C" w:rsidRPr="00CC5D9C" w:rsidRDefault="00CC5D9C" w:rsidP="00CC5D9C">
            <w:pPr>
              <w:spacing w:before="40" w:after="40" w:line="264" w:lineRule="auto"/>
              <w:rPr>
                <w:rFonts w:ascii="Arial" w:hAnsi="Arial" w:cs="Arial"/>
                <w:sz w:val="18"/>
                <w:szCs w:val="18"/>
              </w:rPr>
            </w:pPr>
            <w:r w:rsidRPr="00CC5D9C">
              <w:rPr>
                <w:rFonts w:ascii="Arial" w:hAnsi="Arial" w:cs="Arial"/>
                <w:sz w:val="18"/>
                <w:szCs w:val="18"/>
              </w:rPr>
              <w:t xml:space="preserve">Nicméně od novely zákona v roce 2006 není tomu tak ani na Slovensku. V případě většiny dotazovaných zemí </w:t>
            </w:r>
            <w:r w:rsidR="00DE6A60">
              <w:rPr>
                <w:rFonts w:ascii="Arial" w:hAnsi="Arial" w:cs="Arial"/>
                <w:sz w:val="18"/>
                <w:szCs w:val="18"/>
              </w:rPr>
              <w:t>však takový orgán existuje a </w:t>
            </w:r>
            <w:r w:rsidRPr="00CC5D9C">
              <w:rPr>
                <w:rFonts w:ascii="Arial" w:hAnsi="Arial" w:cs="Arial"/>
                <w:sz w:val="18"/>
                <w:szCs w:val="18"/>
              </w:rPr>
              <w:t>je vždy zaštít</w:t>
            </w:r>
            <w:r w:rsidR="00DE6A60">
              <w:rPr>
                <w:rFonts w:ascii="Arial" w:hAnsi="Arial" w:cs="Arial"/>
                <w:sz w:val="18"/>
                <w:szCs w:val="18"/>
              </w:rPr>
              <w:t>ěn relevantním ministerstvem či </w:t>
            </w:r>
            <w:r w:rsidRPr="00CC5D9C">
              <w:rPr>
                <w:rFonts w:ascii="Arial" w:hAnsi="Arial" w:cs="Arial"/>
                <w:sz w:val="18"/>
                <w:szCs w:val="18"/>
              </w:rPr>
              <w:t>Úřadem vlády.</w:t>
            </w:r>
          </w:p>
        </w:tc>
      </w:tr>
    </w:tbl>
    <w:p w:rsidR="00CC5D9C" w:rsidRPr="00CC5D9C" w:rsidRDefault="00CC5D9C" w:rsidP="00CC5D9C">
      <w:pPr>
        <w:tabs>
          <w:tab w:val="left" w:pos="2694"/>
        </w:tabs>
        <w:outlineLvl w:val="0"/>
        <w:rPr>
          <w:rFonts w:ascii="Arial" w:hAnsi="Arial" w:cs="Arial"/>
          <w:sz w:val="20"/>
        </w:rPr>
        <w:sectPr w:rsidR="00CC5D9C" w:rsidRPr="00CC5D9C" w:rsidSect="00CC5D9C">
          <w:pgSz w:w="16838" w:h="11906" w:orient="landscape"/>
          <w:pgMar w:top="1418" w:right="1418" w:bottom="1418" w:left="1418" w:header="709" w:footer="709" w:gutter="0"/>
          <w:cols w:space="708"/>
          <w:titlePg/>
          <w:docGrid w:linePitch="360"/>
        </w:sectPr>
      </w:pPr>
    </w:p>
    <w:p w:rsidR="00DE6A60" w:rsidRPr="00944F94" w:rsidRDefault="00DE6A60" w:rsidP="00FD74C0">
      <w:pPr>
        <w:pStyle w:val="Nadpis2"/>
        <w:spacing w:before="0"/>
        <w:contextualSpacing/>
      </w:pPr>
      <w:bookmarkStart w:id="53" w:name="_Toc409191124"/>
      <w:bookmarkStart w:id="54" w:name="_Toc409196613"/>
      <w:r w:rsidRPr="00FC5BD6">
        <w:lastRenderedPageBreak/>
        <w:t xml:space="preserve">Předběžná podmínka Veřejné zakázky </w:t>
      </w:r>
      <w:r>
        <w:t>(</w:t>
      </w:r>
      <w:r w:rsidRPr="00FC5BD6">
        <w:t>O</w:t>
      </w:r>
      <w:r w:rsidR="0091545F">
        <w:t xml:space="preserve"> </w:t>
      </w:r>
      <w:r w:rsidRPr="00FC5BD6">
        <w:t>4</w:t>
      </w:r>
      <w:r>
        <w:t>)</w:t>
      </w:r>
      <w:r w:rsidR="00AA5E27">
        <w:t xml:space="preserve"> </w:t>
      </w:r>
      <w:r w:rsidR="00AA5E27" w:rsidRPr="00FC5BD6">
        <w:t>–</w:t>
      </w:r>
      <w:r w:rsidR="00AA5E27">
        <w:t xml:space="preserve"> </w:t>
      </w:r>
      <w:r>
        <w:t>p</w:t>
      </w:r>
      <w:r w:rsidRPr="00944F94">
        <w:t>ožadavek na</w:t>
      </w:r>
      <w:r w:rsidR="00AA5E27">
        <w:t> </w:t>
      </w:r>
      <w:r w:rsidRPr="00944F94">
        <w:t>zavedení jednoho Centrálního registru smluv</w:t>
      </w:r>
      <w:bookmarkEnd w:id="53"/>
      <w:bookmarkEnd w:id="54"/>
    </w:p>
    <w:p w:rsidR="00DE6A60" w:rsidRPr="00DE6A60" w:rsidRDefault="002D4271" w:rsidP="00DE6A60">
      <w:pPr>
        <w:tabs>
          <w:tab w:val="left" w:pos="2694"/>
        </w:tabs>
        <w:outlineLvl w:val="0"/>
        <w:rPr>
          <w:rFonts w:ascii="Arial" w:hAnsi="Arial" w:cs="Arial"/>
          <w:sz w:val="20"/>
        </w:rPr>
      </w:pPr>
      <w:bookmarkStart w:id="55" w:name="_Toc409196614"/>
      <w:r>
        <w:rPr>
          <w:rFonts w:ascii="Arial" w:hAnsi="Arial" w:cs="Arial"/>
          <w:sz w:val="20"/>
        </w:rPr>
        <w:t>EK</w:t>
      </w:r>
      <w:r w:rsidR="00DE6A60" w:rsidRPr="00DE6A60">
        <w:rPr>
          <w:rFonts w:ascii="Arial" w:hAnsi="Arial" w:cs="Arial"/>
          <w:sz w:val="20"/>
        </w:rPr>
        <w:t xml:space="preserve"> požaduje zavedení jednoho centrálního registru smluv, přičemž publikační povinností podmiňuje platnost smluv.</w:t>
      </w:r>
      <w:bookmarkEnd w:id="55"/>
      <w:r w:rsidR="00DE6A60" w:rsidRPr="00DE6A60">
        <w:rPr>
          <w:rFonts w:ascii="Arial" w:hAnsi="Arial" w:cs="Arial"/>
          <w:sz w:val="20"/>
        </w:rPr>
        <w:t xml:space="preserve"> </w:t>
      </w:r>
    </w:p>
    <w:p w:rsidR="00DE6A60" w:rsidRPr="00DE6A60" w:rsidRDefault="00DE6A60" w:rsidP="00DE6A60">
      <w:pPr>
        <w:tabs>
          <w:tab w:val="left" w:pos="2694"/>
        </w:tabs>
        <w:outlineLvl w:val="0"/>
        <w:rPr>
          <w:rFonts w:ascii="Arial" w:hAnsi="Arial" w:cs="Arial"/>
          <w:sz w:val="20"/>
        </w:rPr>
      </w:pPr>
      <w:bookmarkStart w:id="56" w:name="_Toc409196615"/>
      <w:r w:rsidRPr="00DE6A60">
        <w:rPr>
          <w:rFonts w:ascii="Arial" w:hAnsi="Arial" w:cs="Arial"/>
          <w:sz w:val="20"/>
        </w:rPr>
        <w:t>Jak MMR, tak zástupci dotčených resortů – Ministerstva vnitra (MV) a Úřadu vlády (ÚV</w:t>
      </w:r>
      <w:r w:rsidR="0029785B">
        <w:rPr>
          <w:rFonts w:ascii="Arial" w:hAnsi="Arial" w:cs="Arial"/>
          <w:sz w:val="20"/>
        </w:rPr>
        <w:t>)</w:t>
      </w:r>
      <w:r w:rsidRPr="00DE6A60">
        <w:rPr>
          <w:rFonts w:ascii="Arial" w:hAnsi="Arial" w:cs="Arial"/>
          <w:sz w:val="20"/>
        </w:rPr>
        <w:t xml:space="preserve"> nemohou souhlasit s tímto požadavkem</w:t>
      </w:r>
      <w:r w:rsidR="00706636">
        <w:rPr>
          <w:rFonts w:ascii="Arial" w:hAnsi="Arial" w:cs="Arial"/>
          <w:sz w:val="20"/>
        </w:rPr>
        <w:t>,</w:t>
      </w:r>
      <w:r w:rsidRPr="00DE6A60">
        <w:rPr>
          <w:rFonts w:ascii="Arial" w:hAnsi="Arial" w:cs="Arial"/>
          <w:sz w:val="20"/>
        </w:rPr>
        <w:t xml:space="preserve"> a to z následujících důvodů:</w:t>
      </w:r>
      <w:bookmarkEnd w:id="56"/>
    </w:p>
    <w:p w:rsidR="00DE6A60" w:rsidRPr="009C2D1C" w:rsidRDefault="00DE6A60" w:rsidP="00AA5E27">
      <w:pPr>
        <w:pStyle w:val="Odstavecseseznamem"/>
        <w:numPr>
          <w:ilvl w:val="0"/>
          <w:numId w:val="29"/>
        </w:numPr>
        <w:spacing w:after="0"/>
        <w:ind w:left="567" w:hanging="283"/>
        <w:rPr>
          <w:rFonts w:ascii="Arial" w:hAnsi="Arial" w:cs="Arial"/>
          <w:sz w:val="20"/>
          <w:szCs w:val="20"/>
        </w:rPr>
      </w:pPr>
      <w:r w:rsidRPr="009C2D1C">
        <w:rPr>
          <w:rFonts w:ascii="Arial" w:hAnsi="Arial" w:cs="Arial"/>
          <w:sz w:val="20"/>
          <w:szCs w:val="20"/>
        </w:rPr>
        <w:t xml:space="preserve">Jak požadavek na publikaci smluv v jednom centrálním registru, tak požadavek na neplatnost smluv v případě jejich neuveřejnění není zakotven v žádném z legislativních ani nelegislativních aktů EU. </w:t>
      </w:r>
    </w:p>
    <w:p w:rsidR="00DE6A60" w:rsidRPr="009C2D1C" w:rsidRDefault="00DE6A60" w:rsidP="00AA5E27">
      <w:pPr>
        <w:pStyle w:val="Odstavecseseznamem"/>
        <w:numPr>
          <w:ilvl w:val="0"/>
          <w:numId w:val="29"/>
        </w:numPr>
        <w:spacing w:after="0"/>
        <w:ind w:left="567" w:hanging="283"/>
        <w:rPr>
          <w:rFonts w:ascii="Arial" w:hAnsi="Arial" w:cs="Arial"/>
          <w:sz w:val="20"/>
          <w:szCs w:val="20"/>
        </w:rPr>
      </w:pPr>
      <w:r w:rsidRPr="009C2D1C">
        <w:rPr>
          <w:rFonts w:ascii="Arial" w:hAnsi="Arial" w:cs="Arial"/>
          <w:sz w:val="20"/>
          <w:szCs w:val="20"/>
        </w:rPr>
        <w:t>Tento požadavek nevyplývá ani z prováděcího dokumentu k předběžným podmínkám, tzv.</w:t>
      </w:r>
      <w:r w:rsidR="00AA5E27">
        <w:rPr>
          <w:rFonts w:ascii="Arial" w:hAnsi="Arial" w:cs="Arial"/>
          <w:sz w:val="20"/>
          <w:szCs w:val="20"/>
        </w:rPr>
        <w:t> </w:t>
      </w:r>
      <w:r w:rsidRPr="009C2D1C">
        <w:rPr>
          <w:rFonts w:ascii="Arial" w:hAnsi="Arial" w:cs="Arial"/>
          <w:sz w:val="20"/>
          <w:szCs w:val="20"/>
        </w:rPr>
        <w:t>Guidance on Ex Ante Conditionalities (dále jen „Guidance on EAC“).</w:t>
      </w:r>
    </w:p>
    <w:p w:rsidR="00DE6A60" w:rsidRPr="009C2D1C" w:rsidRDefault="00DE6A60" w:rsidP="00AA5E27">
      <w:pPr>
        <w:pStyle w:val="Odstavecseseznamem"/>
        <w:numPr>
          <w:ilvl w:val="0"/>
          <w:numId w:val="29"/>
        </w:numPr>
        <w:spacing w:after="0"/>
        <w:ind w:left="567" w:hanging="283"/>
        <w:rPr>
          <w:rFonts w:ascii="Arial" w:hAnsi="Arial" w:cs="Arial"/>
          <w:sz w:val="20"/>
          <w:szCs w:val="20"/>
        </w:rPr>
      </w:pPr>
      <w:r w:rsidRPr="009C2D1C">
        <w:rPr>
          <w:rFonts w:ascii="Arial" w:hAnsi="Arial" w:cs="Arial"/>
          <w:sz w:val="20"/>
          <w:szCs w:val="20"/>
        </w:rPr>
        <w:t>Zároveň je nutné vyzdvihnout i fakt, že dle výše uvedeného Guidance on EAC jsou předběžné podmínky založeny na stávajících závazcích, respektive povinnostech členského státu s cílem předcházet násobení povinností nebo překročení stávajících požadavků („they are built on</w:t>
      </w:r>
      <w:r w:rsidR="00AA5E27">
        <w:rPr>
          <w:rFonts w:ascii="Arial" w:hAnsi="Arial" w:cs="Arial"/>
          <w:sz w:val="20"/>
          <w:szCs w:val="20"/>
        </w:rPr>
        <w:t> </w:t>
      </w:r>
      <w:r w:rsidRPr="009C2D1C">
        <w:rPr>
          <w:rFonts w:ascii="Arial" w:hAnsi="Arial" w:cs="Arial"/>
          <w:sz w:val="20"/>
          <w:szCs w:val="20"/>
        </w:rPr>
        <w:t>already existing obligations for Member States and avoiding multiplication of obligations or</w:t>
      </w:r>
      <w:r w:rsidR="00AA5E27">
        <w:rPr>
          <w:rFonts w:ascii="Arial" w:hAnsi="Arial" w:cs="Arial"/>
          <w:sz w:val="20"/>
          <w:szCs w:val="20"/>
        </w:rPr>
        <w:t> </w:t>
      </w:r>
      <w:r w:rsidRPr="009C2D1C">
        <w:rPr>
          <w:rFonts w:ascii="Arial" w:hAnsi="Arial" w:cs="Arial"/>
          <w:sz w:val="20"/>
          <w:szCs w:val="20"/>
        </w:rPr>
        <w:t xml:space="preserve">going beyond already existing requirements“). </w:t>
      </w:r>
    </w:p>
    <w:p w:rsidR="00DE6A60" w:rsidRPr="009C2D1C" w:rsidRDefault="00DE6A60" w:rsidP="00AA5E27">
      <w:pPr>
        <w:pStyle w:val="Odstavecseseznamem"/>
        <w:numPr>
          <w:ilvl w:val="0"/>
          <w:numId w:val="29"/>
        </w:numPr>
        <w:spacing w:after="0"/>
        <w:ind w:left="567" w:hanging="283"/>
        <w:rPr>
          <w:rFonts w:ascii="Arial" w:hAnsi="Arial" w:cs="Arial"/>
          <w:sz w:val="20"/>
          <w:szCs w:val="20"/>
        </w:rPr>
      </w:pPr>
      <w:r w:rsidRPr="009C2D1C">
        <w:rPr>
          <w:rFonts w:ascii="Arial" w:hAnsi="Arial" w:cs="Arial"/>
          <w:sz w:val="20"/>
          <w:szCs w:val="20"/>
        </w:rPr>
        <w:t>Jednoznačně tak lze deklarovat, že tento požadavek nemá jakoukoliv oporu v legislativním rámci EU a jde dalece za tento právní rámec i za kompetence EK.</w:t>
      </w:r>
    </w:p>
    <w:p w:rsidR="00DE6A60" w:rsidRPr="009C2D1C" w:rsidRDefault="00DE6A60" w:rsidP="00AA5E27">
      <w:pPr>
        <w:pStyle w:val="Odstavecseseznamem"/>
        <w:numPr>
          <w:ilvl w:val="0"/>
          <w:numId w:val="29"/>
        </w:numPr>
        <w:spacing w:after="0"/>
        <w:ind w:left="567" w:hanging="283"/>
        <w:rPr>
          <w:rFonts w:ascii="Arial" w:hAnsi="Arial" w:cs="Arial"/>
          <w:sz w:val="20"/>
          <w:szCs w:val="20"/>
        </w:rPr>
      </w:pPr>
      <w:r w:rsidRPr="009C2D1C">
        <w:rPr>
          <w:rFonts w:ascii="Arial" w:hAnsi="Arial" w:cs="Arial"/>
          <w:sz w:val="20"/>
          <w:szCs w:val="20"/>
        </w:rPr>
        <w:t>Česká republika bez ohledu na výše uvedené již v roce 2012 tzv. transpare</w:t>
      </w:r>
      <w:r w:rsidR="00706636">
        <w:rPr>
          <w:rFonts w:ascii="Arial" w:hAnsi="Arial" w:cs="Arial"/>
          <w:sz w:val="20"/>
          <w:szCs w:val="20"/>
        </w:rPr>
        <w:t>n</w:t>
      </w:r>
      <w:r w:rsidRPr="009C2D1C">
        <w:rPr>
          <w:rFonts w:ascii="Arial" w:hAnsi="Arial" w:cs="Arial"/>
          <w:sz w:val="20"/>
          <w:szCs w:val="20"/>
        </w:rPr>
        <w:t>tní novelou</w:t>
      </w:r>
      <w:r w:rsidR="0091545F">
        <w:rPr>
          <w:rFonts w:ascii="Arial" w:hAnsi="Arial" w:cs="Arial"/>
          <w:sz w:val="20"/>
          <w:szCs w:val="20"/>
        </w:rPr>
        <w:t xml:space="preserve"> zákona o </w:t>
      </w:r>
      <w:r w:rsidRPr="009C2D1C">
        <w:rPr>
          <w:rFonts w:ascii="Arial" w:hAnsi="Arial" w:cs="Arial"/>
          <w:sz w:val="20"/>
          <w:szCs w:val="20"/>
        </w:rPr>
        <w:t xml:space="preserve">veřejných zakázkách zavedla povinnost zveřejňovat smlouvy nad 500 tis. Kč </w:t>
      </w:r>
      <w:r w:rsidR="00706636">
        <w:rPr>
          <w:rFonts w:ascii="Arial" w:hAnsi="Arial" w:cs="Arial"/>
          <w:sz w:val="20"/>
          <w:szCs w:val="20"/>
        </w:rPr>
        <w:t xml:space="preserve">bez DPH </w:t>
      </w:r>
      <w:r w:rsidRPr="009C2D1C">
        <w:rPr>
          <w:rFonts w:ascii="Arial" w:hAnsi="Arial" w:cs="Arial"/>
          <w:sz w:val="20"/>
          <w:szCs w:val="20"/>
        </w:rPr>
        <w:t>v rámci veřejných zakázek.</w:t>
      </w:r>
    </w:p>
    <w:p w:rsidR="00DE6A60" w:rsidRPr="009C2D1C" w:rsidRDefault="00DE6A60" w:rsidP="00AA5E27">
      <w:pPr>
        <w:pStyle w:val="Odstavecseseznamem"/>
        <w:numPr>
          <w:ilvl w:val="0"/>
          <w:numId w:val="29"/>
        </w:numPr>
        <w:spacing w:after="0"/>
        <w:ind w:left="567" w:hanging="283"/>
        <w:rPr>
          <w:rFonts w:ascii="Arial" w:hAnsi="Arial" w:cs="Arial"/>
          <w:sz w:val="20"/>
          <w:szCs w:val="20"/>
        </w:rPr>
      </w:pPr>
      <w:r w:rsidRPr="009C2D1C">
        <w:rPr>
          <w:rFonts w:ascii="Arial" w:hAnsi="Arial" w:cs="Arial"/>
          <w:sz w:val="20"/>
          <w:szCs w:val="20"/>
        </w:rPr>
        <w:t>Tyto smlouvy nejsou sice uloženy v jednom registru, ale na samostatných profilech zadavatelů, nicméně všechny profily zadavatelů jsou uveřejněny ve Věstníku veřejných zakázek, který obsahuje přímé odkazy na tyto profily. Kdokoli tedy může prostřednictvím věstníku veřejných zakázek dohledat uveřejněnou smlouvu každého zadavatele prostřednictvím přímých odkazů.</w:t>
      </w:r>
    </w:p>
    <w:p w:rsidR="00DE6A60" w:rsidRPr="009C2D1C" w:rsidRDefault="00DE6A60" w:rsidP="00DE6A60">
      <w:pPr>
        <w:rPr>
          <w:rFonts w:ascii="Arial" w:hAnsi="Arial" w:cs="Arial"/>
          <w:sz w:val="20"/>
          <w:szCs w:val="20"/>
        </w:rPr>
      </w:pPr>
      <w:r w:rsidRPr="009C2D1C">
        <w:rPr>
          <w:rFonts w:ascii="Arial" w:hAnsi="Arial" w:cs="Arial"/>
          <w:sz w:val="20"/>
          <w:szCs w:val="20"/>
        </w:rPr>
        <w:t>MMR</w:t>
      </w:r>
      <w:r w:rsidR="0091545F">
        <w:rPr>
          <w:rFonts w:ascii="Arial" w:hAnsi="Arial" w:cs="Arial"/>
          <w:sz w:val="20"/>
          <w:szCs w:val="20"/>
        </w:rPr>
        <w:t>-NOK</w:t>
      </w:r>
      <w:r w:rsidRPr="009C2D1C">
        <w:rPr>
          <w:rFonts w:ascii="Arial" w:hAnsi="Arial" w:cs="Arial"/>
          <w:sz w:val="20"/>
          <w:szCs w:val="20"/>
        </w:rPr>
        <w:t xml:space="preserve"> ve spolupráci se </w:t>
      </w:r>
      <w:r>
        <w:rPr>
          <w:rFonts w:ascii="Arial" w:hAnsi="Arial" w:cs="Arial"/>
          <w:sz w:val="20"/>
          <w:szCs w:val="20"/>
        </w:rPr>
        <w:t>Stálým zastoupením ČR v Bruselu</w:t>
      </w:r>
      <w:r w:rsidRPr="009C2D1C">
        <w:rPr>
          <w:rFonts w:ascii="Arial" w:hAnsi="Arial" w:cs="Arial"/>
          <w:sz w:val="20"/>
          <w:szCs w:val="20"/>
        </w:rPr>
        <w:t xml:space="preserve"> provedlo </w:t>
      </w:r>
      <w:r w:rsidRPr="00AA5E27">
        <w:rPr>
          <w:rFonts w:ascii="Arial" w:hAnsi="Arial" w:cs="Arial"/>
          <w:b/>
          <w:sz w:val="20"/>
          <w:szCs w:val="20"/>
        </w:rPr>
        <w:t>screening situace v několika členských státech</w:t>
      </w:r>
      <w:r w:rsidRPr="009C2D1C">
        <w:rPr>
          <w:rFonts w:ascii="Arial" w:hAnsi="Arial" w:cs="Arial"/>
          <w:sz w:val="20"/>
          <w:szCs w:val="20"/>
        </w:rPr>
        <w:t xml:space="preserve">, z něhož lze stručně učinit následující </w:t>
      </w:r>
      <w:r w:rsidR="0091545F">
        <w:rPr>
          <w:rFonts w:ascii="Arial" w:hAnsi="Arial" w:cs="Arial"/>
          <w:sz w:val="20"/>
          <w:szCs w:val="20"/>
        </w:rPr>
        <w:t>závěry</w:t>
      </w:r>
      <w:r w:rsidRPr="009C2D1C">
        <w:rPr>
          <w:rFonts w:ascii="Arial" w:hAnsi="Arial" w:cs="Arial"/>
          <w:sz w:val="20"/>
          <w:szCs w:val="20"/>
        </w:rPr>
        <w:t xml:space="preserve">: </w:t>
      </w:r>
    </w:p>
    <w:p w:rsidR="00DE6A60" w:rsidRPr="00AA5E27" w:rsidRDefault="00DE6A60" w:rsidP="00AA5E27">
      <w:pPr>
        <w:pStyle w:val="Odstavecseseznamem"/>
        <w:numPr>
          <w:ilvl w:val="0"/>
          <w:numId w:val="29"/>
        </w:numPr>
        <w:spacing w:after="0"/>
        <w:ind w:left="567" w:hanging="283"/>
        <w:rPr>
          <w:rFonts w:ascii="Arial" w:hAnsi="Arial" w:cs="Arial"/>
          <w:sz w:val="20"/>
          <w:szCs w:val="20"/>
        </w:rPr>
      </w:pPr>
      <w:r w:rsidRPr="009C2D1C">
        <w:rPr>
          <w:rFonts w:ascii="Arial" w:hAnsi="Arial" w:cs="Arial"/>
          <w:sz w:val="20"/>
          <w:szCs w:val="20"/>
        </w:rPr>
        <w:t xml:space="preserve">Žádný z členských států, které byly osloveny, nebyl konfrontován s tímto požadavkem (některé </w:t>
      </w:r>
      <w:r w:rsidRPr="00AA5E27">
        <w:rPr>
          <w:rFonts w:ascii="Arial" w:hAnsi="Arial" w:cs="Arial"/>
          <w:sz w:val="20"/>
          <w:szCs w:val="20"/>
        </w:rPr>
        <w:t>z členských států dokonce odpověděly, že takovéto pož</w:t>
      </w:r>
      <w:r w:rsidR="00AA5E27">
        <w:rPr>
          <w:rFonts w:ascii="Arial" w:hAnsi="Arial" w:cs="Arial"/>
          <w:sz w:val="20"/>
          <w:szCs w:val="20"/>
        </w:rPr>
        <w:t>adavky ze strany EK považují za </w:t>
      </w:r>
      <w:r w:rsidRPr="00AA5E27">
        <w:rPr>
          <w:rFonts w:ascii="Arial" w:hAnsi="Arial" w:cs="Arial"/>
          <w:sz w:val="20"/>
          <w:szCs w:val="20"/>
        </w:rPr>
        <w:t>protiprávní).</w:t>
      </w:r>
    </w:p>
    <w:p w:rsidR="00DE6A60" w:rsidRPr="00AA5E27" w:rsidRDefault="00DE6A60" w:rsidP="00AA5E27">
      <w:pPr>
        <w:pStyle w:val="Odstavecseseznamem"/>
        <w:numPr>
          <w:ilvl w:val="0"/>
          <w:numId w:val="29"/>
        </w:numPr>
        <w:spacing w:after="0"/>
        <w:ind w:left="567" w:hanging="283"/>
        <w:rPr>
          <w:rFonts w:ascii="Arial" w:hAnsi="Arial" w:cs="Arial"/>
          <w:sz w:val="20"/>
          <w:szCs w:val="20"/>
        </w:rPr>
      </w:pPr>
      <w:r w:rsidRPr="00AA5E27">
        <w:rPr>
          <w:rFonts w:ascii="Arial" w:hAnsi="Arial" w:cs="Arial"/>
          <w:sz w:val="20"/>
          <w:szCs w:val="20"/>
        </w:rPr>
        <w:t>Z dostupných akčních plánů členských států je zřejmé, že ani akční plány těchto států k Veřejným zakázkám nepočítají s takovýmto typem opatření.</w:t>
      </w:r>
    </w:p>
    <w:p w:rsidR="00DE6A60" w:rsidRPr="00AA5E27" w:rsidRDefault="00DE6A60" w:rsidP="00AA5E27">
      <w:pPr>
        <w:pStyle w:val="Odstavecseseznamem"/>
        <w:numPr>
          <w:ilvl w:val="0"/>
          <w:numId w:val="29"/>
        </w:numPr>
        <w:spacing w:after="0"/>
        <w:ind w:left="567" w:hanging="283"/>
        <w:rPr>
          <w:rFonts w:ascii="Arial" w:hAnsi="Arial" w:cs="Arial"/>
          <w:sz w:val="20"/>
          <w:szCs w:val="20"/>
        </w:rPr>
      </w:pPr>
      <w:r w:rsidRPr="00AA5E27">
        <w:rPr>
          <w:rFonts w:ascii="Arial" w:hAnsi="Arial" w:cs="Arial"/>
          <w:sz w:val="20"/>
          <w:szCs w:val="20"/>
        </w:rPr>
        <w:t xml:space="preserve">Vzhledem k faktu, že na evropské úrovni neexistuje žádná legislativní úprava této oblasti, má každý z členských států výhradně vnitrostátní úpravu, která se pochopitelně odlišuje </w:t>
      </w:r>
      <w:r w:rsidR="00AA5E27">
        <w:rPr>
          <w:rFonts w:ascii="Arial" w:hAnsi="Arial" w:cs="Arial"/>
          <w:sz w:val="20"/>
          <w:szCs w:val="20"/>
        </w:rPr>
        <w:t>stát od </w:t>
      </w:r>
      <w:r w:rsidRPr="00AA5E27">
        <w:rPr>
          <w:rFonts w:ascii="Arial" w:hAnsi="Arial" w:cs="Arial"/>
          <w:sz w:val="20"/>
          <w:szCs w:val="20"/>
        </w:rPr>
        <w:t>státu a paradoxně právě česká právní úprava patří mezi jednu z nejpřísnějších. Namátkově lze uvést následující příklady:</w:t>
      </w:r>
    </w:p>
    <w:p w:rsidR="00DE6A60" w:rsidRPr="00056697" w:rsidRDefault="00DE6A60" w:rsidP="00AA5E27">
      <w:pPr>
        <w:pStyle w:val="Odstavecseseznamem"/>
        <w:spacing w:after="0"/>
        <w:ind w:left="567" w:firstLine="0"/>
        <w:rPr>
          <w:rFonts w:ascii="Arial" w:hAnsi="Arial" w:cs="Arial"/>
          <w:sz w:val="20"/>
          <w:szCs w:val="24"/>
        </w:rPr>
      </w:pPr>
      <w:r w:rsidRPr="00AA5E27">
        <w:rPr>
          <w:rFonts w:ascii="Arial" w:hAnsi="Arial" w:cs="Arial"/>
          <w:i/>
          <w:sz w:val="20"/>
          <w:szCs w:val="24"/>
        </w:rPr>
        <w:t>Slovensko</w:t>
      </w:r>
      <w:r w:rsidRPr="00056697">
        <w:rPr>
          <w:rFonts w:ascii="Arial" w:hAnsi="Arial" w:cs="Arial"/>
          <w:sz w:val="20"/>
          <w:szCs w:val="24"/>
        </w:rPr>
        <w:t xml:space="preserve"> – neplatnost smluv při nepublikaci ano, ale tzv. jede</w:t>
      </w:r>
      <w:r w:rsidR="00AA5E27">
        <w:rPr>
          <w:rFonts w:ascii="Arial" w:hAnsi="Arial" w:cs="Arial"/>
          <w:sz w:val="20"/>
          <w:szCs w:val="24"/>
        </w:rPr>
        <w:t>n centrální registr je pouze na </w:t>
      </w:r>
      <w:r w:rsidRPr="00056697">
        <w:rPr>
          <w:rFonts w:ascii="Arial" w:hAnsi="Arial" w:cs="Arial"/>
          <w:sz w:val="20"/>
          <w:szCs w:val="24"/>
        </w:rPr>
        <w:t>úrovni státní správy, na úrovni samospráv jsou smlouvy uveřejňovány vždy na profilu zadavatelů.</w:t>
      </w:r>
    </w:p>
    <w:p w:rsidR="00DE6A60" w:rsidRPr="00056697" w:rsidRDefault="00DE6A60" w:rsidP="00AA5E27">
      <w:pPr>
        <w:pStyle w:val="Odstavecseseznamem"/>
        <w:spacing w:after="0"/>
        <w:ind w:left="567" w:firstLine="0"/>
        <w:rPr>
          <w:rFonts w:ascii="Arial" w:hAnsi="Arial" w:cs="Arial"/>
          <w:sz w:val="20"/>
          <w:szCs w:val="24"/>
        </w:rPr>
      </w:pPr>
      <w:r w:rsidRPr="00AA5E27">
        <w:rPr>
          <w:rFonts w:ascii="Arial" w:hAnsi="Arial" w:cs="Arial"/>
          <w:i/>
          <w:sz w:val="20"/>
          <w:szCs w:val="24"/>
        </w:rPr>
        <w:t>Bulharsko</w:t>
      </w:r>
      <w:r w:rsidRPr="00056697">
        <w:rPr>
          <w:rFonts w:ascii="Arial" w:hAnsi="Arial" w:cs="Arial"/>
          <w:sz w:val="20"/>
          <w:szCs w:val="24"/>
        </w:rPr>
        <w:t xml:space="preserve"> </w:t>
      </w:r>
      <w:r w:rsidR="00AA5E27">
        <w:rPr>
          <w:rFonts w:ascii="Arial" w:hAnsi="Arial" w:cs="Arial"/>
          <w:sz w:val="20"/>
          <w:szCs w:val="24"/>
        </w:rPr>
        <w:t>–</w:t>
      </w:r>
      <w:r w:rsidRPr="00056697">
        <w:rPr>
          <w:rFonts w:ascii="Arial" w:hAnsi="Arial" w:cs="Arial"/>
          <w:sz w:val="20"/>
          <w:szCs w:val="24"/>
        </w:rPr>
        <w:t xml:space="preserve"> neplatnost smluv při nepublikaci ne, ke zveřejňování dochází obdobně jako v ČR na profilu zadavatele.</w:t>
      </w:r>
    </w:p>
    <w:p w:rsidR="00DE6A60" w:rsidRPr="00056697" w:rsidRDefault="00DE6A60" w:rsidP="00AA5E27">
      <w:pPr>
        <w:pStyle w:val="Odstavecseseznamem"/>
        <w:spacing w:after="0"/>
        <w:ind w:left="567" w:firstLine="0"/>
        <w:rPr>
          <w:rFonts w:ascii="Arial" w:hAnsi="Arial" w:cs="Arial"/>
          <w:sz w:val="20"/>
          <w:szCs w:val="24"/>
        </w:rPr>
      </w:pPr>
      <w:r w:rsidRPr="00AA5E27">
        <w:rPr>
          <w:rFonts w:ascii="Arial" w:hAnsi="Arial" w:cs="Arial"/>
          <w:i/>
          <w:sz w:val="20"/>
          <w:szCs w:val="24"/>
        </w:rPr>
        <w:t>Maďarsko</w:t>
      </w:r>
      <w:r w:rsidR="00AA5E27">
        <w:rPr>
          <w:rFonts w:ascii="Arial" w:hAnsi="Arial" w:cs="Arial"/>
          <w:sz w:val="20"/>
          <w:szCs w:val="24"/>
        </w:rPr>
        <w:t xml:space="preserve"> – </w:t>
      </w:r>
      <w:r w:rsidRPr="00056697">
        <w:rPr>
          <w:rFonts w:ascii="Arial" w:hAnsi="Arial" w:cs="Arial"/>
          <w:sz w:val="20"/>
          <w:szCs w:val="24"/>
        </w:rPr>
        <w:t>neplatnost smluv ne, zveřejňuje se na centrální stránce, ale pouze omezený okruh informací týkající se smluv (z odpovědi lze vyvodit, že nedochází k uveřejňování kompletních smluv jako v ČR).</w:t>
      </w:r>
    </w:p>
    <w:p w:rsidR="00DE6A60" w:rsidRPr="00056697" w:rsidRDefault="00DE6A60" w:rsidP="00AA5E27">
      <w:pPr>
        <w:pStyle w:val="Odstavecseseznamem"/>
        <w:spacing w:after="0"/>
        <w:ind w:left="567" w:firstLine="0"/>
        <w:rPr>
          <w:rFonts w:ascii="Arial" w:hAnsi="Arial" w:cs="Arial"/>
          <w:sz w:val="20"/>
          <w:szCs w:val="24"/>
        </w:rPr>
      </w:pPr>
      <w:r w:rsidRPr="00AA5E27">
        <w:rPr>
          <w:rFonts w:ascii="Arial" w:hAnsi="Arial" w:cs="Arial"/>
          <w:i/>
          <w:sz w:val="20"/>
          <w:szCs w:val="24"/>
        </w:rPr>
        <w:t>Polsko</w:t>
      </w:r>
      <w:r w:rsidRPr="00056697">
        <w:rPr>
          <w:rFonts w:ascii="Arial" w:hAnsi="Arial" w:cs="Arial"/>
          <w:sz w:val="20"/>
          <w:szCs w:val="24"/>
        </w:rPr>
        <w:t xml:space="preserve"> – neplatnost smluv ne, v Polsku rovněž neexistuje pouze jeden registr.</w:t>
      </w:r>
    </w:p>
    <w:p w:rsidR="00DE6A60" w:rsidRPr="009C2D1C" w:rsidRDefault="00DE6A60" w:rsidP="00DE6A60">
      <w:pPr>
        <w:spacing w:line="240" w:lineRule="auto"/>
        <w:rPr>
          <w:rFonts w:ascii="Arial" w:hAnsi="Arial" w:cs="Arial"/>
          <w:bdr w:val="nil"/>
        </w:rPr>
      </w:pPr>
    </w:p>
    <w:p w:rsidR="00DE6A60" w:rsidRPr="009C2D1C" w:rsidRDefault="00DE6A60" w:rsidP="00FD74C0">
      <w:pPr>
        <w:pStyle w:val="Nadpis2"/>
      </w:pPr>
      <w:bookmarkStart w:id="57" w:name="_Toc409191125"/>
      <w:bookmarkStart w:id="58" w:name="_Toc409196616"/>
      <w:r w:rsidRPr="009C2D1C">
        <w:lastRenderedPageBreak/>
        <w:t>Financování operací mimo programové území</w:t>
      </w:r>
      <w:bookmarkEnd w:id="57"/>
      <w:bookmarkEnd w:id="58"/>
    </w:p>
    <w:p w:rsidR="00DE6A60" w:rsidRPr="00AA5E27" w:rsidRDefault="00DE6A60" w:rsidP="00AA5E27">
      <w:pPr>
        <w:tabs>
          <w:tab w:val="left" w:pos="2694"/>
        </w:tabs>
        <w:outlineLvl w:val="0"/>
        <w:rPr>
          <w:rFonts w:ascii="Arial" w:hAnsi="Arial" w:cs="Arial"/>
          <w:sz w:val="20"/>
        </w:rPr>
      </w:pPr>
      <w:bookmarkStart w:id="59" w:name="_Toc409196617"/>
      <w:r w:rsidRPr="00AA5E27">
        <w:rPr>
          <w:rFonts w:ascii="Arial" w:hAnsi="Arial" w:cs="Arial"/>
          <w:sz w:val="20"/>
        </w:rPr>
        <w:t xml:space="preserve">Problematika financování operací mimo programové území (čl. 70 </w:t>
      </w:r>
      <w:r w:rsidR="00BD2A5A">
        <w:rPr>
          <w:rFonts w:ascii="Arial" w:hAnsi="Arial" w:cs="Arial"/>
          <w:sz w:val="20"/>
        </w:rPr>
        <w:t>O</w:t>
      </w:r>
      <w:r w:rsidRPr="00AA5E27">
        <w:rPr>
          <w:rFonts w:ascii="Arial" w:hAnsi="Arial" w:cs="Arial"/>
          <w:sz w:val="20"/>
        </w:rPr>
        <w:t xml:space="preserve">becného nařízení a čl. 13 nařízení o ESF) a související převod prostředků mezi kategoriemi regionů (čl. 93 </w:t>
      </w:r>
      <w:r w:rsidR="00BD2A5A">
        <w:rPr>
          <w:rFonts w:ascii="Arial" w:hAnsi="Arial" w:cs="Arial"/>
          <w:sz w:val="20"/>
        </w:rPr>
        <w:t>O</w:t>
      </w:r>
      <w:r w:rsidRPr="00AA5E27">
        <w:rPr>
          <w:rFonts w:ascii="Arial" w:hAnsi="Arial" w:cs="Arial"/>
          <w:sz w:val="20"/>
        </w:rPr>
        <w:t>becného nařízení) je řešen dlouhodobě zhruba od jara 2013.</w:t>
      </w:r>
      <w:bookmarkEnd w:id="59"/>
    </w:p>
    <w:p w:rsidR="00DE6A60" w:rsidRPr="00AA5E27" w:rsidRDefault="00DE6A60" w:rsidP="00AA5E27">
      <w:pPr>
        <w:tabs>
          <w:tab w:val="left" w:pos="2694"/>
        </w:tabs>
        <w:outlineLvl w:val="0"/>
        <w:rPr>
          <w:rFonts w:ascii="Arial" w:hAnsi="Arial" w:cs="Arial"/>
          <w:sz w:val="20"/>
          <w:u w:val="single"/>
        </w:rPr>
      </w:pPr>
      <w:bookmarkStart w:id="60" w:name="_Toc409196618"/>
      <w:r w:rsidRPr="00AA5E27">
        <w:rPr>
          <w:rFonts w:ascii="Arial" w:hAnsi="Arial" w:cs="Arial"/>
          <w:sz w:val="20"/>
          <w:u w:val="single"/>
        </w:rPr>
        <w:t xml:space="preserve">Fáze vyjednávání o interpretaci čl. 70 </w:t>
      </w:r>
      <w:r w:rsidR="00AA5E27">
        <w:rPr>
          <w:rFonts w:ascii="Arial" w:hAnsi="Arial" w:cs="Arial"/>
          <w:sz w:val="20"/>
          <w:u w:val="single"/>
        </w:rPr>
        <w:t>O</w:t>
      </w:r>
      <w:r w:rsidRPr="00AA5E27">
        <w:rPr>
          <w:rFonts w:ascii="Arial" w:hAnsi="Arial" w:cs="Arial"/>
          <w:sz w:val="20"/>
          <w:u w:val="single"/>
        </w:rPr>
        <w:t>becného nařízení</w:t>
      </w:r>
      <w:bookmarkEnd w:id="60"/>
      <w:r w:rsidRPr="00AA5E27">
        <w:rPr>
          <w:rFonts w:ascii="Arial" w:hAnsi="Arial" w:cs="Arial"/>
          <w:sz w:val="20"/>
          <w:u w:val="single"/>
        </w:rPr>
        <w:t xml:space="preserve"> </w:t>
      </w:r>
    </w:p>
    <w:p w:rsidR="00DE6A60" w:rsidRPr="00AA5E27" w:rsidRDefault="00DE6A60" w:rsidP="00AA5E27">
      <w:pPr>
        <w:tabs>
          <w:tab w:val="left" w:pos="2694"/>
        </w:tabs>
        <w:outlineLvl w:val="0"/>
        <w:rPr>
          <w:rFonts w:ascii="Arial" w:hAnsi="Arial" w:cs="Arial"/>
          <w:sz w:val="20"/>
        </w:rPr>
      </w:pPr>
      <w:bookmarkStart w:id="61" w:name="_Toc409196619"/>
      <w:r w:rsidRPr="00AA5E27">
        <w:rPr>
          <w:rFonts w:ascii="Arial" w:hAnsi="Arial" w:cs="Arial"/>
          <w:sz w:val="20"/>
        </w:rPr>
        <w:t>Klíčovým bodem výkladu je „prospěšnost“ operace programovému území. Tento nejasně definovaný požadavek zavdává možnost různé interpretace na národní úrovni a na úrovni EK. Instituce ČR počítaly s tím, že v duchu výše uvedeného usnadnění čerpání ESI fondů bude prospěch projektů lokalizovaných v Praze na území vně Prahy snadno prokazatelný a v kombinaci s další podmínkou, jíž je schválení monitorovacím výborem programu, bude snadné realizovat projekty lokalizované v Praze a přispívající zbytku území ČR.</w:t>
      </w:r>
      <w:bookmarkEnd w:id="61"/>
    </w:p>
    <w:p w:rsidR="00DE6A60" w:rsidRPr="00AA5E27" w:rsidRDefault="00DE6A60" w:rsidP="00AA5E27">
      <w:pPr>
        <w:tabs>
          <w:tab w:val="left" w:pos="2694"/>
        </w:tabs>
        <w:outlineLvl w:val="0"/>
        <w:rPr>
          <w:rFonts w:ascii="Arial" w:hAnsi="Arial" w:cs="Arial"/>
          <w:sz w:val="20"/>
        </w:rPr>
      </w:pPr>
      <w:bookmarkStart w:id="62" w:name="_Toc409196620"/>
      <w:r w:rsidRPr="00AA5E27">
        <w:rPr>
          <w:rFonts w:ascii="Arial" w:hAnsi="Arial" w:cs="Arial"/>
          <w:sz w:val="20"/>
        </w:rPr>
        <w:t>V průběhu roku 2013 se však ze strany EK začaly objevovat různé interpretace tohoto ustanovení pro</w:t>
      </w:r>
      <w:r w:rsidR="00AA5E27">
        <w:rPr>
          <w:rFonts w:ascii="Arial" w:hAnsi="Arial" w:cs="Arial"/>
          <w:sz w:val="20"/>
        </w:rPr>
        <w:t> </w:t>
      </w:r>
      <w:r w:rsidRPr="00AA5E27">
        <w:rPr>
          <w:rFonts w:ascii="Arial" w:hAnsi="Arial" w:cs="Arial"/>
          <w:sz w:val="20"/>
        </w:rPr>
        <w:t>různé členské státy. Proto byla v květnu 2013 zaslána na EK série dotazů, které se dotýkají konkrétní realizace projektů na území hl. města Prahy. Odpověď obdrželo MMR v polovině července 2013 a vyplývalo z ní, že prospěšností rozumí EK pouze 100% prospěch území vně Prahy. Lze identifikovat pouze málo projektů, v oblasti ERDF však žádný, které by stanovenou podmínku výlučného prospěchu programovému území splňovaly.</w:t>
      </w:r>
      <w:bookmarkEnd w:id="62"/>
    </w:p>
    <w:p w:rsidR="00DE6A60" w:rsidRPr="00AA5E27" w:rsidRDefault="00DE6A60" w:rsidP="00AA5E27">
      <w:pPr>
        <w:tabs>
          <w:tab w:val="left" w:pos="2694"/>
        </w:tabs>
        <w:outlineLvl w:val="0"/>
        <w:rPr>
          <w:rFonts w:ascii="Arial" w:hAnsi="Arial" w:cs="Arial"/>
          <w:sz w:val="20"/>
        </w:rPr>
      </w:pPr>
      <w:bookmarkStart w:id="63" w:name="_Toc409196621"/>
      <w:r w:rsidRPr="00AA5E27">
        <w:rPr>
          <w:rFonts w:ascii="Arial" w:hAnsi="Arial" w:cs="Arial"/>
          <w:sz w:val="20"/>
        </w:rPr>
        <w:t xml:space="preserve">Následovalo </w:t>
      </w:r>
      <w:r w:rsidR="00AA5E27">
        <w:rPr>
          <w:rFonts w:ascii="Arial" w:hAnsi="Arial" w:cs="Arial"/>
          <w:sz w:val="20"/>
        </w:rPr>
        <w:t>zaslání</w:t>
      </w:r>
      <w:r w:rsidR="00AA5E27" w:rsidRPr="00AA5E27">
        <w:rPr>
          <w:rFonts w:ascii="Arial" w:hAnsi="Arial" w:cs="Arial"/>
          <w:sz w:val="20"/>
        </w:rPr>
        <w:t xml:space="preserve"> </w:t>
      </w:r>
      <w:r w:rsidRPr="00AA5E27">
        <w:rPr>
          <w:rFonts w:ascii="Arial" w:hAnsi="Arial" w:cs="Arial"/>
          <w:sz w:val="20"/>
        </w:rPr>
        <w:t xml:space="preserve">dalšího dotazu na EK, jenž byl vytvořen </w:t>
      </w:r>
      <w:r w:rsidR="00BD2A5A">
        <w:rPr>
          <w:rFonts w:ascii="Arial" w:hAnsi="Arial" w:cs="Arial"/>
          <w:sz w:val="20"/>
        </w:rPr>
        <w:t>po konzultacích MMR, MF, MPSV a </w:t>
      </w:r>
      <w:r w:rsidRPr="00AA5E27">
        <w:rPr>
          <w:rFonts w:ascii="Arial" w:hAnsi="Arial" w:cs="Arial"/>
          <w:sz w:val="20"/>
        </w:rPr>
        <w:t xml:space="preserve">MŠMT a zaslán EK na počátku září 2013. Odpověď z EK z počátku října 2013 sdělovala, že reakce na dotazy ČR se stále připravuje. Po následných urgencích obdržela ČR odpověď označenou jako „navrhovaná“ dne 20. listopadu 2013. V ní předběžně EK potvrzuje, že nemění svůj názor a v případě jiného než výlučného prospěchu operace lokalizované v Praze pro </w:t>
      </w:r>
      <w:r w:rsidR="00BD2A5A">
        <w:rPr>
          <w:rFonts w:ascii="Arial" w:hAnsi="Arial" w:cs="Arial"/>
          <w:sz w:val="20"/>
        </w:rPr>
        <w:t>zbytek území bude muset být pro </w:t>
      </w:r>
      <w:r w:rsidRPr="00AA5E27">
        <w:rPr>
          <w:rFonts w:ascii="Arial" w:hAnsi="Arial" w:cs="Arial"/>
          <w:sz w:val="20"/>
        </w:rPr>
        <w:t>každou takovouto operaci (projekt) proveden propočet míry příspěvku pro různá území (Praha x zbytek ČR). Toto řešení pro ČR se jevilo jako nesmírně neefektivní a ČR s ním nesouhlasila.</w:t>
      </w:r>
      <w:bookmarkEnd w:id="63"/>
      <w:r w:rsidRPr="00AA5E27">
        <w:rPr>
          <w:rFonts w:ascii="Arial" w:hAnsi="Arial" w:cs="Arial"/>
          <w:sz w:val="20"/>
        </w:rPr>
        <w:t xml:space="preserve"> </w:t>
      </w:r>
    </w:p>
    <w:p w:rsidR="00DE6A60" w:rsidRPr="00AA5E27" w:rsidRDefault="00DE6A60" w:rsidP="00AA5E27">
      <w:pPr>
        <w:tabs>
          <w:tab w:val="left" w:pos="2694"/>
        </w:tabs>
        <w:outlineLvl w:val="0"/>
        <w:rPr>
          <w:rFonts w:ascii="Arial" w:hAnsi="Arial" w:cs="Arial"/>
          <w:sz w:val="20"/>
        </w:rPr>
      </w:pPr>
      <w:bookmarkStart w:id="64" w:name="_Toc409196622"/>
      <w:r w:rsidRPr="00AA5E27">
        <w:rPr>
          <w:rFonts w:ascii="Arial" w:hAnsi="Arial" w:cs="Arial"/>
          <w:sz w:val="20"/>
        </w:rPr>
        <w:t>Jak již bylo uvedeno, výklad EK nijak nezjednodušuje implementaci ESI fondů. Jako další problematické ustanovení čl. 70 se jeví role monitorovacího výboru při schvalování jednotlivých operací. Není to ani současná praxe, ani nové ustanovení legislativy týkající se pravomocí monitorovacího výboru mu žádnou takovouto aktivitu nepřisuzují.</w:t>
      </w:r>
      <w:bookmarkEnd w:id="64"/>
    </w:p>
    <w:p w:rsidR="00DE6A60" w:rsidRPr="00AA5E27" w:rsidRDefault="00DE6A60" w:rsidP="00AA5E27">
      <w:pPr>
        <w:tabs>
          <w:tab w:val="left" w:pos="2694"/>
        </w:tabs>
        <w:outlineLvl w:val="0"/>
        <w:rPr>
          <w:rFonts w:ascii="Arial" w:hAnsi="Arial" w:cs="Arial"/>
          <w:sz w:val="20"/>
        </w:rPr>
      </w:pPr>
      <w:bookmarkStart w:id="65" w:name="_Toc409196623"/>
      <w:r w:rsidRPr="00AA5E27">
        <w:rPr>
          <w:rFonts w:ascii="Arial" w:hAnsi="Arial" w:cs="Arial"/>
          <w:sz w:val="20"/>
        </w:rPr>
        <w:t xml:space="preserve">Závěrem k této části je tedy možné konstatovat, že </w:t>
      </w:r>
      <w:r w:rsidRPr="00AA5E27">
        <w:rPr>
          <w:rFonts w:ascii="Arial" w:hAnsi="Arial" w:cs="Arial"/>
          <w:b/>
          <w:sz w:val="20"/>
        </w:rPr>
        <w:t>nová legislativní úprava pro programové období 2</w:t>
      </w:r>
      <w:r w:rsidR="00AA5E27" w:rsidRPr="00AA5E27">
        <w:rPr>
          <w:rFonts w:ascii="Arial" w:hAnsi="Arial" w:cs="Arial"/>
          <w:b/>
          <w:sz w:val="20"/>
        </w:rPr>
        <w:t>014–</w:t>
      </w:r>
      <w:r w:rsidRPr="00AA5E27">
        <w:rPr>
          <w:rFonts w:ascii="Arial" w:hAnsi="Arial" w:cs="Arial"/>
          <w:b/>
          <w:sz w:val="20"/>
        </w:rPr>
        <w:t>2020 nepřináší ani příliš jasnosti a už vůbec ne zjednodušení do systému administrace ESI fondů realizovaných na území hl. města Prahy a majících přínos pro zbytek území ČR</w:t>
      </w:r>
      <w:r w:rsidRPr="00AA5E27">
        <w:rPr>
          <w:rFonts w:ascii="Arial" w:hAnsi="Arial" w:cs="Arial"/>
          <w:sz w:val="20"/>
        </w:rPr>
        <w:t>. ČR se dlouhodobě snažila nepříznivý výklad EK i na politických úrovních zvrátit, na straně zástupců EK však tyto snahy narážely na nepochopení, že primárním cílem ČR je dosáhnout zjednodušení pravidel, nikoliv zneužít tato pravidla pro zvýšení disponibilních prostředků pro rozvinutý region Prahy.</w:t>
      </w:r>
      <w:bookmarkEnd w:id="65"/>
      <w:r w:rsidRPr="00AA5E27">
        <w:rPr>
          <w:rFonts w:ascii="Arial" w:hAnsi="Arial" w:cs="Arial"/>
          <w:sz w:val="20"/>
        </w:rPr>
        <w:t xml:space="preserve"> </w:t>
      </w:r>
    </w:p>
    <w:p w:rsidR="00DE6A60" w:rsidRPr="00AA5E27" w:rsidRDefault="00DE6A60" w:rsidP="00AA5E27">
      <w:pPr>
        <w:tabs>
          <w:tab w:val="left" w:pos="2694"/>
        </w:tabs>
        <w:outlineLvl w:val="0"/>
        <w:rPr>
          <w:rFonts w:ascii="Arial" w:hAnsi="Arial" w:cs="Arial"/>
          <w:sz w:val="20"/>
        </w:rPr>
      </w:pPr>
      <w:bookmarkStart w:id="66" w:name="_Toc409196624"/>
      <w:r w:rsidRPr="00AA5E27">
        <w:rPr>
          <w:rFonts w:ascii="Arial" w:hAnsi="Arial" w:cs="Arial"/>
          <w:sz w:val="20"/>
        </w:rPr>
        <w:t>Obdobné problémy s interpretací výše zmíněných článků nařízení řešily i další členské země s hlavním městem náležejícím do odlišné kategorie regionů od zbytku státu. Prostřednictvím svých velvyslanců při EU zaslaly 3. března 2014 na adresu komisaře Hahna dopis, v němž popisují problémy, které může přísná interpretace EK způsobit. EK odpověděla dopise</w:t>
      </w:r>
      <w:r w:rsidR="00AA5E27">
        <w:rPr>
          <w:rFonts w:ascii="Arial" w:hAnsi="Arial" w:cs="Arial"/>
          <w:sz w:val="20"/>
        </w:rPr>
        <w:t>m generálního ředitele W. Deffay</w:t>
      </w:r>
      <w:r w:rsidRPr="00AA5E27">
        <w:rPr>
          <w:rFonts w:ascii="Arial" w:hAnsi="Arial" w:cs="Arial"/>
          <w:sz w:val="20"/>
        </w:rPr>
        <w:t xml:space="preserve"> dne 28. března 2014. Tato odpověď obsahovala zopakování argumentů o nutnosti členit intervence dle</w:t>
      </w:r>
      <w:r w:rsidR="00BD2A5A">
        <w:rPr>
          <w:rFonts w:ascii="Arial" w:hAnsi="Arial" w:cs="Arial"/>
          <w:sz w:val="20"/>
        </w:rPr>
        <w:t xml:space="preserve"> jejich přínosu různým kategoriím</w:t>
      </w:r>
      <w:r w:rsidRPr="00AA5E27">
        <w:rPr>
          <w:rFonts w:ascii="Arial" w:hAnsi="Arial" w:cs="Arial"/>
          <w:sz w:val="20"/>
        </w:rPr>
        <w:t xml:space="preserve"> regionů – tzv. pro rata model.</w:t>
      </w:r>
      <w:bookmarkEnd w:id="66"/>
    </w:p>
    <w:p w:rsidR="00DE6A60" w:rsidRPr="00AA5E27" w:rsidRDefault="00DE6A60" w:rsidP="00AA5E27">
      <w:pPr>
        <w:tabs>
          <w:tab w:val="left" w:pos="2694"/>
        </w:tabs>
        <w:outlineLvl w:val="0"/>
        <w:rPr>
          <w:rFonts w:ascii="Arial" w:hAnsi="Arial" w:cs="Arial"/>
          <w:sz w:val="20"/>
          <w:u w:val="single"/>
        </w:rPr>
      </w:pPr>
      <w:bookmarkStart w:id="67" w:name="_Toc409196625"/>
      <w:r w:rsidRPr="00AA5E27">
        <w:rPr>
          <w:rFonts w:ascii="Arial" w:hAnsi="Arial" w:cs="Arial"/>
          <w:sz w:val="20"/>
          <w:u w:val="single"/>
        </w:rPr>
        <w:t>Fáze vyjednávání o aplikaci čl. 70 a pro rata v dotčených programech</w:t>
      </w:r>
      <w:bookmarkEnd w:id="67"/>
      <w:r w:rsidRPr="00AA5E27">
        <w:rPr>
          <w:rFonts w:ascii="Arial" w:hAnsi="Arial" w:cs="Arial"/>
          <w:sz w:val="20"/>
          <w:u w:val="single"/>
        </w:rPr>
        <w:t xml:space="preserve"> </w:t>
      </w:r>
    </w:p>
    <w:p w:rsidR="00DE6A60" w:rsidRPr="00AA5E27" w:rsidRDefault="00DE6A60" w:rsidP="00AA5E27">
      <w:pPr>
        <w:tabs>
          <w:tab w:val="left" w:pos="2694"/>
        </w:tabs>
        <w:outlineLvl w:val="0"/>
        <w:rPr>
          <w:rFonts w:ascii="Arial" w:hAnsi="Arial" w:cs="Arial"/>
          <w:sz w:val="20"/>
        </w:rPr>
      </w:pPr>
      <w:bookmarkStart w:id="68" w:name="_Toc409196626"/>
      <w:r w:rsidRPr="00AA5E27">
        <w:rPr>
          <w:rFonts w:ascii="Arial" w:hAnsi="Arial" w:cs="Arial"/>
          <w:sz w:val="20"/>
        </w:rPr>
        <w:t xml:space="preserve">Výsledkem výše popsaného výkladu EK k čl. 70 </w:t>
      </w:r>
      <w:r w:rsidR="00AA5E27">
        <w:rPr>
          <w:rFonts w:ascii="Arial" w:hAnsi="Arial" w:cs="Arial"/>
          <w:sz w:val="20"/>
        </w:rPr>
        <w:t>O</w:t>
      </w:r>
      <w:r w:rsidRPr="00AA5E27">
        <w:rPr>
          <w:rFonts w:ascii="Arial" w:hAnsi="Arial" w:cs="Arial"/>
          <w:sz w:val="20"/>
        </w:rPr>
        <w:t xml:space="preserve">becného nařízení a čl. 13 nařízení o ESF tedy je, že </w:t>
      </w:r>
      <w:r w:rsidRPr="00AA5E27">
        <w:rPr>
          <w:rFonts w:ascii="Arial" w:hAnsi="Arial" w:cs="Arial"/>
          <w:b/>
          <w:sz w:val="20"/>
        </w:rPr>
        <w:t>pro každou operaci mimo programové území musí být stanovena míra přínosu pro obě kategorie regionů, tzv. pro rata</w:t>
      </w:r>
      <w:r w:rsidRPr="00AA5E27">
        <w:rPr>
          <w:rFonts w:ascii="Arial" w:hAnsi="Arial" w:cs="Arial"/>
          <w:sz w:val="20"/>
        </w:rPr>
        <w:t xml:space="preserve">. Ve fázi zpracování programů a jejich vyjednávání s EK se klíčovou stala otázka, na jaké úrovni programu má být pro rata stanoveno a následně řízeno při implementaci. Snahou bylo dosáhnout, aby pro rata bylo aplikováno na pokud možno co nejvyšší úrovni programu. </w:t>
      </w:r>
      <w:r w:rsidRPr="00AA5E27">
        <w:rPr>
          <w:rFonts w:ascii="Arial" w:hAnsi="Arial" w:cs="Arial"/>
          <w:sz w:val="20"/>
        </w:rPr>
        <w:lastRenderedPageBreak/>
        <w:t xml:space="preserve">Čím podrobnější </w:t>
      </w:r>
      <w:r w:rsidR="00BD2A5A">
        <w:rPr>
          <w:rFonts w:ascii="Arial" w:hAnsi="Arial" w:cs="Arial"/>
          <w:sz w:val="20"/>
        </w:rPr>
        <w:t xml:space="preserve">je </w:t>
      </w:r>
      <w:r w:rsidRPr="00AA5E27">
        <w:rPr>
          <w:rFonts w:ascii="Arial" w:hAnsi="Arial" w:cs="Arial"/>
          <w:sz w:val="20"/>
        </w:rPr>
        <w:t xml:space="preserve">stanovení pro rata až na úrovni investičních priorit </w:t>
      </w:r>
      <w:r w:rsidR="00BD2A5A">
        <w:rPr>
          <w:rFonts w:ascii="Arial" w:hAnsi="Arial" w:cs="Arial"/>
          <w:sz w:val="20"/>
        </w:rPr>
        <w:t>či operací, tím větší bude zátěž pro </w:t>
      </w:r>
      <w:r w:rsidRPr="00AA5E27">
        <w:rPr>
          <w:rFonts w:ascii="Arial" w:hAnsi="Arial" w:cs="Arial"/>
          <w:sz w:val="20"/>
        </w:rPr>
        <w:t>následné řízení programu a komplikovanější řešení případných realokací uvnitř programu.</w:t>
      </w:r>
      <w:bookmarkEnd w:id="68"/>
      <w:r w:rsidRPr="00AA5E27">
        <w:rPr>
          <w:rFonts w:ascii="Arial" w:hAnsi="Arial" w:cs="Arial"/>
          <w:sz w:val="20"/>
        </w:rPr>
        <w:t xml:space="preserve"> </w:t>
      </w:r>
    </w:p>
    <w:p w:rsidR="00DE6A60" w:rsidRPr="00AA5E27" w:rsidRDefault="00DE6A60" w:rsidP="00AA5E27">
      <w:pPr>
        <w:tabs>
          <w:tab w:val="left" w:pos="2694"/>
        </w:tabs>
        <w:outlineLvl w:val="0"/>
        <w:rPr>
          <w:rFonts w:ascii="Arial" w:hAnsi="Arial" w:cs="Arial"/>
          <w:sz w:val="20"/>
        </w:rPr>
      </w:pPr>
      <w:bookmarkStart w:id="69" w:name="_Toc409196627"/>
      <w:r w:rsidRPr="00AA5E27">
        <w:rPr>
          <w:rFonts w:ascii="Arial" w:hAnsi="Arial" w:cs="Arial"/>
          <w:sz w:val="20"/>
        </w:rPr>
        <w:t>Historicky proběhlo k tématu s EK několik jednání, zejména při neformálním dialogu k dotčeným programům na konci ledna 2014 či na počátku dubna 2014. Některé řídicí orgány zaslaly dle dohody s</w:t>
      </w:r>
      <w:r w:rsidR="008D7D33">
        <w:rPr>
          <w:rFonts w:ascii="Arial" w:hAnsi="Arial" w:cs="Arial"/>
          <w:sz w:val="20"/>
        </w:rPr>
        <w:t> </w:t>
      </w:r>
      <w:r w:rsidRPr="00AA5E27">
        <w:rPr>
          <w:rFonts w:ascii="Arial" w:hAnsi="Arial" w:cs="Arial"/>
          <w:sz w:val="20"/>
        </w:rPr>
        <w:t xml:space="preserve">EK návrh svého způsobu řešení problematiky již v této fázi, reakce ze strany EK však nebyla poskytnuta, protože na úrovni EK a zejména mezi jejími jednotlivými </w:t>
      </w:r>
      <w:r w:rsidR="008D7D33">
        <w:rPr>
          <w:rFonts w:ascii="Arial" w:hAnsi="Arial" w:cs="Arial"/>
          <w:sz w:val="20"/>
        </w:rPr>
        <w:t xml:space="preserve">generálními </w:t>
      </w:r>
      <w:r w:rsidRPr="00AA5E27">
        <w:rPr>
          <w:rFonts w:ascii="Arial" w:hAnsi="Arial" w:cs="Arial"/>
          <w:sz w:val="20"/>
        </w:rPr>
        <w:t>ředitelstvími panovala dlouhodobá nevyjasněnost názorů na způsob nastavení pro rata. EK se již od počátku roku 2014 opakovaně pouze odkazovala na metodický dokument EK, který měl být vydán, popř. se postupně ukazovalo, že případná vyjádření, která EK jednotlivým řídicím orgánům poskytovala, se navzájem lišila.</w:t>
      </w:r>
      <w:bookmarkEnd w:id="69"/>
    </w:p>
    <w:p w:rsidR="00DE6A60" w:rsidRPr="00AA5E27" w:rsidRDefault="00DE6A60" w:rsidP="00AA5E27">
      <w:pPr>
        <w:tabs>
          <w:tab w:val="left" w:pos="2694"/>
        </w:tabs>
        <w:outlineLvl w:val="0"/>
        <w:rPr>
          <w:rFonts w:ascii="Arial" w:hAnsi="Arial" w:cs="Arial"/>
          <w:sz w:val="20"/>
        </w:rPr>
      </w:pPr>
      <w:bookmarkStart w:id="70" w:name="_Toc409196628"/>
      <w:r w:rsidRPr="008D7D33">
        <w:rPr>
          <w:rFonts w:ascii="Arial" w:hAnsi="Arial" w:cs="Arial"/>
          <w:b/>
          <w:sz w:val="20"/>
        </w:rPr>
        <w:t>Lišil se navíc zásadním způsobem přístup EK k jednotlivým členským státům</w:t>
      </w:r>
      <w:r w:rsidRPr="00AA5E27">
        <w:rPr>
          <w:rFonts w:ascii="Arial" w:hAnsi="Arial" w:cs="Arial"/>
          <w:sz w:val="20"/>
        </w:rPr>
        <w:t xml:space="preserve">. </w:t>
      </w:r>
      <w:r w:rsidRPr="00BD2A5A">
        <w:rPr>
          <w:rFonts w:ascii="Arial" w:hAnsi="Arial" w:cs="Arial"/>
          <w:i/>
          <w:sz w:val="20"/>
        </w:rPr>
        <w:t>Polsku</w:t>
      </w:r>
      <w:r w:rsidRPr="00AA5E27">
        <w:rPr>
          <w:rFonts w:ascii="Arial" w:hAnsi="Arial" w:cs="Arial"/>
          <w:sz w:val="20"/>
        </w:rPr>
        <w:t xml:space="preserve"> bylo již při</w:t>
      </w:r>
      <w:r w:rsidR="008D7D33">
        <w:rPr>
          <w:rFonts w:ascii="Arial" w:hAnsi="Arial" w:cs="Arial"/>
          <w:sz w:val="20"/>
        </w:rPr>
        <w:t> </w:t>
      </w:r>
      <w:r w:rsidRPr="00AA5E27">
        <w:rPr>
          <w:rFonts w:ascii="Arial" w:hAnsi="Arial" w:cs="Arial"/>
          <w:sz w:val="20"/>
        </w:rPr>
        <w:t>schválení Dohody o partnerství v květnu 2014 odsouhlaseno stanovení shodného pro rata pro</w:t>
      </w:r>
      <w:r w:rsidR="008D7D33">
        <w:rPr>
          <w:rFonts w:ascii="Arial" w:hAnsi="Arial" w:cs="Arial"/>
          <w:sz w:val="20"/>
        </w:rPr>
        <w:t> </w:t>
      </w:r>
      <w:r w:rsidRPr="00AA5E27">
        <w:rPr>
          <w:rFonts w:ascii="Arial" w:hAnsi="Arial" w:cs="Arial"/>
          <w:sz w:val="20"/>
        </w:rPr>
        <w:t>všechny dotčené ESF programy a shodného pro všechny dotčené ERDF programy. Při</w:t>
      </w:r>
      <w:r w:rsidR="008D7D33">
        <w:rPr>
          <w:rFonts w:ascii="Arial" w:hAnsi="Arial" w:cs="Arial"/>
          <w:sz w:val="20"/>
        </w:rPr>
        <w:t> </w:t>
      </w:r>
      <w:r w:rsidRPr="00AA5E27">
        <w:rPr>
          <w:rFonts w:ascii="Arial" w:hAnsi="Arial" w:cs="Arial"/>
          <w:sz w:val="20"/>
        </w:rPr>
        <w:t>vyjednávání této otázky v programech ČR naproti tomu EK následně při formálním vyjednávání od</w:t>
      </w:r>
      <w:r w:rsidR="008D7D33">
        <w:rPr>
          <w:rFonts w:ascii="Arial" w:hAnsi="Arial" w:cs="Arial"/>
          <w:sz w:val="20"/>
        </w:rPr>
        <w:t> </w:t>
      </w:r>
      <w:r w:rsidRPr="00AA5E27">
        <w:rPr>
          <w:rFonts w:ascii="Arial" w:hAnsi="Arial" w:cs="Arial"/>
          <w:sz w:val="20"/>
        </w:rPr>
        <w:t>září/října 2014 prezentovala stanovisko, že pro rata musí být stanoveno jednotlivě na úrovni operací, tj. naprosto odlišný a nesrovnatelně přísnější přístup než v případě Polska.</w:t>
      </w:r>
      <w:bookmarkEnd w:id="70"/>
    </w:p>
    <w:p w:rsidR="00DE6A60" w:rsidRPr="00AA5E27" w:rsidRDefault="00DE6A60" w:rsidP="00AA5E27">
      <w:pPr>
        <w:tabs>
          <w:tab w:val="left" w:pos="2694"/>
        </w:tabs>
        <w:outlineLvl w:val="0"/>
        <w:rPr>
          <w:rFonts w:ascii="Arial" w:hAnsi="Arial" w:cs="Arial"/>
          <w:sz w:val="20"/>
        </w:rPr>
      </w:pPr>
      <w:bookmarkStart w:id="71" w:name="_Toc409196629"/>
      <w:r w:rsidRPr="00AA5E27">
        <w:rPr>
          <w:rFonts w:ascii="Arial" w:hAnsi="Arial" w:cs="Arial"/>
          <w:sz w:val="20"/>
        </w:rPr>
        <w:t>Vydání zmíněného metodického dokumentu EK, který měl upravovat pravidla pro financování operací mimo programové území a pro rata model a bez jehož existence jsou ze strany EK poskytována vysvětlení a reakce jen v omezené míře a pouze na některé otázky, je opakovaně odkládáno. Vydání bylo postupně slibováno ze strany EK na jaro 2014, následně červen 2014, září 2014, listopad – prosinec 2014 a v současnosti na leden 2015, což je znovu nejistý termín. Dotčené programy tak musely být zpracovány a jsou vyjednávány v situaci, kdy chybí klíčový dokument ze strany EK, který má popsat podmínky a pravidla pro tuto oblast.</w:t>
      </w:r>
      <w:bookmarkEnd w:id="71"/>
    </w:p>
    <w:p w:rsidR="00DE6A60" w:rsidRPr="00AA5E27" w:rsidRDefault="00DE6A60" w:rsidP="00AA5E27">
      <w:pPr>
        <w:tabs>
          <w:tab w:val="left" w:pos="2694"/>
        </w:tabs>
        <w:outlineLvl w:val="0"/>
        <w:rPr>
          <w:rFonts w:ascii="Arial" w:hAnsi="Arial" w:cs="Arial"/>
          <w:sz w:val="20"/>
        </w:rPr>
      </w:pPr>
      <w:bookmarkStart w:id="72" w:name="_Toc409196630"/>
      <w:r w:rsidRPr="00AA5E27">
        <w:rPr>
          <w:rFonts w:ascii="Arial" w:hAnsi="Arial" w:cs="Arial"/>
          <w:sz w:val="20"/>
        </w:rPr>
        <w:t>MMR</w:t>
      </w:r>
      <w:r w:rsidR="00BD2A5A">
        <w:rPr>
          <w:rFonts w:ascii="Arial" w:hAnsi="Arial" w:cs="Arial"/>
          <w:sz w:val="20"/>
        </w:rPr>
        <w:t>-NOK</w:t>
      </w:r>
      <w:r w:rsidRPr="00AA5E27">
        <w:rPr>
          <w:rFonts w:ascii="Arial" w:hAnsi="Arial" w:cs="Arial"/>
          <w:sz w:val="20"/>
        </w:rPr>
        <w:t xml:space="preserve"> ve spolupráci se Stálým zastoupením ČR v Bruselu provedlo </w:t>
      </w:r>
      <w:r w:rsidRPr="008D7D33">
        <w:rPr>
          <w:rFonts w:ascii="Arial" w:hAnsi="Arial" w:cs="Arial"/>
          <w:b/>
          <w:sz w:val="20"/>
        </w:rPr>
        <w:t>screening situace v několika členských státech</w:t>
      </w:r>
      <w:r w:rsidRPr="00AA5E27">
        <w:rPr>
          <w:rFonts w:ascii="Arial" w:hAnsi="Arial" w:cs="Arial"/>
          <w:sz w:val="20"/>
        </w:rPr>
        <w:t xml:space="preserve">, z něhož lze stručně učinit následující </w:t>
      </w:r>
      <w:r w:rsidR="00BD2A5A">
        <w:rPr>
          <w:rFonts w:ascii="Arial" w:hAnsi="Arial" w:cs="Arial"/>
          <w:sz w:val="20"/>
        </w:rPr>
        <w:t>závěry</w:t>
      </w:r>
      <w:r w:rsidRPr="00AA5E27">
        <w:rPr>
          <w:rFonts w:ascii="Arial" w:hAnsi="Arial" w:cs="Arial"/>
          <w:sz w:val="20"/>
        </w:rPr>
        <w:t>:</w:t>
      </w:r>
      <w:bookmarkEnd w:id="72"/>
      <w:r w:rsidRPr="00AA5E27">
        <w:rPr>
          <w:rFonts w:ascii="Arial" w:hAnsi="Arial" w:cs="Arial"/>
          <w:sz w:val="20"/>
        </w:rPr>
        <w:t xml:space="preserve"> </w:t>
      </w:r>
    </w:p>
    <w:p w:rsidR="00DE6A60" w:rsidRDefault="008D7D33" w:rsidP="008D7D33">
      <w:pPr>
        <w:pStyle w:val="Odstavecseseznamem"/>
        <w:numPr>
          <w:ilvl w:val="0"/>
          <w:numId w:val="29"/>
        </w:numPr>
        <w:spacing w:before="60" w:after="0"/>
        <w:ind w:left="568" w:hanging="284"/>
        <w:rPr>
          <w:rFonts w:ascii="Arial" w:hAnsi="Arial" w:cs="Arial"/>
          <w:sz w:val="20"/>
          <w:szCs w:val="20"/>
        </w:rPr>
      </w:pPr>
      <w:r>
        <w:rPr>
          <w:rFonts w:ascii="Arial" w:hAnsi="Arial" w:cs="Arial"/>
          <w:sz w:val="20"/>
          <w:szCs w:val="20"/>
        </w:rPr>
        <w:t>N</w:t>
      </w:r>
      <w:r w:rsidR="00DE6A60">
        <w:rPr>
          <w:rFonts w:ascii="Arial" w:hAnsi="Arial" w:cs="Arial"/>
          <w:sz w:val="20"/>
          <w:szCs w:val="20"/>
        </w:rPr>
        <w:t>a dotaz, zda je pro rata aplikováno na úrovni operací, či zda umožnila EK aplikaci pro rata na</w:t>
      </w:r>
      <w:r>
        <w:rPr>
          <w:rFonts w:ascii="Arial" w:hAnsi="Arial" w:cs="Arial"/>
          <w:sz w:val="20"/>
          <w:szCs w:val="20"/>
        </w:rPr>
        <w:t> </w:t>
      </w:r>
      <w:r w:rsidR="00DE6A60">
        <w:rPr>
          <w:rFonts w:ascii="Arial" w:hAnsi="Arial" w:cs="Arial"/>
          <w:sz w:val="20"/>
          <w:szCs w:val="20"/>
        </w:rPr>
        <w:t>vyšší úrovni bylo v relevantních případech uvedeno, že ze strany EK bylo navrženo pro rata na úrovni prioritní osy (</w:t>
      </w:r>
      <w:r w:rsidRPr="00D237F2">
        <w:rPr>
          <w:rFonts w:ascii="Arial" w:hAnsi="Arial" w:cs="Arial"/>
          <w:i/>
          <w:sz w:val="20"/>
          <w:szCs w:val="20"/>
        </w:rPr>
        <w:t>Maďarsko</w:t>
      </w:r>
      <w:r w:rsidR="00DE6A60">
        <w:rPr>
          <w:rFonts w:ascii="Arial" w:hAnsi="Arial" w:cs="Arial"/>
          <w:sz w:val="20"/>
          <w:szCs w:val="20"/>
        </w:rPr>
        <w:t>), nicméně zvolena byla úroveň operace, případně že navržena byla úroveň prioritní osy (</w:t>
      </w:r>
      <w:r w:rsidRPr="00D237F2">
        <w:rPr>
          <w:rFonts w:ascii="Arial" w:hAnsi="Arial" w:cs="Arial"/>
          <w:i/>
          <w:sz w:val="20"/>
          <w:szCs w:val="20"/>
        </w:rPr>
        <w:t>Slovinsko</w:t>
      </w:r>
      <w:r w:rsidR="00DE6A60">
        <w:rPr>
          <w:rFonts w:ascii="Arial" w:hAnsi="Arial" w:cs="Arial"/>
          <w:sz w:val="20"/>
          <w:szCs w:val="20"/>
        </w:rPr>
        <w:t>) ze strany členského státu, což bylo EK umožněno. Tento přístup je rozdílný oproti situaci v ČR, kde byl požadavek na různou míru pro</w:t>
      </w:r>
      <w:r>
        <w:rPr>
          <w:rFonts w:ascii="Arial" w:hAnsi="Arial" w:cs="Arial"/>
          <w:sz w:val="20"/>
          <w:szCs w:val="20"/>
        </w:rPr>
        <w:t> </w:t>
      </w:r>
      <w:r w:rsidR="00DE6A60">
        <w:rPr>
          <w:rFonts w:ascii="Arial" w:hAnsi="Arial" w:cs="Arial"/>
          <w:sz w:val="20"/>
          <w:szCs w:val="20"/>
        </w:rPr>
        <w:t>rata dle typu projektů, tedy na operaci.</w:t>
      </w:r>
    </w:p>
    <w:p w:rsidR="00DE6A60" w:rsidRPr="00FD1A64" w:rsidRDefault="008D7D33" w:rsidP="00AA5E27">
      <w:pPr>
        <w:pStyle w:val="Odstavecseseznamem"/>
        <w:numPr>
          <w:ilvl w:val="0"/>
          <w:numId w:val="29"/>
        </w:numPr>
        <w:spacing w:after="0"/>
        <w:ind w:left="567" w:hanging="283"/>
        <w:rPr>
          <w:rFonts w:ascii="Arial" w:hAnsi="Arial" w:cs="Arial"/>
          <w:sz w:val="20"/>
          <w:szCs w:val="20"/>
        </w:rPr>
      </w:pPr>
      <w:r>
        <w:rPr>
          <w:rFonts w:ascii="Arial" w:hAnsi="Arial" w:cs="Arial"/>
          <w:sz w:val="20"/>
          <w:szCs w:val="20"/>
        </w:rPr>
        <w:t>N</w:t>
      </w:r>
      <w:r w:rsidR="00DE6A60">
        <w:rPr>
          <w:rFonts w:ascii="Arial" w:hAnsi="Arial" w:cs="Arial"/>
          <w:sz w:val="20"/>
          <w:szCs w:val="20"/>
        </w:rPr>
        <w:t xml:space="preserve">a dotaz, zda je pro rata aplikováno na celkové způsobilé výdaje, nebo jen na příspěvek unie, tedy oblast, která není s EK stále dořešena, přišla jen odpověď od </w:t>
      </w:r>
      <w:r w:rsidR="00DE6A60" w:rsidRPr="00D237F2">
        <w:rPr>
          <w:rFonts w:ascii="Arial" w:hAnsi="Arial" w:cs="Arial"/>
          <w:i/>
          <w:sz w:val="20"/>
          <w:szCs w:val="20"/>
        </w:rPr>
        <w:t>Maďarska</w:t>
      </w:r>
      <w:r w:rsidR="00DE6A60">
        <w:rPr>
          <w:rFonts w:ascii="Arial" w:hAnsi="Arial" w:cs="Arial"/>
          <w:sz w:val="20"/>
          <w:szCs w:val="20"/>
        </w:rPr>
        <w:t>, kdy pro rata je aplikováno na příspěvek Unie, aniž by toto nastavení jakkoliv řešili s EK.</w:t>
      </w:r>
    </w:p>
    <w:p w:rsidR="00DE6A60" w:rsidRPr="00AA5E27" w:rsidRDefault="00DE6A60" w:rsidP="00AA5E27">
      <w:pPr>
        <w:tabs>
          <w:tab w:val="left" w:pos="2694"/>
        </w:tabs>
        <w:spacing w:before="60"/>
        <w:outlineLvl w:val="0"/>
        <w:rPr>
          <w:rFonts w:ascii="Arial" w:hAnsi="Arial" w:cs="Arial"/>
          <w:sz w:val="20"/>
        </w:rPr>
      </w:pPr>
      <w:bookmarkStart w:id="73" w:name="_Toc409196632"/>
      <w:r w:rsidRPr="00AA5E27">
        <w:rPr>
          <w:rFonts w:ascii="Arial" w:hAnsi="Arial" w:cs="Arial"/>
          <w:sz w:val="20"/>
        </w:rPr>
        <w:t xml:space="preserve">Postup EK ve věci financování operací mimo programové území, tj. čl. 70 </w:t>
      </w:r>
      <w:r w:rsidR="00BD2A5A">
        <w:rPr>
          <w:rFonts w:ascii="Arial" w:hAnsi="Arial" w:cs="Arial"/>
          <w:sz w:val="20"/>
        </w:rPr>
        <w:t>O</w:t>
      </w:r>
      <w:r w:rsidRPr="00AA5E27">
        <w:rPr>
          <w:rFonts w:ascii="Arial" w:hAnsi="Arial" w:cs="Arial"/>
          <w:sz w:val="20"/>
        </w:rPr>
        <w:t>becného nařízení je dlouhodobě velmi problematický a významným způsobem komplikoval a komplikuje řešení této otázky jak v Dohodě o partnerství, tak v dotčených programech, a to z následujících důvodů:</w:t>
      </w:r>
      <w:bookmarkEnd w:id="73"/>
    </w:p>
    <w:p w:rsidR="00DE6A60" w:rsidRPr="00AA5E27" w:rsidRDefault="00DE6A60" w:rsidP="008D7D33">
      <w:pPr>
        <w:pStyle w:val="Odstavecseseznamem"/>
        <w:numPr>
          <w:ilvl w:val="0"/>
          <w:numId w:val="29"/>
        </w:numPr>
        <w:spacing w:before="0" w:after="0"/>
        <w:ind w:left="568" w:hanging="284"/>
        <w:rPr>
          <w:rFonts w:ascii="Arial" w:hAnsi="Arial" w:cs="Arial"/>
          <w:sz w:val="20"/>
          <w:szCs w:val="20"/>
        </w:rPr>
      </w:pPr>
      <w:r w:rsidRPr="00AA5E27">
        <w:rPr>
          <w:rFonts w:ascii="Arial" w:hAnsi="Arial" w:cs="Arial"/>
          <w:sz w:val="20"/>
          <w:szCs w:val="20"/>
        </w:rPr>
        <w:t xml:space="preserve">Výklad čl. 70 </w:t>
      </w:r>
      <w:r w:rsidR="00BD2A5A">
        <w:rPr>
          <w:rFonts w:ascii="Arial" w:hAnsi="Arial" w:cs="Arial"/>
          <w:sz w:val="20"/>
          <w:szCs w:val="20"/>
        </w:rPr>
        <w:t>O</w:t>
      </w:r>
      <w:r w:rsidRPr="00AA5E27">
        <w:rPr>
          <w:rFonts w:ascii="Arial" w:hAnsi="Arial" w:cs="Arial"/>
          <w:sz w:val="20"/>
          <w:szCs w:val="20"/>
        </w:rPr>
        <w:t>becného nařízení a čl. 13 nařízení o ESF byl ze strany EK velmi dlouho nevyjasněný, na dotazy ČR bylo reagováno se značnými prodlevami v řádu několika měsíců a</w:t>
      </w:r>
      <w:r w:rsidR="008D7D33">
        <w:rPr>
          <w:rFonts w:ascii="Arial" w:hAnsi="Arial" w:cs="Arial"/>
          <w:sz w:val="20"/>
          <w:szCs w:val="20"/>
        </w:rPr>
        <w:t> </w:t>
      </w:r>
      <w:r w:rsidRPr="00AA5E27">
        <w:rPr>
          <w:rFonts w:ascii="Arial" w:hAnsi="Arial" w:cs="Arial"/>
          <w:sz w:val="20"/>
          <w:szCs w:val="20"/>
        </w:rPr>
        <w:t>na relevantní argumenty ČR i ostatních členských států EK reagovala odmítavě a</w:t>
      </w:r>
      <w:r w:rsidR="008D7D33">
        <w:rPr>
          <w:rFonts w:ascii="Arial" w:hAnsi="Arial" w:cs="Arial"/>
          <w:sz w:val="20"/>
          <w:szCs w:val="20"/>
        </w:rPr>
        <w:t> </w:t>
      </w:r>
      <w:r w:rsidRPr="00AA5E27">
        <w:rPr>
          <w:rFonts w:ascii="Arial" w:hAnsi="Arial" w:cs="Arial"/>
          <w:sz w:val="20"/>
          <w:szCs w:val="20"/>
        </w:rPr>
        <w:t>s nepochopením.</w:t>
      </w:r>
    </w:p>
    <w:p w:rsidR="00DE6A60" w:rsidRPr="00AA5E27" w:rsidRDefault="00DE6A60" w:rsidP="00AA5E27">
      <w:pPr>
        <w:pStyle w:val="Odstavecseseznamem"/>
        <w:numPr>
          <w:ilvl w:val="0"/>
          <w:numId w:val="29"/>
        </w:numPr>
        <w:spacing w:after="0"/>
        <w:ind w:left="567" w:hanging="283"/>
        <w:rPr>
          <w:rFonts w:ascii="Arial" w:hAnsi="Arial" w:cs="Arial"/>
          <w:sz w:val="20"/>
          <w:szCs w:val="20"/>
        </w:rPr>
      </w:pPr>
      <w:r w:rsidRPr="00AA5E27">
        <w:rPr>
          <w:rFonts w:ascii="Arial" w:hAnsi="Arial" w:cs="Arial"/>
          <w:sz w:val="20"/>
          <w:szCs w:val="20"/>
        </w:rPr>
        <w:t xml:space="preserve">Přístup EK k jednotlivým členským státům byl diametrálně odlišný. Naprosto kontrastní byl přístup k Polsku, kterému EK umožnila velmi zjednodušené nastavení ve srovnání s přístupem k ČR. </w:t>
      </w:r>
    </w:p>
    <w:p w:rsidR="00DE6A60" w:rsidRDefault="00DE6A60" w:rsidP="00AA5E27">
      <w:pPr>
        <w:pStyle w:val="Odstavecseseznamem"/>
        <w:numPr>
          <w:ilvl w:val="0"/>
          <w:numId w:val="29"/>
        </w:numPr>
        <w:spacing w:after="0"/>
        <w:ind w:left="567" w:hanging="283"/>
        <w:rPr>
          <w:rFonts w:ascii="Arial" w:hAnsi="Arial" w:cs="Arial"/>
          <w:sz w:val="20"/>
          <w:szCs w:val="20"/>
        </w:rPr>
      </w:pPr>
      <w:r w:rsidRPr="00AA5E27">
        <w:rPr>
          <w:rFonts w:ascii="Arial" w:hAnsi="Arial" w:cs="Arial"/>
          <w:sz w:val="20"/>
          <w:szCs w:val="20"/>
        </w:rPr>
        <w:t>Na klíčové dotazy na konkrétní podmínky a pravidla pro nastavení této otázky v programech EK buď nereagovala, nebo reagovala se značným zpožděním či rozporně vůči jednotlivým programům. Klíčový metodický dokument EK, který má tato pravidla nastavit a jehož vydání je slibováno a postupně odkládáno již více než rok, dosud chybí.</w:t>
      </w:r>
    </w:p>
    <w:p w:rsidR="00FD4F24" w:rsidRDefault="00FD4F24" w:rsidP="00A52B4C">
      <w:pPr>
        <w:pStyle w:val="Nadpis2"/>
      </w:pPr>
      <w:r w:rsidRPr="00A52B4C">
        <w:lastRenderedPageBreak/>
        <w:t>EIA</w:t>
      </w:r>
    </w:p>
    <w:p w:rsidR="00EF7767" w:rsidRPr="00A52B4C" w:rsidRDefault="00EF7767" w:rsidP="00A52B4C">
      <w:pPr>
        <w:tabs>
          <w:tab w:val="left" w:pos="2694"/>
        </w:tabs>
        <w:outlineLvl w:val="0"/>
        <w:rPr>
          <w:rFonts w:ascii="Arial" w:hAnsi="Arial" w:cs="Arial"/>
          <w:sz w:val="20"/>
        </w:rPr>
      </w:pPr>
      <w:r w:rsidRPr="00A52B4C">
        <w:rPr>
          <w:rFonts w:ascii="Arial" w:hAnsi="Arial" w:cs="Arial"/>
          <w:sz w:val="20"/>
        </w:rPr>
        <w:t xml:space="preserve">V dubnu 2013 obdržela ČR tzv. </w:t>
      </w:r>
      <w:r w:rsidRPr="00D237F2">
        <w:rPr>
          <w:rFonts w:ascii="Arial" w:hAnsi="Arial" w:cs="Arial"/>
          <w:b/>
          <w:sz w:val="20"/>
        </w:rPr>
        <w:t>formální upozornění ze strany EK ohledně namítaného nesprávného provedení směrnice EIA</w:t>
      </w:r>
      <w:r w:rsidRPr="00A52B4C">
        <w:rPr>
          <w:rFonts w:ascii="Arial" w:hAnsi="Arial" w:cs="Arial"/>
          <w:sz w:val="20"/>
        </w:rPr>
        <w:t>. Přímou hrozbou vyplývající z tohoto řízení je vydání odůvodněného stanoviska, které by mohlo zastavit proplácení  u spolufinancovaných projektů, jejichž předmětem je stavba podléhající posouzení EIA. Potencionálně ohroženy tak byly (a stále jsou – do</w:t>
      </w:r>
      <w:r w:rsidR="004C4A0C">
        <w:rPr>
          <w:rFonts w:ascii="Arial" w:hAnsi="Arial" w:cs="Arial"/>
          <w:sz w:val="20"/>
        </w:rPr>
        <w:t> </w:t>
      </w:r>
      <w:r w:rsidRPr="00A52B4C">
        <w:rPr>
          <w:rFonts w:ascii="Arial" w:hAnsi="Arial" w:cs="Arial"/>
          <w:sz w:val="20"/>
        </w:rPr>
        <w:t>doby přijetí novely, viz níže) prostředky ve výši asi 100 mld. Kč. Pokud by byla ČR po podání žaloby ze strany EK odsouzena Soudní dvorem EU, hrozila by dále pokuta a penále.</w:t>
      </w:r>
    </w:p>
    <w:p w:rsidR="00EF7767" w:rsidRPr="00A52B4C" w:rsidRDefault="00EF7767" w:rsidP="00A52B4C">
      <w:pPr>
        <w:tabs>
          <w:tab w:val="left" w:pos="2694"/>
        </w:tabs>
        <w:outlineLvl w:val="0"/>
        <w:rPr>
          <w:rFonts w:ascii="Arial" w:hAnsi="Arial" w:cs="Arial"/>
          <w:sz w:val="20"/>
        </w:rPr>
      </w:pPr>
      <w:r w:rsidRPr="00A52B4C">
        <w:rPr>
          <w:rFonts w:ascii="Arial" w:hAnsi="Arial" w:cs="Arial"/>
          <w:sz w:val="20"/>
        </w:rPr>
        <w:t xml:space="preserve">V odpovědi na formální upozornění </w:t>
      </w:r>
      <w:r w:rsidRPr="00D237F2">
        <w:rPr>
          <w:rFonts w:ascii="Arial" w:hAnsi="Arial" w:cs="Arial"/>
          <w:b/>
          <w:sz w:val="20"/>
        </w:rPr>
        <w:t>ČR částečně uznala předložené výtky a navrhla plán novely</w:t>
      </w:r>
      <w:r w:rsidRPr="00A52B4C">
        <w:rPr>
          <w:rFonts w:ascii="Arial" w:hAnsi="Arial" w:cs="Arial"/>
          <w:sz w:val="20"/>
        </w:rPr>
        <w:t>, který by měl tyto nesrovnalosti napravit. V současné době je tato novela jako tisk č. 299 projednáván</w:t>
      </w:r>
      <w:r w:rsidR="004C4A0C">
        <w:rPr>
          <w:rFonts w:ascii="Arial" w:hAnsi="Arial" w:cs="Arial"/>
          <w:sz w:val="20"/>
        </w:rPr>
        <w:t>a</w:t>
      </w:r>
      <w:r w:rsidRPr="00A52B4C">
        <w:rPr>
          <w:rFonts w:ascii="Arial" w:hAnsi="Arial" w:cs="Arial"/>
          <w:sz w:val="20"/>
        </w:rPr>
        <w:t xml:space="preserve"> na půdě Parlamentu ČR. ČR byla donucena představit mechanismus, který zaručí dodržení nároků směrnice EIA do doby platnosti této novely. ČR zvolila cestu pracovní skupiny po Slovinském vzoru, která má ve spolupráci s příslušnými státním</w:t>
      </w:r>
      <w:r w:rsidR="00D237F2">
        <w:rPr>
          <w:rFonts w:ascii="Arial" w:hAnsi="Arial" w:cs="Arial"/>
          <w:sz w:val="20"/>
        </w:rPr>
        <w:t>i</w:t>
      </w:r>
      <w:r w:rsidRPr="00A52B4C">
        <w:rPr>
          <w:rFonts w:ascii="Arial" w:hAnsi="Arial" w:cs="Arial"/>
          <w:sz w:val="20"/>
        </w:rPr>
        <w:t xml:space="preserve"> orgány (především MŽP, </w:t>
      </w:r>
      <w:r w:rsidR="004C4A0C" w:rsidRPr="00A52B4C">
        <w:rPr>
          <w:rFonts w:ascii="Arial" w:hAnsi="Arial" w:cs="Arial"/>
          <w:sz w:val="20"/>
        </w:rPr>
        <w:t>S</w:t>
      </w:r>
      <w:r w:rsidR="004C4A0C">
        <w:rPr>
          <w:rFonts w:ascii="Arial" w:hAnsi="Arial" w:cs="Arial"/>
          <w:sz w:val="20"/>
        </w:rPr>
        <w:t>práva železniční dopravní cesty</w:t>
      </w:r>
      <w:r w:rsidR="004C4A0C" w:rsidRPr="00A52B4C">
        <w:rPr>
          <w:rFonts w:ascii="Arial" w:hAnsi="Arial" w:cs="Arial"/>
          <w:sz w:val="20"/>
        </w:rPr>
        <w:t xml:space="preserve"> </w:t>
      </w:r>
      <w:r w:rsidRPr="00A52B4C">
        <w:rPr>
          <w:rFonts w:ascii="Arial" w:hAnsi="Arial" w:cs="Arial"/>
          <w:sz w:val="20"/>
        </w:rPr>
        <w:t xml:space="preserve">a </w:t>
      </w:r>
      <w:r w:rsidR="004C4A0C">
        <w:rPr>
          <w:rFonts w:ascii="Arial" w:hAnsi="Arial" w:cs="Arial"/>
          <w:sz w:val="20"/>
        </w:rPr>
        <w:t>Ředitelství silnic a dálnic ČR</w:t>
      </w:r>
      <w:r w:rsidRPr="00A52B4C">
        <w:rPr>
          <w:rFonts w:ascii="Arial" w:hAnsi="Arial" w:cs="Arial"/>
          <w:sz w:val="20"/>
        </w:rPr>
        <w:t>) tento požadavek EK sanovat. Ustavující jednání této pracovní skupiny založené na základě usnesení vlády č. 1078 ze</w:t>
      </w:r>
      <w:r w:rsidR="004C4A0C">
        <w:rPr>
          <w:rFonts w:ascii="Arial" w:hAnsi="Arial" w:cs="Arial"/>
          <w:sz w:val="20"/>
        </w:rPr>
        <w:t> </w:t>
      </w:r>
      <w:r w:rsidRPr="00A52B4C">
        <w:rPr>
          <w:rFonts w:ascii="Arial" w:hAnsi="Arial" w:cs="Arial"/>
          <w:sz w:val="20"/>
        </w:rPr>
        <w:t xml:space="preserve">dne 15. prosince 2014 proběhlo 16. ledna 2015. </w:t>
      </w:r>
    </w:p>
    <w:p w:rsidR="00C15614" w:rsidRPr="00A52B4C" w:rsidRDefault="00C15614" w:rsidP="00C15614">
      <w:pPr>
        <w:rPr>
          <w:rFonts w:ascii="Arial" w:hAnsi="Arial" w:cs="Arial"/>
          <w:sz w:val="20"/>
        </w:rPr>
      </w:pPr>
      <w:r w:rsidRPr="00D237F2">
        <w:rPr>
          <w:rFonts w:ascii="Arial" w:hAnsi="Arial" w:cs="Arial"/>
          <w:b/>
          <w:sz w:val="20"/>
        </w:rPr>
        <w:t>Situace České republiky se v problematice EIA výrazně liší od jiných členských států</w:t>
      </w:r>
      <w:r w:rsidRPr="00A52B4C">
        <w:rPr>
          <w:rFonts w:ascii="Arial" w:hAnsi="Arial" w:cs="Arial"/>
          <w:sz w:val="20"/>
        </w:rPr>
        <w:t xml:space="preserve"> (s</w:t>
      </w:r>
      <w:r w:rsidR="004C4A0C">
        <w:rPr>
          <w:rFonts w:ascii="Arial" w:hAnsi="Arial" w:cs="Arial"/>
          <w:sz w:val="20"/>
        </w:rPr>
        <w:t> </w:t>
      </w:r>
      <w:r w:rsidRPr="00A52B4C">
        <w:rPr>
          <w:rFonts w:ascii="Arial" w:hAnsi="Arial" w:cs="Arial"/>
          <w:sz w:val="20"/>
        </w:rPr>
        <w:t>výjimkou Slovenska) hlavně ze dvou z důvodů:</w:t>
      </w:r>
    </w:p>
    <w:p w:rsidR="00C15614" w:rsidRPr="004C4A0C" w:rsidRDefault="002D4271" w:rsidP="004C4A0C">
      <w:pPr>
        <w:pStyle w:val="Odstavecseseznamem"/>
        <w:numPr>
          <w:ilvl w:val="0"/>
          <w:numId w:val="35"/>
        </w:numPr>
        <w:spacing w:after="0"/>
        <w:rPr>
          <w:rFonts w:ascii="Arial" w:hAnsi="Arial" w:cs="Arial"/>
          <w:sz w:val="20"/>
          <w:szCs w:val="20"/>
        </w:rPr>
      </w:pPr>
      <w:r>
        <w:rPr>
          <w:rFonts w:ascii="Arial" w:hAnsi="Arial" w:cs="Arial"/>
          <w:sz w:val="20"/>
          <w:szCs w:val="20"/>
        </w:rPr>
        <w:t>Ze strany EK</w:t>
      </w:r>
      <w:r w:rsidR="00C15614" w:rsidRPr="004C4A0C">
        <w:rPr>
          <w:rFonts w:ascii="Arial" w:hAnsi="Arial" w:cs="Arial"/>
          <w:sz w:val="20"/>
          <w:szCs w:val="20"/>
        </w:rPr>
        <w:t xml:space="preserve"> proklamované špatné provedení směrnice EIA je velmi široké, EK napadá takřka celý povolovací proces – takto rozsáhlému inf</w:t>
      </w:r>
      <w:r w:rsidR="00D237F2">
        <w:rPr>
          <w:rFonts w:ascii="Arial" w:hAnsi="Arial" w:cs="Arial"/>
          <w:sz w:val="20"/>
          <w:szCs w:val="20"/>
        </w:rPr>
        <w:t>ringementu nečelí, ani nečelila</w:t>
      </w:r>
      <w:r w:rsidR="00C15614" w:rsidRPr="004C4A0C">
        <w:rPr>
          <w:rFonts w:ascii="Arial" w:hAnsi="Arial" w:cs="Arial"/>
          <w:sz w:val="20"/>
          <w:szCs w:val="20"/>
        </w:rPr>
        <w:t xml:space="preserve"> žádná členská země kromě Slovenska. </w:t>
      </w:r>
    </w:p>
    <w:p w:rsidR="00C15614" w:rsidRPr="004C4A0C" w:rsidRDefault="00C15614" w:rsidP="004C4A0C">
      <w:pPr>
        <w:pStyle w:val="Odstavecseseznamem"/>
        <w:numPr>
          <w:ilvl w:val="0"/>
          <w:numId w:val="35"/>
        </w:numPr>
        <w:spacing w:after="0"/>
        <w:rPr>
          <w:rFonts w:ascii="Arial" w:hAnsi="Arial" w:cs="Arial"/>
          <w:sz w:val="20"/>
          <w:szCs w:val="20"/>
        </w:rPr>
      </w:pPr>
      <w:r w:rsidRPr="004C4A0C">
        <w:rPr>
          <w:rFonts w:ascii="Arial" w:hAnsi="Arial" w:cs="Arial"/>
          <w:sz w:val="20"/>
          <w:szCs w:val="20"/>
        </w:rPr>
        <w:t>Druhým klíčovým faktorem je načasování – Maďarsko i Slovinsko dokázaly dospět k dohodě s</w:t>
      </w:r>
      <w:r w:rsidR="004C4A0C">
        <w:rPr>
          <w:rFonts w:ascii="Arial" w:hAnsi="Arial" w:cs="Arial"/>
          <w:sz w:val="20"/>
          <w:szCs w:val="20"/>
        </w:rPr>
        <w:t> </w:t>
      </w:r>
      <w:r w:rsidRPr="004C4A0C">
        <w:rPr>
          <w:rFonts w:ascii="Arial" w:hAnsi="Arial" w:cs="Arial"/>
          <w:sz w:val="20"/>
          <w:szCs w:val="20"/>
        </w:rPr>
        <w:t>EK o řešení problematiky EIA před koncem vyjed</w:t>
      </w:r>
      <w:r w:rsidR="004C4A0C">
        <w:rPr>
          <w:rFonts w:ascii="Arial" w:hAnsi="Arial" w:cs="Arial"/>
          <w:sz w:val="20"/>
          <w:szCs w:val="20"/>
        </w:rPr>
        <w:t>návání programového období 2014–</w:t>
      </w:r>
      <w:r w:rsidRPr="004C4A0C">
        <w:rPr>
          <w:rFonts w:ascii="Arial" w:hAnsi="Arial" w:cs="Arial"/>
          <w:sz w:val="20"/>
          <w:szCs w:val="20"/>
        </w:rPr>
        <w:t xml:space="preserve">2020. Toto se České republice vzhledem k šíři infringementu a skutečnosti, že EK své výtky sdělila až v dubnu 2013, nepodařilo. </w:t>
      </w:r>
    </w:p>
    <w:p w:rsidR="00C15614" w:rsidRPr="004C4A0C" w:rsidRDefault="00C15614" w:rsidP="004C4A0C">
      <w:pPr>
        <w:tabs>
          <w:tab w:val="left" w:pos="2694"/>
        </w:tabs>
        <w:outlineLvl w:val="0"/>
        <w:rPr>
          <w:rFonts w:ascii="Arial" w:hAnsi="Arial" w:cs="Arial"/>
          <w:sz w:val="20"/>
        </w:rPr>
      </w:pPr>
      <w:r w:rsidRPr="004C4A0C">
        <w:rPr>
          <w:rFonts w:ascii="Arial" w:hAnsi="Arial" w:cs="Arial"/>
          <w:sz w:val="20"/>
        </w:rPr>
        <w:t>Slovensko pod tlakem EK přistoupilo na takřka všechny její požadavky, dokonce i na přímou aplikaci směrnice EIA. Tento přístup byl pro české odpovědné orgány neakceptovatelný. Proto</w:t>
      </w:r>
      <w:r w:rsidR="00B02F12" w:rsidRPr="004C4A0C">
        <w:rPr>
          <w:rFonts w:ascii="Arial" w:hAnsi="Arial" w:cs="Arial"/>
          <w:sz w:val="20"/>
        </w:rPr>
        <w:t xml:space="preserve"> byla jednání tak</w:t>
      </w:r>
      <w:r w:rsidRPr="004C4A0C">
        <w:rPr>
          <w:rFonts w:ascii="Arial" w:hAnsi="Arial" w:cs="Arial"/>
          <w:sz w:val="20"/>
        </w:rPr>
        <w:t xml:space="preserve"> dlouhá a vyčerpávající.</w:t>
      </w:r>
    </w:p>
    <w:p w:rsidR="00B02F12" w:rsidRPr="00A52B4C" w:rsidRDefault="00B02F12" w:rsidP="00A52B4C">
      <w:pPr>
        <w:rPr>
          <w:rFonts w:ascii="Arial" w:hAnsi="Arial" w:cs="Arial"/>
          <w:sz w:val="20"/>
        </w:rPr>
      </w:pPr>
      <w:r w:rsidRPr="00A52B4C">
        <w:rPr>
          <w:rFonts w:ascii="Arial" w:hAnsi="Arial" w:cs="Arial"/>
          <w:sz w:val="20"/>
        </w:rPr>
        <w:t xml:space="preserve">Dle uskutečněného </w:t>
      </w:r>
      <w:r w:rsidRPr="00D237F2">
        <w:rPr>
          <w:rFonts w:ascii="Arial" w:hAnsi="Arial" w:cs="Arial"/>
          <w:b/>
          <w:sz w:val="20"/>
        </w:rPr>
        <w:t>screeningu v ostatních členských státech</w:t>
      </w:r>
      <w:r w:rsidRPr="00A52B4C">
        <w:rPr>
          <w:rFonts w:ascii="Arial" w:hAnsi="Arial" w:cs="Arial"/>
          <w:sz w:val="20"/>
        </w:rPr>
        <w:t xml:space="preserve"> vyplynuly tyto informace:</w:t>
      </w:r>
    </w:p>
    <w:p w:rsidR="00FD4F24" w:rsidRPr="00B654C2" w:rsidRDefault="00FD4F24" w:rsidP="00B654C2">
      <w:pPr>
        <w:pStyle w:val="Odstavecseseznamem"/>
        <w:numPr>
          <w:ilvl w:val="0"/>
          <w:numId w:val="29"/>
        </w:numPr>
        <w:spacing w:before="60" w:after="0"/>
        <w:ind w:left="568" w:hanging="284"/>
        <w:rPr>
          <w:rFonts w:ascii="Arial" w:hAnsi="Arial" w:cs="Arial"/>
          <w:sz w:val="20"/>
          <w:szCs w:val="20"/>
        </w:rPr>
      </w:pPr>
      <w:r w:rsidRPr="00B654C2">
        <w:rPr>
          <w:rFonts w:ascii="Arial" w:hAnsi="Arial" w:cs="Arial"/>
          <w:sz w:val="20"/>
          <w:szCs w:val="20"/>
        </w:rPr>
        <w:t>Žádný z 5 států (které poskytly odpovědi) zřejmě nečelí tak vážnému riziku jako ČR. V</w:t>
      </w:r>
      <w:r w:rsidR="00B654C2">
        <w:rPr>
          <w:rFonts w:ascii="Arial" w:hAnsi="Arial" w:cs="Arial"/>
          <w:sz w:val="20"/>
          <w:szCs w:val="20"/>
        </w:rPr>
        <w:t> </w:t>
      </w:r>
      <w:r w:rsidR="00B02F12" w:rsidRPr="00D237F2">
        <w:rPr>
          <w:rFonts w:ascii="Arial" w:hAnsi="Arial" w:cs="Arial"/>
          <w:sz w:val="20"/>
          <w:szCs w:val="20"/>
        </w:rPr>
        <w:t>Maďarsku</w:t>
      </w:r>
      <w:r w:rsidRPr="00B654C2">
        <w:rPr>
          <w:rFonts w:ascii="Arial" w:hAnsi="Arial" w:cs="Arial"/>
          <w:sz w:val="20"/>
          <w:szCs w:val="20"/>
        </w:rPr>
        <w:t xml:space="preserve"> byl infringement ukončen v říjnu 2013; v</w:t>
      </w:r>
      <w:r w:rsidR="00B02F12" w:rsidRPr="00B654C2">
        <w:rPr>
          <w:rFonts w:ascii="Arial" w:hAnsi="Arial" w:cs="Arial"/>
          <w:sz w:val="20"/>
          <w:szCs w:val="20"/>
        </w:rPr>
        <w:t xml:space="preserve">e </w:t>
      </w:r>
      <w:r w:rsidR="00B02F12" w:rsidRPr="00D237F2">
        <w:rPr>
          <w:rFonts w:ascii="Arial" w:hAnsi="Arial" w:cs="Arial"/>
          <w:sz w:val="20"/>
          <w:szCs w:val="20"/>
        </w:rPr>
        <w:t>Slovin</w:t>
      </w:r>
      <w:r w:rsidR="006D44E0" w:rsidRPr="00D237F2">
        <w:rPr>
          <w:rFonts w:ascii="Arial" w:hAnsi="Arial" w:cs="Arial"/>
          <w:sz w:val="20"/>
          <w:szCs w:val="20"/>
        </w:rPr>
        <w:t>sku</w:t>
      </w:r>
      <w:r w:rsidRPr="00B654C2">
        <w:rPr>
          <w:rFonts w:ascii="Arial" w:hAnsi="Arial" w:cs="Arial"/>
          <w:sz w:val="20"/>
          <w:szCs w:val="20"/>
        </w:rPr>
        <w:t xml:space="preserve"> byla upravena legislativa</w:t>
      </w:r>
      <w:r w:rsidR="006D44E0" w:rsidRPr="00B654C2">
        <w:rPr>
          <w:rFonts w:ascii="Arial" w:hAnsi="Arial" w:cs="Arial"/>
          <w:sz w:val="20"/>
          <w:szCs w:val="20"/>
        </w:rPr>
        <w:t xml:space="preserve"> a</w:t>
      </w:r>
      <w:r w:rsidR="00B654C2">
        <w:rPr>
          <w:rFonts w:ascii="Arial" w:hAnsi="Arial" w:cs="Arial"/>
          <w:sz w:val="20"/>
          <w:szCs w:val="20"/>
        </w:rPr>
        <w:t> </w:t>
      </w:r>
      <w:r w:rsidR="006D44E0" w:rsidRPr="00B654C2">
        <w:rPr>
          <w:rFonts w:ascii="Arial" w:hAnsi="Arial" w:cs="Arial"/>
          <w:sz w:val="20"/>
          <w:szCs w:val="20"/>
        </w:rPr>
        <w:t>s</w:t>
      </w:r>
      <w:r w:rsidR="00B654C2">
        <w:rPr>
          <w:rFonts w:ascii="Arial" w:hAnsi="Arial" w:cs="Arial"/>
          <w:sz w:val="20"/>
          <w:szCs w:val="20"/>
        </w:rPr>
        <w:t> </w:t>
      </w:r>
      <w:r w:rsidR="006D44E0" w:rsidRPr="00B654C2">
        <w:rPr>
          <w:rFonts w:ascii="Arial" w:hAnsi="Arial" w:cs="Arial"/>
          <w:sz w:val="20"/>
          <w:szCs w:val="20"/>
        </w:rPr>
        <w:t xml:space="preserve">EK dosažen modus vivendi. </w:t>
      </w:r>
    </w:p>
    <w:p w:rsidR="00D237F2" w:rsidRDefault="00FD4F24" w:rsidP="00B654C2">
      <w:pPr>
        <w:pStyle w:val="Odstavecseseznamem"/>
        <w:numPr>
          <w:ilvl w:val="0"/>
          <w:numId w:val="29"/>
        </w:numPr>
        <w:spacing w:before="60" w:after="0"/>
        <w:ind w:left="568" w:hanging="284"/>
        <w:rPr>
          <w:rFonts w:ascii="Arial" w:hAnsi="Arial" w:cs="Arial"/>
          <w:sz w:val="20"/>
          <w:szCs w:val="20"/>
        </w:rPr>
      </w:pPr>
      <w:r w:rsidRPr="00B654C2">
        <w:rPr>
          <w:rFonts w:ascii="Arial" w:hAnsi="Arial" w:cs="Arial"/>
          <w:sz w:val="20"/>
          <w:szCs w:val="20"/>
        </w:rPr>
        <w:t>Soulad národní legislativy EIA se Směrnicí EIA byl ze strany EK zpochybněn v</w:t>
      </w:r>
      <w:r w:rsidR="006D44E0" w:rsidRPr="00B654C2">
        <w:rPr>
          <w:rFonts w:ascii="Arial" w:hAnsi="Arial" w:cs="Arial"/>
          <w:sz w:val="20"/>
          <w:szCs w:val="20"/>
        </w:rPr>
        <w:t xml:space="preserve">e </w:t>
      </w:r>
      <w:r w:rsidR="006D44E0" w:rsidRPr="00D237F2">
        <w:rPr>
          <w:rFonts w:ascii="Arial" w:hAnsi="Arial" w:cs="Arial"/>
          <w:sz w:val="20"/>
          <w:szCs w:val="20"/>
        </w:rPr>
        <w:t>Slovinsku</w:t>
      </w:r>
      <w:r w:rsidRPr="00B654C2">
        <w:rPr>
          <w:rFonts w:ascii="Arial" w:hAnsi="Arial" w:cs="Arial"/>
          <w:sz w:val="20"/>
          <w:szCs w:val="20"/>
        </w:rPr>
        <w:t xml:space="preserve"> a</w:t>
      </w:r>
      <w:r w:rsidR="003227AB" w:rsidRPr="00B654C2">
        <w:rPr>
          <w:rFonts w:ascii="Arial" w:hAnsi="Arial" w:cs="Arial"/>
          <w:sz w:val="20"/>
          <w:szCs w:val="20"/>
        </w:rPr>
        <w:t> </w:t>
      </w:r>
      <w:r w:rsidR="006D44E0" w:rsidRPr="00D237F2">
        <w:rPr>
          <w:rFonts w:ascii="Arial" w:hAnsi="Arial" w:cs="Arial"/>
          <w:sz w:val="20"/>
          <w:szCs w:val="20"/>
        </w:rPr>
        <w:t>Maďarsku</w:t>
      </w:r>
      <w:r w:rsidRPr="00B654C2">
        <w:rPr>
          <w:rFonts w:ascii="Arial" w:hAnsi="Arial" w:cs="Arial"/>
          <w:sz w:val="20"/>
          <w:szCs w:val="20"/>
        </w:rPr>
        <w:t xml:space="preserve"> v rámci tradičního řízení pro porušení sml</w:t>
      </w:r>
      <w:r w:rsidR="006D44E0" w:rsidRPr="00B654C2">
        <w:rPr>
          <w:rFonts w:ascii="Arial" w:hAnsi="Arial" w:cs="Arial"/>
          <w:sz w:val="20"/>
          <w:szCs w:val="20"/>
        </w:rPr>
        <w:t xml:space="preserve">ouvy. </w:t>
      </w:r>
    </w:p>
    <w:p w:rsidR="00FD4F24" w:rsidRPr="00B654C2" w:rsidRDefault="006D44E0" w:rsidP="00B654C2">
      <w:pPr>
        <w:pStyle w:val="Odstavecseseznamem"/>
        <w:numPr>
          <w:ilvl w:val="0"/>
          <w:numId w:val="29"/>
        </w:numPr>
        <w:spacing w:before="60" w:after="0"/>
        <w:ind w:left="568" w:hanging="284"/>
        <w:rPr>
          <w:rFonts w:ascii="Arial" w:hAnsi="Arial" w:cs="Arial"/>
          <w:sz w:val="20"/>
          <w:szCs w:val="20"/>
        </w:rPr>
      </w:pPr>
      <w:r w:rsidRPr="00D237F2">
        <w:rPr>
          <w:rFonts w:ascii="Arial" w:hAnsi="Arial" w:cs="Arial"/>
          <w:i/>
          <w:sz w:val="20"/>
          <w:szCs w:val="20"/>
        </w:rPr>
        <w:t>Slovinsko</w:t>
      </w:r>
      <w:r w:rsidRPr="00B654C2">
        <w:rPr>
          <w:rFonts w:ascii="Arial" w:hAnsi="Arial" w:cs="Arial"/>
          <w:sz w:val="20"/>
          <w:szCs w:val="20"/>
        </w:rPr>
        <w:t xml:space="preserve"> </w:t>
      </w:r>
      <w:r w:rsidR="00FD4F24" w:rsidRPr="00B654C2">
        <w:rPr>
          <w:rFonts w:ascii="Arial" w:hAnsi="Arial" w:cs="Arial"/>
          <w:sz w:val="20"/>
          <w:szCs w:val="20"/>
        </w:rPr>
        <w:t>vytvořilo speciální meziresortní skupinu, která u spolufinancovaných projektů nastavila parametry pro přezkum projektů, které nebyly posouzeny v rámci</w:t>
      </w:r>
      <w:r w:rsidRPr="00B654C2">
        <w:rPr>
          <w:rFonts w:ascii="Arial" w:hAnsi="Arial" w:cs="Arial"/>
          <w:sz w:val="20"/>
          <w:szCs w:val="20"/>
        </w:rPr>
        <w:t xml:space="preserve"> EIA, ač posouzeny býti měly.  </w:t>
      </w:r>
    </w:p>
    <w:p w:rsidR="00FD4F24" w:rsidRPr="00B654C2" w:rsidRDefault="006D44E0" w:rsidP="00B654C2">
      <w:pPr>
        <w:pStyle w:val="Odstavecseseznamem"/>
        <w:numPr>
          <w:ilvl w:val="0"/>
          <w:numId w:val="29"/>
        </w:numPr>
        <w:spacing w:before="60" w:after="0"/>
        <w:ind w:left="568" w:hanging="284"/>
        <w:rPr>
          <w:rFonts w:ascii="Arial" w:hAnsi="Arial" w:cs="Arial"/>
          <w:sz w:val="20"/>
          <w:szCs w:val="20"/>
        </w:rPr>
      </w:pPr>
      <w:r w:rsidRPr="00D237F2">
        <w:rPr>
          <w:rFonts w:ascii="Arial" w:hAnsi="Arial" w:cs="Arial"/>
          <w:i/>
          <w:sz w:val="20"/>
          <w:szCs w:val="20"/>
        </w:rPr>
        <w:t>Maďarsko</w:t>
      </w:r>
      <w:r w:rsidR="00FD4F24" w:rsidRPr="00B654C2">
        <w:rPr>
          <w:rFonts w:ascii="Arial" w:hAnsi="Arial" w:cs="Arial"/>
          <w:sz w:val="20"/>
          <w:szCs w:val="20"/>
        </w:rPr>
        <w:t xml:space="preserve"> svou legislativu dokázalo upravit tak rychle, že problém EIA neměl žádný vztah k</w:t>
      </w:r>
      <w:r w:rsidR="00B654C2">
        <w:rPr>
          <w:rFonts w:ascii="Arial" w:hAnsi="Arial" w:cs="Arial"/>
          <w:sz w:val="20"/>
          <w:szCs w:val="20"/>
        </w:rPr>
        <w:t> </w:t>
      </w:r>
      <w:r w:rsidR="00FD4F24" w:rsidRPr="00B654C2">
        <w:rPr>
          <w:rFonts w:ascii="Arial" w:hAnsi="Arial" w:cs="Arial"/>
          <w:sz w:val="20"/>
          <w:szCs w:val="20"/>
        </w:rPr>
        <w:t>programovému období 2014</w:t>
      </w:r>
      <w:r w:rsidR="00B654C2">
        <w:rPr>
          <w:rFonts w:ascii="Arial" w:hAnsi="Arial" w:cs="Arial"/>
          <w:sz w:val="20"/>
          <w:szCs w:val="20"/>
        </w:rPr>
        <w:t>–20</w:t>
      </w:r>
      <w:r w:rsidR="00FD4F24" w:rsidRPr="00B654C2">
        <w:rPr>
          <w:rFonts w:ascii="Arial" w:hAnsi="Arial" w:cs="Arial"/>
          <w:sz w:val="20"/>
          <w:szCs w:val="20"/>
        </w:rPr>
        <w:t xml:space="preserve">20.  </w:t>
      </w:r>
    </w:p>
    <w:p w:rsidR="00FF524D" w:rsidRPr="00B654C2" w:rsidRDefault="00FD4F24" w:rsidP="00B654C2">
      <w:pPr>
        <w:pStyle w:val="Odstavecseseznamem"/>
        <w:numPr>
          <w:ilvl w:val="0"/>
          <w:numId w:val="29"/>
        </w:numPr>
        <w:spacing w:before="60" w:after="0"/>
        <w:ind w:left="568" w:hanging="284"/>
        <w:rPr>
          <w:rFonts w:ascii="Arial" w:hAnsi="Arial" w:cs="Arial"/>
          <w:sz w:val="20"/>
          <w:szCs w:val="20"/>
        </w:rPr>
      </w:pPr>
      <w:r w:rsidRPr="00D237F2">
        <w:rPr>
          <w:rFonts w:ascii="Arial" w:hAnsi="Arial" w:cs="Arial"/>
          <w:i/>
          <w:sz w:val="20"/>
          <w:szCs w:val="20"/>
        </w:rPr>
        <w:t>Rumunsko</w:t>
      </w:r>
      <w:r w:rsidRPr="00B654C2">
        <w:rPr>
          <w:rFonts w:ascii="Arial" w:hAnsi="Arial" w:cs="Arial"/>
          <w:sz w:val="20"/>
          <w:szCs w:val="20"/>
        </w:rPr>
        <w:t xml:space="preserve"> muselo ve vztahu k programovému období 2014</w:t>
      </w:r>
      <w:r w:rsidR="0029785B">
        <w:rPr>
          <w:rFonts w:ascii="Arial" w:hAnsi="Arial" w:cs="Arial"/>
          <w:sz w:val="20"/>
          <w:szCs w:val="20"/>
        </w:rPr>
        <w:t>–20</w:t>
      </w:r>
      <w:r w:rsidRPr="00B654C2">
        <w:rPr>
          <w:rFonts w:ascii="Arial" w:hAnsi="Arial" w:cs="Arial"/>
          <w:sz w:val="20"/>
          <w:szCs w:val="20"/>
        </w:rPr>
        <w:t xml:space="preserve">20 provést pouze opatření nelegislativní povahy k vzdělávání </w:t>
      </w:r>
      <w:r w:rsidR="00FF524D" w:rsidRPr="00B654C2">
        <w:rPr>
          <w:rFonts w:ascii="Arial" w:hAnsi="Arial" w:cs="Arial"/>
          <w:sz w:val="20"/>
          <w:szCs w:val="20"/>
        </w:rPr>
        <w:t>pracovníků zabývajících se EIA.</w:t>
      </w:r>
    </w:p>
    <w:p w:rsidR="007B56BC" w:rsidRDefault="00C85611" w:rsidP="007B56BC">
      <w:pPr>
        <w:pStyle w:val="Odstavecseseznamem"/>
        <w:numPr>
          <w:ilvl w:val="0"/>
          <w:numId w:val="29"/>
        </w:numPr>
        <w:spacing w:before="60" w:after="0"/>
        <w:ind w:left="568" w:hanging="284"/>
        <w:rPr>
          <w:rFonts w:ascii="Arial" w:hAnsi="Arial" w:cs="Arial"/>
          <w:sz w:val="20"/>
          <w:szCs w:val="20"/>
        </w:rPr>
      </w:pPr>
      <w:r w:rsidRPr="007B56BC">
        <w:rPr>
          <w:rFonts w:ascii="Arial" w:hAnsi="Arial" w:cs="Arial"/>
          <w:i/>
          <w:sz w:val="20"/>
          <w:szCs w:val="20"/>
        </w:rPr>
        <w:t>Slovensko</w:t>
      </w:r>
      <w:r w:rsidRPr="007B56BC">
        <w:rPr>
          <w:rFonts w:ascii="Arial" w:hAnsi="Arial" w:cs="Arial"/>
          <w:sz w:val="20"/>
          <w:szCs w:val="20"/>
        </w:rPr>
        <w:t xml:space="preserve"> </w:t>
      </w:r>
      <w:r w:rsidR="007B56BC">
        <w:rPr>
          <w:rFonts w:ascii="Arial" w:hAnsi="Arial" w:cs="Arial"/>
          <w:sz w:val="20"/>
          <w:szCs w:val="20"/>
        </w:rPr>
        <w:t>v rámci</w:t>
      </w:r>
      <w:r w:rsidRPr="007B56BC">
        <w:rPr>
          <w:rFonts w:ascii="Arial" w:hAnsi="Arial" w:cs="Arial"/>
          <w:sz w:val="20"/>
          <w:szCs w:val="20"/>
        </w:rPr>
        <w:t xml:space="preserve"> infri</w:t>
      </w:r>
      <w:r w:rsidR="007B56BC">
        <w:rPr>
          <w:rFonts w:ascii="Arial" w:hAnsi="Arial" w:cs="Arial"/>
          <w:sz w:val="20"/>
          <w:szCs w:val="20"/>
        </w:rPr>
        <w:t>ngementového</w:t>
      </w:r>
      <w:r w:rsidRPr="007B56BC">
        <w:rPr>
          <w:rFonts w:ascii="Arial" w:hAnsi="Arial" w:cs="Arial"/>
          <w:sz w:val="20"/>
          <w:szCs w:val="20"/>
        </w:rPr>
        <w:t xml:space="preserve"> řízení ve věci EIA nebylo nuceno k ustavení pracovní skupiny k posuzování projektů.</w:t>
      </w:r>
      <w:r w:rsidR="007B56BC" w:rsidRPr="007B56BC">
        <w:rPr>
          <w:rFonts w:ascii="Arial" w:hAnsi="Arial" w:cs="Arial"/>
          <w:sz w:val="20"/>
          <w:szCs w:val="20"/>
        </w:rPr>
        <w:t xml:space="preserve"> Systémem case-by-case byly dle směrnice EIA </w:t>
      </w:r>
      <w:r w:rsidR="007B56BC">
        <w:rPr>
          <w:rFonts w:ascii="Arial" w:hAnsi="Arial" w:cs="Arial"/>
          <w:sz w:val="20"/>
          <w:szCs w:val="20"/>
        </w:rPr>
        <w:t>posuzovány</w:t>
      </w:r>
      <w:r w:rsidR="007B56BC" w:rsidRPr="007B56BC">
        <w:rPr>
          <w:rFonts w:ascii="Arial" w:hAnsi="Arial" w:cs="Arial"/>
          <w:sz w:val="20"/>
          <w:szCs w:val="20"/>
        </w:rPr>
        <w:t xml:space="preserve"> velké projekty</w:t>
      </w:r>
      <w:r w:rsidR="007B56BC">
        <w:rPr>
          <w:rFonts w:ascii="Arial" w:hAnsi="Arial" w:cs="Arial"/>
          <w:sz w:val="20"/>
          <w:szCs w:val="20"/>
        </w:rPr>
        <w:t xml:space="preserve"> </w:t>
      </w:r>
      <w:r w:rsidR="007B56BC" w:rsidRPr="007B56BC">
        <w:rPr>
          <w:rFonts w:ascii="Arial" w:hAnsi="Arial" w:cs="Arial"/>
          <w:sz w:val="20"/>
          <w:szCs w:val="20"/>
        </w:rPr>
        <w:t>po celou dobu trvání infringementu až do schválení nové legislativy, čímž byl infringement ukončen. V kontextu přípravy programového období 2014–2020 se EK občas vrace</w:t>
      </w:r>
      <w:r w:rsidR="007B56BC" w:rsidRPr="00305EF5">
        <w:rPr>
          <w:rFonts w:ascii="Arial" w:hAnsi="Arial" w:cs="Arial"/>
          <w:sz w:val="20"/>
          <w:szCs w:val="20"/>
        </w:rPr>
        <w:t>la k otázce celkového prověření všech infrastrukturních projektů během trvání infringementu EIA</w:t>
      </w:r>
      <w:r w:rsidR="007B56BC">
        <w:rPr>
          <w:rFonts w:ascii="Arial" w:hAnsi="Arial" w:cs="Arial"/>
          <w:sz w:val="20"/>
          <w:szCs w:val="20"/>
        </w:rPr>
        <w:t>, nicméně k tomuto nedošlo</w:t>
      </w:r>
      <w:r w:rsidR="007B56BC" w:rsidRPr="007B56BC">
        <w:rPr>
          <w:rFonts w:ascii="Arial" w:hAnsi="Arial" w:cs="Arial"/>
          <w:sz w:val="20"/>
          <w:szCs w:val="20"/>
        </w:rPr>
        <w:t xml:space="preserve">. </w:t>
      </w:r>
    </w:p>
    <w:p w:rsidR="00FD4F24" w:rsidRPr="007B56BC" w:rsidRDefault="00FD4F24" w:rsidP="007B56BC">
      <w:pPr>
        <w:pStyle w:val="Odstavecseseznamem"/>
        <w:numPr>
          <w:ilvl w:val="0"/>
          <w:numId w:val="29"/>
        </w:numPr>
        <w:spacing w:before="60" w:after="0"/>
        <w:ind w:left="568" w:hanging="284"/>
        <w:rPr>
          <w:rFonts w:ascii="Arial" w:hAnsi="Arial" w:cs="Arial"/>
          <w:sz w:val="20"/>
          <w:szCs w:val="20"/>
        </w:rPr>
      </w:pPr>
      <w:r w:rsidRPr="007B56BC">
        <w:rPr>
          <w:rFonts w:ascii="Arial" w:hAnsi="Arial" w:cs="Arial"/>
          <w:sz w:val="20"/>
          <w:szCs w:val="20"/>
        </w:rPr>
        <w:t>Pracovní skupina pro hodnocení projektů z hlediska souladu postupů se směrnic</w:t>
      </w:r>
      <w:r w:rsidR="00FF524D" w:rsidRPr="007B56BC">
        <w:rPr>
          <w:rFonts w:ascii="Arial" w:hAnsi="Arial" w:cs="Arial"/>
          <w:sz w:val="20"/>
          <w:szCs w:val="20"/>
        </w:rPr>
        <w:t>í EIA tak byla ustavena pouze</w:t>
      </w:r>
      <w:r w:rsidRPr="00305EF5">
        <w:rPr>
          <w:rFonts w:ascii="Arial" w:hAnsi="Arial" w:cs="Arial"/>
          <w:sz w:val="20"/>
          <w:szCs w:val="20"/>
        </w:rPr>
        <w:t xml:space="preserve"> v</w:t>
      </w:r>
      <w:r w:rsidR="00FF524D" w:rsidRPr="00305EF5">
        <w:rPr>
          <w:rFonts w:ascii="Arial" w:hAnsi="Arial" w:cs="Arial"/>
          <w:sz w:val="20"/>
          <w:szCs w:val="20"/>
        </w:rPr>
        <w:t>e Slovinsku</w:t>
      </w:r>
      <w:r w:rsidRPr="00305EF5">
        <w:rPr>
          <w:rFonts w:ascii="Arial" w:hAnsi="Arial" w:cs="Arial"/>
          <w:sz w:val="20"/>
          <w:szCs w:val="20"/>
        </w:rPr>
        <w:t xml:space="preserve"> (tam se již připravuje závěrečná zpráva; vlastní hodnocení prováděl externí subjekt; skupina jen dozorovala).</w:t>
      </w:r>
    </w:p>
    <w:p w:rsidR="00DE6A60" w:rsidRPr="008D7D33" w:rsidRDefault="00DE6A60" w:rsidP="008D7D33">
      <w:pPr>
        <w:pStyle w:val="Nadpis1"/>
        <w:ind w:left="567" w:hanging="567"/>
      </w:pPr>
      <w:bookmarkStart w:id="74" w:name="_Toc409191126"/>
      <w:bookmarkStart w:id="75" w:name="_Toc409196633"/>
      <w:r w:rsidRPr="008D7D33">
        <w:lastRenderedPageBreak/>
        <w:t>Oblasti</w:t>
      </w:r>
      <w:r w:rsidR="008D7D33">
        <w:t xml:space="preserve"> řešené </w:t>
      </w:r>
      <w:r w:rsidRPr="008D7D33">
        <w:t xml:space="preserve">ze strany EK </w:t>
      </w:r>
      <w:r w:rsidR="008D7D33">
        <w:t>až ve </w:t>
      </w:r>
      <w:r w:rsidRPr="008D7D33">
        <w:t>finální fázi vyjednávání</w:t>
      </w:r>
      <w:bookmarkEnd w:id="74"/>
      <w:bookmarkEnd w:id="75"/>
    </w:p>
    <w:p w:rsidR="00DE6A60" w:rsidRPr="009C2D1C" w:rsidRDefault="00DE6A60" w:rsidP="00FD74C0">
      <w:pPr>
        <w:pStyle w:val="Nadpis2"/>
      </w:pPr>
      <w:bookmarkStart w:id="76" w:name="_Toc409191127"/>
      <w:bookmarkStart w:id="77" w:name="_Toc409196634"/>
      <w:r w:rsidRPr="009C2D1C">
        <w:t>Problematika podpory fyzických osob</w:t>
      </w:r>
      <w:bookmarkEnd w:id="76"/>
      <w:bookmarkEnd w:id="77"/>
    </w:p>
    <w:p w:rsidR="008D7D33" w:rsidRDefault="00DE6A60" w:rsidP="008D7D33">
      <w:pPr>
        <w:tabs>
          <w:tab w:val="left" w:pos="2694"/>
        </w:tabs>
        <w:outlineLvl w:val="0"/>
        <w:rPr>
          <w:rFonts w:ascii="Arial" w:hAnsi="Arial" w:cs="Arial"/>
          <w:sz w:val="20"/>
        </w:rPr>
      </w:pPr>
      <w:bookmarkStart w:id="78" w:name="_Toc409196635"/>
      <w:r w:rsidRPr="008D7D33">
        <w:rPr>
          <w:rFonts w:ascii="Arial" w:hAnsi="Arial" w:cs="Arial"/>
          <w:sz w:val="20"/>
        </w:rPr>
        <w:t xml:space="preserve">Problematika podpory fyzických osob nebyla ze strany </w:t>
      </w:r>
      <w:r w:rsidR="002D4271">
        <w:rPr>
          <w:rFonts w:ascii="Arial" w:hAnsi="Arial" w:cs="Arial"/>
          <w:sz w:val="20"/>
        </w:rPr>
        <w:t>EK</w:t>
      </w:r>
      <w:r w:rsidRPr="008D7D33">
        <w:rPr>
          <w:rFonts w:ascii="Arial" w:hAnsi="Arial" w:cs="Arial"/>
          <w:sz w:val="20"/>
        </w:rPr>
        <w:t xml:space="preserve"> připomínkována v průběhu neformálního dialogu a byla otevřena až na technickém jednání k problematice kotlíkových</w:t>
      </w:r>
      <w:r w:rsidR="008D7D33">
        <w:rPr>
          <w:rFonts w:ascii="Arial" w:hAnsi="Arial" w:cs="Arial"/>
          <w:sz w:val="20"/>
        </w:rPr>
        <w:t xml:space="preserve"> dotací na podzim 2014.</w:t>
      </w:r>
      <w:bookmarkEnd w:id="78"/>
      <w:r w:rsidR="008D7D33">
        <w:rPr>
          <w:rFonts w:ascii="Arial" w:hAnsi="Arial" w:cs="Arial"/>
          <w:sz w:val="20"/>
        </w:rPr>
        <w:t xml:space="preserve"> </w:t>
      </w:r>
    </w:p>
    <w:p w:rsidR="008D7D33" w:rsidRDefault="00DE6A60" w:rsidP="008D7D33">
      <w:pPr>
        <w:tabs>
          <w:tab w:val="left" w:pos="2694"/>
        </w:tabs>
        <w:outlineLvl w:val="0"/>
        <w:rPr>
          <w:rFonts w:ascii="Arial" w:hAnsi="Arial" w:cs="Arial"/>
          <w:sz w:val="20"/>
        </w:rPr>
      </w:pPr>
      <w:bookmarkStart w:id="79" w:name="_Toc409196636"/>
      <w:r w:rsidRPr="008D7D33">
        <w:rPr>
          <w:rFonts w:ascii="Arial" w:hAnsi="Arial" w:cs="Arial"/>
          <w:sz w:val="20"/>
        </w:rPr>
        <w:t xml:space="preserve">Dle čl. 2 odst. 10 </w:t>
      </w:r>
      <w:r w:rsidR="008D7D33">
        <w:rPr>
          <w:rFonts w:ascii="Arial" w:hAnsi="Arial" w:cs="Arial"/>
          <w:sz w:val="20"/>
        </w:rPr>
        <w:t>Obecného nařízení</w:t>
      </w:r>
      <w:r w:rsidRPr="009C2D1C">
        <w:rPr>
          <w:rFonts w:ascii="Arial" w:hAnsi="Arial" w:cs="Arial"/>
          <w:sz w:val="20"/>
          <w:szCs w:val="20"/>
        </w:rPr>
        <w:t xml:space="preserve"> se </w:t>
      </w:r>
      <w:r w:rsidRPr="009C2D1C">
        <w:rPr>
          <w:rFonts w:ascii="Arial" w:hAnsi="Arial" w:cs="Arial"/>
          <w:i/>
          <w:iCs/>
          <w:sz w:val="20"/>
          <w:szCs w:val="20"/>
        </w:rPr>
        <w:t xml:space="preserve">„příjemcem“ rozumí </w:t>
      </w:r>
      <w:r w:rsidRPr="009C2D1C">
        <w:rPr>
          <w:rFonts w:ascii="Arial" w:hAnsi="Arial" w:cs="Arial"/>
          <w:b/>
          <w:bCs/>
          <w:i/>
          <w:iCs/>
          <w:sz w:val="20"/>
          <w:szCs w:val="20"/>
        </w:rPr>
        <w:t>veřejný nebo soukromý subjekt a</w:t>
      </w:r>
      <w:r w:rsidR="008D7D33">
        <w:rPr>
          <w:rFonts w:ascii="Arial" w:hAnsi="Arial" w:cs="Arial"/>
          <w:b/>
          <w:bCs/>
          <w:i/>
          <w:iCs/>
          <w:sz w:val="20"/>
          <w:szCs w:val="20"/>
        </w:rPr>
        <w:t> </w:t>
      </w:r>
      <w:r w:rsidRPr="009C2D1C">
        <w:rPr>
          <w:rFonts w:ascii="Arial" w:hAnsi="Arial" w:cs="Arial"/>
          <w:b/>
          <w:bCs/>
          <w:i/>
          <w:iCs/>
          <w:sz w:val="20"/>
          <w:szCs w:val="20"/>
        </w:rPr>
        <w:t xml:space="preserve">pouze pro účely nařízení o </w:t>
      </w:r>
      <w:r w:rsidR="00867EC0">
        <w:rPr>
          <w:rFonts w:ascii="Arial" w:hAnsi="Arial" w:cs="Arial"/>
          <w:b/>
          <w:bCs/>
          <w:i/>
          <w:iCs/>
          <w:sz w:val="20"/>
          <w:szCs w:val="20"/>
        </w:rPr>
        <w:t>Evropském zemědělském fondu pro rozvoj venkova (</w:t>
      </w:r>
      <w:r w:rsidRPr="009C2D1C">
        <w:rPr>
          <w:rFonts w:ascii="Arial" w:hAnsi="Arial" w:cs="Arial"/>
          <w:b/>
          <w:bCs/>
          <w:i/>
          <w:iCs/>
          <w:sz w:val="20"/>
          <w:szCs w:val="20"/>
        </w:rPr>
        <w:t>EZFRV</w:t>
      </w:r>
      <w:r w:rsidR="00867EC0">
        <w:rPr>
          <w:rFonts w:ascii="Arial" w:hAnsi="Arial" w:cs="Arial"/>
          <w:b/>
          <w:bCs/>
          <w:i/>
          <w:iCs/>
          <w:sz w:val="20"/>
          <w:szCs w:val="20"/>
        </w:rPr>
        <w:t>)</w:t>
      </w:r>
      <w:r w:rsidR="00D237F2">
        <w:rPr>
          <w:rFonts w:ascii="Arial" w:hAnsi="Arial" w:cs="Arial"/>
          <w:b/>
          <w:bCs/>
          <w:i/>
          <w:iCs/>
          <w:sz w:val="20"/>
          <w:szCs w:val="20"/>
        </w:rPr>
        <w:t xml:space="preserve"> a </w:t>
      </w:r>
      <w:r w:rsidRPr="009C2D1C">
        <w:rPr>
          <w:rFonts w:ascii="Arial" w:hAnsi="Arial" w:cs="Arial"/>
          <w:b/>
          <w:bCs/>
          <w:i/>
          <w:iCs/>
          <w:sz w:val="20"/>
          <w:szCs w:val="20"/>
        </w:rPr>
        <w:t>nařízení o ENRF rovněž fyzická osoba</w:t>
      </w:r>
      <w:r w:rsidR="009F73BB">
        <w:rPr>
          <w:rFonts w:ascii="Arial" w:hAnsi="Arial" w:cs="Arial"/>
          <w:i/>
          <w:iCs/>
          <w:sz w:val="20"/>
          <w:szCs w:val="20"/>
        </w:rPr>
        <w:t>, odpovědný</w:t>
      </w:r>
      <w:r w:rsidRPr="009C2D1C">
        <w:rPr>
          <w:rFonts w:ascii="Arial" w:hAnsi="Arial" w:cs="Arial"/>
          <w:i/>
          <w:iCs/>
          <w:sz w:val="20"/>
          <w:szCs w:val="20"/>
        </w:rPr>
        <w:t xml:space="preserve"> za</w:t>
      </w:r>
      <w:r w:rsidR="008D7D33">
        <w:rPr>
          <w:rFonts w:ascii="Arial" w:hAnsi="Arial" w:cs="Arial"/>
          <w:i/>
          <w:iCs/>
          <w:sz w:val="20"/>
          <w:szCs w:val="20"/>
        </w:rPr>
        <w:t> </w:t>
      </w:r>
      <w:r w:rsidRPr="009C2D1C">
        <w:rPr>
          <w:rFonts w:ascii="Arial" w:hAnsi="Arial" w:cs="Arial"/>
          <w:i/>
          <w:iCs/>
          <w:sz w:val="20"/>
          <w:szCs w:val="20"/>
        </w:rPr>
        <w:t>zahájení nebo za zahájení a provádění operací; a v souvislosti se systémy státní podpory, jak jsou vymezeny v bodě 13 tohoto článku, subjekt, který dostává podporu; a v souvislosti s finančními nástroji podle části druhé hlavy IV tohoto nařízení subjekt, který provádí finanční nástroj, popřípadě fond fondů.</w:t>
      </w:r>
      <w:bookmarkEnd w:id="79"/>
      <w:r w:rsidRPr="009C2D1C">
        <w:rPr>
          <w:rFonts w:ascii="Arial" w:hAnsi="Arial" w:cs="Arial"/>
          <w:i/>
          <w:iCs/>
          <w:sz w:val="20"/>
          <w:szCs w:val="20"/>
        </w:rPr>
        <w:t xml:space="preserve"> </w:t>
      </w:r>
    </w:p>
    <w:p w:rsidR="008D7D33" w:rsidRDefault="00DE6A60" w:rsidP="008D7D33">
      <w:pPr>
        <w:tabs>
          <w:tab w:val="left" w:pos="2694"/>
        </w:tabs>
        <w:outlineLvl w:val="0"/>
        <w:rPr>
          <w:rFonts w:ascii="Arial" w:hAnsi="Arial" w:cs="Arial"/>
          <w:sz w:val="20"/>
        </w:rPr>
      </w:pPr>
      <w:bookmarkStart w:id="80" w:name="_Toc409196637"/>
      <w:r w:rsidRPr="009C2D1C">
        <w:rPr>
          <w:rFonts w:ascii="Arial" w:hAnsi="Arial" w:cs="Arial"/>
          <w:sz w:val="20"/>
          <w:szCs w:val="20"/>
        </w:rPr>
        <w:t>Vzhledem k doplnění normy o specifikaci příjemce pro účely EZFRV a ENRF tak vznikla interpretační nejasnost, zda obecná definice příjemce, tj. i pro účely ERDF, ESF a FS stále zahrnuje i fyzické osoby. V prvotní fázi byl na EK zaslán dotaz o možnosti podpory fyzických osob ERDF, ESF a FS, kde výklad od EK byl, že podpora fyzických osob v rámci ERDF, ESF a FS není možná.</w:t>
      </w:r>
      <w:bookmarkEnd w:id="80"/>
      <w:r w:rsidRPr="009C2D1C">
        <w:rPr>
          <w:rFonts w:ascii="Arial" w:hAnsi="Arial" w:cs="Arial"/>
          <w:sz w:val="20"/>
          <w:szCs w:val="20"/>
        </w:rPr>
        <w:t xml:space="preserve"> </w:t>
      </w:r>
    </w:p>
    <w:p w:rsidR="008D7D33" w:rsidRDefault="00DE6A60" w:rsidP="008D7D33">
      <w:pPr>
        <w:tabs>
          <w:tab w:val="left" w:pos="2694"/>
        </w:tabs>
        <w:outlineLvl w:val="0"/>
        <w:rPr>
          <w:rFonts w:ascii="Arial" w:hAnsi="Arial" w:cs="Arial"/>
          <w:sz w:val="20"/>
        </w:rPr>
      </w:pPr>
      <w:bookmarkStart w:id="81" w:name="_Toc409196638"/>
      <w:r w:rsidRPr="009C2D1C">
        <w:rPr>
          <w:rFonts w:ascii="Arial" w:hAnsi="Arial" w:cs="Arial"/>
          <w:sz w:val="20"/>
          <w:szCs w:val="20"/>
        </w:rPr>
        <w:t xml:space="preserve">V návaznosti na tyto informace bylo z úrovně MMR-NOK provedeno oslovení EK k výkladu čl. 2 odst. 10 </w:t>
      </w:r>
      <w:r w:rsidR="008D7D33">
        <w:rPr>
          <w:rFonts w:ascii="Arial" w:hAnsi="Arial" w:cs="Arial"/>
          <w:sz w:val="20"/>
          <w:szCs w:val="20"/>
        </w:rPr>
        <w:t>O</w:t>
      </w:r>
      <w:r w:rsidRPr="009C2D1C">
        <w:rPr>
          <w:rFonts w:ascii="Arial" w:hAnsi="Arial" w:cs="Arial"/>
          <w:sz w:val="20"/>
          <w:szCs w:val="20"/>
        </w:rPr>
        <w:t>becného nařízení. V odpovědi EK bylo potvrzeno, že v rámci jiných fondů než EZFRV a ENRF není podpora fyzických osob možná.</w:t>
      </w:r>
      <w:bookmarkEnd w:id="81"/>
      <w:r w:rsidRPr="009C2D1C">
        <w:rPr>
          <w:rFonts w:ascii="Arial" w:hAnsi="Arial" w:cs="Arial"/>
          <w:sz w:val="20"/>
          <w:szCs w:val="20"/>
        </w:rPr>
        <w:t xml:space="preserve"> </w:t>
      </w:r>
    </w:p>
    <w:p w:rsidR="008D7D33" w:rsidRDefault="00DE6A60" w:rsidP="008D7D33">
      <w:pPr>
        <w:tabs>
          <w:tab w:val="left" w:pos="2694"/>
        </w:tabs>
        <w:outlineLvl w:val="0"/>
        <w:rPr>
          <w:rFonts w:ascii="Arial" w:hAnsi="Arial" w:cs="Arial"/>
          <w:sz w:val="20"/>
        </w:rPr>
      </w:pPr>
      <w:bookmarkStart w:id="82" w:name="_Toc409196639"/>
      <w:r w:rsidRPr="009C2D1C">
        <w:rPr>
          <w:rFonts w:ascii="Arial" w:hAnsi="Arial" w:cs="Arial"/>
          <w:sz w:val="20"/>
          <w:szCs w:val="20"/>
        </w:rPr>
        <w:t xml:space="preserve">Otazník však zůstal nad podnikajícími fyzickými osobami, a zda se v tomto případě jedná o soukromý subjekt, u kterého je podpora umožněna, nebo o fyzickou osobu. </w:t>
      </w:r>
      <w:r w:rsidR="008D7D33">
        <w:rPr>
          <w:rFonts w:ascii="Arial" w:hAnsi="Arial" w:cs="Arial"/>
          <w:sz w:val="20"/>
          <w:szCs w:val="20"/>
        </w:rPr>
        <w:t>N</w:t>
      </w:r>
      <w:r w:rsidRPr="009C2D1C">
        <w:rPr>
          <w:rFonts w:ascii="Arial" w:hAnsi="Arial" w:cs="Arial"/>
          <w:sz w:val="20"/>
          <w:szCs w:val="20"/>
        </w:rPr>
        <w:t>a jednání formálního dialogu k</w:t>
      </w:r>
      <w:r w:rsidR="008D7D33">
        <w:rPr>
          <w:rFonts w:ascii="Arial" w:hAnsi="Arial" w:cs="Arial"/>
          <w:sz w:val="20"/>
          <w:szCs w:val="20"/>
        </w:rPr>
        <w:t> </w:t>
      </w:r>
      <w:r w:rsidRPr="009C2D1C">
        <w:rPr>
          <w:rFonts w:ascii="Arial" w:hAnsi="Arial" w:cs="Arial"/>
          <w:sz w:val="20"/>
          <w:szCs w:val="20"/>
        </w:rPr>
        <w:t>OP</w:t>
      </w:r>
      <w:r w:rsidR="008D7D33">
        <w:rPr>
          <w:rFonts w:ascii="Arial" w:hAnsi="Arial" w:cs="Arial"/>
          <w:sz w:val="20"/>
          <w:szCs w:val="20"/>
        </w:rPr>
        <w:t> </w:t>
      </w:r>
      <w:r w:rsidRPr="009C2D1C">
        <w:rPr>
          <w:rFonts w:ascii="Arial" w:hAnsi="Arial" w:cs="Arial"/>
          <w:sz w:val="20"/>
          <w:szCs w:val="20"/>
        </w:rPr>
        <w:t xml:space="preserve">PIK dne 14. </w:t>
      </w:r>
      <w:r w:rsidR="008D7D33">
        <w:rPr>
          <w:rFonts w:ascii="Arial" w:hAnsi="Arial" w:cs="Arial"/>
          <w:sz w:val="20"/>
          <w:szCs w:val="20"/>
        </w:rPr>
        <w:t>listopadu</w:t>
      </w:r>
      <w:r w:rsidRPr="009C2D1C">
        <w:rPr>
          <w:rFonts w:ascii="Arial" w:hAnsi="Arial" w:cs="Arial"/>
          <w:sz w:val="20"/>
          <w:szCs w:val="20"/>
        </w:rPr>
        <w:t xml:space="preserve"> 2014 EK rozporovala i možnost podpory podnikajících fyzických osob a</w:t>
      </w:r>
      <w:r w:rsidR="008D7D33">
        <w:rPr>
          <w:rFonts w:ascii="Arial" w:hAnsi="Arial" w:cs="Arial"/>
          <w:sz w:val="20"/>
          <w:szCs w:val="20"/>
        </w:rPr>
        <w:t> </w:t>
      </w:r>
      <w:r w:rsidRPr="009C2D1C">
        <w:rPr>
          <w:rFonts w:ascii="Arial" w:hAnsi="Arial" w:cs="Arial"/>
          <w:sz w:val="20"/>
          <w:szCs w:val="20"/>
        </w:rPr>
        <w:t>nepřipouštěla tak podporu fyzických osob v jakékoliv podobě.  Tento postoj byl ze strany MMR</w:t>
      </w:r>
      <w:r w:rsidR="008D7D33">
        <w:rPr>
          <w:rFonts w:ascii="Arial" w:hAnsi="Arial" w:cs="Arial"/>
          <w:sz w:val="20"/>
          <w:szCs w:val="20"/>
        </w:rPr>
        <w:t>-NOK</w:t>
      </w:r>
      <w:r w:rsidRPr="009C2D1C">
        <w:rPr>
          <w:rFonts w:ascii="Arial" w:hAnsi="Arial" w:cs="Arial"/>
          <w:sz w:val="20"/>
          <w:szCs w:val="20"/>
        </w:rPr>
        <w:t xml:space="preserve"> rozporován, přičemž bylo vycházeno z premisy, že záměrem </w:t>
      </w:r>
      <w:r w:rsidR="008D7D33">
        <w:rPr>
          <w:rFonts w:ascii="Arial" w:hAnsi="Arial" w:cs="Arial"/>
          <w:sz w:val="20"/>
          <w:szCs w:val="20"/>
        </w:rPr>
        <w:t>EK</w:t>
      </w:r>
      <w:r w:rsidRPr="009C2D1C">
        <w:rPr>
          <w:rFonts w:ascii="Arial" w:hAnsi="Arial" w:cs="Arial"/>
          <w:sz w:val="20"/>
          <w:szCs w:val="20"/>
        </w:rPr>
        <w:t>, resp.</w:t>
      </w:r>
      <w:r w:rsidR="009F73BB">
        <w:rPr>
          <w:rFonts w:ascii="Arial" w:hAnsi="Arial" w:cs="Arial"/>
          <w:sz w:val="20"/>
          <w:szCs w:val="20"/>
        </w:rPr>
        <w:t xml:space="preserve"> normotvůrce, nebylo vyloučit z </w:t>
      </w:r>
      <w:r w:rsidRPr="009C2D1C">
        <w:rPr>
          <w:rFonts w:ascii="Arial" w:hAnsi="Arial" w:cs="Arial"/>
          <w:sz w:val="20"/>
          <w:szCs w:val="20"/>
        </w:rPr>
        <w:t>okruhu potenciálních příjemců prostředků z rozpočtu EU v rámci fondů ERDF, ESF a FS podnikající fyzické osoby a omezit tak konkurenceschopnost této skupiny.</w:t>
      </w:r>
      <w:bookmarkEnd w:id="82"/>
    </w:p>
    <w:p w:rsidR="00601496" w:rsidRDefault="00DE6A60" w:rsidP="008D7D33">
      <w:pPr>
        <w:tabs>
          <w:tab w:val="left" w:pos="2694"/>
        </w:tabs>
        <w:outlineLvl w:val="0"/>
        <w:rPr>
          <w:rFonts w:ascii="Arial" w:hAnsi="Arial" w:cs="Arial"/>
          <w:sz w:val="20"/>
        </w:rPr>
      </w:pPr>
      <w:bookmarkStart w:id="83" w:name="_Toc409196640"/>
      <w:r w:rsidRPr="009C2D1C">
        <w:rPr>
          <w:rFonts w:ascii="Arial" w:hAnsi="Arial" w:cs="Arial"/>
          <w:sz w:val="20"/>
          <w:szCs w:val="20"/>
        </w:rPr>
        <w:t>Proto MMR</w:t>
      </w:r>
      <w:r w:rsidR="008D7D33">
        <w:rPr>
          <w:rFonts w:ascii="Arial" w:hAnsi="Arial" w:cs="Arial"/>
          <w:sz w:val="20"/>
          <w:szCs w:val="20"/>
        </w:rPr>
        <w:t>-NOK</w:t>
      </w:r>
      <w:r w:rsidRPr="009C2D1C">
        <w:rPr>
          <w:rFonts w:ascii="Arial" w:hAnsi="Arial" w:cs="Arial"/>
          <w:sz w:val="20"/>
          <w:szCs w:val="20"/>
        </w:rPr>
        <w:t xml:space="preserve"> ve spolupráci s</w:t>
      </w:r>
      <w:r w:rsidR="008D7D33">
        <w:rPr>
          <w:rFonts w:ascii="Arial" w:hAnsi="Arial" w:cs="Arial"/>
          <w:sz w:val="20"/>
          <w:szCs w:val="20"/>
        </w:rPr>
        <w:t> </w:t>
      </w:r>
      <w:r w:rsidRPr="009C2D1C">
        <w:rPr>
          <w:rFonts w:ascii="Arial" w:hAnsi="Arial" w:cs="Arial"/>
          <w:sz w:val="20"/>
          <w:szCs w:val="20"/>
        </w:rPr>
        <w:t xml:space="preserve">MF připravilo a na EK zaslalo detailní právní rozbor této problematiky a požádalo EK o stanovisko. </w:t>
      </w:r>
      <w:r w:rsidRPr="00601496">
        <w:rPr>
          <w:rFonts w:ascii="Arial" w:hAnsi="Arial" w:cs="Arial"/>
          <w:b/>
          <w:sz w:val="20"/>
          <w:szCs w:val="20"/>
        </w:rPr>
        <w:t>EK následně svůj postoj změnila a ustoupila z původní negativní pozice a podpora podnikajících fyzických osob</w:t>
      </w:r>
      <w:r w:rsidRPr="009C2D1C">
        <w:rPr>
          <w:rFonts w:ascii="Arial" w:hAnsi="Arial" w:cs="Arial"/>
          <w:sz w:val="20"/>
          <w:szCs w:val="20"/>
        </w:rPr>
        <w:t xml:space="preserve"> (</w:t>
      </w:r>
      <w:r w:rsidR="00867EC0">
        <w:rPr>
          <w:rFonts w:ascii="Arial" w:hAnsi="Arial" w:cs="Arial"/>
          <w:sz w:val="20"/>
          <w:szCs w:val="20"/>
        </w:rPr>
        <w:t>osoby samostatně výdělečně činné</w:t>
      </w:r>
      <w:r w:rsidR="00867EC0" w:rsidRPr="009C2D1C">
        <w:rPr>
          <w:rFonts w:ascii="Arial" w:hAnsi="Arial" w:cs="Arial"/>
          <w:sz w:val="20"/>
          <w:szCs w:val="20"/>
        </w:rPr>
        <w:t xml:space="preserve"> </w:t>
      </w:r>
      <w:r w:rsidRPr="009C2D1C">
        <w:rPr>
          <w:rFonts w:ascii="Arial" w:hAnsi="Arial" w:cs="Arial"/>
          <w:sz w:val="20"/>
          <w:szCs w:val="20"/>
        </w:rPr>
        <w:t xml:space="preserve">a rodinné podniky vykonávající řemeslné či jiné činnosti a obchodní společnosti nebo sdružení, které vykonávají hospodářskou činnost) </w:t>
      </w:r>
      <w:r w:rsidRPr="00601496">
        <w:rPr>
          <w:rFonts w:ascii="Arial" w:hAnsi="Arial" w:cs="Arial"/>
          <w:b/>
          <w:sz w:val="20"/>
          <w:szCs w:val="20"/>
        </w:rPr>
        <w:t>je možná</w:t>
      </w:r>
      <w:r w:rsidRPr="009C2D1C">
        <w:rPr>
          <w:rFonts w:ascii="Arial" w:hAnsi="Arial" w:cs="Arial"/>
          <w:sz w:val="20"/>
          <w:szCs w:val="20"/>
        </w:rPr>
        <w:t>.</w:t>
      </w:r>
      <w:bookmarkEnd w:id="83"/>
    </w:p>
    <w:p w:rsidR="00DE6A60" w:rsidRPr="008D7D33" w:rsidRDefault="00DE6A60" w:rsidP="008D7D33">
      <w:pPr>
        <w:tabs>
          <w:tab w:val="left" w:pos="2694"/>
        </w:tabs>
        <w:outlineLvl w:val="0"/>
        <w:rPr>
          <w:rFonts w:ascii="Arial" w:hAnsi="Arial" w:cs="Arial"/>
          <w:sz w:val="20"/>
        </w:rPr>
      </w:pPr>
      <w:bookmarkStart w:id="84" w:name="_Toc409196641"/>
      <w:r w:rsidRPr="00C802C6">
        <w:rPr>
          <w:rFonts w:ascii="Arial" w:hAnsi="Arial" w:cs="Arial"/>
          <w:sz w:val="20"/>
          <w:szCs w:val="20"/>
        </w:rPr>
        <w:t>Dále lze zmínit,</w:t>
      </w:r>
      <w:r>
        <w:rPr>
          <w:rFonts w:ascii="Arial" w:hAnsi="Arial" w:cs="Arial"/>
          <w:sz w:val="20"/>
          <w:szCs w:val="20"/>
        </w:rPr>
        <w:t xml:space="preserve"> že i </w:t>
      </w:r>
      <w:r w:rsidRPr="00601496">
        <w:rPr>
          <w:rFonts w:ascii="Arial" w:hAnsi="Arial" w:cs="Arial"/>
          <w:b/>
          <w:sz w:val="20"/>
          <w:szCs w:val="20"/>
        </w:rPr>
        <w:t>tato oblast spadá pod kategorii rozdílného přístupu EK k členským státům</w:t>
      </w:r>
      <w:r>
        <w:rPr>
          <w:rFonts w:ascii="Arial" w:hAnsi="Arial" w:cs="Arial"/>
          <w:sz w:val="20"/>
          <w:szCs w:val="20"/>
        </w:rPr>
        <w:t xml:space="preserve">, kdy v rámci </w:t>
      </w:r>
      <w:r w:rsidR="00601496">
        <w:rPr>
          <w:rFonts w:ascii="Arial" w:hAnsi="Arial" w:cs="Arial"/>
          <w:sz w:val="20"/>
          <w:szCs w:val="20"/>
        </w:rPr>
        <w:t xml:space="preserve">slovenského </w:t>
      </w:r>
      <w:r>
        <w:rPr>
          <w:rFonts w:ascii="Arial" w:hAnsi="Arial" w:cs="Arial"/>
          <w:sz w:val="20"/>
          <w:szCs w:val="20"/>
        </w:rPr>
        <w:t>OP ŽP bylo umožněno podporovat podnikající fyzické osoby a to v době, kdy pro české programy (OP PIK) bylo toto stanovisko negativní.</w:t>
      </w:r>
      <w:bookmarkEnd w:id="84"/>
      <w:r>
        <w:rPr>
          <w:rFonts w:ascii="Arial" w:hAnsi="Arial" w:cs="Arial"/>
          <w:sz w:val="20"/>
          <w:szCs w:val="20"/>
        </w:rPr>
        <w:t xml:space="preserve"> </w:t>
      </w:r>
    </w:p>
    <w:p w:rsidR="00DE6A60" w:rsidRPr="009C2D1C" w:rsidRDefault="00DE6A60" w:rsidP="00FD74C0">
      <w:pPr>
        <w:pStyle w:val="Nadpis2"/>
      </w:pPr>
      <w:bookmarkStart w:id="85" w:name="_Toc409191128"/>
      <w:bookmarkStart w:id="86" w:name="_Toc409196642"/>
      <w:r w:rsidRPr="009C2D1C">
        <w:t>Výpočet výkonnostní rezervy</w:t>
      </w:r>
      <w:bookmarkEnd w:id="85"/>
      <w:bookmarkEnd w:id="86"/>
    </w:p>
    <w:p w:rsidR="00DE6A60" w:rsidRDefault="00DE6A60" w:rsidP="00601496">
      <w:pPr>
        <w:tabs>
          <w:tab w:val="left" w:pos="2694"/>
        </w:tabs>
        <w:outlineLvl w:val="0"/>
        <w:rPr>
          <w:rFonts w:ascii="Arial" w:hAnsi="Arial" w:cs="Arial"/>
          <w:sz w:val="20"/>
          <w:szCs w:val="20"/>
        </w:rPr>
      </w:pPr>
      <w:bookmarkStart w:id="87" w:name="_Toc409196643"/>
      <w:r w:rsidRPr="009C2D1C">
        <w:rPr>
          <w:rFonts w:ascii="Arial" w:hAnsi="Arial" w:cs="Arial"/>
          <w:sz w:val="20"/>
          <w:szCs w:val="20"/>
        </w:rPr>
        <w:t>EK v této věci vydala stanovisko na počátku září 2014</w:t>
      </w:r>
      <w:r>
        <w:rPr>
          <w:rFonts w:ascii="Arial" w:hAnsi="Arial" w:cs="Arial"/>
          <w:sz w:val="20"/>
          <w:szCs w:val="20"/>
        </w:rPr>
        <w:t>, tedy</w:t>
      </w:r>
      <w:r w:rsidR="009F73BB">
        <w:rPr>
          <w:rFonts w:ascii="Arial" w:hAnsi="Arial" w:cs="Arial"/>
          <w:sz w:val="20"/>
          <w:szCs w:val="20"/>
        </w:rPr>
        <w:t xml:space="preserve"> v době,</w:t>
      </w:r>
      <w:r>
        <w:rPr>
          <w:rFonts w:ascii="Arial" w:hAnsi="Arial" w:cs="Arial"/>
          <w:sz w:val="20"/>
          <w:szCs w:val="20"/>
        </w:rPr>
        <w:t xml:space="preserve"> kdy pr</w:t>
      </w:r>
      <w:r w:rsidR="00601496">
        <w:rPr>
          <w:rFonts w:ascii="Arial" w:hAnsi="Arial" w:cs="Arial"/>
          <w:sz w:val="20"/>
          <w:szCs w:val="20"/>
        </w:rPr>
        <w:t>ogramy již byly předloženy EK a </w:t>
      </w:r>
      <w:r>
        <w:rPr>
          <w:rFonts w:ascii="Arial" w:hAnsi="Arial" w:cs="Arial"/>
          <w:sz w:val="20"/>
          <w:szCs w:val="20"/>
        </w:rPr>
        <w:t>vloženy do jejího elektronického systému. Toto stanovisko</w:t>
      </w:r>
      <w:r w:rsidRPr="009C2D1C">
        <w:rPr>
          <w:rFonts w:ascii="Arial" w:hAnsi="Arial" w:cs="Arial"/>
          <w:sz w:val="20"/>
          <w:szCs w:val="20"/>
        </w:rPr>
        <w:t xml:space="preserve"> umožňovalo flexibilní rozložení </w:t>
      </w:r>
      <w:r w:rsidRPr="007A177F">
        <w:rPr>
          <w:rFonts w:ascii="Arial" w:hAnsi="Arial" w:cs="Arial"/>
          <w:sz w:val="20"/>
          <w:szCs w:val="20"/>
        </w:rPr>
        <w:t>výkonnostní rezervy</w:t>
      </w:r>
      <w:r w:rsidRPr="009C2D1C">
        <w:rPr>
          <w:rFonts w:ascii="Arial" w:hAnsi="Arial" w:cs="Arial"/>
          <w:sz w:val="20"/>
          <w:szCs w:val="20"/>
        </w:rPr>
        <w:t xml:space="preserve">, čehož ČR </w:t>
      </w:r>
      <w:r>
        <w:rPr>
          <w:rFonts w:ascii="Arial" w:hAnsi="Arial" w:cs="Arial"/>
          <w:sz w:val="20"/>
          <w:szCs w:val="20"/>
        </w:rPr>
        <w:t>také využila. N</w:t>
      </w:r>
      <w:r w:rsidRPr="009C2D1C">
        <w:rPr>
          <w:rFonts w:ascii="Arial" w:hAnsi="Arial" w:cs="Arial"/>
          <w:sz w:val="20"/>
          <w:szCs w:val="20"/>
        </w:rPr>
        <w:t>ásledně však v</w:t>
      </w:r>
      <w:r w:rsidR="00601496">
        <w:rPr>
          <w:rFonts w:ascii="Arial" w:hAnsi="Arial" w:cs="Arial"/>
          <w:sz w:val="20"/>
          <w:szCs w:val="20"/>
        </w:rPr>
        <w:t> </w:t>
      </w:r>
      <w:r w:rsidRPr="009C2D1C">
        <w:rPr>
          <w:rFonts w:ascii="Arial" w:hAnsi="Arial" w:cs="Arial"/>
          <w:sz w:val="20"/>
          <w:szCs w:val="20"/>
        </w:rPr>
        <w:t>listopadu</w:t>
      </w:r>
      <w:r w:rsidR="00601496">
        <w:rPr>
          <w:rFonts w:ascii="Arial" w:hAnsi="Arial" w:cs="Arial"/>
          <w:sz w:val="20"/>
          <w:szCs w:val="20"/>
        </w:rPr>
        <w:t xml:space="preserve"> 2014</w:t>
      </w:r>
      <w:r w:rsidRPr="009C2D1C">
        <w:rPr>
          <w:rFonts w:ascii="Arial" w:hAnsi="Arial" w:cs="Arial"/>
          <w:sz w:val="20"/>
          <w:szCs w:val="20"/>
        </w:rPr>
        <w:t xml:space="preserve"> EK</w:t>
      </w:r>
      <w:r>
        <w:rPr>
          <w:rFonts w:ascii="Arial" w:hAnsi="Arial" w:cs="Arial"/>
          <w:sz w:val="20"/>
          <w:szCs w:val="20"/>
        </w:rPr>
        <w:t>, tedy po obdržení připomínek k programům a v probíhajícím formální dialogu</w:t>
      </w:r>
      <w:r w:rsidR="00601496">
        <w:rPr>
          <w:rFonts w:ascii="Arial" w:hAnsi="Arial" w:cs="Arial"/>
          <w:sz w:val="20"/>
          <w:szCs w:val="20"/>
        </w:rPr>
        <w:t>,</w:t>
      </w:r>
      <w:r w:rsidRPr="009C2D1C">
        <w:rPr>
          <w:rFonts w:ascii="Arial" w:hAnsi="Arial" w:cs="Arial"/>
          <w:sz w:val="20"/>
          <w:szCs w:val="20"/>
        </w:rPr>
        <w:t xml:space="preserve"> svůj názor změnila, což se ČR dozvěděla jen díky tomu, že z důvodu informací získaných od kolegů ze </w:t>
      </w:r>
      <w:r>
        <w:rPr>
          <w:rFonts w:ascii="Arial" w:hAnsi="Arial" w:cs="Arial"/>
          <w:sz w:val="20"/>
          <w:szCs w:val="20"/>
        </w:rPr>
        <w:t>Slovenské republiky</w:t>
      </w:r>
      <w:r w:rsidRPr="009C2D1C">
        <w:rPr>
          <w:rFonts w:ascii="Arial" w:hAnsi="Arial" w:cs="Arial"/>
          <w:sz w:val="20"/>
          <w:szCs w:val="20"/>
        </w:rPr>
        <w:t xml:space="preserve"> začala aktivně ověřovat na EK platnost dřívějšího stanoviska. Tento problém je v současnosti již vyřešen.</w:t>
      </w:r>
      <w:bookmarkEnd w:id="87"/>
    </w:p>
    <w:p w:rsidR="00DE6A60" w:rsidRPr="009C2D1C" w:rsidRDefault="00DE6A60" w:rsidP="00601496">
      <w:pPr>
        <w:tabs>
          <w:tab w:val="left" w:pos="2694"/>
        </w:tabs>
        <w:outlineLvl w:val="0"/>
        <w:rPr>
          <w:rFonts w:ascii="Arial" w:hAnsi="Arial" w:cs="Arial"/>
          <w:sz w:val="20"/>
          <w:szCs w:val="20"/>
        </w:rPr>
      </w:pPr>
      <w:bookmarkStart w:id="88" w:name="_Toc409196644"/>
      <w:r w:rsidRPr="009C2D1C">
        <w:rPr>
          <w:rFonts w:ascii="Arial" w:hAnsi="Arial" w:cs="Arial"/>
          <w:sz w:val="20"/>
          <w:szCs w:val="20"/>
        </w:rPr>
        <w:t>MMR</w:t>
      </w:r>
      <w:r w:rsidR="00601496">
        <w:rPr>
          <w:rFonts w:ascii="Arial" w:hAnsi="Arial" w:cs="Arial"/>
          <w:sz w:val="20"/>
          <w:szCs w:val="20"/>
        </w:rPr>
        <w:t>-NOK</w:t>
      </w:r>
      <w:r w:rsidRPr="009C2D1C">
        <w:rPr>
          <w:rFonts w:ascii="Arial" w:hAnsi="Arial" w:cs="Arial"/>
          <w:sz w:val="20"/>
          <w:szCs w:val="20"/>
        </w:rPr>
        <w:t xml:space="preserve"> ve spolupráci se </w:t>
      </w:r>
      <w:r>
        <w:rPr>
          <w:rFonts w:ascii="Arial" w:hAnsi="Arial" w:cs="Arial"/>
          <w:sz w:val="20"/>
          <w:szCs w:val="20"/>
        </w:rPr>
        <w:t>Stálým zastoupením ČR v Bruselu</w:t>
      </w:r>
      <w:r w:rsidRPr="009C2D1C">
        <w:rPr>
          <w:rFonts w:ascii="Arial" w:hAnsi="Arial" w:cs="Arial"/>
          <w:sz w:val="20"/>
          <w:szCs w:val="20"/>
        </w:rPr>
        <w:t xml:space="preserve"> provedlo </w:t>
      </w:r>
      <w:r w:rsidRPr="00601496">
        <w:rPr>
          <w:rFonts w:ascii="Arial" w:hAnsi="Arial" w:cs="Arial"/>
          <w:b/>
          <w:sz w:val="20"/>
          <w:szCs w:val="20"/>
        </w:rPr>
        <w:t>screening situace v několika členských státech</w:t>
      </w:r>
      <w:r w:rsidRPr="009C2D1C">
        <w:rPr>
          <w:rFonts w:ascii="Arial" w:hAnsi="Arial" w:cs="Arial"/>
          <w:sz w:val="20"/>
          <w:szCs w:val="20"/>
        </w:rPr>
        <w:t xml:space="preserve">, z něhož </w:t>
      </w:r>
      <w:r>
        <w:rPr>
          <w:rFonts w:ascii="Arial" w:hAnsi="Arial" w:cs="Arial"/>
          <w:sz w:val="20"/>
          <w:szCs w:val="20"/>
        </w:rPr>
        <w:t>vyplynulo, že řada států se potýkala se stejným problémem, tedy že ze strany EK  nebyla tato oblast dostatečně komunikována a výklad EK se v této oblasti změnil ve finální fázi přípravy programů.</w:t>
      </w:r>
      <w:bookmarkEnd w:id="88"/>
    </w:p>
    <w:p w:rsidR="00DE6A60" w:rsidRPr="00F9454B" w:rsidRDefault="00DE6A60" w:rsidP="00FD74C0">
      <w:pPr>
        <w:pStyle w:val="Nadpis2"/>
      </w:pPr>
      <w:bookmarkStart w:id="89" w:name="_Toc409191129"/>
      <w:bookmarkStart w:id="90" w:name="_Toc409196645"/>
      <w:r w:rsidRPr="00601496">
        <w:lastRenderedPageBreak/>
        <w:t>Financování rozvoje MS2014+</w:t>
      </w:r>
      <w:bookmarkEnd w:id="89"/>
      <w:bookmarkEnd w:id="90"/>
    </w:p>
    <w:p w:rsidR="00601496" w:rsidRDefault="00DE6A60" w:rsidP="00601496">
      <w:pPr>
        <w:tabs>
          <w:tab w:val="left" w:pos="2694"/>
        </w:tabs>
        <w:outlineLvl w:val="0"/>
        <w:rPr>
          <w:rFonts w:ascii="Arial" w:hAnsi="Arial" w:cs="Arial"/>
          <w:sz w:val="20"/>
          <w:szCs w:val="20"/>
        </w:rPr>
      </w:pPr>
      <w:bookmarkStart w:id="91" w:name="_Toc409196646"/>
      <w:r>
        <w:rPr>
          <w:rFonts w:ascii="Arial" w:hAnsi="Arial" w:cs="Arial"/>
          <w:sz w:val="20"/>
          <w:szCs w:val="20"/>
        </w:rPr>
        <w:t xml:space="preserve">V průběhu formálního dialogu byla ze strany EK otevřena také problematika individuálního rozvoje </w:t>
      </w:r>
      <w:r w:rsidR="00601496">
        <w:rPr>
          <w:rFonts w:ascii="Arial" w:hAnsi="Arial" w:cs="Arial"/>
          <w:sz w:val="20"/>
          <w:szCs w:val="20"/>
        </w:rPr>
        <w:t>jednotného monitorovacího systému pro programové období 2014–2020 (</w:t>
      </w:r>
      <w:r w:rsidRPr="009C2D1C">
        <w:rPr>
          <w:rFonts w:ascii="Arial" w:hAnsi="Arial" w:cs="Arial"/>
          <w:sz w:val="20"/>
          <w:szCs w:val="20"/>
        </w:rPr>
        <w:t>MS2014+</w:t>
      </w:r>
      <w:r w:rsidR="00601496">
        <w:rPr>
          <w:rFonts w:ascii="Arial" w:hAnsi="Arial" w:cs="Arial"/>
          <w:sz w:val="20"/>
          <w:szCs w:val="20"/>
        </w:rPr>
        <w:t>)</w:t>
      </w:r>
      <w:r>
        <w:rPr>
          <w:rFonts w:ascii="Arial" w:hAnsi="Arial" w:cs="Arial"/>
          <w:sz w:val="20"/>
          <w:szCs w:val="20"/>
        </w:rPr>
        <w:t>, kdy dlouhodobě bylo se zástupci EK komunikováno, že centrální řešení a požadavky na rozvoj budou financovány z OP Technická pomoc (OP TP), nicméně individuální požadavky na rozvoj MS2014+ budou financovány z technické pomoci jednotlivých programů.</w:t>
      </w:r>
      <w:bookmarkEnd w:id="91"/>
      <w:r>
        <w:rPr>
          <w:rFonts w:ascii="Arial" w:hAnsi="Arial" w:cs="Arial"/>
          <w:sz w:val="20"/>
          <w:szCs w:val="20"/>
        </w:rPr>
        <w:t xml:space="preserve"> </w:t>
      </w:r>
    </w:p>
    <w:p w:rsidR="00601496" w:rsidRDefault="00DE6A60" w:rsidP="00601496">
      <w:pPr>
        <w:tabs>
          <w:tab w:val="left" w:pos="2694"/>
        </w:tabs>
        <w:outlineLvl w:val="0"/>
        <w:rPr>
          <w:rFonts w:ascii="Arial" w:hAnsi="Arial" w:cs="Arial"/>
          <w:sz w:val="20"/>
          <w:szCs w:val="20"/>
        </w:rPr>
      </w:pPr>
      <w:bookmarkStart w:id="92" w:name="_Toc409196647"/>
      <w:r>
        <w:rPr>
          <w:rFonts w:ascii="Arial" w:hAnsi="Arial" w:cs="Arial"/>
          <w:sz w:val="20"/>
          <w:szCs w:val="20"/>
        </w:rPr>
        <w:t xml:space="preserve">Na jednání formálního dialogu s OP PIK však EK tento postup </w:t>
      </w:r>
      <w:r w:rsidRPr="00C133CF">
        <w:rPr>
          <w:rFonts w:ascii="Arial" w:hAnsi="Arial" w:cs="Arial"/>
          <w:sz w:val="20"/>
          <w:szCs w:val="20"/>
        </w:rPr>
        <w:t>zásadně odmít</w:t>
      </w:r>
      <w:r>
        <w:rPr>
          <w:rFonts w:ascii="Arial" w:hAnsi="Arial" w:cs="Arial"/>
          <w:sz w:val="20"/>
          <w:szCs w:val="20"/>
        </w:rPr>
        <w:t xml:space="preserve">la a </w:t>
      </w:r>
      <w:r w:rsidRPr="00C133CF">
        <w:rPr>
          <w:rFonts w:ascii="Arial" w:hAnsi="Arial" w:cs="Arial"/>
          <w:sz w:val="20"/>
          <w:szCs w:val="20"/>
        </w:rPr>
        <w:t xml:space="preserve"> </w:t>
      </w:r>
      <w:r>
        <w:rPr>
          <w:rFonts w:ascii="Arial" w:hAnsi="Arial" w:cs="Arial"/>
          <w:sz w:val="20"/>
          <w:szCs w:val="20"/>
        </w:rPr>
        <w:t>tento  postup</w:t>
      </w:r>
      <w:r w:rsidRPr="00C133CF">
        <w:rPr>
          <w:rFonts w:ascii="Arial" w:hAnsi="Arial" w:cs="Arial"/>
          <w:sz w:val="20"/>
          <w:szCs w:val="20"/>
        </w:rPr>
        <w:t xml:space="preserve"> považ</w:t>
      </w:r>
      <w:r>
        <w:rPr>
          <w:rFonts w:ascii="Arial" w:hAnsi="Arial" w:cs="Arial"/>
          <w:sz w:val="20"/>
          <w:szCs w:val="20"/>
        </w:rPr>
        <w:t>ovala</w:t>
      </w:r>
      <w:r w:rsidRPr="00C133CF">
        <w:rPr>
          <w:rFonts w:ascii="Arial" w:hAnsi="Arial" w:cs="Arial"/>
          <w:sz w:val="20"/>
          <w:szCs w:val="20"/>
        </w:rPr>
        <w:t xml:space="preserve"> za skryté navyšování rozpočtu </w:t>
      </w:r>
      <w:r>
        <w:rPr>
          <w:rFonts w:ascii="Arial" w:hAnsi="Arial" w:cs="Arial"/>
          <w:sz w:val="20"/>
          <w:szCs w:val="20"/>
        </w:rPr>
        <w:t>MS2014+</w:t>
      </w:r>
      <w:r w:rsidRPr="00C133CF">
        <w:rPr>
          <w:rFonts w:ascii="Arial" w:hAnsi="Arial" w:cs="Arial"/>
          <w:sz w:val="20"/>
          <w:szCs w:val="20"/>
        </w:rPr>
        <w:t xml:space="preserve">. </w:t>
      </w:r>
      <w:r>
        <w:rPr>
          <w:rFonts w:ascii="Arial" w:hAnsi="Arial" w:cs="Arial"/>
          <w:sz w:val="20"/>
          <w:szCs w:val="20"/>
        </w:rPr>
        <w:t xml:space="preserve">Ze strany řídicího orgánu OP TP bylo na tento požadavek EK přistoupeno. Jsou zde však nastaveny finanční limity pro tento rozvoj. </w:t>
      </w:r>
      <w:r w:rsidRPr="009C2D1C">
        <w:rPr>
          <w:rFonts w:ascii="Arial" w:hAnsi="Arial" w:cs="Arial"/>
          <w:sz w:val="20"/>
          <w:szCs w:val="20"/>
        </w:rPr>
        <w:t>Součástí veřejné zakázky „Pořízení aplikace MS2014+ a zajištění jejího provozu a rozvoje“ byla nutnost zajistit i</w:t>
      </w:r>
      <w:r w:rsidR="00601496">
        <w:rPr>
          <w:rFonts w:ascii="Arial" w:hAnsi="Arial" w:cs="Arial"/>
          <w:sz w:val="20"/>
          <w:szCs w:val="20"/>
        </w:rPr>
        <w:t> </w:t>
      </w:r>
      <w:r w:rsidRPr="009C2D1C">
        <w:rPr>
          <w:rFonts w:ascii="Arial" w:hAnsi="Arial" w:cs="Arial"/>
          <w:sz w:val="20"/>
          <w:szCs w:val="20"/>
        </w:rPr>
        <w:t>náklady na rozvoj aplikace dle požadavků, které vyplynou z procesních, legislativních a metodických změn po celou dobu programového období a dle požadavků EK, vlády České rep</w:t>
      </w:r>
      <w:r w:rsidR="00601496">
        <w:rPr>
          <w:rFonts w:ascii="Arial" w:hAnsi="Arial" w:cs="Arial"/>
          <w:sz w:val="20"/>
          <w:szCs w:val="20"/>
        </w:rPr>
        <w:t>ubliky, MMR-NOK a řídicích orgánů.</w:t>
      </w:r>
      <w:bookmarkEnd w:id="92"/>
      <w:r w:rsidR="00601496">
        <w:rPr>
          <w:rFonts w:ascii="Arial" w:hAnsi="Arial" w:cs="Arial"/>
          <w:sz w:val="20"/>
          <w:szCs w:val="20"/>
        </w:rPr>
        <w:t xml:space="preserve"> </w:t>
      </w:r>
    </w:p>
    <w:p w:rsidR="00601496" w:rsidRDefault="00DE6A60" w:rsidP="00601496">
      <w:pPr>
        <w:tabs>
          <w:tab w:val="left" w:pos="2694"/>
        </w:tabs>
        <w:outlineLvl w:val="0"/>
        <w:rPr>
          <w:rFonts w:ascii="Arial" w:hAnsi="Arial" w:cs="Arial"/>
          <w:sz w:val="20"/>
          <w:szCs w:val="20"/>
        </w:rPr>
      </w:pPr>
      <w:bookmarkStart w:id="93" w:name="_Toc409196648"/>
      <w:r w:rsidRPr="009C2D1C">
        <w:rPr>
          <w:rFonts w:ascii="Arial" w:hAnsi="Arial" w:cs="Arial"/>
          <w:sz w:val="20"/>
          <w:szCs w:val="20"/>
        </w:rPr>
        <w:t>V požadavcích zadavatele (</w:t>
      </w:r>
      <w:r w:rsidR="00601496">
        <w:rPr>
          <w:rFonts w:ascii="Arial" w:hAnsi="Arial" w:cs="Arial"/>
          <w:sz w:val="20"/>
          <w:szCs w:val="20"/>
        </w:rPr>
        <w:t>tj.</w:t>
      </w:r>
      <w:r w:rsidR="00601496" w:rsidRPr="009C2D1C">
        <w:rPr>
          <w:rFonts w:ascii="Arial" w:hAnsi="Arial" w:cs="Arial"/>
          <w:sz w:val="20"/>
          <w:szCs w:val="20"/>
        </w:rPr>
        <w:t xml:space="preserve"> </w:t>
      </w:r>
      <w:r w:rsidRPr="009C2D1C">
        <w:rPr>
          <w:rFonts w:ascii="Arial" w:hAnsi="Arial" w:cs="Arial"/>
          <w:sz w:val="20"/>
          <w:szCs w:val="20"/>
        </w:rPr>
        <w:t xml:space="preserve">MMR) byl i maximálně definovaný objem rozvojových hodin na </w:t>
      </w:r>
      <w:r w:rsidR="00601496">
        <w:rPr>
          <w:rFonts w:ascii="Arial" w:hAnsi="Arial" w:cs="Arial"/>
          <w:sz w:val="20"/>
          <w:szCs w:val="20"/>
        </w:rPr>
        <w:t> </w:t>
      </w:r>
      <w:r w:rsidRPr="009C2D1C">
        <w:rPr>
          <w:rFonts w:ascii="Arial" w:hAnsi="Arial" w:cs="Arial"/>
          <w:sz w:val="20"/>
          <w:szCs w:val="20"/>
        </w:rPr>
        <w:t>kalendářní rok. Smluvní parametry mezi MMR a dodavatelem (TESCO SW a.s.) pro rozvojové aktivity aplikace MS2014+ určily výši finančních nákladů určených na rozvoj Aplikace MS2014+ v maximální  výši 33 323 400,- Kč s DPH za jeden kalendářní rok, přičemž plnění musí být podloženo požadavkem MMR, následnou akceptací předmětu plnění a fakturou ve výši odpovídající množství skutečně poskytnuté</w:t>
      </w:r>
      <w:r w:rsidR="00601496">
        <w:rPr>
          <w:rFonts w:ascii="Arial" w:hAnsi="Arial" w:cs="Arial"/>
          <w:sz w:val="20"/>
          <w:szCs w:val="20"/>
        </w:rPr>
        <w:t>ho a MMR akceptovaného plnění.</w:t>
      </w:r>
      <w:bookmarkEnd w:id="93"/>
      <w:r w:rsidR="00601496">
        <w:rPr>
          <w:rFonts w:ascii="Arial" w:hAnsi="Arial" w:cs="Arial"/>
          <w:sz w:val="20"/>
          <w:szCs w:val="20"/>
        </w:rPr>
        <w:t xml:space="preserve"> </w:t>
      </w:r>
    </w:p>
    <w:p w:rsidR="009F73BB" w:rsidRDefault="00DE6A60" w:rsidP="00601496">
      <w:pPr>
        <w:tabs>
          <w:tab w:val="left" w:pos="2694"/>
        </w:tabs>
        <w:outlineLvl w:val="0"/>
        <w:rPr>
          <w:rFonts w:ascii="Arial" w:hAnsi="Arial" w:cs="Arial"/>
          <w:b/>
          <w:sz w:val="20"/>
          <w:szCs w:val="20"/>
        </w:rPr>
      </w:pPr>
      <w:bookmarkStart w:id="94" w:name="_Toc409196649"/>
      <w:r w:rsidRPr="009F73BB">
        <w:rPr>
          <w:rFonts w:ascii="Arial" w:hAnsi="Arial" w:cs="Arial"/>
          <w:sz w:val="20"/>
          <w:szCs w:val="20"/>
        </w:rPr>
        <w:t xml:space="preserve">Ze strany EK byl dále v rámci formálního dialogu </w:t>
      </w:r>
      <w:r w:rsidRPr="00FD1A64">
        <w:rPr>
          <w:rFonts w:ascii="Arial" w:hAnsi="Arial" w:cs="Arial"/>
          <w:b/>
          <w:sz w:val="20"/>
          <w:szCs w:val="20"/>
        </w:rPr>
        <w:t xml:space="preserve">vznesen požadavek na realizaci výkonnostního auditu monitorovacího systému </w:t>
      </w:r>
      <w:r>
        <w:rPr>
          <w:rFonts w:ascii="Arial" w:hAnsi="Arial" w:cs="Arial"/>
          <w:b/>
          <w:sz w:val="20"/>
          <w:szCs w:val="20"/>
        </w:rPr>
        <w:t>pro programové</w:t>
      </w:r>
      <w:r w:rsidR="00601496">
        <w:rPr>
          <w:rFonts w:ascii="Arial" w:hAnsi="Arial" w:cs="Arial"/>
          <w:b/>
          <w:sz w:val="20"/>
          <w:szCs w:val="20"/>
        </w:rPr>
        <w:t xml:space="preserve"> období 2007–</w:t>
      </w:r>
      <w:r w:rsidRPr="00FD1A64">
        <w:rPr>
          <w:rFonts w:ascii="Arial" w:hAnsi="Arial" w:cs="Arial"/>
          <w:b/>
          <w:sz w:val="20"/>
          <w:szCs w:val="20"/>
        </w:rPr>
        <w:t>2013 i</w:t>
      </w:r>
      <w:r w:rsidR="00601496">
        <w:rPr>
          <w:rFonts w:ascii="Arial" w:hAnsi="Arial" w:cs="Arial"/>
          <w:b/>
          <w:sz w:val="20"/>
          <w:szCs w:val="20"/>
        </w:rPr>
        <w:t> </w:t>
      </w:r>
      <w:r w:rsidRPr="00FD1A64">
        <w:rPr>
          <w:rFonts w:ascii="Arial" w:hAnsi="Arial" w:cs="Arial"/>
          <w:b/>
          <w:sz w:val="20"/>
          <w:szCs w:val="20"/>
        </w:rPr>
        <w:t>monitorovacího sys</w:t>
      </w:r>
      <w:r w:rsidR="00601496">
        <w:rPr>
          <w:rFonts w:ascii="Arial" w:hAnsi="Arial" w:cs="Arial"/>
          <w:b/>
          <w:sz w:val="20"/>
          <w:szCs w:val="20"/>
        </w:rPr>
        <w:t>tému pro programové období 2014–</w:t>
      </w:r>
      <w:r w:rsidRPr="00FD1A64">
        <w:rPr>
          <w:rFonts w:ascii="Arial" w:hAnsi="Arial" w:cs="Arial"/>
          <w:b/>
          <w:sz w:val="20"/>
          <w:szCs w:val="20"/>
        </w:rPr>
        <w:t>2020.  </w:t>
      </w:r>
    </w:p>
    <w:p w:rsidR="00DE6A60" w:rsidRPr="009C2D1C" w:rsidRDefault="00DE6A60" w:rsidP="00601496">
      <w:pPr>
        <w:tabs>
          <w:tab w:val="left" w:pos="2694"/>
        </w:tabs>
        <w:outlineLvl w:val="0"/>
        <w:rPr>
          <w:rFonts w:ascii="Arial" w:hAnsi="Arial" w:cs="Arial"/>
          <w:sz w:val="20"/>
          <w:szCs w:val="20"/>
        </w:rPr>
      </w:pPr>
      <w:r w:rsidRPr="009F73BB">
        <w:rPr>
          <w:rFonts w:ascii="Arial" w:hAnsi="Arial" w:cs="Arial"/>
          <w:sz w:val="20"/>
          <w:szCs w:val="20"/>
        </w:rPr>
        <w:t>Na základě</w:t>
      </w:r>
      <w:r w:rsidRPr="00FD1A64">
        <w:rPr>
          <w:rFonts w:ascii="Arial" w:hAnsi="Arial" w:cs="Arial"/>
          <w:b/>
          <w:sz w:val="20"/>
          <w:szCs w:val="20"/>
        </w:rPr>
        <w:t xml:space="preserve"> proved</w:t>
      </w:r>
      <w:r>
        <w:rPr>
          <w:rFonts w:ascii="Arial" w:hAnsi="Arial" w:cs="Arial"/>
          <w:b/>
          <w:sz w:val="20"/>
          <w:szCs w:val="20"/>
        </w:rPr>
        <w:t>e</w:t>
      </w:r>
      <w:r w:rsidRPr="00FD1A64">
        <w:rPr>
          <w:rFonts w:ascii="Arial" w:hAnsi="Arial" w:cs="Arial"/>
          <w:b/>
          <w:sz w:val="20"/>
          <w:szCs w:val="20"/>
        </w:rPr>
        <w:t>ného screening</w:t>
      </w:r>
      <w:r w:rsidR="00601496">
        <w:rPr>
          <w:rFonts w:ascii="Arial" w:hAnsi="Arial" w:cs="Arial"/>
          <w:b/>
          <w:sz w:val="20"/>
          <w:szCs w:val="20"/>
        </w:rPr>
        <w:t>u</w:t>
      </w:r>
      <w:r w:rsidRPr="00FD1A64">
        <w:rPr>
          <w:rFonts w:ascii="Arial" w:hAnsi="Arial" w:cs="Arial"/>
          <w:b/>
          <w:sz w:val="20"/>
          <w:szCs w:val="20"/>
        </w:rPr>
        <w:t xml:space="preserve"> situace v několika členských státech </w:t>
      </w:r>
      <w:r w:rsidRPr="009F73BB">
        <w:rPr>
          <w:rFonts w:ascii="Arial" w:hAnsi="Arial" w:cs="Arial"/>
          <w:sz w:val="20"/>
          <w:szCs w:val="20"/>
        </w:rPr>
        <w:t>vyplynulo, že</w:t>
      </w:r>
      <w:r w:rsidRPr="00FD1A64">
        <w:rPr>
          <w:rFonts w:ascii="Arial" w:hAnsi="Arial" w:cs="Arial"/>
          <w:b/>
          <w:sz w:val="20"/>
          <w:szCs w:val="20"/>
        </w:rPr>
        <w:t xml:space="preserve"> výkonnostní audi</w:t>
      </w:r>
      <w:r w:rsidR="00601496">
        <w:rPr>
          <w:rFonts w:ascii="Arial" w:hAnsi="Arial" w:cs="Arial"/>
          <w:b/>
          <w:sz w:val="20"/>
          <w:szCs w:val="20"/>
        </w:rPr>
        <w:t>t na </w:t>
      </w:r>
      <w:r w:rsidRPr="00FD1A64">
        <w:rPr>
          <w:rFonts w:ascii="Arial" w:hAnsi="Arial" w:cs="Arial"/>
          <w:b/>
          <w:sz w:val="20"/>
          <w:szCs w:val="20"/>
        </w:rPr>
        <w:t>monitorovací systém je požadován pouze v ČR</w:t>
      </w:r>
      <w:r w:rsidRPr="009F73BB">
        <w:rPr>
          <w:rFonts w:ascii="Arial" w:hAnsi="Arial" w:cs="Arial"/>
          <w:sz w:val="20"/>
          <w:szCs w:val="20"/>
        </w:rPr>
        <w:t>, jedná se tedy o příklad nejednotného přístupu EK k členským státům, kdy</w:t>
      </w:r>
      <w:r w:rsidRPr="00FD1A64">
        <w:rPr>
          <w:rFonts w:ascii="Arial" w:hAnsi="Arial" w:cs="Arial"/>
          <w:b/>
          <w:sz w:val="20"/>
          <w:szCs w:val="20"/>
        </w:rPr>
        <w:t xml:space="preserve"> na ČR jsou kladeny vyšší nároky než na ostatní členské země</w:t>
      </w:r>
      <w:r w:rsidRPr="00115CCC">
        <w:rPr>
          <w:rFonts w:ascii="Arial" w:hAnsi="Arial" w:cs="Arial"/>
          <w:b/>
          <w:sz w:val="20"/>
          <w:szCs w:val="20"/>
        </w:rPr>
        <w:t xml:space="preserve"> a zatěžují tak př</w:t>
      </w:r>
      <w:r w:rsidR="00601496">
        <w:rPr>
          <w:rFonts w:ascii="Arial" w:hAnsi="Arial" w:cs="Arial"/>
          <w:b/>
          <w:sz w:val="20"/>
          <w:szCs w:val="20"/>
        </w:rPr>
        <w:t>ípravu programového období 2014–</w:t>
      </w:r>
      <w:r w:rsidRPr="00115CCC">
        <w:rPr>
          <w:rFonts w:ascii="Arial" w:hAnsi="Arial" w:cs="Arial"/>
          <w:b/>
          <w:sz w:val="20"/>
          <w:szCs w:val="20"/>
        </w:rPr>
        <w:t>2020</w:t>
      </w:r>
      <w:r w:rsidR="00601496">
        <w:rPr>
          <w:rFonts w:ascii="Arial" w:hAnsi="Arial" w:cs="Arial"/>
          <w:b/>
          <w:sz w:val="20"/>
          <w:szCs w:val="20"/>
        </w:rPr>
        <w:t xml:space="preserve"> v České republice</w:t>
      </w:r>
      <w:r w:rsidRPr="00115CCC">
        <w:rPr>
          <w:rFonts w:ascii="Arial" w:hAnsi="Arial" w:cs="Arial"/>
          <w:b/>
          <w:sz w:val="20"/>
          <w:szCs w:val="20"/>
        </w:rPr>
        <w:t>.</w:t>
      </w:r>
      <w:bookmarkEnd w:id="94"/>
    </w:p>
    <w:p w:rsidR="00DE6A60" w:rsidRDefault="00DE6A60">
      <w:pPr>
        <w:spacing w:before="0" w:line="240" w:lineRule="auto"/>
        <w:jc w:val="left"/>
        <w:rPr>
          <w:rFonts w:ascii="Arial" w:eastAsiaTheme="majorEastAsia" w:hAnsi="Arial" w:cs="Arial"/>
          <w:b/>
          <w:bCs/>
          <w:sz w:val="36"/>
          <w:szCs w:val="32"/>
        </w:rPr>
      </w:pPr>
      <w:r>
        <w:br w:type="page"/>
      </w:r>
    </w:p>
    <w:p w:rsidR="00FB189D" w:rsidRDefault="00935294" w:rsidP="00CC5D9C">
      <w:pPr>
        <w:pStyle w:val="Nadpis1"/>
        <w:numPr>
          <w:ilvl w:val="0"/>
          <w:numId w:val="0"/>
        </w:numPr>
      </w:pPr>
      <w:bookmarkStart w:id="95" w:name="_Toc401148480"/>
      <w:bookmarkStart w:id="96" w:name="_Toc409196650"/>
      <w:bookmarkEnd w:id="34"/>
      <w:r>
        <w:lastRenderedPageBreak/>
        <w:t>Seznam zkratek</w:t>
      </w:r>
      <w:bookmarkEnd w:id="95"/>
      <w:bookmarkEnd w:id="96"/>
    </w:p>
    <w:p w:rsidR="004A2608" w:rsidRDefault="004A2608" w:rsidP="004A2608">
      <w:pPr>
        <w:pStyle w:val="Odstavecseseznamem"/>
        <w:tabs>
          <w:tab w:val="left" w:pos="2835"/>
        </w:tabs>
        <w:spacing w:after="0"/>
        <w:ind w:left="0" w:firstLine="0"/>
        <w:rPr>
          <w:rFonts w:ascii="Arial" w:hAnsi="Arial" w:cs="Arial"/>
          <w:sz w:val="20"/>
          <w:szCs w:val="20"/>
        </w:rPr>
      </w:pPr>
      <w:r>
        <w:rPr>
          <w:rFonts w:ascii="Arial" w:hAnsi="Arial" w:cs="Arial"/>
          <w:sz w:val="20"/>
          <w:szCs w:val="20"/>
        </w:rPr>
        <w:t>CF</w:t>
      </w:r>
      <w:r>
        <w:rPr>
          <w:rFonts w:ascii="Arial" w:hAnsi="Arial" w:cs="Arial"/>
          <w:sz w:val="20"/>
          <w:szCs w:val="20"/>
        </w:rPr>
        <w:tab/>
        <w:t>Fond soudržnosti (Cohesion Fund)</w:t>
      </w:r>
    </w:p>
    <w:p w:rsidR="004A2608" w:rsidRDefault="004A2608" w:rsidP="00FB189D">
      <w:pPr>
        <w:pStyle w:val="Odstavecseseznamem"/>
        <w:tabs>
          <w:tab w:val="left" w:pos="2835"/>
        </w:tabs>
        <w:spacing w:after="0"/>
        <w:ind w:left="0" w:firstLine="0"/>
        <w:rPr>
          <w:rFonts w:ascii="Arial" w:hAnsi="Arial" w:cs="Arial"/>
          <w:sz w:val="20"/>
          <w:szCs w:val="20"/>
        </w:rPr>
      </w:pPr>
      <w:r>
        <w:rPr>
          <w:rFonts w:ascii="Arial" w:hAnsi="Arial" w:cs="Arial"/>
          <w:sz w:val="20"/>
          <w:szCs w:val="20"/>
        </w:rPr>
        <w:t>CLLD</w:t>
      </w:r>
      <w:r>
        <w:rPr>
          <w:rFonts w:ascii="Arial" w:hAnsi="Arial" w:cs="Arial"/>
          <w:sz w:val="20"/>
          <w:szCs w:val="20"/>
        </w:rPr>
        <w:tab/>
        <w:t>Komunitně vedený místní rozvoj (Community Led Local Development)</w:t>
      </w:r>
    </w:p>
    <w:p w:rsidR="00953F6A" w:rsidRPr="0070374F" w:rsidRDefault="00953F6A" w:rsidP="00FB189D">
      <w:pPr>
        <w:pStyle w:val="Odstavecseseznamem"/>
        <w:tabs>
          <w:tab w:val="left" w:pos="2835"/>
        </w:tabs>
        <w:spacing w:after="0"/>
        <w:ind w:left="0" w:firstLine="0"/>
        <w:rPr>
          <w:rFonts w:ascii="Arial" w:hAnsi="Arial" w:cs="Arial"/>
          <w:sz w:val="20"/>
          <w:szCs w:val="20"/>
        </w:rPr>
      </w:pPr>
      <w:r w:rsidRPr="0070374F">
        <w:rPr>
          <w:rFonts w:ascii="Arial" w:hAnsi="Arial" w:cs="Arial"/>
          <w:sz w:val="20"/>
          <w:szCs w:val="20"/>
        </w:rPr>
        <w:t>ČR</w:t>
      </w:r>
      <w:r w:rsidRPr="0070374F">
        <w:rPr>
          <w:rFonts w:ascii="Arial" w:hAnsi="Arial" w:cs="Arial"/>
          <w:sz w:val="20"/>
          <w:szCs w:val="20"/>
        </w:rPr>
        <w:tab/>
        <w:t>Česká republika</w:t>
      </w:r>
    </w:p>
    <w:p w:rsidR="00305EF5" w:rsidRDefault="00305EF5" w:rsidP="00305EF5">
      <w:pPr>
        <w:pStyle w:val="Odstavecseseznamem"/>
        <w:tabs>
          <w:tab w:val="left" w:pos="2835"/>
        </w:tabs>
        <w:spacing w:after="0"/>
        <w:ind w:left="2835" w:hanging="2835"/>
        <w:jc w:val="left"/>
        <w:rPr>
          <w:rFonts w:ascii="Arial" w:hAnsi="Arial" w:cs="Arial"/>
          <w:sz w:val="20"/>
          <w:szCs w:val="20"/>
        </w:rPr>
      </w:pPr>
      <w:r>
        <w:rPr>
          <w:rFonts w:ascii="Arial" w:hAnsi="Arial" w:cs="Arial"/>
          <w:sz w:val="20"/>
          <w:szCs w:val="20"/>
        </w:rPr>
        <w:t>DG AGRI</w:t>
      </w:r>
      <w:r>
        <w:rPr>
          <w:rFonts w:ascii="Arial" w:hAnsi="Arial" w:cs="Arial"/>
          <w:sz w:val="20"/>
          <w:szCs w:val="20"/>
        </w:rPr>
        <w:tab/>
        <w:t>Generální ředitelství pro zemědělství a rozvoj venkova</w:t>
      </w:r>
    </w:p>
    <w:p w:rsidR="00305EF5" w:rsidRDefault="00305EF5" w:rsidP="00305EF5">
      <w:pPr>
        <w:pStyle w:val="Odstavecseseznamem"/>
        <w:tabs>
          <w:tab w:val="left" w:pos="2835"/>
        </w:tabs>
        <w:spacing w:after="0"/>
        <w:ind w:left="2835" w:hanging="2835"/>
        <w:jc w:val="left"/>
        <w:rPr>
          <w:rFonts w:ascii="Arial" w:hAnsi="Arial" w:cs="Arial"/>
          <w:sz w:val="20"/>
          <w:szCs w:val="20"/>
        </w:rPr>
      </w:pPr>
      <w:r>
        <w:rPr>
          <w:rFonts w:ascii="Arial" w:hAnsi="Arial" w:cs="Arial"/>
          <w:sz w:val="20"/>
          <w:szCs w:val="20"/>
        </w:rPr>
        <w:t>DG EMPL</w:t>
      </w:r>
      <w:r>
        <w:rPr>
          <w:rFonts w:ascii="Arial" w:hAnsi="Arial" w:cs="Arial"/>
          <w:sz w:val="20"/>
          <w:szCs w:val="20"/>
        </w:rPr>
        <w:tab/>
        <w:t>Generální ředitelství pro zaměstnanost, sociální věci a sociální začleňování</w:t>
      </w:r>
    </w:p>
    <w:p w:rsidR="00305EF5" w:rsidRDefault="00305EF5" w:rsidP="00305EF5">
      <w:pPr>
        <w:pStyle w:val="Odstavecseseznamem"/>
        <w:tabs>
          <w:tab w:val="left" w:pos="2835"/>
        </w:tabs>
        <w:spacing w:after="0"/>
        <w:ind w:left="2835" w:hanging="2835"/>
        <w:jc w:val="left"/>
        <w:rPr>
          <w:rFonts w:ascii="Arial" w:hAnsi="Arial" w:cs="Arial"/>
          <w:sz w:val="20"/>
          <w:szCs w:val="20"/>
        </w:rPr>
      </w:pPr>
      <w:r>
        <w:rPr>
          <w:rFonts w:ascii="Arial" w:hAnsi="Arial" w:cs="Arial"/>
          <w:sz w:val="20"/>
          <w:szCs w:val="20"/>
        </w:rPr>
        <w:t>DG MARE</w:t>
      </w:r>
      <w:r>
        <w:rPr>
          <w:rFonts w:ascii="Arial" w:hAnsi="Arial" w:cs="Arial"/>
          <w:sz w:val="20"/>
          <w:szCs w:val="20"/>
        </w:rPr>
        <w:tab/>
        <w:t>Generální ředitelství pro námořní záležitosti a rybolov</w:t>
      </w:r>
    </w:p>
    <w:p w:rsidR="00305EF5" w:rsidRPr="00305EF5" w:rsidRDefault="002E4FB5" w:rsidP="00305EF5">
      <w:pPr>
        <w:pStyle w:val="Odstavecseseznamem"/>
        <w:tabs>
          <w:tab w:val="left" w:pos="2835"/>
        </w:tabs>
        <w:spacing w:after="0"/>
        <w:ind w:left="2835" w:hanging="2835"/>
        <w:jc w:val="left"/>
        <w:rPr>
          <w:rFonts w:ascii="Arial" w:hAnsi="Arial" w:cs="Arial"/>
          <w:sz w:val="20"/>
          <w:szCs w:val="20"/>
        </w:rPr>
      </w:pPr>
      <w:r>
        <w:rPr>
          <w:rFonts w:ascii="Arial" w:hAnsi="Arial" w:cs="Arial"/>
          <w:sz w:val="20"/>
          <w:szCs w:val="20"/>
        </w:rPr>
        <w:t>DG REGIO</w:t>
      </w:r>
      <w:r>
        <w:rPr>
          <w:rFonts w:ascii="Arial" w:hAnsi="Arial" w:cs="Arial"/>
          <w:sz w:val="20"/>
          <w:szCs w:val="20"/>
        </w:rPr>
        <w:tab/>
        <w:t>Generální ředi</w:t>
      </w:r>
      <w:r w:rsidR="00305EF5">
        <w:rPr>
          <w:rFonts w:ascii="Arial" w:hAnsi="Arial" w:cs="Arial"/>
          <w:sz w:val="20"/>
          <w:szCs w:val="20"/>
        </w:rPr>
        <w:t>telství pro regionální politiku</w:t>
      </w:r>
    </w:p>
    <w:p w:rsidR="00BC0589" w:rsidRPr="0070374F" w:rsidRDefault="00BC0589" w:rsidP="00BC0589">
      <w:pPr>
        <w:pStyle w:val="Odstavecseseznamem"/>
        <w:tabs>
          <w:tab w:val="left" w:pos="2835"/>
        </w:tabs>
        <w:spacing w:after="0"/>
        <w:ind w:left="2835" w:hanging="2835"/>
        <w:jc w:val="left"/>
        <w:rPr>
          <w:rFonts w:ascii="Arial" w:hAnsi="Arial" w:cs="Arial"/>
          <w:sz w:val="20"/>
          <w:szCs w:val="20"/>
        </w:rPr>
      </w:pPr>
      <w:r w:rsidRPr="0070374F">
        <w:rPr>
          <w:rFonts w:ascii="Arial" w:hAnsi="Arial" w:cs="Arial"/>
          <w:sz w:val="20"/>
          <w:szCs w:val="20"/>
        </w:rPr>
        <w:t>EIA</w:t>
      </w:r>
      <w:r w:rsidRPr="0070374F">
        <w:rPr>
          <w:rFonts w:ascii="Arial" w:hAnsi="Arial" w:cs="Arial"/>
          <w:sz w:val="20"/>
          <w:szCs w:val="20"/>
        </w:rPr>
        <w:tab/>
        <w:t>Hodnocení vlivu na životní prostředí (Environmental Impact Assessment)</w:t>
      </w:r>
    </w:p>
    <w:p w:rsidR="00953F6A" w:rsidRPr="0070374F" w:rsidRDefault="00953F6A" w:rsidP="00FB189D">
      <w:pPr>
        <w:pStyle w:val="Odstavecseseznamem"/>
        <w:tabs>
          <w:tab w:val="left" w:pos="2835"/>
        </w:tabs>
        <w:spacing w:after="0"/>
        <w:ind w:left="0" w:firstLine="0"/>
        <w:rPr>
          <w:rFonts w:ascii="Arial" w:hAnsi="Arial" w:cs="Arial"/>
          <w:sz w:val="20"/>
          <w:szCs w:val="20"/>
        </w:rPr>
      </w:pPr>
      <w:r w:rsidRPr="0070374F">
        <w:rPr>
          <w:rFonts w:ascii="Arial" w:hAnsi="Arial" w:cs="Arial"/>
          <w:sz w:val="20"/>
          <w:szCs w:val="20"/>
        </w:rPr>
        <w:t>EK</w:t>
      </w:r>
      <w:r w:rsidRPr="0070374F">
        <w:rPr>
          <w:rFonts w:ascii="Arial" w:hAnsi="Arial" w:cs="Arial"/>
          <w:sz w:val="20"/>
          <w:szCs w:val="20"/>
        </w:rPr>
        <w:tab/>
        <w:t>Evropská komise</w:t>
      </w:r>
    </w:p>
    <w:p w:rsidR="007701B6" w:rsidRDefault="007701B6" w:rsidP="00FB189D">
      <w:pPr>
        <w:pStyle w:val="Odstavecseseznamem"/>
        <w:tabs>
          <w:tab w:val="left" w:pos="2835"/>
        </w:tabs>
        <w:spacing w:after="0"/>
        <w:ind w:left="0" w:firstLine="0"/>
        <w:rPr>
          <w:rFonts w:ascii="Arial" w:hAnsi="Arial" w:cs="Arial"/>
          <w:sz w:val="20"/>
          <w:szCs w:val="20"/>
        </w:rPr>
      </w:pPr>
      <w:r>
        <w:rPr>
          <w:rFonts w:ascii="Arial" w:hAnsi="Arial" w:cs="Arial"/>
          <w:sz w:val="20"/>
          <w:szCs w:val="20"/>
        </w:rPr>
        <w:t>ENRF</w:t>
      </w:r>
      <w:r>
        <w:rPr>
          <w:rFonts w:ascii="Arial" w:hAnsi="Arial" w:cs="Arial"/>
          <w:sz w:val="20"/>
          <w:szCs w:val="20"/>
        </w:rPr>
        <w:tab/>
        <w:t>Evropský námořní a rybářský fond</w:t>
      </w:r>
    </w:p>
    <w:p w:rsidR="004A2608" w:rsidRDefault="004A2608" w:rsidP="004A2608">
      <w:pPr>
        <w:pStyle w:val="Odstavecseseznamem"/>
        <w:tabs>
          <w:tab w:val="left" w:pos="2835"/>
        </w:tabs>
        <w:spacing w:after="0"/>
        <w:ind w:left="2835" w:hanging="2835"/>
        <w:jc w:val="left"/>
        <w:rPr>
          <w:rFonts w:ascii="Arial" w:hAnsi="Arial" w:cs="Arial"/>
          <w:sz w:val="20"/>
          <w:szCs w:val="20"/>
        </w:rPr>
      </w:pPr>
      <w:r>
        <w:rPr>
          <w:rFonts w:ascii="Arial" w:hAnsi="Arial" w:cs="Arial"/>
          <w:sz w:val="20"/>
          <w:szCs w:val="20"/>
        </w:rPr>
        <w:t>ERDF</w:t>
      </w:r>
      <w:r>
        <w:rPr>
          <w:rFonts w:ascii="Arial" w:hAnsi="Arial" w:cs="Arial"/>
          <w:sz w:val="20"/>
          <w:szCs w:val="20"/>
        </w:rPr>
        <w:tab/>
        <w:t>Evropský fond pro regionální rozvoj (European Regional Development Fund)</w:t>
      </w:r>
    </w:p>
    <w:p w:rsidR="004A2608" w:rsidRDefault="004A2608" w:rsidP="00FB189D">
      <w:pPr>
        <w:pStyle w:val="Odstavecseseznamem"/>
        <w:tabs>
          <w:tab w:val="left" w:pos="2835"/>
        </w:tabs>
        <w:spacing w:after="0"/>
        <w:ind w:left="0" w:firstLine="0"/>
        <w:rPr>
          <w:rFonts w:ascii="Arial" w:hAnsi="Arial" w:cs="Arial"/>
          <w:sz w:val="20"/>
          <w:szCs w:val="20"/>
        </w:rPr>
      </w:pPr>
      <w:r>
        <w:rPr>
          <w:rFonts w:ascii="Arial" w:hAnsi="Arial" w:cs="Arial"/>
          <w:sz w:val="20"/>
          <w:szCs w:val="20"/>
        </w:rPr>
        <w:t>ESF</w:t>
      </w:r>
      <w:r>
        <w:rPr>
          <w:rFonts w:ascii="Arial" w:hAnsi="Arial" w:cs="Arial"/>
          <w:sz w:val="20"/>
          <w:szCs w:val="20"/>
        </w:rPr>
        <w:tab/>
        <w:t>Evropský sociální fond (European Social Fund)</w:t>
      </w:r>
    </w:p>
    <w:p w:rsidR="00953F6A" w:rsidRPr="0070374F" w:rsidRDefault="00953F6A" w:rsidP="00FB189D">
      <w:pPr>
        <w:pStyle w:val="Odstavecseseznamem"/>
        <w:tabs>
          <w:tab w:val="left" w:pos="2835"/>
        </w:tabs>
        <w:spacing w:after="0"/>
        <w:ind w:left="0" w:firstLine="0"/>
        <w:rPr>
          <w:rFonts w:ascii="Arial" w:hAnsi="Arial" w:cs="Arial"/>
          <w:sz w:val="20"/>
          <w:szCs w:val="20"/>
        </w:rPr>
      </w:pPr>
      <w:r w:rsidRPr="0070374F">
        <w:rPr>
          <w:rFonts w:ascii="Arial" w:hAnsi="Arial" w:cs="Arial"/>
          <w:sz w:val="20"/>
          <w:szCs w:val="20"/>
        </w:rPr>
        <w:t>ESI fondy</w:t>
      </w:r>
      <w:r w:rsidRPr="0070374F">
        <w:rPr>
          <w:rFonts w:ascii="Arial" w:hAnsi="Arial" w:cs="Arial"/>
          <w:sz w:val="20"/>
          <w:szCs w:val="20"/>
        </w:rPr>
        <w:tab/>
        <w:t>Evropské strukturální a investiční fondy</w:t>
      </w:r>
    </w:p>
    <w:p w:rsidR="00B161E3" w:rsidRPr="0070374F" w:rsidRDefault="00B161E3" w:rsidP="00FB189D">
      <w:pPr>
        <w:pStyle w:val="Odstavecseseznamem"/>
        <w:tabs>
          <w:tab w:val="left" w:pos="2835"/>
        </w:tabs>
        <w:spacing w:after="0"/>
        <w:ind w:left="0" w:firstLine="0"/>
        <w:rPr>
          <w:rFonts w:ascii="Arial" w:hAnsi="Arial" w:cs="Arial"/>
          <w:sz w:val="20"/>
          <w:szCs w:val="20"/>
        </w:rPr>
      </w:pPr>
      <w:r w:rsidRPr="0070374F">
        <w:rPr>
          <w:rFonts w:ascii="Arial" w:hAnsi="Arial" w:cs="Arial"/>
          <w:sz w:val="20"/>
          <w:szCs w:val="20"/>
        </w:rPr>
        <w:t>EU</w:t>
      </w:r>
      <w:r w:rsidRPr="0070374F">
        <w:rPr>
          <w:rFonts w:ascii="Arial" w:hAnsi="Arial" w:cs="Arial"/>
          <w:sz w:val="20"/>
          <w:szCs w:val="20"/>
        </w:rPr>
        <w:tab/>
        <w:t>Evropská unie</w:t>
      </w:r>
    </w:p>
    <w:p w:rsidR="003463F1" w:rsidRPr="0070374F" w:rsidRDefault="003463F1" w:rsidP="00FB189D">
      <w:pPr>
        <w:pStyle w:val="Odstavecseseznamem"/>
        <w:tabs>
          <w:tab w:val="left" w:pos="2835"/>
        </w:tabs>
        <w:spacing w:after="0"/>
        <w:ind w:left="0" w:firstLine="0"/>
        <w:rPr>
          <w:rFonts w:ascii="Arial" w:hAnsi="Arial" w:cs="Arial"/>
          <w:sz w:val="20"/>
          <w:szCs w:val="20"/>
        </w:rPr>
      </w:pPr>
      <w:r w:rsidRPr="0070374F">
        <w:rPr>
          <w:rFonts w:ascii="Arial" w:hAnsi="Arial" w:cs="Arial"/>
          <w:sz w:val="20"/>
          <w:szCs w:val="20"/>
        </w:rPr>
        <w:t>EÚS</w:t>
      </w:r>
      <w:r w:rsidRPr="0070374F">
        <w:rPr>
          <w:rFonts w:ascii="Arial" w:hAnsi="Arial" w:cs="Arial"/>
          <w:sz w:val="20"/>
          <w:szCs w:val="20"/>
        </w:rPr>
        <w:tab/>
        <w:t>Evropská územní spolupráce</w:t>
      </w:r>
    </w:p>
    <w:p w:rsidR="00867EC0" w:rsidRDefault="00867EC0" w:rsidP="00FB189D">
      <w:pPr>
        <w:pStyle w:val="Odstavecseseznamem"/>
        <w:tabs>
          <w:tab w:val="left" w:pos="2835"/>
        </w:tabs>
        <w:spacing w:after="0"/>
        <w:ind w:left="0" w:firstLine="0"/>
        <w:rPr>
          <w:rFonts w:ascii="Arial" w:hAnsi="Arial" w:cs="Arial"/>
          <w:sz w:val="20"/>
          <w:szCs w:val="20"/>
        </w:rPr>
      </w:pPr>
      <w:r>
        <w:rPr>
          <w:rFonts w:ascii="Arial" w:hAnsi="Arial" w:cs="Arial"/>
          <w:sz w:val="20"/>
          <w:szCs w:val="20"/>
        </w:rPr>
        <w:t>EZFRV</w:t>
      </w:r>
      <w:r>
        <w:rPr>
          <w:rFonts w:ascii="Arial" w:hAnsi="Arial" w:cs="Arial"/>
          <w:sz w:val="20"/>
          <w:szCs w:val="20"/>
        </w:rPr>
        <w:tab/>
        <w:t>Evropský zemědělský fond pro rozvoj venkova</w:t>
      </w:r>
    </w:p>
    <w:p w:rsidR="00B161E3" w:rsidRPr="0070374F" w:rsidRDefault="00B161E3" w:rsidP="00FB189D">
      <w:pPr>
        <w:pStyle w:val="Odstavecseseznamem"/>
        <w:tabs>
          <w:tab w:val="left" w:pos="2835"/>
        </w:tabs>
        <w:spacing w:after="0"/>
        <w:ind w:left="0" w:firstLine="0"/>
        <w:rPr>
          <w:rFonts w:ascii="Arial" w:hAnsi="Arial" w:cs="Arial"/>
          <w:sz w:val="20"/>
          <w:szCs w:val="20"/>
        </w:rPr>
      </w:pPr>
      <w:r w:rsidRPr="0070374F">
        <w:rPr>
          <w:rFonts w:ascii="Arial" w:hAnsi="Arial" w:cs="Arial"/>
          <w:sz w:val="20"/>
          <w:szCs w:val="20"/>
        </w:rPr>
        <w:t>IROP</w:t>
      </w:r>
      <w:r w:rsidRPr="0070374F">
        <w:rPr>
          <w:rFonts w:ascii="Arial" w:hAnsi="Arial" w:cs="Arial"/>
          <w:sz w:val="20"/>
          <w:szCs w:val="20"/>
        </w:rPr>
        <w:tab/>
        <w:t>Integrovaný regionální operační program</w:t>
      </w:r>
    </w:p>
    <w:p w:rsidR="002D4271" w:rsidRDefault="002D4271" w:rsidP="002D4271">
      <w:pPr>
        <w:pStyle w:val="Odstavecseseznamem"/>
        <w:tabs>
          <w:tab w:val="left" w:pos="2835"/>
        </w:tabs>
        <w:spacing w:after="0"/>
        <w:ind w:left="2835" w:hanging="2835"/>
        <w:rPr>
          <w:rFonts w:ascii="Arial" w:hAnsi="Arial" w:cs="Arial"/>
          <w:sz w:val="20"/>
          <w:szCs w:val="20"/>
        </w:rPr>
      </w:pPr>
      <w:r>
        <w:rPr>
          <w:rFonts w:ascii="Arial" w:hAnsi="Arial" w:cs="Arial"/>
          <w:sz w:val="20"/>
          <w:szCs w:val="20"/>
        </w:rPr>
        <w:t>JASPERS</w:t>
      </w:r>
      <w:r>
        <w:rPr>
          <w:rFonts w:ascii="Arial" w:hAnsi="Arial" w:cs="Arial"/>
          <w:sz w:val="20"/>
          <w:szCs w:val="20"/>
        </w:rPr>
        <w:tab/>
        <w:t>S</w:t>
      </w:r>
      <w:r w:rsidRPr="002D4271">
        <w:rPr>
          <w:rFonts w:ascii="Arial" w:hAnsi="Arial" w:cs="Arial"/>
          <w:sz w:val="20"/>
          <w:szCs w:val="20"/>
        </w:rPr>
        <w:t>polečná pomoc při podpoře projektů v evropských regionech</w:t>
      </w:r>
      <w:r>
        <w:rPr>
          <w:rFonts w:ascii="Arial" w:hAnsi="Arial" w:cs="Arial"/>
          <w:sz w:val="20"/>
          <w:szCs w:val="20"/>
        </w:rPr>
        <w:t xml:space="preserve"> (</w:t>
      </w:r>
      <w:r w:rsidRPr="002D4271">
        <w:rPr>
          <w:rFonts w:ascii="Arial" w:hAnsi="Arial" w:cs="Arial"/>
          <w:sz w:val="20"/>
          <w:szCs w:val="20"/>
        </w:rPr>
        <w:t>Joint Assistance to Support Projects in European Regions)</w:t>
      </w:r>
    </w:p>
    <w:p w:rsidR="00953F6A" w:rsidRPr="0070374F" w:rsidRDefault="00953F6A" w:rsidP="00FB189D">
      <w:pPr>
        <w:pStyle w:val="Odstavecseseznamem"/>
        <w:tabs>
          <w:tab w:val="left" w:pos="2835"/>
        </w:tabs>
        <w:spacing w:after="0"/>
        <w:ind w:left="0" w:firstLine="0"/>
        <w:rPr>
          <w:rFonts w:ascii="Arial" w:hAnsi="Arial" w:cs="Arial"/>
          <w:sz w:val="20"/>
          <w:szCs w:val="20"/>
        </w:rPr>
      </w:pPr>
      <w:r w:rsidRPr="0070374F">
        <w:rPr>
          <w:rFonts w:ascii="Arial" w:hAnsi="Arial" w:cs="Arial"/>
          <w:sz w:val="20"/>
          <w:szCs w:val="20"/>
        </w:rPr>
        <w:t>JMP</w:t>
      </w:r>
      <w:r w:rsidRPr="0070374F">
        <w:rPr>
          <w:rFonts w:ascii="Arial" w:hAnsi="Arial" w:cs="Arial"/>
          <w:sz w:val="20"/>
          <w:szCs w:val="20"/>
        </w:rPr>
        <w:tab/>
        <w:t>Jednotné metodické prostředí</w:t>
      </w:r>
    </w:p>
    <w:p w:rsidR="00BC2083" w:rsidRPr="0070374F" w:rsidRDefault="00BC2083" w:rsidP="00FB189D">
      <w:pPr>
        <w:pStyle w:val="Odstavecseseznamem"/>
        <w:tabs>
          <w:tab w:val="left" w:pos="2835"/>
        </w:tabs>
        <w:spacing w:after="0"/>
        <w:ind w:left="0" w:firstLine="0"/>
        <w:rPr>
          <w:rFonts w:ascii="Arial" w:hAnsi="Arial" w:cs="Arial"/>
          <w:sz w:val="20"/>
          <w:szCs w:val="20"/>
        </w:rPr>
      </w:pPr>
      <w:r w:rsidRPr="0070374F">
        <w:rPr>
          <w:rFonts w:ascii="Arial" w:hAnsi="Arial" w:cs="Arial"/>
          <w:sz w:val="20"/>
          <w:szCs w:val="20"/>
        </w:rPr>
        <w:t>MD</w:t>
      </w:r>
      <w:r w:rsidRPr="0070374F">
        <w:rPr>
          <w:rFonts w:ascii="Arial" w:hAnsi="Arial" w:cs="Arial"/>
          <w:sz w:val="20"/>
          <w:szCs w:val="20"/>
        </w:rPr>
        <w:tab/>
        <w:t>Ministerstvo dopravy</w:t>
      </w:r>
    </w:p>
    <w:p w:rsidR="00953F6A" w:rsidRPr="0070374F" w:rsidRDefault="00953F6A" w:rsidP="00FB189D">
      <w:pPr>
        <w:pStyle w:val="Odstavecseseznamem"/>
        <w:tabs>
          <w:tab w:val="left" w:pos="2835"/>
        </w:tabs>
        <w:spacing w:after="0"/>
        <w:ind w:left="0" w:firstLine="0"/>
        <w:rPr>
          <w:rFonts w:ascii="Arial" w:hAnsi="Arial" w:cs="Arial"/>
          <w:sz w:val="20"/>
          <w:szCs w:val="20"/>
        </w:rPr>
      </w:pPr>
      <w:r w:rsidRPr="0070374F">
        <w:rPr>
          <w:rFonts w:ascii="Arial" w:hAnsi="Arial" w:cs="Arial"/>
          <w:sz w:val="20"/>
          <w:szCs w:val="20"/>
        </w:rPr>
        <w:t>MF</w:t>
      </w:r>
      <w:r w:rsidRPr="0070374F">
        <w:rPr>
          <w:rFonts w:ascii="Arial" w:hAnsi="Arial" w:cs="Arial"/>
          <w:sz w:val="20"/>
          <w:szCs w:val="20"/>
        </w:rPr>
        <w:tab/>
        <w:t>Ministerstvo financí</w:t>
      </w:r>
    </w:p>
    <w:p w:rsidR="00953F6A" w:rsidRPr="0070374F" w:rsidRDefault="00953F6A" w:rsidP="00FB189D">
      <w:pPr>
        <w:pStyle w:val="Odstavecseseznamem"/>
        <w:tabs>
          <w:tab w:val="left" w:pos="2835"/>
        </w:tabs>
        <w:spacing w:after="0"/>
        <w:ind w:left="0" w:firstLine="0"/>
        <w:rPr>
          <w:rFonts w:ascii="Arial" w:hAnsi="Arial" w:cs="Arial"/>
          <w:sz w:val="20"/>
          <w:szCs w:val="20"/>
        </w:rPr>
      </w:pPr>
      <w:r w:rsidRPr="0070374F">
        <w:rPr>
          <w:rFonts w:ascii="Arial" w:hAnsi="Arial" w:cs="Arial"/>
          <w:sz w:val="20"/>
          <w:szCs w:val="20"/>
        </w:rPr>
        <w:t>MMR-NOK</w:t>
      </w:r>
      <w:r w:rsidRPr="0070374F">
        <w:rPr>
          <w:rFonts w:ascii="Arial" w:hAnsi="Arial" w:cs="Arial"/>
          <w:sz w:val="20"/>
          <w:szCs w:val="20"/>
        </w:rPr>
        <w:tab/>
        <w:t xml:space="preserve">Ministerstvo pro místní rozvoj </w:t>
      </w:r>
      <w:r w:rsidR="00B161E3" w:rsidRPr="0070374F">
        <w:rPr>
          <w:rFonts w:ascii="Arial" w:hAnsi="Arial" w:cs="Arial"/>
          <w:sz w:val="20"/>
          <w:szCs w:val="20"/>
        </w:rPr>
        <w:t>-</w:t>
      </w:r>
      <w:r w:rsidRPr="0070374F">
        <w:rPr>
          <w:rFonts w:ascii="Arial" w:hAnsi="Arial" w:cs="Arial"/>
          <w:sz w:val="20"/>
          <w:szCs w:val="20"/>
        </w:rPr>
        <w:t xml:space="preserve"> Národní orgán pro koordinaci</w:t>
      </w:r>
    </w:p>
    <w:p w:rsidR="00B161E3" w:rsidRPr="0070374F" w:rsidRDefault="00B161E3" w:rsidP="00FB189D">
      <w:pPr>
        <w:pStyle w:val="Odstavecseseznamem"/>
        <w:tabs>
          <w:tab w:val="left" w:pos="2835"/>
        </w:tabs>
        <w:spacing w:after="0"/>
        <w:ind w:left="0" w:firstLine="0"/>
        <w:rPr>
          <w:rFonts w:ascii="Arial" w:hAnsi="Arial" w:cs="Arial"/>
          <w:sz w:val="20"/>
          <w:szCs w:val="20"/>
        </w:rPr>
      </w:pPr>
      <w:r w:rsidRPr="0070374F">
        <w:rPr>
          <w:rFonts w:ascii="Arial" w:hAnsi="Arial" w:cs="Arial"/>
          <w:sz w:val="20"/>
          <w:szCs w:val="20"/>
        </w:rPr>
        <w:t>MPO</w:t>
      </w:r>
      <w:r w:rsidRPr="0070374F">
        <w:rPr>
          <w:rFonts w:ascii="Arial" w:hAnsi="Arial" w:cs="Arial"/>
          <w:sz w:val="20"/>
          <w:szCs w:val="20"/>
        </w:rPr>
        <w:tab/>
        <w:t>Ministerstvo průmyslu a obchodu</w:t>
      </w:r>
    </w:p>
    <w:p w:rsidR="00867EC0" w:rsidRDefault="00867EC0" w:rsidP="00FB189D">
      <w:pPr>
        <w:pStyle w:val="Odstavecseseznamem"/>
        <w:tabs>
          <w:tab w:val="left" w:pos="2835"/>
        </w:tabs>
        <w:spacing w:after="0"/>
        <w:ind w:left="0" w:firstLine="0"/>
        <w:rPr>
          <w:rFonts w:ascii="Arial" w:hAnsi="Arial" w:cs="Arial"/>
          <w:sz w:val="20"/>
          <w:szCs w:val="20"/>
        </w:rPr>
      </w:pPr>
      <w:r>
        <w:rPr>
          <w:rFonts w:ascii="Arial" w:hAnsi="Arial" w:cs="Arial"/>
          <w:sz w:val="20"/>
          <w:szCs w:val="20"/>
        </w:rPr>
        <w:t xml:space="preserve">MPŘ </w:t>
      </w:r>
      <w:r>
        <w:rPr>
          <w:rFonts w:ascii="Arial" w:hAnsi="Arial" w:cs="Arial"/>
          <w:sz w:val="20"/>
          <w:szCs w:val="20"/>
        </w:rPr>
        <w:tab/>
        <w:t>Meziresortní připomínkové řízení</w:t>
      </w:r>
    </w:p>
    <w:p w:rsidR="00953F6A" w:rsidRPr="0070374F" w:rsidRDefault="00953F6A" w:rsidP="00FB189D">
      <w:pPr>
        <w:pStyle w:val="Odstavecseseznamem"/>
        <w:tabs>
          <w:tab w:val="left" w:pos="2835"/>
        </w:tabs>
        <w:spacing w:after="0"/>
        <w:ind w:left="0" w:firstLine="0"/>
        <w:rPr>
          <w:rFonts w:ascii="Arial" w:hAnsi="Arial" w:cs="Arial"/>
          <w:sz w:val="20"/>
          <w:szCs w:val="20"/>
        </w:rPr>
      </w:pPr>
      <w:r w:rsidRPr="0070374F">
        <w:rPr>
          <w:rFonts w:ascii="Arial" w:hAnsi="Arial" w:cs="Arial"/>
          <w:sz w:val="20"/>
          <w:szCs w:val="20"/>
        </w:rPr>
        <w:t>MPSV</w:t>
      </w:r>
      <w:r w:rsidRPr="0070374F">
        <w:rPr>
          <w:rFonts w:ascii="Arial" w:hAnsi="Arial" w:cs="Arial"/>
          <w:sz w:val="20"/>
          <w:szCs w:val="20"/>
        </w:rPr>
        <w:tab/>
        <w:t>Ministerstvo práce a sociálních věcí</w:t>
      </w:r>
    </w:p>
    <w:p w:rsidR="00074D6F" w:rsidRPr="0070374F" w:rsidRDefault="00074D6F" w:rsidP="00FB189D">
      <w:pPr>
        <w:pStyle w:val="Odstavecseseznamem"/>
        <w:tabs>
          <w:tab w:val="left" w:pos="2835"/>
        </w:tabs>
        <w:spacing w:after="0"/>
        <w:ind w:left="0" w:firstLine="0"/>
        <w:rPr>
          <w:rFonts w:ascii="Arial" w:hAnsi="Arial" w:cs="Arial"/>
          <w:sz w:val="20"/>
          <w:szCs w:val="20"/>
        </w:rPr>
      </w:pPr>
      <w:r w:rsidRPr="0070374F">
        <w:rPr>
          <w:rFonts w:ascii="Arial" w:hAnsi="Arial" w:cs="Arial"/>
          <w:sz w:val="20"/>
          <w:szCs w:val="20"/>
        </w:rPr>
        <w:t>MS2014+</w:t>
      </w:r>
      <w:r w:rsidRPr="0070374F">
        <w:rPr>
          <w:rFonts w:ascii="Arial" w:hAnsi="Arial" w:cs="Arial"/>
          <w:sz w:val="20"/>
          <w:szCs w:val="20"/>
        </w:rPr>
        <w:tab/>
        <w:t xml:space="preserve">Jednotný monitorovací systém pro programové období 2014–2020 </w:t>
      </w:r>
    </w:p>
    <w:p w:rsidR="00953F6A" w:rsidRPr="0070374F" w:rsidRDefault="00953F6A" w:rsidP="00FB189D">
      <w:pPr>
        <w:pStyle w:val="Odstavecseseznamem"/>
        <w:tabs>
          <w:tab w:val="left" w:pos="2835"/>
        </w:tabs>
        <w:spacing w:after="0"/>
        <w:ind w:left="0" w:firstLine="0"/>
        <w:rPr>
          <w:rFonts w:ascii="Arial" w:hAnsi="Arial" w:cs="Arial"/>
          <w:sz w:val="20"/>
          <w:szCs w:val="20"/>
        </w:rPr>
      </w:pPr>
      <w:r w:rsidRPr="0070374F">
        <w:rPr>
          <w:rFonts w:ascii="Arial" w:hAnsi="Arial" w:cs="Arial"/>
          <w:sz w:val="20"/>
          <w:szCs w:val="20"/>
        </w:rPr>
        <w:t>MSp</w:t>
      </w:r>
      <w:r w:rsidRPr="0070374F">
        <w:rPr>
          <w:rFonts w:ascii="Arial" w:hAnsi="Arial" w:cs="Arial"/>
          <w:sz w:val="20"/>
          <w:szCs w:val="20"/>
        </w:rPr>
        <w:tab/>
        <w:t>Ministerstvo spravedlnosti</w:t>
      </w:r>
    </w:p>
    <w:p w:rsidR="005D7FB9" w:rsidRDefault="005D7FB9" w:rsidP="00FB189D">
      <w:pPr>
        <w:pStyle w:val="Odstavecseseznamem"/>
        <w:tabs>
          <w:tab w:val="left" w:pos="2835"/>
        </w:tabs>
        <w:spacing w:after="0"/>
        <w:ind w:left="0" w:firstLine="0"/>
        <w:rPr>
          <w:rFonts w:ascii="Arial" w:hAnsi="Arial" w:cs="Arial"/>
          <w:sz w:val="20"/>
          <w:szCs w:val="20"/>
        </w:rPr>
      </w:pPr>
      <w:r>
        <w:rPr>
          <w:rFonts w:ascii="Arial" w:hAnsi="Arial" w:cs="Arial"/>
          <w:sz w:val="20"/>
          <w:szCs w:val="20"/>
        </w:rPr>
        <w:t>MSP</w:t>
      </w:r>
      <w:r>
        <w:rPr>
          <w:rFonts w:ascii="Arial" w:hAnsi="Arial" w:cs="Arial"/>
          <w:sz w:val="20"/>
          <w:szCs w:val="20"/>
        </w:rPr>
        <w:tab/>
        <w:t>Malé a střední podniky</w:t>
      </w:r>
    </w:p>
    <w:p w:rsidR="00B161E3" w:rsidRPr="0070374F" w:rsidRDefault="00B161E3" w:rsidP="00FB189D">
      <w:pPr>
        <w:pStyle w:val="Odstavecseseznamem"/>
        <w:tabs>
          <w:tab w:val="left" w:pos="2835"/>
        </w:tabs>
        <w:spacing w:after="0"/>
        <w:ind w:left="0" w:firstLine="0"/>
        <w:rPr>
          <w:rFonts w:ascii="Arial" w:hAnsi="Arial" w:cs="Arial"/>
          <w:sz w:val="20"/>
          <w:szCs w:val="20"/>
        </w:rPr>
      </w:pPr>
      <w:r w:rsidRPr="0070374F">
        <w:rPr>
          <w:rFonts w:ascii="Arial" w:hAnsi="Arial" w:cs="Arial"/>
          <w:sz w:val="20"/>
          <w:szCs w:val="20"/>
        </w:rPr>
        <w:t>MŠMT</w:t>
      </w:r>
      <w:r w:rsidRPr="0070374F">
        <w:rPr>
          <w:rFonts w:ascii="Arial" w:hAnsi="Arial" w:cs="Arial"/>
          <w:sz w:val="20"/>
          <w:szCs w:val="20"/>
        </w:rPr>
        <w:tab/>
        <w:t>Ministerstvo školství, mládeže a tělovýchovy</w:t>
      </w:r>
    </w:p>
    <w:p w:rsidR="00B161E3" w:rsidRPr="0070374F" w:rsidRDefault="00B161E3" w:rsidP="00FB189D">
      <w:pPr>
        <w:pStyle w:val="Odstavecseseznamem"/>
        <w:tabs>
          <w:tab w:val="left" w:pos="2835"/>
        </w:tabs>
        <w:spacing w:after="0"/>
        <w:ind w:left="0" w:firstLine="0"/>
        <w:rPr>
          <w:rFonts w:ascii="Arial" w:hAnsi="Arial" w:cs="Arial"/>
          <w:sz w:val="20"/>
          <w:szCs w:val="20"/>
        </w:rPr>
      </w:pPr>
      <w:r w:rsidRPr="0070374F">
        <w:rPr>
          <w:rFonts w:ascii="Arial" w:hAnsi="Arial" w:cs="Arial"/>
          <w:sz w:val="20"/>
          <w:szCs w:val="20"/>
        </w:rPr>
        <w:t>MV</w:t>
      </w:r>
      <w:r w:rsidRPr="0070374F">
        <w:rPr>
          <w:rFonts w:ascii="Arial" w:hAnsi="Arial" w:cs="Arial"/>
          <w:sz w:val="20"/>
          <w:szCs w:val="20"/>
        </w:rPr>
        <w:tab/>
        <w:t>Ministerstvo vnitra</w:t>
      </w:r>
    </w:p>
    <w:p w:rsidR="009931BE" w:rsidRPr="0070374F" w:rsidRDefault="009931BE" w:rsidP="00FB189D">
      <w:pPr>
        <w:pStyle w:val="Odstavecseseznamem"/>
        <w:tabs>
          <w:tab w:val="left" w:pos="2835"/>
        </w:tabs>
        <w:spacing w:after="0"/>
        <w:ind w:left="0" w:firstLine="0"/>
        <w:rPr>
          <w:rFonts w:ascii="Arial" w:hAnsi="Arial" w:cs="Arial"/>
          <w:sz w:val="20"/>
          <w:szCs w:val="20"/>
        </w:rPr>
      </w:pPr>
      <w:r w:rsidRPr="0070374F">
        <w:rPr>
          <w:rFonts w:ascii="Arial" w:hAnsi="Arial" w:cs="Arial"/>
          <w:sz w:val="20"/>
          <w:szCs w:val="20"/>
        </w:rPr>
        <w:t>MZd</w:t>
      </w:r>
      <w:r w:rsidRPr="0070374F">
        <w:rPr>
          <w:rFonts w:ascii="Arial" w:hAnsi="Arial" w:cs="Arial"/>
          <w:sz w:val="20"/>
          <w:szCs w:val="20"/>
        </w:rPr>
        <w:tab/>
        <w:t>Ministerstvo zdravotnictví</w:t>
      </w:r>
    </w:p>
    <w:p w:rsidR="00BC2083" w:rsidRPr="0070374F" w:rsidRDefault="00BC2083" w:rsidP="00FB189D">
      <w:pPr>
        <w:pStyle w:val="Odstavecseseznamem"/>
        <w:tabs>
          <w:tab w:val="left" w:pos="2835"/>
        </w:tabs>
        <w:spacing w:after="0"/>
        <w:ind w:left="0" w:firstLine="0"/>
        <w:rPr>
          <w:rFonts w:ascii="Arial" w:hAnsi="Arial" w:cs="Arial"/>
          <w:sz w:val="20"/>
          <w:szCs w:val="20"/>
        </w:rPr>
      </w:pPr>
      <w:r w:rsidRPr="0070374F">
        <w:rPr>
          <w:rFonts w:ascii="Arial" w:hAnsi="Arial" w:cs="Arial"/>
          <w:sz w:val="20"/>
          <w:szCs w:val="20"/>
        </w:rPr>
        <w:t>MZe</w:t>
      </w:r>
      <w:r w:rsidRPr="0070374F">
        <w:rPr>
          <w:rFonts w:ascii="Arial" w:hAnsi="Arial" w:cs="Arial"/>
          <w:sz w:val="20"/>
          <w:szCs w:val="20"/>
        </w:rPr>
        <w:tab/>
        <w:t>Ministerstvo zemědělství</w:t>
      </w:r>
    </w:p>
    <w:p w:rsidR="00953F6A" w:rsidRPr="0070374F" w:rsidRDefault="00953F6A" w:rsidP="00FB189D">
      <w:pPr>
        <w:pStyle w:val="Odstavecseseznamem"/>
        <w:tabs>
          <w:tab w:val="left" w:pos="2835"/>
        </w:tabs>
        <w:spacing w:after="0"/>
        <w:ind w:left="0" w:firstLine="0"/>
        <w:rPr>
          <w:rFonts w:ascii="Arial" w:hAnsi="Arial" w:cs="Arial"/>
          <w:sz w:val="20"/>
          <w:szCs w:val="20"/>
        </w:rPr>
      </w:pPr>
      <w:r w:rsidRPr="0070374F">
        <w:rPr>
          <w:rFonts w:ascii="Arial" w:hAnsi="Arial" w:cs="Arial"/>
          <w:sz w:val="20"/>
          <w:szCs w:val="20"/>
        </w:rPr>
        <w:t>MŽP</w:t>
      </w:r>
      <w:r w:rsidRPr="0070374F">
        <w:rPr>
          <w:rFonts w:ascii="Arial" w:hAnsi="Arial" w:cs="Arial"/>
          <w:sz w:val="20"/>
          <w:szCs w:val="20"/>
        </w:rPr>
        <w:tab/>
        <w:t>Ministerstvo životního prostředí</w:t>
      </w:r>
    </w:p>
    <w:p w:rsidR="00953F6A" w:rsidRPr="0070374F" w:rsidRDefault="00953F6A" w:rsidP="00FB189D">
      <w:pPr>
        <w:pStyle w:val="Odstavecseseznamem"/>
        <w:tabs>
          <w:tab w:val="left" w:pos="2835"/>
        </w:tabs>
        <w:spacing w:after="0"/>
        <w:ind w:left="0" w:firstLine="0"/>
        <w:rPr>
          <w:rFonts w:ascii="Arial" w:hAnsi="Arial" w:cs="Arial"/>
          <w:sz w:val="20"/>
          <w:szCs w:val="20"/>
        </w:rPr>
      </w:pPr>
      <w:r w:rsidRPr="0070374F">
        <w:rPr>
          <w:rFonts w:ascii="Arial" w:hAnsi="Arial" w:cs="Arial"/>
          <w:sz w:val="20"/>
          <w:szCs w:val="20"/>
        </w:rPr>
        <w:t>OP</w:t>
      </w:r>
      <w:r w:rsidRPr="0070374F">
        <w:rPr>
          <w:rFonts w:ascii="Arial" w:hAnsi="Arial" w:cs="Arial"/>
          <w:sz w:val="20"/>
          <w:szCs w:val="20"/>
        </w:rPr>
        <w:tab/>
        <w:t>Operační program</w:t>
      </w:r>
    </w:p>
    <w:p w:rsidR="00BC2083" w:rsidRPr="0070374F" w:rsidRDefault="00BC2083" w:rsidP="00FB189D">
      <w:pPr>
        <w:pStyle w:val="Odstavecseseznamem"/>
        <w:tabs>
          <w:tab w:val="left" w:pos="2835"/>
        </w:tabs>
        <w:spacing w:after="0"/>
        <w:ind w:left="0" w:firstLine="0"/>
        <w:rPr>
          <w:rFonts w:ascii="Arial" w:hAnsi="Arial" w:cs="Arial"/>
          <w:sz w:val="20"/>
          <w:szCs w:val="20"/>
        </w:rPr>
      </w:pPr>
      <w:r w:rsidRPr="0070374F">
        <w:rPr>
          <w:rFonts w:ascii="Arial" w:hAnsi="Arial" w:cs="Arial"/>
          <w:sz w:val="20"/>
          <w:szCs w:val="20"/>
        </w:rPr>
        <w:t>OP D</w:t>
      </w:r>
      <w:r w:rsidRPr="0070374F">
        <w:rPr>
          <w:rFonts w:ascii="Arial" w:hAnsi="Arial" w:cs="Arial"/>
          <w:sz w:val="20"/>
          <w:szCs w:val="20"/>
        </w:rPr>
        <w:tab/>
        <w:t>OP Doprava</w:t>
      </w:r>
    </w:p>
    <w:p w:rsidR="00B161E3" w:rsidRPr="0070374F" w:rsidRDefault="00B161E3" w:rsidP="00FB189D">
      <w:pPr>
        <w:pStyle w:val="Odstavecseseznamem"/>
        <w:tabs>
          <w:tab w:val="left" w:pos="2835"/>
        </w:tabs>
        <w:spacing w:after="0"/>
        <w:ind w:left="0" w:firstLine="0"/>
        <w:rPr>
          <w:rFonts w:ascii="Arial" w:hAnsi="Arial" w:cs="Arial"/>
          <w:sz w:val="20"/>
          <w:szCs w:val="20"/>
        </w:rPr>
      </w:pPr>
      <w:r w:rsidRPr="0070374F">
        <w:rPr>
          <w:rFonts w:ascii="Arial" w:hAnsi="Arial" w:cs="Arial"/>
          <w:sz w:val="20"/>
          <w:szCs w:val="20"/>
        </w:rPr>
        <w:t>OP PIK</w:t>
      </w:r>
      <w:r w:rsidRPr="0070374F">
        <w:rPr>
          <w:rFonts w:ascii="Arial" w:hAnsi="Arial" w:cs="Arial"/>
          <w:sz w:val="20"/>
          <w:szCs w:val="20"/>
        </w:rPr>
        <w:tab/>
        <w:t>OP Podnikání a inovace pro konkurenceschopnost</w:t>
      </w:r>
    </w:p>
    <w:p w:rsidR="00B161E3" w:rsidRPr="0070374F" w:rsidRDefault="00B161E3" w:rsidP="00FB189D">
      <w:pPr>
        <w:pStyle w:val="Odstavecseseznamem"/>
        <w:tabs>
          <w:tab w:val="left" w:pos="2835"/>
        </w:tabs>
        <w:spacing w:after="0"/>
        <w:ind w:left="0" w:firstLine="0"/>
        <w:rPr>
          <w:rFonts w:ascii="Arial" w:hAnsi="Arial" w:cs="Arial"/>
          <w:sz w:val="20"/>
          <w:szCs w:val="20"/>
        </w:rPr>
      </w:pPr>
      <w:r w:rsidRPr="0070374F">
        <w:rPr>
          <w:rFonts w:ascii="Arial" w:hAnsi="Arial" w:cs="Arial"/>
          <w:sz w:val="20"/>
          <w:szCs w:val="20"/>
        </w:rPr>
        <w:t>OP PPR</w:t>
      </w:r>
      <w:r w:rsidRPr="0070374F">
        <w:rPr>
          <w:rFonts w:ascii="Arial" w:hAnsi="Arial" w:cs="Arial"/>
          <w:sz w:val="20"/>
          <w:szCs w:val="20"/>
        </w:rPr>
        <w:tab/>
        <w:t>OP Praha - pól růstu ČR</w:t>
      </w:r>
    </w:p>
    <w:p w:rsidR="00BC2083" w:rsidRPr="0070374F" w:rsidRDefault="00BC2083" w:rsidP="00FB189D">
      <w:pPr>
        <w:pStyle w:val="Odstavecseseznamem"/>
        <w:tabs>
          <w:tab w:val="left" w:pos="2835"/>
        </w:tabs>
        <w:spacing w:after="0"/>
        <w:ind w:left="0" w:firstLine="0"/>
        <w:rPr>
          <w:rFonts w:ascii="Arial" w:hAnsi="Arial" w:cs="Arial"/>
          <w:sz w:val="20"/>
          <w:szCs w:val="20"/>
        </w:rPr>
      </w:pPr>
      <w:r w:rsidRPr="0070374F">
        <w:rPr>
          <w:rFonts w:ascii="Arial" w:hAnsi="Arial" w:cs="Arial"/>
          <w:sz w:val="20"/>
          <w:szCs w:val="20"/>
        </w:rPr>
        <w:t>OP R</w:t>
      </w:r>
      <w:r w:rsidRPr="0070374F">
        <w:rPr>
          <w:rFonts w:ascii="Arial" w:hAnsi="Arial" w:cs="Arial"/>
          <w:sz w:val="20"/>
          <w:szCs w:val="20"/>
        </w:rPr>
        <w:tab/>
        <w:t>OP Rybářství</w:t>
      </w:r>
    </w:p>
    <w:p w:rsidR="00BC2083" w:rsidRPr="0070374F" w:rsidRDefault="00BC2083" w:rsidP="00FB189D">
      <w:pPr>
        <w:pStyle w:val="Odstavecseseznamem"/>
        <w:tabs>
          <w:tab w:val="left" w:pos="2835"/>
        </w:tabs>
        <w:spacing w:after="0"/>
        <w:ind w:left="0" w:firstLine="0"/>
        <w:rPr>
          <w:rFonts w:ascii="Arial" w:hAnsi="Arial" w:cs="Arial"/>
          <w:sz w:val="20"/>
          <w:szCs w:val="20"/>
        </w:rPr>
      </w:pPr>
      <w:r w:rsidRPr="0070374F">
        <w:rPr>
          <w:rFonts w:ascii="Arial" w:hAnsi="Arial" w:cs="Arial"/>
          <w:sz w:val="20"/>
          <w:szCs w:val="20"/>
        </w:rPr>
        <w:t>OP TP</w:t>
      </w:r>
      <w:r w:rsidRPr="0070374F">
        <w:rPr>
          <w:rFonts w:ascii="Arial" w:hAnsi="Arial" w:cs="Arial"/>
          <w:sz w:val="20"/>
          <w:szCs w:val="20"/>
        </w:rPr>
        <w:tab/>
        <w:t>OP Technická pomoc</w:t>
      </w:r>
    </w:p>
    <w:p w:rsidR="00B161E3" w:rsidRPr="0070374F" w:rsidRDefault="00B161E3" w:rsidP="00FB189D">
      <w:pPr>
        <w:pStyle w:val="Odstavecseseznamem"/>
        <w:tabs>
          <w:tab w:val="left" w:pos="2835"/>
        </w:tabs>
        <w:spacing w:after="0"/>
        <w:ind w:left="0" w:firstLine="0"/>
        <w:rPr>
          <w:rFonts w:ascii="Arial" w:hAnsi="Arial" w:cs="Arial"/>
          <w:sz w:val="20"/>
          <w:szCs w:val="20"/>
        </w:rPr>
      </w:pPr>
      <w:r w:rsidRPr="0070374F">
        <w:rPr>
          <w:rFonts w:ascii="Arial" w:hAnsi="Arial" w:cs="Arial"/>
          <w:sz w:val="20"/>
          <w:szCs w:val="20"/>
        </w:rPr>
        <w:t>OP VVV</w:t>
      </w:r>
      <w:r w:rsidRPr="0070374F">
        <w:rPr>
          <w:rFonts w:ascii="Arial" w:hAnsi="Arial" w:cs="Arial"/>
          <w:sz w:val="20"/>
          <w:szCs w:val="20"/>
        </w:rPr>
        <w:tab/>
        <w:t>OP Výzkum, vývoj a vzdělávání</w:t>
      </w:r>
    </w:p>
    <w:p w:rsidR="00B161E3" w:rsidRPr="0070374F" w:rsidRDefault="00B161E3" w:rsidP="00FB189D">
      <w:pPr>
        <w:pStyle w:val="Odstavecseseznamem"/>
        <w:tabs>
          <w:tab w:val="left" w:pos="2835"/>
        </w:tabs>
        <w:spacing w:after="0"/>
        <w:ind w:left="0" w:firstLine="0"/>
        <w:rPr>
          <w:rFonts w:ascii="Arial" w:hAnsi="Arial" w:cs="Arial"/>
          <w:sz w:val="20"/>
          <w:szCs w:val="20"/>
        </w:rPr>
      </w:pPr>
      <w:r w:rsidRPr="0070374F">
        <w:rPr>
          <w:rFonts w:ascii="Arial" w:hAnsi="Arial" w:cs="Arial"/>
          <w:sz w:val="20"/>
          <w:szCs w:val="20"/>
        </w:rPr>
        <w:t>OP Z </w:t>
      </w:r>
      <w:r w:rsidRPr="0070374F">
        <w:rPr>
          <w:rFonts w:ascii="Arial" w:hAnsi="Arial" w:cs="Arial"/>
          <w:sz w:val="20"/>
          <w:szCs w:val="20"/>
        </w:rPr>
        <w:tab/>
        <w:t>OP Zaměstnanost</w:t>
      </w:r>
    </w:p>
    <w:p w:rsidR="00B161E3" w:rsidRPr="0070374F" w:rsidRDefault="00B161E3" w:rsidP="00FB189D">
      <w:pPr>
        <w:pStyle w:val="Odstavecseseznamem"/>
        <w:tabs>
          <w:tab w:val="left" w:pos="2835"/>
        </w:tabs>
        <w:spacing w:after="0"/>
        <w:ind w:left="0" w:firstLine="0"/>
        <w:rPr>
          <w:rFonts w:ascii="Arial" w:hAnsi="Arial" w:cs="Arial"/>
          <w:sz w:val="20"/>
          <w:szCs w:val="20"/>
        </w:rPr>
      </w:pPr>
      <w:r w:rsidRPr="0070374F">
        <w:rPr>
          <w:rFonts w:ascii="Arial" w:hAnsi="Arial" w:cs="Arial"/>
          <w:sz w:val="20"/>
          <w:szCs w:val="20"/>
        </w:rPr>
        <w:t>OP ŽP</w:t>
      </w:r>
      <w:r w:rsidRPr="0070374F">
        <w:rPr>
          <w:rFonts w:ascii="Arial" w:hAnsi="Arial" w:cs="Arial"/>
          <w:sz w:val="20"/>
          <w:szCs w:val="20"/>
        </w:rPr>
        <w:tab/>
        <w:t>OP Životní prostředí</w:t>
      </w:r>
    </w:p>
    <w:p w:rsidR="00434890" w:rsidRPr="0070374F" w:rsidRDefault="00434890" w:rsidP="00FB189D">
      <w:pPr>
        <w:pStyle w:val="Odstavecseseznamem"/>
        <w:tabs>
          <w:tab w:val="left" w:pos="2835"/>
        </w:tabs>
        <w:spacing w:after="0"/>
        <w:ind w:left="0" w:firstLine="0"/>
        <w:rPr>
          <w:rFonts w:ascii="Arial" w:hAnsi="Arial" w:cs="Arial"/>
          <w:sz w:val="20"/>
          <w:szCs w:val="20"/>
        </w:rPr>
      </w:pPr>
      <w:r w:rsidRPr="0070374F">
        <w:rPr>
          <w:rFonts w:ascii="Arial" w:hAnsi="Arial" w:cs="Arial"/>
          <w:sz w:val="20"/>
          <w:szCs w:val="20"/>
        </w:rPr>
        <w:t>POH</w:t>
      </w:r>
      <w:r w:rsidRPr="0070374F">
        <w:rPr>
          <w:rFonts w:ascii="Arial" w:hAnsi="Arial" w:cs="Arial"/>
          <w:sz w:val="20"/>
          <w:szCs w:val="20"/>
        </w:rPr>
        <w:tab/>
        <w:t>Plán odpadového hospodářství</w:t>
      </w:r>
    </w:p>
    <w:p w:rsidR="00B161E3" w:rsidRPr="0070374F" w:rsidRDefault="00B161E3" w:rsidP="00FB189D">
      <w:pPr>
        <w:pStyle w:val="Odstavecseseznamem"/>
        <w:tabs>
          <w:tab w:val="left" w:pos="2835"/>
        </w:tabs>
        <w:spacing w:after="0"/>
        <w:ind w:left="0" w:firstLine="0"/>
        <w:rPr>
          <w:rFonts w:ascii="Arial" w:hAnsi="Arial" w:cs="Arial"/>
          <w:sz w:val="20"/>
          <w:szCs w:val="20"/>
        </w:rPr>
      </w:pPr>
      <w:r w:rsidRPr="0070374F">
        <w:rPr>
          <w:rFonts w:ascii="Arial" w:hAnsi="Arial" w:cs="Arial"/>
          <w:sz w:val="20"/>
          <w:szCs w:val="20"/>
        </w:rPr>
        <w:t>PP</w:t>
      </w:r>
      <w:r w:rsidRPr="0070374F">
        <w:rPr>
          <w:rFonts w:ascii="Arial" w:hAnsi="Arial" w:cs="Arial"/>
          <w:sz w:val="20"/>
          <w:szCs w:val="20"/>
        </w:rPr>
        <w:tab/>
        <w:t>Předběžná podmínka</w:t>
      </w:r>
    </w:p>
    <w:p w:rsidR="00B161E3" w:rsidRPr="0070374F" w:rsidRDefault="00B161E3" w:rsidP="00FB189D">
      <w:pPr>
        <w:pStyle w:val="Odstavecseseznamem"/>
        <w:tabs>
          <w:tab w:val="left" w:pos="2835"/>
        </w:tabs>
        <w:spacing w:after="0"/>
        <w:ind w:left="0" w:firstLine="0"/>
        <w:rPr>
          <w:rFonts w:ascii="Arial" w:hAnsi="Arial" w:cs="Arial"/>
          <w:sz w:val="20"/>
          <w:szCs w:val="20"/>
        </w:rPr>
      </w:pPr>
      <w:r w:rsidRPr="0070374F">
        <w:rPr>
          <w:rFonts w:ascii="Arial" w:hAnsi="Arial" w:cs="Arial"/>
          <w:sz w:val="20"/>
          <w:szCs w:val="20"/>
        </w:rPr>
        <w:t>PRV</w:t>
      </w:r>
      <w:r w:rsidRPr="0070374F">
        <w:rPr>
          <w:rFonts w:ascii="Arial" w:hAnsi="Arial" w:cs="Arial"/>
          <w:sz w:val="20"/>
          <w:szCs w:val="20"/>
        </w:rPr>
        <w:tab/>
        <w:t>Program rozvoje venkova</w:t>
      </w:r>
    </w:p>
    <w:p w:rsidR="002D4271" w:rsidRDefault="002D4271" w:rsidP="00FB189D">
      <w:pPr>
        <w:pStyle w:val="Odstavecseseznamem"/>
        <w:tabs>
          <w:tab w:val="left" w:pos="2835"/>
        </w:tabs>
        <w:spacing w:after="0"/>
        <w:ind w:left="0" w:firstLine="0"/>
        <w:rPr>
          <w:rFonts w:ascii="Arial" w:hAnsi="Arial" w:cs="Arial"/>
          <w:sz w:val="20"/>
          <w:szCs w:val="20"/>
        </w:rPr>
      </w:pPr>
      <w:r>
        <w:rPr>
          <w:rFonts w:ascii="Arial" w:hAnsi="Arial" w:cs="Arial"/>
          <w:sz w:val="20"/>
          <w:szCs w:val="20"/>
        </w:rPr>
        <w:t>PSP</w:t>
      </w:r>
      <w:r>
        <w:rPr>
          <w:rFonts w:ascii="Arial" w:hAnsi="Arial" w:cs="Arial"/>
          <w:sz w:val="20"/>
          <w:szCs w:val="20"/>
        </w:rPr>
        <w:tab/>
        <w:t>Poslanecká sněmovna Parlamentu ČR</w:t>
      </w:r>
    </w:p>
    <w:p w:rsidR="00B161E3" w:rsidRPr="0070374F" w:rsidRDefault="00B161E3" w:rsidP="00FB189D">
      <w:pPr>
        <w:pStyle w:val="Odstavecseseznamem"/>
        <w:tabs>
          <w:tab w:val="left" w:pos="2835"/>
        </w:tabs>
        <w:spacing w:after="0"/>
        <w:ind w:left="0" w:firstLine="0"/>
        <w:rPr>
          <w:rFonts w:ascii="Arial" w:hAnsi="Arial" w:cs="Arial"/>
          <w:sz w:val="20"/>
          <w:szCs w:val="20"/>
        </w:rPr>
      </w:pPr>
      <w:r w:rsidRPr="0070374F">
        <w:rPr>
          <w:rFonts w:ascii="Arial" w:hAnsi="Arial" w:cs="Arial"/>
          <w:sz w:val="20"/>
          <w:szCs w:val="20"/>
        </w:rPr>
        <w:lastRenderedPageBreak/>
        <w:t>RIS3</w:t>
      </w:r>
      <w:r w:rsidRPr="0070374F">
        <w:rPr>
          <w:rFonts w:ascii="Arial" w:hAnsi="Arial" w:cs="Arial"/>
          <w:sz w:val="20"/>
          <w:szCs w:val="20"/>
        </w:rPr>
        <w:tab/>
        <w:t>Strategie inteligentní specializace</w:t>
      </w:r>
    </w:p>
    <w:p w:rsidR="00953F6A" w:rsidRPr="0070374F" w:rsidRDefault="00953F6A" w:rsidP="005C4A67">
      <w:pPr>
        <w:pStyle w:val="Odstavecseseznamem"/>
        <w:tabs>
          <w:tab w:val="left" w:pos="2835"/>
        </w:tabs>
        <w:spacing w:after="0"/>
        <w:ind w:left="2835" w:hanging="2835"/>
        <w:jc w:val="left"/>
        <w:rPr>
          <w:rFonts w:ascii="Arial" w:hAnsi="Arial" w:cs="Arial"/>
          <w:sz w:val="20"/>
          <w:szCs w:val="20"/>
        </w:rPr>
      </w:pPr>
      <w:r w:rsidRPr="0070374F">
        <w:rPr>
          <w:rFonts w:ascii="Arial" w:hAnsi="Arial" w:cs="Arial"/>
          <w:sz w:val="20"/>
          <w:szCs w:val="20"/>
        </w:rPr>
        <w:t>SEA</w:t>
      </w:r>
      <w:r w:rsidR="005C4A67" w:rsidRPr="0070374F">
        <w:rPr>
          <w:rFonts w:ascii="Arial" w:hAnsi="Arial" w:cs="Arial"/>
          <w:sz w:val="20"/>
          <w:szCs w:val="20"/>
        </w:rPr>
        <w:tab/>
        <w:t>Hodnocení vlivů na životní prostředí (Strategic Environment Assessment)</w:t>
      </w:r>
    </w:p>
    <w:p w:rsidR="00867EC0" w:rsidRDefault="00867EC0" w:rsidP="00FB189D">
      <w:pPr>
        <w:pStyle w:val="Odstavecseseznamem"/>
        <w:tabs>
          <w:tab w:val="left" w:pos="2835"/>
        </w:tabs>
        <w:spacing w:after="0"/>
        <w:ind w:left="0" w:firstLine="0"/>
        <w:rPr>
          <w:rFonts w:ascii="Arial" w:hAnsi="Arial" w:cs="Arial"/>
          <w:sz w:val="20"/>
          <w:szCs w:val="20"/>
        </w:rPr>
      </w:pPr>
      <w:r>
        <w:rPr>
          <w:rFonts w:ascii="Arial" w:hAnsi="Arial" w:cs="Arial"/>
          <w:sz w:val="20"/>
          <w:szCs w:val="20"/>
        </w:rPr>
        <w:t>SR</w:t>
      </w:r>
      <w:r>
        <w:rPr>
          <w:rFonts w:ascii="Arial" w:hAnsi="Arial" w:cs="Arial"/>
          <w:sz w:val="20"/>
          <w:szCs w:val="20"/>
        </w:rPr>
        <w:tab/>
        <w:t>Slovenská republika</w:t>
      </w:r>
    </w:p>
    <w:p w:rsidR="007701B6" w:rsidRDefault="007701B6" w:rsidP="00FB189D">
      <w:pPr>
        <w:pStyle w:val="Odstavecseseznamem"/>
        <w:tabs>
          <w:tab w:val="left" w:pos="2835"/>
        </w:tabs>
        <w:spacing w:after="0"/>
        <w:ind w:left="0" w:firstLine="0"/>
        <w:rPr>
          <w:rFonts w:ascii="Arial" w:hAnsi="Arial" w:cs="Arial"/>
          <w:sz w:val="20"/>
          <w:szCs w:val="20"/>
        </w:rPr>
      </w:pPr>
      <w:r>
        <w:rPr>
          <w:rFonts w:ascii="Arial" w:hAnsi="Arial" w:cs="Arial"/>
          <w:sz w:val="20"/>
          <w:szCs w:val="20"/>
        </w:rPr>
        <w:t>SR VS</w:t>
      </w:r>
      <w:r>
        <w:rPr>
          <w:rFonts w:ascii="Arial" w:hAnsi="Arial" w:cs="Arial"/>
          <w:sz w:val="20"/>
          <w:szCs w:val="20"/>
        </w:rPr>
        <w:tab/>
      </w:r>
      <w:r>
        <w:rPr>
          <w:rFonts w:ascii="Arial" w:hAnsi="Arial" w:cs="Arial"/>
          <w:sz w:val="20"/>
        </w:rPr>
        <w:t>Strategický</w:t>
      </w:r>
      <w:r w:rsidRPr="00A92E49">
        <w:rPr>
          <w:rFonts w:ascii="Arial" w:hAnsi="Arial" w:cs="Arial"/>
          <w:sz w:val="20"/>
        </w:rPr>
        <w:t xml:space="preserve"> rám</w:t>
      </w:r>
      <w:r>
        <w:rPr>
          <w:rFonts w:ascii="Arial" w:hAnsi="Arial" w:cs="Arial"/>
          <w:sz w:val="20"/>
        </w:rPr>
        <w:t>e</w:t>
      </w:r>
      <w:r w:rsidRPr="00A92E49">
        <w:rPr>
          <w:rFonts w:ascii="Arial" w:hAnsi="Arial" w:cs="Arial"/>
          <w:sz w:val="20"/>
        </w:rPr>
        <w:t>c rozvoje veřejné správy ČR pro období 2014</w:t>
      </w:r>
      <w:r>
        <w:rPr>
          <w:rFonts w:ascii="Arial" w:hAnsi="Arial" w:cs="Arial"/>
          <w:sz w:val="20"/>
        </w:rPr>
        <w:t>–</w:t>
      </w:r>
      <w:r w:rsidRPr="00A92E49">
        <w:rPr>
          <w:rFonts w:ascii="Arial" w:hAnsi="Arial" w:cs="Arial"/>
          <w:sz w:val="20"/>
        </w:rPr>
        <w:t>2020</w:t>
      </w:r>
    </w:p>
    <w:p w:rsidR="00BC2083" w:rsidRPr="0070374F" w:rsidRDefault="00953F6A" w:rsidP="00FB189D">
      <w:pPr>
        <w:pStyle w:val="Odstavecseseznamem"/>
        <w:tabs>
          <w:tab w:val="left" w:pos="2835"/>
        </w:tabs>
        <w:spacing w:after="0"/>
        <w:ind w:left="0" w:firstLine="0"/>
        <w:rPr>
          <w:rFonts w:ascii="Arial" w:hAnsi="Arial" w:cs="Arial"/>
          <w:sz w:val="20"/>
          <w:szCs w:val="20"/>
        </w:rPr>
      </w:pPr>
      <w:r w:rsidRPr="0070374F">
        <w:rPr>
          <w:rFonts w:ascii="Arial" w:hAnsi="Arial" w:cs="Arial"/>
          <w:sz w:val="20"/>
          <w:szCs w:val="20"/>
        </w:rPr>
        <w:t>ÚOHS</w:t>
      </w:r>
      <w:r w:rsidRPr="0070374F">
        <w:rPr>
          <w:rFonts w:ascii="Arial" w:hAnsi="Arial" w:cs="Arial"/>
          <w:sz w:val="20"/>
          <w:szCs w:val="20"/>
        </w:rPr>
        <w:tab/>
        <w:t>Úřad na ochranu hospodářské soutěže</w:t>
      </w:r>
    </w:p>
    <w:p w:rsidR="00935294" w:rsidRDefault="005742A7" w:rsidP="005C4A67">
      <w:pPr>
        <w:pStyle w:val="Odstavecseseznamem"/>
        <w:tabs>
          <w:tab w:val="left" w:pos="2835"/>
        </w:tabs>
        <w:spacing w:after="0"/>
        <w:ind w:left="2835" w:hanging="2835"/>
        <w:jc w:val="left"/>
        <w:rPr>
          <w:rFonts w:ascii="Arial" w:hAnsi="Arial" w:cs="Arial"/>
          <w:sz w:val="20"/>
          <w:szCs w:val="20"/>
        </w:rPr>
      </w:pPr>
      <w:r>
        <w:rPr>
          <w:rFonts w:ascii="Arial" w:hAnsi="Arial" w:cs="Arial"/>
          <w:sz w:val="20"/>
          <w:szCs w:val="20"/>
        </w:rPr>
        <w:t>VFR</w:t>
      </w:r>
      <w:r>
        <w:rPr>
          <w:rFonts w:ascii="Arial" w:hAnsi="Arial" w:cs="Arial"/>
          <w:sz w:val="20"/>
          <w:szCs w:val="20"/>
        </w:rPr>
        <w:tab/>
        <w:t>Víceletý finanční rámec</w:t>
      </w:r>
    </w:p>
    <w:p w:rsidR="004A2608" w:rsidRDefault="004A2608" w:rsidP="005C4A67">
      <w:pPr>
        <w:pStyle w:val="Odstavecseseznamem"/>
        <w:tabs>
          <w:tab w:val="left" w:pos="2835"/>
        </w:tabs>
        <w:spacing w:after="0"/>
        <w:ind w:left="2835" w:hanging="2835"/>
        <w:jc w:val="left"/>
        <w:rPr>
          <w:rFonts w:ascii="Arial" w:hAnsi="Arial" w:cs="Arial"/>
          <w:sz w:val="20"/>
          <w:szCs w:val="20"/>
        </w:rPr>
      </w:pPr>
      <w:r>
        <w:rPr>
          <w:rFonts w:ascii="Arial" w:hAnsi="Arial" w:cs="Arial"/>
          <w:sz w:val="20"/>
          <w:szCs w:val="20"/>
        </w:rPr>
        <w:t>YEI</w:t>
      </w:r>
      <w:r>
        <w:rPr>
          <w:rFonts w:ascii="Arial" w:hAnsi="Arial" w:cs="Arial"/>
          <w:sz w:val="20"/>
          <w:szCs w:val="20"/>
        </w:rPr>
        <w:tab/>
        <w:t>Nástroj pro zaměstnávání mladých (Youth Employment Initiative)</w:t>
      </w:r>
    </w:p>
    <w:p w:rsidR="002D4271" w:rsidRPr="00FB189D" w:rsidRDefault="002D4271" w:rsidP="005C4A67">
      <w:pPr>
        <w:pStyle w:val="Odstavecseseznamem"/>
        <w:tabs>
          <w:tab w:val="left" w:pos="2835"/>
        </w:tabs>
        <w:spacing w:after="0"/>
        <w:ind w:left="2835" w:hanging="2835"/>
        <w:jc w:val="left"/>
        <w:rPr>
          <w:rFonts w:ascii="Arial" w:hAnsi="Arial" w:cs="Arial"/>
          <w:sz w:val="20"/>
          <w:szCs w:val="20"/>
        </w:rPr>
      </w:pPr>
      <w:r>
        <w:rPr>
          <w:rFonts w:ascii="Arial" w:hAnsi="Arial" w:cs="Arial"/>
          <w:sz w:val="20"/>
          <w:szCs w:val="20"/>
        </w:rPr>
        <w:t>ZVZ</w:t>
      </w:r>
      <w:r>
        <w:rPr>
          <w:rFonts w:ascii="Arial" w:hAnsi="Arial" w:cs="Arial"/>
          <w:sz w:val="20"/>
          <w:szCs w:val="20"/>
        </w:rPr>
        <w:tab/>
        <w:t>Zákon o veřejných zakázkách</w:t>
      </w:r>
    </w:p>
    <w:sectPr w:rsidR="002D4271" w:rsidRPr="00FB189D" w:rsidSect="00417B12">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A5" w:rsidRDefault="00C71EA5" w:rsidP="009D4DEB">
      <w:pPr>
        <w:spacing w:before="0" w:line="240" w:lineRule="auto"/>
      </w:pPr>
      <w:r>
        <w:separator/>
      </w:r>
    </w:p>
  </w:endnote>
  <w:endnote w:type="continuationSeparator" w:id="0">
    <w:p w:rsidR="00C71EA5" w:rsidRDefault="00C71EA5" w:rsidP="009D4DEB">
      <w:pPr>
        <w:spacing w:before="0" w:line="240" w:lineRule="auto"/>
      </w:pPr>
      <w:r>
        <w:continuationSeparator/>
      </w:r>
    </w:p>
  </w:endnote>
  <w:endnote w:type="continuationNotice" w:id="1">
    <w:p w:rsidR="00C71EA5" w:rsidRDefault="00C71EA5">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40075837"/>
      <w:docPartObj>
        <w:docPartGallery w:val="Page Numbers (Bottom of Page)"/>
        <w:docPartUnique/>
      </w:docPartObj>
    </w:sdtPr>
    <w:sdtEndPr/>
    <w:sdtContent>
      <w:p w:rsidR="00FA41E6" w:rsidRDefault="00FA41E6">
        <w:pPr>
          <w:pStyle w:val="Zpat"/>
          <w:jc w:val="right"/>
        </w:pPr>
        <w:r w:rsidRPr="0064376B">
          <w:rPr>
            <w:rFonts w:ascii="Arial" w:hAnsi="Arial" w:cs="Arial"/>
            <w:sz w:val="20"/>
          </w:rPr>
          <w:fldChar w:fldCharType="begin"/>
        </w:r>
        <w:r w:rsidRPr="0064376B">
          <w:rPr>
            <w:rFonts w:ascii="Arial" w:hAnsi="Arial" w:cs="Arial"/>
            <w:sz w:val="20"/>
          </w:rPr>
          <w:instrText>PAGE   \* MERGEFORMAT</w:instrText>
        </w:r>
        <w:r w:rsidRPr="0064376B">
          <w:rPr>
            <w:rFonts w:ascii="Arial" w:hAnsi="Arial" w:cs="Arial"/>
            <w:sz w:val="20"/>
          </w:rPr>
          <w:fldChar w:fldCharType="separate"/>
        </w:r>
        <w:r w:rsidR="004E0FD7">
          <w:rPr>
            <w:rFonts w:ascii="Arial" w:hAnsi="Arial" w:cs="Arial"/>
            <w:noProof/>
            <w:sz w:val="20"/>
          </w:rPr>
          <w:t>9</w:t>
        </w:r>
        <w:r w:rsidRPr="0064376B">
          <w:rPr>
            <w:rFonts w:ascii="Arial" w:hAnsi="Arial" w:cs="Arial"/>
            <w:sz w:val="20"/>
          </w:rPr>
          <w:fldChar w:fldCharType="end"/>
        </w:r>
      </w:p>
    </w:sdtContent>
  </w:sdt>
  <w:p w:rsidR="00FA41E6" w:rsidRDefault="00FA41E6" w:rsidP="0064376B">
    <w:pPr>
      <w:pStyle w:val="Zpat"/>
      <w:tabs>
        <w:tab w:val="clear" w:pos="4536"/>
        <w:tab w:val="clear" w:pos="9072"/>
        <w:tab w:val="left" w:pos="6435"/>
      </w:tabs>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8629361"/>
      <w:docPartObj>
        <w:docPartGallery w:val="Page Numbers (Bottom of Page)"/>
        <w:docPartUnique/>
      </w:docPartObj>
    </w:sdtPr>
    <w:sdtEndPr>
      <w:rPr>
        <w:rFonts w:ascii="Arial" w:hAnsi="Arial" w:cs="Arial"/>
        <w:sz w:val="20"/>
      </w:rPr>
    </w:sdtEndPr>
    <w:sdtContent>
      <w:p w:rsidR="00FA41E6" w:rsidRPr="000D51EA" w:rsidRDefault="00FA41E6">
        <w:pPr>
          <w:pStyle w:val="Zpat"/>
          <w:jc w:val="right"/>
          <w:rPr>
            <w:rFonts w:ascii="Arial" w:hAnsi="Arial" w:cs="Arial"/>
            <w:sz w:val="20"/>
          </w:rPr>
        </w:pPr>
        <w:r w:rsidRPr="000D51EA">
          <w:rPr>
            <w:rFonts w:ascii="Arial" w:hAnsi="Arial" w:cs="Arial"/>
            <w:sz w:val="20"/>
          </w:rPr>
          <w:fldChar w:fldCharType="begin"/>
        </w:r>
        <w:r w:rsidRPr="000D51EA">
          <w:rPr>
            <w:rFonts w:ascii="Arial" w:hAnsi="Arial" w:cs="Arial"/>
            <w:sz w:val="20"/>
          </w:rPr>
          <w:instrText>PAGE   \* MERGEFORMAT</w:instrText>
        </w:r>
        <w:r w:rsidRPr="000D51EA">
          <w:rPr>
            <w:rFonts w:ascii="Arial" w:hAnsi="Arial" w:cs="Arial"/>
            <w:sz w:val="20"/>
          </w:rPr>
          <w:fldChar w:fldCharType="separate"/>
        </w:r>
        <w:r w:rsidR="004E0FD7">
          <w:rPr>
            <w:rFonts w:ascii="Arial" w:hAnsi="Arial" w:cs="Arial"/>
            <w:noProof/>
            <w:sz w:val="20"/>
          </w:rPr>
          <w:t>1</w:t>
        </w:r>
        <w:r w:rsidRPr="000D51EA">
          <w:rPr>
            <w:rFonts w:ascii="Arial" w:hAnsi="Arial" w:cs="Arial"/>
            <w:sz w:val="20"/>
          </w:rPr>
          <w:fldChar w:fldCharType="end"/>
        </w:r>
      </w:p>
    </w:sdtContent>
  </w:sdt>
  <w:p w:rsidR="00FA41E6" w:rsidRDefault="00FA41E6">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9035961"/>
      <w:docPartObj>
        <w:docPartGallery w:val="Page Numbers (Bottom of Page)"/>
        <w:docPartUnique/>
      </w:docPartObj>
    </w:sdtPr>
    <w:sdtEndPr>
      <w:rPr>
        <w:rFonts w:ascii="Arial" w:hAnsi="Arial" w:cs="Arial"/>
      </w:rPr>
    </w:sdtEndPr>
    <w:sdtContent>
      <w:p w:rsidR="00FA41E6" w:rsidRPr="0089063A" w:rsidRDefault="00FA41E6">
        <w:pPr>
          <w:pStyle w:val="Zpat"/>
          <w:jc w:val="center"/>
          <w:rPr>
            <w:rFonts w:ascii="Arial" w:hAnsi="Arial" w:cs="Arial"/>
          </w:rPr>
        </w:pPr>
        <w:r w:rsidRPr="0089063A">
          <w:rPr>
            <w:rFonts w:ascii="Arial" w:hAnsi="Arial" w:cs="Arial"/>
          </w:rPr>
          <w:fldChar w:fldCharType="begin"/>
        </w:r>
        <w:r w:rsidRPr="0089063A">
          <w:rPr>
            <w:rFonts w:ascii="Arial" w:hAnsi="Arial" w:cs="Arial"/>
          </w:rPr>
          <w:instrText xml:space="preserve"> PAGE   \* MERGEFORMAT </w:instrText>
        </w:r>
        <w:r w:rsidRPr="0089063A">
          <w:rPr>
            <w:rFonts w:ascii="Arial" w:hAnsi="Arial" w:cs="Arial"/>
          </w:rPr>
          <w:fldChar w:fldCharType="separate"/>
        </w:r>
        <w:r w:rsidR="004E0FD7">
          <w:rPr>
            <w:rFonts w:ascii="Arial" w:hAnsi="Arial" w:cs="Arial"/>
            <w:noProof/>
          </w:rPr>
          <w:t>27</w:t>
        </w:r>
        <w:r w:rsidRPr="0089063A">
          <w:rPr>
            <w:rFonts w:ascii="Arial" w:hAnsi="Arial" w:cs="Arial"/>
            <w:noProof/>
          </w:rPr>
          <w:fldChar w:fldCharType="end"/>
        </w:r>
      </w:p>
    </w:sdtContent>
  </w:sdt>
  <w:p w:rsidR="00FA41E6" w:rsidRDefault="00FA41E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A5" w:rsidRDefault="00C71EA5" w:rsidP="009D4DEB">
      <w:pPr>
        <w:spacing w:before="0" w:line="240" w:lineRule="auto"/>
      </w:pPr>
      <w:r>
        <w:separator/>
      </w:r>
    </w:p>
  </w:footnote>
  <w:footnote w:type="continuationSeparator" w:id="0">
    <w:p w:rsidR="00C71EA5" w:rsidRDefault="00C71EA5" w:rsidP="009D4DEB">
      <w:pPr>
        <w:spacing w:before="0" w:line="240" w:lineRule="auto"/>
      </w:pPr>
      <w:r>
        <w:continuationSeparator/>
      </w:r>
    </w:p>
  </w:footnote>
  <w:footnote w:type="continuationNotice" w:id="1">
    <w:p w:rsidR="00C71EA5" w:rsidRDefault="00C71EA5">
      <w:pPr>
        <w:spacing w:before="0" w:line="240" w:lineRule="auto"/>
      </w:pPr>
    </w:p>
  </w:footnote>
  <w:footnote w:id="2">
    <w:p w:rsidR="004E755D" w:rsidRPr="00CE1D29" w:rsidRDefault="004E755D" w:rsidP="00CE1D29">
      <w:pPr>
        <w:spacing w:before="0" w:line="240" w:lineRule="auto"/>
        <w:ind w:left="142" w:hanging="142"/>
        <w:rPr>
          <w:rFonts w:ascii="Arial" w:hAnsi="Arial" w:cs="Arial"/>
          <w:sz w:val="18"/>
          <w:szCs w:val="18"/>
        </w:rPr>
      </w:pPr>
      <w:r w:rsidRPr="004E755D">
        <w:rPr>
          <w:rStyle w:val="Znakapoznpodarou"/>
          <w:rFonts w:ascii="Arial" w:hAnsi="Arial" w:cs="Arial"/>
          <w:sz w:val="18"/>
        </w:rPr>
        <w:footnoteRef/>
      </w:r>
      <w:r w:rsidRPr="004E755D">
        <w:rPr>
          <w:rFonts w:ascii="Arial" w:hAnsi="Arial" w:cs="Arial"/>
          <w:sz w:val="18"/>
        </w:rPr>
        <w:t xml:space="preserve"> </w:t>
      </w:r>
      <w:r w:rsidR="00FD47D6">
        <w:rPr>
          <w:rFonts w:ascii="Arial" w:hAnsi="Arial" w:cs="Arial"/>
          <w:sz w:val="18"/>
        </w:rPr>
        <w:t xml:space="preserve">Programy tak </w:t>
      </w:r>
      <w:r w:rsidR="00FD47D6">
        <w:rPr>
          <w:rFonts w:ascii="Arial" w:hAnsi="Arial" w:cs="Arial"/>
          <w:sz w:val="20"/>
        </w:rPr>
        <w:t>budou dotčeny změnou víceletého finančního rámce.</w:t>
      </w:r>
      <w:r w:rsidR="00FD47D6">
        <w:rPr>
          <w:rFonts w:ascii="Arial" w:hAnsi="Arial" w:cs="Arial"/>
          <w:sz w:val="18"/>
          <w:szCs w:val="18"/>
        </w:rPr>
        <w:t xml:space="preserve"> </w:t>
      </w:r>
      <w:r w:rsidR="00CE1D29">
        <w:rPr>
          <w:rFonts w:ascii="Arial" w:hAnsi="Arial" w:cs="Arial"/>
          <w:sz w:val="18"/>
          <w:szCs w:val="18"/>
        </w:rPr>
        <w:t>To znamená, že prostředky budou převedeny do následujících let – závazek roku 2014 bude převeden do roku 2015 a nedojde ke ztrátě závazku. Víceletý finanční rámec vyžaduje revizi, která musí být schválena jak Radou EU, tak Evropským parlamentem, a to do 1. května 2015. Následně je nutné provést revizi rozpočtu na rok 2015 ve formě dodatku k rozpočtu a tento návrh musí být schválen příslušným orgánem. Teprve poté mohou být programy schváleny.</w:t>
      </w:r>
    </w:p>
  </w:footnote>
  <w:footnote w:id="3">
    <w:p w:rsidR="00FA41E6" w:rsidRPr="0036242C" w:rsidRDefault="00FA41E6" w:rsidP="0036242C">
      <w:pPr>
        <w:pStyle w:val="Textpoznpodarou"/>
        <w:ind w:left="170" w:hanging="170"/>
        <w:rPr>
          <w:rFonts w:ascii="Arial" w:hAnsi="Arial" w:cs="Arial"/>
          <w:sz w:val="18"/>
          <w:szCs w:val="18"/>
        </w:rPr>
      </w:pPr>
      <w:r w:rsidRPr="0036242C">
        <w:rPr>
          <w:rStyle w:val="Znakapoznpodarou"/>
          <w:rFonts w:ascii="Arial" w:hAnsi="Arial" w:cs="Arial"/>
          <w:sz w:val="18"/>
          <w:szCs w:val="18"/>
        </w:rPr>
        <w:footnoteRef/>
      </w:r>
      <w:r w:rsidRPr="0036242C">
        <w:rPr>
          <w:rFonts w:ascii="Arial" w:hAnsi="Arial" w:cs="Arial"/>
          <w:sz w:val="18"/>
          <w:szCs w:val="18"/>
        </w:rPr>
        <w:t xml:space="preserve"> Nařízení Evropského parlamentu a Rady (EU) č. 1303/2013 ze dne 17. prosince 2013 o společných ustanoveních o Evropském fondu pro regionální rozvoj, Evropském sociálním fondu, Fondu soudržnosti, Evropském zemědělském fondu pro rozvoj venkova a Evropském námořním a rybářském fondu, o obecných ustanoveních o Evropském fondu pro regionální rozvoj, Evropském sociá</w:t>
      </w:r>
      <w:r>
        <w:rPr>
          <w:rFonts w:ascii="Arial" w:hAnsi="Arial" w:cs="Arial"/>
          <w:sz w:val="18"/>
          <w:szCs w:val="18"/>
        </w:rPr>
        <w:t>lním fondu, Fondu soudržnosti a </w:t>
      </w:r>
      <w:r w:rsidRPr="0036242C">
        <w:rPr>
          <w:rFonts w:ascii="Arial" w:hAnsi="Arial" w:cs="Arial"/>
          <w:sz w:val="18"/>
          <w:szCs w:val="18"/>
        </w:rPr>
        <w:t>Evropském námořním a rybářském fondu a o zrušení nařízení Rady (ES) č. 1083/2006</w:t>
      </w:r>
      <w:r>
        <w:rPr>
          <w:rFonts w:ascii="Arial" w:hAnsi="Arial" w:cs="Arial"/>
          <w:sz w:val="18"/>
          <w:szCs w:val="18"/>
        </w:rPr>
        <w:t>.</w:t>
      </w:r>
    </w:p>
  </w:footnote>
  <w:footnote w:id="4">
    <w:p w:rsidR="00FA41E6" w:rsidRPr="00711B14" w:rsidRDefault="00FA41E6" w:rsidP="00C270DD">
      <w:pPr>
        <w:pStyle w:val="Textpoznpodarou"/>
        <w:ind w:left="113" w:hanging="113"/>
        <w:rPr>
          <w:rFonts w:ascii="Arial" w:hAnsi="Arial" w:cs="Arial"/>
          <w:sz w:val="18"/>
          <w:szCs w:val="18"/>
        </w:rPr>
      </w:pPr>
      <w:r w:rsidRPr="00711B14">
        <w:rPr>
          <w:rStyle w:val="Znakapoznpodarou"/>
          <w:rFonts w:ascii="Arial" w:hAnsi="Arial" w:cs="Arial"/>
          <w:sz w:val="18"/>
          <w:szCs w:val="18"/>
        </w:rPr>
        <w:footnoteRef/>
      </w:r>
      <w:r w:rsidRPr="00711B14">
        <w:rPr>
          <w:rFonts w:ascii="Arial" w:hAnsi="Arial" w:cs="Arial"/>
          <w:sz w:val="18"/>
          <w:szCs w:val="18"/>
        </w:rPr>
        <w:t xml:space="preserve"> Jedná se o dopis Ares(2014) 4202524 z 15. prosince 2014 komisařky Thyssen ministryni pr</w:t>
      </w:r>
      <w:r>
        <w:rPr>
          <w:rFonts w:ascii="Arial" w:hAnsi="Arial" w:cs="Arial"/>
          <w:sz w:val="18"/>
          <w:szCs w:val="18"/>
        </w:rPr>
        <w:t>o místní rozvoj Karle Šlechtové a</w:t>
      </w:r>
      <w:r w:rsidRPr="00711B14">
        <w:rPr>
          <w:rFonts w:ascii="Arial" w:hAnsi="Arial" w:cs="Arial"/>
          <w:sz w:val="18"/>
          <w:szCs w:val="18"/>
        </w:rPr>
        <w:t xml:space="preserve"> ministru vnitra Milanu Chovancovi.</w:t>
      </w:r>
    </w:p>
  </w:footnote>
  <w:footnote w:id="5">
    <w:p w:rsidR="00FA41E6" w:rsidRDefault="00FA41E6">
      <w:pPr>
        <w:pStyle w:val="Textpoznpodarou"/>
      </w:pPr>
      <w:r>
        <w:rPr>
          <w:rStyle w:val="Znakapoznpodarou"/>
        </w:rPr>
        <w:footnoteRef/>
      </w:r>
      <w:r>
        <w:t xml:space="preserve"> </w:t>
      </w:r>
      <w:r w:rsidRPr="00711B14">
        <w:rPr>
          <w:rFonts w:ascii="Arial" w:hAnsi="Arial" w:cs="Arial"/>
          <w:sz w:val="18"/>
          <w:szCs w:val="18"/>
        </w:rPr>
        <w:t xml:space="preserve">Postup </w:t>
      </w:r>
      <w:r>
        <w:rPr>
          <w:rFonts w:ascii="Arial" w:hAnsi="Arial" w:cs="Arial"/>
          <w:sz w:val="18"/>
          <w:szCs w:val="18"/>
        </w:rPr>
        <w:t xml:space="preserve">dle </w:t>
      </w:r>
      <w:r w:rsidRPr="00711B14">
        <w:rPr>
          <w:rFonts w:ascii="Arial" w:hAnsi="Arial" w:cs="Arial"/>
          <w:bCs/>
          <w:sz w:val="18"/>
          <w:szCs w:val="18"/>
        </w:rPr>
        <w:t xml:space="preserve">čl. 19 Nařízení o víceletém finančním rámci </w:t>
      </w:r>
      <w:r>
        <w:rPr>
          <w:rFonts w:ascii="Arial" w:hAnsi="Arial" w:cs="Arial"/>
          <w:bCs/>
          <w:sz w:val="18"/>
          <w:szCs w:val="18"/>
        </w:rPr>
        <w:t>č.</w:t>
      </w:r>
      <w:r w:rsidRPr="00711B14">
        <w:rPr>
          <w:rFonts w:ascii="Arial" w:hAnsi="Arial" w:cs="Arial"/>
          <w:bCs/>
          <w:sz w:val="18"/>
          <w:szCs w:val="18"/>
        </w:rPr>
        <w:t xml:space="preserve"> 1311/2013 z 2. prosince 2013</w:t>
      </w:r>
      <w:r>
        <w:rPr>
          <w:rFonts w:ascii="Arial" w:hAnsi="Arial" w:cs="Arial"/>
          <w:bCs/>
          <w:sz w:val="18"/>
          <w:szCs w:val="18"/>
        </w:rPr>
        <w:t>.</w:t>
      </w:r>
    </w:p>
  </w:footnote>
  <w:footnote w:id="6">
    <w:p w:rsidR="00FA41E6" w:rsidRPr="00711B14" w:rsidRDefault="00FA41E6">
      <w:pPr>
        <w:pStyle w:val="Textpoznpodarou"/>
        <w:rPr>
          <w:rFonts w:ascii="Arial" w:hAnsi="Arial" w:cs="Arial"/>
          <w:sz w:val="18"/>
          <w:szCs w:val="18"/>
        </w:rPr>
      </w:pPr>
      <w:r w:rsidRPr="00711B14">
        <w:rPr>
          <w:rStyle w:val="Znakapoznpodarou"/>
          <w:rFonts w:ascii="Arial" w:hAnsi="Arial" w:cs="Arial"/>
          <w:sz w:val="18"/>
          <w:szCs w:val="18"/>
        </w:rPr>
        <w:footnoteRef/>
      </w:r>
      <w:r w:rsidRPr="00711B14">
        <w:rPr>
          <w:rFonts w:ascii="Arial" w:hAnsi="Arial" w:cs="Arial"/>
          <w:sz w:val="18"/>
          <w:szCs w:val="18"/>
        </w:rPr>
        <w:t xml:space="preserve"> </w:t>
      </w:r>
      <w:r w:rsidRPr="00711B14">
        <w:rPr>
          <w:rFonts w:ascii="Arial" w:hAnsi="Arial" w:cs="Arial"/>
          <w:bCs/>
          <w:sz w:val="18"/>
          <w:szCs w:val="18"/>
        </w:rPr>
        <w:t>Postup dle čl. 13 (2) Nařízení č. 966/2012 ze dne 25. října 2012</w:t>
      </w:r>
      <w:r>
        <w:rPr>
          <w:rFonts w:ascii="Arial" w:hAnsi="Arial" w:cs="Arial"/>
          <w:bCs/>
          <w:sz w:val="18"/>
          <w:szCs w:val="18"/>
        </w:rPr>
        <w:t>.</w:t>
      </w:r>
    </w:p>
  </w:footnote>
  <w:footnote w:id="7">
    <w:p w:rsidR="00FA41E6" w:rsidRPr="00711B14" w:rsidRDefault="00FA41E6">
      <w:pPr>
        <w:pStyle w:val="Textpoznpodarou"/>
        <w:rPr>
          <w:rFonts w:ascii="Arial" w:hAnsi="Arial" w:cs="Arial"/>
          <w:sz w:val="18"/>
          <w:szCs w:val="18"/>
        </w:rPr>
      </w:pPr>
      <w:r w:rsidRPr="00711B14">
        <w:rPr>
          <w:rStyle w:val="Znakapoznpodarou"/>
          <w:rFonts w:ascii="Arial" w:hAnsi="Arial" w:cs="Arial"/>
          <w:sz w:val="18"/>
          <w:szCs w:val="18"/>
        </w:rPr>
        <w:footnoteRef/>
      </w:r>
      <w:r w:rsidRPr="00711B14">
        <w:rPr>
          <w:rFonts w:ascii="Arial" w:hAnsi="Arial" w:cs="Arial"/>
          <w:sz w:val="18"/>
          <w:szCs w:val="18"/>
        </w:rPr>
        <w:t xml:space="preserve"> Postup </w:t>
      </w:r>
      <w:r>
        <w:rPr>
          <w:rFonts w:ascii="Arial" w:hAnsi="Arial" w:cs="Arial"/>
          <w:sz w:val="18"/>
          <w:szCs w:val="18"/>
        </w:rPr>
        <w:t xml:space="preserve">dle </w:t>
      </w:r>
      <w:r w:rsidRPr="00711B14">
        <w:rPr>
          <w:rFonts w:ascii="Arial" w:hAnsi="Arial" w:cs="Arial"/>
          <w:bCs/>
          <w:sz w:val="18"/>
          <w:szCs w:val="18"/>
        </w:rPr>
        <w:t xml:space="preserve">čl. 19 Nařízení o víceletém finančním rámci </w:t>
      </w:r>
      <w:r>
        <w:rPr>
          <w:rFonts w:ascii="Arial" w:hAnsi="Arial" w:cs="Arial"/>
          <w:bCs/>
          <w:sz w:val="18"/>
          <w:szCs w:val="18"/>
        </w:rPr>
        <w:t>č.</w:t>
      </w:r>
      <w:r w:rsidRPr="00711B14">
        <w:rPr>
          <w:rFonts w:ascii="Arial" w:hAnsi="Arial" w:cs="Arial"/>
          <w:bCs/>
          <w:sz w:val="18"/>
          <w:szCs w:val="18"/>
        </w:rPr>
        <w:t xml:space="preserve"> 1311/2013 z 2. prosince 2013</w:t>
      </w:r>
      <w:r>
        <w:rPr>
          <w:rFonts w:ascii="Arial" w:hAnsi="Arial" w:cs="Arial"/>
          <w:bCs/>
          <w:sz w:val="18"/>
          <w:szCs w:val="18"/>
        </w:rPr>
        <w:t>.</w:t>
      </w:r>
    </w:p>
  </w:footnote>
  <w:footnote w:id="8">
    <w:p w:rsidR="00FA41E6" w:rsidRPr="00711B14" w:rsidRDefault="00FA41E6" w:rsidP="00711B14">
      <w:pPr>
        <w:pStyle w:val="Textpoznpodarou"/>
        <w:ind w:left="142" w:hanging="142"/>
        <w:rPr>
          <w:rFonts w:ascii="Arial" w:hAnsi="Arial" w:cs="Arial"/>
          <w:sz w:val="18"/>
          <w:szCs w:val="18"/>
        </w:rPr>
      </w:pPr>
      <w:r w:rsidRPr="00711B14">
        <w:rPr>
          <w:rStyle w:val="Znakapoznpodarou"/>
          <w:rFonts w:ascii="Arial" w:hAnsi="Arial" w:cs="Arial"/>
          <w:sz w:val="18"/>
          <w:szCs w:val="18"/>
        </w:rPr>
        <w:footnoteRef/>
      </w:r>
      <w:r w:rsidRPr="00711B14">
        <w:rPr>
          <w:rFonts w:ascii="Arial" w:hAnsi="Arial" w:cs="Arial"/>
          <w:sz w:val="18"/>
          <w:szCs w:val="18"/>
        </w:rPr>
        <w:t xml:space="preserve"> U jednoho multifondového programu stále není jisté, zda bude postupováno dle varianty č. 1 či č. 2</w:t>
      </w:r>
    </w:p>
  </w:footnote>
  <w:footnote w:id="9">
    <w:p w:rsidR="00FA41E6" w:rsidRDefault="00FA41E6" w:rsidP="00305EF5">
      <w:pPr>
        <w:pStyle w:val="Textpoznpodarou"/>
        <w:ind w:left="170" w:hanging="170"/>
      </w:pPr>
      <w:r w:rsidRPr="00305EF5">
        <w:rPr>
          <w:rFonts w:ascii="Arial" w:hAnsi="Arial" w:cs="Arial"/>
          <w:sz w:val="18"/>
          <w:szCs w:val="18"/>
        </w:rPr>
        <w:footnoteRef/>
      </w:r>
      <w:r w:rsidRPr="00305EF5">
        <w:rPr>
          <w:rFonts w:ascii="Arial" w:hAnsi="Arial" w:cs="Arial"/>
          <w:sz w:val="18"/>
          <w:szCs w:val="18"/>
        </w:rPr>
        <w:t xml:space="preserve"> V rámci českých programů je prozatím schválen pouze jeden program</w:t>
      </w:r>
      <w:r>
        <w:rPr>
          <w:rFonts w:ascii="Arial" w:hAnsi="Arial" w:cs="Arial"/>
          <w:sz w:val="18"/>
          <w:szCs w:val="18"/>
        </w:rPr>
        <w:t>, a to Operační program</w:t>
      </w:r>
      <w:r w:rsidRPr="00305EF5">
        <w:rPr>
          <w:rFonts w:ascii="Arial" w:hAnsi="Arial" w:cs="Arial"/>
          <w:sz w:val="18"/>
          <w:szCs w:val="18"/>
        </w:rPr>
        <w:t xml:space="preserve"> </w:t>
      </w:r>
      <w:r>
        <w:rPr>
          <w:rFonts w:ascii="Arial" w:hAnsi="Arial" w:cs="Arial"/>
          <w:sz w:val="18"/>
          <w:szCs w:val="18"/>
        </w:rPr>
        <w:t>P</w:t>
      </w:r>
      <w:r w:rsidRPr="00305EF5">
        <w:rPr>
          <w:rFonts w:ascii="Arial" w:hAnsi="Arial" w:cs="Arial"/>
          <w:sz w:val="18"/>
          <w:szCs w:val="18"/>
        </w:rPr>
        <w:t>řeshraniční spolupráce ČR-Bavorsko, u něhož však Česká republika není řídicím orgánem</w:t>
      </w:r>
      <w:r>
        <w:rPr>
          <w:rFonts w:ascii="Arial" w:hAnsi="Arial" w:cs="Arial"/>
          <w:sz w:val="18"/>
          <w:szCs w:val="18"/>
        </w:rPr>
        <w:t>.</w:t>
      </w:r>
    </w:p>
  </w:footnote>
  <w:footnote w:id="10">
    <w:p w:rsidR="00FA41E6" w:rsidRPr="00711B14" w:rsidRDefault="00FA41E6" w:rsidP="00711B14">
      <w:pPr>
        <w:pStyle w:val="Textpoznpodarou"/>
        <w:ind w:left="142" w:hanging="142"/>
        <w:rPr>
          <w:rFonts w:ascii="Arial" w:hAnsi="Arial" w:cs="Arial"/>
          <w:sz w:val="18"/>
          <w:szCs w:val="18"/>
        </w:rPr>
      </w:pPr>
      <w:r w:rsidRPr="00711B14">
        <w:rPr>
          <w:rStyle w:val="Znakapoznpodarou"/>
          <w:rFonts w:ascii="Arial" w:hAnsi="Arial" w:cs="Arial"/>
          <w:sz w:val="18"/>
          <w:szCs w:val="18"/>
        </w:rPr>
        <w:footnoteRef/>
      </w:r>
      <w:r w:rsidRPr="00711B14">
        <w:rPr>
          <w:rFonts w:ascii="Arial" w:hAnsi="Arial" w:cs="Arial"/>
          <w:sz w:val="18"/>
          <w:szCs w:val="18"/>
        </w:rPr>
        <w:t xml:space="preserve"> Dosud nebyly schváleny programy zaměřené na rozvoj venkova a rybářství. Dále také pro </w:t>
      </w:r>
      <w:r>
        <w:rPr>
          <w:rFonts w:ascii="Arial" w:hAnsi="Arial" w:cs="Arial"/>
          <w:sz w:val="18"/>
          <w:szCs w:val="18"/>
        </w:rPr>
        <w:t>EÚS</w:t>
      </w:r>
      <w:r w:rsidRPr="00711B14">
        <w:rPr>
          <w:rFonts w:ascii="Arial" w:hAnsi="Arial" w:cs="Arial"/>
          <w:sz w:val="18"/>
          <w:szCs w:val="18"/>
        </w:rPr>
        <w:t xml:space="preserve"> programy  </w:t>
      </w:r>
      <w:r>
        <w:rPr>
          <w:rFonts w:ascii="Arial" w:hAnsi="Arial" w:cs="Arial"/>
          <w:sz w:val="18"/>
          <w:szCs w:val="18"/>
        </w:rPr>
        <w:t>EL</w:t>
      </w:r>
      <w:r w:rsidRPr="00711B14">
        <w:rPr>
          <w:rFonts w:ascii="Arial" w:hAnsi="Arial" w:cs="Arial"/>
          <w:sz w:val="18"/>
          <w:szCs w:val="18"/>
        </w:rPr>
        <w:t xml:space="preserve">-IT, </w:t>
      </w:r>
      <w:r>
        <w:rPr>
          <w:rFonts w:ascii="Arial" w:hAnsi="Arial" w:cs="Arial"/>
          <w:sz w:val="18"/>
          <w:szCs w:val="18"/>
        </w:rPr>
        <w:t>EL</w:t>
      </w:r>
      <w:r w:rsidRPr="00711B14">
        <w:rPr>
          <w:rFonts w:ascii="Arial" w:hAnsi="Arial" w:cs="Arial"/>
          <w:sz w:val="18"/>
          <w:szCs w:val="18"/>
        </w:rPr>
        <w:t xml:space="preserve">-Albania, </w:t>
      </w:r>
      <w:r>
        <w:rPr>
          <w:rFonts w:ascii="Arial" w:hAnsi="Arial" w:cs="Arial"/>
          <w:sz w:val="18"/>
          <w:szCs w:val="18"/>
        </w:rPr>
        <w:t>EL</w:t>
      </w:r>
      <w:r w:rsidRPr="00711B14">
        <w:rPr>
          <w:rFonts w:ascii="Arial" w:hAnsi="Arial" w:cs="Arial"/>
          <w:sz w:val="18"/>
          <w:szCs w:val="18"/>
        </w:rPr>
        <w:t xml:space="preserve">-Fyrom, </w:t>
      </w:r>
      <w:r>
        <w:rPr>
          <w:rFonts w:ascii="Arial" w:hAnsi="Arial" w:cs="Arial"/>
          <w:sz w:val="18"/>
          <w:szCs w:val="18"/>
        </w:rPr>
        <w:t>EL</w:t>
      </w:r>
      <w:r w:rsidRPr="00711B14">
        <w:rPr>
          <w:rFonts w:ascii="Arial" w:hAnsi="Arial" w:cs="Arial"/>
          <w:sz w:val="18"/>
          <w:szCs w:val="18"/>
        </w:rPr>
        <w:t xml:space="preserve">-BG, </w:t>
      </w:r>
      <w:r>
        <w:rPr>
          <w:rFonts w:ascii="Arial" w:hAnsi="Arial" w:cs="Arial"/>
          <w:sz w:val="18"/>
          <w:szCs w:val="18"/>
        </w:rPr>
        <w:t>EL-T</w:t>
      </w:r>
      <w:r w:rsidRPr="00711B14">
        <w:rPr>
          <w:rFonts w:ascii="Arial" w:hAnsi="Arial" w:cs="Arial"/>
          <w:sz w:val="18"/>
          <w:szCs w:val="18"/>
        </w:rPr>
        <w:t xml:space="preserve">urkey, </w:t>
      </w:r>
      <w:r>
        <w:rPr>
          <w:rFonts w:ascii="Arial" w:hAnsi="Arial" w:cs="Arial"/>
          <w:sz w:val="18"/>
          <w:szCs w:val="18"/>
        </w:rPr>
        <w:t>EL-</w:t>
      </w:r>
      <w:r w:rsidRPr="00711B14">
        <w:rPr>
          <w:rFonts w:ascii="Arial" w:hAnsi="Arial" w:cs="Arial"/>
          <w:sz w:val="18"/>
          <w:szCs w:val="18"/>
        </w:rPr>
        <w:t>CY.</w:t>
      </w:r>
    </w:p>
  </w:footnote>
  <w:footnote w:id="11">
    <w:p w:rsidR="00FA41E6" w:rsidRPr="00111912" w:rsidRDefault="00FA41E6">
      <w:pPr>
        <w:pStyle w:val="Textpoznpodarou"/>
        <w:rPr>
          <w:rFonts w:ascii="Arial" w:hAnsi="Arial" w:cs="Arial"/>
        </w:rPr>
      </w:pPr>
      <w:r w:rsidRPr="00111912">
        <w:rPr>
          <w:rStyle w:val="Znakapoznpodarou"/>
          <w:rFonts w:ascii="Arial" w:hAnsi="Arial" w:cs="Arial"/>
        </w:rPr>
        <w:footnoteRef/>
      </w:r>
      <w:r w:rsidRPr="00111912">
        <w:rPr>
          <w:rFonts w:ascii="Arial" w:hAnsi="Arial" w:cs="Arial"/>
        </w:rPr>
        <w:t xml:space="preserve"> Všechny </w:t>
      </w:r>
      <w:r>
        <w:rPr>
          <w:rFonts w:ascii="Arial" w:hAnsi="Arial" w:cs="Arial"/>
        </w:rPr>
        <w:t xml:space="preserve">slovenské </w:t>
      </w:r>
      <w:r w:rsidRPr="00111912">
        <w:rPr>
          <w:rFonts w:ascii="Arial" w:hAnsi="Arial" w:cs="Arial"/>
        </w:rPr>
        <w:t>programy</w:t>
      </w:r>
      <w:r>
        <w:rPr>
          <w:rFonts w:ascii="Arial" w:hAnsi="Arial" w:cs="Arial"/>
        </w:rPr>
        <w:t>, tj. včetně</w:t>
      </w:r>
      <w:r w:rsidRPr="00111912">
        <w:rPr>
          <w:rFonts w:ascii="Arial" w:hAnsi="Arial" w:cs="Arial"/>
        </w:rPr>
        <w:t xml:space="preserve"> </w:t>
      </w:r>
      <w:r>
        <w:rPr>
          <w:rFonts w:ascii="Arial" w:hAnsi="Arial" w:cs="Arial"/>
        </w:rPr>
        <w:t xml:space="preserve">programů zaměřených na rozvoj venkova a rybářství, </w:t>
      </w:r>
      <w:r w:rsidRPr="00111912">
        <w:rPr>
          <w:rFonts w:ascii="Arial" w:hAnsi="Arial" w:cs="Arial"/>
        </w:rPr>
        <w:t>byly schv</w:t>
      </w:r>
      <w:r>
        <w:rPr>
          <w:rFonts w:ascii="Arial" w:hAnsi="Arial" w:cs="Arial"/>
        </w:rPr>
        <w:t>áleny</w:t>
      </w:r>
      <w:r w:rsidRPr="00111912">
        <w:rPr>
          <w:rFonts w:ascii="Arial" w:hAnsi="Arial" w:cs="Arial"/>
        </w:rPr>
        <w:t xml:space="preserve"> v roce 2014</w:t>
      </w:r>
      <w:r>
        <w:rPr>
          <w:rFonts w:ascii="Arial" w:hAnsi="Arial" w:cs="Arial"/>
        </w:rPr>
        <w:t>.</w:t>
      </w:r>
    </w:p>
  </w:footnote>
  <w:footnote w:id="12">
    <w:p w:rsidR="00FA41E6" w:rsidRPr="000D51EA" w:rsidRDefault="00FA41E6" w:rsidP="009377B8">
      <w:pPr>
        <w:pStyle w:val="Textpoznpodarou"/>
        <w:rPr>
          <w:rFonts w:ascii="Arial" w:hAnsi="Arial" w:cs="Arial"/>
          <w:sz w:val="18"/>
          <w:szCs w:val="18"/>
        </w:rPr>
      </w:pPr>
      <w:r w:rsidRPr="000D51EA">
        <w:rPr>
          <w:rStyle w:val="Znakapoznpodarou"/>
          <w:rFonts w:ascii="Arial" w:hAnsi="Arial" w:cs="Arial"/>
          <w:sz w:val="18"/>
          <w:szCs w:val="18"/>
        </w:rPr>
        <w:footnoteRef/>
      </w:r>
      <w:r w:rsidRPr="000D51EA">
        <w:rPr>
          <w:rFonts w:ascii="Arial" w:hAnsi="Arial" w:cs="Arial"/>
          <w:sz w:val="18"/>
          <w:szCs w:val="18"/>
        </w:rPr>
        <w:t xml:space="preserve"> http://ec.europa.eu/regional_policy/country/prordn/search.cfm?gv_pay=ALL&amp;gv_reg=ALL&amp;gv_obj=ALL&amp;gv_the=ALL&amp;LAN=EN&amp;gv_theobj=ALL&amp;gv_per=3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1E6" w:rsidRDefault="00FA41E6">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B03A2460"/>
    <w:lvl w:ilvl="0">
      <w:start w:val="1"/>
      <w:numFmt w:val="bullet"/>
      <w:pStyle w:val="Seznamsodrkami3"/>
      <w:lvlText w:val=""/>
      <w:lvlJc w:val="left"/>
      <w:pPr>
        <w:tabs>
          <w:tab w:val="num" w:pos="643"/>
        </w:tabs>
        <w:ind w:left="643" w:hanging="360"/>
      </w:pPr>
      <w:rPr>
        <w:rFonts w:ascii="Symbol" w:hAnsi="Symbol" w:hint="default"/>
      </w:rPr>
    </w:lvl>
  </w:abstractNum>
  <w:abstractNum w:abstractNumId="1">
    <w:nsid w:val="08A549DA"/>
    <w:multiLevelType w:val="hybridMultilevel"/>
    <w:tmpl w:val="34F29378"/>
    <w:lvl w:ilvl="0" w:tplc="04050001">
      <w:start w:val="1"/>
      <w:numFmt w:val="bullet"/>
      <w:lvlText w:val=""/>
      <w:lvlJc w:val="left"/>
      <w:pPr>
        <w:ind w:left="1440" w:hanging="360"/>
      </w:pPr>
      <w:rPr>
        <w:rFonts w:ascii="Symbol" w:hAnsi="Symbol" w:hint="default"/>
      </w:rPr>
    </w:lvl>
    <w:lvl w:ilvl="1" w:tplc="04050011">
      <w:start w:val="1"/>
      <w:numFmt w:val="decimal"/>
      <w:lvlText w:val="%2)"/>
      <w:lvlJc w:val="left"/>
      <w:pPr>
        <w:ind w:left="2160" w:hanging="360"/>
      </w:pPr>
      <w:rPr>
        <w:rFonts w:hint="default"/>
      </w:rPr>
    </w:lvl>
    <w:lvl w:ilvl="2" w:tplc="04050005">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
    <w:nsid w:val="08FA03F3"/>
    <w:multiLevelType w:val="hybridMultilevel"/>
    <w:tmpl w:val="6054D92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nsid w:val="0CE0196A"/>
    <w:multiLevelType w:val="multilevel"/>
    <w:tmpl w:val="6A8E221E"/>
    <w:lvl w:ilvl="0">
      <w:start w:val="1"/>
      <w:numFmt w:val="decimal"/>
      <w:pStyle w:val="Nadpis1"/>
      <w:lvlText w:val="%1."/>
      <w:lvlJc w:val="left"/>
      <w:pPr>
        <w:ind w:left="644" w:hanging="360"/>
      </w:pPr>
    </w:lvl>
    <w:lvl w:ilvl="1">
      <w:start w:val="1"/>
      <w:numFmt w:val="decimal"/>
      <w:pStyle w:val="Nadpis2"/>
      <w:lvlText w:val="%1.%2."/>
      <w:lvlJc w:val="left"/>
      <w:pPr>
        <w:ind w:left="128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F916371"/>
    <w:multiLevelType w:val="hybridMultilevel"/>
    <w:tmpl w:val="60C0FF0A"/>
    <w:lvl w:ilvl="0" w:tplc="DCD0A4DE">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0153119"/>
    <w:multiLevelType w:val="hybridMultilevel"/>
    <w:tmpl w:val="881C188A"/>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nsid w:val="134F5EC0"/>
    <w:multiLevelType w:val="hybridMultilevel"/>
    <w:tmpl w:val="707005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19756215"/>
    <w:multiLevelType w:val="hybridMultilevel"/>
    <w:tmpl w:val="5A468378"/>
    <w:lvl w:ilvl="0" w:tplc="A8C8A584">
      <w:numFmt w:val="bullet"/>
      <w:lvlText w:val="-"/>
      <w:lvlJc w:val="left"/>
      <w:pPr>
        <w:ind w:left="420" w:hanging="360"/>
      </w:pPr>
      <w:rPr>
        <w:rFonts w:ascii="Arial" w:eastAsiaTheme="minorHAnsi" w:hAnsi="Arial" w:cs="Arial" w:hint="default"/>
      </w:rPr>
    </w:lvl>
    <w:lvl w:ilvl="1" w:tplc="04050003">
      <w:start w:val="1"/>
      <w:numFmt w:val="bullet"/>
      <w:lvlText w:val="o"/>
      <w:lvlJc w:val="left"/>
      <w:pPr>
        <w:ind w:left="1140" w:hanging="360"/>
      </w:pPr>
      <w:rPr>
        <w:rFonts w:ascii="Courier New" w:hAnsi="Courier New" w:cs="Courier New" w:hint="default"/>
      </w:rPr>
    </w:lvl>
    <w:lvl w:ilvl="2" w:tplc="04050005">
      <w:start w:val="1"/>
      <w:numFmt w:val="bullet"/>
      <w:lvlText w:val=""/>
      <w:lvlJc w:val="left"/>
      <w:pPr>
        <w:ind w:left="1860" w:hanging="360"/>
      </w:pPr>
      <w:rPr>
        <w:rFonts w:ascii="Wingdings" w:hAnsi="Wingdings" w:hint="default"/>
      </w:rPr>
    </w:lvl>
    <w:lvl w:ilvl="3" w:tplc="04050001">
      <w:start w:val="1"/>
      <w:numFmt w:val="bullet"/>
      <w:lvlText w:val=""/>
      <w:lvlJc w:val="left"/>
      <w:pPr>
        <w:ind w:left="2580" w:hanging="360"/>
      </w:pPr>
      <w:rPr>
        <w:rFonts w:ascii="Symbol" w:hAnsi="Symbol" w:hint="default"/>
      </w:rPr>
    </w:lvl>
    <w:lvl w:ilvl="4" w:tplc="04050003">
      <w:start w:val="1"/>
      <w:numFmt w:val="bullet"/>
      <w:lvlText w:val="o"/>
      <w:lvlJc w:val="left"/>
      <w:pPr>
        <w:ind w:left="3300" w:hanging="360"/>
      </w:pPr>
      <w:rPr>
        <w:rFonts w:ascii="Courier New" w:hAnsi="Courier New" w:cs="Courier New" w:hint="default"/>
      </w:rPr>
    </w:lvl>
    <w:lvl w:ilvl="5" w:tplc="04050005">
      <w:start w:val="1"/>
      <w:numFmt w:val="bullet"/>
      <w:lvlText w:val=""/>
      <w:lvlJc w:val="left"/>
      <w:pPr>
        <w:ind w:left="4020" w:hanging="360"/>
      </w:pPr>
      <w:rPr>
        <w:rFonts w:ascii="Wingdings" w:hAnsi="Wingdings" w:hint="default"/>
      </w:rPr>
    </w:lvl>
    <w:lvl w:ilvl="6" w:tplc="04050001">
      <w:start w:val="1"/>
      <w:numFmt w:val="bullet"/>
      <w:lvlText w:val=""/>
      <w:lvlJc w:val="left"/>
      <w:pPr>
        <w:ind w:left="4740" w:hanging="360"/>
      </w:pPr>
      <w:rPr>
        <w:rFonts w:ascii="Symbol" w:hAnsi="Symbol" w:hint="default"/>
      </w:rPr>
    </w:lvl>
    <w:lvl w:ilvl="7" w:tplc="04050003">
      <w:start w:val="1"/>
      <w:numFmt w:val="bullet"/>
      <w:lvlText w:val="o"/>
      <w:lvlJc w:val="left"/>
      <w:pPr>
        <w:ind w:left="5460" w:hanging="360"/>
      </w:pPr>
      <w:rPr>
        <w:rFonts w:ascii="Courier New" w:hAnsi="Courier New" w:cs="Courier New" w:hint="default"/>
      </w:rPr>
    </w:lvl>
    <w:lvl w:ilvl="8" w:tplc="04050005">
      <w:start w:val="1"/>
      <w:numFmt w:val="bullet"/>
      <w:lvlText w:val=""/>
      <w:lvlJc w:val="left"/>
      <w:pPr>
        <w:ind w:left="6180" w:hanging="360"/>
      </w:pPr>
      <w:rPr>
        <w:rFonts w:ascii="Wingdings" w:hAnsi="Wingdings" w:hint="default"/>
      </w:rPr>
    </w:lvl>
  </w:abstractNum>
  <w:abstractNum w:abstractNumId="8">
    <w:nsid w:val="1EBF31C0"/>
    <w:multiLevelType w:val="hybridMultilevel"/>
    <w:tmpl w:val="9C145B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201F003D"/>
    <w:multiLevelType w:val="hybridMultilevel"/>
    <w:tmpl w:val="DB607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20767F56"/>
    <w:multiLevelType w:val="multilevel"/>
    <w:tmpl w:val="6942A6BE"/>
    <w:lvl w:ilvl="0">
      <w:start w:val="1"/>
      <w:numFmt w:val="decimal"/>
      <w:pStyle w:val="List0"/>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F71606"/>
    <w:multiLevelType w:val="hybridMultilevel"/>
    <w:tmpl w:val="48E849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2B2E428A"/>
    <w:multiLevelType w:val="hybridMultilevel"/>
    <w:tmpl w:val="F3CC92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C6F5CDC"/>
    <w:multiLevelType w:val="multilevel"/>
    <w:tmpl w:val="3EB042C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31083041"/>
    <w:multiLevelType w:val="hybridMultilevel"/>
    <w:tmpl w:val="CB96C034"/>
    <w:lvl w:ilvl="0" w:tplc="8BBE9D34">
      <w:start w:val="1"/>
      <w:numFmt w:val="lowerLetter"/>
      <w:pStyle w:val="Seznam"/>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352A4088"/>
    <w:multiLevelType w:val="hybridMultilevel"/>
    <w:tmpl w:val="EF6247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3EAB561D"/>
    <w:multiLevelType w:val="hybridMultilevel"/>
    <w:tmpl w:val="D5E099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4A4F7840"/>
    <w:multiLevelType w:val="hybridMultilevel"/>
    <w:tmpl w:val="FA6E13AA"/>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8">
    <w:nsid w:val="4CF110B1"/>
    <w:multiLevelType w:val="hybridMultilevel"/>
    <w:tmpl w:val="374E18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60AD1C40"/>
    <w:multiLevelType w:val="hybridMultilevel"/>
    <w:tmpl w:val="074EB5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61DE44D7"/>
    <w:multiLevelType w:val="hybridMultilevel"/>
    <w:tmpl w:val="AF0ABF9A"/>
    <w:lvl w:ilvl="0" w:tplc="7CA09D6C">
      <w:start w:val="4"/>
      <w:numFmt w:val="bullet"/>
      <w:lvlText w:val="-"/>
      <w:lvlJc w:val="left"/>
      <w:pPr>
        <w:ind w:left="720" w:hanging="360"/>
      </w:pPr>
      <w:rPr>
        <w:rFonts w:ascii="Arial" w:eastAsia="Calibr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1">
    <w:nsid w:val="63FC117E"/>
    <w:multiLevelType w:val="hybridMultilevel"/>
    <w:tmpl w:val="9362B5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6724222E"/>
    <w:multiLevelType w:val="hybridMultilevel"/>
    <w:tmpl w:val="F16E89F2"/>
    <w:lvl w:ilvl="0" w:tplc="04050001">
      <w:start w:val="1"/>
      <w:numFmt w:val="bullet"/>
      <w:lvlText w:val=""/>
      <w:lvlJc w:val="left"/>
      <w:pPr>
        <w:ind w:left="720" w:hanging="360"/>
      </w:pPr>
      <w:rPr>
        <w:rFonts w:ascii="Symbol" w:hAnsi="Symbol" w:hint="default"/>
      </w:rPr>
    </w:lvl>
    <w:lvl w:ilvl="1" w:tplc="0405000B">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3">
    <w:nsid w:val="6EBD25E3"/>
    <w:multiLevelType w:val="multilevel"/>
    <w:tmpl w:val="471EB360"/>
    <w:styleLink w:val="List1"/>
    <w:lvl w:ilvl="0">
      <w:start w:val="1"/>
      <w:numFmt w:val="decimal"/>
      <w:lvlText w:val="%1)"/>
      <w:lvlJc w:val="left"/>
      <w:pPr>
        <w:tabs>
          <w:tab w:val="num" w:pos="425"/>
        </w:tabs>
        <w:ind w:left="425" w:hanging="357"/>
      </w:pPr>
      <w:rPr>
        <w:position w:val="0"/>
        <w:sz w:val="22"/>
        <w:szCs w:val="22"/>
      </w:rPr>
    </w:lvl>
    <w:lvl w:ilvl="1">
      <w:start w:val="1"/>
      <w:numFmt w:val="bullet"/>
      <w:lvlText w:val="•"/>
      <w:lvlJc w:val="left"/>
      <w:pPr>
        <w:tabs>
          <w:tab w:val="num" w:pos="1410"/>
        </w:tabs>
        <w:ind w:left="1410" w:hanging="330"/>
      </w:pPr>
      <w:rPr>
        <w:position w:val="0"/>
        <w:sz w:val="22"/>
        <w:szCs w:val="22"/>
      </w:rPr>
    </w:lvl>
    <w:lvl w:ilvl="2">
      <w:start w:val="1"/>
      <w:numFmt w:val="lowerRoman"/>
      <w:lvlText w:val="%3."/>
      <w:lvlJc w:val="left"/>
      <w:pPr>
        <w:tabs>
          <w:tab w:val="num" w:pos="2135"/>
        </w:tabs>
        <w:ind w:left="2135" w:hanging="271"/>
      </w:pPr>
      <w:rPr>
        <w:position w:val="0"/>
        <w:sz w:val="22"/>
        <w:szCs w:val="22"/>
      </w:rPr>
    </w:lvl>
    <w:lvl w:ilvl="3">
      <w:start w:val="1"/>
      <w:numFmt w:val="decimal"/>
      <w:lvlText w:val="%4."/>
      <w:lvlJc w:val="left"/>
      <w:pPr>
        <w:tabs>
          <w:tab w:val="num" w:pos="2850"/>
        </w:tabs>
        <w:ind w:left="2850" w:hanging="330"/>
      </w:pPr>
      <w:rPr>
        <w:position w:val="0"/>
        <w:sz w:val="22"/>
        <w:szCs w:val="22"/>
      </w:rPr>
    </w:lvl>
    <w:lvl w:ilvl="4">
      <w:start w:val="1"/>
      <w:numFmt w:val="lowerLetter"/>
      <w:lvlText w:val="%5."/>
      <w:lvlJc w:val="left"/>
      <w:pPr>
        <w:tabs>
          <w:tab w:val="num" w:pos="3570"/>
        </w:tabs>
        <w:ind w:left="3570" w:hanging="330"/>
      </w:pPr>
      <w:rPr>
        <w:position w:val="0"/>
        <w:sz w:val="22"/>
        <w:szCs w:val="22"/>
      </w:rPr>
    </w:lvl>
    <w:lvl w:ilvl="5">
      <w:start w:val="1"/>
      <w:numFmt w:val="lowerRoman"/>
      <w:lvlText w:val="%6."/>
      <w:lvlJc w:val="left"/>
      <w:pPr>
        <w:tabs>
          <w:tab w:val="num" w:pos="4295"/>
        </w:tabs>
        <w:ind w:left="4295" w:hanging="271"/>
      </w:pPr>
      <w:rPr>
        <w:position w:val="0"/>
        <w:sz w:val="22"/>
        <w:szCs w:val="22"/>
      </w:rPr>
    </w:lvl>
    <w:lvl w:ilvl="6">
      <w:start w:val="1"/>
      <w:numFmt w:val="decimal"/>
      <w:lvlText w:val="%7."/>
      <w:lvlJc w:val="left"/>
      <w:pPr>
        <w:tabs>
          <w:tab w:val="num" w:pos="5010"/>
        </w:tabs>
        <w:ind w:left="5010" w:hanging="330"/>
      </w:pPr>
      <w:rPr>
        <w:position w:val="0"/>
        <w:sz w:val="22"/>
        <w:szCs w:val="22"/>
      </w:rPr>
    </w:lvl>
    <w:lvl w:ilvl="7">
      <w:start w:val="1"/>
      <w:numFmt w:val="lowerLetter"/>
      <w:lvlText w:val="%8."/>
      <w:lvlJc w:val="left"/>
      <w:pPr>
        <w:tabs>
          <w:tab w:val="num" w:pos="5730"/>
        </w:tabs>
        <w:ind w:left="5730" w:hanging="330"/>
      </w:pPr>
      <w:rPr>
        <w:position w:val="0"/>
        <w:sz w:val="22"/>
        <w:szCs w:val="22"/>
      </w:rPr>
    </w:lvl>
    <w:lvl w:ilvl="8">
      <w:start w:val="1"/>
      <w:numFmt w:val="lowerRoman"/>
      <w:lvlText w:val="%9."/>
      <w:lvlJc w:val="left"/>
      <w:pPr>
        <w:tabs>
          <w:tab w:val="num" w:pos="6455"/>
        </w:tabs>
        <w:ind w:left="6455" w:hanging="271"/>
      </w:pPr>
      <w:rPr>
        <w:position w:val="0"/>
        <w:sz w:val="22"/>
        <w:szCs w:val="22"/>
      </w:rPr>
    </w:lvl>
  </w:abstractNum>
  <w:abstractNum w:abstractNumId="24">
    <w:nsid w:val="742B6B42"/>
    <w:multiLevelType w:val="hybridMultilevel"/>
    <w:tmpl w:val="9E744C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33457C"/>
    <w:multiLevelType w:val="hybridMultilevel"/>
    <w:tmpl w:val="F0989F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D6860DF"/>
    <w:multiLevelType w:val="hybridMultilevel"/>
    <w:tmpl w:val="1DCA43CA"/>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0"/>
  </w:num>
  <w:num w:numId="2">
    <w:abstractNumId w:val="3"/>
  </w:num>
  <w:num w:numId="3">
    <w:abstractNumId w:val="14"/>
  </w:num>
  <w:num w:numId="4">
    <w:abstractNumId w:val="23"/>
  </w:num>
  <w:num w:numId="5">
    <w:abstractNumId w:val="17"/>
  </w:num>
  <w:num w:numId="6">
    <w:abstractNumId w:val="1"/>
  </w:num>
  <w:num w:numId="7">
    <w:abstractNumId w:val="13"/>
  </w:num>
  <w:num w:numId="8">
    <w:abstractNumId w:val="3"/>
  </w:num>
  <w:num w:numId="9">
    <w:abstractNumId w:val="12"/>
  </w:num>
  <w:num w:numId="10">
    <w:abstractNumId w:val="9"/>
  </w:num>
  <w:num w:numId="11">
    <w:abstractNumId w:val="18"/>
  </w:num>
  <w:num w:numId="12">
    <w:abstractNumId w:val="15"/>
  </w:num>
  <w:num w:numId="13">
    <w:abstractNumId w:val="24"/>
  </w:num>
  <w:num w:numId="14">
    <w:abstractNumId w:val="8"/>
  </w:num>
  <w:num w:numId="15">
    <w:abstractNumId w:val="19"/>
  </w:num>
  <w:num w:numId="16">
    <w:abstractNumId w:val="11"/>
  </w:num>
  <w:num w:numId="17">
    <w:abstractNumId w:val="2"/>
  </w:num>
  <w:num w:numId="18">
    <w:abstractNumId w:val="25"/>
  </w:num>
  <w:num w:numId="19">
    <w:abstractNumId w:val="1"/>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num>
  <w:num w:numId="22">
    <w:abstractNumId w:val="5"/>
  </w:num>
  <w:num w:numId="23">
    <w:abstractNumId w:val="0"/>
  </w:num>
  <w:num w:numId="24">
    <w:abstractNumId w:val="7"/>
  </w:num>
  <w:num w:numId="25">
    <w:abstractNumId w:val="20"/>
  </w:num>
  <w:num w:numId="26">
    <w:abstractNumId w:val="4"/>
  </w:num>
  <w:num w:numId="27">
    <w:abstractNumId w:val="6"/>
  </w:num>
  <w:num w:numId="28">
    <w:abstractNumId w:val="16"/>
  </w:num>
  <w:num w:numId="29">
    <w:abstractNumId w:val="21"/>
  </w:num>
  <w:num w:numId="30">
    <w:abstractNumId w:val="3"/>
  </w:num>
  <w:num w:numId="31">
    <w:abstractNumId w:val="3"/>
  </w:num>
  <w:num w:numId="32">
    <w:abstractNumId w:val="3"/>
  </w:num>
  <w:num w:numId="33">
    <w:abstractNumId w:val="3"/>
  </w:num>
  <w:num w:numId="34">
    <w:abstractNumId w:val="3"/>
  </w:num>
  <w:num w:numId="35">
    <w:abstractNumId w:val="2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3219"/>
    <w:rsid w:val="00000647"/>
    <w:rsid w:val="000015D0"/>
    <w:rsid w:val="00002A66"/>
    <w:rsid w:val="000041FF"/>
    <w:rsid w:val="00004C16"/>
    <w:rsid w:val="00007912"/>
    <w:rsid w:val="00011055"/>
    <w:rsid w:val="0001246D"/>
    <w:rsid w:val="00013349"/>
    <w:rsid w:val="0001365E"/>
    <w:rsid w:val="000143B4"/>
    <w:rsid w:val="000144C8"/>
    <w:rsid w:val="00015D8A"/>
    <w:rsid w:val="000160DA"/>
    <w:rsid w:val="000209E5"/>
    <w:rsid w:val="00021465"/>
    <w:rsid w:val="00023827"/>
    <w:rsid w:val="00023E2E"/>
    <w:rsid w:val="00024A60"/>
    <w:rsid w:val="00024BF7"/>
    <w:rsid w:val="00025A9D"/>
    <w:rsid w:val="00027478"/>
    <w:rsid w:val="000279EC"/>
    <w:rsid w:val="00027EA4"/>
    <w:rsid w:val="000317DA"/>
    <w:rsid w:val="00033326"/>
    <w:rsid w:val="000335AF"/>
    <w:rsid w:val="0003440E"/>
    <w:rsid w:val="00035000"/>
    <w:rsid w:val="00035E9D"/>
    <w:rsid w:val="00035F32"/>
    <w:rsid w:val="000363C1"/>
    <w:rsid w:val="00037848"/>
    <w:rsid w:val="0004116D"/>
    <w:rsid w:val="00041357"/>
    <w:rsid w:val="00042490"/>
    <w:rsid w:val="000425D4"/>
    <w:rsid w:val="0004703A"/>
    <w:rsid w:val="00050711"/>
    <w:rsid w:val="0005231A"/>
    <w:rsid w:val="00052AB6"/>
    <w:rsid w:val="00053B22"/>
    <w:rsid w:val="00056875"/>
    <w:rsid w:val="000569AF"/>
    <w:rsid w:val="0006073B"/>
    <w:rsid w:val="00062136"/>
    <w:rsid w:val="00063D89"/>
    <w:rsid w:val="00064876"/>
    <w:rsid w:val="00065049"/>
    <w:rsid w:val="000667E9"/>
    <w:rsid w:val="0006705E"/>
    <w:rsid w:val="0006758C"/>
    <w:rsid w:val="00070218"/>
    <w:rsid w:val="000716F1"/>
    <w:rsid w:val="000722F6"/>
    <w:rsid w:val="00073BCD"/>
    <w:rsid w:val="00074D6F"/>
    <w:rsid w:val="00076C26"/>
    <w:rsid w:val="00076DE4"/>
    <w:rsid w:val="00077C85"/>
    <w:rsid w:val="00080DAD"/>
    <w:rsid w:val="00082124"/>
    <w:rsid w:val="00083B1D"/>
    <w:rsid w:val="0008536C"/>
    <w:rsid w:val="00085978"/>
    <w:rsid w:val="00085CC8"/>
    <w:rsid w:val="00086404"/>
    <w:rsid w:val="000864D5"/>
    <w:rsid w:val="000871A9"/>
    <w:rsid w:val="00087961"/>
    <w:rsid w:val="00090789"/>
    <w:rsid w:val="000912DA"/>
    <w:rsid w:val="00093E82"/>
    <w:rsid w:val="00094784"/>
    <w:rsid w:val="00094A37"/>
    <w:rsid w:val="00095008"/>
    <w:rsid w:val="0009635F"/>
    <w:rsid w:val="00096FBC"/>
    <w:rsid w:val="000976E3"/>
    <w:rsid w:val="000A0446"/>
    <w:rsid w:val="000A0658"/>
    <w:rsid w:val="000A0D7C"/>
    <w:rsid w:val="000A102F"/>
    <w:rsid w:val="000A4D89"/>
    <w:rsid w:val="000A51D0"/>
    <w:rsid w:val="000A7794"/>
    <w:rsid w:val="000B08DC"/>
    <w:rsid w:val="000B1AEB"/>
    <w:rsid w:val="000B3FD9"/>
    <w:rsid w:val="000B404D"/>
    <w:rsid w:val="000B4A10"/>
    <w:rsid w:val="000B586C"/>
    <w:rsid w:val="000B696F"/>
    <w:rsid w:val="000B6BFB"/>
    <w:rsid w:val="000B7800"/>
    <w:rsid w:val="000C0727"/>
    <w:rsid w:val="000C0FAA"/>
    <w:rsid w:val="000C10A6"/>
    <w:rsid w:val="000C1EE3"/>
    <w:rsid w:val="000C3E5B"/>
    <w:rsid w:val="000C46ED"/>
    <w:rsid w:val="000C657D"/>
    <w:rsid w:val="000C714C"/>
    <w:rsid w:val="000D0C1D"/>
    <w:rsid w:val="000D0F5C"/>
    <w:rsid w:val="000D103B"/>
    <w:rsid w:val="000D2BA9"/>
    <w:rsid w:val="000D2E23"/>
    <w:rsid w:val="000D38FC"/>
    <w:rsid w:val="000D45D7"/>
    <w:rsid w:val="000D51EA"/>
    <w:rsid w:val="000D562B"/>
    <w:rsid w:val="000D691A"/>
    <w:rsid w:val="000E044D"/>
    <w:rsid w:val="000E0C2F"/>
    <w:rsid w:val="000E0EF7"/>
    <w:rsid w:val="000E1512"/>
    <w:rsid w:val="000E22BF"/>
    <w:rsid w:val="000E3006"/>
    <w:rsid w:val="000E3253"/>
    <w:rsid w:val="000E6E42"/>
    <w:rsid w:val="000F0DAC"/>
    <w:rsid w:val="000F2A99"/>
    <w:rsid w:val="000F2CA1"/>
    <w:rsid w:val="000F69A3"/>
    <w:rsid w:val="000F79FC"/>
    <w:rsid w:val="000F7E92"/>
    <w:rsid w:val="001007F9"/>
    <w:rsid w:val="00100EF1"/>
    <w:rsid w:val="00101E5B"/>
    <w:rsid w:val="0010255B"/>
    <w:rsid w:val="00102B48"/>
    <w:rsid w:val="0010410B"/>
    <w:rsid w:val="00104AA0"/>
    <w:rsid w:val="001068C0"/>
    <w:rsid w:val="00107577"/>
    <w:rsid w:val="00110F75"/>
    <w:rsid w:val="001115EB"/>
    <w:rsid w:val="00111912"/>
    <w:rsid w:val="00111A0B"/>
    <w:rsid w:val="00112089"/>
    <w:rsid w:val="00114E5C"/>
    <w:rsid w:val="001216A1"/>
    <w:rsid w:val="0012175C"/>
    <w:rsid w:val="00121A15"/>
    <w:rsid w:val="00121D24"/>
    <w:rsid w:val="00123789"/>
    <w:rsid w:val="00123D3D"/>
    <w:rsid w:val="001240A1"/>
    <w:rsid w:val="00124529"/>
    <w:rsid w:val="0012499F"/>
    <w:rsid w:val="00125754"/>
    <w:rsid w:val="00125853"/>
    <w:rsid w:val="001260C9"/>
    <w:rsid w:val="00126CF2"/>
    <w:rsid w:val="001270D4"/>
    <w:rsid w:val="00127F40"/>
    <w:rsid w:val="0013016B"/>
    <w:rsid w:val="00132493"/>
    <w:rsid w:val="00132DF7"/>
    <w:rsid w:val="00134F0F"/>
    <w:rsid w:val="00135E05"/>
    <w:rsid w:val="00135E73"/>
    <w:rsid w:val="0013660B"/>
    <w:rsid w:val="00136ECE"/>
    <w:rsid w:val="00137538"/>
    <w:rsid w:val="0014171B"/>
    <w:rsid w:val="00141C76"/>
    <w:rsid w:val="0014796D"/>
    <w:rsid w:val="00153AA0"/>
    <w:rsid w:val="0015475C"/>
    <w:rsid w:val="00154C56"/>
    <w:rsid w:val="00154C84"/>
    <w:rsid w:val="00155991"/>
    <w:rsid w:val="00155D9A"/>
    <w:rsid w:val="00157143"/>
    <w:rsid w:val="0016189E"/>
    <w:rsid w:val="00162E26"/>
    <w:rsid w:val="001635A1"/>
    <w:rsid w:val="00163995"/>
    <w:rsid w:val="00164349"/>
    <w:rsid w:val="001653CC"/>
    <w:rsid w:val="0016567B"/>
    <w:rsid w:val="00167594"/>
    <w:rsid w:val="00170F50"/>
    <w:rsid w:val="001713F8"/>
    <w:rsid w:val="0017528D"/>
    <w:rsid w:val="00175417"/>
    <w:rsid w:val="00175A07"/>
    <w:rsid w:val="00176B89"/>
    <w:rsid w:val="00176FE1"/>
    <w:rsid w:val="001778D9"/>
    <w:rsid w:val="00177990"/>
    <w:rsid w:val="001804E2"/>
    <w:rsid w:val="001806D8"/>
    <w:rsid w:val="00182795"/>
    <w:rsid w:val="00182E6C"/>
    <w:rsid w:val="00184495"/>
    <w:rsid w:val="001859DA"/>
    <w:rsid w:val="001870D9"/>
    <w:rsid w:val="00190494"/>
    <w:rsid w:val="001922DE"/>
    <w:rsid w:val="0019389C"/>
    <w:rsid w:val="0019395F"/>
    <w:rsid w:val="0019453E"/>
    <w:rsid w:val="00194B00"/>
    <w:rsid w:val="001A03C9"/>
    <w:rsid w:val="001A0AD3"/>
    <w:rsid w:val="001A3642"/>
    <w:rsid w:val="001A3C5F"/>
    <w:rsid w:val="001A49E1"/>
    <w:rsid w:val="001A796C"/>
    <w:rsid w:val="001A7D1B"/>
    <w:rsid w:val="001B4CD2"/>
    <w:rsid w:val="001B646B"/>
    <w:rsid w:val="001B70A2"/>
    <w:rsid w:val="001C11B0"/>
    <w:rsid w:val="001C188C"/>
    <w:rsid w:val="001C263D"/>
    <w:rsid w:val="001C276E"/>
    <w:rsid w:val="001C3677"/>
    <w:rsid w:val="001C49F3"/>
    <w:rsid w:val="001C5122"/>
    <w:rsid w:val="001C6AD6"/>
    <w:rsid w:val="001C6C6E"/>
    <w:rsid w:val="001C6DCA"/>
    <w:rsid w:val="001C7E46"/>
    <w:rsid w:val="001D01E2"/>
    <w:rsid w:val="001D149A"/>
    <w:rsid w:val="001D2A46"/>
    <w:rsid w:val="001D316F"/>
    <w:rsid w:val="001D4B08"/>
    <w:rsid w:val="001D4B63"/>
    <w:rsid w:val="001D70F8"/>
    <w:rsid w:val="001D7A52"/>
    <w:rsid w:val="001E029C"/>
    <w:rsid w:val="001E0A91"/>
    <w:rsid w:val="001E0D96"/>
    <w:rsid w:val="001E0ED3"/>
    <w:rsid w:val="001E1FBC"/>
    <w:rsid w:val="001E3A15"/>
    <w:rsid w:val="001E4CB7"/>
    <w:rsid w:val="001E5A4D"/>
    <w:rsid w:val="001E6B72"/>
    <w:rsid w:val="001E7597"/>
    <w:rsid w:val="001F0F3B"/>
    <w:rsid w:val="001F1B4B"/>
    <w:rsid w:val="001F1F14"/>
    <w:rsid w:val="001F2910"/>
    <w:rsid w:val="001F3778"/>
    <w:rsid w:val="001F3FBC"/>
    <w:rsid w:val="001F4579"/>
    <w:rsid w:val="001F45B4"/>
    <w:rsid w:val="001F4758"/>
    <w:rsid w:val="001F5EDD"/>
    <w:rsid w:val="001F67A7"/>
    <w:rsid w:val="001F7330"/>
    <w:rsid w:val="001F7892"/>
    <w:rsid w:val="001F7A57"/>
    <w:rsid w:val="0020279F"/>
    <w:rsid w:val="002027F8"/>
    <w:rsid w:val="00202D7C"/>
    <w:rsid w:val="00202DB5"/>
    <w:rsid w:val="00202F86"/>
    <w:rsid w:val="00203F05"/>
    <w:rsid w:val="00206D37"/>
    <w:rsid w:val="002074D3"/>
    <w:rsid w:val="0020784D"/>
    <w:rsid w:val="002104AF"/>
    <w:rsid w:val="00211041"/>
    <w:rsid w:val="0021131B"/>
    <w:rsid w:val="00211561"/>
    <w:rsid w:val="002118A4"/>
    <w:rsid w:val="00212896"/>
    <w:rsid w:val="0021290D"/>
    <w:rsid w:val="00213B3E"/>
    <w:rsid w:val="00215F5D"/>
    <w:rsid w:val="00217F7C"/>
    <w:rsid w:val="002202B8"/>
    <w:rsid w:val="00221777"/>
    <w:rsid w:val="00222D8C"/>
    <w:rsid w:val="0022352B"/>
    <w:rsid w:val="0022749A"/>
    <w:rsid w:val="0023286C"/>
    <w:rsid w:val="00233745"/>
    <w:rsid w:val="00233C30"/>
    <w:rsid w:val="00233C8B"/>
    <w:rsid w:val="00233EF5"/>
    <w:rsid w:val="002343AC"/>
    <w:rsid w:val="00234E7E"/>
    <w:rsid w:val="002377EB"/>
    <w:rsid w:val="00237906"/>
    <w:rsid w:val="002379CC"/>
    <w:rsid w:val="002400D7"/>
    <w:rsid w:val="00241558"/>
    <w:rsid w:val="00241948"/>
    <w:rsid w:val="00241D04"/>
    <w:rsid w:val="00243DE3"/>
    <w:rsid w:val="00244E73"/>
    <w:rsid w:val="0024521A"/>
    <w:rsid w:val="002460C9"/>
    <w:rsid w:val="0024654D"/>
    <w:rsid w:val="00246ECC"/>
    <w:rsid w:val="00247DEA"/>
    <w:rsid w:val="00250007"/>
    <w:rsid w:val="0025023E"/>
    <w:rsid w:val="0025280A"/>
    <w:rsid w:val="00252886"/>
    <w:rsid w:val="00254B0B"/>
    <w:rsid w:val="0025569E"/>
    <w:rsid w:val="00255ED3"/>
    <w:rsid w:val="00256A91"/>
    <w:rsid w:val="00256D19"/>
    <w:rsid w:val="002578AE"/>
    <w:rsid w:val="00257CE4"/>
    <w:rsid w:val="0026206A"/>
    <w:rsid w:val="002635AE"/>
    <w:rsid w:val="002642CC"/>
    <w:rsid w:val="002643AA"/>
    <w:rsid w:val="00266E99"/>
    <w:rsid w:val="0026755A"/>
    <w:rsid w:val="002709FB"/>
    <w:rsid w:val="00270B73"/>
    <w:rsid w:val="002714C4"/>
    <w:rsid w:val="002722F9"/>
    <w:rsid w:val="0027336C"/>
    <w:rsid w:val="002739F0"/>
    <w:rsid w:val="002747A3"/>
    <w:rsid w:val="00280D43"/>
    <w:rsid w:val="00280FDC"/>
    <w:rsid w:val="00281AA5"/>
    <w:rsid w:val="00281FBD"/>
    <w:rsid w:val="002836D3"/>
    <w:rsid w:val="0028791C"/>
    <w:rsid w:val="00287A66"/>
    <w:rsid w:val="00287FE2"/>
    <w:rsid w:val="00290E91"/>
    <w:rsid w:val="00291E9A"/>
    <w:rsid w:val="00293780"/>
    <w:rsid w:val="0029566A"/>
    <w:rsid w:val="0029785B"/>
    <w:rsid w:val="00297B67"/>
    <w:rsid w:val="00297EB2"/>
    <w:rsid w:val="002A1442"/>
    <w:rsid w:val="002A1ED9"/>
    <w:rsid w:val="002A29BE"/>
    <w:rsid w:val="002A3B8E"/>
    <w:rsid w:val="002A3C19"/>
    <w:rsid w:val="002A50AF"/>
    <w:rsid w:val="002A5454"/>
    <w:rsid w:val="002A6665"/>
    <w:rsid w:val="002A71F4"/>
    <w:rsid w:val="002A7B39"/>
    <w:rsid w:val="002B37F0"/>
    <w:rsid w:val="002B39C4"/>
    <w:rsid w:val="002B58B4"/>
    <w:rsid w:val="002B62FD"/>
    <w:rsid w:val="002B7096"/>
    <w:rsid w:val="002B7CE4"/>
    <w:rsid w:val="002C07D5"/>
    <w:rsid w:val="002C12C7"/>
    <w:rsid w:val="002C41AB"/>
    <w:rsid w:val="002C43F2"/>
    <w:rsid w:val="002C6BCE"/>
    <w:rsid w:val="002C74E9"/>
    <w:rsid w:val="002D0A99"/>
    <w:rsid w:val="002D2016"/>
    <w:rsid w:val="002D2366"/>
    <w:rsid w:val="002D3415"/>
    <w:rsid w:val="002D3773"/>
    <w:rsid w:val="002D4271"/>
    <w:rsid w:val="002D4912"/>
    <w:rsid w:val="002D4D92"/>
    <w:rsid w:val="002E0344"/>
    <w:rsid w:val="002E2423"/>
    <w:rsid w:val="002E301B"/>
    <w:rsid w:val="002E4EA5"/>
    <w:rsid w:val="002E4FB5"/>
    <w:rsid w:val="002E5971"/>
    <w:rsid w:val="002E5E6D"/>
    <w:rsid w:val="002E67E5"/>
    <w:rsid w:val="002E68C4"/>
    <w:rsid w:val="002E778C"/>
    <w:rsid w:val="002E79E6"/>
    <w:rsid w:val="002F1832"/>
    <w:rsid w:val="002F1A54"/>
    <w:rsid w:val="002F4BE9"/>
    <w:rsid w:val="003016BD"/>
    <w:rsid w:val="00301E2D"/>
    <w:rsid w:val="00302287"/>
    <w:rsid w:val="00303431"/>
    <w:rsid w:val="003046CB"/>
    <w:rsid w:val="0030538F"/>
    <w:rsid w:val="00305EF5"/>
    <w:rsid w:val="00307A69"/>
    <w:rsid w:val="00307C42"/>
    <w:rsid w:val="00310A2B"/>
    <w:rsid w:val="00311164"/>
    <w:rsid w:val="003140F7"/>
    <w:rsid w:val="003147F6"/>
    <w:rsid w:val="0031576B"/>
    <w:rsid w:val="00315E91"/>
    <w:rsid w:val="00316FF8"/>
    <w:rsid w:val="003214A1"/>
    <w:rsid w:val="0032206E"/>
    <w:rsid w:val="003227AB"/>
    <w:rsid w:val="00323107"/>
    <w:rsid w:val="00324AC7"/>
    <w:rsid w:val="00324B1F"/>
    <w:rsid w:val="00324DC4"/>
    <w:rsid w:val="003276DE"/>
    <w:rsid w:val="00330283"/>
    <w:rsid w:val="003307D0"/>
    <w:rsid w:val="0033151E"/>
    <w:rsid w:val="0033152A"/>
    <w:rsid w:val="00331FF5"/>
    <w:rsid w:val="00332B26"/>
    <w:rsid w:val="00332F68"/>
    <w:rsid w:val="00333267"/>
    <w:rsid w:val="003343BC"/>
    <w:rsid w:val="00335225"/>
    <w:rsid w:val="00340975"/>
    <w:rsid w:val="00340D94"/>
    <w:rsid w:val="003431AB"/>
    <w:rsid w:val="00343EED"/>
    <w:rsid w:val="00344934"/>
    <w:rsid w:val="003463F1"/>
    <w:rsid w:val="003465FF"/>
    <w:rsid w:val="00346A15"/>
    <w:rsid w:val="003506CA"/>
    <w:rsid w:val="0035085A"/>
    <w:rsid w:val="00351126"/>
    <w:rsid w:val="00351881"/>
    <w:rsid w:val="00351B89"/>
    <w:rsid w:val="00351C48"/>
    <w:rsid w:val="0035219F"/>
    <w:rsid w:val="003524EF"/>
    <w:rsid w:val="00352580"/>
    <w:rsid w:val="003528EF"/>
    <w:rsid w:val="0035391E"/>
    <w:rsid w:val="00354A57"/>
    <w:rsid w:val="003550A9"/>
    <w:rsid w:val="00355B3B"/>
    <w:rsid w:val="003573C7"/>
    <w:rsid w:val="0036242C"/>
    <w:rsid w:val="00362573"/>
    <w:rsid w:val="00363AEC"/>
    <w:rsid w:val="003644F4"/>
    <w:rsid w:val="00364E04"/>
    <w:rsid w:val="00364F64"/>
    <w:rsid w:val="0036739F"/>
    <w:rsid w:val="003674E0"/>
    <w:rsid w:val="003708C3"/>
    <w:rsid w:val="003716C8"/>
    <w:rsid w:val="003725CD"/>
    <w:rsid w:val="003736CE"/>
    <w:rsid w:val="00373D7C"/>
    <w:rsid w:val="00373D91"/>
    <w:rsid w:val="0037744D"/>
    <w:rsid w:val="00382A22"/>
    <w:rsid w:val="00383663"/>
    <w:rsid w:val="00383DD3"/>
    <w:rsid w:val="00384CFC"/>
    <w:rsid w:val="00384EA3"/>
    <w:rsid w:val="00386BF0"/>
    <w:rsid w:val="00386C67"/>
    <w:rsid w:val="00390D59"/>
    <w:rsid w:val="00391232"/>
    <w:rsid w:val="00391C6A"/>
    <w:rsid w:val="003933B1"/>
    <w:rsid w:val="003940CE"/>
    <w:rsid w:val="003943CD"/>
    <w:rsid w:val="003953D5"/>
    <w:rsid w:val="00395D4F"/>
    <w:rsid w:val="00396FAC"/>
    <w:rsid w:val="003A0F42"/>
    <w:rsid w:val="003A25C3"/>
    <w:rsid w:val="003A2CA4"/>
    <w:rsid w:val="003A3122"/>
    <w:rsid w:val="003A4AF4"/>
    <w:rsid w:val="003A6035"/>
    <w:rsid w:val="003A7E4B"/>
    <w:rsid w:val="003B0F4C"/>
    <w:rsid w:val="003B1772"/>
    <w:rsid w:val="003B1852"/>
    <w:rsid w:val="003B3C04"/>
    <w:rsid w:val="003B49E7"/>
    <w:rsid w:val="003B4C75"/>
    <w:rsid w:val="003B5B30"/>
    <w:rsid w:val="003B5CA4"/>
    <w:rsid w:val="003B6640"/>
    <w:rsid w:val="003B667D"/>
    <w:rsid w:val="003B6AAB"/>
    <w:rsid w:val="003C01F8"/>
    <w:rsid w:val="003C098E"/>
    <w:rsid w:val="003C0D2D"/>
    <w:rsid w:val="003C1C5E"/>
    <w:rsid w:val="003C3B24"/>
    <w:rsid w:val="003C4357"/>
    <w:rsid w:val="003C468A"/>
    <w:rsid w:val="003C48B4"/>
    <w:rsid w:val="003C4B15"/>
    <w:rsid w:val="003D14D6"/>
    <w:rsid w:val="003D2104"/>
    <w:rsid w:val="003D2C14"/>
    <w:rsid w:val="003D4B5F"/>
    <w:rsid w:val="003D5005"/>
    <w:rsid w:val="003D60A5"/>
    <w:rsid w:val="003D684D"/>
    <w:rsid w:val="003E033B"/>
    <w:rsid w:val="003E0463"/>
    <w:rsid w:val="003E71C9"/>
    <w:rsid w:val="003F19BE"/>
    <w:rsid w:val="003F2CFC"/>
    <w:rsid w:val="003F3045"/>
    <w:rsid w:val="003F376E"/>
    <w:rsid w:val="003F4AC3"/>
    <w:rsid w:val="003F4D0E"/>
    <w:rsid w:val="00401AD4"/>
    <w:rsid w:val="00402CF3"/>
    <w:rsid w:val="004045C3"/>
    <w:rsid w:val="00404656"/>
    <w:rsid w:val="004072F1"/>
    <w:rsid w:val="0040780E"/>
    <w:rsid w:val="00411F3C"/>
    <w:rsid w:val="00412538"/>
    <w:rsid w:val="00413584"/>
    <w:rsid w:val="00413AE4"/>
    <w:rsid w:val="00413B09"/>
    <w:rsid w:val="004145F8"/>
    <w:rsid w:val="004157BB"/>
    <w:rsid w:val="00417B12"/>
    <w:rsid w:val="00420805"/>
    <w:rsid w:val="00420897"/>
    <w:rsid w:val="00423802"/>
    <w:rsid w:val="00423AD5"/>
    <w:rsid w:val="004242EE"/>
    <w:rsid w:val="00424791"/>
    <w:rsid w:val="00425515"/>
    <w:rsid w:val="00425B38"/>
    <w:rsid w:val="00425CE3"/>
    <w:rsid w:val="00426053"/>
    <w:rsid w:val="004276BE"/>
    <w:rsid w:val="004318FC"/>
    <w:rsid w:val="00433E0F"/>
    <w:rsid w:val="00433F0B"/>
    <w:rsid w:val="00434890"/>
    <w:rsid w:val="00436C1E"/>
    <w:rsid w:val="00437F50"/>
    <w:rsid w:val="00443BF0"/>
    <w:rsid w:val="004445D1"/>
    <w:rsid w:val="004454AE"/>
    <w:rsid w:val="00445836"/>
    <w:rsid w:val="004477F4"/>
    <w:rsid w:val="00451122"/>
    <w:rsid w:val="00451A42"/>
    <w:rsid w:val="004537C1"/>
    <w:rsid w:val="00454319"/>
    <w:rsid w:val="004544D3"/>
    <w:rsid w:val="00454C6D"/>
    <w:rsid w:val="004567B2"/>
    <w:rsid w:val="0046166A"/>
    <w:rsid w:val="00462141"/>
    <w:rsid w:val="00462292"/>
    <w:rsid w:val="00462E97"/>
    <w:rsid w:val="004636C9"/>
    <w:rsid w:val="004644A8"/>
    <w:rsid w:val="004670F6"/>
    <w:rsid w:val="00470E64"/>
    <w:rsid w:val="0047252A"/>
    <w:rsid w:val="004807D8"/>
    <w:rsid w:val="00482516"/>
    <w:rsid w:val="00482BB8"/>
    <w:rsid w:val="0048641F"/>
    <w:rsid w:val="00486591"/>
    <w:rsid w:val="00486D28"/>
    <w:rsid w:val="00486D3C"/>
    <w:rsid w:val="00487A66"/>
    <w:rsid w:val="00487FCE"/>
    <w:rsid w:val="004909B4"/>
    <w:rsid w:val="00494103"/>
    <w:rsid w:val="00494E90"/>
    <w:rsid w:val="004953AB"/>
    <w:rsid w:val="00495410"/>
    <w:rsid w:val="004A076B"/>
    <w:rsid w:val="004A0921"/>
    <w:rsid w:val="004A0E19"/>
    <w:rsid w:val="004A1493"/>
    <w:rsid w:val="004A242A"/>
    <w:rsid w:val="004A2608"/>
    <w:rsid w:val="004A2CB4"/>
    <w:rsid w:val="004A3AF8"/>
    <w:rsid w:val="004A443A"/>
    <w:rsid w:val="004A4898"/>
    <w:rsid w:val="004A4BE6"/>
    <w:rsid w:val="004A5F43"/>
    <w:rsid w:val="004A66E3"/>
    <w:rsid w:val="004A6A1A"/>
    <w:rsid w:val="004B0C96"/>
    <w:rsid w:val="004B334E"/>
    <w:rsid w:val="004B38A3"/>
    <w:rsid w:val="004B50EA"/>
    <w:rsid w:val="004B5DE7"/>
    <w:rsid w:val="004C05BF"/>
    <w:rsid w:val="004C16C4"/>
    <w:rsid w:val="004C2318"/>
    <w:rsid w:val="004C4226"/>
    <w:rsid w:val="004C46F3"/>
    <w:rsid w:val="004C4A0C"/>
    <w:rsid w:val="004C57E3"/>
    <w:rsid w:val="004C5C86"/>
    <w:rsid w:val="004C5D41"/>
    <w:rsid w:val="004D059D"/>
    <w:rsid w:val="004D3644"/>
    <w:rsid w:val="004D3BBA"/>
    <w:rsid w:val="004D59CF"/>
    <w:rsid w:val="004D7999"/>
    <w:rsid w:val="004E0785"/>
    <w:rsid w:val="004E0E4A"/>
    <w:rsid w:val="004E0FD7"/>
    <w:rsid w:val="004E1C0C"/>
    <w:rsid w:val="004E755D"/>
    <w:rsid w:val="004E773D"/>
    <w:rsid w:val="004F0266"/>
    <w:rsid w:val="004F2444"/>
    <w:rsid w:val="004F3608"/>
    <w:rsid w:val="004F5242"/>
    <w:rsid w:val="004F752E"/>
    <w:rsid w:val="004F7636"/>
    <w:rsid w:val="004F7C2F"/>
    <w:rsid w:val="00500B98"/>
    <w:rsid w:val="00500E26"/>
    <w:rsid w:val="005017B9"/>
    <w:rsid w:val="005021BF"/>
    <w:rsid w:val="00502589"/>
    <w:rsid w:val="005026B0"/>
    <w:rsid w:val="0050392D"/>
    <w:rsid w:val="005044C5"/>
    <w:rsid w:val="00504A88"/>
    <w:rsid w:val="00504D86"/>
    <w:rsid w:val="005062DD"/>
    <w:rsid w:val="00506FB3"/>
    <w:rsid w:val="0050786F"/>
    <w:rsid w:val="00512951"/>
    <w:rsid w:val="005129BF"/>
    <w:rsid w:val="0051312D"/>
    <w:rsid w:val="005135B3"/>
    <w:rsid w:val="00513EE3"/>
    <w:rsid w:val="00514B8E"/>
    <w:rsid w:val="0051588F"/>
    <w:rsid w:val="005158ED"/>
    <w:rsid w:val="005165B7"/>
    <w:rsid w:val="00520F58"/>
    <w:rsid w:val="00521918"/>
    <w:rsid w:val="00521DCA"/>
    <w:rsid w:val="00522287"/>
    <w:rsid w:val="0052264F"/>
    <w:rsid w:val="0052412A"/>
    <w:rsid w:val="0052607F"/>
    <w:rsid w:val="005304ED"/>
    <w:rsid w:val="0053160A"/>
    <w:rsid w:val="00532A9B"/>
    <w:rsid w:val="00534E9A"/>
    <w:rsid w:val="00537C77"/>
    <w:rsid w:val="00537EC9"/>
    <w:rsid w:val="00542EF6"/>
    <w:rsid w:val="0054387B"/>
    <w:rsid w:val="00544786"/>
    <w:rsid w:val="005457BE"/>
    <w:rsid w:val="0054611C"/>
    <w:rsid w:val="00546D90"/>
    <w:rsid w:val="00547A75"/>
    <w:rsid w:val="00552E78"/>
    <w:rsid w:val="00554195"/>
    <w:rsid w:val="00555371"/>
    <w:rsid w:val="005556DC"/>
    <w:rsid w:val="0055584A"/>
    <w:rsid w:val="00557640"/>
    <w:rsid w:val="00557FDD"/>
    <w:rsid w:val="0056077B"/>
    <w:rsid w:val="00560A93"/>
    <w:rsid w:val="0056189D"/>
    <w:rsid w:val="005624F7"/>
    <w:rsid w:val="00563B4D"/>
    <w:rsid w:val="0056418B"/>
    <w:rsid w:val="00567310"/>
    <w:rsid w:val="00567C86"/>
    <w:rsid w:val="00567C8B"/>
    <w:rsid w:val="005704B6"/>
    <w:rsid w:val="0057098E"/>
    <w:rsid w:val="00570F3E"/>
    <w:rsid w:val="00572127"/>
    <w:rsid w:val="005742A7"/>
    <w:rsid w:val="00576FD8"/>
    <w:rsid w:val="00577472"/>
    <w:rsid w:val="00580D8C"/>
    <w:rsid w:val="005815BC"/>
    <w:rsid w:val="00583333"/>
    <w:rsid w:val="00583691"/>
    <w:rsid w:val="00583CB5"/>
    <w:rsid w:val="005853DB"/>
    <w:rsid w:val="005857FF"/>
    <w:rsid w:val="00585ECC"/>
    <w:rsid w:val="00587999"/>
    <w:rsid w:val="00587BA3"/>
    <w:rsid w:val="005918BB"/>
    <w:rsid w:val="00593E8F"/>
    <w:rsid w:val="005949B3"/>
    <w:rsid w:val="00594F2A"/>
    <w:rsid w:val="0059552A"/>
    <w:rsid w:val="0059770D"/>
    <w:rsid w:val="005A0DD4"/>
    <w:rsid w:val="005A2F99"/>
    <w:rsid w:val="005A4C90"/>
    <w:rsid w:val="005A58B4"/>
    <w:rsid w:val="005A6256"/>
    <w:rsid w:val="005A6DC1"/>
    <w:rsid w:val="005A6F50"/>
    <w:rsid w:val="005B0305"/>
    <w:rsid w:val="005B0E3E"/>
    <w:rsid w:val="005B17C4"/>
    <w:rsid w:val="005B2C8B"/>
    <w:rsid w:val="005B4BCE"/>
    <w:rsid w:val="005B6D6E"/>
    <w:rsid w:val="005B7D98"/>
    <w:rsid w:val="005C4A67"/>
    <w:rsid w:val="005C6ED9"/>
    <w:rsid w:val="005D1825"/>
    <w:rsid w:val="005D1F08"/>
    <w:rsid w:val="005D6DC0"/>
    <w:rsid w:val="005D7FB9"/>
    <w:rsid w:val="005E09FD"/>
    <w:rsid w:val="005E12EF"/>
    <w:rsid w:val="005E1F23"/>
    <w:rsid w:val="005E2249"/>
    <w:rsid w:val="005E240E"/>
    <w:rsid w:val="005E2A2F"/>
    <w:rsid w:val="005E2A4F"/>
    <w:rsid w:val="005E4AC3"/>
    <w:rsid w:val="005E5D6E"/>
    <w:rsid w:val="005E5D99"/>
    <w:rsid w:val="005E5E5E"/>
    <w:rsid w:val="005E6197"/>
    <w:rsid w:val="005E6DB3"/>
    <w:rsid w:val="005E76CA"/>
    <w:rsid w:val="0060110A"/>
    <w:rsid w:val="00601496"/>
    <w:rsid w:val="006023DF"/>
    <w:rsid w:val="00603567"/>
    <w:rsid w:val="00603AF7"/>
    <w:rsid w:val="00603FFE"/>
    <w:rsid w:val="006053B5"/>
    <w:rsid w:val="006055B0"/>
    <w:rsid w:val="0061244D"/>
    <w:rsid w:val="00613E22"/>
    <w:rsid w:val="00614B06"/>
    <w:rsid w:val="00615420"/>
    <w:rsid w:val="006156FC"/>
    <w:rsid w:val="006167E5"/>
    <w:rsid w:val="00616B3D"/>
    <w:rsid w:val="006209FE"/>
    <w:rsid w:val="00621ADF"/>
    <w:rsid w:val="00621B47"/>
    <w:rsid w:val="00623289"/>
    <w:rsid w:val="00623900"/>
    <w:rsid w:val="00623E3B"/>
    <w:rsid w:val="00625144"/>
    <w:rsid w:val="0062794D"/>
    <w:rsid w:val="00630138"/>
    <w:rsid w:val="006304CA"/>
    <w:rsid w:val="0063092D"/>
    <w:rsid w:val="00630987"/>
    <w:rsid w:val="00630A9E"/>
    <w:rsid w:val="00631BB5"/>
    <w:rsid w:val="0063352C"/>
    <w:rsid w:val="006353E1"/>
    <w:rsid w:val="00636E10"/>
    <w:rsid w:val="00637AAB"/>
    <w:rsid w:val="006405C1"/>
    <w:rsid w:val="006409CC"/>
    <w:rsid w:val="006411D5"/>
    <w:rsid w:val="00641227"/>
    <w:rsid w:val="006431D9"/>
    <w:rsid w:val="0064326B"/>
    <w:rsid w:val="0064376B"/>
    <w:rsid w:val="00647DBF"/>
    <w:rsid w:val="00651C20"/>
    <w:rsid w:val="00651C8B"/>
    <w:rsid w:val="0065298A"/>
    <w:rsid w:val="006553AA"/>
    <w:rsid w:val="00657907"/>
    <w:rsid w:val="00657DB1"/>
    <w:rsid w:val="00661C4C"/>
    <w:rsid w:val="0066217E"/>
    <w:rsid w:val="00663A9C"/>
    <w:rsid w:val="00663ED9"/>
    <w:rsid w:val="0066524A"/>
    <w:rsid w:val="0066537E"/>
    <w:rsid w:val="00667A2A"/>
    <w:rsid w:val="00670B72"/>
    <w:rsid w:val="00671DD2"/>
    <w:rsid w:val="006742D1"/>
    <w:rsid w:val="006743AF"/>
    <w:rsid w:val="006744F2"/>
    <w:rsid w:val="00674966"/>
    <w:rsid w:val="0067588E"/>
    <w:rsid w:val="006771FB"/>
    <w:rsid w:val="006776B1"/>
    <w:rsid w:val="00680361"/>
    <w:rsid w:val="00681537"/>
    <w:rsid w:val="0068229F"/>
    <w:rsid w:val="00684076"/>
    <w:rsid w:val="00684AE8"/>
    <w:rsid w:val="00687036"/>
    <w:rsid w:val="00690938"/>
    <w:rsid w:val="00691481"/>
    <w:rsid w:val="00692847"/>
    <w:rsid w:val="00692C5D"/>
    <w:rsid w:val="00693DBA"/>
    <w:rsid w:val="00694417"/>
    <w:rsid w:val="00694C15"/>
    <w:rsid w:val="006950BA"/>
    <w:rsid w:val="0069798F"/>
    <w:rsid w:val="006A0A1A"/>
    <w:rsid w:val="006A16FE"/>
    <w:rsid w:val="006A186E"/>
    <w:rsid w:val="006A2D54"/>
    <w:rsid w:val="006A3FCC"/>
    <w:rsid w:val="006A4D6D"/>
    <w:rsid w:val="006A4DD2"/>
    <w:rsid w:val="006A77FA"/>
    <w:rsid w:val="006A7F32"/>
    <w:rsid w:val="006B06D5"/>
    <w:rsid w:val="006B14DD"/>
    <w:rsid w:val="006B190E"/>
    <w:rsid w:val="006B4651"/>
    <w:rsid w:val="006B49DD"/>
    <w:rsid w:val="006B6990"/>
    <w:rsid w:val="006C168D"/>
    <w:rsid w:val="006C2E98"/>
    <w:rsid w:val="006C3DED"/>
    <w:rsid w:val="006C4F86"/>
    <w:rsid w:val="006C7B82"/>
    <w:rsid w:val="006D0810"/>
    <w:rsid w:val="006D28AC"/>
    <w:rsid w:val="006D44E0"/>
    <w:rsid w:val="006D4535"/>
    <w:rsid w:val="006D4550"/>
    <w:rsid w:val="006D65A2"/>
    <w:rsid w:val="006D76D5"/>
    <w:rsid w:val="006D7AA5"/>
    <w:rsid w:val="006D7C2E"/>
    <w:rsid w:val="006E033C"/>
    <w:rsid w:val="006E0512"/>
    <w:rsid w:val="006E0EB4"/>
    <w:rsid w:val="006E19F6"/>
    <w:rsid w:val="006E1A30"/>
    <w:rsid w:val="006E1E43"/>
    <w:rsid w:val="006E4820"/>
    <w:rsid w:val="006E5774"/>
    <w:rsid w:val="006E58D6"/>
    <w:rsid w:val="006E690E"/>
    <w:rsid w:val="006E6E25"/>
    <w:rsid w:val="006E7C9A"/>
    <w:rsid w:val="006F0CB6"/>
    <w:rsid w:val="006F2702"/>
    <w:rsid w:val="006F3715"/>
    <w:rsid w:val="006F3F6B"/>
    <w:rsid w:val="006F406F"/>
    <w:rsid w:val="006F52B6"/>
    <w:rsid w:val="006F7091"/>
    <w:rsid w:val="006F70E5"/>
    <w:rsid w:val="006F7794"/>
    <w:rsid w:val="00701027"/>
    <w:rsid w:val="00702392"/>
    <w:rsid w:val="0070290B"/>
    <w:rsid w:val="0070374F"/>
    <w:rsid w:val="007058DA"/>
    <w:rsid w:val="00706636"/>
    <w:rsid w:val="00706C05"/>
    <w:rsid w:val="007076E5"/>
    <w:rsid w:val="007077E6"/>
    <w:rsid w:val="00711344"/>
    <w:rsid w:val="00711B14"/>
    <w:rsid w:val="007128D2"/>
    <w:rsid w:val="00712D2A"/>
    <w:rsid w:val="00712EA4"/>
    <w:rsid w:val="0071395A"/>
    <w:rsid w:val="00713F99"/>
    <w:rsid w:val="00714C6C"/>
    <w:rsid w:val="00714F2E"/>
    <w:rsid w:val="00714F59"/>
    <w:rsid w:val="00714FE5"/>
    <w:rsid w:val="00715D62"/>
    <w:rsid w:val="00716692"/>
    <w:rsid w:val="007202F2"/>
    <w:rsid w:val="00720980"/>
    <w:rsid w:val="0072106C"/>
    <w:rsid w:val="00724E7F"/>
    <w:rsid w:val="00725E0A"/>
    <w:rsid w:val="00730195"/>
    <w:rsid w:val="007303EC"/>
    <w:rsid w:val="00730C73"/>
    <w:rsid w:val="0073107F"/>
    <w:rsid w:val="0073258A"/>
    <w:rsid w:val="00732DDC"/>
    <w:rsid w:val="00733CF6"/>
    <w:rsid w:val="00735E36"/>
    <w:rsid w:val="00736000"/>
    <w:rsid w:val="00736529"/>
    <w:rsid w:val="00736DCB"/>
    <w:rsid w:val="00740761"/>
    <w:rsid w:val="0074134D"/>
    <w:rsid w:val="00743FEB"/>
    <w:rsid w:val="00744094"/>
    <w:rsid w:val="00744C57"/>
    <w:rsid w:val="0074748B"/>
    <w:rsid w:val="00747E6D"/>
    <w:rsid w:val="007506B7"/>
    <w:rsid w:val="00751B88"/>
    <w:rsid w:val="00752A34"/>
    <w:rsid w:val="00752AFF"/>
    <w:rsid w:val="00753152"/>
    <w:rsid w:val="00754A08"/>
    <w:rsid w:val="00754F96"/>
    <w:rsid w:val="00756708"/>
    <w:rsid w:val="00756D54"/>
    <w:rsid w:val="00757819"/>
    <w:rsid w:val="00757EEF"/>
    <w:rsid w:val="00760DF1"/>
    <w:rsid w:val="00762591"/>
    <w:rsid w:val="00764F75"/>
    <w:rsid w:val="00765E51"/>
    <w:rsid w:val="00766824"/>
    <w:rsid w:val="00767E27"/>
    <w:rsid w:val="007701B6"/>
    <w:rsid w:val="007704E9"/>
    <w:rsid w:val="00771061"/>
    <w:rsid w:val="007719D9"/>
    <w:rsid w:val="0077219A"/>
    <w:rsid w:val="007723C4"/>
    <w:rsid w:val="0078056C"/>
    <w:rsid w:val="00781F1B"/>
    <w:rsid w:val="00782D52"/>
    <w:rsid w:val="00783C8F"/>
    <w:rsid w:val="00785CE0"/>
    <w:rsid w:val="007915A3"/>
    <w:rsid w:val="00792B45"/>
    <w:rsid w:val="00792C4E"/>
    <w:rsid w:val="00795BD9"/>
    <w:rsid w:val="007962E2"/>
    <w:rsid w:val="00796B45"/>
    <w:rsid w:val="007A0B86"/>
    <w:rsid w:val="007A1723"/>
    <w:rsid w:val="007A1903"/>
    <w:rsid w:val="007A2974"/>
    <w:rsid w:val="007A3E59"/>
    <w:rsid w:val="007A4FD9"/>
    <w:rsid w:val="007A5B60"/>
    <w:rsid w:val="007A5E73"/>
    <w:rsid w:val="007B0487"/>
    <w:rsid w:val="007B3431"/>
    <w:rsid w:val="007B3E94"/>
    <w:rsid w:val="007B56BC"/>
    <w:rsid w:val="007B60B6"/>
    <w:rsid w:val="007C0EBA"/>
    <w:rsid w:val="007C2B59"/>
    <w:rsid w:val="007C2C0C"/>
    <w:rsid w:val="007C43A8"/>
    <w:rsid w:val="007C690E"/>
    <w:rsid w:val="007C6B90"/>
    <w:rsid w:val="007D0ADA"/>
    <w:rsid w:val="007D2189"/>
    <w:rsid w:val="007D30AE"/>
    <w:rsid w:val="007D30CA"/>
    <w:rsid w:val="007D4A7B"/>
    <w:rsid w:val="007D5026"/>
    <w:rsid w:val="007D5939"/>
    <w:rsid w:val="007D6FE4"/>
    <w:rsid w:val="007D713B"/>
    <w:rsid w:val="007D74E9"/>
    <w:rsid w:val="007E0C17"/>
    <w:rsid w:val="007E1972"/>
    <w:rsid w:val="007E24B4"/>
    <w:rsid w:val="007E3149"/>
    <w:rsid w:val="007E3DDE"/>
    <w:rsid w:val="007E566D"/>
    <w:rsid w:val="007E6B96"/>
    <w:rsid w:val="007E74B9"/>
    <w:rsid w:val="007F02AD"/>
    <w:rsid w:val="007F1DA4"/>
    <w:rsid w:val="007F209D"/>
    <w:rsid w:val="007F664A"/>
    <w:rsid w:val="007F68CE"/>
    <w:rsid w:val="007F76AC"/>
    <w:rsid w:val="007F78B2"/>
    <w:rsid w:val="007F7A89"/>
    <w:rsid w:val="007F7EEF"/>
    <w:rsid w:val="008003F6"/>
    <w:rsid w:val="00801C29"/>
    <w:rsid w:val="00801D35"/>
    <w:rsid w:val="008026BB"/>
    <w:rsid w:val="008035CE"/>
    <w:rsid w:val="00804EB0"/>
    <w:rsid w:val="00806EEB"/>
    <w:rsid w:val="008073B7"/>
    <w:rsid w:val="00807A75"/>
    <w:rsid w:val="00811E07"/>
    <w:rsid w:val="00812AAF"/>
    <w:rsid w:val="00813360"/>
    <w:rsid w:val="008139DD"/>
    <w:rsid w:val="00814283"/>
    <w:rsid w:val="00815C1C"/>
    <w:rsid w:val="00816108"/>
    <w:rsid w:val="008169A6"/>
    <w:rsid w:val="0082039E"/>
    <w:rsid w:val="00821569"/>
    <w:rsid w:val="0082595E"/>
    <w:rsid w:val="00825983"/>
    <w:rsid w:val="0083308B"/>
    <w:rsid w:val="0083323B"/>
    <w:rsid w:val="00833509"/>
    <w:rsid w:val="0083459E"/>
    <w:rsid w:val="00836616"/>
    <w:rsid w:val="00837635"/>
    <w:rsid w:val="008403E3"/>
    <w:rsid w:val="00842F29"/>
    <w:rsid w:val="00843C26"/>
    <w:rsid w:val="00844C78"/>
    <w:rsid w:val="008470D1"/>
    <w:rsid w:val="00851EC1"/>
    <w:rsid w:val="00851F2B"/>
    <w:rsid w:val="00854B9C"/>
    <w:rsid w:val="00854E66"/>
    <w:rsid w:val="00855697"/>
    <w:rsid w:val="008558CF"/>
    <w:rsid w:val="00856334"/>
    <w:rsid w:val="00856CE7"/>
    <w:rsid w:val="00860246"/>
    <w:rsid w:val="0086117B"/>
    <w:rsid w:val="0086187F"/>
    <w:rsid w:val="00864734"/>
    <w:rsid w:val="00865B2F"/>
    <w:rsid w:val="008668EF"/>
    <w:rsid w:val="00867EC0"/>
    <w:rsid w:val="00871CA9"/>
    <w:rsid w:val="00873E16"/>
    <w:rsid w:val="008752DA"/>
    <w:rsid w:val="00875AB4"/>
    <w:rsid w:val="00875CFB"/>
    <w:rsid w:val="008773DC"/>
    <w:rsid w:val="00877BCA"/>
    <w:rsid w:val="0088172A"/>
    <w:rsid w:val="00881E6F"/>
    <w:rsid w:val="0088269A"/>
    <w:rsid w:val="00882A0E"/>
    <w:rsid w:val="00882BDD"/>
    <w:rsid w:val="00886CA1"/>
    <w:rsid w:val="0088730C"/>
    <w:rsid w:val="0089007E"/>
    <w:rsid w:val="0089063A"/>
    <w:rsid w:val="00892D40"/>
    <w:rsid w:val="0089310B"/>
    <w:rsid w:val="008940E7"/>
    <w:rsid w:val="008946C3"/>
    <w:rsid w:val="00895EE9"/>
    <w:rsid w:val="008A0376"/>
    <w:rsid w:val="008A0971"/>
    <w:rsid w:val="008A0D04"/>
    <w:rsid w:val="008A145C"/>
    <w:rsid w:val="008A282E"/>
    <w:rsid w:val="008A2AFF"/>
    <w:rsid w:val="008A2C05"/>
    <w:rsid w:val="008A2EC7"/>
    <w:rsid w:val="008A32A9"/>
    <w:rsid w:val="008A3716"/>
    <w:rsid w:val="008A4ABE"/>
    <w:rsid w:val="008A6260"/>
    <w:rsid w:val="008A78AD"/>
    <w:rsid w:val="008A79C5"/>
    <w:rsid w:val="008B0285"/>
    <w:rsid w:val="008B0D87"/>
    <w:rsid w:val="008B1B7B"/>
    <w:rsid w:val="008B2D30"/>
    <w:rsid w:val="008B305D"/>
    <w:rsid w:val="008B3216"/>
    <w:rsid w:val="008B5D59"/>
    <w:rsid w:val="008C0243"/>
    <w:rsid w:val="008C0842"/>
    <w:rsid w:val="008C22C4"/>
    <w:rsid w:val="008C3219"/>
    <w:rsid w:val="008C3995"/>
    <w:rsid w:val="008C4CFB"/>
    <w:rsid w:val="008C5648"/>
    <w:rsid w:val="008C585B"/>
    <w:rsid w:val="008D05F2"/>
    <w:rsid w:val="008D2AA9"/>
    <w:rsid w:val="008D72A9"/>
    <w:rsid w:val="008D7616"/>
    <w:rsid w:val="008D7652"/>
    <w:rsid w:val="008D7D33"/>
    <w:rsid w:val="008E0B5E"/>
    <w:rsid w:val="008E3391"/>
    <w:rsid w:val="008E33E7"/>
    <w:rsid w:val="008E46CC"/>
    <w:rsid w:val="008E6142"/>
    <w:rsid w:val="008E6EFB"/>
    <w:rsid w:val="008E75C0"/>
    <w:rsid w:val="008F0CD6"/>
    <w:rsid w:val="008F0E69"/>
    <w:rsid w:val="008F1466"/>
    <w:rsid w:val="008F245A"/>
    <w:rsid w:val="008F24FB"/>
    <w:rsid w:val="008F298A"/>
    <w:rsid w:val="008F2BCF"/>
    <w:rsid w:val="008F40CC"/>
    <w:rsid w:val="008F4486"/>
    <w:rsid w:val="008F45D6"/>
    <w:rsid w:val="008F7C1A"/>
    <w:rsid w:val="0090051E"/>
    <w:rsid w:val="009023E8"/>
    <w:rsid w:val="00903B36"/>
    <w:rsid w:val="00903D79"/>
    <w:rsid w:val="00904A0D"/>
    <w:rsid w:val="00905C43"/>
    <w:rsid w:val="0090663E"/>
    <w:rsid w:val="00906A53"/>
    <w:rsid w:val="00907469"/>
    <w:rsid w:val="00907CA6"/>
    <w:rsid w:val="00910F75"/>
    <w:rsid w:val="009115D6"/>
    <w:rsid w:val="00912E8B"/>
    <w:rsid w:val="0091545F"/>
    <w:rsid w:val="009161C4"/>
    <w:rsid w:val="00917639"/>
    <w:rsid w:val="00922342"/>
    <w:rsid w:val="00923160"/>
    <w:rsid w:val="00923C91"/>
    <w:rsid w:val="0092549B"/>
    <w:rsid w:val="0092632C"/>
    <w:rsid w:val="00927E19"/>
    <w:rsid w:val="00927EC6"/>
    <w:rsid w:val="00932DF7"/>
    <w:rsid w:val="00934411"/>
    <w:rsid w:val="00935294"/>
    <w:rsid w:val="0093677C"/>
    <w:rsid w:val="00936ADB"/>
    <w:rsid w:val="00936E0A"/>
    <w:rsid w:val="009377B8"/>
    <w:rsid w:val="00937A47"/>
    <w:rsid w:val="0094064C"/>
    <w:rsid w:val="00941050"/>
    <w:rsid w:val="00941136"/>
    <w:rsid w:val="0094174F"/>
    <w:rsid w:val="0094191C"/>
    <w:rsid w:val="00942670"/>
    <w:rsid w:val="009445BD"/>
    <w:rsid w:val="0094536E"/>
    <w:rsid w:val="00946DD0"/>
    <w:rsid w:val="009479CF"/>
    <w:rsid w:val="00950727"/>
    <w:rsid w:val="00950B7C"/>
    <w:rsid w:val="009512CB"/>
    <w:rsid w:val="00951AF4"/>
    <w:rsid w:val="00953F6A"/>
    <w:rsid w:val="00954884"/>
    <w:rsid w:val="00955335"/>
    <w:rsid w:val="0096051C"/>
    <w:rsid w:val="009613B4"/>
    <w:rsid w:val="009635B6"/>
    <w:rsid w:val="00963E9B"/>
    <w:rsid w:val="00970248"/>
    <w:rsid w:val="00970BDC"/>
    <w:rsid w:val="009722F5"/>
    <w:rsid w:val="009743E1"/>
    <w:rsid w:val="0097656C"/>
    <w:rsid w:val="00976B3B"/>
    <w:rsid w:val="00976C60"/>
    <w:rsid w:val="009808F6"/>
    <w:rsid w:val="009856B5"/>
    <w:rsid w:val="00985F85"/>
    <w:rsid w:val="009867BD"/>
    <w:rsid w:val="00986D97"/>
    <w:rsid w:val="00990B93"/>
    <w:rsid w:val="00990FF8"/>
    <w:rsid w:val="00992B7E"/>
    <w:rsid w:val="009931BE"/>
    <w:rsid w:val="009937F9"/>
    <w:rsid w:val="0099426D"/>
    <w:rsid w:val="009969BE"/>
    <w:rsid w:val="00997385"/>
    <w:rsid w:val="00997F7C"/>
    <w:rsid w:val="009A0720"/>
    <w:rsid w:val="009A0B54"/>
    <w:rsid w:val="009A3385"/>
    <w:rsid w:val="009A42DD"/>
    <w:rsid w:val="009A4A3D"/>
    <w:rsid w:val="009A5AC2"/>
    <w:rsid w:val="009A5CB7"/>
    <w:rsid w:val="009A62AD"/>
    <w:rsid w:val="009B74F3"/>
    <w:rsid w:val="009C0DF8"/>
    <w:rsid w:val="009C3E61"/>
    <w:rsid w:val="009C45CC"/>
    <w:rsid w:val="009C54BD"/>
    <w:rsid w:val="009C5BE2"/>
    <w:rsid w:val="009C5FFF"/>
    <w:rsid w:val="009C6291"/>
    <w:rsid w:val="009D0EE6"/>
    <w:rsid w:val="009D29E4"/>
    <w:rsid w:val="009D4DEB"/>
    <w:rsid w:val="009D5471"/>
    <w:rsid w:val="009D632A"/>
    <w:rsid w:val="009D79F3"/>
    <w:rsid w:val="009D7B54"/>
    <w:rsid w:val="009E0F39"/>
    <w:rsid w:val="009E3D49"/>
    <w:rsid w:val="009E4303"/>
    <w:rsid w:val="009E506C"/>
    <w:rsid w:val="009E50F7"/>
    <w:rsid w:val="009E544A"/>
    <w:rsid w:val="009E564B"/>
    <w:rsid w:val="009E5EF1"/>
    <w:rsid w:val="009E5FD5"/>
    <w:rsid w:val="009E6238"/>
    <w:rsid w:val="009E723B"/>
    <w:rsid w:val="009E7275"/>
    <w:rsid w:val="009F0393"/>
    <w:rsid w:val="009F0B29"/>
    <w:rsid w:val="009F2A31"/>
    <w:rsid w:val="009F2EC1"/>
    <w:rsid w:val="009F39D6"/>
    <w:rsid w:val="009F444D"/>
    <w:rsid w:val="009F4618"/>
    <w:rsid w:val="009F4A5D"/>
    <w:rsid w:val="009F4B26"/>
    <w:rsid w:val="009F6149"/>
    <w:rsid w:val="009F64D7"/>
    <w:rsid w:val="009F6E07"/>
    <w:rsid w:val="009F73BB"/>
    <w:rsid w:val="00A01E1F"/>
    <w:rsid w:val="00A02478"/>
    <w:rsid w:val="00A02771"/>
    <w:rsid w:val="00A02797"/>
    <w:rsid w:val="00A02D10"/>
    <w:rsid w:val="00A0553E"/>
    <w:rsid w:val="00A055E7"/>
    <w:rsid w:val="00A10388"/>
    <w:rsid w:val="00A115DB"/>
    <w:rsid w:val="00A12AE3"/>
    <w:rsid w:val="00A143C0"/>
    <w:rsid w:val="00A15977"/>
    <w:rsid w:val="00A166A8"/>
    <w:rsid w:val="00A16F0F"/>
    <w:rsid w:val="00A174C0"/>
    <w:rsid w:val="00A21488"/>
    <w:rsid w:val="00A220AD"/>
    <w:rsid w:val="00A2268B"/>
    <w:rsid w:val="00A228AA"/>
    <w:rsid w:val="00A2291F"/>
    <w:rsid w:val="00A25467"/>
    <w:rsid w:val="00A25B7A"/>
    <w:rsid w:val="00A26A4A"/>
    <w:rsid w:val="00A27331"/>
    <w:rsid w:val="00A3194D"/>
    <w:rsid w:val="00A34602"/>
    <w:rsid w:val="00A366FE"/>
    <w:rsid w:val="00A37561"/>
    <w:rsid w:val="00A407D0"/>
    <w:rsid w:val="00A42CC5"/>
    <w:rsid w:val="00A442F5"/>
    <w:rsid w:val="00A4479A"/>
    <w:rsid w:val="00A449A5"/>
    <w:rsid w:val="00A45C52"/>
    <w:rsid w:val="00A46008"/>
    <w:rsid w:val="00A4621E"/>
    <w:rsid w:val="00A464E6"/>
    <w:rsid w:val="00A46818"/>
    <w:rsid w:val="00A47781"/>
    <w:rsid w:val="00A50665"/>
    <w:rsid w:val="00A50D35"/>
    <w:rsid w:val="00A529B2"/>
    <w:rsid w:val="00A52B4C"/>
    <w:rsid w:val="00A52EC4"/>
    <w:rsid w:val="00A53F7E"/>
    <w:rsid w:val="00A53F81"/>
    <w:rsid w:val="00A57FC6"/>
    <w:rsid w:val="00A61D30"/>
    <w:rsid w:val="00A631D5"/>
    <w:rsid w:val="00A63A4A"/>
    <w:rsid w:val="00A63B84"/>
    <w:rsid w:val="00A64769"/>
    <w:rsid w:val="00A6494C"/>
    <w:rsid w:val="00A6500C"/>
    <w:rsid w:val="00A65BA8"/>
    <w:rsid w:val="00A66FBB"/>
    <w:rsid w:val="00A67423"/>
    <w:rsid w:val="00A67795"/>
    <w:rsid w:val="00A67ACC"/>
    <w:rsid w:val="00A67FBB"/>
    <w:rsid w:val="00A7292F"/>
    <w:rsid w:val="00A742DB"/>
    <w:rsid w:val="00A74542"/>
    <w:rsid w:val="00A750E4"/>
    <w:rsid w:val="00A756F5"/>
    <w:rsid w:val="00A76F5C"/>
    <w:rsid w:val="00A81670"/>
    <w:rsid w:val="00A829D2"/>
    <w:rsid w:val="00A8373C"/>
    <w:rsid w:val="00A847A6"/>
    <w:rsid w:val="00A84F01"/>
    <w:rsid w:val="00A85159"/>
    <w:rsid w:val="00A8529B"/>
    <w:rsid w:val="00A868C5"/>
    <w:rsid w:val="00A9021E"/>
    <w:rsid w:val="00A90CBA"/>
    <w:rsid w:val="00A91428"/>
    <w:rsid w:val="00A92E49"/>
    <w:rsid w:val="00A9318B"/>
    <w:rsid w:val="00A935DC"/>
    <w:rsid w:val="00A93FE3"/>
    <w:rsid w:val="00A94CC6"/>
    <w:rsid w:val="00A9562E"/>
    <w:rsid w:val="00A97525"/>
    <w:rsid w:val="00AA0914"/>
    <w:rsid w:val="00AA142F"/>
    <w:rsid w:val="00AA3DAF"/>
    <w:rsid w:val="00AA415D"/>
    <w:rsid w:val="00AA4778"/>
    <w:rsid w:val="00AA5267"/>
    <w:rsid w:val="00AA56CE"/>
    <w:rsid w:val="00AA5E27"/>
    <w:rsid w:val="00AA636B"/>
    <w:rsid w:val="00AA67B1"/>
    <w:rsid w:val="00AA6C80"/>
    <w:rsid w:val="00AB4DBD"/>
    <w:rsid w:val="00AB5A9E"/>
    <w:rsid w:val="00AC30C2"/>
    <w:rsid w:val="00AC3201"/>
    <w:rsid w:val="00AC34D4"/>
    <w:rsid w:val="00AC4066"/>
    <w:rsid w:val="00AC566C"/>
    <w:rsid w:val="00AC7C23"/>
    <w:rsid w:val="00AD0ACE"/>
    <w:rsid w:val="00AD288E"/>
    <w:rsid w:val="00AD28CD"/>
    <w:rsid w:val="00AD2D9F"/>
    <w:rsid w:val="00AD344A"/>
    <w:rsid w:val="00AD51D5"/>
    <w:rsid w:val="00AD555F"/>
    <w:rsid w:val="00AD5F05"/>
    <w:rsid w:val="00AD6806"/>
    <w:rsid w:val="00AD78FB"/>
    <w:rsid w:val="00AE02AE"/>
    <w:rsid w:val="00AE276F"/>
    <w:rsid w:val="00AE2A26"/>
    <w:rsid w:val="00AE3987"/>
    <w:rsid w:val="00AE3DD1"/>
    <w:rsid w:val="00AE4C14"/>
    <w:rsid w:val="00AF1312"/>
    <w:rsid w:val="00AF17C8"/>
    <w:rsid w:val="00AF1A2A"/>
    <w:rsid w:val="00AF2B62"/>
    <w:rsid w:val="00AF2EBF"/>
    <w:rsid w:val="00AF5375"/>
    <w:rsid w:val="00AF5B21"/>
    <w:rsid w:val="00AF627E"/>
    <w:rsid w:val="00AF7C9E"/>
    <w:rsid w:val="00B010DE"/>
    <w:rsid w:val="00B02527"/>
    <w:rsid w:val="00B02CB6"/>
    <w:rsid w:val="00B02F12"/>
    <w:rsid w:val="00B03726"/>
    <w:rsid w:val="00B03CBB"/>
    <w:rsid w:val="00B04FA5"/>
    <w:rsid w:val="00B04FFB"/>
    <w:rsid w:val="00B06852"/>
    <w:rsid w:val="00B07A54"/>
    <w:rsid w:val="00B1090C"/>
    <w:rsid w:val="00B12766"/>
    <w:rsid w:val="00B12DBF"/>
    <w:rsid w:val="00B14042"/>
    <w:rsid w:val="00B14ED6"/>
    <w:rsid w:val="00B154F1"/>
    <w:rsid w:val="00B161E3"/>
    <w:rsid w:val="00B16684"/>
    <w:rsid w:val="00B16938"/>
    <w:rsid w:val="00B171E8"/>
    <w:rsid w:val="00B17BFF"/>
    <w:rsid w:val="00B17CFF"/>
    <w:rsid w:val="00B225CF"/>
    <w:rsid w:val="00B2297C"/>
    <w:rsid w:val="00B22BD2"/>
    <w:rsid w:val="00B22CAB"/>
    <w:rsid w:val="00B235CB"/>
    <w:rsid w:val="00B24695"/>
    <w:rsid w:val="00B24DEB"/>
    <w:rsid w:val="00B265D5"/>
    <w:rsid w:val="00B27045"/>
    <w:rsid w:val="00B32104"/>
    <w:rsid w:val="00B36212"/>
    <w:rsid w:val="00B37C85"/>
    <w:rsid w:val="00B40190"/>
    <w:rsid w:val="00B4025A"/>
    <w:rsid w:val="00B40FC2"/>
    <w:rsid w:val="00B410A3"/>
    <w:rsid w:val="00B444AC"/>
    <w:rsid w:val="00B44A49"/>
    <w:rsid w:val="00B44B0B"/>
    <w:rsid w:val="00B47195"/>
    <w:rsid w:val="00B47B13"/>
    <w:rsid w:val="00B50D27"/>
    <w:rsid w:val="00B51298"/>
    <w:rsid w:val="00B51977"/>
    <w:rsid w:val="00B5294E"/>
    <w:rsid w:val="00B54274"/>
    <w:rsid w:val="00B54755"/>
    <w:rsid w:val="00B55119"/>
    <w:rsid w:val="00B55212"/>
    <w:rsid w:val="00B55E22"/>
    <w:rsid w:val="00B56260"/>
    <w:rsid w:val="00B6013C"/>
    <w:rsid w:val="00B627C6"/>
    <w:rsid w:val="00B63EAB"/>
    <w:rsid w:val="00B6486E"/>
    <w:rsid w:val="00B654C2"/>
    <w:rsid w:val="00B65AAC"/>
    <w:rsid w:val="00B65CE1"/>
    <w:rsid w:val="00B66989"/>
    <w:rsid w:val="00B66BBB"/>
    <w:rsid w:val="00B742BA"/>
    <w:rsid w:val="00B74D31"/>
    <w:rsid w:val="00B756AE"/>
    <w:rsid w:val="00B80327"/>
    <w:rsid w:val="00B80A9A"/>
    <w:rsid w:val="00B82FF7"/>
    <w:rsid w:val="00B832B8"/>
    <w:rsid w:val="00B85B02"/>
    <w:rsid w:val="00B901B1"/>
    <w:rsid w:val="00B90CCD"/>
    <w:rsid w:val="00B93003"/>
    <w:rsid w:val="00B9388C"/>
    <w:rsid w:val="00B97377"/>
    <w:rsid w:val="00BA016A"/>
    <w:rsid w:val="00BA08ED"/>
    <w:rsid w:val="00BA1ACF"/>
    <w:rsid w:val="00BA1B31"/>
    <w:rsid w:val="00BA3CCD"/>
    <w:rsid w:val="00BA5444"/>
    <w:rsid w:val="00BB0CDA"/>
    <w:rsid w:val="00BB0D93"/>
    <w:rsid w:val="00BB12DF"/>
    <w:rsid w:val="00BB1F2B"/>
    <w:rsid w:val="00BB2016"/>
    <w:rsid w:val="00BB4B65"/>
    <w:rsid w:val="00BB5080"/>
    <w:rsid w:val="00BB6885"/>
    <w:rsid w:val="00BB6AEA"/>
    <w:rsid w:val="00BB7431"/>
    <w:rsid w:val="00BB75E1"/>
    <w:rsid w:val="00BC02DD"/>
    <w:rsid w:val="00BC0589"/>
    <w:rsid w:val="00BC05D2"/>
    <w:rsid w:val="00BC0F1A"/>
    <w:rsid w:val="00BC2083"/>
    <w:rsid w:val="00BC2598"/>
    <w:rsid w:val="00BC4AE3"/>
    <w:rsid w:val="00BC524B"/>
    <w:rsid w:val="00BC5376"/>
    <w:rsid w:val="00BC7140"/>
    <w:rsid w:val="00BC75CB"/>
    <w:rsid w:val="00BD09F2"/>
    <w:rsid w:val="00BD0FCF"/>
    <w:rsid w:val="00BD2197"/>
    <w:rsid w:val="00BD2A5A"/>
    <w:rsid w:val="00BD3DE6"/>
    <w:rsid w:val="00BD6A44"/>
    <w:rsid w:val="00BD745E"/>
    <w:rsid w:val="00BD7850"/>
    <w:rsid w:val="00BE0198"/>
    <w:rsid w:val="00BE3D15"/>
    <w:rsid w:val="00BE44F5"/>
    <w:rsid w:val="00BE4A0A"/>
    <w:rsid w:val="00BE5113"/>
    <w:rsid w:val="00BE56A4"/>
    <w:rsid w:val="00BE7281"/>
    <w:rsid w:val="00BF2038"/>
    <w:rsid w:val="00BF218B"/>
    <w:rsid w:val="00BF32A9"/>
    <w:rsid w:val="00BF360C"/>
    <w:rsid w:val="00BF4596"/>
    <w:rsid w:val="00BF7638"/>
    <w:rsid w:val="00C0147F"/>
    <w:rsid w:val="00C07CD1"/>
    <w:rsid w:val="00C07E81"/>
    <w:rsid w:val="00C10244"/>
    <w:rsid w:val="00C12EA7"/>
    <w:rsid w:val="00C15614"/>
    <w:rsid w:val="00C166AE"/>
    <w:rsid w:val="00C16CCE"/>
    <w:rsid w:val="00C21FAB"/>
    <w:rsid w:val="00C22142"/>
    <w:rsid w:val="00C22475"/>
    <w:rsid w:val="00C23257"/>
    <w:rsid w:val="00C23A06"/>
    <w:rsid w:val="00C2406F"/>
    <w:rsid w:val="00C24513"/>
    <w:rsid w:val="00C251D9"/>
    <w:rsid w:val="00C25374"/>
    <w:rsid w:val="00C26194"/>
    <w:rsid w:val="00C26B24"/>
    <w:rsid w:val="00C270DD"/>
    <w:rsid w:val="00C27887"/>
    <w:rsid w:val="00C27FD5"/>
    <w:rsid w:val="00C30EFF"/>
    <w:rsid w:val="00C31684"/>
    <w:rsid w:val="00C31EE4"/>
    <w:rsid w:val="00C32FBD"/>
    <w:rsid w:val="00C33F1F"/>
    <w:rsid w:val="00C34A05"/>
    <w:rsid w:val="00C35707"/>
    <w:rsid w:val="00C4042A"/>
    <w:rsid w:val="00C409A9"/>
    <w:rsid w:val="00C40B67"/>
    <w:rsid w:val="00C43845"/>
    <w:rsid w:val="00C43A19"/>
    <w:rsid w:val="00C43C23"/>
    <w:rsid w:val="00C440E5"/>
    <w:rsid w:val="00C44921"/>
    <w:rsid w:val="00C4586D"/>
    <w:rsid w:val="00C459F4"/>
    <w:rsid w:val="00C463E1"/>
    <w:rsid w:val="00C46A84"/>
    <w:rsid w:val="00C47AD4"/>
    <w:rsid w:val="00C50351"/>
    <w:rsid w:val="00C508D2"/>
    <w:rsid w:val="00C5104C"/>
    <w:rsid w:val="00C51793"/>
    <w:rsid w:val="00C519A7"/>
    <w:rsid w:val="00C528AE"/>
    <w:rsid w:val="00C554B5"/>
    <w:rsid w:val="00C57421"/>
    <w:rsid w:val="00C608F5"/>
    <w:rsid w:val="00C60929"/>
    <w:rsid w:val="00C61C49"/>
    <w:rsid w:val="00C624B2"/>
    <w:rsid w:val="00C62A4F"/>
    <w:rsid w:val="00C6333D"/>
    <w:rsid w:val="00C6458E"/>
    <w:rsid w:val="00C66026"/>
    <w:rsid w:val="00C70130"/>
    <w:rsid w:val="00C70C95"/>
    <w:rsid w:val="00C71EA5"/>
    <w:rsid w:val="00C74597"/>
    <w:rsid w:val="00C76E0E"/>
    <w:rsid w:val="00C77D36"/>
    <w:rsid w:val="00C80FA0"/>
    <w:rsid w:val="00C82EF8"/>
    <w:rsid w:val="00C83483"/>
    <w:rsid w:val="00C83DE7"/>
    <w:rsid w:val="00C85611"/>
    <w:rsid w:val="00C863A3"/>
    <w:rsid w:val="00C8771B"/>
    <w:rsid w:val="00C902EE"/>
    <w:rsid w:val="00C90767"/>
    <w:rsid w:val="00C91A0F"/>
    <w:rsid w:val="00C9446E"/>
    <w:rsid w:val="00C94634"/>
    <w:rsid w:val="00C94F66"/>
    <w:rsid w:val="00C94FFC"/>
    <w:rsid w:val="00C95340"/>
    <w:rsid w:val="00C95E39"/>
    <w:rsid w:val="00C974A4"/>
    <w:rsid w:val="00C9795E"/>
    <w:rsid w:val="00C97985"/>
    <w:rsid w:val="00C97BCA"/>
    <w:rsid w:val="00CA0FAF"/>
    <w:rsid w:val="00CA285B"/>
    <w:rsid w:val="00CA3818"/>
    <w:rsid w:val="00CA5545"/>
    <w:rsid w:val="00CA5BCF"/>
    <w:rsid w:val="00CA61B6"/>
    <w:rsid w:val="00CA6AE0"/>
    <w:rsid w:val="00CA7859"/>
    <w:rsid w:val="00CB13D1"/>
    <w:rsid w:val="00CB25CD"/>
    <w:rsid w:val="00CB3261"/>
    <w:rsid w:val="00CB5CEF"/>
    <w:rsid w:val="00CC234C"/>
    <w:rsid w:val="00CC301D"/>
    <w:rsid w:val="00CC374A"/>
    <w:rsid w:val="00CC5114"/>
    <w:rsid w:val="00CC575E"/>
    <w:rsid w:val="00CC5BB1"/>
    <w:rsid w:val="00CC5D9C"/>
    <w:rsid w:val="00CC74AB"/>
    <w:rsid w:val="00CD02F7"/>
    <w:rsid w:val="00CD1B1F"/>
    <w:rsid w:val="00CD296F"/>
    <w:rsid w:val="00CD33D7"/>
    <w:rsid w:val="00CD474E"/>
    <w:rsid w:val="00CD70FD"/>
    <w:rsid w:val="00CD7FDE"/>
    <w:rsid w:val="00CE0788"/>
    <w:rsid w:val="00CE1498"/>
    <w:rsid w:val="00CE16BA"/>
    <w:rsid w:val="00CE1D29"/>
    <w:rsid w:val="00CE2BDB"/>
    <w:rsid w:val="00CE3CAF"/>
    <w:rsid w:val="00CE70E3"/>
    <w:rsid w:val="00CE76B1"/>
    <w:rsid w:val="00CE78E8"/>
    <w:rsid w:val="00CE7C95"/>
    <w:rsid w:val="00CF0415"/>
    <w:rsid w:val="00CF0A5D"/>
    <w:rsid w:val="00CF146B"/>
    <w:rsid w:val="00CF4035"/>
    <w:rsid w:val="00CF512C"/>
    <w:rsid w:val="00CF5144"/>
    <w:rsid w:val="00CF6272"/>
    <w:rsid w:val="00CF77AE"/>
    <w:rsid w:val="00D00E32"/>
    <w:rsid w:val="00D00EE5"/>
    <w:rsid w:val="00D03007"/>
    <w:rsid w:val="00D0305E"/>
    <w:rsid w:val="00D03EAB"/>
    <w:rsid w:val="00D03FAB"/>
    <w:rsid w:val="00D06609"/>
    <w:rsid w:val="00D06B4F"/>
    <w:rsid w:val="00D14A04"/>
    <w:rsid w:val="00D15185"/>
    <w:rsid w:val="00D16676"/>
    <w:rsid w:val="00D17356"/>
    <w:rsid w:val="00D209EF"/>
    <w:rsid w:val="00D21F65"/>
    <w:rsid w:val="00D22967"/>
    <w:rsid w:val="00D237F2"/>
    <w:rsid w:val="00D243B9"/>
    <w:rsid w:val="00D24F92"/>
    <w:rsid w:val="00D253F2"/>
    <w:rsid w:val="00D3216F"/>
    <w:rsid w:val="00D32ABF"/>
    <w:rsid w:val="00D334C7"/>
    <w:rsid w:val="00D34F57"/>
    <w:rsid w:val="00D35EB9"/>
    <w:rsid w:val="00D36DDD"/>
    <w:rsid w:val="00D40ADD"/>
    <w:rsid w:val="00D4174B"/>
    <w:rsid w:val="00D4393A"/>
    <w:rsid w:val="00D44634"/>
    <w:rsid w:val="00D5002A"/>
    <w:rsid w:val="00D50B20"/>
    <w:rsid w:val="00D52974"/>
    <w:rsid w:val="00D52F3C"/>
    <w:rsid w:val="00D55E4B"/>
    <w:rsid w:val="00D56F98"/>
    <w:rsid w:val="00D603EC"/>
    <w:rsid w:val="00D60A52"/>
    <w:rsid w:val="00D62945"/>
    <w:rsid w:val="00D6297F"/>
    <w:rsid w:val="00D64C62"/>
    <w:rsid w:val="00D653C3"/>
    <w:rsid w:val="00D65F19"/>
    <w:rsid w:val="00D70929"/>
    <w:rsid w:val="00D70A12"/>
    <w:rsid w:val="00D719CF"/>
    <w:rsid w:val="00D72248"/>
    <w:rsid w:val="00D7691B"/>
    <w:rsid w:val="00D8080B"/>
    <w:rsid w:val="00D81291"/>
    <w:rsid w:val="00D81F82"/>
    <w:rsid w:val="00D82A12"/>
    <w:rsid w:val="00D84D4B"/>
    <w:rsid w:val="00D8597F"/>
    <w:rsid w:val="00D9035E"/>
    <w:rsid w:val="00D9114B"/>
    <w:rsid w:val="00D92A5A"/>
    <w:rsid w:val="00D9319B"/>
    <w:rsid w:val="00D940A2"/>
    <w:rsid w:val="00D944FA"/>
    <w:rsid w:val="00D96771"/>
    <w:rsid w:val="00D970C3"/>
    <w:rsid w:val="00D97F4F"/>
    <w:rsid w:val="00DA000A"/>
    <w:rsid w:val="00DA049B"/>
    <w:rsid w:val="00DA0DF6"/>
    <w:rsid w:val="00DA1AC1"/>
    <w:rsid w:val="00DA2F48"/>
    <w:rsid w:val="00DA3D27"/>
    <w:rsid w:val="00DA546F"/>
    <w:rsid w:val="00DA713C"/>
    <w:rsid w:val="00DB203F"/>
    <w:rsid w:val="00DB2AB4"/>
    <w:rsid w:val="00DB330E"/>
    <w:rsid w:val="00DB49F8"/>
    <w:rsid w:val="00DB4D88"/>
    <w:rsid w:val="00DC0F47"/>
    <w:rsid w:val="00DC179F"/>
    <w:rsid w:val="00DC24EE"/>
    <w:rsid w:val="00DC2D60"/>
    <w:rsid w:val="00DC3675"/>
    <w:rsid w:val="00DC578F"/>
    <w:rsid w:val="00DC6DCE"/>
    <w:rsid w:val="00DC7994"/>
    <w:rsid w:val="00DD1B45"/>
    <w:rsid w:val="00DD1CD6"/>
    <w:rsid w:val="00DD7997"/>
    <w:rsid w:val="00DD7CA8"/>
    <w:rsid w:val="00DE24AB"/>
    <w:rsid w:val="00DE4C5E"/>
    <w:rsid w:val="00DE6A60"/>
    <w:rsid w:val="00DE6AD7"/>
    <w:rsid w:val="00DE7076"/>
    <w:rsid w:val="00DF0830"/>
    <w:rsid w:val="00DF207F"/>
    <w:rsid w:val="00DF2350"/>
    <w:rsid w:val="00DF4386"/>
    <w:rsid w:val="00DF5571"/>
    <w:rsid w:val="00DF56C4"/>
    <w:rsid w:val="00DF611B"/>
    <w:rsid w:val="00DF71F1"/>
    <w:rsid w:val="00E0175A"/>
    <w:rsid w:val="00E023A3"/>
    <w:rsid w:val="00E03C96"/>
    <w:rsid w:val="00E0656E"/>
    <w:rsid w:val="00E069D3"/>
    <w:rsid w:val="00E06A52"/>
    <w:rsid w:val="00E10327"/>
    <w:rsid w:val="00E10A8E"/>
    <w:rsid w:val="00E11191"/>
    <w:rsid w:val="00E122BF"/>
    <w:rsid w:val="00E1315C"/>
    <w:rsid w:val="00E157E1"/>
    <w:rsid w:val="00E16E69"/>
    <w:rsid w:val="00E21376"/>
    <w:rsid w:val="00E2200A"/>
    <w:rsid w:val="00E23157"/>
    <w:rsid w:val="00E23752"/>
    <w:rsid w:val="00E248D2"/>
    <w:rsid w:val="00E30394"/>
    <w:rsid w:val="00E3498D"/>
    <w:rsid w:val="00E3536D"/>
    <w:rsid w:val="00E354F4"/>
    <w:rsid w:val="00E35841"/>
    <w:rsid w:val="00E3585F"/>
    <w:rsid w:val="00E358FF"/>
    <w:rsid w:val="00E36A2D"/>
    <w:rsid w:val="00E41A55"/>
    <w:rsid w:val="00E426AD"/>
    <w:rsid w:val="00E442EF"/>
    <w:rsid w:val="00E459CE"/>
    <w:rsid w:val="00E45A3A"/>
    <w:rsid w:val="00E47FB8"/>
    <w:rsid w:val="00E50187"/>
    <w:rsid w:val="00E5049C"/>
    <w:rsid w:val="00E51D91"/>
    <w:rsid w:val="00E52511"/>
    <w:rsid w:val="00E528B7"/>
    <w:rsid w:val="00E52C79"/>
    <w:rsid w:val="00E53F5C"/>
    <w:rsid w:val="00E54235"/>
    <w:rsid w:val="00E544DF"/>
    <w:rsid w:val="00E56343"/>
    <w:rsid w:val="00E57C97"/>
    <w:rsid w:val="00E60145"/>
    <w:rsid w:val="00E64028"/>
    <w:rsid w:val="00E64D4D"/>
    <w:rsid w:val="00E64E40"/>
    <w:rsid w:val="00E66814"/>
    <w:rsid w:val="00E713CF"/>
    <w:rsid w:val="00E71700"/>
    <w:rsid w:val="00E71C11"/>
    <w:rsid w:val="00E73FFA"/>
    <w:rsid w:val="00E76925"/>
    <w:rsid w:val="00E776A5"/>
    <w:rsid w:val="00E80550"/>
    <w:rsid w:val="00E80EED"/>
    <w:rsid w:val="00E82222"/>
    <w:rsid w:val="00E830BC"/>
    <w:rsid w:val="00E83261"/>
    <w:rsid w:val="00E83370"/>
    <w:rsid w:val="00E83F7D"/>
    <w:rsid w:val="00E849BE"/>
    <w:rsid w:val="00E84B1A"/>
    <w:rsid w:val="00E84E2B"/>
    <w:rsid w:val="00E85AC3"/>
    <w:rsid w:val="00E85BC4"/>
    <w:rsid w:val="00E93E67"/>
    <w:rsid w:val="00E94174"/>
    <w:rsid w:val="00E9429A"/>
    <w:rsid w:val="00E94AD9"/>
    <w:rsid w:val="00E94B67"/>
    <w:rsid w:val="00E95467"/>
    <w:rsid w:val="00EA0541"/>
    <w:rsid w:val="00EA0F26"/>
    <w:rsid w:val="00EA1DEE"/>
    <w:rsid w:val="00EA247B"/>
    <w:rsid w:val="00EA2A21"/>
    <w:rsid w:val="00EA34CC"/>
    <w:rsid w:val="00EA4C7E"/>
    <w:rsid w:val="00EB2041"/>
    <w:rsid w:val="00EB2FFC"/>
    <w:rsid w:val="00EB407F"/>
    <w:rsid w:val="00EB4400"/>
    <w:rsid w:val="00EB4B3D"/>
    <w:rsid w:val="00EB64F5"/>
    <w:rsid w:val="00EB65B1"/>
    <w:rsid w:val="00EB677D"/>
    <w:rsid w:val="00EB6E2B"/>
    <w:rsid w:val="00EB6F41"/>
    <w:rsid w:val="00EC1DE4"/>
    <w:rsid w:val="00EC28A5"/>
    <w:rsid w:val="00EC34DC"/>
    <w:rsid w:val="00EC3B06"/>
    <w:rsid w:val="00EC3C46"/>
    <w:rsid w:val="00EC3E99"/>
    <w:rsid w:val="00EC712D"/>
    <w:rsid w:val="00EC7687"/>
    <w:rsid w:val="00EC7D94"/>
    <w:rsid w:val="00ED2BD8"/>
    <w:rsid w:val="00ED31C7"/>
    <w:rsid w:val="00ED4C66"/>
    <w:rsid w:val="00ED5250"/>
    <w:rsid w:val="00ED635D"/>
    <w:rsid w:val="00EE21B1"/>
    <w:rsid w:val="00EE29AE"/>
    <w:rsid w:val="00EE4FEF"/>
    <w:rsid w:val="00EE6FC9"/>
    <w:rsid w:val="00EF0DC5"/>
    <w:rsid w:val="00EF314E"/>
    <w:rsid w:val="00EF31FB"/>
    <w:rsid w:val="00EF3238"/>
    <w:rsid w:val="00EF7767"/>
    <w:rsid w:val="00EF7D1B"/>
    <w:rsid w:val="00F00991"/>
    <w:rsid w:val="00F01B9C"/>
    <w:rsid w:val="00F01FEE"/>
    <w:rsid w:val="00F04C13"/>
    <w:rsid w:val="00F06491"/>
    <w:rsid w:val="00F06F4E"/>
    <w:rsid w:val="00F07326"/>
    <w:rsid w:val="00F108F2"/>
    <w:rsid w:val="00F136FF"/>
    <w:rsid w:val="00F13AEE"/>
    <w:rsid w:val="00F14501"/>
    <w:rsid w:val="00F1557C"/>
    <w:rsid w:val="00F160C3"/>
    <w:rsid w:val="00F1761F"/>
    <w:rsid w:val="00F222E5"/>
    <w:rsid w:val="00F27631"/>
    <w:rsid w:val="00F312B0"/>
    <w:rsid w:val="00F32CA8"/>
    <w:rsid w:val="00F33189"/>
    <w:rsid w:val="00F33270"/>
    <w:rsid w:val="00F3344B"/>
    <w:rsid w:val="00F337DE"/>
    <w:rsid w:val="00F34619"/>
    <w:rsid w:val="00F34B81"/>
    <w:rsid w:val="00F3542C"/>
    <w:rsid w:val="00F356C7"/>
    <w:rsid w:val="00F36CC4"/>
    <w:rsid w:val="00F36CF5"/>
    <w:rsid w:val="00F41584"/>
    <w:rsid w:val="00F41DE7"/>
    <w:rsid w:val="00F42915"/>
    <w:rsid w:val="00F42AAD"/>
    <w:rsid w:val="00F43073"/>
    <w:rsid w:val="00F446F5"/>
    <w:rsid w:val="00F47D61"/>
    <w:rsid w:val="00F50EE6"/>
    <w:rsid w:val="00F52A02"/>
    <w:rsid w:val="00F5370A"/>
    <w:rsid w:val="00F57572"/>
    <w:rsid w:val="00F62038"/>
    <w:rsid w:val="00F621F3"/>
    <w:rsid w:val="00F623FB"/>
    <w:rsid w:val="00F645DE"/>
    <w:rsid w:val="00F66605"/>
    <w:rsid w:val="00F666D6"/>
    <w:rsid w:val="00F672EC"/>
    <w:rsid w:val="00F6762D"/>
    <w:rsid w:val="00F67934"/>
    <w:rsid w:val="00F7018B"/>
    <w:rsid w:val="00F70AD8"/>
    <w:rsid w:val="00F70C11"/>
    <w:rsid w:val="00F71760"/>
    <w:rsid w:val="00F71902"/>
    <w:rsid w:val="00F756AE"/>
    <w:rsid w:val="00F75722"/>
    <w:rsid w:val="00F75CDB"/>
    <w:rsid w:val="00F76ADA"/>
    <w:rsid w:val="00F770F2"/>
    <w:rsid w:val="00F77139"/>
    <w:rsid w:val="00F815CD"/>
    <w:rsid w:val="00F82626"/>
    <w:rsid w:val="00F83BB4"/>
    <w:rsid w:val="00F84EB3"/>
    <w:rsid w:val="00F85379"/>
    <w:rsid w:val="00F85F8F"/>
    <w:rsid w:val="00F87A63"/>
    <w:rsid w:val="00F905D4"/>
    <w:rsid w:val="00F9084B"/>
    <w:rsid w:val="00F90D37"/>
    <w:rsid w:val="00F91339"/>
    <w:rsid w:val="00F91462"/>
    <w:rsid w:val="00F9454B"/>
    <w:rsid w:val="00F94816"/>
    <w:rsid w:val="00F955A2"/>
    <w:rsid w:val="00F96229"/>
    <w:rsid w:val="00F9730D"/>
    <w:rsid w:val="00F97A06"/>
    <w:rsid w:val="00FA005A"/>
    <w:rsid w:val="00FA2679"/>
    <w:rsid w:val="00FA39C8"/>
    <w:rsid w:val="00FA3C5E"/>
    <w:rsid w:val="00FA41E6"/>
    <w:rsid w:val="00FA4BD2"/>
    <w:rsid w:val="00FA5131"/>
    <w:rsid w:val="00FA5281"/>
    <w:rsid w:val="00FA559A"/>
    <w:rsid w:val="00FB0E4E"/>
    <w:rsid w:val="00FB189D"/>
    <w:rsid w:val="00FB20C8"/>
    <w:rsid w:val="00FB3130"/>
    <w:rsid w:val="00FB609F"/>
    <w:rsid w:val="00FB6273"/>
    <w:rsid w:val="00FC12DC"/>
    <w:rsid w:val="00FC1B7A"/>
    <w:rsid w:val="00FC2A36"/>
    <w:rsid w:val="00FC2FB4"/>
    <w:rsid w:val="00FC4552"/>
    <w:rsid w:val="00FC5AE2"/>
    <w:rsid w:val="00FC7063"/>
    <w:rsid w:val="00FC7EE7"/>
    <w:rsid w:val="00FD1BC7"/>
    <w:rsid w:val="00FD1DC4"/>
    <w:rsid w:val="00FD47D6"/>
    <w:rsid w:val="00FD4A34"/>
    <w:rsid w:val="00FD4F24"/>
    <w:rsid w:val="00FD5B67"/>
    <w:rsid w:val="00FD6074"/>
    <w:rsid w:val="00FD74C0"/>
    <w:rsid w:val="00FE1803"/>
    <w:rsid w:val="00FE4B36"/>
    <w:rsid w:val="00FE5DE0"/>
    <w:rsid w:val="00FE6A23"/>
    <w:rsid w:val="00FE7315"/>
    <w:rsid w:val="00FE774A"/>
    <w:rsid w:val="00FF141C"/>
    <w:rsid w:val="00FF198A"/>
    <w:rsid w:val="00FF1EED"/>
    <w:rsid w:val="00FF2442"/>
    <w:rsid w:val="00FF34AF"/>
    <w:rsid w:val="00FF398F"/>
    <w:rsid w:val="00FF48EC"/>
    <w:rsid w:val="00FF524D"/>
    <w:rsid w:val="00FF6111"/>
    <w:rsid w:val="00FF6A46"/>
    <w:rsid w:val="00FF7CF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54A08"/>
    <w:pPr>
      <w:spacing w:before="120" w:line="276" w:lineRule="auto"/>
      <w:jc w:val="both"/>
    </w:pPr>
    <w:rPr>
      <w:rFonts w:eastAsia="Arial Unicode MS"/>
      <w:sz w:val="22"/>
      <w:szCs w:val="22"/>
      <w:u w:color="000000"/>
    </w:rPr>
  </w:style>
  <w:style w:type="paragraph" w:styleId="Nadpis1">
    <w:name w:val="heading 1"/>
    <w:basedOn w:val="Normln"/>
    <w:next w:val="Normln"/>
    <w:link w:val="Nadpis1Char"/>
    <w:uiPriority w:val="9"/>
    <w:qFormat/>
    <w:rsid w:val="00CC5D9C"/>
    <w:pPr>
      <w:keepNext/>
      <w:keepLines/>
      <w:numPr>
        <w:numId w:val="2"/>
      </w:numPr>
      <w:spacing w:before="0" w:after="240"/>
      <w:ind w:left="425" w:hanging="425"/>
      <w:outlineLvl w:val="0"/>
    </w:pPr>
    <w:rPr>
      <w:rFonts w:ascii="Arial" w:eastAsiaTheme="majorEastAsia" w:hAnsi="Arial" w:cs="Arial"/>
      <w:b/>
      <w:bCs/>
      <w:sz w:val="36"/>
      <w:szCs w:val="32"/>
    </w:rPr>
  </w:style>
  <w:style w:type="paragraph" w:styleId="Nadpis2">
    <w:name w:val="heading 2"/>
    <w:basedOn w:val="Nadpis1"/>
    <w:next w:val="Normln"/>
    <w:link w:val="Nadpis2Char"/>
    <w:uiPriority w:val="9"/>
    <w:unhideWhenUsed/>
    <w:qFormat/>
    <w:rsid w:val="00FD74C0"/>
    <w:pPr>
      <w:keepLines w:val="0"/>
      <w:numPr>
        <w:ilvl w:val="1"/>
      </w:numPr>
      <w:tabs>
        <w:tab w:val="num" w:pos="850"/>
      </w:tabs>
      <w:spacing w:before="360" w:after="120" w:line="240" w:lineRule="auto"/>
      <w:ind w:left="851" w:hanging="851"/>
      <w:outlineLvl w:val="1"/>
    </w:pPr>
    <w:rPr>
      <w:sz w:val="28"/>
      <w:szCs w:val="28"/>
      <w:bdr w:val="ni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CC5D9C"/>
    <w:rPr>
      <w:rFonts w:ascii="Arial" w:eastAsiaTheme="majorEastAsia" w:hAnsi="Arial" w:cs="Arial"/>
      <w:b/>
      <w:bCs/>
      <w:sz w:val="36"/>
      <w:szCs w:val="32"/>
      <w:u w:color="000000"/>
    </w:rPr>
  </w:style>
  <w:style w:type="character" w:styleId="Siln">
    <w:name w:val="Strong"/>
    <w:basedOn w:val="Standardnpsmoodstavce"/>
    <w:uiPriority w:val="22"/>
    <w:qFormat/>
    <w:rsid w:val="00754A08"/>
    <w:rPr>
      <w:b/>
      <w:bCs/>
      <w:sz w:val="36"/>
      <w:szCs w:val="36"/>
    </w:rPr>
  </w:style>
  <w:style w:type="paragraph" w:styleId="Odstavecseseznamem">
    <w:name w:val="List Paragraph"/>
    <w:basedOn w:val="Normln"/>
    <w:link w:val="OdstavecseseznamemChar"/>
    <w:uiPriority w:val="34"/>
    <w:qFormat/>
    <w:rsid w:val="00754A08"/>
    <w:pPr>
      <w:spacing w:after="120"/>
      <w:ind w:left="720" w:hanging="284"/>
      <w:contextualSpacing/>
    </w:pPr>
    <w:rPr>
      <w:rFonts w:ascii="Calibri" w:hAnsi="Calibri" w:cs="Calibri"/>
      <w:lang w:eastAsia="en-US"/>
    </w:rPr>
  </w:style>
  <w:style w:type="paragraph" w:styleId="Nzev">
    <w:name w:val="Title"/>
    <w:basedOn w:val="Normln"/>
    <w:next w:val="Normln"/>
    <w:link w:val="NzevChar"/>
    <w:qFormat/>
    <w:rsid w:val="00754A08"/>
    <w:pPr>
      <w:pBdr>
        <w:bottom w:val="single" w:sz="8" w:space="4" w:color="4F81BD" w:themeColor="accent1"/>
      </w:pBdr>
      <w:spacing w:before="0"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rsid w:val="00754A08"/>
    <w:rPr>
      <w:rFonts w:asciiTheme="majorHAnsi" w:eastAsiaTheme="majorEastAsia" w:hAnsiTheme="majorHAnsi" w:cstheme="majorBidi"/>
      <w:color w:val="17365D" w:themeColor="text2" w:themeShade="BF"/>
      <w:spacing w:val="5"/>
      <w:kern w:val="28"/>
      <w:sz w:val="52"/>
      <w:szCs w:val="52"/>
      <w:u w:color="000000"/>
    </w:rPr>
  </w:style>
  <w:style w:type="paragraph" w:styleId="Podtitul">
    <w:name w:val="Subtitle"/>
    <w:basedOn w:val="Normln"/>
    <w:next w:val="Normln"/>
    <w:link w:val="PodtitulChar"/>
    <w:uiPriority w:val="11"/>
    <w:qFormat/>
    <w:rsid w:val="00754A08"/>
    <w:pPr>
      <w:numPr>
        <w:ilvl w:val="1"/>
      </w:numPr>
      <w:spacing w:before="0" w:line="240" w:lineRule="auto"/>
      <w:jc w:val="center"/>
    </w:pPr>
    <w:rPr>
      <w:rFonts w:ascii="Arial" w:eastAsiaTheme="majorEastAsia" w:hAnsi="Arial" w:cs="Arial"/>
      <w:b/>
      <w:iCs/>
      <w:spacing w:val="15"/>
      <w:sz w:val="36"/>
      <w:szCs w:val="36"/>
    </w:rPr>
  </w:style>
  <w:style w:type="character" w:customStyle="1" w:styleId="PodtitulChar">
    <w:name w:val="Podtitul Char"/>
    <w:basedOn w:val="Standardnpsmoodstavce"/>
    <w:link w:val="Podtitul"/>
    <w:uiPriority w:val="11"/>
    <w:rsid w:val="00754A08"/>
    <w:rPr>
      <w:rFonts w:ascii="Arial" w:eastAsiaTheme="majorEastAsia" w:hAnsi="Arial" w:cs="Arial"/>
      <w:b/>
      <w:iCs/>
      <w:spacing w:val="15"/>
      <w:sz w:val="36"/>
      <w:szCs w:val="36"/>
      <w:u w:color="000000"/>
    </w:rPr>
  </w:style>
  <w:style w:type="paragraph" w:styleId="Textpoznpodarou">
    <w:name w:val="footnote text"/>
    <w:aliases w:val="Schriftart: 9 pt,Schriftart: 10 pt,Schriftart: 8 pt,Text poznámky pod čiarou 007,Footnote,Fußnotentextf,Geneva 9,Font: Geneva 9,Boston 10,f,pozn. pod čarou,Char,Text pozn. pod čarou1,Char Char Char1,Char Char1,Footnote Text Char1,o"/>
    <w:basedOn w:val="Normln"/>
    <w:link w:val="TextpoznpodarouChar"/>
    <w:uiPriority w:val="99"/>
    <w:unhideWhenUsed/>
    <w:qFormat/>
    <w:rsid w:val="009D4DEB"/>
    <w:pPr>
      <w:spacing w:before="0" w:line="240" w:lineRule="auto"/>
    </w:pPr>
    <w:rPr>
      <w:sz w:val="20"/>
      <w:szCs w:val="20"/>
    </w:rPr>
  </w:style>
  <w:style w:type="character" w:customStyle="1" w:styleId="TextpoznpodarouChar">
    <w:name w:val="Text pozn. pod čarou Char"/>
    <w:aliases w:val="Schriftart: 9 pt Char,Schriftart: 10 pt Char,Schriftart: 8 pt Char,Text poznámky pod čiarou 007 Char,Footnote Char,Fußnotentextf Char,Geneva 9 Char,Font: Geneva 9 Char,Boston 10 Char,f Char,pozn. pod čarou Char,Char Char,o Char"/>
    <w:basedOn w:val="Standardnpsmoodstavce"/>
    <w:link w:val="Textpoznpodarou"/>
    <w:uiPriority w:val="99"/>
    <w:rsid w:val="009D4DEB"/>
    <w:rPr>
      <w:rFonts w:eastAsia="Arial Unicode MS"/>
      <w:u w:color="000000"/>
    </w:rPr>
  </w:style>
  <w:style w:type="character" w:styleId="Znakapoznpodarou">
    <w:name w:val="footnote reference"/>
    <w:aliases w:val="BVI fnr,Footnote symbol,Footnote Reference Superscript,Appel note de bas de p,Appel note de bas de page,Légende,Char Car Car Car Car,Voetnootverwijzing,Légende;Char Car Car Car Car,PGI Fußnote Ziffer,Légende.Char Car Car Car Car"/>
    <w:basedOn w:val="Standardnpsmoodstavce"/>
    <w:uiPriority w:val="99"/>
    <w:unhideWhenUsed/>
    <w:rsid w:val="009D4DEB"/>
    <w:rPr>
      <w:vertAlign w:val="superscript"/>
    </w:rPr>
  </w:style>
  <w:style w:type="paragraph" w:styleId="Nadpisobsahu">
    <w:name w:val="TOC Heading"/>
    <w:basedOn w:val="Nadpis1"/>
    <w:next w:val="Normln"/>
    <w:uiPriority w:val="39"/>
    <w:unhideWhenUsed/>
    <w:qFormat/>
    <w:rsid w:val="003736CE"/>
    <w:pPr>
      <w:numPr>
        <w:numId w:val="0"/>
      </w:numPr>
      <w:jc w:val="left"/>
      <w:outlineLvl w:val="9"/>
    </w:pPr>
    <w:rPr>
      <w:rFonts w:asciiTheme="majorHAnsi" w:hAnsiTheme="majorHAnsi" w:cstheme="majorBidi"/>
      <w:color w:val="365F91" w:themeColor="accent1" w:themeShade="BF"/>
      <w:lang w:eastAsia="en-US"/>
    </w:rPr>
  </w:style>
  <w:style w:type="paragraph" w:styleId="Obsah1">
    <w:name w:val="toc 1"/>
    <w:basedOn w:val="Normln"/>
    <w:next w:val="Normln"/>
    <w:autoRedefine/>
    <w:uiPriority w:val="39"/>
    <w:unhideWhenUsed/>
    <w:rsid w:val="00EB677D"/>
    <w:pPr>
      <w:tabs>
        <w:tab w:val="left" w:pos="440"/>
        <w:tab w:val="right" w:leader="dot" w:pos="9062"/>
      </w:tabs>
      <w:spacing w:before="60" w:line="312" w:lineRule="auto"/>
    </w:pPr>
    <w:rPr>
      <w:rFonts w:ascii="Arial" w:hAnsi="Arial" w:cs="Arial"/>
      <w:smallCaps/>
      <w:noProof/>
    </w:rPr>
  </w:style>
  <w:style w:type="character" w:styleId="Hypertextovodkaz">
    <w:name w:val="Hyperlink"/>
    <w:basedOn w:val="Standardnpsmoodstavce"/>
    <w:uiPriority w:val="99"/>
    <w:unhideWhenUsed/>
    <w:rsid w:val="003736CE"/>
    <w:rPr>
      <w:color w:val="0000FF" w:themeColor="hyperlink"/>
      <w:u w:val="single"/>
    </w:rPr>
  </w:style>
  <w:style w:type="paragraph" w:styleId="Textbubliny">
    <w:name w:val="Balloon Text"/>
    <w:basedOn w:val="Normln"/>
    <w:link w:val="TextbublinyChar"/>
    <w:uiPriority w:val="99"/>
    <w:semiHidden/>
    <w:unhideWhenUsed/>
    <w:rsid w:val="003736CE"/>
    <w:pPr>
      <w:spacing w:before="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736CE"/>
    <w:rPr>
      <w:rFonts w:ascii="Tahoma" w:eastAsia="Arial Unicode MS" w:hAnsi="Tahoma" w:cs="Tahoma"/>
      <w:sz w:val="16"/>
      <w:szCs w:val="16"/>
      <w:u w:color="000000"/>
    </w:rPr>
  </w:style>
  <w:style w:type="table" w:styleId="Mkatabulky">
    <w:name w:val="Table Grid"/>
    <w:basedOn w:val="Normlntabulka"/>
    <w:uiPriority w:val="59"/>
    <w:rsid w:val="008563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ulek">
    <w:name w:val="caption"/>
    <w:basedOn w:val="Normln"/>
    <w:next w:val="Normln"/>
    <w:uiPriority w:val="35"/>
    <w:unhideWhenUsed/>
    <w:qFormat/>
    <w:rsid w:val="00724E7F"/>
    <w:pPr>
      <w:spacing w:after="40" w:line="240" w:lineRule="auto"/>
      <w:ind w:left="142"/>
    </w:pPr>
    <w:rPr>
      <w:b/>
      <w:bCs/>
    </w:rPr>
  </w:style>
  <w:style w:type="character" w:customStyle="1" w:styleId="Nadpis2Char">
    <w:name w:val="Nadpis 2 Char"/>
    <w:basedOn w:val="Standardnpsmoodstavce"/>
    <w:link w:val="Nadpis2"/>
    <w:uiPriority w:val="9"/>
    <w:rsid w:val="00FD74C0"/>
    <w:rPr>
      <w:rFonts w:ascii="Arial" w:eastAsiaTheme="majorEastAsia" w:hAnsi="Arial" w:cs="Arial"/>
      <w:b/>
      <w:bCs/>
      <w:sz w:val="28"/>
      <w:szCs w:val="28"/>
      <w:u w:color="000000"/>
      <w:bdr w:val="nil"/>
    </w:rPr>
  </w:style>
  <w:style w:type="paragraph" w:customStyle="1" w:styleId="Odstavecseseznamem1">
    <w:name w:val="Odstavec se seznamem1"/>
    <w:basedOn w:val="Normln"/>
    <w:link w:val="ListParagraphChar"/>
    <w:uiPriority w:val="34"/>
    <w:qFormat/>
    <w:rsid w:val="00923C91"/>
    <w:pPr>
      <w:spacing w:before="0" w:after="200"/>
      <w:ind w:left="720"/>
      <w:jc w:val="left"/>
    </w:pPr>
    <w:rPr>
      <w:rFonts w:ascii="Calibri" w:eastAsia="Times New Roman" w:hAnsi="Calibri" w:cs="Calibri"/>
      <w:lang w:eastAsia="en-US"/>
    </w:rPr>
  </w:style>
  <w:style w:type="character" w:customStyle="1" w:styleId="ListParagraphChar">
    <w:name w:val="List Paragraph Char"/>
    <w:basedOn w:val="Standardnpsmoodstavce"/>
    <w:link w:val="Odstavecseseznamem1"/>
    <w:uiPriority w:val="34"/>
    <w:locked/>
    <w:rsid w:val="00923C91"/>
    <w:rPr>
      <w:rFonts w:ascii="Calibri" w:hAnsi="Calibri" w:cs="Calibri"/>
      <w:sz w:val="22"/>
      <w:szCs w:val="22"/>
      <w:lang w:eastAsia="en-US"/>
    </w:rPr>
  </w:style>
  <w:style w:type="paragraph" w:styleId="Zhlav">
    <w:name w:val="header"/>
    <w:basedOn w:val="Normln"/>
    <w:link w:val="ZhlavChar"/>
    <w:uiPriority w:val="99"/>
    <w:unhideWhenUsed/>
    <w:rsid w:val="00A4479A"/>
    <w:pPr>
      <w:tabs>
        <w:tab w:val="center" w:pos="4536"/>
        <w:tab w:val="right" w:pos="9072"/>
      </w:tabs>
      <w:spacing w:before="0" w:line="240" w:lineRule="auto"/>
    </w:pPr>
  </w:style>
  <w:style w:type="character" w:customStyle="1" w:styleId="ZhlavChar">
    <w:name w:val="Záhlaví Char"/>
    <w:basedOn w:val="Standardnpsmoodstavce"/>
    <w:link w:val="Zhlav"/>
    <w:uiPriority w:val="99"/>
    <w:rsid w:val="00A4479A"/>
    <w:rPr>
      <w:rFonts w:eastAsia="Arial Unicode MS"/>
      <w:sz w:val="22"/>
      <w:szCs w:val="22"/>
      <w:u w:color="000000"/>
    </w:rPr>
  </w:style>
  <w:style w:type="paragraph" w:styleId="Zpat">
    <w:name w:val="footer"/>
    <w:basedOn w:val="Normln"/>
    <w:link w:val="ZpatChar"/>
    <w:uiPriority w:val="99"/>
    <w:unhideWhenUsed/>
    <w:rsid w:val="00A4479A"/>
    <w:pPr>
      <w:tabs>
        <w:tab w:val="center" w:pos="4536"/>
        <w:tab w:val="right" w:pos="9072"/>
      </w:tabs>
      <w:spacing w:before="0" w:line="240" w:lineRule="auto"/>
    </w:pPr>
  </w:style>
  <w:style w:type="character" w:customStyle="1" w:styleId="ZpatChar">
    <w:name w:val="Zápatí Char"/>
    <w:basedOn w:val="Standardnpsmoodstavce"/>
    <w:link w:val="Zpat"/>
    <w:uiPriority w:val="99"/>
    <w:rsid w:val="00A4479A"/>
    <w:rPr>
      <w:rFonts w:eastAsia="Arial Unicode MS"/>
      <w:sz w:val="22"/>
      <w:szCs w:val="22"/>
      <w:u w:color="000000"/>
    </w:rPr>
  </w:style>
  <w:style w:type="paragraph" w:customStyle="1" w:styleId="List0">
    <w:name w:val="List 0"/>
    <w:basedOn w:val="Normln"/>
    <w:semiHidden/>
    <w:rsid w:val="00E06A52"/>
    <w:pPr>
      <w:numPr>
        <w:numId w:val="1"/>
      </w:numPr>
      <w:spacing w:before="0" w:line="240" w:lineRule="auto"/>
      <w:jc w:val="left"/>
    </w:pPr>
    <w:rPr>
      <w:rFonts w:eastAsia="Times New Roman"/>
      <w:sz w:val="20"/>
      <w:szCs w:val="20"/>
    </w:rPr>
  </w:style>
  <w:style w:type="character" w:styleId="Odkaznakoment">
    <w:name w:val="annotation reference"/>
    <w:basedOn w:val="Standardnpsmoodstavce"/>
    <w:uiPriority w:val="99"/>
    <w:semiHidden/>
    <w:rsid w:val="001870D9"/>
    <w:rPr>
      <w:sz w:val="16"/>
      <w:szCs w:val="16"/>
    </w:rPr>
  </w:style>
  <w:style w:type="character" w:customStyle="1" w:styleId="TextkomenteChar">
    <w:name w:val="Text komentáře Char"/>
    <w:basedOn w:val="Standardnpsmoodstavce"/>
    <w:link w:val="Textkomente"/>
    <w:uiPriority w:val="99"/>
    <w:semiHidden/>
    <w:rsid w:val="001870D9"/>
    <w:rPr>
      <w:rFonts w:ascii="Arial" w:hAnsi="Arial" w:cs="Arial"/>
    </w:rPr>
  </w:style>
  <w:style w:type="paragraph" w:styleId="Textkomente">
    <w:name w:val="annotation text"/>
    <w:basedOn w:val="Normln"/>
    <w:link w:val="TextkomenteChar"/>
    <w:uiPriority w:val="99"/>
    <w:semiHidden/>
    <w:rsid w:val="001870D9"/>
    <w:pPr>
      <w:spacing w:before="0" w:line="240" w:lineRule="auto"/>
      <w:jc w:val="left"/>
    </w:pPr>
    <w:rPr>
      <w:rFonts w:ascii="Arial" w:eastAsia="Times New Roman" w:hAnsi="Arial" w:cs="Arial"/>
      <w:sz w:val="20"/>
      <w:szCs w:val="20"/>
    </w:rPr>
  </w:style>
  <w:style w:type="character" w:customStyle="1" w:styleId="TextkomenteChar1">
    <w:name w:val="Text komentáře Char1"/>
    <w:basedOn w:val="Standardnpsmoodstavce"/>
    <w:uiPriority w:val="99"/>
    <w:semiHidden/>
    <w:rsid w:val="001870D9"/>
    <w:rPr>
      <w:rFonts w:eastAsia="Arial Unicode MS"/>
      <w:u w:color="000000"/>
    </w:rPr>
  </w:style>
  <w:style w:type="paragraph" w:styleId="Bezmezer">
    <w:name w:val="No Spacing"/>
    <w:uiPriority w:val="1"/>
    <w:qFormat/>
    <w:rsid w:val="00CD02F7"/>
    <w:pPr>
      <w:jc w:val="both"/>
    </w:pPr>
    <w:rPr>
      <w:rFonts w:eastAsia="Arial Unicode MS"/>
      <w:sz w:val="22"/>
      <w:szCs w:val="22"/>
      <w:u w:color="000000"/>
    </w:rPr>
  </w:style>
  <w:style w:type="paragraph" w:styleId="Prosttext">
    <w:name w:val="Plain Text"/>
    <w:basedOn w:val="Normln"/>
    <w:link w:val="ProsttextChar"/>
    <w:uiPriority w:val="99"/>
    <w:semiHidden/>
    <w:unhideWhenUsed/>
    <w:rsid w:val="008A145C"/>
    <w:pPr>
      <w:spacing w:before="0" w:line="240" w:lineRule="auto"/>
      <w:jc w:val="left"/>
    </w:pPr>
    <w:rPr>
      <w:rFonts w:ascii="Calibri" w:eastAsiaTheme="minorHAnsi" w:hAnsi="Calibri" w:cs="Consolas"/>
      <w:szCs w:val="21"/>
      <w:lang w:eastAsia="en-US"/>
    </w:rPr>
  </w:style>
  <w:style w:type="character" w:customStyle="1" w:styleId="ProsttextChar">
    <w:name w:val="Prostý text Char"/>
    <w:basedOn w:val="Standardnpsmoodstavce"/>
    <w:link w:val="Prosttext"/>
    <w:uiPriority w:val="99"/>
    <w:semiHidden/>
    <w:rsid w:val="008A145C"/>
    <w:rPr>
      <w:rFonts w:ascii="Calibri" w:eastAsiaTheme="minorHAnsi" w:hAnsi="Calibri" w:cs="Consolas"/>
      <w:sz w:val="22"/>
      <w:szCs w:val="21"/>
      <w:lang w:eastAsia="en-US"/>
    </w:rPr>
  </w:style>
  <w:style w:type="character" w:customStyle="1" w:styleId="OdstavecseseznamemChar">
    <w:name w:val="Odstavec se seznamem Char"/>
    <w:link w:val="Odstavecseseznamem"/>
    <w:uiPriority w:val="34"/>
    <w:locked/>
    <w:rsid w:val="003016BD"/>
    <w:rPr>
      <w:rFonts w:ascii="Calibri" w:eastAsia="Arial Unicode MS" w:hAnsi="Calibri" w:cs="Calibri"/>
      <w:sz w:val="22"/>
      <w:szCs w:val="22"/>
      <w:u w:color="000000"/>
      <w:lang w:eastAsia="en-US"/>
    </w:rPr>
  </w:style>
  <w:style w:type="paragraph" w:customStyle="1" w:styleId="Seznam">
    <w:name w:val="*Seznam"/>
    <w:basedOn w:val="Zkladntext"/>
    <w:rsid w:val="006D0810"/>
    <w:pPr>
      <w:numPr>
        <w:numId w:val="3"/>
      </w:numPr>
      <w:tabs>
        <w:tab w:val="clear" w:pos="720"/>
      </w:tabs>
      <w:overflowPunct w:val="0"/>
      <w:autoSpaceDE w:val="0"/>
      <w:autoSpaceDN w:val="0"/>
      <w:adjustRightInd w:val="0"/>
      <w:spacing w:line="240" w:lineRule="auto"/>
      <w:ind w:left="714" w:hanging="357"/>
      <w:contextualSpacing/>
      <w:jc w:val="left"/>
      <w:textAlignment w:val="baseline"/>
    </w:pPr>
    <w:rPr>
      <w:rFonts w:eastAsia="Times New Roman"/>
      <w:sz w:val="24"/>
      <w:szCs w:val="20"/>
    </w:rPr>
  </w:style>
  <w:style w:type="paragraph" w:customStyle="1" w:styleId="TextNOK">
    <w:name w:val="Text NOK"/>
    <w:basedOn w:val="Normln"/>
    <w:link w:val="TextNOKChar"/>
    <w:qFormat/>
    <w:rsid w:val="006D0810"/>
    <w:pPr>
      <w:spacing w:before="60" w:after="60" w:line="312" w:lineRule="auto"/>
    </w:pPr>
    <w:rPr>
      <w:rFonts w:eastAsia="Times New Roman"/>
      <w:szCs w:val="24"/>
    </w:rPr>
  </w:style>
  <w:style w:type="character" w:customStyle="1" w:styleId="TextNOKChar">
    <w:name w:val="Text NOK Char"/>
    <w:basedOn w:val="Standardnpsmoodstavce"/>
    <w:link w:val="TextNOK"/>
    <w:locked/>
    <w:rsid w:val="006D0810"/>
    <w:rPr>
      <w:sz w:val="22"/>
      <w:szCs w:val="24"/>
    </w:rPr>
  </w:style>
  <w:style w:type="paragraph" w:styleId="Zkladntext">
    <w:name w:val="Body Text"/>
    <w:basedOn w:val="Normln"/>
    <w:link w:val="ZkladntextChar"/>
    <w:uiPriority w:val="99"/>
    <w:semiHidden/>
    <w:unhideWhenUsed/>
    <w:rsid w:val="006D0810"/>
    <w:pPr>
      <w:spacing w:after="120"/>
    </w:pPr>
  </w:style>
  <w:style w:type="character" w:customStyle="1" w:styleId="ZkladntextChar">
    <w:name w:val="Základní text Char"/>
    <w:basedOn w:val="Standardnpsmoodstavce"/>
    <w:link w:val="Zkladntext"/>
    <w:uiPriority w:val="99"/>
    <w:semiHidden/>
    <w:rsid w:val="006D0810"/>
    <w:rPr>
      <w:rFonts w:eastAsia="Arial Unicode MS"/>
      <w:sz w:val="22"/>
      <w:szCs w:val="22"/>
      <w:u w:color="000000"/>
    </w:rPr>
  </w:style>
  <w:style w:type="paragraph" w:customStyle="1" w:styleId="Styl2">
    <w:name w:val="Styl2"/>
    <w:basedOn w:val="Normln"/>
    <w:qFormat/>
    <w:rsid w:val="00123789"/>
    <w:pPr>
      <w:spacing w:before="60" w:after="60" w:line="288" w:lineRule="auto"/>
    </w:pPr>
    <w:rPr>
      <w:rFonts w:ascii="Arial" w:hAnsi="Arial"/>
      <w:sz w:val="20"/>
    </w:rPr>
  </w:style>
  <w:style w:type="paragraph" w:styleId="Revize">
    <w:name w:val="Revision"/>
    <w:hidden/>
    <w:uiPriority w:val="99"/>
    <w:semiHidden/>
    <w:rsid w:val="00623289"/>
    <w:rPr>
      <w:rFonts w:eastAsia="Arial Unicode MS"/>
      <w:sz w:val="22"/>
      <w:szCs w:val="22"/>
      <w:u w:color="000000"/>
    </w:rPr>
  </w:style>
  <w:style w:type="paragraph" w:styleId="Normlnweb">
    <w:name w:val="Normal (Web)"/>
    <w:basedOn w:val="Normln"/>
    <w:uiPriority w:val="99"/>
    <w:unhideWhenUsed/>
    <w:rsid w:val="00FC1B7A"/>
    <w:pPr>
      <w:spacing w:before="100" w:beforeAutospacing="1" w:after="100" w:afterAutospacing="1" w:line="240" w:lineRule="auto"/>
      <w:jc w:val="left"/>
    </w:pPr>
    <w:rPr>
      <w:rFonts w:eastAsia="Times New Roman"/>
      <w:sz w:val="24"/>
      <w:szCs w:val="24"/>
    </w:rPr>
  </w:style>
  <w:style w:type="paragraph" w:styleId="Obsah2">
    <w:name w:val="toc 2"/>
    <w:basedOn w:val="Normln"/>
    <w:next w:val="Normln"/>
    <w:autoRedefine/>
    <w:uiPriority w:val="39"/>
    <w:unhideWhenUsed/>
    <w:rsid w:val="00EB677D"/>
    <w:pPr>
      <w:tabs>
        <w:tab w:val="left" w:pos="880"/>
        <w:tab w:val="right" w:leader="dot" w:pos="9062"/>
      </w:tabs>
      <w:spacing w:after="100" w:line="312" w:lineRule="auto"/>
      <w:ind w:left="851" w:hanging="631"/>
    </w:pPr>
  </w:style>
  <w:style w:type="paragraph" w:customStyle="1" w:styleId="Tabulka">
    <w:name w:val="Tabulka"/>
    <w:basedOn w:val="Titulek"/>
    <w:link w:val="TabulkaChar"/>
    <w:qFormat/>
    <w:rsid w:val="00615420"/>
    <w:pPr>
      <w:spacing w:before="0" w:after="200"/>
      <w:ind w:left="0"/>
    </w:pPr>
    <w:rPr>
      <w:rFonts w:eastAsia="Times New Roman"/>
      <w:bCs w:val="0"/>
      <w:color w:val="4F81BD"/>
      <w:sz w:val="24"/>
      <w:szCs w:val="20"/>
    </w:rPr>
  </w:style>
  <w:style w:type="character" w:customStyle="1" w:styleId="TabulkaChar">
    <w:name w:val="Tabulka Char"/>
    <w:link w:val="Tabulka"/>
    <w:locked/>
    <w:rsid w:val="00615420"/>
    <w:rPr>
      <w:b/>
      <w:color w:val="4F81BD"/>
      <w:sz w:val="24"/>
    </w:rPr>
  </w:style>
  <w:style w:type="paragraph" w:customStyle="1" w:styleId="DAVA">
    <w:name w:val="DAVA"/>
    <w:basedOn w:val="Normln"/>
    <w:link w:val="DAVAChar"/>
    <w:qFormat/>
    <w:rsid w:val="00615420"/>
    <w:pPr>
      <w:spacing w:line="240" w:lineRule="auto"/>
      <w:jc w:val="left"/>
    </w:pPr>
    <w:rPr>
      <w:rFonts w:ascii="Arial" w:eastAsia="Times New Roman" w:hAnsi="Arial"/>
      <w:sz w:val="28"/>
      <w:szCs w:val="20"/>
    </w:rPr>
  </w:style>
  <w:style w:type="character" w:customStyle="1" w:styleId="DAVAChar">
    <w:name w:val="DAVA Char"/>
    <w:link w:val="DAVA"/>
    <w:locked/>
    <w:rsid w:val="00615420"/>
    <w:rPr>
      <w:rFonts w:ascii="Arial" w:hAnsi="Arial"/>
      <w:sz w:val="28"/>
    </w:rPr>
  </w:style>
  <w:style w:type="paragraph" w:styleId="Pedmtkomente">
    <w:name w:val="annotation subject"/>
    <w:basedOn w:val="Textkomente"/>
    <w:next w:val="Textkomente"/>
    <w:link w:val="PedmtkomenteChar"/>
    <w:uiPriority w:val="99"/>
    <w:semiHidden/>
    <w:unhideWhenUsed/>
    <w:rsid w:val="004C2318"/>
    <w:pPr>
      <w:spacing w:before="120"/>
      <w:jc w:val="both"/>
    </w:pPr>
    <w:rPr>
      <w:rFonts w:ascii="Times New Roman" w:eastAsia="Arial Unicode MS" w:hAnsi="Times New Roman" w:cs="Times New Roman"/>
      <w:b/>
      <w:bCs/>
    </w:rPr>
  </w:style>
  <w:style w:type="character" w:customStyle="1" w:styleId="PedmtkomenteChar">
    <w:name w:val="Předmět komentáře Char"/>
    <w:basedOn w:val="TextkomenteChar"/>
    <w:link w:val="Pedmtkomente"/>
    <w:uiPriority w:val="99"/>
    <w:semiHidden/>
    <w:rsid w:val="004C2318"/>
    <w:rPr>
      <w:rFonts w:ascii="Arial" w:eastAsia="Arial Unicode MS" w:hAnsi="Arial" w:cs="Arial"/>
      <w:b/>
      <w:bCs/>
      <w:u w:color="000000"/>
    </w:rPr>
  </w:style>
  <w:style w:type="paragraph" w:customStyle="1" w:styleId="111AAA">
    <w:name w:val="111AAA"/>
    <w:basedOn w:val="Normln"/>
    <w:rsid w:val="001F2910"/>
    <w:pPr>
      <w:spacing w:line="240" w:lineRule="auto"/>
    </w:pPr>
    <w:rPr>
      <w:rFonts w:eastAsia="Times New Roman"/>
      <w:sz w:val="24"/>
      <w:szCs w:val="20"/>
    </w:rPr>
  </w:style>
  <w:style w:type="numbering" w:customStyle="1" w:styleId="List1">
    <w:name w:val="List 1"/>
    <w:rsid w:val="00FC7EE7"/>
    <w:pPr>
      <w:numPr>
        <w:numId w:val="4"/>
      </w:numPr>
    </w:pPr>
  </w:style>
  <w:style w:type="paragraph" w:styleId="Obsah3">
    <w:name w:val="toc 3"/>
    <w:basedOn w:val="Normln"/>
    <w:next w:val="Normln"/>
    <w:autoRedefine/>
    <w:uiPriority w:val="39"/>
    <w:unhideWhenUsed/>
    <w:rsid w:val="008073B7"/>
    <w:pPr>
      <w:spacing w:after="100"/>
      <w:ind w:left="440"/>
    </w:pPr>
  </w:style>
  <w:style w:type="character" w:styleId="Zvraznn">
    <w:name w:val="Emphasis"/>
    <w:basedOn w:val="Standardnpsmoodstavce"/>
    <w:uiPriority w:val="20"/>
    <w:qFormat/>
    <w:rsid w:val="008E75C0"/>
    <w:rPr>
      <w:b/>
      <w:bCs/>
      <w:i w:val="0"/>
      <w:iCs w:val="0"/>
    </w:rPr>
  </w:style>
  <w:style w:type="character" w:customStyle="1" w:styleId="st1">
    <w:name w:val="st1"/>
    <w:basedOn w:val="Standardnpsmoodstavce"/>
    <w:rsid w:val="008E75C0"/>
  </w:style>
  <w:style w:type="paragraph" w:styleId="Seznamsodrkami3">
    <w:name w:val="List Bullet 3"/>
    <w:basedOn w:val="Normln"/>
    <w:uiPriority w:val="99"/>
    <w:rsid w:val="007719D9"/>
    <w:pPr>
      <w:numPr>
        <w:numId w:val="23"/>
      </w:numPr>
      <w:tabs>
        <w:tab w:val="clear" w:pos="643"/>
        <w:tab w:val="num" w:pos="926"/>
      </w:tabs>
      <w:spacing w:after="120" w:line="240" w:lineRule="auto"/>
      <w:ind w:left="926"/>
      <w:contextualSpacing/>
    </w:pPr>
    <w:rPr>
      <w:rFonts w:eastAsia="Calibri"/>
      <w:sz w:val="24"/>
      <w:lang w:val="en-GB" w:eastAsia="en-GB"/>
    </w:rPr>
  </w:style>
  <w:style w:type="paragraph" w:customStyle="1" w:styleId="Default">
    <w:name w:val="Default"/>
    <w:rsid w:val="00CC5D9C"/>
    <w:pPr>
      <w:autoSpaceDE w:val="0"/>
      <w:autoSpaceDN w:val="0"/>
      <w:adjustRightInd w:val="0"/>
      <w:spacing w:after="200" w:line="276" w:lineRule="auto"/>
    </w:pPr>
    <w:rPr>
      <w:color w:val="000000"/>
      <w:sz w:val="24"/>
      <w:szCs w:val="24"/>
      <w:lang w:val="en-GB" w:eastAsia="en-GB"/>
    </w:rPr>
  </w:style>
  <w:style w:type="paragraph" w:customStyle="1" w:styleId="Text1">
    <w:name w:val="Text 1"/>
    <w:basedOn w:val="Normln"/>
    <w:uiPriority w:val="99"/>
    <w:rsid w:val="00DE6A60"/>
    <w:pPr>
      <w:spacing w:after="120" w:line="240" w:lineRule="auto"/>
      <w:ind w:left="850"/>
    </w:pPr>
    <w:rPr>
      <w:rFonts w:eastAsia="Calibri"/>
      <w:sz w:val="24"/>
      <w:lang w:val="en-GB" w:eastAsia="en-GB"/>
    </w:rPr>
  </w:style>
  <w:style w:type="table" w:styleId="Svtlstnovn">
    <w:name w:val="Light Shading"/>
    <w:basedOn w:val="Normlntabulka"/>
    <w:uiPriority w:val="60"/>
    <w:rsid w:val="009A42DD"/>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tednstnovn1">
    <w:name w:val="Medium Shading 1"/>
    <w:basedOn w:val="Normlntabulka"/>
    <w:uiPriority w:val="63"/>
    <w:rsid w:val="009A42DD"/>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tednmka1">
    <w:name w:val="Medium Grid 1"/>
    <w:basedOn w:val="Normlntabulka"/>
    <w:uiPriority w:val="67"/>
    <w:rsid w:val="00DF71F1"/>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54A08"/>
    <w:pPr>
      <w:spacing w:before="120" w:line="276" w:lineRule="auto"/>
      <w:jc w:val="both"/>
    </w:pPr>
    <w:rPr>
      <w:rFonts w:eastAsia="Arial Unicode MS"/>
      <w:sz w:val="22"/>
      <w:szCs w:val="22"/>
      <w:u w:color="000000"/>
    </w:rPr>
  </w:style>
  <w:style w:type="paragraph" w:styleId="Nadpis1">
    <w:name w:val="heading 1"/>
    <w:basedOn w:val="Normln"/>
    <w:next w:val="Normln"/>
    <w:link w:val="Nadpis1Char"/>
    <w:uiPriority w:val="9"/>
    <w:qFormat/>
    <w:rsid w:val="00CC5D9C"/>
    <w:pPr>
      <w:keepNext/>
      <w:keepLines/>
      <w:numPr>
        <w:numId w:val="2"/>
      </w:numPr>
      <w:spacing w:before="0" w:after="240"/>
      <w:ind w:left="425" w:hanging="425"/>
      <w:outlineLvl w:val="0"/>
    </w:pPr>
    <w:rPr>
      <w:rFonts w:ascii="Arial" w:eastAsiaTheme="majorEastAsia" w:hAnsi="Arial" w:cs="Arial"/>
      <w:b/>
      <w:bCs/>
      <w:sz w:val="36"/>
      <w:szCs w:val="32"/>
    </w:rPr>
  </w:style>
  <w:style w:type="paragraph" w:styleId="Nadpis2">
    <w:name w:val="heading 2"/>
    <w:basedOn w:val="Nadpis1"/>
    <w:next w:val="Normln"/>
    <w:link w:val="Nadpis2Char"/>
    <w:uiPriority w:val="9"/>
    <w:unhideWhenUsed/>
    <w:qFormat/>
    <w:rsid w:val="00FD74C0"/>
    <w:pPr>
      <w:keepLines w:val="0"/>
      <w:numPr>
        <w:ilvl w:val="1"/>
      </w:numPr>
      <w:tabs>
        <w:tab w:val="num" w:pos="850"/>
      </w:tabs>
      <w:spacing w:before="360" w:after="120" w:line="240" w:lineRule="auto"/>
      <w:ind w:left="851" w:hanging="851"/>
      <w:outlineLvl w:val="1"/>
    </w:pPr>
    <w:rPr>
      <w:sz w:val="28"/>
      <w:szCs w:val="28"/>
      <w:bdr w:val="ni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CC5D9C"/>
    <w:rPr>
      <w:rFonts w:ascii="Arial" w:eastAsiaTheme="majorEastAsia" w:hAnsi="Arial" w:cs="Arial"/>
      <w:b/>
      <w:bCs/>
      <w:sz w:val="36"/>
      <w:szCs w:val="32"/>
      <w:u w:color="000000"/>
    </w:rPr>
  </w:style>
  <w:style w:type="character" w:styleId="Siln">
    <w:name w:val="Strong"/>
    <w:basedOn w:val="Standardnpsmoodstavce"/>
    <w:uiPriority w:val="22"/>
    <w:qFormat/>
    <w:rsid w:val="00754A08"/>
    <w:rPr>
      <w:b/>
      <w:bCs/>
      <w:sz w:val="36"/>
      <w:szCs w:val="36"/>
    </w:rPr>
  </w:style>
  <w:style w:type="paragraph" w:styleId="Odstavecseseznamem">
    <w:name w:val="List Paragraph"/>
    <w:basedOn w:val="Normln"/>
    <w:link w:val="OdstavecseseznamemChar"/>
    <w:uiPriority w:val="34"/>
    <w:qFormat/>
    <w:rsid w:val="00754A08"/>
    <w:pPr>
      <w:spacing w:after="120"/>
      <w:ind w:left="720" w:hanging="284"/>
      <w:contextualSpacing/>
    </w:pPr>
    <w:rPr>
      <w:rFonts w:ascii="Calibri" w:hAnsi="Calibri" w:cs="Calibri"/>
      <w:lang w:eastAsia="en-US"/>
    </w:rPr>
  </w:style>
  <w:style w:type="paragraph" w:styleId="Nzev">
    <w:name w:val="Title"/>
    <w:basedOn w:val="Normln"/>
    <w:next w:val="Normln"/>
    <w:link w:val="NzevChar"/>
    <w:qFormat/>
    <w:rsid w:val="00754A08"/>
    <w:pPr>
      <w:pBdr>
        <w:bottom w:val="single" w:sz="8" w:space="4" w:color="4F81BD" w:themeColor="accent1"/>
      </w:pBdr>
      <w:spacing w:before="0"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rsid w:val="00754A08"/>
    <w:rPr>
      <w:rFonts w:asciiTheme="majorHAnsi" w:eastAsiaTheme="majorEastAsia" w:hAnsiTheme="majorHAnsi" w:cstheme="majorBidi"/>
      <w:color w:val="17365D" w:themeColor="text2" w:themeShade="BF"/>
      <w:spacing w:val="5"/>
      <w:kern w:val="28"/>
      <w:sz w:val="52"/>
      <w:szCs w:val="52"/>
      <w:u w:color="000000"/>
    </w:rPr>
  </w:style>
  <w:style w:type="paragraph" w:styleId="Podtitul">
    <w:name w:val="Subtitle"/>
    <w:basedOn w:val="Normln"/>
    <w:next w:val="Normln"/>
    <w:link w:val="PodtitulChar"/>
    <w:uiPriority w:val="11"/>
    <w:qFormat/>
    <w:rsid w:val="00754A08"/>
    <w:pPr>
      <w:numPr>
        <w:ilvl w:val="1"/>
      </w:numPr>
      <w:spacing w:before="0" w:line="240" w:lineRule="auto"/>
      <w:jc w:val="center"/>
    </w:pPr>
    <w:rPr>
      <w:rFonts w:ascii="Arial" w:eastAsiaTheme="majorEastAsia" w:hAnsi="Arial" w:cs="Arial"/>
      <w:b/>
      <w:iCs/>
      <w:spacing w:val="15"/>
      <w:sz w:val="36"/>
      <w:szCs w:val="36"/>
    </w:rPr>
  </w:style>
  <w:style w:type="character" w:customStyle="1" w:styleId="PodtitulChar">
    <w:name w:val="Podtitul Char"/>
    <w:basedOn w:val="Standardnpsmoodstavce"/>
    <w:link w:val="Podtitul"/>
    <w:uiPriority w:val="11"/>
    <w:rsid w:val="00754A08"/>
    <w:rPr>
      <w:rFonts w:ascii="Arial" w:eastAsiaTheme="majorEastAsia" w:hAnsi="Arial" w:cs="Arial"/>
      <w:b/>
      <w:iCs/>
      <w:spacing w:val="15"/>
      <w:sz w:val="36"/>
      <w:szCs w:val="36"/>
      <w:u w:color="000000"/>
    </w:rPr>
  </w:style>
  <w:style w:type="paragraph" w:styleId="Textpoznpodarou">
    <w:name w:val="footnote text"/>
    <w:aliases w:val="Schriftart: 9 pt,Schriftart: 10 pt,Schriftart: 8 pt,Text poznámky pod čiarou 007,Footnote,Fußnotentextf,Geneva 9,Font: Geneva 9,Boston 10,f,pozn. pod čarou,Char,Text pozn. pod čarou1,Char Char Char1,Char Char1,Footnote Text Char1,o"/>
    <w:basedOn w:val="Normln"/>
    <w:link w:val="TextpoznpodarouChar"/>
    <w:uiPriority w:val="99"/>
    <w:unhideWhenUsed/>
    <w:qFormat/>
    <w:rsid w:val="009D4DEB"/>
    <w:pPr>
      <w:spacing w:before="0" w:line="240" w:lineRule="auto"/>
    </w:pPr>
    <w:rPr>
      <w:sz w:val="20"/>
      <w:szCs w:val="20"/>
    </w:rPr>
  </w:style>
  <w:style w:type="character" w:customStyle="1" w:styleId="TextpoznpodarouChar">
    <w:name w:val="Text pozn. pod čarou Char"/>
    <w:aliases w:val="Schriftart: 9 pt Char,Schriftart: 10 pt Char,Schriftart: 8 pt Char,Text poznámky pod čiarou 007 Char,Footnote Char,Fußnotentextf Char,Geneva 9 Char,Font: Geneva 9 Char,Boston 10 Char,f Char,pozn. pod čarou Char,Char Char,o Char"/>
    <w:basedOn w:val="Standardnpsmoodstavce"/>
    <w:link w:val="Textpoznpodarou"/>
    <w:uiPriority w:val="99"/>
    <w:rsid w:val="009D4DEB"/>
    <w:rPr>
      <w:rFonts w:eastAsia="Arial Unicode MS"/>
      <w:u w:color="000000"/>
    </w:rPr>
  </w:style>
  <w:style w:type="character" w:styleId="Znakapoznpodarou">
    <w:name w:val="footnote reference"/>
    <w:aliases w:val="BVI fnr,Footnote symbol,Footnote Reference Superscript,Appel note de bas de p,Appel note de bas de page,Légende,Char Car Car Car Car,Voetnootverwijzing,Légende;Char Car Car Car Car,PGI Fußnote Ziffer,Légende.Char Car Car Car Car"/>
    <w:basedOn w:val="Standardnpsmoodstavce"/>
    <w:uiPriority w:val="99"/>
    <w:unhideWhenUsed/>
    <w:rsid w:val="009D4DEB"/>
    <w:rPr>
      <w:vertAlign w:val="superscript"/>
    </w:rPr>
  </w:style>
  <w:style w:type="paragraph" w:styleId="Nadpisobsahu">
    <w:name w:val="TOC Heading"/>
    <w:basedOn w:val="Nadpis1"/>
    <w:next w:val="Normln"/>
    <w:uiPriority w:val="39"/>
    <w:unhideWhenUsed/>
    <w:qFormat/>
    <w:rsid w:val="003736CE"/>
    <w:pPr>
      <w:numPr>
        <w:numId w:val="0"/>
      </w:numPr>
      <w:jc w:val="left"/>
      <w:outlineLvl w:val="9"/>
    </w:pPr>
    <w:rPr>
      <w:rFonts w:asciiTheme="majorHAnsi" w:hAnsiTheme="majorHAnsi" w:cstheme="majorBidi"/>
      <w:color w:val="365F91" w:themeColor="accent1" w:themeShade="BF"/>
      <w:lang w:eastAsia="en-US"/>
    </w:rPr>
  </w:style>
  <w:style w:type="paragraph" w:styleId="Obsah1">
    <w:name w:val="toc 1"/>
    <w:basedOn w:val="Normln"/>
    <w:next w:val="Normln"/>
    <w:autoRedefine/>
    <w:uiPriority w:val="39"/>
    <w:unhideWhenUsed/>
    <w:rsid w:val="00EB677D"/>
    <w:pPr>
      <w:tabs>
        <w:tab w:val="left" w:pos="440"/>
        <w:tab w:val="right" w:leader="dot" w:pos="9062"/>
      </w:tabs>
      <w:spacing w:before="60" w:line="312" w:lineRule="auto"/>
    </w:pPr>
    <w:rPr>
      <w:rFonts w:ascii="Arial" w:hAnsi="Arial" w:cs="Arial"/>
      <w:smallCaps/>
      <w:noProof/>
    </w:rPr>
  </w:style>
  <w:style w:type="character" w:styleId="Hypertextovodkaz">
    <w:name w:val="Hyperlink"/>
    <w:basedOn w:val="Standardnpsmoodstavce"/>
    <w:uiPriority w:val="99"/>
    <w:unhideWhenUsed/>
    <w:rsid w:val="003736CE"/>
    <w:rPr>
      <w:color w:val="0000FF" w:themeColor="hyperlink"/>
      <w:u w:val="single"/>
    </w:rPr>
  </w:style>
  <w:style w:type="paragraph" w:styleId="Textbubliny">
    <w:name w:val="Balloon Text"/>
    <w:basedOn w:val="Normln"/>
    <w:link w:val="TextbublinyChar"/>
    <w:uiPriority w:val="99"/>
    <w:semiHidden/>
    <w:unhideWhenUsed/>
    <w:rsid w:val="003736CE"/>
    <w:pPr>
      <w:spacing w:before="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736CE"/>
    <w:rPr>
      <w:rFonts w:ascii="Tahoma" w:eastAsia="Arial Unicode MS" w:hAnsi="Tahoma" w:cs="Tahoma"/>
      <w:sz w:val="16"/>
      <w:szCs w:val="16"/>
      <w:u w:color="000000"/>
    </w:rPr>
  </w:style>
  <w:style w:type="table" w:styleId="Mkatabulky">
    <w:name w:val="Table Grid"/>
    <w:basedOn w:val="Normlntabulka"/>
    <w:uiPriority w:val="59"/>
    <w:rsid w:val="008563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ulek">
    <w:name w:val="caption"/>
    <w:basedOn w:val="Normln"/>
    <w:next w:val="Normln"/>
    <w:uiPriority w:val="35"/>
    <w:unhideWhenUsed/>
    <w:qFormat/>
    <w:rsid w:val="00724E7F"/>
    <w:pPr>
      <w:spacing w:after="40" w:line="240" w:lineRule="auto"/>
      <w:ind w:left="142"/>
    </w:pPr>
    <w:rPr>
      <w:b/>
      <w:bCs/>
    </w:rPr>
  </w:style>
  <w:style w:type="character" w:customStyle="1" w:styleId="Nadpis2Char">
    <w:name w:val="Nadpis 2 Char"/>
    <w:basedOn w:val="Standardnpsmoodstavce"/>
    <w:link w:val="Nadpis2"/>
    <w:uiPriority w:val="9"/>
    <w:rsid w:val="00FD74C0"/>
    <w:rPr>
      <w:rFonts w:ascii="Arial" w:eastAsiaTheme="majorEastAsia" w:hAnsi="Arial" w:cs="Arial"/>
      <w:b/>
      <w:bCs/>
      <w:sz w:val="28"/>
      <w:szCs w:val="28"/>
      <w:u w:color="000000"/>
      <w:bdr w:val="nil"/>
    </w:rPr>
  </w:style>
  <w:style w:type="paragraph" w:customStyle="1" w:styleId="Odstavecseseznamem1">
    <w:name w:val="Odstavec se seznamem1"/>
    <w:basedOn w:val="Normln"/>
    <w:link w:val="ListParagraphChar"/>
    <w:uiPriority w:val="34"/>
    <w:qFormat/>
    <w:rsid w:val="00923C91"/>
    <w:pPr>
      <w:spacing w:before="0" w:after="200"/>
      <w:ind w:left="720"/>
      <w:jc w:val="left"/>
    </w:pPr>
    <w:rPr>
      <w:rFonts w:ascii="Calibri" w:eastAsia="Times New Roman" w:hAnsi="Calibri" w:cs="Calibri"/>
      <w:lang w:eastAsia="en-US"/>
    </w:rPr>
  </w:style>
  <w:style w:type="character" w:customStyle="1" w:styleId="ListParagraphChar">
    <w:name w:val="List Paragraph Char"/>
    <w:basedOn w:val="Standardnpsmoodstavce"/>
    <w:link w:val="Odstavecseseznamem1"/>
    <w:uiPriority w:val="34"/>
    <w:locked/>
    <w:rsid w:val="00923C91"/>
    <w:rPr>
      <w:rFonts w:ascii="Calibri" w:hAnsi="Calibri" w:cs="Calibri"/>
      <w:sz w:val="22"/>
      <w:szCs w:val="22"/>
      <w:lang w:eastAsia="en-US"/>
    </w:rPr>
  </w:style>
  <w:style w:type="paragraph" w:styleId="Zhlav">
    <w:name w:val="header"/>
    <w:basedOn w:val="Normln"/>
    <w:link w:val="ZhlavChar"/>
    <w:uiPriority w:val="99"/>
    <w:unhideWhenUsed/>
    <w:rsid w:val="00A4479A"/>
    <w:pPr>
      <w:tabs>
        <w:tab w:val="center" w:pos="4536"/>
        <w:tab w:val="right" w:pos="9072"/>
      </w:tabs>
      <w:spacing w:before="0" w:line="240" w:lineRule="auto"/>
    </w:pPr>
  </w:style>
  <w:style w:type="character" w:customStyle="1" w:styleId="ZhlavChar">
    <w:name w:val="Záhlaví Char"/>
    <w:basedOn w:val="Standardnpsmoodstavce"/>
    <w:link w:val="Zhlav"/>
    <w:uiPriority w:val="99"/>
    <w:rsid w:val="00A4479A"/>
    <w:rPr>
      <w:rFonts w:eastAsia="Arial Unicode MS"/>
      <w:sz w:val="22"/>
      <w:szCs w:val="22"/>
      <w:u w:color="000000"/>
    </w:rPr>
  </w:style>
  <w:style w:type="paragraph" w:styleId="Zpat">
    <w:name w:val="footer"/>
    <w:basedOn w:val="Normln"/>
    <w:link w:val="ZpatChar"/>
    <w:uiPriority w:val="99"/>
    <w:unhideWhenUsed/>
    <w:rsid w:val="00A4479A"/>
    <w:pPr>
      <w:tabs>
        <w:tab w:val="center" w:pos="4536"/>
        <w:tab w:val="right" w:pos="9072"/>
      </w:tabs>
      <w:spacing w:before="0" w:line="240" w:lineRule="auto"/>
    </w:pPr>
  </w:style>
  <w:style w:type="character" w:customStyle="1" w:styleId="ZpatChar">
    <w:name w:val="Zápatí Char"/>
    <w:basedOn w:val="Standardnpsmoodstavce"/>
    <w:link w:val="Zpat"/>
    <w:uiPriority w:val="99"/>
    <w:rsid w:val="00A4479A"/>
    <w:rPr>
      <w:rFonts w:eastAsia="Arial Unicode MS"/>
      <w:sz w:val="22"/>
      <w:szCs w:val="22"/>
      <w:u w:color="000000"/>
    </w:rPr>
  </w:style>
  <w:style w:type="paragraph" w:customStyle="1" w:styleId="List0">
    <w:name w:val="List 0"/>
    <w:basedOn w:val="Normln"/>
    <w:semiHidden/>
    <w:rsid w:val="00E06A52"/>
    <w:pPr>
      <w:numPr>
        <w:numId w:val="1"/>
      </w:numPr>
      <w:spacing w:before="0" w:line="240" w:lineRule="auto"/>
      <w:jc w:val="left"/>
    </w:pPr>
    <w:rPr>
      <w:rFonts w:eastAsia="Times New Roman"/>
      <w:sz w:val="20"/>
      <w:szCs w:val="20"/>
    </w:rPr>
  </w:style>
  <w:style w:type="character" w:styleId="Odkaznakoment">
    <w:name w:val="annotation reference"/>
    <w:basedOn w:val="Standardnpsmoodstavce"/>
    <w:uiPriority w:val="99"/>
    <w:semiHidden/>
    <w:rsid w:val="001870D9"/>
    <w:rPr>
      <w:sz w:val="16"/>
      <w:szCs w:val="16"/>
    </w:rPr>
  </w:style>
  <w:style w:type="character" w:customStyle="1" w:styleId="TextkomenteChar">
    <w:name w:val="Text komentáře Char"/>
    <w:basedOn w:val="Standardnpsmoodstavce"/>
    <w:link w:val="Textkomente"/>
    <w:uiPriority w:val="99"/>
    <w:semiHidden/>
    <w:rsid w:val="001870D9"/>
    <w:rPr>
      <w:rFonts w:ascii="Arial" w:hAnsi="Arial" w:cs="Arial"/>
    </w:rPr>
  </w:style>
  <w:style w:type="paragraph" w:styleId="Textkomente">
    <w:name w:val="annotation text"/>
    <w:basedOn w:val="Normln"/>
    <w:link w:val="TextkomenteChar"/>
    <w:uiPriority w:val="99"/>
    <w:semiHidden/>
    <w:rsid w:val="001870D9"/>
    <w:pPr>
      <w:spacing w:before="0" w:line="240" w:lineRule="auto"/>
      <w:jc w:val="left"/>
    </w:pPr>
    <w:rPr>
      <w:rFonts w:ascii="Arial" w:eastAsia="Times New Roman" w:hAnsi="Arial" w:cs="Arial"/>
      <w:sz w:val="20"/>
      <w:szCs w:val="20"/>
    </w:rPr>
  </w:style>
  <w:style w:type="character" w:customStyle="1" w:styleId="TextkomenteChar1">
    <w:name w:val="Text komentáře Char1"/>
    <w:basedOn w:val="Standardnpsmoodstavce"/>
    <w:uiPriority w:val="99"/>
    <w:semiHidden/>
    <w:rsid w:val="001870D9"/>
    <w:rPr>
      <w:rFonts w:eastAsia="Arial Unicode MS"/>
      <w:u w:color="000000"/>
    </w:rPr>
  </w:style>
  <w:style w:type="paragraph" w:styleId="Bezmezer">
    <w:name w:val="No Spacing"/>
    <w:uiPriority w:val="1"/>
    <w:qFormat/>
    <w:rsid w:val="00CD02F7"/>
    <w:pPr>
      <w:jc w:val="both"/>
    </w:pPr>
    <w:rPr>
      <w:rFonts w:eastAsia="Arial Unicode MS"/>
      <w:sz w:val="22"/>
      <w:szCs w:val="22"/>
      <w:u w:color="000000"/>
    </w:rPr>
  </w:style>
  <w:style w:type="paragraph" w:styleId="Prosttext">
    <w:name w:val="Plain Text"/>
    <w:basedOn w:val="Normln"/>
    <w:link w:val="ProsttextChar"/>
    <w:uiPriority w:val="99"/>
    <w:semiHidden/>
    <w:unhideWhenUsed/>
    <w:rsid w:val="008A145C"/>
    <w:pPr>
      <w:spacing w:before="0" w:line="240" w:lineRule="auto"/>
      <w:jc w:val="left"/>
    </w:pPr>
    <w:rPr>
      <w:rFonts w:ascii="Calibri" w:eastAsiaTheme="minorHAnsi" w:hAnsi="Calibri" w:cs="Consolas"/>
      <w:szCs w:val="21"/>
      <w:lang w:eastAsia="en-US"/>
    </w:rPr>
  </w:style>
  <w:style w:type="character" w:customStyle="1" w:styleId="ProsttextChar">
    <w:name w:val="Prostý text Char"/>
    <w:basedOn w:val="Standardnpsmoodstavce"/>
    <w:link w:val="Prosttext"/>
    <w:uiPriority w:val="99"/>
    <w:semiHidden/>
    <w:rsid w:val="008A145C"/>
    <w:rPr>
      <w:rFonts w:ascii="Calibri" w:eastAsiaTheme="minorHAnsi" w:hAnsi="Calibri" w:cs="Consolas"/>
      <w:sz w:val="22"/>
      <w:szCs w:val="21"/>
      <w:lang w:eastAsia="en-US"/>
    </w:rPr>
  </w:style>
  <w:style w:type="character" w:customStyle="1" w:styleId="OdstavecseseznamemChar">
    <w:name w:val="Odstavec se seznamem Char"/>
    <w:link w:val="Odstavecseseznamem"/>
    <w:uiPriority w:val="34"/>
    <w:locked/>
    <w:rsid w:val="003016BD"/>
    <w:rPr>
      <w:rFonts w:ascii="Calibri" w:eastAsia="Arial Unicode MS" w:hAnsi="Calibri" w:cs="Calibri"/>
      <w:sz w:val="22"/>
      <w:szCs w:val="22"/>
      <w:u w:color="000000"/>
      <w:lang w:eastAsia="en-US"/>
    </w:rPr>
  </w:style>
  <w:style w:type="paragraph" w:customStyle="1" w:styleId="Seznam">
    <w:name w:val="*Seznam"/>
    <w:basedOn w:val="Zkladntext"/>
    <w:rsid w:val="006D0810"/>
    <w:pPr>
      <w:numPr>
        <w:numId w:val="3"/>
      </w:numPr>
      <w:tabs>
        <w:tab w:val="clear" w:pos="720"/>
      </w:tabs>
      <w:overflowPunct w:val="0"/>
      <w:autoSpaceDE w:val="0"/>
      <w:autoSpaceDN w:val="0"/>
      <w:adjustRightInd w:val="0"/>
      <w:spacing w:line="240" w:lineRule="auto"/>
      <w:ind w:left="714" w:hanging="357"/>
      <w:contextualSpacing/>
      <w:jc w:val="left"/>
      <w:textAlignment w:val="baseline"/>
    </w:pPr>
    <w:rPr>
      <w:rFonts w:eastAsia="Times New Roman"/>
      <w:sz w:val="24"/>
      <w:szCs w:val="20"/>
    </w:rPr>
  </w:style>
  <w:style w:type="paragraph" w:customStyle="1" w:styleId="TextNOK">
    <w:name w:val="Text NOK"/>
    <w:basedOn w:val="Normln"/>
    <w:link w:val="TextNOKChar"/>
    <w:qFormat/>
    <w:rsid w:val="006D0810"/>
    <w:pPr>
      <w:spacing w:before="60" w:after="60" w:line="312" w:lineRule="auto"/>
    </w:pPr>
    <w:rPr>
      <w:rFonts w:eastAsia="Times New Roman"/>
      <w:szCs w:val="24"/>
    </w:rPr>
  </w:style>
  <w:style w:type="character" w:customStyle="1" w:styleId="TextNOKChar">
    <w:name w:val="Text NOK Char"/>
    <w:basedOn w:val="Standardnpsmoodstavce"/>
    <w:link w:val="TextNOK"/>
    <w:locked/>
    <w:rsid w:val="006D0810"/>
    <w:rPr>
      <w:sz w:val="22"/>
      <w:szCs w:val="24"/>
    </w:rPr>
  </w:style>
  <w:style w:type="paragraph" w:styleId="Zkladntext">
    <w:name w:val="Body Text"/>
    <w:basedOn w:val="Normln"/>
    <w:link w:val="ZkladntextChar"/>
    <w:uiPriority w:val="99"/>
    <w:semiHidden/>
    <w:unhideWhenUsed/>
    <w:rsid w:val="006D0810"/>
    <w:pPr>
      <w:spacing w:after="120"/>
    </w:pPr>
  </w:style>
  <w:style w:type="character" w:customStyle="1" w:styleId="ZkladntextChar">
    <w:name w:val="Základní text Char"/>
    <w:basedOn w:val="Standardnpsmoodstavce"/>
    <w:link w:val="Zkladntext"/>
    <w:uiPriority w:val="99"/>
    <w:semiHidden/>
    <w:rsid w:val="006D0810"/>
    <w:rPr>
      <w:rFonts w:eastAsia="Arial Unicode MS"/>
      <w:sz w:val="22"/>
      <w:szCs w:val="22"/>
      <w:u w:color="000000"/>
    </w:rPr>
  </w:style>
  <w:style w:type="paragraph" w:customStyle="1" w:styleId="Styl2">
    <w:name w:val="Styl2"/>
    <w:basedOn w:val="Normln"/>
    <w:qFormat/>
    <w:rsid w:val="00123789"/>
    <w:pPr>
      <w:spacing w:before="60" w:after="60" w:line="288" w:lineRule="auto"/>
    </w:pPr>
    <w:rPr>
      <w:rFonts w:ascii="Arial" w:hAnsi="Arial"/>
      <w:sz w:val="20"/>
    </w:rPr>
  </w:style>
  <w:style w:type="paragraph" w:styleId="Revize">
    <w:name w:val="Revision"/>
    <w:hidden/>
    <w:uiPriority w:val="99"/>
    <w:semiHidden/>
    <w:rsid w:val="00623289"/>
    <w:rPr>
      <w:rFonts w:eastAsia="Arial Unicode MS"/>
      <w:sz w:val="22"/>
      <w:szCs w:val="22"/>
      <w:u w:color="000000"/>
    </w:rPr>
  </w:style>
  <w:style w:type="paragraph" w:styleId="Normlnweb">
    <w:name w:val="Normal (Web)"/>
    <w:basedOn w:val="Normln"/>
    <w:uiPriority w:val="99"/>
    <w:unhideWhenUsed/>
    <w:rsid w:val="00FC1B7A"/>
    <w:pPr>
      <w:spacing w:before="100" w:beforeAutospacing="1" w:after="100" w:afterAutospacing="1" w:line="240" w:lineRule="auto"/>
      <w:jc w:val="left"/>
    </w:pPr>
    <w:rPr>
      <w:rFonts w:eastAsia="Times New Roman"/>
      <w:sz w:val="24"/>
      <w:szCs w:val="24"/>
    </w:rPr>
  </w:style>
  <w:style w:type="paragraph" w:styleId="Obsah2">
    <w:name w:val="toc 2"/>
    <w:basedOn w:val="Normln"/>
    <w:next w:val="Normln"/>
    <w:autoRedefine/>
    <w:uiPriority w:val="39"/>
    <w:unhideWhenUsed/>
    <w:rsid w:val="00EB677D"/>
    <w:pPr>
      <w:tabs>
        <w:tab w:val="left" w:pos="880"/>
        <w:tab w:val="right" w:leader="dot" w:pos="9062"/>
      </w:tabs>
      <w:spacing w:after="100" w:line="312" w:lineRule="auto"/>
      <w:ind w:left="851" w:hanging="631"/>
    </w:pPr>
  </w:style>
  <w:style w:type="paragraph" w:customStyle="1" w:styleId="Tabulka">
    <w:name w:val="Tabulka"/>
    <w:basedOn w:val="Titulek"/>
    <w:link w:val="TabulkaChar"/>
    <w:qFormat/>
    <w:rsid w:val="00615420"/>
    <w:pPr>
      <w:spacing w:before="0" w:after="200"/>
      <w:ind w:left="0"/>
    </w:pPr>
    <w:rPr>
      <w:rFonts w:eastAsia="Times New Roman"/>
      <w:bCs w:val="0"/>
      <w:color w:val="4F81BD"/>
      <w:sz w:val="24"/>
      <w:szCs w:val="20"/>
    </w:rPr>
  </w:style>
  <w:style w:type="character" w:customStyle="1" w:styleId="TabulkaChar">
    <w:name w:val="Tabulka Char"/>
    <w:link w:val="Tabulka"/>
    <w:locked/>
    <w:rsid w:val="00615420"/>
    <w:rPr>
      <w:b/>
      <w:color w:val="4F81BD"/>
      <w:sz w:val="24"/>
    </w:rPr>
  </w:style>
  <w:style w:type="paragraph" w:customStyle="1" w:styleId="DAVA">
    <w:name w:val="DAVA"/>
    <w:basedOn w:val="Normln"/>
    <w:link w:val="DAVAChar"/>
    <w:qFormat/>
    <w:rsid w:val="00615420"/>
    <w:pPr>
      <w:spacing w:line="240" w:lineRule="auto"/>
      <w:jc w:val="left"/>
    </w:pPr>
    <w:rPr>
      <w:rFonts w:ascii="Arial" w:eastAsia="Times New Roman" w:hAnsi="Arial"/>
      <w:sz w:val="28"/>
      <w:szCs w:val="20"/>
    </w:rPr>
  </w:style>
  <w:style w:type="character" w:customStyle="1" w:styleId="DAVAChar">
    <w:name w:val="DAVA Char"/>
    <w:link w:val="DAVA"/>
    <w:locked/>
    <w:rsid w:val="00615420"/>
    <w:rPr>
      <w:rFonts w:ascii="Arial" w:hAnsi="Arial"/>
      <w:sz w:val="28"/>
    </w:rPr>
  </w:style>
  <w:style w:type="paragraph" w:styleId="Pedmtkomente">
    <w:name w:val="annotation subject"/>
    <w:basedOn w:val="Textkomente"/>
    <w:next w:val="Textkomente"/>
    <w:link w:val="PedmtkomenteChar"/>
    <w:uiPriority w:val="99"/>
    <w:semiHidden/>
    <w:unhideWhenUsed/>
    <w:rsid w:val="004C2318"/>
    <w:pPr>
      <w:spacing w:before="120"/>
      <w:jc w:val="both"/>
    </w:pPr>
    <w:rPr>
      <w:rFonts w:ascii="Times New Roman" w:eastAsia="Arial Unicode MS" w:hAnsi="Times New Roman" w:cs="Times New Roman"/>
      <w:b/>
      <w:bCs/>
    </w:rPr>
  </w:style>
  <w:style w:type="character" w:customStyle="1" w:styleId="PedmtkomenteChar">
    <w:name w:val="Předmět komentáře Char"/>
    <w:basedOn w:val="TextkomenteChar"/>
    <w:link w:val="Pedmtkomente"/>
    <w:uiPriority w:val="99"/>
    <w:semiHidden/>
    <w:rsid w:val="004C2318"/>
    <w:rPr>
      <w:rFonts w:ascii="Arial" w:eastAsia="Arial Unicode MS" w:hAnsi="Arial" w:cs="Arial"/>
      <w:b/>
      <w:bCs/>
      <w:u w:color="000000"/>
    </w:rPr>
  </w:style>
  <w:style w:type="paragraph" w:customStyle="1" w:styleId="111AAA">
    <w:name w:val="111AAA"/>
    <w:basedOn w:val="Normln"/>
    <w:rsid w:val="001F2910"/>
    <w:pPr>
      <w:spacing w:line="240" w:lineRule="auto"/>
    </w:pPr>
    <w:rPr>
      <w:rFonts w:eastAsia="Times New Roman"/>
      <w:sz w:val="24"/>
      <w:szCs w:val="20"/>
    </w:rPr>
  </w:style>
  <w:style w:type="numbering" w:customStyle="1" w:styleId="List1">
    <w:name w:val="List 1"/>
    <w:rsid w:val="00FC7EE7"/>
    <w:pPr>
      <w:numPr>
        <w:numId w:val="4"/>
      </w:numPr>
    </w:pPr>
  </w:style>
  <w:style w:type="paragraph" w:styleId="Obsah3">
    <w:name w:val="toc 3"/>
    <w:basedOn w:val="Normln"/>
    <w:next w:val="Normln"/>
    <w:autoRedefine/>
    <w:uiPriority w:val="39"/>
    <w:unhideWhenUsed/>
    <w:rsid w:val="008073B7"/>
    <w:pPr>
      <w:spacing w:after="100"/>
      <w:ind w:left="440"/>
    </w:pPr>
  </w:style>
  <w:style w:type="character" w:styleId="Zvraznn">
    <w:name w:val="Emphasis"/>
    <w:basedOn w:val="Standardnpsmoodstavce"/>
    <w:uiPriority w:val="20"/>
    <w:qFormat/>
    <w:rsid w:val="008E75C0"/>
    <w:rPr>
      <w:b/>
      <w:bCs/>
      <w:i w:val="0"/>
      <w:iCs w:val="0"/>
    </w:rPr>
  </w:style>
  <w:style w:type="character" w:customStyle="1" w:styleId="st1">
    <w:name w:val="st1"/>
    <w:basedOn w:val="Standardnpsmoodstavce"/>
    <w:rsid w:val="008E75C0"/>
  </w:style>
  <w:style w:type="paragraph" w:styleId="Seznamsodrkami3">
    <w:name w:val="List Bullet 3"/>
    <w:basedOn w:val="Normln"/>
    <w:uiPriority w:val="99"/>
    <w:rsid w:val="007719D9"/>
    <w:pPr>
      <w:numPr>
        <w:numId w:val="23"/>
      </w:numPr>
      <w:tabs>
        <w:tab w:val="clear" w:pos="643"/>
        <w:tab w:val="num" w:pos="926"/>
      </w:tabs>
      <w:spacing w:after="120" w:line="240" w:lineRule="auto"/>
      <w:ind w:left="926"/>
      <w:contextualSpacing/>
    </w:pPr>
    <w:rPr>
      <w:rFonts w:eastAsia="Calibri"/>
      <w:sz w:val="24"/>
      <w:lang w:val="en-GB" w:eastAsia="en-GB"/>
    </w:rPr>
  </w:style>
  <w:style w:type="paragraph" w:customStyle="1" w:styleId="Default">
    <w:name w:val="Default"/>
    <w:rsid w:val="00CC5D9C"/>
    <w:pPr>
      <w:autoSpaceDE w:val="0"/>
      <w:autoSpaceDN w:val="0"/>
      <w:adjustRightInd w:val="0"/>
      <w:spacing w:after="200" w:line="276" w:lineRule="auto"/>
    </w:pPr>
    <w:rPr>
      <w:color w:val="000000"/>
      <w:sz w:val="24"/>
      <w:szCs w:val="24"/>
      <w:lang w:val="en-GB" w:eastAsia="en-GB"/>
    </w:rPr>
  </w:style>
  <w:style w:type="paragraph" w:customStyle="1" w:styleId="Text1">
    <w:name w:val="Text 1"/>
    <w:basedOn w:val="Normln"/>
    <w:uiPriority w:val="99"/>
    <w:rsid w:val="00DE6A60"/>
    <w:pPr>
      <w:spacing w:after="120" w:line="240" w:lineRule="auto"/>
      <w:ind w:left="850"/>
    </w:pPr>
    <w:rPr>
      <w:rFonts w:eastAsia="Calibri"/>
      <w:sz w:val="24"/>
      <w:lang w:val="en-GB" w:eastAsia="en-GB"/>
    </w:rPr>
  </w:style>
  <w:style w:type="table" w:styleId="Svtlstnovn">
    <w:name w:val="Light Shading"/>
    <w:basedOn w:val="Normlntabulka"/>
    <w:uiPriority w:val="60"/>
    <w:rsid w:val="009A42DD"/>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tednstnovn1">
    <w:name w:val="Medium Shading 1"/>
    <w:basedOn w:val="Normlntabulka"/>
    <w:uiPriority w:val="63"/>
    <w:rsid w:val="009A42DD"/>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tednmka1">
    <w:name w:val="Medium Grid 1"/>
    <w:basedOn w:val="Normlntabulka"/>
    <w:uiPriority w:val="67"/>
    <w:rsid w:val="00DF71F1"/>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14906">
      <w:bodyDiv w:val="1"/>
      <w:marLeft w:val="0"/>
      <w:marRight w:val="0"/>
      <w:marTop w:val="0"/>
      <w:marBottom w:val="0"/>
      <w:divBdr>
        <w:top w:val="none" w:sz="0" w:space="0" w:color="auto"/>
        <w:left w:val="none" w:sz="0" w:space="0" w:color="auto"/>
        <w:bottom w:val="none" w:sz="0" w:space="0" w:color="auto"/>
        <w:right w:val="none" w:sz="0" w:space="0" w:color="auto"/>
      </w:divBdr>
    </w:div>
    <w:div w:id="91901371">
      <w:bodyDiv w:val="1"/>
      <w:marLeft w:val="0"/>
      <w:marRight w:val="0"/>
      <w:marTop w:val="0"/>
      <w:marBottom w:val="0"/>
      <w:divBdr>
        <w:top w:val="none" w:sz="0" w:space="0" w:color="auto"/>
        <w:left w:val="none" w:sz="0" w:space="0" w:color="auto"/>
        <w:bottom w:val="none" w:sz="0" w:space="0" w:color="auto"/>
        <w:right w:val="none" w:sz="0" w:space="0" w:color="auto"/>
      </w:divBdr>
      <w:divsChild>
        <w:div w:id="380053994">
          <w:marLeft w:val="1166"/>
          <w:marRight w:val="0"/>
          <w:marTop w:val="77"/>
          <w:marBottom w:val="0"/>
          <w:divBdr>
            <w:top w:val="none" w:sz="0" w:space="0" w:color="auto"/>
            <w:left w:val="none" w:sz="0" w:space="0" w:color="auto"/>
            <w:bottom w:val="none" w:sz="0" w:space="0" w:color="auto"/>
            <w:right w:val="none" w:sz="0" w:space="0" w:color="auto"/>
          </w:divBdr>
        </w:div>
      </w:divsChild>
    </w:div>
    <w:div w:id="161506008">
      <w:bodyDiv w:val="1"/>
      <w:marLeft w:val="0"/>
      <w:marRight w:val="0"/>
      <w:marTop w:val="0"/>
      <w:marBottom w:val="0"/>
      <w:divBdr>
        <w:top w:val="none" w:sz="0" w:space="0" w:color="auto"/>
        <w:left w:val="none" w:sz="0" w:space="0" w:color="auto"/>
        <w:bottom w:val="none" w:sz="0" w:space="0" w:color="auto"/>
        <w:right w:val="none" w:sz="0" w:space="0" w:color="auto"/>
      </w:divBdr>
    </w:div>
    <w:div w:id="198514899">
      <w:bodyDiv w:val="1"/>
      <w:marLeft w:val="0"/>
      <w:marRight w:val="0"/>
      <w:marTop w:val="0"/>
      <w:marBottom w:val="0"/>
      <w:divBdr>
        <w:top w:val="none" w:sz="0" w:space="0" w:color="auto"/>
        <w:left w:val="none" w:sz="0" w:space="0" w:color="auto"/>
        <w:bottom w:val="none" w:sz="0" w:space="0" w:color="auto"/>
        <w:right w:val="none" w:sz="0" w:space="0" w:color="auto"/>
      </w:divBdr>
      <w:divsChild>
        <w:div w:id="418870853">
          <w:marLeft w:val="0"/>
          <w:marRight w:val="0"/>
          <w:marTop w:val="86"/>
          <w:marBottom w:val="0"/>
          <w:divBdr>
            <w:top w:val="none" w:sz="0" w:space="0" w:color="auto"/>
            <w:left w:val="none" w:sz="0" w:space="0" w:color="auto"/>
            <w:bottom w:val="none" w:sz="0" w:space="0" w:color="auto"/>
            <w:right w:val="none" w:sz="0" w:space="0" w:color="auto"/>
          </w:divBdr>
        </w:div>
        <w:div w:id="1747805634">
          <w:marLeft w:val="0"/>
          <w:marRight w:val="0"/>
          <w:marTop w:val="86"/>
          <w:marBottom w:val="0"/>
          <w:divBdr>
            <w:top w:val="none" w:sz="0" w:space="0" w:color="auto"/>
            <w:left w:val="none" w:sz="0" w:space="0" w:color="auto"/>
            <w:bottom w:val="none" w:sz="0" w:space="0" w:color="auto"/>
            <w:right w:val="none" w:sz="0" w:space="0" w:color="auto"/>
          </w:divBdr>
        </w:div>
        <w:div w:id="1751732006">
          <w:marLeft w:val="0"/>
          <w:marRight w:val="0"/>
          <w:marTop w:val="86"/>
          <w:marBottom w:val="0"/>
          <w:divBdr>
            <w:top w:val="none" w:sz="0" w:space="0" w:color="auto"/>
            <w:left w:val="none" w:sz="0" w:space="0" w:color="auto"/>
            <w:bottom w:val="none" w:sz="0" w:space="0" w:color="auto"/>
            <w:right w:val="none" w:sz="0" w:space="0" w:color="auto"/>
          </w:divBdr>
        </w:div>
      </w:divsChild>
    </w:div>
    <w:div w:id="265430136">
      <w:bodyDiv w:val="1"/>
      <w:marLeft w:val="0"/>
      <w:marRight w:val="0"/>
      <w:marTop w:val="0"/>
      <w:marBottom w:val="0"/>
      <w:divBdr>
        <w:top w:val="none" w:sz="0" w:space="0" w:color="auto"/>
        <w:left w:val="none" w:sz="0" w:space="0" w:color="auto"/>
        <w:bottom w:val="none" w:sz="0" w:space="0" w:color="auto"/>
        <w:right w:val="none" w:sz="0" w:space="0" w:color="auto"/>
      </w:divBdr>
    </w:div>
    <w:div w:id="265814083">
      <w:bodyDiv w:val="1"/>
      <w:marLeft w:val="0"/>
      <w:marRight w:val="0"/>
      <w:marTop w:val="0"/>
      <w:marBottom w:val="0"/>
      <w:divBdr>
        <w:top w:val="none" w:sz="0" w:space="0" w:color="auto"/>
        <w:left w:val="none" w:sz="0" w:space="0" w:color="auto"/>
        <w:bottom w:val="none" w:sz="0" w:space="0" w:color="auto"/>
        <w:right w:val="none" w:sz="0" w:space="0" w:color="auto"/>
      </w:divBdr>
    </w:div>
    <w:div w:id="281889102">
      <w:bodyDiv w:val="1"/>
      <w:marLeft w:val="0"/>
      <w:marRight w:val="0"/>
      <w:marTop w:val="0"/>
      <w:marBottom w:val="0"/>
      <w:divBdr>
        <w:top w:val="none" w:sz="0" w:space="0" w:color="auto"/>
        <w:left w:val="none" w:sz="0" w:space="0" w:color="auto"/>
        <w:bottom w:val="none" w:sz="0" w:space="0" w:color="auto"/>
        <w:right w:val="none" w:sz="0" w:space="0" w:color="auto"/>
      </w:divBdr>
      <w:divsChild>
        <w:div w:id="2097970661">
          <w:marLeft w:val="835"/>
          <w:marRight w:val="0"/>
          <w:marTop w:val="60"/>
          <w:marBottom w:val="60"/>
          <w:divBdr>
            <w:top w:val="none" w:sz="0" w:space="0" w:color="auto"/>
            <w:left w:val="none" w:sz="0" w:space="0" w:color="auto"/>
            <w:bottom w:val="none" w:sz="0" w:space="0" w:color="auto"/>
            <w:right w:val="none" w:sz="0" w:space="0" w:color="auto"/>
          </w:divBdr>
        </w:div>
        <w:div w:id="318966840">
          <w:marLeft w:val="835"/>
          <w:marRight w:val="0"/>
          <w:marTop w:val="60"/>
          <w:marBottom w:val="60"/>
          <w:divBdr>
            <w:top w:val="none" w:sz="0" w:space="0" w:color="auto"/>
            <w:left w:val="none" w:sz="0" w:space="0" w:color="auto"/>
            <w:bottom w:val="none" w:sz="0" w:space="0" w:color="auto"/>
            <w:right w:val="none" w:sz="0" w:space="0" w:color="auto"/>
          </w:divBdr>
        </w:div>
        <w:div w:id="1789545271">
          <w:marLeft w:val="835"/>
          <w:marRight w:val="0"/>
          <w:marTop w:val="60"/>
          <w:marBottom w:val="60"/>
          <w:divBdr>
            <w:top w:val="none" w:sz="0" w:space="0" w:color="auto"/>
            <w:left w:val="none" w:sz="0" w:space="0" w:color="auto"/>
            <w:bottom w:val="none" w:sz="0" w:space="0" w:color="auto"/>
            <w:right w:val="none" w:sz="0" w:space="0" w:color="auto"/>
          </w:divBdr>
        </w:div>
      </w:divsChild>
    </w:div>
    <w:div w:id="299001575">
      <w:bodyDiv w:val="1"/>
      <w:marLeft w:val="0"/>
      <w:marRight w:val="0"/>
      <w:marTop w:val="0"/>
      <w:marBottom w:val="0"/>
      <w:divBdr>
        <w:top w:val="none" w:sz="0" w:space="0" w:color="auto"/>
        <w:left w:val="none" w:sz="0" w:space="0" w:color="auto"/>
        <w:bottom w:val="none" w:sz="0" w:space="0" w:color="auto"/>
        <w:right w:val="none" w:sz="0" w:space="0" w:color="auto"/>
      </w:divBdr>
    </w:div>
    <w:div w:id="304699140">
      <w:bodyDiv w:val="1"/>
      <w:marLeft w:val="0"/>
      <w:marRight w:val="0"/>
      <w:marTop w:val="0"/>
      <w:marBottom w:val="0"/>
      <w:divBdr>
        <w:top w:val="none" w:sz="0" w:space="0" w:color="auto"/>
        <w:left w:val="none" w:sz="0" w:space="0" w:color="auto"/>
        <w:bottom w:val="none" w:sz="0" w:space="0" w:color="auto"/>
        <w:right w:val="none" w:sz="0" w:space="0" w:color="auto"/>
      </w:divBdr>
      <w:divsChild>
        <w:div w:id="418791055">
          <w:marLeft w:val="0"/>
          <w:marRight w:val="0"/>
          <w:marTop w:val="86"/>
          <w:marBottom w:val="0"/>
          <w:divBdr>
            <w:top w:val="none" w:sz="0" w:space="0" w:color="auto"/>
            <w:left w:val="none" w:sz="0" w:space="0" w:color="auto"/>
            <w:bottom w:val="none" w:sz="0" w:space="0" w:color="auto"/>
            <w:right w:val="none" w:sz="0" w:space="0" w:color="auto"/>
          </w:divBdr>
        </w:div>
        <w:div w:id="17390442">
          <w:marLeft w:val="0"/>
          <w:marRight w:val="0"/>
          <w:marTop w:val="86"/>
          <w:marBottom w:val="0"/>
          <w:divBdr>
            <w:top w:val="none" w:sz="0" w:space="0" w:color="auto"/>
            <w:left w:val="none" w:sz="0" w:space="0" w:color="auto"/>
            <w:bottom w:val="none" w:sz="0" w:space="0" w:color="auto"/>
            <w:right w:val="none" w:sz="0" w:space="0" w:color="auto"/>
          </w:divBdr>
        </w:div>
        <w:div w:id="584338888">
          <w:marLeft w:val="562"/>
          <w:marRight w:val="0"/>
          <w:marTop w:val="0"/>
          <w:marBottom w:val="0"/>
          <w:divBdr>
            <w:top w:val="none" w:sz="0" w:space="0" w:color="auto"/>
            <w:left w:val="none" w:sz="0" w:space="0" w:color="auto"/>
            <w:bottom w:val="none" w:sz="0" w:space="0" w:color="auto"/>
            <w:right w:val="none" w:sz="0" w:space="0" w:color="auto"/>
          </w:divBdr>
        </w:div>
        <w:div w:id="546723563">
          <w:marLeft w:val="562"/>
          <w:marRight w:val="0"/>
          <w:marTop w:val="120"/>
          <w:marBottom w:val="0"/>
          <w:divBdr>
            <w:top w:val="none" w:sz="0" w:space="0" w:color="auto"/>
            <w:left w:val="none" w:sz="0" w:space="0" w:color="auto"/>
            <w:bottom w:val="none" w:sz="0" w:space="0" w:color="auto"/>
            <w:right w:val="none" w:sz="0" w:space="0" w:color="auto"/>
          </w:divBdr>
        </w:div>
        <w:div w:id="530386027">
          <w:marLeft w:val="562"/>
          <w:marRight w:val="0"/>
          <w:marTop w:val="120"/>
          <w:marBottom w:val="0"/>
          <w:divBdr>
            <w:top w:val="none" w:sz="0" w:space="0" w:color="auto"/>
            <w:left w:val="none" w:sz="0" w:space="0" w:color="auto"/>
            <w:bottom w:val="none" w:sz="0" w:space="0" w:color="auto"/>
            <w:right w:val="none" w:sz="0" w:space="0" w:color="auto"/>
          </w:divBdr>
        </w:div>
        <w:div w:id="45372868">
          <w:marLeft w:val="562"/>
          <w:marRight w:val="0"/>
          <w:marTop w:val="120"/>
          <w:marBottom w:val="0"/>
          <w:divBdr>
            <w:top w:val="none" w:sz="0" w:space="0" w:color="auto"/>
            <w:left w:val="none" w:sz="0" w:space="0" w:color="auto"/>
            <w:bottom w:val="none" w:sz="0" w:space="0" w:color="auto"/>
            <w:right w:val="none" w:sz="0" w:space="0" w:color="auto"/>
          </w:divBdr>
        </w:div>
        <w:div w:id="1369840222">
          <w:marLeft w:val="562"/>
          <w:marRight w:val="0"/>
          <w:marTop w:val="120"/>
          <w:marBottom w:val="0"/>
          <w:divBdr>
            <w:top w:val="none" w:sz="0" w:space="0" w:color="auto"/>
            <w:left w:val="none" w:sz="0" w:space="0" w:color="auto"/>
            <w:bottom w:val="none" w:sz="0" w:space="0" w:color="auto"/>
            <w:right w:val="none" w:sz="0" w:space="0" w:color="auto"/>
          </w:divBdr>
        </w:div>
        <w:div w:id="461926028">
          <w:marLeft w:val="0"/>
          <w:marRight w:val="0"/>
          <w:marTop w:val="86"/>
          <w:marBottom w:val="0"/>
          <w:divBdr>
            <w:top w:val="none" w:sz="0" w:space="0" w:color="auto"/>
            <w:left w:val="none" w:sz="0" w:space="0" w:color="auto"/>
            <w:bottom w:val="none" w:sz="0" w:space="0" w:color="auto"/>
            <w:right w:val="none" w:sz="0" w:space="0" w:color="auto"/>
          </w:divBdr>
        </w:div>
      </w:divsChild>
    </w:div>
    <w:div w:id="325717743">
      <w:bodyDiv w:val="1"/>
      <w:marLeft w:val="0"/>
      <w:marRight w:val="0"/>
      <w:marTop w:val="0"/>
      <w:marBottom w:val="0"/>
      <w:divBdr>
        <w:top w:val="none" w:sz="0" w:space="0" w:color="auto"/>
        <w:left w:val="none" w:sz="0" w:space="0" w:color="auto"/>
        <w:bottom w:val="none" w:sz="0" w:space="0" w:color="auto"/>
        <w:right w:val="none" w:sz="0" w:space="0" w:color="auto"/>
      </w:divBdr>
    </w:div>
    <w:div w:id="495650440">
      <w:bodyDiv w:val="1"/>
      <w:marLeft w:val="0"/>
      <w:marRight w:val="0"/>
      <w:marTop w:val="0"/>
      <w:marBottom w:val="0"/>
      <w:divBdr>
        <w:top w:val="none" w:sz="0" w:space="0" w:color="auto"/>
        <w:left w:val="none" w:sz="0" w:space="0" w:color="auto"/>
        <w:bottom w:val="none" w:sz="0" w:space="0" w:color="auto"/>
        <w:right w:val="none" w:sz="0" w:space="0" w:color="auto"/>
      </w:divBdr>
    </w:div>
    <w:div w:id="698316951">
      <w:bodyDiv w:val="1"/>
      <w:marLeft w:val="0"/>
      <w:marRight w:val="0"/>
      <w:marTop w:val="0"/>
      <w:marBottom w:val="0"/>
      <w:divBdr>
        <w:top w:val="none" w:sz="0" w:space="0" w:color="auto"/>
        <w:left w:val="none" w:sz="0" w:space="0" w:color="auto"/>
        <w:bottom w:val="none" w:sz="0" w:space="0" w:color="auto"/>
        <w:right w:val="none" w:sz="0" w:space="0" w:color="auto"/>
      </w:divBdr>
      <w:divsChild>
        <w:div w:id="2010910629">
          <w:marLeft w:val="288"/>
          <w:marRight w:val="0"/>
          <w:marTop w:val="86"/>
          <w:marBottom w:val="0"/>
          <w:divBdr>
            <w:top w:val="none" w:sz="0" w:space="0" w:color="auto"/>
            <w:left w:val="none" w:sz="0" w:space="0" w:color="auto"/>
            <w:bottom w:val="none" w:sz="0" w:space="0" w:color="auto"/>
            <w:right w:val="none" w:sz="0" w:space="0" w:color="auto"/>
          </w:divBdr>
        </w:div>
        <w:div w:id="893471358">
          <w:marLeft w:val="979"/>
          <w:marRight w:val="0"/>
          <w:marTop w:val="77"/>
          <w:marBottom w:val="0"/>
          <w:divBdr>
            <w:top w:val="none" w:sz="0" w:space="0" w:color="auto"/>
            <w:left w:val="none" w:sz="0" w:space="0" w:color="auto"/>
            <w:bottom w:val="none" w:sz="0" w:space="0" w:color="auto"/>
            <w:right w:val="none" w:sz="0" w:space="0" w:color="auto"/>
          </w:divBdr>
        </w:div>
        <w:div w:id="1439987898">
          <w:marLeft w:val="979"/>
          <w:marRight w:val="0"/>
          <w:marTop w:val="77"/>
          <w:marBottom w:val="0"/>
          <w:divBdr>
            <w:top w:val="none" w:sz="0" w:space="0" w:color="auto"/>
            <w:left w:val="none" w:sz="0" w:space="0" w:color="auto"/>
            <w:bottom w:val="none" w:sz="0" w:space="0" w:color="auto"/>
            <w:right w:val="none" w:sz="0" w:space="0" w:color="auto"/>
          </w:divBdr>
        </w:div>
        <w:div w:id="682977940">
          <w:marLeft w:val="288"/>
          <w:marRight w:val="0"/>
          <w:marTop w:val="160"/>
          <w:marBottom w:val="0"/>
          <w:divBdr>
            <w:top w:val="none" w:sz="0" w:space="0" w:color="auto"/>
            <w:left w:val="none" w:sz="0" w:space="0" w:color="auto"/>
            <w:bottom w:val="none" w:sz="0" w:space="0" w:color="auto"/>
            <w:right w:val="none" w:sz="0" w:space="0" w:color="auto"/>
          </w:divBdr>
        </w:div>
        <w:div w:id="1445803223">
          <w:marLeft w:val="979"/>
          <w:marRight w:val="0"/>
          <w:marTop w:val="77"/>
          <w:marBottom w:val="0"/>
          <w:divBdr>
            <w:top w:val="none" w:sz="0" w:space="0" w:color="auto"/>
            <w:left w:val="none" w:sz="0" w:space="0" w:color="auto"/>
            <w:bottom w:val="none" w:sz="0" w:space="0" w:color="auto"/>
            <w:right w:val="none" w:sz="0" w:space="0" w:color="auto"/>
          </w:divBdr>
        </w:div>
        <w:div w:id="583539673">
          <w:marLeft w:val="288"/>
          <w:marRight w:val="0"/>
          <w:marTop w:val="160"/>
          <w:marBottom w:val="0"/>
          <w:divBdr>
            <w:top w:val="none" w:sz="0" w:space="0" w:color="auto"/>
            <w:left w:val="none" w:sz="0" w:space="0" w:color="auto"/>
            <w:bottom w:val="none" w:sz="0" w:space="0" w:color="auto"/>
            <w:right w:val="none" w:sz="0" w:space="0" w:color="auto"/>
          </w:divBdr>
        </w:div>
        <w:div w:id="1508596526">
          <w:marLeft w:val="979"/>
          <w:marRight w:val="0"/>
          <w:marTop w:val="77"/>
          <w:marBottom w:val="0"/>
          <w:divBdr>
            <w:top w:val="none" w:sz="0" w:space="0" w:color="auto"/>
            <w:left w:val="none" w:sz="0" w:space="0" w:color="auto"/>
            <w:bottom w:val="none" w:sz="0" w:space="0" w:color="auto"/>
            <w:right w:val="none" w:sz="0" w:space="0" w:color="auto"/>
          </w:divBdr>
        </w:div>
        <w:div w:id="618343912">
          <w:marLeft w:val="979"/>
          <w:marRight w:val="0"/>
          <w:marTop w:val="77"/>
          <w:marBottom w:val="0"/>
          <w:divBdr>
            <w:top w:val="none" w:sz="0" w:space="0" w:color="auto"/>
            <w:left w:val="none" w:sz="0" w:space="0" w:color="auto"/>
            <w:bottom w:val="none" w:sz="0" w:space="0" w:color="auto"/>
            <w:right w:val="none" w:sz="0" w:space="0" w:color="auto"/>
          </w:divBdr>
        </w:div>
        <w:div w:id="926036439">
          <w:marLeft w:val="288"/>
          <w:marRight w:val="0"/>
          <w:marTop w:val="160"/>
          <w:marBottom w:val="0"/>
          <w:divBdr>
            <w:top w:val="none" w:sz="0" w:space="0" w:color="auto"/>
            <w:left w:val="none" w:sz="0" w:space="0" w:color="auto"/>
            <w:bottom w:val="none" w:sz="0" w:space="0" w:color="auto"/>
            <w:right w:val="none" w:sz="0" w:space="0" w:color="auto"/>
          </w:divBdr>
        </w:div>
        <w:div w:id="487786644">
          <w:marLeft w:val="979"/>
          <w:marRight w:val="0"/>
          <w:marTop w:val="77"/>
          <w:marBottom w:val="0"/>
          <w:divBdr>
            <w:top w:val="none" w:sz="0" w:space="0" w:color="auto"/>
            <w:left w:val="none" w:sz="0" w:space="0" w:color="auto"/>
            <w:bottom w:val="none" w:sz="0" w:space="0" w:color="auto"/>
            <w:right w:val="none" w:sz="0" w:space="0" w:color="auto"/>
          </w:divBdr>
        </w:div>
        <w:div w:id="835152532">
          <w:marLeft w:val="288"/>
          <w:marRight w:val="0"/>
          <w:marTop w:val="160"/>
          <w:marBottom w:val="0"/>
          <w:divBdr>
            <w:top w:val="none" w:sz="0" w:space="0" w:color="auto"/>
            <w:left w:val="none" w:sz="0" w:space="0" w:color="auto"/>
            <w:bottom w:val="none" w:sz="0" w:space="0" w:color="auto"/>
            <w:right w:val="none" w:sz="0" w:space="0" w:color="auto"/>
          </w:divBdr>
        </w:div>
        <w:div w:id="1720326985">
          <w:marLeft w:val="979"/>
          <w:marRight w:val="0"/>
          <w:marTop w:val="77"/>
          <w:marBottom w:val="0"/>
          <w:divBdr>
            <w:top w:val="none" w:sz="0" w:space="0" w:color="auto"/>
            <w:left w:val="none" w:sz="0" w:space="0" w:color="auto"/>
            <w:bottom w:val="none" w:sz="0" w:space="0" w:color="auto"/>
            <w:right w:val="none" w:sz="0" w:space="0" w:color="auto"/>
          </w:divBdr>
        </w:div>
        <w:div w:id="1381242783">
          <w:marLeft w:val="288"/>
          <w:marRight w:val="0"/>
          <w:marTop w:val="160"/>
          <w:marBottom w:val="0"/>
          <w:divBdr>
            <w:top w:val="none" w:sz="0" w:space="0" w:color="auto"/>
            <w:left w:val="none" w:sz="0" w:space="0" w:color="auto"/>
            <w:bottom w:val="none" w:sz="0" w:space="0" w:color="auto"/>
            <w:right w:val="none" w:sz="0" w:space="0" w:color="auto"/>
          </w:divBdr>
        </w:div>
        <w:div w:id="965352147">
          <w:marLeft w:val="979"/>
          <w:marRight w:val="0"/>
          <w:marTop w:val="77"/>
          <w:marBottom w:val="0"/>
          <w:divBdr>
            <w:top w:val="none" w:sz="0" w:space="0" w:color="auto"/>
            <w:left w:val="none" w:sz="0" w:space="0" w:color="auto"/>
            <w:bottom w:val="none" w:sz="0" w:space="0" w:color="auto"/>
            <w:right w:val="none" w:sz="0" w:space="0" w:color="auto"/>
          </w:divBdr>
        </w:div>
      </w:divsChild>
    </w:div>
    <w:div w:id="707485338">
      <w:bodyDiv w:val="1"/>
      <w:marLeft w:val="0"/>
      <w:marRight w:val="0"/>
      <w:marTop w:val="0"/>
      <w:marBottom w:val="0"/>
      <w:divBdr>
        <w:top w:val="none" w:sz="0" w:space="0" w:color="auto"/>
        <w:left w:val="none" w:sz="0" w:space="0" w:color="auto"/>
        <w:bottom w:val="none" w:sz="0" w:space="0" w:color="auto"/>
        <w:right w:val="none" w:sz="0" w:space="0" w:color="auto"/>
      </w:divBdr>
    </w:div>
    <w:div w:id="712003971">
      <w:bodyDiv w:val="1"/>
      <w:marLeft w:val="0"/>
      <w:marRight w:val="0"/>
      <w:marTop w:val="0"/>
      <w:marBottom w:val="0"/>
      <w:divBdr>
        <w:top w:val="none" w:sz="0" w:space="0" w:color="auto"/>
        <w:left w:val="none" w:sz="0" w:space="0" w:color="auto"/>
        <w:bottom w:val="none" w:sz="0" w:space="0" w:color="auto"/>
        <w:right w:val="none" w:sz="0" w:space="0" w:color="auto"/>
      </w:divBdr>
    </w:div>
    <w:div w:id="722602523">
      <w:bodyDiv w:val="1"/>
      <w:marLeft w:val="0"/>
      <w:marRight w:val="0"/>
      <w:marTop w:val="0"/>
      <w:marBottom w:val="0"/>
      <w:divBdr>
        <w:top w:val="none" w:sz="0" w:space="0" w:color="auto"/>
        <w:left w:val="none" w:sz="0" w:space="0" w:color="auto"/>
        <w:bottom w:val="none" w:sz="0" w:space="0" w:color="auto"/>
        <w:right w:val="none" w:sz="0" w:space="0" w:color="auto"/>
      </w:divBdr>
    </w:div>
    <w:div w:id="738286193">
      <w:bodyDiv w:val="1"/>
      <w:marLeft w:val="0"/>
      <w:marRight w:val="0"/>
      <w:marTop w:val="0"/>
      <w:marBottom w:val="0"/>
      <w:divBdr>
        <w:top w:val="none" w:sz="0" w:space="0" w:color="auto"/>
        <w:left w:val="none" w:sz="0" w:space="0" w:color="auto"/>
        <w:bottom w:val="none" w:sz="0" w:space="0" w:color="auto"/>
        <w:right w:val="none" w:sz="0" w:space="0" w:color="auto"/>
      </w:divBdr>
    </w:div>
    <w:div w:id="821316452">
      <w:bodyDiv w:val="1"/>
      <w:marLeft w:val="0"/>
      <w:marRight w:val="0"/>
      <w:marTop w:val="0"/>
      <w:marBottom w:val="0"/>
      <w:divBdr>
        <w:top w:val="none" w:sz="0" w:space="0" w:color="auto"/>
        <w:left w:val="none" w:sz="0" w:space="0" w:color="auto"/>
        <w:bottom w:val="none" w:sz="0" w:space="0" w:color="auto"/>
        <w:right w:val="none" w:sz="0" w:space="0" w:color="auto"/>
      </w:divBdr>
      <w:divsChild>
        <w:div w:id="197009813">
          <w:marLeft w:val="547"/>
          <w:marRight w:val="0"/>
          <w:marTop w:val="77"/>
          <w:marBottom w:val="0"/>
          <w:divBdr>
            <w:top w:val="none" w:sz="0" w:space="0" w:color="auto"/>
            <w:left w:val="none" w:sz="0" w:space="0" w:color="auto"/>
            <w:bottom w:val="none" w:sz="0" w:space="0" w:color="auto"/>
            <w:right w:val="none" w:sz="0" w:space="0" w:color="auto"/>
          </w:divBdr>
        </w:div>
        <w:div w:id="1020739270">
          <w:marLeft w:val="547"/>
          <w:marRight w:val="0"/>
          <w:marTop w:val="77"/>
          <w:marBottom w:val="0"/>
          <w:divBdr>
            <w:top w:val="none" w:sz="0" w:space="0" w:color="auto"/>
            <w:left w:val="none" w:sz="0" w:space="0" w:color="auto"/>
            <w:bottom w:val="none" w:sz="0" w:space="0" w:color="auto"/>
            <w:right w:val="none" w:sz="0" w:space="0" w:color="auto"/>
          </w:divBdr>
        </w:div>
        <w:div w:id="2034577684">
          <w:marLeft w:val="547"/>
          <w:marRight w:val="0"/>
          <w:marTop w:val="77"/>
          <w:marBottom w:val="0"/>
          <w:divBdr>
            <w:top w:val="none" w:sz="0" w:space="0" w:color="auto"/>
            <w:left w:val="none" w:sz="0" w:space="0" w:color="auto"/>
            <w:bottom w:val="none" w:sz="0" w:space="0" w:color="auto"/>
            <w:right w:val="none" w:sz="0" w:space="0" w:color="auto"/>
          </w:divBdr>
        </w:div>
        <w:div w:id="721826010">
          <w:marLeft w:val="547"/>
          <w:marRight w:val="0"/>
          <w:marTop w:val="0"/>
          <w:marBottom w:val="40"/>
          <w:divBdr>
            <w:top w:val="none" w:sz="0" w:space="0" w:color="auto"/>
            <w:left w:val="none" w:sz="0" w:space="0" w:color="auto"/>
            <w:bottom w:val="none" w:sz="0" w:space="0" w:color="auto"/>
            <w:right w:val="none" w:sz="0" w:space="0" w:color="auto"/>
          </w:divBdr>
        </w:div>
        <w:div w:id="900752696">
          <w:marLeft w:val="547"/>
          <w:marRight w:val="0"/>
          <w:marTop w:val="0"/>
          <w:marBottom w:val="40"/>
          <w:divBdr>
            <w:top w:val="none" w:sz="0" w:space="0" w:color="auto"/>
            <w:left w:val="none" w:sz="0" w:space="0" w:color="auto"/>
            <w:bottom w:val="none" w:sz="0" w:space="0" w:color="auto"/>
            <w:right w:val="none" w:sz="0" w:space="0" w:color="auto"/>
          </w:divBdr>
        </w:div>
        <w:div w:id="1377967253">
          <w:marLeft w:val="547"/>
          <w:marRight w:val="0"/>
          <w:marTop w:val="0"/>
          <w:marBottom w:val="40"/>
          <w:divBdr>
            <w:top w:val="none" w:sz="0" w:space="0" w:color="auto"/>
            <w:left w:val="none" w:sz="0" w:space="0" w:color="auto"/>
            <w:bottom w:val="none" w:sz="0" w:space="0" w:color="auto"/>
            <w:right w:val="none" w:sz="0" w:space="0" w:color="auto"/>
          </w:divBdr>
        </w:div>
        <w:div w:id="792093163">
          <w:marLeft w:val="547"/>
          <w:marRight w:val="0"/>
          <w:marTop w:val="0"/>
          <w:marBottom w:val="40"/>
          <w:divBdr>
            <w:top w:val="none" w:sz="0" w:space="0" w:color="auto"/>
            <w:left w:val="none" w:sz="0" w:space="0" w:color="auto"/>
            <w:bottom w:val="none" w:sz="0" w:space="0" w:color="auto"/>
            <w:right w:val="none" w:sz="0" w:space="0" w:color="auto"/>
          </w:divBdr>
        </w:div>
        <w:div w:id="740443017">
          <w:marLeft w:val="547"/>
          <w:marRight w:val="0"/>
          <w:marTop w:val="0"/>
          <w:marBottom w:val="40"/>
          <w:divBdr>
            <w:top w:val="none" w:sz="0" w:space="0" w:color="auto"/>
            <w:left w:val="none" w:sz="0" w:space="0" w:color="auto"/>
            <w:bottom w:val="none" w:sz="0" w:space="0" w:color="auto"/>
            <w:right w:val="none" w:sz="0" w:space="0" w:color="auto"/>
          </w:divBdr>
        </w:div>
        <w:div w:id="1079594361">
          <w:marLeft w:val="547"/>
          <w:marRight w:val="0"/>
          <w:marTop w:val="0"/>
          <w:marBottom w:val="40"/>
          <w:divBdr>
            <w:top w:val="none" w:sz="0" w:space="0" w:color="auto"/>
            <w:left w:val="none" w:sz="0" w:space="0" w:color="auto"/>
            <w:bottom w:val="none" w:sz="0" w:space="0" w:color="auto"/>
            <w:right w:val="none" w:sz="0" w:space="0" w:color="auto"/>
          </w:divBdr>
        </w:div>
        <w:div w:id="844441776">
          <w:marLeft w:val="547"/>
          <w:marRight w:val="0"/>
          <w:marTop w:val="0"/>
          <w:marBottom w:val="40"/>
          <w:divBdr>
            <w:top w:val="none" w:sz="0" w:space="0" w:color="auto"/>
            <w:left w:val="none" w:sz="0" w:space="0" w:color="auto"/>
            <w:bottom w:val="none" w:sz="0" w:space="0" w:color="auto"/>
            <w:right w:val="none" w:sz="0" w:space="0" w:color="auto"/>
          </w:divBdr>
        </w:div>
        <w:div w:id="2017801540">
          <w:marLeft w:val="547"/>
          <w:marRight w:val="0"/>
          <w:marTop w:val="0"/>
          <w:marBottom w:val="40"/>
          <w:divBdr>
            <w:top w:val="none" w:sz="0" w:space="0" w:color="auto"/>
            <w:left w:val="none" w:sz="0" w:space="0" w:color="auto"/>
            <w:bottom w:val="none" w:sz="0" w:space="0" w:color="auto"/>
            <w:right w:val="none" w:sz="0" w:space="0" w:color="auto"/>
          </w:divBdr>
        </w:div>
        <w:div w:id="1473134951">
          <w:marLeft w:val="547"/>
          <w:marRight w:val="0"/>
          <w:marTop w:val="0"/>
          <w:marBottom w:val="40"/>
          <w:divBdr>
            <w:top w:val="none" w:sz="0" w:space="0" w:color="auto"/>
            <w:left w:val="none" w:sz="0" w:space="0" w:color="auto"/>
            <w:bottom w:val="none" w:sz="0" w:space="0" w:color="auto"/>
            <w:right w:val="none" w:sz="0" w:space="0" w:color="auto"/>
          </w:divBdr>
        </w:div>
      </w:divsChild>
    </w:div>
    <w:div w:id="838467601">
      <w:bodyDiv w:val="1"/>
      <w:marLeft w:val="0"/>
      <w:marRight w:val="0"/>
      <w:marTop w:val="0"/>
      <w:marBottom w:val="0"/>
      <w:divBdr>
        <w:top w:val="none" w:sz="0" w:space="0" w:color="auto"/>
        <w:left w:val="none" w:sz="0" w:space="0" w:color="auto"/>
        <w:bottom w:val="none" w:sz="0" w:space="0" w:color="auto"/>
        <w:right w:val="none" w:sz="0" w:space="0" w:color="auto"/>
      </w:divBdr>
    </w:div>
    <w:div w:id="848640679">
      <w:bodyDiv w:val="1"/>
      <w:marLeft w:val="0"/>
      <w:marRight w:val="0"/>
      <w:marTop w:val="0"/>
      <w:marBottom w:val="0"/>
      <w:divBdr>
        <w:top w:val="none" w:sz="0" w:space="0" w:color="auto"/>
        <w:left w:val="none" w:sz="0" w:space="0" w:color="auto"/>
        <w:bottom w:val="none" w:sz="0" w:space="0" w:color="auto"/>
        <w:right w:val="none" w:sz="0" w:space="0" w:color="auto"/>
      </w:divBdr>
    </w:div>
    <w:div w:id="887687963">
      <w:bodyDiv w:val="1"/>
      <w:marLeft w:val="0"/>
      <w:marRight w:val="0"/>
      <w:marTop w:val="0"/>
      <w:marBottom w:val="0"/>
      <w:divBdr>
        <w:top w:val="none" w:sz="0" w:space="0" w:color="auto"/>
        <w:left w:val="none" w:sz="0" w:space="0" w:color="auto"/>
        <w:bottom w:val="none" w:sz="0" w:space="0" w:color="auto"/>
        <w:right w:val="none" w:sz="0" w:space="0" w:color="auto"/>
      </w:divBdr>
    </w:div>
    <w:div w:id="934825678">
      <w:bodyDiv w:val="1"/>
      <w:marLeft w:val="0"/>
      <w:marRight w:val="0"/>
      <w:marTop w:val="0"/>
      <w:marBottom w:val="0"/>
      <w:divBdr>
        <w:top w:val="none" w:sz="0" w:space="0" w:color="auto"/>
        <w:left w:val="none" w:sz="0" w:space="0" w:color="auto"/>
        <w:bottom w:val="none" w:sz="0" w:space="0" w:color="auto"/>
        <w:right w:val="none" w:sz="0" w:space="0" w:color="auto"/>
      </w:divBdr>
      <w:divsChild>
        <w:div w:id="1750301496">
          <w:marLeft w:val="547"/>
          <w:marRight w:val="0"/>
          <w:marTop w:val="96"/>
          <w:marBottom w:val="0"/>
          <w:divBdr>
            <w:top w:val="none" w:sz="0" w:space="0" w:color="auto"/>
            <w:left w:val="none" w:sz="0" w:space="0" w:color="auto"/>
            <w:bottom w:val="none" w:sz="0" w:space="0" w:color="auto"/>
            <w:right w:val="none" w:sz="0" w:space="0" w:color="auto"/>
          </w:divBdr>
        </w:div>
        <w:div w:id="1440179799">
          <w:marLeft w:val="547"/>
          <w:marRight w:val="0"/>
          <w:marTop w:val="96"/>
          <w:marBottom w:val="0"/>
          <w:divBdr>
            <w:top w:val="none" w:sz="0" w:space="0" w:color="auto"/>
            <w:left w:val="none" w:sz="0" w:space="0" w:color="auto"/>
            <w:bottom w:val="none" w:sz="0" w:space="0" w:color="auto"/>
            <w:right w:val="none" w:sz="0" w:space="0" w:color="auto"/>
          </w:divBdr>
        </w:div>
        <w:div w:id="219250075">
          <w:marLeft w:val="547"/>
          <w:marRight w:val="0"/>
          <w:marTop w:val="96"/>
          <w:marBottom w:val="0"/>
          <w:divBdr>
            <w:top w:val="none" w:sz="0" w:space="0" w:color="auto"/>
            <w:left w:val="none" w:sz="0" w:space="0" w:color="auto"/>
            <w:bottom w:val="none" w:sz="0" w:space="0" w:color="auto"/>
            <w:right w:val="none" w:sz="0" w:space="0" w:color="auto"/>
          </w:divBdr>
        </w:div>
        <w:div w:id="1088117989">
          <w:marLeft w:val="547"/>
          <w:marRight w:val="0"/>
          <w:marTop w:val="96"/>
          <w:marBottom w:val="0"/>
          <w:divBdr>
            <w:top w:val="none" w:sz="0" w:space="0" w:color="auto"/>
            <w:left w:val="none" w:sz="0" w:space="0" w:color="auto"/>
            <w:bottom w:val="none" w:sz="0" w:space="0" w:color="auto"/>
            <w:right w:val="none" w:sz="0" w:space="0" w:color="auto"/>
          </w:divBdr>
        </w:div>
        <w:div w:id="915748151">
          <w:marLeft w:val="547"/>
          <w:marRight w:val="0"/>
          <w:marTop w:val="96"/>
          <w:marBottom w:val="0"/>
          <w:divBdr>
            <w:top w:val="none" w:sz="0" w:space="0" w:color="auto"/>
            <w:left w:val="none" w:sz="0" w:space="0" w:color="auto"/>
            <w:bottom w:val="none" w:sz="0" w:space="0" w:color="auto"/>
            <w:right w:val="none" w:sz="0" w:space="0" w:color="auto"/>
          </w:divBdr>
        </w:div>
        <w:div w:id="945769462">
          <w:marLeft w:val="547"/>
          <w:marRight w:val="0"/>
          <w:marTop w:val="96"/>
          <w:marBottom w:val="0"/>
          <w:divBdr>
            <w:top w:val="none" w:sz="0" w:space="0" w:color="auto"/>
            <w:left w:val="none" w:sz="0" w:space="0" w:color="auto"/>
            <w:bottom w:val="none" w:sz="0" w:space="0" w:color="auto"/>
            <w:right w:val="none" w:sz="0" w:space="0" w:color="auto"/>
          </w:divBdr>
        </w:div>
      </w:divsChild>
    </w:div>
    <w:div w:id="990520926">
      <w:bodyDiv w:val="1"/>
      <w:marLeft w:val="0"/>
      <w:marRight w:val="0"/>
      <w:marTop w:val="0"/>
      <w:marBottom w:val="0"/>
      <w:divBdr>
        <w:top w:val="none" w:sz="0" w:space="0" w:color="auto"/>
        <w:left w:val="none" w:sz="0" w:space="0" w:color="auto"/>
        <w:bottom w:val="none" w:sz="0" w:space="0" w:color="auto"/>
        <w:right w:val="none" w:sz="0" w:space="0" w:color="auto"/>
      </w:divBdr>
    </w:div>
    <w:div w:id="1024479130">
      <w:bodyDiv w:val="1"/>
      <w:marLeft w:val="0"/>
      <w:marRight w:val="0"/>
      <w:marTop w:val="0"/>
      <w:marBottom w:val="0"/>
      <w:divBdr>
        <w:top w:val="none" w:sz="0" w:space="0" w:color="auto"/>
        <w:left w:val="none" w:sz="0" w:space="0" w:color="auto"/>
        <w:bottom w:val="none" w:sz="0" w:space="0" w:color="auto"/>
        <w:right w:val="none" w:sz="0" w:space="0" w:color="auto"/>
      </w:divBdr>
    </w:div>
    <w:div w:id="1033655879">
      <w:bodyDiv w:val="1"/>
      <w:marLeft w:val="0"/>
      <w:marRight w:val="0"/>
      <w:marTop w:val="0"/>
      <w:marBottom w:val="0"/>
      <w:divBdr>
        <w:top w:val="none" w:sz="0" w:space="0" w:color="auto"/>
        <w:left w:val="none" w:sz="0" w:space="0" w:color="auto"/>
        <w:bottom w:val="none" w:sz="0" w:space="0" w:color="auto"/>
        <w:right w:val="none" w:sz="0" w:space="0" w:color="auto"/>
      </w:divBdr>
    </w:div>
    <w:div w:id="1043091444">
      <w:bodyDiv w:val="1"/>
      <w:marLeft w:val="0"/>
      <w:marRight w:val="0"/>
      <w:marTop w:val="0"/>
      <w:marBottom w:val="0"/>
      <w:divBdr>
        <w:top w:val="none" w:sz="0" w:space="0" w:color="auto"/>
        <w:left w:val="none" w:sz="0" w:space="0" w:color="auto"/>
        <w:bottom w:val="none" w:sz="0" w:space="0" w:color="auto"/>
        <w:right w:val="none" w:sz="0" w:space="0" w:color="auto"/>
      </w:divBdr>
      <w:divsChild>
        <w:div w:id="1163862093">
          <w:marLeft w:val="1166"/>
          <w:marRight w:val="0"/>
          <w:marTop w:val="77"/>
          <w:marBottom w:val="0"/>
          <w:divBdr>
            <w:top w:val="none" w:sz="0" w:space="0" w:color="auto"/>
            <w:left w:val="none" w:sz="0" w:space="0" w:color="auto"/>
            <w:bottom w:val="none" w:sz="0" w:space="0" w:color="auto"/>
            <w:right w:val="none" w:sz="0" w:space="0" w:color="auto"/>
          </w:divBdr>
        </w:div>
        <w:div w:id="1231422245">
          <w:marLeft w:val="1166"/>
          <w:marRight w:val="0"/>
          <w:marTop w:val="77"/>
          <w:marBottom w:val="0"/>
          <w:divBdr>
            <w:top w:val="none" w:sz="0" w:space="0" w:color="auto"/>
            <w:left w:val="none" w:sz="0" w:space="0" w:color="auto"/>
            <w:bottom w:val="none" w:sz="0" w:space="0" w:color="auto"/>
            <w:right w:val="none" w:sz="0" w:space="0" w:color="auto"/>
          </w:divBdr>
        </w:div>
      </w:divsChild>
    </w:div>
    <w:div w:id="1066299456">
      <w:bodyDiv w:val="1"/>
      <w:marLeft w:val="0"/>
      <w:marRight w:val="0"/>
      <w:marTop w:val="0"/>
      <w:marBottom w:val="0"/>
      <w:divBdr>
        <w:top w:val="none" w:sz="0" w:space="0" w:color="auto"/>
        <w:left w:val="none" w:sz="0" w:space="0" w:color="auto"/>
        <w:bottom w:val="none" w:sz="0" w:space="0" w:color="auto"/>
        <w:right w:val="none" w:sz="0" w:space="0" w:color="auto"/>
      </w:divBdr>
    </w:div>
    <w:div w:id="1104303093">
      <w:bodyDiv w:val="1"/>
      <w:marLeft w:val="0"/>
      <w:marRight w:val="0"/>
      <w:marTop w:val="0"/>
      <w:marBottom w:val="0"/>
      <w:divBdr>
        <w:top w:val="none" w:sz="0" w:space="0" w:color="auto"/>
        <w:left w:val="none" w:sz="0" w:space="0" w:color="auto"/>
        <w:bottom w:val="none" w:sz="0" w:space="0" w:color="auto"/>
        <w:right w:val="none" w:sz="0" w:space="0" w:color="auto"/>
      </w:divBdr>
    </w:div>
    <w:div w:id="1129860835">
      <w:bodyDiv w:val="1"/>
      <w:marLeft w:val="0"/>
      <w:marRight w:val="0"/>
      <w:marTop w:val="0"/>
      <w:marBottom w:val="0"/>
      <w:divBdr>
        <w:top w:val="none" w:sz="0" w:space="0" w:color="auto"/>
        <w:left w:val="none" w:sz="0" w:space="0" w:color="auto"/>
        <w:bottom w:val="none" w:sz="0" w:space="0" w:color="auto"/>
        <w:right w:val="none" w:sz="0" w:space="0" w:color="auto"/>
      </w:divBdr>
      <w:divsChild>
        <w:div w:id="737940516">
          <w:marLeft w:val="1166"/>
          <w:marRight w:val="0"/>
          <w:marTop w:val="96"/>
          <w:marBottom w:val="0"/>
          <w:divBdr>
            <w:top w:val="none" w:sz="0" w:space="0" w:color="auto"/>
            <w:left w:val="none" w:sz="0" w:space="0" w:color="auto"/>
            <w:bottom w:val="none" w:sz="0" w:space="0" w:color="auto"/>
            <w:right w:val="none" w:sz="0" w:space="0" w:color="auto"/>
          </w:divBdr>
        </w:div>
        <w:div w:id="299267871">
          <w:marLeft w:val="1166"/>
          <w:marRight w:val="0"/>
          <w:marTop w:val="96"/>
          <w:marBottom w:val="0"/>
          <w:divBdr>
            <w:top w:val="none" w:sz="0" w:space="0" w:color="auto"/>
            <w:left w:val="none" w:sz="0" w:space="0" w:color="auto"/>
            <w:bottom w:val="none" w:sz="0" w:space="0" w:color="auto"/>
            <w:right w:val="none" w:sz="0" w:space="0" w:color="auto"/>
          </w:divBdr>
        </w:div>
        <w:div w:id="849374081">
          <w:marLeft w:val="1166"/>
          <w:marRight w:val="0"/>
          <w:marTop w:val="96"/>
          <w:marBottom w:val="0"/>
          <w:divBdr>
            <w:top w:val="none" w:sz="0" w:space="0" w:color="auto"/>
            <w:left w:val="none" w:sz="0" w:space="0" w:color="auto"/>
            <w:bottom w:val="none" w:sz="0" w:space="0" w:color="auto"/>
            <w:right w:val="none" w:sz="0" w:space="0" w:color="auto"/>
          </w:divBdr>
        </w:div>
        <w:div w:id="1581139288">
          <w:marLeft w:val="1166"/>
          <w:marRight w:val="0"/>
          <w:marTop w:val="96"/>
          <w:marBottom w:val="0"/>
          <w:divBdr>
            <w:top w:val="none" w:sz="0" w:space="0" w:color="auto"/>
            <w:left w:val="none" w:sz="0" w:space="0" w:color="auto"/>
            <w:bottom w:val="none" w:sz="0" w:space="0" w:color="auto"/>
            <w:right w:val="none" w:sz="0" w:space="0" w:color="auto"/>
          </w:divBdr>
        </w:div>
        <w:div w:id="691804050">
          <w:marLeft w:val="1166"/>
          <w:marRight w:val="0"/>
          <w:marTop w:val="96"/>
          <w:marBottom w:val="0"/>
          <w:divBdr>
            <w:top w:val="none" w:sz="0" w:space="0" w:color="auto"/>
            <w:left w:val="none" w:sz="0" w:space="0" w:color="auto"/>
            <w:bottom w:val="none" w:sz="0" w:space="0" w:color="auto"/>
            <w:right w:val="none" w:sz="0" w:space="0" w:color="auto"/>
          </w:divBdr>
        </w:div>
      </w:divsChild>
    </w:div>
    <w:div w:id="1149202178">
      <w:bodyDiv w:val="1"/>
      <w:marLeft w:val="0"/>
      <w:marRight w:val="0"/>
      <w:marTop w:val="0"/>
      <w:marBottom w:val="0"/>
      <w:divBdr>
        <w:top w:val="none" w:sz="0" w:space="0" w:color="auto"/>
        <w:left w:val="none" w:sz="0" w:space="0" w:color="auto"/>
        <w:bottom w:val="none" w:sz="0" w:space="0" w:color="auto"/>
        <w:right w:val="none" w:sz="0" w:space="0" w:color="auto"/>
      </w:divBdr>
    </w:div>
    <w:div w:id="1157572136">
      <w:bodyDiv w:val="1"/>
      <w:marLeft w:val="0"/>
      <w:marRight w:val="0"/>
      <w:marTop w:val="0"/>
      <w:marBottom w:val="0"/>
      <w:divBdr>
        <w:top w:val="none" w:sz="0" w:space="0" w:color="auto"/>
        <w:left w:val="none" w:sz="0" w:space="0" w:color="auto"/>
        <w:bottom w:val="none" w:sz="0" w:space="0" w:color="auto"/>
        <w:right w:val="none" w:sz="0" w:space="0" w:color="auto"/>
      </w:divBdr>
    </w:div>
    <w:div w:id="1164393854">
      <w:bodyDiv w:val="1"/>
      <w:marLeft w:val="0"/>
      <w:marRight w:val="0"/>
      <w:marTop w:val="0"/>
      <w:marBottom w:val="0"/>
      <w:divBdr>
        <w:top w:val="none" w:sz="0" w:space="0" w:color="auto"/>
        <w:left w:val="none" w:sz="0" w:space="0" w:color="auto"/>
        <w:bottom w:val="none" w:sz="0" w:space="0" w:color="auto"/>
        <w:right w:val="none" w:sz="0" w:space="0" w:color="auto"/>
      </w:divBdr>
    </w:div>
    <w:div w:id="1185749509">
      <w:bodyDiv w:val="1"/>
      <w:marLeft w:val="0"/>
      <w:marRight w:val="0"/>
      <w:marTop w:val="0"/>
      <w:marBottom w:val="0"/>
      <w:divBdr>
        <w:top w:val="none" w:sz="0" w:space="0" w:color="auto"/>
        <w:left w:val="none" w:sz="0" w:space="0" w:color="auto"/>
        <w:bottom w:val="none" w:sz="0" w:space="0" w:color="auto"/>
        <w:right w:val="none" w:sz="0" w:space="0" w:color="auto"/>
      </w:divBdr>
      <w:divsChild>
        <w:div w:id="45957769">
          <w:marLeft w:val="547"/>
          <w:marRight w:val="0"/>
          <w:marTop w:val="96"/>
          <w:marBottom w:val="120"/>
          <w:divBdr>
            <w:top w:val="none" w:sz="0" w:space="0" w:color="auto"/>
            <w:left w:val="none" w:sz="0" w:space="0" w:color="auto"/>
            <w:bottom w:val="none" w:sz="0" w:space="0" w:color="auto"/>
            <w:right w:val="none" w:sz="0" w:space="0" w:color="auto"/>
          </w:divBdr>
        </w:div>
        <w:div w:id="310673334">
          <w:marLeft w:val="547"/>
          <w:marRight w:val="0"/>
          <w:marTop w:val="96"/>
          <w:marBottom w:val="120"/>
          <w:divBdr>
            <w:top w:val="none" w:sz="0" w:space="0" w:color="auto"/>
            <w:left w:val="none" w:sz="0" w:space="0" w:color="auto"/>
            <w:bottom w:val="none" w:sz="0" w:space="0" w:color="auto"/>
            <w:right w:val="none" w:sz="0" w:space="0" w:color="auto"/>
          </w:divBdr>
        </w:div>
        <w:div w:id="401223415">
          <w:marLeft w:val="547"/>
          <w:marRight w:val="0"/>
          <w:marTop w:val="96"/>
          <w:marBottom w:val="120"/>
          <w:divBdr>
            <w:top w:val="none" w:sz="0" w:space="0" w:color="auto"/>
            <w:left w:val="none" w:sz="0" w:space="0" w:color="auto"/>
            <w:bottom w:val="none" w:sz="0" w:space="0" w:color="auto"/>
            <w:right w:val="none" w:sz="0" w:space="0" w:color="auto"/>
          </w:divBdr>
        </w:div>
        <w:div w:id="699472627">
          <w:marLeft w:val="547"/>
          <w:marRight w:val="0"/>
          <w:marTop w:val="96"/>
          <w:marBottom w:val="120"/>
          <w:divBdr>
            <w:top w:val="none" w:sz="0" w:space="0" w:color="auto"/>
            <w:left w:val="none" w:sz="0" w:space="0" w:color="auto"/>
            <w:bottom w:val="none" w:sz="0" w:space="0" w:color="auto"/>
            <w:right w:val="none" w:sz="0" w:space="0" w:color="auto"/>
          </w:divBdr>
        </w:div>
        <w:div w:id="525801005">
          <w:marLeft w:val="547"/>
          <w:marRight w:val="0"/>
          <w:marTop w:val="96"/>
          <w:marBottom w:val="120"/>
          <w:divBdr>
            <w:top w:val="none" w:sz="0" w:space="0" w:color="auto"/>
            <w:left w:val="none" w:sz="0" w:space="0" w:color="auto"/>
            <w:bottom w:val="none" w:sz="0" w:space="0" w:color="auto"/>
            <w:right w:val="none" w:sz="0" w:space="0" w:color="auto"/>
          </w:divBdr>
        </w:div>
        <w:div w:id="1595941465">
          <w:marLeft w:val="547"/>
          <w:marRight w:val="0"/>
          <w:marTop w:val="96"/>
          <w:marBottom w:val="120"/>
          <w:divBdr>
            <w:top w:val="none" w:sz="0" w:space="0" w:color="auto"/>
            <w:left w:val="none" w:sz="0" w:space="0" w:color="auto"/>
            <w:bottom w:val="none" w:sz="0" w:space="0" w:color="auto"/>
            <w:right w:val="none" w:sz="0" w:space="0" w:color="auto"/>
          </w:divBdr>
        </w:div>
        <w:div w:id="384374360">
          <w:marLeft w:val="547"/>
          <w:marRight w:val="0"/>
          <w:marTop w:val="96"/>
          <w:marBottom w:val="120"/>
          <w:divBdr>
            <w:top w:val="none" w:sz="0" w:space="0" w:color="auto"/>
            <w:left w:val="none" w:sz="0" w:space="0" w:color="auto"/>
            <w:bottom w:val="none" w:sz="0" w:space="0" w:color="auto"/>
            <w:right w:val="none" w:sz="0" w:space="0" w:color="auto"/>
          </w:divBdr>
        </w:div>
      </w:divsChild>
    </w:div>
    <w:div w:id="1190606260">
      <w:bodyDiv w:val="1"/>
      <w:marLeft w:val="0"/>
      <w:marRight w:val="0"/>
      <w:marTop w:val="0"/>
      <w:marBottom w:val="0"/>
      <w:divBdr>
        <w:top w:val="none" w:sz="0" w:space="0" w:color="auto"/>
        <w:left w:val="none" w:sz="0" w:space="0" w:color="auto"/>
        <w:bottom w:val="none" w:sz="0" w:space="0" w:color="auto"/>
        <w:right w:val="none" w:sz="0" w:space="0" w:color="auto"/>
      </w:divBdr>
      <w:divsChild>
        <w:div w:id="716244451">
          <w:marLeft w:val="1166"/>
          <w:marRight w:val="0"/>
          <w:marTop w:val="96"/>
          <w:marBottom w:val="0"/>
          <w:divBdr>
            <w:top w:val="none" w:sz="0" w:space="0" w:color="auto"/>
            <w:left w:val="none" w:sz="0" w:space="0" w:color="auto"/>
            <w:bottom w:val="none" w:sz="0" w:space="0" w:color="auto"/>
            <w:right w:val="none" w:sz="0" w:space="0" w:color="auto"/>
          </w:divBdr>
        </w:div>
        <w:div w:id="934902893">
          <w:marLeft w:val="1166"/>
          <w:marRight w:val="0"/>
          <w:marTop w:val="96"/>
          <w:marBottom w:val="0"/>
          <w:divBdr>
            <w:top w:val="none" w:sz="0" w:space="0" w:color="auto"/>
            <w:left w:val="none" w:sz="0" w:space="0" w:color="auto"/>
            <w:bottom w:val="none" w:sz="0" w:space="0" w:color="auto"/>
            <w:right w:val="none" w:sz="0" w:space="0" w:color="auto"/>
          </w:divBdr>
        </w:div>
        <w:div w:id="449932598">
          <w:marLeft w:val="1166"/>
          <w:marRight w:val="0"/>
          <w:marTop w:val="96"/>
          <w:marBottom w:val="0"/>
          <w:divBdr>
            <w:top w:val="none" w:sz="0" w:space="0" w:color="auto"/>
            <w:left w:val="none" w:sz="0" w:space="0" w:color="auto"/>
            <w:bottom w:val="none" w:sz="0" w:space="0" w:color="auto"/>
            <w:right w:val="none" w:sz="0" w:space="0" w:color="auto"/>
          </w:divBdr>
        </w:div>
        <w:div w:id="260113416">
          <w:marLeft w:val="1166"/>
          <w:marRight w:val="0"/>
          <w:marTop w:val="96"/>
          <w:marBottom w:val="0"/>
          <w:divBdr>
            <w:top w:val="none" w:sz="0" w:space="0" w:color="auto"/>
            <w:left w:val="none" w:sz="0" w:space="0" w:color="auto"/>
            <w:bottom w:val="none" w:sz="0" w:space="0" w:color="auto"/>
            <w:right w:val="none" w:sz="0" w:space="0" w:color="auto"/>
          </w:divBdr>
        </w:div>
        <w:div w:id="1532960145">
          <w:marLeft w:val="1166"/>
          <w:marRight w:val="0"/>
          <w:marTop w:val="96"/>
          <w:marBottom w:val="0"/>
          <w:divBdr>
            <w:top w:val="none" w:sz="0" w:space="0" w:color="auto"/>
            <w:left w:val="none" w:sz="0" w:space="0" w:color="auto"/>
            <w:bottom w:val="none" w:sz="0" w:space="0" w:color="auto"/>
            <w:right w:val="none" w:sz="0" w:space="0" w:color="auto"/>
          </w:divBdr>
        </w:div>
      </w:divsChild>
    </w:div>
    <w:div w:id="1239633881">
      <w:bodyDiv w:val="1"/>
      <w:marLeft w:val="0"/>
      <w:marRight w:val="0"/>
      <w:marTop w:val="0"/>
      <w:marBottom w:val="0"/>
      <w:divBdr>
        <w:top w:val="none" w:sz="0" w:space="0" w:color="auto"/>
        <w:left w:val="none" w:sz="0" w:space="0" w:color="auto"/>
        <w:bottom w:val="none" w:sz="0" w:space="0" w:color="auto"/>
        <w:right w:val="none" w:sz="0" w:space="0" w:color="auto"/>
      </w:divBdr>
    </w:div>
    <w:div w:id="1243641413">
      <w:bodyDiv w:val="1"/>
      <w:marLeft w:val="0"/>
      <w:marRight w:val="0"/>
      <w:marTop w:val="0"/>
      <w:marBottom w:val="0"/>
      <w:divBdr>
        <w:top w:val="none" w:sz="0" w:space="0" w:color="auto"/>
        <w:left w:val="none" w:sz="0" w:space="0" w:color="auto"/>
        <w:bottom w:val="none" w:sz="0" w:space="0" w:color="auto"/>
        <w:right w:val="none" w:sz="0" w:space="0" w:color="auto"/>
      </w:divBdr>
    </w:div>
    <w:div w:id="1246918251">
      <w:bodyDiv w:val="1"/>
      <w:marLeft w:val="0"/>
      <w:marRight w:val="0"/>
      <w:marTop w:val="0"/>
      <w:marBottom w:val="0"/>
      <w:divBdr>
        <w:top w:val="none" w:sz="0" w:space="0" w:color="auto"/>
        <w:left w:val="none" w:sz="0" w:space="0" w:color="auto"/>
        <w:bottom w:val="none" w:sz="0" w:space="0" w:color="auto"/>
        <w:right w:val="none" w:sz="0" w:space="0" w:color="auto"/>
      </w:divBdr>
    </w:div>
    <w:div w:id="1266159658">
      <w:bodyDiv w:val="1"/>
      <w:marLeft w:val="0"/>
      <w:marRight w:val="0"/>
      <w:marTop w:val="0"/>
      <w:marBottom w:val="0"/>
      <w:divBdr>
        <w:top w:val="none" w:sz="0" w:space="0" w:color="auto"/>
        <w:left w:val="none" w:sz="0" w:space="0" w:color="auto"/>
        <w:bottom w:val="none" w:sz="0" w:space="0" w:color="auto"/>
        <w:right w:val="none" w:sz="0" w:space="0" w:color="auto"/>
      </w:divBdr>
    </w:div>
    <w:div w:id="1301501375">
      <w:bodyDiv w:val="1"/>
      <w:marLeft w:val="0"/>
      <w:marRight w:val="0"/>
      <w:marTop w:val="0"/>
      <w:marBottom w:val="0"/>
      <w:divBdr>
        <w:top w:val="none" w:sz="0" w:space="0" w:color="auto"/>
        <w:left w:val="none" w:sz="0" w:space="0" w:color="auto"/>
        <w:bottom w:val="none" w:sz="0" w:space="0" w:color="auto"/>
        <w:right w:val="none" w:sz="0" w:space="0" w:color="auto"/>
      </w:divBdr>
    </w:div>
    <w:div w:id="1305742505">
      <w:bodyDiv w:val="1"/>
      <w:marLeft w:val="0"/>
      <w:marRight w:val="0"/>
      <w:marTop w:val="0"/>
      <w:marBottom w:val="0"/>
      <w:divBdr>
        <w:top w:val="none" w:sz="0" w:space="0" w:color="auto"/>
        <w:left w:val="none" w:sz="0" w:space="0" w:color="auto"/>
        <w:bottom w:val="none" w:sz="0" w:space="0" w:color="auto"/>
        <w:right w:val="none" w:sz="0" w:space="0" w:color="auto"/>
      </w:divBdr>
      <w:divsChild>
        <w:div w:id="199897688">
          <w:marLeft w:val="288"/>
          <w:marRight w:val="0"/>
          <w:marTop w:val="86"/>
          <w:marBottom w:val="0"/>
          <w:divBdr>
            <w:top w:val="none" w:sz="0" w:space="0" w:color="auto"/>
            <w:left w:val="none" w:sz="0" w:space="0" w:color="auto"/>
            <w:bottom w:val="none" w:sz="0" w:space="0" w:color="auto"/>
            <w:right w:val="none" w:sz="0" w:space="0" w:color="auto"/>
          </w:divBdr>
        </w:div>
        <w:div w:id="1827166600">
          <w:marLeft w:val="979"/>
          <w:marRight w:val="0"/>
          <w:marTop w:val="77"/>
          <w:marBottom w:val="0"/>
          <w:divBdr>
            <w:top w:val="none" w:sz="0" w:space="0" w:color="auto"/>
            <w:left w:val="none" w:sz="0" w:space="0" w:color="auto"/>
            <w:bottom w:val="none" w:sz="0" w:space="0" w:color="auto"/>
            <w:right w:val="none" w:sz="0" w:space="0" w:color="auto"/>
          </w:divBdr>
        </w:div>
        <w:div w:id="1660498594">
          <w:marLeft w:val="979"/>
          <w:marRight w:val="0"/>
          <w:marTop w:val="77"/>
          <w:marBottom w:val="0"/>
          <w:divBdr>
            <w:top w:val="none" w:sz="0" w:space="0" w:color="auto"/>
            <w:left w:val="none" w:sz="0" w:space="0" w:color="auto"/>
            <w:bottom w:val="none" w:sz="0" w:space="0" w:color="auto"/>
            <w:right w:val="none" w:sz="0" w:space="0" w:color="auto"/>
          </w:divBdr>
        </w:div>
        <w:div w:id="19283443">
          <w:marLeft w:val="288"/>
          <w:marRight w:val="0"/>
          <w:marTop w:val="160"/>
          <w:marBottom w:val="0"/>
          <w:divBdr>
            <w:top w:val="none" w:sz="0" w:space="0" w:color="auto"/>
            <w:left w:val="none" w:sz="0" w:space="0" w:color="auto"/>
            <w:bottom w:val="none" w:sz="0" w:space="0" w:color="auto"/>
            <w:right w:val="none" w:sz="0" w:space="0" w:color="auto"/>
          </w:divBdr>
        </w:div>
        <w:div w:id="535237539">
          <w:marLeft w:val="979"/>
          <w:marRight w:val="0"/>
          <w:marTop w:val="77"/>
          <w:marBottom w:val="0"/>
          <w:divBdr>
            <w:top w:val="none" w:sz="0" w:space="0" w:color="auto"/>
            <w:left w:val="none" w:sz="0" w:space="0" w:color="auto"/>
            <w:bottom w:val="none" w:sz="0" w:space="0" w:color="auto"/>
            <w:right w:val="none" w:sz="0" w:space="0" w:color="auto"/>
          </w:divBdr>
        </w:div>
        <w:div w:id="1669475675">
          <w:marLeft w:val="288"/>
          <w:marRight w:val="0"/>
          <w:marTop w:val="160"/>
          <w:marBottom w:val="0"/>
          <w:divBdr>
            <w:top w:val="none" w:sz="0" w:space="0" w:color="auto"/>
            <w:left w:val="none" w:sz="0" w:space="0" w:color="auto"/>
            <w:bottom w:val="none" w:sz="0" w:space="0" w:color="auto"/>
            <w:right w:val="none" w:sz="0" w:space="0" w:color="auto"/>
          </w:divBdr>
        </w:div>
        <w:div w:id="92020507">
          <w:marLeft w:val="979"/>
          <w:marRight w:val="0"/>
          <w:marTop w:val="77"/>
          <w:marBottom w:val="0"/>
          <w:divBdr>
            <w:top w:val="none" w:sz="0" w:space="0" w:color="auto"/>
            <w:left w:val="none" w:sz="0" w:space="0" w:color="auto"/>
            <w:bottom w:val="none" w:sz="0" w:space="0" w:color="auto"/>
            <w:right w:val="none" w:sz="0" w:space="0" w:color="auto"/>
          </w:divBdr>
        </w:div>
        <w:div w:id="1665737150">
          <w:marLeft w:val="979"/>
          <w:marRight w:val="0"/>
          <w:marTop w:val="77"/>
          <w:marBottom w:val="0"/>
          <w:divBdr>
            <w:top w:val="none" w:sz="0" w:space="0" w:color="auto"/>
            <w:left w:val="none" w:sz="0" w:space="0" w:color="auto"/>
            <w:bottom w:val="none" w:sz="0" w:space="0" w:color="auto"/>
            <w:right w:val="none" w:sz="0" w:space="0" w:color="auto"/>
          </w:divBdr>
        </w:div>
        <w:div w:id="84111590">
          <w:marLeft w:val="288"/>
          <w:marRight w:val="0"/>
          <w:marTop w:val="160"/>
          <w:marBottom w:val="0"/>
          <w:divBdr>
            <w:top w:val="none" w:sz="0" w:space="0" w:color="auto"/>
            <w:left w:val="none" w:sz="0" w:space="0" w:color="auto"/>
            <w:bottom w:val="none" w:sz="0" w:space="0" w:color="auto"/>
            <w:right w:val="none" w:sz="0" w:space="0" w:color="auto"/>
          </w:divBdr>
        </w:div>
        <w:div w:id="1157645372">
          <w:marLeft w:val="979"/>
          <w:marRight w:val="0"/>
          <w:marTop w:val="77"/>
          <w:marBottom w:val="0"/>
          <w:divBdr>
            <w:top w:val="none" w:sz="0" w:space="0" w:color="auto"/>
            <w:left w:val="none" w:sz="0" w:space="0" w:color="auto"/>
            <w:bottom w:val="none" w:sz="0" w:space="0" w:color="auto"/>
            <w:right w:val="none" w:sz="0" w:space="0" w:color="auto"/>
          </w:divBdr>
        </w:div>
        <w:div w:id="1041705971">
          <w:marLeft w:val="288"/>
          <w:marRight w:val="0"/>
          <w:marTop w:val="160"/>
          <w:marBottom w:val="0"/>
          <w:divBdr>
            <w:top w:val="none" w:sz="0" w:space="0" w:color="auto"/>
            <w:left w:val="none" w:sz="0" w:space="0" w:color="auto"/>
            <w:bottom w:val="none" w:sz="0" w:space="0" w:color="auto"/>
            <w:right w:val="none" w:sz="0" w:space="0" w:color="auto"/>
          </w:divBdr>
        </w:div>
        <w:div w:id="573397747">
          <w:marLeft w:val="979"/>
          <w:marRight w:val="0"/>
          <w:marTop w:val="77"/>
          <w:marBottom w:val="0"/>
          <w:divBdr>
            <w:top w:val="none" w:sz="0" w:space="0" w:color="auto"/>
            <w:left w:val="none" w:sz="0" w:space="0" w:color="auto"/>
            <w:bottom w:val="none" w:sz="0" w:space="0" w:color="auto"/>
            <w:right w:val="none" w:sz="0" w:space="0" w:color="auto"/>
          </w:divBdr>
        </w:div>
        <w:div w:id="1077437989">
          <w:marLeft w:val="288"/>
          <w:marRight w:val="0"/>
          <w:marTop w:val="160"/>
          <w:marBottom w:val="0"/>
          <w:divBdr>
            <w:top w:val="none" w:sz="0" w:space="0" w:color="auto"/>
            <w:left w:val="none" w:sz="0" w:space="0" w:color="auto"/>
            <w:bottom w:val="none" w:sz="0" w:space="0" w:color="auto"/>
            <w:right w:val="none" w:sz="0" w:space="0" w:color="auto"/>
          </w:divBdr>
        </w:div>
        <w:div w:id="1285500283">
          <w:marLeft w:val="979"/>
          <w:marRight w:val="0"/>
          <w:marTop w:val="77"/>
          <w:marBottom w:val="0"/>
          <w:divBdr>
            <w:top w:val="none" w:sz="0" w:space="0" w:color="auto"/>
            <w:left w:val="none" w:sz="0" w:space="0" w:color="auto"/>
            <w:bottom w:val="none" w:sz="0" w:space="0" w:color="auto"/>
            <w:right w:val="none" w:sz="0" w:space="0" w:color="auto"/>
          </w:divBdr>
        </w:div>
      </w:divsChild>
    </w:div>
    <w:div w:id="1331441652">
      <w:bodyDiv w:val="1"/>
      <w:marLeft w:val="0"/>
      <w:marRight w:val="0"/>
      <w:marTop w:val="0"/>
      <w:marBottom w:val="0"/>
      <w:divBdr>
        <w:top w:val="none" w:sz="0" w:space="0" w:color="auto"/>
        <w:left w:val="none" w:sz="0" w:space="0" w:color="auto"/>
        <w:bottom w:val="none" w:sz="0" w:space="0" w:color="auto"/>
        <w:right w:val="none" w:sz="0" w:space="0" w:color="auto"/>
      </w:divBdr>
    </w:div>
    <w:div w:id="1341931566">
      <w:bodyDiv w:val="1"/>
      <w:marLeft w:val="0"/>
      <w:marRight w:val="0"/>
      <w:marTop w:val="0"/>
      <w:marBottom w:val="0"/>
      <w:divBdr>
        <w:top w:val="none" w:sz="0" w:space="0" w:color="auto"/>
        <w:left w:val="none" w:sz="0" w:space="0" w:color="auto"/>
        <w:bottom w:val="none" w:sz="0" w:space="0" w:color="auto"/>
        <w:right w:val="none" w:sz="0" w:space="0" w:color="auto"/>
      </w:divBdr>
    </w:div>
    <w:div w:id="1347633745">
      <w:bodyDiv w:val="1"/>
      <w:marLeft w:val="0"/>
      <w:marRight w:val="0"/>
      <w:marTop w:val="0"/>
      <w:marBottom w:val="0"/>
      <w:divBdr>
        <w:top w:val="none" w:sz="0" w:space="0" w:color="auto"/>
        <w:left w:val="none" w:sz="0" w:space="0" w:color="auto"/>
        <w:bottom w:val="none" w:sz="0" w:space="0" w:color="auto"/>
        <w:right w:val="none" w:sz="0" w:space="0" w:color="auto"/>
      </w:divBdr>
    </w:div>
    <w:div w:id="1350640309">
      <w:bodyDiv w:val="1"/>
      <w:marLeft w:val="0"/>
      <w:marRight w:val="0"/>
      <w:marTop w:val="0"/>
      <w:marBottom w:val="0"/>
      <w:divBdr>
        <w:top w:val="none" w:sz="0" w:space="0" w:color="auto"/>
        <w:left w:val="none" w:sz="0" w:space="0" w:color="auto"/>
        <w:bottom w:val="none" w:sz="0" w:space="0" w:color="auto"/>
        <w:right w:val="none" w:sz="0" w:space="0" w:color="auto"/>
      </w:divBdr>
    </w:div>
    <w:div w:id="1424842267">
      <w:bodyDiv w:val="1"/>
      <w:marLeft w:val="0"/>
      <w:marRight w:val="0"/>
      <w:marTop w:val="0"/>
      <w:marBottom w:val="0"/>
      <w:divBdr>
        <w:top w:val="none" w:sz="0" w:space="0" w:color="auto"/>
        <w:left w:val="none" w:sz="0" w:space="0" w:color="auto"/>
        <w:bottom w:val="none" w:sz="0" w:space="0" w:color="auto"/>
        <w:right w:val="none" w:sz="0" w:space="0" w:color="auto"/>
      </w:divBdr>
      <w:divsChild>
        <w:div w:id="2082868771">
          <w:marLeft w:val="835"/>
          <w:marRight w:val="0"/>
          <w:marTop w:val="60"/>
          <w:marBottom w:val="60"/>
          <w:divBdr>
            <w:top w:val="none" w:sz="0" w:space="0" w:color="auto"/>
            <w:left w:val="none" w:sz="0" w:space="0" w:color="auto"/>
            <w:bottom w:val="none" w:sz="0" w:space="0" w:color="auto"/>
            <w:right w:val="none" w:sz="0" w:space="0" w:color="auto"/>
          </w:divBdr>
        </w:div>
        <w:div w:id="483670625">
          <w:marLeft w:val="835"/>
          <w:marRight w:val="0"/>
          <w:marTop w:val="60"/>
          <w:marBottom w:val="60"/>
          <w:divBdr>
            <w:top w:val="none" w:sz="0" w:space="0" w:color="auto"/>
            <w:left w:val="none" w:sz="0" w:space="0" w:color="auto"/>
            <w:bottom w:val="none" w:sz="0" w:space="0" w:color="auto"/>
            <w:right w:val="none" w:sz="0" w:space="0" w:color="auto"/>
          </w:divBdr>
        </w:div>
        <w:div w:id="1537936255">
          <w:marLeft w:val="835"/>
          <w:marRight w:val="0"/>
          <w:marTop w:val="60"/>
          <w:marBottom w:val="60"/>
          <w:divBdr>
            <w:top w:val="none" w:sz="0" w:space="0" w:color="auto"/>
            <w:left w:val="none" w:sz="0" w:space="0" w:color="auto"/>
            <w:bottom w:val="none" w:sz="0" w:space="0" w:color="auto"/>
            <w:right w:val="none" w:sz="0" w:space="0" w:color="auto"/>
          </w:divBdr>
        </w:div>
        <w:div w:id="155347334">
          <w:marLeft w:val="835"/>
          <w:marRight w:val="0"/>
          <w:marTop w:val="60"/>
          <w:marBottom w:val="60"/>
          <w:divBdr>
            <w:top w:val="none" w:sz="0" w:space="0" w:color="auto"/>
            <w:left w:val="none" w:sz="0" w:space="0" w:color="auto"/>
            <w:bottom w:val="none" w:sz="0" w:space="0" w:color="auto"/>
            <w:right w:val="none" w:sz="0" w:space="0" w:color="auto"/>
          </w:divBdr>
        </w:div>
        <w:div w:id="1894583482">
          <w:marLeft w:val="835"/>
          <w:marRight w:val="0"/>
          <w:marTop w:val="60"/>
          <w:marBottom w:val="60"/>
          <w:divBdr>
            <w:top w:val="none" w:sz="0" w:space="0" w:color="auto"/>
            <w:left w:val="none" w:sz="0" w:space="0" w:color="auto"/>
            <w:bottom w:val="none" w:sz="0" w:space="0" w:color="auto"/>
            <w:right w:val="none" w:sz="0" w:space="0" w:color="auto"/>
          </w:divBdr>
        </w:div>
        <w:div w:id="85082762">
          <w:marLeft w:val="835"/>
          <w:marRight w:val="0"/>
          <w:marTop w:val="60"/>
          <w:marBottom w:val="60"/>
          <w:divBdr>
            <w:top w:val="none" w:sz="0" w:space="0" w:color="auto"/>
            <w:left w:val="none" w:sz="0" w:space="0" w:color="auto"/>
            <w:bottom w:val="none" w:sz="0" w:space="0" w:color="auto"/>
            <w:right w:val="none" w:sz="0" w:space="0" w:color="auto"/>
          </w:divBdr>
        </w:div>
        <w:div w:id="1629319101">
          <w:marLeft w:val="835"/>
          <w:marRight w:val="0"/>
          <w:marTop w:val="60"/>
          <w:marBottom w:val="60"/>
          <w:divBdr>
            <w:top w:val="none" w:sz="0" w:space="0" w:color="auto"/>
            <w:left w:val="none" w:sz="0" w:space="0" w:color="auto"/>
            <w:bottom w:val="none" w:sz="0" w:space="0" w:color="auto"/>
            <w:right w:val="none" w:sz="0" w:space="0" w:color="auto"/>
          </w:divBdr>
        </w:div>
      </w:divsChild>
    </w:div>
    <w:div w:id="1430203114">
      <w:bodyDiv w:val="1"/>
      <w:marLeft w:val="0"/>
      <w:marRight w:val="0"/>
      <w:marTop w:val="0"/>
      <w:marBottom w:val="0"/>
      <w:divBdr>
        <w:top w:val="none" w:sz="0" w:space="0" w:color="auto"/>
        <w:left w:val="none" w:sz="0" w:space="0" w:color="auto"/>
        <w:bottom w:val="none" w:sz="0" w:space="0" w:color="auto"/>
        <w:right w:val="none" w:sz="0" w:space="0" w:color="auto"/>
      </w:divBdr>
      <w:divsChild>
        <w:div w:id="1842424602">
          <w:marLeft w:val="1800"/>
          <w:marRight w:val="0"/>
          <w:marTop w:val="96"/>
          <w:marBottom w:val="0"/>
          <w:divBdr>
            <w:top w:val="none" w:sz="0" w:space="0" w:color="auto"/>
            <w:left w:val="none" w:sz="0" w:space="0" w:color="auto"/>
            <w:bottom w:val="none" w:sz="0" w:space="0" w:color="auto"/>
            <w:right w:val="none" w:sz="0" w:space="0" w:color="auto"/>
          </w:divBdr>
        </w:div>
        <w:div w:id="537206903">
          <w:marLeft w:val="1800"/>
          <w:marRight w:val="0"/>
          <w:marTop w:val="96"/>
          <w:marBottom w:val="0"/>
          <w:divBdr>
            <w:top w:val="none" w:sz="0" w:space="0" w:color="auto"/>
            <w:left w:val="none" w:sz="0" w:space="0" w:color="auto"/>
            <w:bottom w:val="none" w:sz="0" w:space="0" w:color="auto"/>
            <w:right w:val="none" w:sz="0" w:space="0" w:color="auto"/>
          </w:divBdr>
        </w:div>
        <w:div w:id="2026708710">
          <w:marLeft w:val="1800"/>
          <w:marRight w:val="0"/>
          <w:marTop w:val="96"/>
          <w:marBottom w:val="0"/>
          <w:divBdr>
            <w:top w:val="none" w:sz="0" w:space="0" w:color="auto"/>
            <w:left w:val="none" w:sz="0" w:space="0" w:color="auto"/>
            <w:bottom w:val="none" w:sz="0" w:space="0" w:color="auto"/>
            <w:right w:val="none" w:sz="0" w:space="0" w:color="auto"/>
          </w:divBdr>
        </w:div>
        <w:div w:id="1868450735">
          <w:marLeft w:val="1800"/>
          <w:marRight w:val="0"/>
          <w:marTop w:val="96"/>
          <w:marBottom w:val="0"/>
          <w:divBdr>
            <w:top w:val="none" w:sz="0" w:space="0" w:color="auto"/>
            <w:left w:val="none" w:sz="0" w:space="0" w:color="auto"/>
            <w:bottom w:val="none" w:sz="0" w:space="0" w:color="auto"/>
            <w:right w:val="none" w:sz="0" w:space="0" w:color="auto"/>
          </w:divBdr>
        </w:div>
        <w:div w:id="570968463">
          <w:marLeft w:val="1800"/>
          <w:marRight w:val="0"/>
          <w:marTop w:val="96"/>
          <w:marBottom w:val="0"/>
          <w:divBdr>
            <w:top w:val="none" w:sz="0" w:space="0" w:color="auto"/>
            <w:left w:val="none" w:sz="0" w:space="0" w:color="auto"/>
            <w:bottom w:val="none" w:sz="0" w:space="0" w:color="auto"/>
            <w:right w:val="none" w:sz="0" w:space="0" w:color="auto"/>
          </w:divBdr>
        </w:div>
        <w:div w:id="318772551">
          <w:marLeft w:val="1800"/>
          <w:marRight w:val="0"/>
          <w:marTop w:val="96"/>
          <w:marBottom w:val="0"/>
          <w:divBdr>
            <w:top w:val="none" w:sz="0" w:space="0" w:color="auto"/>
            <w:left w:val="none" w:sz="0" w:space="0" w:color="auto"/>
            <w:bottom w:val="none" w:sz="0" w:space="0" w:color="auto"/>
            <w:right w:val="none" w:sz="0" w:space="0" w:color="auto"/>
          </w:divBdr>
        </w:div>
      </w:divsChild>
    </w:div>
    <w:div w:id="1480533925">
      <w:bodyDiv w:val="1"/>
      <w:marLeft w:val="0"/>
      <w:marRight w:val="0"/>
      <w:marTop w:val="0"/>
      <w:marBottom w:val="0"/>
      <w:divBdr>
        <w:top w:val="none" w:sz="0" w:space="0" w:color="auto"/>
        <w:left w:val="none" w:sz="0" w:space="0" w:color="auto"/>
        <w:bottom w:val="none" w:sz="0" w:space="0" w:color="auto"/>
        <w:right w:val="none" w:sz="0" w:space="0" w:color="auto"/>
      </w:divBdr>
    </w:div>
    <w:div w:id="1482575871">
      <w:bodyDiv w:val="1"/>
      <w:marLeft w:val="0"/>
      <w:marRight w:val="0"/>
      <w:marTop w:val="0"/>
      <w:marBottom w:val="0"/>
      <w:divBdr>
        <w:top w:val="none" w:sz="0" w:space="0" w:color="auto"/>
        <w:left w:val="none" w:sz="0" w:space="0" w:color="auto"/>
        <w:bottom w:val="none" w:sz="0" w:space="0" w:color="auto"/>
        <w:right w:val="none" w:sz="0" w:space="0" w:color="auto"/>
      </w:divBdr>
    </w:div>
    <w:div w:id="1491561415">
      <w:bodyDiv w:val="1"/>
      <w:marLeft w:val="0"/>
      <w:marRight w:val="0"/>
      <w:marTop w:val="0"/>
      <w:marBottom w:val="0"/>
      <w:divBdr>
        <w:top w:val="none" w:sz="0" w:space="0" w:color="auto"/>
        <w:left w:val="none" w:sz="0" w:space="0" w:color="auto"/>
        <w:bottom w:val="none" w:sz="0" w:space="0" w:color="auto"/>
        <w:right w:val="none" w:sz="0" w:space="0" w:color="auto"/>
      </w:divBdr>
    </w:div>
    <w:div w:id="1494834252">
      <w:bodyDiv w:val="1"/>
      <w:marLeft w:val="0"/>
      <w:marRight w:val="0"/>
      <w:marTop w:val="0"/>
      <w:marBottom w:val="0"/>
      <w:divBdr>
        <w:top w:val="none" w:sz="0" w:space="0" w:color="auto"/>
        <w:left w:val="none" w:sz="0" w:space="0" w:color="auto"/>
        <w:bottom w:val="none" w:sz="0" w:space="0" w:color="auto"/>
        <w:right w:val="none" w:sz="0" w:space="0" w:color="auto"/>
      </w:divBdr>
    </w:div>
    <w:div w:id="1507208818">
      <w:bodyDiv w:val="1"/>
      <w:marLeft w:val="0"/>
      <w:marRight w:val="0"/>
      <w:marTop w:val="0"/>
      <w:marBottom w:val="0"/>
      <w:divBdr>
        <w:top w:val="none" w:sz="0" w:space="0" w:color="auto"/>
        <w:left w:val="none" w:sz="0" w:space="0" w:color="auto"/>
        <w:bottom w:val="none" w:sz="0" w:space="0" w:color="auto"/>
        <w:right w:val="none" w:sz="0" w:space="0" w:color="auto"/>
      </w:divBdr>
    </w:div>
    <w:div w:id="1542474253">
      <w:bodyDiv w:val="1"/>
      <w:marLeft w:val="0"/>
      <w:marRight w:val="0"/>
      <w:marTop w:val="0"/>
      <w:marBottom w:val="0"/>
      <w:divBdr>
        <w:top w:val="none" w:sz="0" w:space="0" w:color="auto"/>
        <w:left w:val="none" w:sz="0" w:space="0" w:color="auto"/>
        <w:bottom w:val="none" w:sz="0" w:space="0" w:color="auto"/>
        <w:right w:val="none" w:sz="0" w:space="0" w:color="auto"/>
      </w:divBdr>
    </w:div>
    <w:div w:id="1545678907">
      <w:bodyDiv w:val="1"/>
      <w:marLeft w:val="0"/>
      <w:marRight w:val="0"/>
      <w:marTop w:val="0"/>
      <w:marBottom w:val="0"/>
      <w:divBdr>
        <w:top w:val="none" w:sz="0" w:space="0" w:color="auto"/>
        <w:left w:val="none" w:sz="0" w:space="0" w:color="auto"/>
        <w:bottom w:val="none" w:sz="0" w:space="0" w:color="auto"/>
        <w:right w:val="none" w:sz="0" w:space="0" w:color="auto"/>
      </w:divBdr>
    </w:div>
    <w:div w:id="1570920756">
      <w:bodyDiv w:val="1"/>
      <w:marLeft w:val="0"/>
      <w:marRight w:val="0"/>
      <w:marTop w:val="0"/>
      <w:marBottom w:val="0"/>
      <w:divBdr>
        <w:top w:val="none" w:sz="0" w:space="0" w:color="auto"/>
        <w:left w:val="none" w:sz="0" w:space="0" w:color="auto"/>
        <w:bottom w:val="none" w:sz="0" w:space="0" w:color="auto"/>
        <w:right w:val="none" w:sz="0" w:space="0" w:color="auto"/>
      </w:divBdr>
    </w:div>
    <w:div w:id="1619027625">
      <w:bodyDiv w:val="1"/>
      <w:marLeft w:val="0"/>
      <w:marRight w:val="0"/>
      <w:marTop w:val="0"/>
      <w:marBottom w:val="0"/>
      <w:divBdr>
        <w:top w:val="none" w:sz="0" w:space="0" w:color="auto"/>
        <w:left w:val="none" w:sz="0" w:space="0" w:color="auto"/>
        <w:bottom w:val="none" w:sz="0" w:space="0" w:color="auto"/>
        <w:right w:val="none" w:sz="0" w:space="0" w:color="auto"/>
      </w:divBdr>
      <w:divsChild>
        <w:div w:id="2101026495">
          <w:marLeft w:val="274"/>
          <w:marRight w:val="0"/>
          <w:marTop w:val="0"/>
          <w:marBottom w:val="0"/>
          <w:divBdr>
            <w:top w:val="none" w:sz="0" w:space="0" w:color="auto"/>
            <w:left w:val="none" w:sz="0" w:space="0" w:color="auto"/>
            <w:bottom w:val="none" w:sz="0" w:space="0" w:color="auto"/>
            <w:right w:val="none" w:sz="0" w:space="0" w:color="auto"/>
          </w:divBdr>
        </w:div>
        <w:div w:id="1569607655">
          <w:marLeft w:val="994"/>
          <w:marRight w:val="0"/>
          <w:marTop w:val="0"/>
          <w:marBottom w:val="0"/>
          <w:divBdr>
            <w:top w:val="none" w:sz="0" w:space="0" w:color="auto"/>
            <w:left w:val="none" w:sz="0" w:space="0" w:color="auto"/>
            <w:bottom w:val="none" w:sz="0" w:space="0" w:color="auto"/>
            <w:right w:val="none" w:sz="0" w:space="0" w:color="auto"/>
          </w:divBdr>
        </w:div>
        <w:div w:id="220136513">
          <w:marLeft w:val="994"/>
          <w:marRight w:val="0"/>
          <w:marTop w:val="0"/>
          <w:marBottom w:val="0"/>
          <w:divBdr>
            <w:top w:val="none" w:sz="0" w:space="0" w:color="auto"/>
            <w:left w:val="none" w:sz="0" w:space="0" w:color="auto"/>
            <w:bottom w:val="none" w:sz="0" w:space="0" w:color="auto"/>
            <w:right w:val="none" w:sz="0" w:space="0" w:color="auto"/>
          </w:divBdr>
        </w:div>
        <w:div w:id="2123913039">
          <w:marLeft w:val="274"/>
          <w:marRight w:val="0"/>
          <w:marTop w:val="0"/>
          <w:marBottom w:val="0"/>
          <w:divBdr>
            <w:top w:val="none" w:sz="0" w:space="0" w:color="auto"/>
            <w:left w:val="none" w:sz="0" w:space="0" w:color="auto"/>
            <w:bottom w:val="none" w:sz="0" w:space="0" w:color="auto"/>
            <w:right w:val="none" w:sz="0" w:space="0" w:color="auto"/>
          </w:divBdr>
        </w:div>
        <w:div w:id="1702434157">
          <w:marLeft w:val="994"/>
          <w:marRight w:val="0"/>
          <w:marTop w:val="0"/>
          <w:marBottom w:val="0"/>
          <w:divBdr>
            <w:top w:val="none" w:sz="0" w:space="0" w:color="auto"/>
            <w:left w:val="none" w:sz="0" w:space="0" w:color="auto"/>
            <w:bottom w:val="none" w:sz="0" w:space="0" w:color="auto"/>
            <w:right w:val="none" w:sz="0" w:space="0" w:color="auto"/>
          </w:divBdr>
        </w:div>
        <w:div w:id="1558711118">
          <w:marLeft w:val="994"/>
          <w:marRight w:val="0"/>
          <w:marTop w:val="0"/>
          <w:marBottom w:val="0"/>
          <w:divBdr>
            <w:top w:val="none" w:sz="0" w:space="0" w:color="auto"/>
            <w:left w:val="none" w:sz="0" w:space="0" w:color="auto"/>
            <w:bottom w:val="none" w:sz="0" w:space="0" w:color="auto"/>
            <w:right w:val="none" w:sz="0" w:space="0" w:color="auto"/>
          </w:divBdr>
        </w:div>
        <w:div w:id="1607956604">
          <w:marLeft w:val="994"/>
          <w:marRight w:val="0"/>
          <w:marTop w:val="0"/>
          <w:marBottom w:val="0"/>
          <w:divBdr>
            <w:top w:val="none" w:sz="0" w:space="0" w:color="auto"/>
            <w:left w:val="none" w:sz="0" w:space="0" w:color="auto"/>
            <w:bottom w:val="none" w:sz="0" w:space="0" w:color="auto"/>
            <w:right w:val="none" w:sz="0" w:space="0" w:color="auto"/>
          </w:divBdr>
        </w:div>
      </w:divsChild>
    </w:div>
    <w:div w:id="1636794297">
      <w:bodyDiv w:val="1"/>
      <w:marLeft w:val="0"/>
      <w:marRight w:val="0"/>
      <w:marTop w:val="0"/>
      <w:marBottom w:val="0"/>
      <w:divBdr>
        <w:top w:val="none" w:sz="0" w:space="0" w:color="auto"/>
        <w:left w:val="none" w:sz="0" w:space="0" w:color="auto"/>
        <w:bottom w:val="none" w:sz="0" w:space="0" w:color="auto"/>
        <w:right w:val="none" w:sz="0" w:space="0" w:color="auto"/>
      </w:divBdr>
      <w:divsChild>
        <w:div w:id="1287587101">
          <w:marLeft w:val="288"/>
          <w:marRight w:val="0"/>
          <w:marTop w:val="86"/>
          <w:marBottom w:val="0"/>
          <w:divBdr>
            <w:top w:val="none" w:sz="0" w:space="0" w:color="auto"/>
            <w:left w:val="none" w:sz="0" w:space="0" w:color="auto"/>
            <w:bottom w:val="none" w:sz="0" w:space="0" w:color="auto"/>
            <w:right w:val="none" w:sz="0" w:space="0" w:color="auto"/>
          </w:divBdr>
        </w:div>
        <w:div w:id="1043095233">
          <w:marLeft w:val="979"/>
          <w:marRight w:val="0"/>
          <w:marTop w:val="77"/>
          <w:marBottom w:val="0"/>
          <w:divBdr>
            <w:top w:val="none" w:sz="0" w:space="0" w:color="auto"/>
            <w:left w:val="none" w:sz="0" w:space="0" w:color="auto"/>
            <w:bottom w:val="none" w:sz="0" w:space="0" w:color="auto"/>
            <w:right w:val="none" w:sz="0" w:space="0" w:color="auto"/>
          </w:divBdr>
        </w:div>
        <w:div w:id="1160002125">
          <w:marLeft w:val="979"/>
          <w:marRight w:val="0"/>
          <w:marTop w:val="77"/>
          <w:marBottom w:val="0"/>
          <w:divBdr>
            <w:top w:val="none" w:sz="0" w:space="0" w:color="auto"/>
            <w:left w:val="none" w:sz="0" w:space="0" w:color="auto"/>
            <w:bottom w:val="none" w:sz="0" w:space="0" w:color="auto"/>
            <w:right w:val="none" w:sz="0" w:space="0" w:color="auto"/>
          </w:divBdr>
        </w:div>
        <w:div w:id="907810777">
          <w:marLeft w:val="288"/>
          <w:marRight w:val="0"/>
          <w:marTop w:val="160"/>
          <w:marBottom w:val="0"/>
          <w:divBdr>
            <w:top w:val="none" w:sz="0" w:space="0" w:color="auto"/>
            <w:left w:val="none" w:sz="0" w:space="0" w:color="auto"/>
            <w:bottom w:val="none" w:sz="0" w:space="0" w:color="auto"/>
            <w:right w:val="none" w:sz="0" w:space="0" w:color="auto"/>
          </w:divBdr>
        </w:div>
        <w:div w:id="1812558808">
          <w:marLeft w:val="979"/>
          <w:marRight w:val="0"/>
          <w:marTop w:val="77"/>
          <w:marBottom w:val="0"/>
          <w:divBdr>
            <w:top w:val="none" w:sz="0" w:space="0" w:color="auto"/>
            <w:left w:val="none" w:sz="0" w:space="0" w:color="auto"/>
            <w:bottom w:val="none" w:sz="0" w:space="0" w:color="auto"/>
            <w:right w:val="none" w:sz="0" w:space="0" w:color="auto"/>
          </w:divBdr>
        </w:div>
        <w:div w:id="1055471375">
          <w:marLeft w:val="288"/>
          <w:marRight w:val="0"/>
          <w:marTop w:val="160"/>
          <w:marBottom w:val="0"/>
          <w:divBdr>
            <w:top w:val="none" w:sz="0" w:space="0" w:color="auto"/>
            <w:left w:val="none" w:sz="0" w:space="0" w:color="auto"/>
            <w:bottom w:val="none" w:sz="0" w:space="0" w:color="auto"/>
            <w:right w:val="none" w:sz="0" w:space="0" w:color="auto"/>
          </w:divBdr>
        </w:div>
        <w:div w:id="1609653488">
          <w:marLeft w:val="979"/>
          <w:marRight w:val="0"/>
          <w:marTop w:val="77"/>
          <w:marBottom w:val="0"/>
          <w:divBdr>
            <w:top w:val="none" w:sz="0" w:space="0" w:color="auto"/>
            <w:left w:val="none" w:sz="0" w:space="0" w:color="auto"/>
            <w:bottom w:val="none" w:sz="0" w:space="0" w:color="auto"/>
            <w:right w:val="none" w:sz="0" w:space="0" w:color="auto"/>
          </w:divBdr>
        </w:div>
        <w:div w:id="68621026">
          <w:marLeft w:val="979"/>
          <w:marRight w:val="0"/>
          <w:marTop w:val="77"/>
          <w:marBottom w:val="0"/>
          <w:divBdr>
            <w:top w:val="none" w:sz="0" w:space="0" w:color="auto"/>
            <w:left w:val="none" w:sz="0" w:space="0" w:color="auto"/>
            <w:bottom w:val="none" w:sz="0" w:space="0" w:color="auto"/>
            <w:right w:val="none" w:sz="0" w:space="0" w:color="auto"/>
          </w:divBdr>
        </w:div>
        <w:div w:id="1981884480">
          <w:marLeft w:val="288"/>
          <w:marRight w:val="0"/>
          <w:marTop w:val="160"/>
          <w:marBottom w:val="0"/>
          <w:divBdr>
            <w:top w:val="none" w:sz="0" w:space="0" w:color="auto"/>
            <w:left w:val="none" w:sz="0" w:space="0" w:color="auto"/>
            <w:bottom w:val="none" w:sz="0" w:space="0" w:color="auto"/>
            <w:right w:val="none" w:sz="0" w:space="0" w:color="auto"/>
          </w:divBdr>
        </w:div>
        <w:div w:id="625695490">
          <w:marLeft w:val="979"/>
          <w:marRight w:val="0"/>
          <w:marTop w:val="77"/>
          <w:marBottom w:val="0"/>
          <w:divBdr>
            <w:top w:val="none" w:sz="0" w:space="0" w:color="auto"/>
            <w:left w:val="none" w:sz="0" w:space="0" w:color="auto"/>
            <w:bottom w:val="none" w:sz="0" w:space="0" w:color="auto"/>
            <w:right w:val="none" w:sz="0" w:space="0" w:color="auto"/>
          </w:divBdr>
        </w:div>
        <w:div w:id="1972666038">
          <w:marLeft w:val="288"/>
          <w:marRight w:val="0"/>
          <w:marTop w:val="160"/>
          <w:marBottom w:val="0"/>
          <w:divBdr>
            <w:top w:val="none" w:sz="0" w:space="0" w:color="auto"/>
            <w:left w:val="none" w:sz="0" w:space="0" w:color="auto"/>
            <w:bottom w:val="none" w:sz="0" w:space="0" w:color="auto"/>
            <w:right w:val="none" w:sz="0" w:space="0" w:color="auto"/>
          </w:divBdr>
        </w:div>
        <w:div w:id="1052000235">
          <w:marLeft w:val="979"/>
          <w:marRight w:val="0"/>
          <w:marTop w:val="77"/>
          <w:marBottom w:val="0"/>
          <w:divBdr>
            <w:top w:val="none" w:sz="0" w:space="0" w:color="auto"/>
            <w:left w:val="none" w:sz="0" w:space="0" w:color="auto"/>
            <w:bottom w:val="none" w:sz="0" w:space="0" w:color="auto"/>
            <w:right w:val="none" w:sz="0" w:space="0" w:color="auto"/>
          </w:divBdr>
        </w:div>
        <w:div w:id="770903623">
          <w:marLeft w:val="288"/>
          <w:marRight w:val="0"/>
          <w:marTop w:val="160"/>
          <w:marBottom w:val="0"/>
          <w:divBdr>
            <w:top w:val="none" w:sz="0" w:space="0" w:color="auto"/>
            <w:left w:val="none" w:sz="0" w:space="0" w:color="auto"/>
            <w:bottom w:val="none" w:sz="0" w:space="0" w:color="auto"/>
            <w:right w:val="none" w:sz="0" w:space="0" w:color="auto"/>
          </w:divBdr>
        </w:div>
        <w:div w:id="1043484843">
          <w:marLeft w:val="979"/>
          <w:marRight w:val="0"/>
          <w:marTop w:val="77"/>
          <w:marBottom w:val="0"/>
          <w:divBdr>
            <w:top w:val="none" w:sz="0" w:space="0" w:color="auto"/>
            <w:left w:val="none" w:sz="0" w:space="0" w:color="auto"/>
            <w:bottom w:val="none" w:sz="0" w:space="0" w:color="auto"/>
            <w:right w:val="none" w:sz="0" w:space="0" w:color="auto"/>
          </w:divBdr>
        </w:div>
      </w:divsChild>
    </w:div>
    <w:div w:id="1694725118">
      <w:bodyDiv w:val="1"/>
      <w:marLeft w:val="0"/>
      <w:marRight w:val="0"/>
      <w:marTop w:val="0"/>
      <w:marBottom w:val="0"/>
      <w:divBdr>
        <w:top w:val="none" w:sz="0" w:space="0" w:color="auto"/>
        <w:left w:val="none" w:sz="0" w:space="0" w:color="auto"/>
        <w:bottom w:val="none" w:sz="0" w:space="0" w:color="auto"/>
        <w:right w:val="none" w:sz="0" w:space="0" w:color="auto"/>
      </w:divBdr>
    </w:div>
    <w:div w:id="1699963695">
      <w:bodyDiv w:val="1"/>
      <w:marLeft w:val="0"/>
      <w:marRight w:val="0"/>
      <w:marTop w:val="0"/>
      <w:marBottom w:val="0"/>
      <w:divBdr>
        <w:top w:val="none" w:sz="0" w:space="0" w:color="auto"/>
        <w:left w:val="none" w:sz="0" w:space="0" w:color="auto"/>
        <w:bottom w:val="none" w:sz="0" w:space="0" w:color="auto"/>
        <w:right w:val="none" w:sz="0" w:space="0" w:color="auto"/>
      </w:divBdr>
      <w:divsChild>
        <w:div w:id="242034846">
          <w:marLeft w:val="994"/>
          <w:marRight w:val="0"/>
          <w:marTop w:val="0"/>
          <w:marBottom w:val="0"/>
          <w:divBdr>
            <w:top w:val="none" w:sz="0" w:space="0" w:color="auto"/>
            <w:left w:val="none" w:sz="0" w:space="0" w:color="auto"/>
            <w:bottom w:val="none" w:sz="0" w:space="0" w:color="auto"/>
            <w:right w:val="none" w:sz="0" w:space="0" w:color="auto"/>
          </w:divBdr>
        </w:div>
        <w:div w:id="1271668211">
          <w:marLeft w:val="994"/>
          <w:marRight w:val="0"/>
          <w:marTop w:val="0"/>
          <w:marBottom w:val="0"/>
          <w:divBdr>
            <w:top w:val="none" w:sz="0" w:space="0" w:color="auto"/>
            <w:left w:val="none" w:sz="0" w:space="0" w:color="auto"/>
            <w:bottom w:val="none" w:sz="0" w:space="0" w:color="auto"/>
            <w:right w:val="none" w:sz="0" w:space="0" w:color="auto"/>
          </w:divBdr>
        </w:div>
        <w:div w:id="1869677074">
          <w:marLeft w:val="994"/>
          <w:marRight w:val="0"/>
          <w:marTop w:val="0"/>
          <w:marBottom w:val="0"/>
          <w:divBdr>
            <w:top w:val="none" w:sz="0" w:space="0" w:color="auto"/>
            <w:left w:val="none" w:sz="0" w:space="0" w:color="auto"/>
            <w:bottom w:val="none" w:sz="0" w:space="0" w:color="auto"/>
            <w:right w:val="none" w:sz="0" w:space="0" w:color="auto"/>
          </w:divBdr>
        </w:div>
        <w:div w:id="1661151554">
          <w:marLeft w:val="994"/>
          <w:marRight w:val="0"/>
          <w:marTop w:val="0"/>
          <w:marBottom w:val="0"/>
          <w:divBdr>
            <w:top w:val="none" w:sz="0" w:space="0" w:color="auto"/>
            <w:left w:val="none" w:sz="0" w:space="0" w:color="auto"/>
            <w:bottom w:val="none" w:sz="0" w:space="0" w:color="auto"/>
            <w:right w:val="none" w:sz="0" w:space="0" w:color="auto"/>
          </w:divBdr>
        </w:div>
        <w:div w:id="1191331878">
          <w:marLeft w:val="994"/>
          <w:marRight w:val="0"/>
          <w:marTop w:val="0"/>
          <w:marBottom w:val="0"/>
          <w:divBdr>
            <w:top w:val="none" w:sz="0" w:space="0" w:color="auto"/>
            <w:left w:val="none" w:sz="0" w:space="0" w:color="auto"/>
            <w:bottom w:val="none" w:sz="0" w:space="0" w:color="auto"/>
            <w:right w:val="none" w:sz="0" w:space="0" w:color="auto"/>
          </w:divBdr>
        </w:div>
      </w:divsChild>
    </w:div>
    <w:div w:id="1720516833">
      <w:bodyDiv w:val="1"/>
      <w:marLeft w:val="0"/>
      <w:marRight w:val="0"/>
      <w:marTop w:val="0"/>
      <w:marBottom w:val="0"/>
      <w:divBdr>
        <w:top w:val="none" w:sz="0" w:space="0" w:color="auto"/>
        <w:left w:val="none" w:sz="0" w:space="0" w:color="auto"/>
        <w:bottom w:val="none" w:sz="0" w:space="0" w:color="auto"/>
        <w:right w:val="none" w:sz="0" w:space="0" w:color="auto"/>
      </w:divBdr>
    </w:div>
    <w:div w:id="1726752470">
      <w:bodyDiv w:val="1"/>
      <w:marLeft w:val="0"/>
      <w:marRight w:val="0"/>
      <w:marTop w:val="0"/>
      <w:marBottom w:val="0"/>
      <w:divBdr>
        <w:top w:val="none" w:sz="0" w:space="0" w:color="auto"/>
        <w:left w:val="none" w:sz="0" w:space="0" w:color="auto"/>
        <w:bottom w:val="none" w:sz="0" w:space="0" w:color="auto"/>
        <w:right w:val="none" w:sz="0" w:space="0" w:color="auto"/>
      </w:divBdr>
    </w:div>
    <w:div w:id="1744372459">
      <w:bodyDiv w:val="1"/>
      <w:marLeft w:val="0"/>
      <w:marRight w:val="0"/>
      <w:marTop w:val="0"/>
      <w:marBottom w:val="0"/>
      <w:divBdr>
        <w:top w:val="none" w:sz="0" w:space="0" w:color="auto"/>
        <w:left w:val="none" w:sz="0" w:space="0" w:color="auto"/>
        <w:bottom w:val="none" w:sz="0" w:space="0" w:color="auto"/>
        <w:right w:val="none" w:sz="0" w:space="0" w:color="auto"/>
      </w:divBdr>
    </w:div>
    <w:div w:id="1766422104">
      <w:bodyDiv w:val="1"/>
      <w:marLeft w:val="0"/>
      <w:marRight w:val="0"/>
      <w:marTop w:val="0"/>
      <w:marBottom w:val="0"/>
      <w:divBdr>
        <w:top w:val="none" w:sz="0" w:space="0" w:color="auto"/>
        <w:left w:val="none" w:sz="0" w:space="0" w:color="auto"/>
        <w:bottom w:val="none" w:sz="0" w:space="0" w:color="auto"/>
        <w:right w:val="none" w:sz="0" w:space="0" w:color="auto"/>
      </w:divBdr>
    </w:div>
    <w:div w:id="1818299761">
      <w:bodyDiv w:val="1"/>
      <w:marLeft w:val="0"/>
      <w:marRight w:val="0"/>
      <w:marTop w:val="0"/>
      <w:marBottom w:val="0"/>
      <w:divBdr>
        <w:top w:val="none" w:sz="0" w:space="0" w:color="auto"/>
        <w:left w:val="none" w:sz="0" w:space="0" w:color="auto"/>
        <w:bottom w:val="none" w:sz="0" w:space="0" w:color="auto"/>
        <w:right w:val="none" w:sz="0" w:space="0" w:color="auto"/>
      </w:divBdr>
    </w:div>
    <w:div w:id="1849755979">
      <w:bodyDiv w:val="1"/>
      <w:marLeft w:val="0"/>
      <w:marRight w:val="0"/>
      <w:marTop w:val="0"/>
      <w:marBottom w:val="0"/>
      <w:divBdr>
        <w:top w:val="none" w:sz="0" w:space="0" w:color="auto"/>
        <w:left w:val="none" w:sz="0" w:space="0" w:color="auto"/>
        <w:bottom w:val="none" w:sz="0" w:space="0" w:color="auto"/>
        <w:right w:val="none" w:sz="0" w:space="0" w:color="auto"/>
      </w:divBdr>
      <w:divsChild>
        <w:div w:id="1594971346">
          <w:marLeft w:val="547"/>
          <w:marRight w:val="0"/>
          <w:marTop w:val="86"/>
          <w:marBottom w:val="0"/>
          <w:divBdr>
            <w:top w:val="none" w:sz="0" w:space="0" w:color="auto"/>
            <w:left w:val="none" w:sz="0" w:space="0" w:color="auto"/>
            <w:bottom w:val="none" w:sz="0" w:space="0" w:color="auto"/>
            <w:right w:val="none" w:sz="0" w:space="0" w:color="auto"/>
          </w:divBdr>
        </w:div>
        <w:div w:id="51851450">
          <w:marLeft w:val="1166"/>
          <w:marRight w:val="0"/>
          <w:marTop w:val="67"/>
          <w:marBottom w:val="0"/>
          <w:divBdr>
            <w:top w:val="none" w:sz="0" w:space="0" w:color="auto"/>
            <w:left w:val="none" w:sz="0" w:space="0" w:color="auto"/>
            <w:bottom w:val="none" w:sz="0" w:space="0" w:color="auto"/>
            <w:right w:val="none" w:sz="0" w:space="0" w:color="auto"/>
          </w:divBdr>
        </w:div>
        <w:div w:id="1068113412">
          <w:marLeft w:val="1166"/>
          <w:marRight w:val="0"/>
          <w:marTop w:val="67"/>
          <w:marBottom w:val="0"/>
          <w:divBdr>
            <w:top w:val="none" w:sz="0" w:space="0" w:color="auto"/>
            <w:left w:val="none" w:sz="0" w:space="0" w:color="auto"/>
            <w:bottom w:val="none" w:sz="0" w:space="0" w:color="auto"/>
            <w:right w:val="none" w:sz="0" w:space="0" w:color="auto"/>
          </w:divBdr>
        </w:div>
        <w:div w:id="270091679">
          <w:marLeft w:val="547"/>
          <w:marRight w:val="0"/>
          <w:marTop w:val="86"/>
          <w:marBottom w:val="0"/>
          <w:divBdr>
            <w:top w:val="none" w:sz="0" w:space="0" w:color="auto"/>
            <w:left w:val="none" w:sz="0" w:space="0" w:color="auto"/>
            <w:bottom w:val="none" w:sz="0" w:space="0" w:color="auto"/>
            <w:right w:val="none" w:sz="0" w:space="0" w:color="auto"/>
          </w:divBdr>
        </w:div>
        <w:div w:id="1507675365">
          <w:marLeft w:val="1166"/>
          <w:marRight w:val="0"/>
          <w:marTop w:val="67"/>
          <w:marBottom w:val="0"/>
          <w:divBdr>
            <w:top w:val="none" w:sz="0" w:space="0" w:color="auto"/>
            <w:left w:val="none" w:sz="0" w:space="0" w:color="auto"/>
            <w:bottom w:val="none" w:sz="0" w:space="0" w:color="auto"/>
            <w:right w:val="none" w:sz="0" w:space="0" w:color="auto"/>
          </w:divBdr>
        </w:div>
        <w:div w:id="1472138476">
          <w:marLeft w:val="1800"/>
          <w:marRight w:val="0"/>
          <w:marTop w:val="67"/>
          <w:marBottom w:val="0"/>
          <w:divBdr>
            <w:top w:val="none" w:sz="0" w:space="0" w:color="auto"/>
            <w:left w:val="none" w:sz="0" w:space="0" w:color="auto"/>
            <w:bottom w:val="none" w:sz="0" w:space="0" w:color="auto"/>
            <w:right w:val="none" w:sz="0" w:space="0" w:color="auto"/>
          </w:divBdr>
        </w:div>
        <w:div w:id="1521122011">
          <w:marLeft w:val="1800"/>
          <w:marRight w:val="0"/>
          <w:marTop w:val="67"/>
          <w:marBottom w:val="0"/>
          <w:divBdr>
            <w:top w:val="none" w:sz="0" w:space="0" w:color="auto"/>
            <w:left w:val="none" w:sz="0" w:space="0" w:color="auto"/>
            <w:bottom w:val="none" w:sz="0" w:space="0" w:color="auto"/>
            <w:right w:val="none" w:sz="0" w:space="0" w:color="auto"/>
          </w:divBdr>
        </w:div>
        <w:div w:id="1189373675">
          <w:marLeft w:val="1800"/>
          <w:marRight w:val="0"/>
          <w:marTop w:val="67"/>
          <w:marBottom w:val="0"/>
          <w:divBdr>
            <w:top w:val="none" w:sz="0" w:space="0" w:color="auto"/>
            <w:left w:val="none" w:sz="0" w:space="0" w:color="auto"/>
            <w:bottom w:val="none" w:sz="0" w:space="0" w:color="auto"/>
            <w:right w:val="none" w:sz="0" w:space="0" w:color="auto"/>
          </w:divBdr>
        </w:div>
        <w:div w:id="1876767082">
          <w:marLeft w:val="1800"/>
          <w:marRight w:val="0"/>
          <w:marTop w:val="67"/>
          <w:marBottom w:val="0"/>
          <w:divBdr>
            <w:top w:val="none" w:sz="0" w:space="0" w:color="auto"/>
            <w:left w:val="none" w:sz="0" w:space="0" w:color="auto"/>
            <w:bottom w:val="none" w:sz="0" w:space="0" w:color="auto"/>
            <w:right w:val="none" w:sz="0" w:space="0" w:color="auto"/>
          </w:divBdr>
        </w:div>
        <w:div w:id="134763150">
          <w:marLeft w:val="1800"/>
          <w:marRight w:val="0"/>
          <w:marTop w:val="67"/>
          <w:marBottom w:val="0"/>
          <w:divBdr>
            <w:top w:val="none" w:sz="0" w:space="0" w:color="auto"/>
            <w:left w:val="none" w:sz="0" w:space="0" w:color="auto"/>
            <w:bottom w:val="none" w:sz="0" w:space="0" w:color="auto"/>
            <w:right w:val="none" w:sz="0" w:space="0" w:color="auto"/>
          </w:divBdr>
        </w:div>
        <w:div w:id="1059398284">
          <w:marLeft w:val="1166"/>
          <w:marRight w:val="0"/>
          <w:marTop w:val="67"/>
          <w:marBottom w:val="0"/>
          <w:divBdr>
            <w:top w:val="none" w:sz="0" w:space="0" w:color="auto"/>
            <w:left w:val="none" w:sz="0" w:space="0" w:color="auto"/>
            <w:bottom w:val="none" w:sz="0" w:space="0" w:color="auto"/>
            <w:right w:val="none" w:sz="0" w:space="0" w:color="auto"/>
          </w:divBdr>
        </w:div>
      </w:divsChild>
    </w:div>
    <w:div w:id="1886211968">
      <w:bodyDiv w:val="1"/>
      <w:marLeft w:val="0"/>
      <w:marRight w:val="0"/>
      <w:marTop w:val="0"/>
      <w:marBottom w:val="0"/>
      <w:divBdr>
        <w:top w:val="none" w:sz="0" w:space="0" w:color="auto"/>
        <w:left w:val="none" w:sz="0" w:space="0" w:color="auto"/>
        <w:bottom w:val="none" w:sz="0" w:space="0" w:color="auto"/>
        <w:right w:val="none" w:sz="0" w:space="0" w:color="auto"/>
      </w:divBdr>
    </w:div>
    <w:div w:id="1908689147">
      <w:bodyDiv w:val="1"/>
      <w:marLeft w:val="0"/>
      <w:marRight w:val="0"/>
      <w:marTop w:val="0"/>
      <w:marBottom w:val="0"/>
      <w:divBdr>
        <w:top w:val="none" w:sz="0" w:space="0" w:color="auto"/>
        <w:left w:val="none" w:sz="0" w:space="0" w:color="auto"/>
        <w:bottom w:val="none" w:sz="0" w:space="0" w:color="auto"/>
        <w:right w:val="none" w:sz="0" w:space="0" w:color="auto"/>
      </w:divBdr>
    </w:div>
    <w:div w:id="1928153418">
      <w:bodyDiv w:val="1"/>
      <w:marLeft w:val="0"/>
      <w:marRight w:val="0"/>
      <w:marTop w:val="0"/>
      <w:marBottom w:val="0"/>
      <w:divBdr>
        <w:top w:val="none" w:sz="0" w:space="0" w:color="auto"/>
        <w:left w:val="none" w:sz="0" w:space="0" w:color="auto"/>
        <w:bottom w:val="none" w:sz="0" w:space="0" w:color="auto"/>
        <w:right w:val="none" w:sz="0" w:space="0" w:color="auto"/>
      </w:divBdr>
    </w:div>
    <w:div w:id="1928951884">
      <w:bodyDiv w:val="1"/>
      <w:marLeft w:val="0"/>
      <w:marRight w:val="0"/>
      <w:marTop w:val="0"/>
      <w:marBottom w:val="0"/>
      <w:divBdr>
        <w:top w:val="none" w:sz="0" w:space="0" w:color="auto"/>
        <w:left w:val="none" w:sz="0" w:space="0" w:color="auto"/>
        <w:bottom w:val="none" w:sz="0" w:space="0" w:color="auto"/>
        <w:right w:val="none" w:sz="0" w:space="0" w:color="auto"/>
      </w:divBdr>
      <w:divsChild>
        <w:div w:id="1862696442">
          <w:marLeft w:val="288"/>
          <w:marRight w:val="0"/>
          <w:marTop w:val="86"/>
          <w:marBottom w:val="0"/>
          <w:divBdr>
            <w:top w:val="none" w:sz="0" w:space="0" w:color="auto"/>
            <w:left w:val="none" w:sz="0" w:space="0" w:color="auto"/>
            <w:bottom w:val="none" w:sz="0" w:space="0" w:color="auto"/>
            <w:right w:val="none" w:sz="0" w:space="0" w:color="auto"/>
          </w:divBdr>
        </w:div>
        <w:div w:id="490683015">
          <w:marLeft w:val="979"/>
          <w:marRight w:val="0"/>
          <w:marTop w:val="77"/>
          <w:marBottom w:val="0"/>
          <w:divBdr>
            <w:top w:val="none" w:sz="0" w:space="0" w:color="auto"/>
            <w:left w:val="none" w:sz="0" w:space="0" w:color="auto"/>
            <w:bottom w:val="none" w:sz="0" w:space="0" w:color="auto"/>
            <w:right w:val="none" w:sz="0" w:space="0" w:color="auto"/>
          </w:divBdr>
        </w:div>
        <w:div w:id="1529636388">
          <w:marLeft w:val="979"/>
          <w:marRight w:val="0"/>
          <w:marTop w:val="77"/>
          <w:marBottom w:val="0"/>
          <w:divBdr>
            <w:top w:val="none" w:sz="0" w:space="0" w:color="auto"/>
            <w:left w:val="none" w:sz="0" w:space="0" w:color="auto"/>
            <w:bottom w:val="none" w:sz="0" w:space="0" w:color="auto"/>
            <w:right w:val="none" w:sz="0" w:space="0" w:color="auto"/>
          </w:divBdr>
        </w:div>
        <w:div w:id="369573342">
          <w:marLeft w:val="288"/>
          <w:marRight w:val="0"/>
          <w:marTop w:val="160"/>
          <w:marBottom w:val="0"/>
          <w:divBdr>
            <w:top w:val="none" w:sz="0" w:space="0" w:color="auto"/>
            <w:left w:val="none" w:sz="0" w:space="0" w:color="auto"/>
            <w:bottom w:val="none" w:sz="0" w:space="0" w:color="auto"/>
            <w:right w:val="none" w:sz="0" w:space="0" w:color="auto"/>
          </w:divBdr>
        </w:div>
        <w:div w:id="102967816">
          <w:marLeft w:val="979"/>
          <w:marRight w:val="0"/>
          <w:marTop w:val="77"/>
          <w:marBottom w:val="0"/>
          <w:divBdr>
            <w:top w:val="none" w:sz="0" w:space="0" w:color="auto"/>
            <w:left w:val="none" w:sz="0" w:space="0" w:color="auto"/>
            <w:bottom w:val="none" w:sz="0" w:space="0" w:color="auto"/>
            <w:right w:val="none" w:sz="0" w:space="0" w:color="auto"/>
          </w:divBdr>
        </w:div>
        <w:div w:id="2060665022">
          <w:marLeft w:val="288"/>
          <w:marRight w:val="0"/>
          <w:marTop w:val="160"/>
          <w:marBottom w:val="0"/>
          <w:divBdr>
            <w:top w:val="none" w:sz="0" w:space="0" w:color="auto"/>
            <w:left w:val="none" w:sz="0" w:space="0" w:color="auto"/>
            <w:bottom w:val="none" w:sz="0" w:space="0" w:color="auto"/>
            <w:right w:val="none" w:sz="0" w:space="0" w:color="auto"/>
          </w:divBdr>
        </w:div>
        <w:div w:id="1240754786">
          <w:marLeft w:val="979"/>
          <w:marRight w:val="0"/>
          <w:marTop w:val="77"/>
          <w:marBottom w:val="0"/>
          <w:divBdr>
            <w:top w:val="none" w:sz="0" w:space="0" w:color="auto"/>
            <w:left w:val="none" w:sz="0" w:space="0" w:color="auto"/>
            <w:bottom w:val="none" w:sz="0" w:space="0" w:color="auto"/>
            <w:right w:val="none" w:sz="0" w:space="0" w:color="auto"/>
          </w:divBdr>
        </w:div>
        <w:div w:id="1653487420">
          <w:marLeft w:val="979"/>
          <w:marRight w:val="0"/>
          <w:marTop w:val="77"/>
          <w:marBottom w:val="0"/>
          <w:divBdr>
            <w:top w:val="none" w:sz="0" w:space="0" w:color="auto"/>
            <w:left w:val="none" w:sz="0" w:space="0" w:color="auto"/>
            <w:bottom w:val="none" w:sz="0" w:space="0" w:color="auto"/>
            <w:right w:val="none" w:sz="0" w:space="0" w:color="auto"/>
          </w:divBdr>
        </w:div>
        <w:div w:id="56784800">
          <w:marLeft w:val="288"/>
          <w:marRight w:val="0"/>
          <w:marTop w:val="160"/>
          <w:marBottom w:val="0"/>
          <w:divBdr>
            <w:top w:val="none" w:sz="0" w:space="0" w:color="auto"/>
            <w:left w:val="none" w:sz="0" w:space="0" w:color="auto"/>
            <w:bottom w:val="none" w:sz="0" w:space="0" w:color="auto"/>
            <w:right w:val="none" w:sz="0" w:space="0" w:color="auto"/>
          </w:divBdr>
        </w:div>
        <w:div w:id="1792047893">
          <w:marLeft w:val="979"/>
          <w:marRight w:val="0"/>
          <w:marTop w:val="77"/>
          <w:marBottom w:val="0"/>
          <w:divBdr>
            <w:top w:val="none" w:sz="0" w:space="0" w:color="auto"/>
            <w:left w:val="none" w:sz="0" w:space="0" w:color="auto"/>
            <w:bottom w:val="none" w:sz="0" w:space="0" w:color="auto"/>
            <w:right w:val="none" w:sz="0" w:space="0" w:color="auto"/>
          </w:divBdr>
        </w:div>
        <w:div w:id="67575547">
          <w:marLeft w:val="288"/>
          <w:marRight w:val="0"/>
          <w:marTop w:val="160"/>
          <w:marBottom w:val="0"/>
          <w:divBdr>
            <w:top w:val="none" w:sz="0" w:space="0" w:color="auto"/>
            <w:left w:val="none" w:sz="0" w:space="0" w:color="auto"/>
            <w:bottom w:val="none" w:sz="0" w:space="0" w:color="auto"/>
            <w:right w:val="none" w:sz="0" w:space="0" w:color="auto"/>
          </w:divBdr>
        </w:div>
        <w:div w:id="186255989">
          <w:marLeft w:val="979"/>
          <w:marRight w:val="0"/>
          <w:marTop w:val="77"/>
          <w:marBottom w:val="0"/>
          <w:divBdr>
            <w:top w:val="none" w:sz="0" w:space="0" w:color="auto"/>
            <w:left w:val="none" w:sz="0" w:space="0" w:color="auto"/>
            <w:bottom w:val="none" w:sz="0" w:space="0" w:color="auto"/>
            <w:right w:val="none" w:sz="0" w:space="0" w:color="auto"/>
          </w:divBdr>
        </w:div>
        <w:div w:id="1115321526">
          <w:marLeft w:val="288"/>
          <w:marRight w:val="0"/>
          <w:marTop w:val="160"/>
          <w:marBottom w:val="0"/>
          <w:divBdr>
            <w:top w:val="none" w:sz="0" w:space="0" w:color="auto"/>
            <w:left w:val="none" w:sz="0" w:space="0" w:color="auto"/>
            <w:bottom w:val="none" w:sz="0" w:space="0" w:color="auto"/>
            <w:right w:val="none" w:sz="0" w:space="0" w:color="auto"/>
          </w:divBdr>
        </w:div>
        <w:div w:id="261770008">
          <w:marLeft w:val="979"/>
          <w:marRight w:val="0"/>
          <w:marTop w:val="77"/>
          <w:marBottom w:val="0"/>
          <w:divBdr>
            <w:top w:val="none" w:sz="0" w:space="0" w:color="auto"/>
            <w:left w:val="none" w:sz="0" w:space="0" w:color="auto"/>
            <w:bottom w:val="none" w:sz="0" w:space="0" w:color="auto"/>
            <w:right w:val="none" w:sz="0" w:space="0" w:color="auto"/>
          </w:divBdr>
        </w:div>
      </w:divsChild>
    </w:div>
    <w:div w:id="1991710190">
      <w:bodyDiv w:val="1"/>
      <w:marLeft w:val="0"/>
      <w:marRight w:val="0"/>
      <w:marTop w:val="0"/>
      <w:marBottom w:val="0"/>
      <w:divBdr>
        <w:top w:val="none" w:sz="0" w:space="0" w:color="auto"/>
        <w:left w:val="none" w:sz="0" w:space="0" w:color="auto"/>
        <w:bottom w:val="none" w:sz="0" w:space="0" w:color="auto"/>
        <w:right w:val="none" w:sz="0" w:space="0" w:color="auto"/>
      </w:divBdr>
    </w:div>
    <w:div w:id="2048679904">
      <w:bodyDiv w:val="1"/>
      <w:marLeft w:val="0"/>
      <w:marRight w:val="0"/>
      <w:marTop w:val="0"/>
      <w:marBottom w:val="0"/>
      <w:divBdr>
        <w:top w:val="none" w:sz="0" w:space="0" w:color="auto"/>
        <w:left w:val="none" w:sz="0" w:space="0" w:color="auto"/>
        <w:bottom w:val="none" w:sz="0" w:space="0" w:color="auto"/>
        <w:right w:val="none" w:sz="0" w:space="0" w:color="auto"/>
      </w:divBdr>
    </w:div>
    <w:div w:id="2052536114">
      <w:bodyDiv w:val="1"/>
      <w:marLeft w:val="0"/>
      <w:marRight w:val="0"/>
      <w:marTop w:val="0"/>
      <w:marBottom w:val="0"/>
      <w:divBdr>
        <w:top w:val="none" w:sz="0" w:space="0" w:color="auto"/>
        <w:left w:val="none" w:sz="0" w:space="0" w:color="auto"/>
        <w:bottom w:val="none" w:sz="0" w:space="0" w:color="auto"/>
        <w:right w:val="none" w:sz="0" w:space="0" w:color="auto"/>
      </w:divBdr>
    </w:div>
    <w:div w:id="2058698123">
      <w:bodyDiv w:val="1"/>
      <w:marLeft w:val="0"/>
      <w:marRight w:val="0"/>
      <w:marTop w:val="0"/>
      <w:marBottom w:val="0"/>
      <w:divBdr>
        <w:top w:val="none" w:sz="0" w:space="0" w:color="auto"/>
        <w:left w:val="none" w:sz="0" w:space="0" w:color="auto"/>
        <w:bottom w:val="none" w:sz="0" w:space="0" w:color="auto"/>
        <w:right w:val="none" w:sz="0" w:space="0" w:color="auto"/>
      </w:divBdr>
    </w:div>
    <w:div w:id="2083748171">
      <w:bodyDiv w:val="1"/>
      <w:marLeft w:val="0"/>
      <w:marRight w:val="0"/>
      <w:marTop w:val="0"/>
      <w:marBottom w:val="0"/>
      <w:divBdr>
        <w:top w:val="none" w:sz="0" w:space="0" w:color="auto"/>
        <w:left w:val="none" w:sz="0" w:space="0" w:color="auto"/>
        <w:bottom w:val="none" w:sz="0" w:space="0" w:color="auto"/>
        <w:right w:val="none" w:sz="0" w:space="0" w:color="auto"/>
      </w:divBdr>
    </w:div>
    <w:div w:id="2102406266">
      <w:bodyDiv w:val="1"/>
      <w:marLeft w:val="0"/>
      <w:marRight w:val="0"/>
      <w:marTop w:val="0"/>
      <w:marBottom w:val="0"/>
      <w:divBdr>
        <w:top w:val="none" w:sz="0" w:space="0" w:color="auto"/>
        <w:left w:val="none" w:sz="0" w:space="0" w:color="auto"/>
        <w:bottom w:val="none" w:sz="0" w:space="0" w:color="auto"/>
        <w:right w:val="none" w:sz="0" w:space="0" w:color="auto"/>
      </w:divBdr>
    </w:div>
    <w:div w:id="2120757399">
      <w:bodyDiv w:val="1"/>
      <w:marLeft w:val="0"/>
      <w:marRight w:val="0"/>
      <w:marTop w:val="0"/>
      <w:marBottom w:val="0"/>
      <w:divBdr>
        <w:top w:val="none" w:sz="0" w:space="0" w:color="auto"/>
        <w:left w:val="none" w:sz="0" w:space="0" w:color="auto"/>
        <w:bottom w:val="none" w:sz="0" w:space="0" w:color="auto"/>
        <w:right w:val="none" w:sz="0" w:space="0" w:color="auto"/>
      </w:divBdr>
    </w:div>
    <w:div w:id="2134012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64CBDE-DA8B-42DF-9078-5EA0CCA6C33E}">
  <ds:schemaRefs>
    <ds:schemaRef ds:uri="http://schemas.openxmlformats.org/officeDocument/2006/bibliography"/>
  </ds:schemaRefs>
</ds:datastoreItem>
</file>

<file path=customXml/itemProps2.xml><?xml version="1.0" encoding="utf-8"?>
<ds:datastoreItem xmlns:ds="http://schemas.openxmlformats.org/officeDocument/2006/customXml" ds:itemID="{28B6482E-0C28-4E27-8838-93F2E0D032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10398</Words>
  <Characters>61351</Characters>
  <Application>Microsoft Office Word</Application>
  <DocSecurity>4</DocSecurity>
  <Lines>511</Lines>
  <Paragraphs>143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71606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Picková Veronika</dc:creator>
  <cp:lastModifiedBy>Moravcová Lenka</cp:lastModifiedBy>
  <cp:revision>2</cp:revision>
  <cp:lastPrinted>2014-12-19T08:56:00Z</cp:lastPrinted>
  <dcterms:created xsi:type="dcterms:W3CDTF">2015-02-05T08:10:00Z</dcterms:created>
  <dcterms:modified xsi:type="dcterms:W3CDTF">2015-02-05T08:10:00Z</dcterms:modified>
</cp:coreProperties>
</file>